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2D42F" w14:textId="77777777" w:rsidR="0098410D" w:rsidRDefault="00303B43" w:rsidP="00303B43">
      <w:pPr>
        <w:jc w:val="center"/>
      </w:pPr>
      <w:r>
        <w:t>CURTEA EUROPEANĂ A DREPTURILOR OMULUI</w:t>
      </w:r>
    </w:p>
    <w:p w14:paraId="4472CC97" w14:textId="77777777" w:rsidR="00303B43" w:rsidRPr="00C5096D" w:rsidRDefault="00303B43" w:rsidP="00303B43">
      <w:pPr>
        <w:jc w:val="center"/>
      </w:pPr>
    </w:p>
    <w:p w14:paraId="031F9B92" w14:textId="77777777" w:rsidR="0098410D" w:rsidRPr="008A32AE" w:rsidRDefault="007314F1" w:rsidP="00C5096D">
      <w:pPr>
        <w:pStyle w:val="DecHTitle"/>
      </w:pPr>
      <w:r>
        <w:t>SECȚIA A PATRA</w:t>
      </w:r>
    </w:p>
    <w:p w14:paraId="6E9FD3ED" w14:textId="77777777" w:rsidR="008E6217" w:rsidRPr="00C5096D" w:rsidRDefault="007314F1" w:rsidP="00C5096D">
      <w:pPr>
        <w:pStyle w:val="JuTitle"/>
        <w:spacing w:before="840"/>
      </w:pPr>
      <w:r>
        <w:t>CAUZA BRD – GROUPE SOCIÉTÉ GÉNÉRALE S.A. ÎMPOTRIVA ROMÂNIEI</w:t>
      </w:r>
    </w:p>
    <w:p w14:paraId="04922B88" w14:textId="77777777" w:rsidR="00D74888" w:rsidRPr="00C5096D" w:rsidRDefault="007314F1" w:rsidP="00C5096D">
      <w:pPr>
        <w:pStyle w:val="ECHRCoverTitle4"/>
      </w:pPr>
      <w:r>
        <w:t>(cererea nr. 38798/13)</w:t>
      </w:r>
    </w:p>
    <w:p w14:paraId="769CB155" w14:textId="77777777" w:rsidR="0098410D" w:rsidRPr="00C5096D" w:rsidRDefault="0098410D" w:rsidP="00C5096D">
      <w:pPr>
        <w:pStyle w:val="DecHCase"/>
      </w:pPr>
    </w:p>
    <w:p w14:paraId="744BFB2B" w14:textId="77777777" w:rsidR="0054716E" w:rsidRPr="00C5096D" w:rsidRDefault="0054716E" w:rsidP="009D539C">
      <w:pPr>
        <w:pStyle w:val="DecHCase"/>
        <w:spacing w:after="120"/>
      </w:pPr>
    </w:p>
    <w:p w14:paraId="21EF930A" w14:textId="77777777" w:rsidR="0098410D" w:rsidRPr="00C5096D" w:rsidRDefault="007314F1" w:rsidP="00C5096D">
      <w:pPr>
        <w:pStyle w:val="DecHCase"/>
      </w:pPr>
      <w:r>
        <w:t>HOTĂRÂRE</w:t>
      </w:r>
      <w:r>
        <w:br/>
      </w:r>
    </w:p>
    <w:p w14:paraId="7EE8A831" w14:textId="77777777" w:rsidR="00C5096D" w:rsidRPr="009D539C" w:rsidRDefault="007314F1" w:rsidP="00C5096D">
      <w:pPr>
        <w:pBdr>
          <w:top w:val="single" w:sz="4" w:space="1" w:color="auto"/>
          <w:left w:val="single" w:sz="4" w:space="4" w:color="auto"/>
          <w:bottom w:val="single" w:sz="4" w:space="1" w:color="auto"/>
          <w:right w:val="single" w:sz="4" w:space="4" w:color="auto"/>
        </w:pBdr>
        <w:jc w:val="both"/>
        <w:rPr>
          <w:sz w:val="22"/>
          <w:szCs w:val="22"/>
        </w:rPr>
      </w:pPr>
      <w:r>
        <w:rPr>
          <w:sz w:val="22"/>
        </w:rPr>
        <w:t xml:space="preserve">Art. 8 • Domiciliu • Corespondență • Inspecție inopinată efectuată la sediul societății reclamante de către autoritatea de concurență, fără autorizare judiciară prealabilă • Garanții procedurale adecvate împotriva abuzurilor • Motive relevante și suficiente • Control judecătoresc </w:t>
      </w:r>
      <w:r>
        <w:rPr>
          <w:i/>
          <w:iCs/>
          <w:sz w:val="22"/>
        </w:rPr>
        <w:t>ex post</w:t>
      </w:r>
      <w:r>
        <w:rPr>
          <w:sz w:val="22"/>
        </w:rPr>
        <w:t xml:space="preserve"> </w:t>
      </w:r>
      <w:r>
        <w:rPr>
          <w:i/>
          <w:iCs/>
          <w:sz w:val="22"/>
        </w:rPr>
        <w:t>facto</w:t>
      </w:r>
      <w:r>
        <w:rPr>
          <w:sz w:val="22"/>
        </w:rPr>
        <w:t xml:space="preserve"> adecvat privind necesitatea și proporționalitatea măsurii în litigiu, în cadrul procedurii de contencios administrativ • Ingerință proporțională având în vedere marja de apreciere de care dispuneau autoritățile</w:t>
      </w:r>
    </w:p>
    <w:p w14:paraId="3E895D88" w14:textId="77777777" w:rsidR="00C5096D" w:rsidRPr="009D539C" w:rsidRDefault="007314F1" w:rsidP="00C5096D">
      <w:pPr>
        <w:pStyle w:val="JuPara"/>
        <w:pBdr>
          <w:top w:val="single" w:sz="4" w:space="1" w:color="auto"/>
          <w:left w:val="single" w:sz="4" w:space="4" w:color="auto"/>
          <w:bottom w:val="single" w:sz="4" w:space="1" w:color="auto"/>
          <w:right w:val="single" w:sz="4" w:space="4" w:color="auto"/>
        </w:pBdr>
        <w:ind w:firstLine="0"/>
        <w:rPr>
          <w:sz w:val="22"/>
          <w:szCs w:val="22"/>
        </w:rPr>
      </w:pPr>
      <w:r>
        <w:rPr>
          <w:sz w:val="22"/>
        </w:rPr>
        <w:t>Art. 8 • Domiciliu • Corespondență • Ridicarea a două computere de la sediul societății reclamante și percheziția informatică realizată ulterior asupra computerelor, în cursul urmăririi penale față de angajați ai acesteia, în baza unei ordonanțe a procurorului care nu a făcut obiectul unui control judecătoresc efectiv • Lipsa unei examinări riguroase a proporționalității măsurilor în litigiu • Anchetă penală în curs timp de mai mulți ani • Ingerință disproporționată</w:t>
      </w:r>
    </w:p>
    <w:p w14:paraId="36D5FC74" w14:textId="77777777" w:rsidR="00C5096D" w:rsidRPr="00C5096D" w:rsidRDefault="00C5096D" w:rsidP="00C5096D">
      <w:pPr>
        <w:pStyle w:val="JuPara"/>
        <w:pBdr>
          <w:top w:val="single" w:sz="4" w:space="1" w:color="auto"/>
          <w:left w:val="single" w:sz="4" w:space="4" w:color="auto"/>
          <w:bottom w:val="single" w:sz="4" w:space="1" w:color="auto"/>
          <w:right w:val="single" w:sz="4" w:space="4" w:color="auto"/>
        </w:pBdr>
        <w:ind w:firstLine="0"/>
      </w:pPr>
    </w:p>
    <w:p w14:paraId="4A42C402" w14:textId="7EDB830B" w:rsidR="00C5096D" w:rsidRPr="009D539C" w:rsidRDefault="001B2902" w:rsidP="00C5096D">
      <w:pPr>
        <w:pStyle w:val="JuPara"/>
        <w:pBdr>
          <w:top w:val="single" w:sz="4" w:space="1" w:color="auto"/>
          <w:left w:val="single" w:sz="4" w:space="4" w:color="auto"/>
          <w:bottom w:val="single" w:sz="4" w:space="1" w:color="auto"/>
          <w:right w:val="single" w:sz="4" w:space="4" w:color="auto"/>
        </w:pBdr>
        <w:ind w:firstLine="0"/>
        <w:jc w:val="center"/>
        <w:rPr>
          <w:sz w:val="18"/>
          <w:szCs w:val="18"/>
        </w:rPr>
      </w:pPr>
      <w:r>
        <w:rPr>
          <w:sz w:val="18"/>
        </w:rPr>
        <w:t>Întocmit</w:t>
      </w:r>
      <w:bookmarkStart w:id="0" w:name="_GoBack"/>
      <w:bookmarkEnd w:id="0"/>
      <w:r w:rsidR="007314F1">
        <w:rPr>
          <w:sz w:val="18"/>
        </w:rPr>
        <w:t xml:space="preserve"> de Grefă. Nu obligă Curtea.</w:t>
      </w:r>
    </w:p>
    <w:p w14:paraId="7E6660B5" w14:textId="77777777" w:rsidR="00C5096D" w:rsidRPr="00C5096D" w:rsidRDefault="00C5096D" w:rsidP="00C5096D">
      <w:pPr>
        <w:pStyle w:val="JuPara"/>
        <w:spacing w:after="120"/>
      </w:pPr>
    </w:p>
    <w:p w14:paraId="3898F3BE" w14:textId="77777777" w:rsidR="0098410D" w:rsidRPr="00C5096D" w:rsidRDefault="007314F1" w:rsidP="00C5096D">
      <w:pPr>
        <w:pStyle w:val="DecHCase"/>
      </w:pPr>
      <w:r>
        <w:t>STRASBOURG</w:t>
      </w:r>
    </w:p>
    <w:p w14:paraId="5ECBA0C1" w14:textId="77777777" w:rsidR="0098410D" w:rsidRPr="00C5096D" w:rsidRDefault="007314F1" w:rsidP="00C5096D">
      <w:pPr>
        <w:pStyle w:val="DecHCase"/>
      </w:pPr>
      <w:r>
        <w:rPr>
          <w:rFonts w:ascii="Times New Roman" w:hAnsi="Times New Roman"/>
        </w:rPr>
        <w:t>18 martie 2025</w:t>
      </w:r>
    </w:p>
    <w:p w14:paraId="44E2F90F" w14:textId="77777777" w:rsidR="00AC4CD4" w:rsidRPr="00C5096D" w:rsidRDefault="00AC4CD4" w:rsidP="00C5096D">
      <w:pPr>
        <w:pStyle w:val="JuPara"/>
      </w:pPr>
    </w:p>
    <w:p w14:paraId="52799255" w14:textId="77777777" w:rsidR="002422B6" w:rsidRPr="00C5096D" w:rsidRDefault="007314F1" w:rsidP="00C5096D">
      <w:pPr>
        <w:rPr>
          <w:i/>
          <w:sz w:val="22"/>
        </w:rPr>
      </w:pPr>
      <w:r>
        <w:rPr>
          <w:i/>
          <w:sz w:val="22"/>
        </w:rPr>
        <w:t>Hotărârea devine definitivă în condițiile prevăzute la art. 44 § 2 din Convenție. Poate suferi modificări de formă.</w:t>
      </w:r>
    </w:p>
    <w:p w14:paraId="1CEFB793" w14:textId="77777777" w:rsidR="0098410D" w:rsidRPr="00C5096D" w:rsidRDefault="0098410D" w:rsidP="00C5096D">
      <w:pPr>
        <w:sectPr w:rsidR="0098410D" w:rsidRPr="00C5096D" w:rsidSect="008A32AE">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1134" w:right="1134" w:bottom="1134" w:left="1701" w:header="1701" w:footer="720" w:gutter="0"/>
          <w:pgNumType w:start="1"/>
          <w:cols w:space="720"/>
          <w:noEndnote/>
          <w:titlePg/>
          <w:docGrid w:linePitch="326"/>
        </w:sectPr>
      </w:pPr>
    </w:p>
    <w:p w14:paraId="33623D13" w14:textId="77777777" w:rsidR="0098410D" w:rsidRPr="00C5096D" w:rsidRDefault="007314F1" w:rsidP="00C5096D">
      <w:pPr>
        <w:pStyle w:val="JuCase"/>
      </w:pPr>
      <w:r>
        <w:lastRenderedPageBreak/>
        <w:t xml:space="preserve">În cauza BRD – </w:t>
      </w:r>
      <w:proofErr w:type="spellStart"/>
      <w:r>
        <w:t>Groupe</w:t>
      </w:r>
      <w:proofErr w:type="spellEnd"/>
      <w:r>
        <w:t xml:space="preserve"> </w:t>
      </w:r>
      <w:proofErr w:type="spellStart"/>
      <w:r>
        <w:t>Société</w:t>
      </w:r>
      <w:proofErr w:type="spellEnd"/>
      <w:r>
        <w:t xml:space="preserve"> </w:t>
      </w:r>
      <w:proofErr w:type="spellStart"/>
      <w:r>
        <w:t>Générale</w:t>
      </w:r>
      <w:proofErr w:type="spellEnd"/>
      <w:r>
        <w:t xml:space="preserve"> S.A. împotriva României,</w:t>
      </w:r>
    </w:p>
    <w:p w14:paraId="5ACDBDFE" w14:textId="77777777" w:rsidR="009F4C8F" w:rsidRPr="00C5096D" w:rsidRDefault="007314F1" w:rsidP="00C5096D">
      <w:pPr>
        <w:pStyle w:val="JuPara"/>
      </w:pPr>
      <w:r>
        <w:t>Curtea Europeană a Drepturilor Omului (Secția a patra), reunită într-o cameră compusă din:</w:t>
      </w:r>
    </w:p>
    <w:p w14:paraId="21FEAD0A" w14:textId="77777777" w:rsidR="00A92625" w:rsidRPr="00C5096D" w:rsidRDefault="007314F1" w:rsidP="00C5096D">
      <w:pPr>
        <w:pStyle w:val="JuJudges"/>
      </w:pPr>
      <w:r>
        <w:tab/>
      </w:r>
      <w:proofErr w:type="spellStart"/>
      <w:r>
        <w:t>Lado</w:t>
      </w:r>
      <w:proofErr w:type="spellEnd"/>
      <w:r>
        <w:t xml:space="preserve"> Chanturia, </w:t>
      </w:r>
      <w:r>
        <w:rPr>
          <w:i/>
          <w:iCs/>
        </w:rPr>
        <w:t>președinte</w:t>
      </w:r>
      <w:r>
        <w:t>,</w:t>
      </w:r>
      <w:r>
        <w:br/>
      </w:r>
      <w:r>
        <w:tab/>
      </w:r>
      <w:proofErr w:type="spellStart"/>
      <w:r>
        <w:t>Jolien</w:t>
      </w:r>
      <w:proofErr w:type="spellEnd"/>
      <w:r>
        <w:t xml:space="preserve"> </w:t>
      </w:r>
      <w:proofErr w:type="spellStart"/>
      <w:r>
        <w:t>Schukking</w:t>
      </w:r>
      <w:proofErr w:type="spellEnd"/>
      <w:r>
        <w:t>,</w:t>
      </w:r>
      <w:r>
        <w:br/>
      </w:r>
      <w:r>
        <w:tab/>
      </w:r>
      <w:proofErr w:type="spellStart"/>
      <w:r>
        <w:t>Faris</w:t>
      </w:r>
      <w:proofErr w:type="spellEnd"/>
      <w:r>
        <w:t xml:space="preserve"> </w:t>
      </w:r>
      <w:proofErr w:type="spellStart"/>
      <w:r>
        <w:t>Vehabović</w:t>
      </w:r>
      <w:proofErr w:type="spellEnd"/>
      <w:r>
        <w:t>,</w:t>
      </w:r>
      <w:r>
        <w:br/>
      </w:r>
      <w:r>
        <w:tab/>
        <w:t xml:space="preserve">Tim </w:t>
      </w:r>
      <w:proofErr w:type="spellStart"/>
      <w:r>
        <w:t>Eicke</w:t>
      </w:r>
      <w:proofErr w:type="spellEnd"/>
      <w:r>
        <w:t>,</w:t>
      </w:r>
      <w:r>
        <w:br/>
      </w:r>
      <w:r>
        <w:tab/>
      </w:r>
      <w:proofErr w:type="spellStart"/>
      <w:r>
        <w:t>Lorraine</w:t>
      </w:r>
      <w:proofErr w:type="spellEnd"/>
      <w:r>
        <w:t xml:space="preserve"> </w:t>
      </w:r>
      <w:proofErr w:type="spellStart"/>
      <w:r>
        <w:t>Schembri</w:t>
      </w:r>
      <w:proofErr w:type="spellEnd"/>
      <w:r>
        <w:t xml:space="preserve"> </w:t>
      </w:r>
      <w:proofErr w:type="spellStart"/>
      <w:r>
        <w:t>Orland</w:t>
      </w:r>
      <w:proofErr w:type="spellEnd"/>
      <w:r>
        <w:t>,</w:t>
      </w:r>
      <w:r>
        <w:br/>
      </w:r>
      <w:r>
        <w:tab/>
        <w:t xml:space="preserve">Ana Maria Guerra </w:t>
      </w:r>
      <w:proofErr w:type="spellStart"/>
      <w:r>
        <w:t>Martins</w:t>
      </w:r>
      <w:proofErr w:type="spellEnd"/>
      <w:r>
        <w:t>,</w:t>
      </w:r>
      <w:r>
        <w:br/>
      </w:r>
      <w:r>
        <w:tab/>
        <w:t>Sebastian Răduleţu</w:t>
      </w:r>
      <w:r>
        <w:rPr>
          <w:i/>
        </w:rPr>
        <w:t>, judecători</w:t>
      </w:r>
      <w:r>
        <w:t>,</w:t>
      </w:r>
      <w:r>
        <w:br/>
        <w:t xml:space="preserve">și Simeon Petrovski, </w:t>
      </w:r>
      <w:r>
        <w:rPr>
          <w:i/>
        </w:rPr>
        <w:t>grefier adjunct de secție,</w:t>
      </w:r>
    </w:p>
    <w:p w14:paraId="42412476" w14:textId="77777777" w:rsidR="00572B49" w:rsidRPr="00C5096D" w:rsidRDefault="007314F1" w:rsidP="00C5096D">
      <w:pPr>
        <w:pStyle w:val="JuPara"/>
      </w:pPr>
      <w:r>
        <w:t>având în vedere:</w:t>
      </w:r>
    </w:p>
    <w:p w14:paraId="582095D0" w14:textId="77777777" w:rsidR="00572B49" w:rsidRPr="00C5096D" w:rsidRDefault="007314F1" w:rsidP="00C5096D">
      <w:pPr>
        <w:pStyle w:val="JuPara"/>
      </w:pPr>
      <w:r>
        <w:t xml:space="preserve">cererea (nr. 38798/13) îndreptată împotriva României, în temeiul art. 34 din Convenția pentru apărarea drepturilor omului și a libertăților fundamentale („Convenția”), prin care o societate română, BRD – </w:t>
      </w:r>
      <w:proofErr w:type="spellStart"/>
      <w:r>
        <w:t>Groupe</w:t>
      </w:r>
      <w:proofErr w:type="spellEnd"/>
      <w:r>
        <w:t xml:space="preserve"> </w:t>
      </w:r>
      <w:proofErr w:type="spellStart"/>
      <w:r>
        <w:t>Société</w:t>
      </w:r>
      <w:proofErr w:type="spellEnd"/>
      <w:r>
        <w:t xml:space="preserve"> </w:t>
      </w:r>
      <w:proofErr w:type="spellStart"/>
      <w:r>
        <w:t>Générale</w:t>
      </w:r>
      <w:proofErr w:type="spellEnd"/>
      <w:r>
        <w:t xml:space="preserve"> S.A. („societatea reclamantă”), a sesizat Curtea la 11 iunie 2013;</w:t>
      </w:r>
    </w:p>
    <w:p w14:paraId="75202952" w14:textId="77777777" w:rsidR="00572B49" w:rsidRPr="00C5096D" w:rsidRDefault="007314F1" w:rsidP="00C5096D">
      <w:pPr>
        <w:pStyle w:val="JuPara"/>
      </w:pPr>
      <w:r>
        <w:t>decizia de a comunica această cerere Guvernului României („Guvernul”);</w:t>
      </w:r>
    </w:p>
    <w:p w14:paraId="6DDE2A0B" w14:textId="77777777" w:rsidR="00572B49" w:rsidRPr="00C5096D" w:rsidRDefault="007314F1" w:rsidP="00C5096D">
      <w:pPr>
        <w:pStyle w:val="JuPara"/>
      </w:pPr>
      <w:r>
        <w:t>observațiile părților;</w:t>
      </w:r>
    </w:p>
    <w:p w14:paraId="7EFFE08D" w14:textId="77777777" w:rsidR="009F4C8F" w:rsidRPr="00C5096D" w:rsidRDefault="007314F1" w:rsidP="00C5096D">
      <w:pPr>
        <w:pStyle w:val="JuPara"/>
      </w:pPr>
      <w:r>
        <w:t>după ce a deliberat în camera de consiliu, la 5 octombrie 2021, 18 octombrie 2022, 26 noiembrie 2024 și 25 februarie 2025,</w:t>
      </w:r>
    </w:p>
    <w:p w14:paraId="39568B77" w14:textId="77777777" w:rsidR="009F4C8F" w:rsidRPr="00C5096D" w:rsidRDefault="007314F1" w:rsidP="00C5096D">
      <w:pPr>
        <w:pStyle w:val="JuPara"/>
      </w:pPr>
      <w:r>
        <w:t xml:space="preserve">pronunță prezenta hotărâre, adoptată la </w:t>
      </w:r>
      <w:r>
        <w:br/>
        <w:t>cea din urmă dată:</w:t>
      </w:r>
    </w:p>
    <w:p w14:paraId="48313304" w14:textId="77777777" w:rsidR="00572B49" w:rsidRPr="00C5096D" w:rsidRDefault="007314F1" w:rsidP="00C5096D">
      <w:pPr>
        <w:pStyle w:val="JuHHead"/>
        <w:numPr>
          <w:ilvl w:val="0"/>
          <w:numId w:val="0"/>
        </w:numPr>
      </w:pPr>
      <w:r>
        <w:t>Introducere</w:t>
      </w:r>
    </w:p>
    <w:p w14:paraId="227EF1AD"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w:t>
      </w:r>
      <w:r w:rsidRPr="00C5096D">
        <w:fldChar w:fldCharType="end"/>
      </w:r>
      <w:r>
        <w:t>.  Cererea privește, în primul rând, pretinsa nelegalitate a unei inspecții inopinate, efectuată la sediul societății reclamante de către Consiliul Concurenței. În al doilea rând, aceasta privește pretinsa nelegalitate a perchezițiilor efectuate la sediul societății reclamante de către organele de urmărire penală, în cadrul unor anchete penale cu privire la mai mulți dintre angajații săi, precum și ridicarea unor computere și a unor înscrisuri, inclusiv a unor informații stocate în format electronic, care aparțineau societății reclamante. Potrivit acesteia din urmă, inspecția, perchezițiile și ridicările de obiecte și înscrisuri au fost efectuate în lipsa unor garanții procedurale adecvate și cu încălcarea art. 6, 8 și 13 din Convenție și a art. 1 din Protocolul nr. 1.</w:t>
      </w:r>
    </w:p>
    <w:p w14:paraId="7B0A4FCA" w14:textId="77777777" w:rsidR="00572B49" w:rsidRPr="00C5096D" w:rsidRDefault="007314F1" w:rsidP="00C5096D">
      <w:pPr>
        <w:pStyle w:val="JuHHead"/>
      </w:pPr>
      <w:r>
        <w:t>ÎN FAPT</w:t>
      </w:r>
    </w:p>
    <w:p w14:paraId="55A3DF55" w14:textId="77777777" w:rsidR="00572B49" w:rsidRPr="00C5096D" w:rsidRDefault="007314F1" w:rsidP="00C5096D">
      <w:pPr>
        <w:pStyle w:val="JuPara"/>
      </w:pPr>
      <w:fldSimple w:instr=" SEQ level0 \*arabic ">
        <w:r w:rsidR="00C5096D" w:rsidRPr="00C5096D">
          <w:t>2</w:t>
        </w:r>
      </w:fldSimple>
      <w:r>
        <w:t>.  Societatea reclamantă este o bancă înființată în anul 1990, cu sediul în București. Aceasta a fost reprezentată de domnul D.S. Bogdan, avocat în București.</w:t>
      </w:r>
    </w:p>
    <w:p w14:paraId="0ABBAFE6" w14:textId="77777777" w:rsidR="00572B49" w:rsidRPr="00C5096D" w:rsidRDefault="007314F1" w:rsidP="00C5096D">
      <w:pPr>
        <w:pStyle w:val="JuPara"/>
      </w:pPr>
      <w:fldSimple w:instr=" SEQ level0 \*arabic ">
        <w:r w:rsidR="00C5096D" w:rsidRPr="00C5096D">
          <w:t>3</w:t>
        </w:r>
      </w:fldSimple>
      <w:r>
        <w:t xml:space="preserve">.  Guvernul a fost reprezentat de agentul său guvernamental, cel mai recent doamna S.M. Teodoroiu, din cadrul Ministerului Afacerilor Externe. </w:t>
      </w:r>
    </w:p>
    <w:p w14:paraId="5D57D33C" w14:textId="77777777" w:rsidR="00572B49" w:rsidRPr="00C5096D" w:rsidRDefault="007314F1" w:rsidP="00C5096D">
      <w:pPr>
        <w:pStyle w:val="JuPara"/>
      </w:pPr>
      <w:fldSimple w:instr=" SEQ level0 \*arabic ">
        <w:r w:rsidR="00C5096D" w:rsidRPr="00C5096D">
          <w:t>4</w:t>
        </w:r>
      </w:fldSimple>
      <w:r>
        <w:t>.  Faptele cauzei, așa cum au fost expuse de părți, pot fi rezumate după cum urmează.</w:t>
      </w:r>
    </w:p>
    <w:p w14:paraId="0D4F85FB" w14:textId="77777777" w:rsidR="00572B49" w:rsidRPr="00C5096D" w:rsidRDefault="007314F1" w:rsidP="00C5096D">
      <w:pPr>
        <w:pStyle w:val="JuHIRoman"/>
        <w:ind w:left="357" w:hanging="357"/>
      </w:pPr>
      <w:r>
        <w:t>Investigația efectuată de Consiliul Concurenței</w:t>
      </w:r>
    </w:p>
    <w:p w14:paraId="3ED3B837" w14:textId="77777777" w:rsidR="00572B49" w:rsidRPr="00C5096D" w:rsidRDefault="007314F1" w:rsidP="00C5096D">
      <w:pPr>
        <w:pStyle w:val="JuHA"/>
        <w:ind w:left="584" w:hanging="352"/>
      </w:pPr>
      <w:r>
        <w:t>Context</w:t>
      </w:r>
    </w:p>
    <w:bookmarkStart w:id="1" w:name="paragraph00005"/>
    <w:p w14:paraId="5B4EDB23"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5</w:t>
      </w:r>
      <w:r w:rsidRPr="00C5096D">
        <w:fldChar w:fldCharType="end"/>
      </w:r>
      <w:bookmarkEnd w:id="1"/>
      <w:r>
        <w:t>.  La 29 octombrie 2008, în urma relatărilor din mass-media cu privire la declarațiile unor funcționari ai Băncii Naționale referitoare la încheierea unei înțelegeri secrete între mai multe bănci comerciale, în sensul majorării ratei dobânzii pentru împrumuturile interbancare, cinci inspectori din cadrul Consiliului Concurenței („Consiliul”) au întocmit un raport intern (nota Direcției de Servicii). În raport s-a menționat că dintr-un studiu realizat de Consiliu cu privire la piața serviciilor bancare pe segmentul de retail reieșea că existase un schimb constant de informații între anumite bănci. Inspectorii au considerat că era de competența Consiliului să investigheze situația raportată în temeiul art. 2 alin. (4) lit. (b) din Legea nr. 21/1996 privind concurența („Legea concurenței” – a se vedea infra, pct. </w:t>
      </w:r>
      <w:r w:rsidRPr="00C5096D">
        <w:fldChar w:fldCharType="begin"/>
      </w:r>
      <w:r w:rsidRPr="00C5096D">
        <w:instrText xml:space="preserve">REF paragraph00047 \h \* CharFormat </w:instrText>
      </w:r>
      <w:r w:rsidRPr="00C5096D">
        <w:fldChar w:fldCharType="separate"/>
      </w:r>
      <w:r w:rsidR="00C5096D" w:rsidRPr="00C5096D">
        <w:t>47</w:t>
      </w:r>
      <w:r w:rsidRPr="00C5096D">
        <w:fldChar w:fldCharType="end"/>
      </w:r>
      <w:r>
        <w:t>), care excludea piața monetară din domeniul de aplicare al Legii concurenței numai în cazul în care această piață făcea obiectul unor reglementări speciale, ceea ce nu era valabil în speță. Având în vedere elementele de mai sus și ținând seama de faptul că practicile raportate au afectat piața împrumuturilor interbancare, în raport s-a propus deschiderea unei investigații având ca obiect posibila încălcare a prevederilor art. 5 alin. (1) din Legea concurenței (a se vedea infra, pct. </w:t>
      </w:r>
      <w:r w:rsidRPr="00C5096D">
        <w:fldChar w:fldCharType="begin"/>
      </w:r>
      <w:r w:rsidRPr="00C5096D">
        <w:instrText xml:space="preserve">REF paragraph00047 \h \* CharFormat </w:instrText>
      </w:r>
      <w:r w:rsidRPr="00C5096D">
        <w:fldChar w:fldCharType="separate"/>
      </w:r>
      <w:r w:rsidR="00C5096D" w:rsidRPr="00C5096D">
        <w:t>47</w:t>
      </w:r>
      <w:r w:rsidRPr="00C5096D">
        <w:fldChar w:fldCharType="end"/>
      </w:r>
      <w:r>
        <w:t>) și a articolului 81 alineatul (1) din Tratatul de instituire a Comunității Europene („TCE”) de către agenți economici sau asociații de agenți economici pe piața serviciilor bancare. În raport nu au fost menționate anumite bănci.</w:t>
      </w:r>
    </w:p>
    <w:p w14:paraId="7B39C0A7" w14:textId="77777777" w:rsidR="00572B49" w:rsidRPr="00C5096D" w:rsidRDefault="007314F1" w:rsidP="00C5096D">
      <w:pPr>
        <w:pStyle w:val="JuHA"/>
        <w:ind w:left="584" w:hanging="352"/>
      </w:pPr>
      <w:r>
        <w:t>Cu privire la inspecția din 30 octombrie 2008</w:t>
      </w:r>
    </w:p>
    <w:bookmarkStart w:id="2" w:name="paragraph00006"/>
    <w:p w14:paraId="71A0B8EE"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6</w:t>
      </w:r>
      <w:r w:rsidRPr="00C5096D">
        <w:fldChar w:fldCharType="end"/>
      </w:r>
      <w:bookmarkEnd w:id="2"/>
      <w:r>
        <w:t>.  La 29 octombrie 2008, raportul a fost discutat în plenul Consiliului, care a votat în favoarea deschiderii unei investigații. În aceeași zi, președintele Consiliului, prin emiterea Ordinului nr. 420 („ordinul de investigație”), a dispus deschiderea unei investigații având ca obiect pretinse încălcări ale reglementărilor privind piața internă, contrar art. 5 alin. (1) din Legea concurenței (a se vedea infra, pct. </w:t>
      </w:r>
      <w:r w:rsidRPr="00C5096D">
        <w:fldChar w:fldCharType="begin"/>
      </w:r>
      <w:r w:rsidRPr="00C5096D">
        <w:instrText xml:space="preserve">REF paragraph00047 \h \* CharFormat </w:instrText>
      </w:r>
      <w:r w:rsidRPr="00C5096D">
        <w:fldChar w:fldCharType="separate"/>
      </w:r>
      <w:r w:rsidR="00C5096D" w:rsidRPr="00C5096D">
        <w:t>47</w:t>
      </w:r>
      <w:r w:rsidRPr="00C5096D">
        <w:fldChar w:fldCharType="end"/>
      </w:r>
      <w:r>
        <w:t>) și articolului 81 alineatul (1) din TCE, de către agenți economici sau asociații de agenți economici pe piața serviciilor bancare.</w:t>
      </w:r>
      <w:r>
        <w:rPr>
          <w:b/>
        </w:rPr>
        <w:t xml:space="preserve"> </w:t>
      </w:r>
      <w:r>
        <w:t>S-a fost menționat că Nota Direcției de Servicii din 29 octombrie 2008 (a se vedea supra, pct. </w:t>
      </w:r>
      <w:r w:rsidRPr="00C5096D">
        <w:fldChar w:fldCharType="begin"/>
      </w:r>
      <w:r w:rsidRPr="00C5096D">
        <w:instrText xml:space="preserve">REF paragraph00005 \h \* CharFormat </w:instrText>
      </w:r>
      <w:r w:rsidRPr="00C5096D">
        <w:fldChar w:fldCharType="separate"/>
      </w:r>
      <w:r w:rsidR="00C5096D" w:rsidRPr="00C5096D">
        <w:t>5</w:t>
      </w:r>
      <w:r w:rsidRPr="00C5096D">
        <w:fldChar w:fldCharType="end"/>
      </w:r>
      <w:r>
        <w:t>) a stat la baza declanșării investigației. Investigația trebuia să fie realizată cu respectarea competențelor prevăzute la art. 35-39 din Legea concurenței (a se vedea infra, pct. </w:t>
      </w:r>
      <w:r w:rsidRPr="00C5096D">
        <w:fldChar w:fldCharType="begin"/>
      </w:r>
      <w:r w:rsidRPr="00C5096D">
        <w:instrText xml:space="preserve">REF paragraph00047 \h \* CharFormat  \* MERGEFORMAT </w:instrText>
      </w:r>
      <w:r w:rsidRPr="00C5096D">
        <w:fldChar w:fldCharType="separate"/>
      </w:r>
      <w:r w:rsidR="00C5096D" w:rsidRPr="00C5096D">
        <w:t>47</w:t>
      </w:r>
      <w:r w:rsidRPr="00C5096D">
        <w:fldChar w:fldCharType="end"/>
      </w:r>
      <w:r>
        <w:t>).</w:t>
      </w:r>
    </w:p>
    <w:bookmarkStart w:id="3" w:name="paragraph00007"/>
    <w:p w14:paraId="3DE382D0" w14:textId="77777777" w:rsidR="00572B49" w:rsidRPr="00C5096D" w:rsidRDefault="007314F1" w:rsidP="00C5096D">
      <w:pPr>
        <w:pStyle w:val="JuPara"/>
      </w:pPr>
      <w:r w:rsidRPr="00C5096D">
        <w:lastRenderedPageBreak/>
        <w:fldChar w:fldCharType="begin"/>
      </w:r>
      <w:r w:rsidRPr="00C5096D">
        <w:instrText xml:space="preserve"> SEQ level0 \*arabic </w:instrText>
      </w:r>
      <w:r w:rsidRPr="00C5096D">
        <w:fldChar w:fldCharType="separate"/>
      </w:r>
      <w:r w:rsidR="00C5096D" w:rsidRPr="00C5096D">
        <w:t>7</w:t>
      </w:r>
      <w:r w:rsidRPr="00C5096D">
        <w:fldChar w:fldCharType="end"/>
      </w:r>
      <w:bookmarkEnd w:id="3"/>
      <w:r>
        <w:t>.  În contextul de mai sus, prin Ordinul nr. 424 din 30 octombrie 2008 („ordinul de inspecție”), președintele Consiliului a dispus efectuarea unei inspecții inopinate la sediul societății reclamante, în baza Ordinului nr. 420 și în temeiul art. 26 lit. b) și al art. 27 alin. (4), coroborat cu art. 36 din Legea concurenței (a se vedea infra, pct. </w:t>
      </w:r>
      <w:r w:rsidRPr="00C5096D">
        <w:fldChar w:fldCharType="begin"/>
      </w:r>
      <w:r w:rsidRPr="00C5096D">
        <w:instrText xml:space="preserve">REF paragraph00047 \h \* CharFormat </w:instrText>
      </w:r>
      <w:r w:rsidRPr="00C5096D">
        <w:fldChar w:fldCharType="separate"/>
      </w:r>
      <w:r w:rsidR="00C5096D" w:rsidRPr="00C5096D">
        <w:t>47</w:t>
      </w:r>
      <w:r w:rsidRPr="00C5096D">
        <w:fldChar w:fldCharType="end"/>
      </w:r>
      <w:r>
        <w:t>). Inspecția urma să fie efectuată în perioada 30-31 octombrie 2008 la sediul societății reclamante și în orice alte spații în care aceasta își desfășura activitatea, de către patru inspectori ale căror nume erau enumerate în ordinul de inspecție.</w:t>
      </w:r>
    </w:p>
    <w:bookmarkStart w:id="4" w:name="paragraph00008"/>
    <w:p w14:paraId="5C1E453F"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8</w:t>
      </w:r>
      <w:r w:rsidRPr="00C5096D">
        <w:fldChar w:fldCharType="end"/>
      </w:r>
      <w:bookmarkEnd w:id="4"/>
      <w:r>
        <w:t>.  La 30 octombrie 2008, potrivit procesului-verbal de constatare și inventariere întocmit la acea dată, cei patru inspectori au ajuns la sediul societății reclamante la orele 10.15 a.m. Aceștia au fost întâmpinați de un reprezentant al societății reclamante, căruia i-au fost înmânate copii ale celor două ordine sus-menționate. După ce s-a așteptat sosirea șefului departamentului juridic al societății reclamante, inspecția propriu-zisă a început la ora 1 p.m. și a durat până la ora 9.30 p.m. Șeful departamentului juridic al societății reclamante a desemnat echipe formate din</w:t>
      </w:r>
      <w:r>
        <w:rPr>
          <w:b/>
        </w:rPr>
        <w:t xml:space="preserve"> </w:t>
      </w:r>
      <w:r>
        <w:t xml:space="preserve">doi reprezentanți ai societății reclamante </w:t>
      </w:r>
      <w:r>
        <w:rPr>
          <w:b/>
        </w:rPr>
        <w:t xml:space="preserve">– </w:t>
      </w:r>
      <w:r>
        <w:t>unul de la departamentul juridic și unul de la departamentul IT – care să-i însoțească pe inspectori. Aceștia au intrat în biroul directorului general și în birourile directorilor generali adjuncți pentru a inspecta computerele și fișierele de pe acestea. Au fost tipărite treizeci și două de e-mailuri în total, din birourile directorului general și directorilor generali adjuncți, iar inspectorii au luat copii ale acestor e-mailuri. Detaliile e-mailurilor copiate de inspectori au fost incluse în procesul-verbal, iar copii ale acestor e-mailuri au fost transmise, de asemenea, reprezentanților societății reclamante. Procesul-verbal a inclus, de asemenea, liste cu toate e-mailurile accesate de către inspectori de pe diferite dispozitive de stocare a datelor informatice, însoțite de informații privind locația, expeditorul, subiectul și data acestora, precum și o descriere a înscrisurilor pe suport de hârtie examinate. În cele din urmă, în procesul-verbal s-a menționat că posibilele motive care justificau necesitatea ca înscrisurile ridicate să rămână confidențiale urmau să fie prezentate Consiliului în termen de cinci zile de la data întocmirii procesului-verbal. Procesul-verbal a fost semnat fără obiecțiuni, în numele societății reclamante, de către secretarul general adjunct și șeful departamentului juridic. Acestuia din urmă i-a fost înmânată o copie a procesului-verbal.</w:t>
      </w:r>
    </w:p>
    <w:bookmarkStart w:id="5" w:name="paragraph00009"/>
    <w:p w14:paraId="10535A01"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9</w:t>
      </w:r>
      <w:r w:rsidRPr="00C5096D">
        <w:fldChar w:fldCharType="end"/>
      </w:r>
      <w:bookmarkEnd w:id="5"/>
      <w:r>
        <w:t>.  La 4 noiembrie 2008, societatea reclamantă a depus la Consiliu o cerere prin care solicita ca e-mailurile copiate și ridicate de inspectori să rămână confidențiale (a se vedea infra, pct.</w:t>
      </w:r>
      <w:r>
        <w:rPr>
          <w:i/>
        </w:rPr>
        <w:t> </w:t>
      </w:r>
      <w:r w:rsidRPr="00C5096D">
        <w:fldChar w:fldCharType="begin"/>
      </w:r>
      <w:r w:rsidRPr="00C5096D">
        <w:instrText xml:space="preserve">REF paragraph00050 \h \* CharFormat </w:instrText>
      </w:r>
      <w:r w:rsidRPr="00C5096D">
        <w:fldChar w:fldCharType="separate"/>
      </w:r>
      <w:r w:rsidR="00C5096D" w:rsidRPr="00C5096D">
        <w:t>50</w:t>
      </w:r>
      <w:r w:rsidRPr="00C5096D">
        <w:fldChar w:fldCharType="end"/>
      </w:r>
      <w:r>
        <w:rPr>
          <w:i/>
        </w:rPr>
        <w:t xml:space="preserve"> in fine</w:t>
      </w:r>
      <w:r>
        <w:t>). Aceasta a explicat că înscrisurile în cauză conțineau numele clienților, aspecte ale strategiei sale comerciale și date privind fluxul său de numerar. Solicitarea a fost aprobată de Consiliu.</w:t>
      </w:r>
    </w:p>
    <w:p w14:paraId="68B0A337" w14:textId="77777777" w:rsidR="00572B49" w:rsidRPr="00C5096D" w:rsidRDefault="007314F1" w:rsidP="00C5096D">
      <w:pPr>
        <w:pStyle w:val="JuHA"/>
        <w:ind w:left="584" w:hanging="352"/>
      </w:pPr>
      <w:r>
        <w:lastRenderedPageBreak/>
        <w:t>Acțiunile formulate de societatea reclamantă</w:t>
      </w:r>
    </w:p>
    <w:p w14:paraId="5B72606D" w14:textId="77777777" w:rsidR="00572B49" w:rsidRPr="00C5096D" w:rsidRDefault="007314F1" w:rsidP="00C5096D">
      <w:pPr>
        <w:pStyle w:val="JuH1"/>
        <w:ind w:left="731" w:hanging="300"/>
      </w:pPr>
      <w:r>
        <w:t>În fața Consiliului</w:t>
      </w:r>
    </w:p>
    <w:bookmarkStart w:id="6" w:name="paragraph00010"/>
    <w:p w14:paraId="4DEA2192"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10</w:t>
      </w:r>
      <w:r w:rsidRPr="00C5096D">
        <w:fldChar w:fldCharType="end"/>
      </w:r>
      <w:bookmarkEnd w:id="6"/>
      <w:r>
        <w:t>.  La 10 decembrie 2008, Consiliul a respins o plângere depusă de societatea reclamantă, prin care aceasta a solicitat anularea Ordinelor nr. 420 și nr. 424 (a se vedea supra, pct. </w:t>
      </w:r>
      <w:r w:rsidRPr="00C5096D">
        <w:fldChar w:fldCharType="begin"/>
      </w:r>
      <w:r w:rsidRPr="00C5096D">
        <w:instrText xml:space="preserve">REF paragraph00006 \h \* CharFormat </w:instrText>
      </w:r>
      <w:r w:rsidRPr="00C5096D">
        <w:fldChar w:fldCharType="separate"/>
      </w:r>
      <w:r w:rsidR="00C5096D" w:rsidRPr="00C5096D">
        <w:t>6</w:t>
      </w:r>
      <w:r w:rsidRPr="00C5096D">
        <w:fldChar w:fldCharType="end"/>
      </w:r>
      <w:r>
        <w:t xml:space="preserve"> și </w:t>
      </w:r>
      <w:r w:rsidRPr="00C5096D">
        <w:fldChar w:fldCharType="begin"/>
      </w:r>
      <w:r w:rsidRPr="00C5096D">
        <w:instrText xml:space="preserve">REF paragraph00007 \h \* CharFormat </w:instrText>
      </w:r>
      <w:r w:rsidRPr="00C5096D">
        <w:fldChar w:fldCharType="separate"/>
      </w:r>
      <w:r w:rsidR="00C5096D" w:rsidRPr="00C5096D">
        <w:t>7</w:t>
      </w:r>
      <w:r w:rsidRPr="00C5096D">
        <w:fldChar w:fldCharType="end"/>
      </w:r>
      <w:r>
        <w:t>), considerând că nu a avut loc nicio încălcare a legii. În plângerea sa, societatea reclamantă a susținut, printre alte elemente, că încălcarea suspectată a Legii concurenței era nefondată, deoarece creșterea ratei dobânzii pentru împrumuturile interbancare a avut o bază economică reală și orice înțelegere cu privire la acest aspect ar fi cauzat prejudicii pe termen lung băncilor implicate.</w:t>
      </w:r>
    </w:p>
    <w:p w14:paraId="2A16AE10" w14:textId="77777777" w:rsidR="00572B49" w:rsidRPr="00C5096D" w:rsidRDefault="007314F1" w:rsidP="00C5096D">
      <w:pPr>
        <w:pStyle w:val="JuH1"/>
        <w:ind w:left="731" w:hanging="300"/>
      </w:pPr>
      <w:r>
        <w:t>În fața Curții de Apel București</w:t>
      </w:r>
    </w:p>
    <w:bookmarkStart w:id="7" w:name="paragraph00011"/>
    <w:p w14:paraId="4320755A"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11</w:t>
      </w:r>
      <w:r w:rsidRPr="00C5096D">
        <w:fldChar w:fldCharType="end"/>
      </w:r>
      <w:bookmarkEnd w:id="7"/>
      <w:r>
        <w:t>.  La 7 ianuarie 2009, societatea reclamantă a sesizat Curtea de Apel București cu o cerere prin care a solicitat anularea Ordinelor nr. 420 și nr. 424, precum și anularea tuturor actelor subsecvente întocmite în temeiul și în executarea celor două ordine menționate. Aceasta a susținut că ordinele erau formulate în termeni prea generali și că nu menționau niciuna dintre încălcările suspectate ale Legii concurenței, motivele inspecției inopinate, documentele și informațiile care trebuiau verificate, perioada de timp vizată de</w:t>
      </w:r>
      <w:r>
        <w:rPr>
          <w:b/>
        </w:rPr>
        <w:t xml:space="preserve"> </w:t>
      </w:r>
      <w:r>
        <w:t xml:space="preserve">inspecție sau limitele atribuțiilor conferite inspectorilor. Faptul că nu au fost menționate aceste aspecte și lipsa unei autorizări judiciare prealabile au conferit inspectorilor competențe nelimitate și au încălcat art. 36 alin. (2) din Legea concurenței. Invocând Hotărârea Curții de Justiție a Uniunii Europene (CJUE) din 22 octombrie 2002, </w:t>
      </w:r>
      <w:proofErr w:type="spellStart"/>
      <w:r>
        <w:rPr>
          <w:i/>
        </w:rPr>
        <w:t>Roquette</w:t>
      </w:r>
      <w:proofErr w:type="spellEnd"/>
      <w:r>
        <w:rPr>
          <w:i/>
        </w:rPr>
        <w:t xml:space="preserve"> </w:t>
      </w:r>
      <w:proofErr w:type="spellStart"/>
      <w:r>
        <w:rPr>
          <w:i/>
        </w:rPr>
        <w:t>Frères</w:t>
      </w:r>
      <w:proofErr w:type="spellEnd"/>
      <w:r>
        <w:rPr>
          <w:i/>
        </w:rPr>
        <w:t xml:space="preserve"> </w:t>
      </w:r>
      <w:r>
        <w:t>(C-94/00,</w:t>
      </w:r>
      <w:r>
        <w:rPr>
          <w:rFonts w:ascii="Segoe UI" w:hAnsi="Segoe UI"/>
          <w:color w:val="444444"/>
          <w:sz w:val="21"/>
        </w:rPr>
        <w:t xml:space="preserve"> </w:t>
      </w:r>
      <w:r>
        <w:t>EU:C:2002:603), aceasta a susținut că investigația inițiată de Consiliu și inspecția au fost de asemenea lipsite de proporționalitate, pentru aceleași motive legate de formularea pretins în termeni prea generali a celor două ordine. Societatea reclamantă s-a plâns de asemenea că inspectorii de concurență au accesat sistemul său informatic și corespondența sa electronică, în pofida faptului că au fost avertizați că acestea conțineau și informații cu caracter personal, care ar fi trebuit să fie accesibile numai pe baza unui mandat emis de o instanță. În plus, inspectorii au accesat informații care nu erau relevante pentru investigație și care intrau sub incidența secretului bancar și au făcut copii ale unor e-mailuri care conțineau informații care nu erau relevante pentru investigație și informații cu caracter personal. Reclamanta a concluzionat că toate aceste deficiențe încălcau garanțiile prevăzute la art. 8 din Convenție în ceea ce privește dreptul la respectarea domiciliului și a corespondenței, astfel cum este stabilit în hotărârea</w:t>
      </w:r>
      <w:r>
        <w:rPr>
          <w:i/>
        </w:rPr>
        <w:t xml:space="preserve"> </w:t>
      </w:r>
      <w:proofErr w:type="spellStart"/>
      <w:r>
        <w:rPr>
          <w:i/>
        </w:rPr>
        <w:t>Copland</w:t>
      </w:r>
      <w:proofErr w:type="spellEnd"/>
      <w:r>
        <w:rPr>
          <w:i/>
        </w:rPr>
        <w:t xml:space="preserve"> împotriva Regatului Unit </w:t>
      </w:r>
      <w:r>
        <w:t>(nr. 62617/00, CEDO 2007</w:t>
      </w:r>
      <w:r>
        <w:noBreakHyphen/>
        <w:t>I).</w:t>
      </w:r>
    </w:p>
    <w:bookmarkStart w:id="8" w:name="paragraph00012"/>
    <w:p w14:paraId="4F42D9DB"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12</w:t>
      </w:r>
      <w:r w:rsidRPr="00C5096D">
        <w:fldChar w:fldCharType="end"/>
      </w:r>
      <w:bookmarkEnd w:id="8"/>
      <w:r>
        <w:t>.  În fața Curții de apel, Consiliul a prezentat copii ale întregului dosar de investigație, inclusiv nota Direcției de Servicii din 29 octombrie 2008, menționată în Ordinul nr. 420 (a se vedea supra, pct. </w:t>
      </w:r>
      <w:r w:rsidRPr="00C5096D">
        <w:fldChar w:fldCharType="begin"/>
      </w:r>
      <w:r w:rsidRPr="00C5096D">
        <w:instrText xml:space="preserve">REF paragraph00005 \h \* CharFormat </w:instrText>
      </w:r>
      <w:r w:rsidRPr="00C5096D">
        <w:fldChar w:fldCharType="separate"/>
      </w:r>
      <w:r w:rsidR="00C5096D" w:rsidRPr="00C5096D">
        <w:t>5</w:t>
      </w:r>
      <w:r w:rsidRPr="00C5096D">
        <w:fldChar w:fldCharType="end"/>
      </w:r>
      <w:r>
        <w:t xml:space="preserve">). Acesta a susținut că, </w:t>
      </w:r>
      <w:r>
        <w:lastRenderedPageBreak/>
        <w:t>la începutul inspecției, reprezentanților societății reclamante li s-au furnizat verbal suficiente informații cu privire la domeniul de aplicare și întinderea inspecției.</w:t>
      </w:r>
    </w:p>
    <w:bookmarkStart w:id="9" w:name="paragraph00013"/>
    <w:p w14:paraId="52AC906E" w14:textId="77777777" w:rsidR="00572B49" w:rsidRPr="00C5096D" w:rsidRDefault="007314F1" w:rsidP="00C5096D">
      <w:pPr>
        <w:pStyle w:val="JuPara"/>
        <w:rPr>
          <w:b/>
          <w:bCs/>
        </w:rPr>
      </w:pPr>
      <w:r w:rsidRPr="00C5096D">
        <w:fldChar w:fldCharType="begin"/>
      </w:r>
      <w:r w:rsidRPr="00C5096D">
        <w:instrText xml:space="preserve"> SEQ level0 \*arabic </w:instrText>
      </w:r>
      <w:r w:rsidRPr="00C5096D">
        <w:fldChar w:fldCharType="separate"/>
      </w:r>
      <w:r w:rsidR="00C5096D" w:rsidRPr="00C5096D">
        <w:t>13</w:t>
      </w:r>
      <w:r w:rsidRPr="00C5096D">
        <w:fldChar w:fldCharType="end"/>
      </w:r>
      <w:bookmarkEnd w:id="9"/>
      <w:r>
        <w:t>.  Procedura în fața Curții de apel a fost suspendată până la soluționarea de către Curtea Constituțională a excepției de neconstituționalitate ridicate de societatea reclamantă în legătură cu dispozițiile art. 36-38 din Legea concurenței (a se vedea infra, pct. </w:t>
      </w:r>
      <w:r w:rsidRPr="00C5096D">
        <w:fldChar w:fldCharType="begin"/>
      </w:r>
      <w:r w:rsidRPr="00C5096D">
        <w:instrText xml:space="preserve">REF paragraph00047 \h \* CharFormat </w:instrText>
      </w:r>
      <w:r w:rsidRPr="00C5096D">
        <w:fldChar w:fldCharType="separate"/>
      </w:r>
      <w:r w:rsidR="00C5096D" w:rsidRPr="00C5096D">
        <w:t>47</w:t>
      </w:r>
      <w:r w:rsidRPr="00C5096D">
        <w:fldChar w:fldCharType="end"/>
      </w:r>
      <w:r>
        <w:t>). La 2 ianuarie 2010, Curtea Constituțională a respins excepția de neconstituționalitate ridicată de societatea reclamantă, hotărând că sediile comerciale nu erau supuse din oficiu acelorași reguli ca și spațiul în care se desfășoară viața privată a persoanei. Potrivit Curții Constituționale, dispozițiile din Legea concurenței, care permiteau efectuarea de inspecții la sediile agenților economici fără autorizare judiciară prealabilă, erau în conformitate cu Constituția.</w:t>
      </w:r>
    </w:p>
    <w:bookmarkStart w:id="10" w:name="paragraph00014"/>
    <w:p w14:paraId="412DBF0D"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14</w:t>
      </w:r>
      <w:r w:rsidRPr="00C5096D">
        <w:fldChar w:fldCharType="end"/>
      </w:r>
      <w:bookmarkEnd w:id="10"/>
      <w:r>
        <w:t>.  În urma deciziei Curții Constituționale, procedura a fost reluată în fața Curții de apel. În ședința din 7 septembrie 2010, societatea reclamantă a solicitat instanței să adreseze Curții de Justiție a Uniunii Europene (CJUE) o întrebare preliminară pentru a clarifica garanțiile împotriva intervenției arbitrare și disproporționate, care trebuie să fie asigurate în cazul inspecțiilor inopinate efectuate de inspectorii de concurență. Instanța a respins cererea, considerând că jurisprudența CJUE era clară în ceea ce privește garanțiile în cazul inspecțiilor, iar relevanța acestor garanții pentru cauza de față urma să fie examinată împreună cu fondul.</w:t>
      </w:r>
    </w:p>
    <w:bookmarkStart w:id="11" w:name="paragraph00015"/>
    <w:p w14:paraId="13072F91"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15</w:t>
      </w:r>
      <w:r w:rsidRPr="00C5096D">
        <w:fldChar w:fldCharType="end"/>
      </w:r>
      <w:bookmarkEnd w:id="11"/>
      <w:r>
        <w:t>.  În aceeași zi, societatea reclamantă a sesizat Curtea de apel cu o cerere în care s-a plâns de faptul că respectivele copii ale e-mailurilor ridicate în cursul inspecției din 30 octombrie 2008, prezentate de Consiliu la pozițiile 6-14 din lista lor de probe și depuse la dosarul cauzei care era accesibil publicului, conțineau de asemenea informații confidențiale (cum ar fi numele clienților, aspecte ale strategiei sale comerciale și date privind fluxul său de numerar</w:t>
      </w:r>
      <w:r>
        <w:rPr>
          <w:b/>
        </w:rPr>
        <w:t xml:space="preserve"> –</w:t>
      </w:r>
      <w:r>
        <w:t xml:space="preserve"> a se vedea supra, pct. </w:t>
      </w:r>
      <w:r w:rsidRPr="00C5096D">
        <w:fldChar w:fldCharType="begin"/>
      </w:r>
      <w:r w:rsidRPr="00C5096D">
        <w:instrText xml:space="preserve">REF paragraph00009 \h \* CharFormat </w:instrText>
      </w:r>
      <w:r w:rsidRPr="00C5096D">
        <w:fldChar w:fldCharType="separate"/>
      </w:r>
      <w:r w:rsidR="00C5096D" w:rsidRPr="00C5096D">
        <w:t>9</w:t>
      </w:r>
      <w:r w:rsidRPr="00C5096D">
        <w:fldChar w:fldCharType="end"/>
      </w:r>
      <w:r>
        <w:t>), și a solicitat ca înscrisurile în cauză să fie restituite Consiliului pentru ca acestea să poată fi prezentate din nou într-un format care să permită asigurarea confidențialității informațiilor respective. Dosarul nu conține informații care să indice dacă această cerere a primit sau nu un răspuns. Totuși, într-o etapă ulterioară a acestei proceduri, în recursul formulat de societatea reclamantă (a se vedea infra, pct. </w:t>
      </w:r>
      <w:r w:rsidRPr="00C5096D">
        <w:fldChar w:fldCharType="begin"/>
      </w:r>
      <w:r w:rsidRPr="00C5096D">
        <w:instrText xml:space="preserve">REF paragraph00020 \h \* CharFormat </w:instrText>
      </w:r>
      <w:r w:rsidRPr="00C5096D">
        <w:fldChar w:fldCharType="separate"/>
      </w:r>
      <w:r w:rsidR="00C5096D" w:rsidRPr="00C5096D">
        <w:t>20</w:t>
      </w:r>
      <w:r w:rsidRPr="00C5096D">
        <w:fldChar w:fldCharType="end"/>
      </w:r>
      <w:r>
        <w:t>), aceasta nu a invocat critici sau argumente cu privire la acest aspect.</w:t>
      </w:r>
    </w:p>
    <w:bookmarkStart w:id="12" w:name="paragraph00016"/>
    <w:p w14:paraId="15B878FD"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16</w:t>
      </w:r>
      <w:r w:rsidRPr="00C5096D">
        <w:fldChar w:fldCharType="end"/>
      </w:r>
      <w:bookmarkEnd w:id="12"/>
      <w:r>
        <w:t>.  În concluziile scrise prezentate Curții de Apel București, societatea reclamantă s-a plâns că a suferit o întrerupere intempestivă a activității din cauza inspecției și că inspectorii au deschis, citit și ridicat abuziv documente confidențiale care nu aveau</w:t>
      </w:r>
      <w:r>
        <w:rPr>
          <w:b/>
        </w:rPr>
        <w:t xml:space="preserve"> </w:t>
      </w:r>
      <w:r>
        <w:t xml:space="preserve">legătură cu investigația. În plus, documentele prezentate de Consiliu în cursul procedurii nu ar fi dovedit existența unor suspiciuni care ar fi putut justifica necesitatea și proporționalitatea inspecției. În concluziile sale scrise suplimentare, societatea reclamantă a solicitat din nou anularea celor două ordine, precum și anularea tuturor actelor subsecvente, și a susținut că prezentarea în termeni prea generali a Ordinului </w:t>
      </w:r>
      <w:r>
        <w:lastRenderedPageBreak/>
        <w:t>nr. 424 nu le-a permis reprezentanților săi să înțeleagă întinderea obligației lor de cooperare cu inspectorii, care ar fi putut să vadă și să ridice orice tip de document, adresat sau trimis de orice persoană, referitor la orice serviciu sau produs oferit de bancă, din orice perioadă și din orice loc în care ar fi putut fi găsit la sediul său.</w:t>
      </w:r>
    </w:p>
    <w:bookmarkStart w:id="13" w:name="paragraph00017"/>
    <w:p w14:paraId="610634EF"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17</w:t>
      </w:r>
      <w:r w:rsidRPr="00C5096D">
        <w:fldChar w:fldCharType="end"/>
      </w:r>
      <w:bookmarkEnd w:id="13"/>
      <w:r>
        <w:t>.  La 21 decembrie 2010, Curtea de Apel București a respins cererea societății reclamante, considerând că cele două ordine în cauză au fost emise cu respectarea procedurii prevăzute de lege și au fost motivate în mod corespunzător, întrucât primul s-a bazat pe nota Direcției de Servicii aprobată de plenul Consiliului, iar cel de al doilea făcea referire la primul ordin și la actele normative aplicabile. Faptul că, în cele două ordine, nu au fost menționate în detaliu motivele care justificau investigația nu constituia un motiv de anulare a acestora, având în vedere caracterul inopinat al inspecției și necesitatea asigurării unei eficiențe ridicate a demersurilor întreprinse de inspectori. Instanța a considerat că pretinsa depășire de către inspectori a atribuțiilor legale ale acestora în cursul percheziției nu putea fi considerată un motiv de nelegalitate a ordinului în cauză. O astfel de situație putea fi considerată, eventual, o nerespectare a ordinului respectiv și, prin urmare, putea constitui un motiv de nulitate a deciziei emise la finalul procedurii de investigații, decizie care putea fi contestată separat, astfel cum se prevedea la art. 47 din Legea concurenței (a se vedea infra, pct. </w:t>
      </w:r>
      <w:r w:rsidRPr="00C5096D">
        <w:fldChar w:fldCharType="begin"/>
      </w:r>
      <w:r w:rsidRPr="00C5096D">
        <w:instrText xml:space="preserve">REF paragraph00048 \h \* CharFormat </w:instrText>
      </w:r>
      <w:r w:rsidRPr="00C5096D">
        <w:fldChar w:fldCharType="separate"/>
      </w:r>
      <w:r w:rsidR="00C5096D" w:rsidRPr="00C5096D">
        <w:t>48</w:t>
      </w:r>
      <w:r w:rsidRPr="00C5096D">
        <w:fldChar w:fldCharType="end"/>
      </w:r>
      <w:r>
        <w:t>).</w:t>
      </w:r>
    </w:p>
    <w:bookmarkStart w:id="14" w:name="paragraph00018"/>
    <w:p w14:paraId="4629A96A" w14:textId="77777777" w:rsidR="00385475"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18</w:t>
      </w:r>
      <w:r w:rsidRPr="00C5096D">
        <w:fldChar w:fldCharType="end"/>
      </w:r>
      <w:bookmarkEnd w:id="14"/>
      <w:r>
        <w:t>.  Instanța a explicat că Ordinul nr. 420 (a se vedea supra, pct. </w:t>
      </w:r>
      <w:r w:rsidRPr="00C5096D">
        <w:fldChar w:fldCharType="begin"/>
      </w:r>
      <w:r w:rsidRPr="00C5096D">
        <w:instrText xml:space="preserve">REF paragraph00006 \h \* CharFormat </w:instrText>
      </w:r>
      <w:r w:rsidRPr="00C5096D">
        <w:fldChar w:fldCharType="separate"/>
      </w:r>
      <w:r w:rsidR="00C5096D" w:rsidRPr="00C5096D">
        <w:t>6</w:t>
      </w:r>
      <w:r w:rsidRPr="00C5096D">
        <w:fldChar w:fldCharType="end"/>
      </w:r>
      <w:r>
        <w:t>) a fost adoptat în conformitate cu legea care conferea Consiliului competențe în cadrul investigațiilor privind respectarea regulilor de concurență. Într-adevăr, Consiliul nu avea competența de a reglementa piața monetară, ceea ce nu s-a întâmplat în speță.</w:t>
      </w:r>
    </w:p>
    <w:bookmarkStart w:id="15" w:name="paragraph00019"/>
    <w:p w14:paraId="47551343"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19</w:t>
      </w:r>
      <w:r w:rsidRPr="00C5096D">
        <w:fldChar w:fldCharType="end"/>
      </w:r>
      <w:bookmarkEnd w:id="15"/>
      <w:r>
        <w:t>.  În ceea ce privește Ordinul nr. 424 (a se vedea supra, pct. </w:t>
      </w:r>
      <w:r w:rsidRPr="00C5096D">
        <w:fldChar w:fldCharType="begin"/>
      </w:r>
      <w:r w:rsidRPr="00C5096D">
        <w:instrText xml:space="preserve">REF paragraph00007 \h \* CharFormat </w:instrText>
      </w:r>
      <w:r w:rsidRPr="00C5096D">
        <w:fldChar w:fldCharType="separate"/>
      </w:r>
      <w:r w:rsidR="00C5096D" w:rsidRPr="00C5096D">
        <w:t>7</w:t>
      </w:r>
      <w:r w:rsidRPr="00C5096D">
        <w:fldChar w:fldCharType="end"/>
      </w:r>
      <w:r>
        <w:t xml:space="preserve">), instanța a hotărât că acesta respecta pe deplin legea. În primul rând, conținutul său nu a putut fi detaliat în mod exhaustiv din cauza caracterului inopinat al inspecției. În al doilea rând, în ceea ce privește capătul de cerere referitor la lipsa autorizării judiciare, instanța a considerat că litigiul cu care a fost sesizată era similar celui din </w:t>
      </w:r>
      <w:r>
        <w:rPr>
          <w:i/>
        </w:rPr>
        <w:t xml:space="preserve">cauza </w:t>
      </w:r>
      <w:proofErr w:type="spellStart"/>
      <w:r>
        <w:rPr>
          <w:i/>
        </w:rPr>
        <w:t>Société</w:t>
      </w:r>
      <w:proofErr w:type="spellEnd"/>
      <w:r>
        <w:rPr>
          <w:i/>
        </w:rPr>
        <w:t xml:space="preserve"> </w:t>
      </w:r>
      <w:proofErr w:type="spellStart"/>
      <w:r>
        <w:rPr>
          <w:i/>
        </w:rPr>
        <w:t>Colas</w:t>
      </w:r>
      <w:proofErr w:type="spellEnd"/>
      <w:r>
        <w:rPr>
          <w:i/>
        </w:rPr>
        <w:t xml:space="preserve"> Est și alții împotriva Franței</w:t>
      </w:r>
      <w:r>
        <w:t xml:space="preserve"> (nr. 37971/97, CEDO 2002</w:t>
      </w:r>
      <w:r>
        <w:noBreakHyphen/>
        <w:t>III). Mai precis, aceasta a observat că situațiile care necesitau</w:t>
      </w:r>
      <w:r>
        <w:rPr>
          <w:b/>
        </w:rPr>
        <w:t xml:space="preserve"> </w:t>
      </w:r>
      <w:r>
        <w:t>autorizare judiciară erau enumerate la art. 37 și 38 din Legea concurenței și priveau inspecțiile efectuate la domiciliul, terenurile sau mijloacele de transport aparținând angajaților agenților economici supuși investigației. Cu toate acestea, Ordinul nr. 424 se întemeia pe art. 36 din legea respectivă (a se vedea infra, pct. </w:t>
      </w:r>
      <w:r w:rsidRPr="00C5096D">
        <w:fldChar w:fldCharType="begin"/>
      </w:r>
      <w:r w:rsidRPr="00C5096D">
        <w:instrText xml:space="preserve">REF paragraph00047 \h \* CharFormat </w:instrText>
      </w:r>
      <w:r w:rsidRPr="00C5096D">
        <w:fldChar w:fldCharType="separate"/>
      </w:r>
      <w:r w:rsidR="00C5096D" w:rsidRPr="00C5096D">
        <w:t>47</w:t>
      </w:r>
      <w:r w:rsidRPr="00C5096D">
        <w:fldChar w:fldCharType="end"/>
      </w:r>
      <w:r>
        <w:t>), care nu prevedea o autorizare judiciară prealabilă. Nici Regulamentul UE nr. 1/2003 relevant (a se vedea infra, pct. </w:t>
      </w:r>
      <w:r w:rsidRPr="00C5096D">
        <w:fldChar w:fldCharType="begin"/>
      </w:r>
      <w:r w:rsidRPr="00C5096D">
        <w:instrText xml:space="preserve">REF paragraph00059 \h \* CharFormat </w:instrText>
      </w:r>
      <w:r w:rsidRPr="00C5096D">
        <w:fldChar w:fldCharType="separate"/>
      </w:r>
      <w:r w:rsidR="00C5096D" w:rsidRPr="00C5096D">
        <w:t>59</w:t>
      </w:r>
      <w:r w:rsidRPr="00C5096D">
        <w:fldChar w:fldCharType="end"/>
      </w:r>
      <w:r>
        <w:t xml:space="preserve">) nu impunea un astfel de mandat în cazul societății reclamante. Autorizarea judiciară era necesară pentru acțiunile prevăzute la art. 37 din Legea concurenței și putea fi obținută în urma unei cereri depuse în temeiul art. 38 din lege. Doar o astfel de cerere trebuia să respecte dispozițiile regulamentelor UE aplicabile și jurisprudența CJUE. În orice caz, o astfel de </w:t>
      </w:r>
      <w:r>
        <w:lastRenderedPageBreak/>
        <w:t>cerere era un element ulterior ordinului de inspecție și nu putea afecta legalitatea ordinului respectiv. Instanța a considerat, de asemenea, că inspecția a fost doar o etapă a investigației, iar argumentele societății reclamante privind nelegalitatea acesteia și, în special, lipsa autorizării judiciare trebuiau să fie invocate într-o plângere împotriva deciziei emise la finalul procedurii de investigație.</w:t>
      </w:r>
    </w:p>
    <w:p w14:paraId="25D0BD52" w14:textId="77777777" w:rsidR="00572B49" w:rsidRPr="00C5096D" w:rsidRDefault="007314F1" w:rsidP="00C5096D">
      <w:pPr>
        <w:pStyle w:val="JuH1"/>
        <w:ind w:left="731" w:hanging="300"/>
      </w:pPr>
      <w:r>
        <w:t>În fața Înaltei Curți de Casație și Justiție</w:t>
      </w:r>
    </w:p>
    <w:bookmarkStart w:id="16" w:name="paragraph00020"/>
    <w:p w14:paraId="53FBAD4F"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20</w:t>
      </w:r>
      <w:r w:rsidRPr="00C5096D">
        <w:fldChar w:fldCharType="end"/>
      </w:r>
      <w:bookmarkEnd w:id="16"/>
      <w:r>
        <w:t>.  Societatea reclamantă a declarat recurs împotriva acestei sentințe în fața Înaltei Curți de Casație și Justiție („Înalta Curte”), reiterând argumentele invocate anterior (a se vedea supra, pct. </w:t>
      </w:r>
      <w:r w:rsidRPr="00C5096D">
        <w:fldChar w:fldCharType="begin"/>
      </w:r>
      <w:r w:rsidRPr="00C5096D">
        <w:instrText xml:space="preserve">REF paragraph00011 \h \* CharFormat  \* MERGEFORMAT </w:instrText>
      </w:r>
      <w:r w:rsidRPr="00C5096D">
        <w:fldChar w:fldCharType="separate"/>
      </w:r>
      <w:r w:rsidR="00C5096D" w:rsidRPr="00C5096D">
        <w:t>11</w:t>
      </w:r>
      <w:r w:rsidRPr="00C5096D">
        <w:fldChar w:fldCharType="end"/>
      </w:r>
      <w:r>
        <w:t xml:space="preserve"> și </w:t>
      </w:r>
      <w:r w:rsidRPr="00C5096D">
        <w:fldChar w:fldCharType="begin"/>
      </w:r>
      <w:r w:rsidRPr="00C5096D">
        <w:instrText xml:space="preserve">REF paragraph00016 \h \* CharFormat  \* MERGEFORMAT </w:instrText>
      </w:r>
      <w:r w:rsidRPr="00C5096D">
        <w:fldChar w:fldCharType="separate"/>
      </w:r>
      <w:r w:rsidR="00C5096D" w:rsidRPr="00C5096D">
        <w:t>16</w:t>
      </w:r>
      <w:r w:rsidRPr="00C5096D">
        <w:fldChar w:fldCharType="end"/>
      </w:r>
      <w:r>
        <w:t xml:space="preserve">). Aceasta a susținut, de asemenea, că instanța inferioară a interpretat greșit dreptul aplicabil și probele și nu a răspuns la argumentele invocate în legătură cu lipsa unor suspiciuni care ar fi putut justifica necesitatea și proporționalitatea inspecției și nici la toate argumentele invocate cu privire la formularea în termeni prea generali a ordinului de inspecție, privând astfel societatea reclamantă de o cale de atac efectivă. Prin urmare, nu doar că inspecția nu s-a bazat pe o autorizare judiciară prealabilă, ci, în plus, nici nu a făcut obiectul unui control judecătoresc efectiv </w:t>
      </w:r>
      <w:r>
        <w:rPr>
          <w:i/>
        </w:rPr>
        <w:t>ex post facto.</w:t>
      </w:r>
    </w:p>
    <w:p w14:paraId="79348437" w14:textId="77777777" w:rsidR="00572B49" w:rsidRPr="00C5096D" w:rsidRDefault="007314F1" w:rsidP="00C5096D">
      <w:pPr>
        <w:pStyle w:val="JuPara"/>
      </w:pPr>
      <w:fldSimple w:instr=" SEQ level0 \*arabic ">
        <w:r w:rsidR="00C5096D" w:rsidRPr="00C5096D">
          <w:t>21</w:t>
        </w:r>
      </w:fldSimple>
      <w:r>
        <w:t>.  La 11 aprilie 2013, Înalta Curte a respins definitiv recursul. Instanța a clarificat mai întâi faptul că va examina doar argumentele invocate în ceea ce privește Ordinul nr. 424, deoarece a constatat că societatea reclamantă nu mai susținea motivele de recurs ce vizau Ordinul nr. 420 și referitoare la deschiderea nelegală a investigației.</w:t>
      </w:r>
    </w:p>
    <w:bookmarkStart w:id="17" w:name="paragraph00022"/>
    <w:p w14:paraId="6EC12DFC"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22</w:t>
      </w:r>
      <w:r w:rsidRPr="00C5096D">
        <w:fldChar w:fldCharType="end"/>
      </w:r>
      <w:bookmarkEnd w:id="17"/>
      <w:r>
        <w:t>.  Instanța a considerat, de asemenea, că instanța inferioară a răspuns în mod adecvat la toate argumentele prezentate în fața sa și a aplicat în mod corect dispozițiile legale relevante. Totuși, în continuare, instanța a verificat examinarea efectuată de instanța inferioară și a statuat că Ordinul nr. 424 a fost adoptat în conformitate cu legislația în vigoare la momentul faptelor: art. 26 lit. b), art. 27 alin. (4) și art. 36 din Legea concurenței (a se vedea infra, pct. </w:t>
      </w:r>
      <w:r w:rsidRPr="00C5096D">
        <w:fldChar w:fldCharType="begin"/>
      </w:r>
      <w:r w:rsidRPr="00C5096D">
        <w:instrText xml:space="preserve">REF paragraph00047 \h \* CharFormat </w:instrText>
      </w:r>
      <w:r w:rsidRPr="00C5096D">
        <w:fldChar w:fldCharType="separate"/>
      </w:r>
      <w:r w:rsidR="00C5096D" w:rsidRPr="00C5096D">
        <w:t>47</w:t>
      </w:r>
      <w:r w:rsidRPr="00C5096D">
        <w:fldChar w:fldCharType="end"/>
      </w:r>
      <w:r>
        <w:t>). Singura condiție prevăzută de dispozițiile legale sus-menționate pentru adoptarea unui astfel de ordin era existența unor indicii că documentele considerate necesare pentru investigație puteau fi găsite la sediul societății. Ordinul din prezenta cauză s-a întemeiat pe indicii potrivit cărora, la sediul societății reclamante, puteau fi găsite informații sau documente considerate necesare pentru investigarea unor posibile încălcări ale Legii concurenței – care rezultau din nota Direcției de Servicii din 29 octombrie 2008 (a se vedea supra, pct. </w:t>
      </w:r>
      <w:r w:rsidRPr="00C5096D">
        <w:fldChar w:fldCharType="begin"/>
      </w:r>
      <w:r w:rsidRPr="00C5096D">
        <w:instrText xml:space="preserve">REF paragraph00006 \h \* CharFormat </w:instrText>
      </w:r>
      <w:r w:rsidRPr="00C5096D">
        <w:fldChar w:fldCharType="separate"/>
      </w:r>
      <w:r w:rsidR="00C5096D" w:rsidRPr="00C5096D">
        <w:t>6</w:t>
      </w:r>
      <w:r w:rsidRPr="00C5096D">
        <w:fldChar w:fldCharType="end"/>
      </w:r>
      <w:r>
        <w:t>). Legea nu impunea Consiliului să dovedească participarea directă a societății reclamante la încălcarea suspectată a Legii concurenței. În ceea ce privește argumentul societății reclamante referitor la formularea în termeni prea generali a ordinului (a se vedea supra, pct. </w:t>
      </w:r>
      <w:r w:rsidRPr="00C5096D">
        <w:fldChar w:fldCharType="begin"/>
      </w:r>
      <w:r w:rsidRPr="00C5096D">
        <w:instrText xml:space="preserve">REF paragraph00011 \h \* CharFormat </w:instrText>
      </w:r>
      <w:r w:rsidRPr="00C5096D">
        <w:fldChar w:fldCharType="separate"/>
      </w:r>
      <w:r w:rsidR="00C5096D" w:rsidRPr="00C5096D">
        <w:t>11</w:t>
      </w:r>
      <w:r w:rsidRPr="00C5096D">
        <w:fldChar w:fldCharType="end"/>
      </w:r>
      <w:r>
        <w:t xml:space="preserve"> și </w:t>
      </w:r>
      <w:r w:rsidRPr="00C5096D">
        <w:fldChar w:fldCharType="begin"/>
      </w:r>
      <w:r w:rsidRPr="00C5096D">
        <w:instrText xml:space="preserve">REF paragraph00020 \h \* CharFormat </w:instrText>
      </w:r>
      <w:r w:rsidRPr="00C5096D">
        <w:fldChar w:fldCharType="separate"/>
      </w:r>
      <w:r w:rsidR="00C5096D" w:rsidRPr="00C5096D">
        <w:t>20</w:t>
      </w:r>
      <w:r w:rsidRPr="00C5096D">
        <w:fldChar w:fldCharType="end"/>
      </w:r>
      <w:r>
        <w:t xml:space="preserve">), instanța a hotărât că Legea concurenței nu prevedea un anumit format pentru un astfel de ordin și nici elemente textuale specifice, în lipsa cărora un astfel de ordin putea fi anulat. Instanța a explicat, </w:t>
      </w:r>
      <w:r>
        <w:lastRenderedPageBreak/>
        <w:t>de asemenea, că jurisprudența CJUE citată de societatea reclamantă statua că conținutul ordinelor de inspecție depindea de contextul adoptării lor, iar autoritatea emitentă nu avea în niciun caz obligația de a furniza toate informațiile de care dispunea sau dispozițiile legale exacte, presupuse a fi fost încălcate de societatea supusă investigației. Instanța a explicat, de asemenea, că o descriere mai detaliată a încălcărilor suspectate ale Legii concurenței, rolul societății reclamante sau descrierea exactă a obiectului percheziției ar fi putut lipsi de eficiență inspecția, având în vedere caracterul său inopinat.</w:t>
      </w:r>
    </w:p>
    <w:bookmarkStart w:id="18" w:name="paragraph00023"/>
    <w:p w14:paraId="040E0E11"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23</w:t>
      </w:r>
      <w:r w:rsidRPr="00C5096D">
        <w:fldChar w:fldCharType="end"/>
      </w:r>
      <w:bookmarkEnd w:id="18"/>
      <w:r>
        <w:t>.  În ceea ce privește capătul de cerere întemeiat pe faptul că inspecția nu s-a bazat pe o autorizare judiciară, Înalta Curte a subliniat că, la momentul faptelor, cadrul legal național nu impunea o autorizare judiciară în cazuri precum cel din speță. În ceea ce privește capătul de cerere potrivit căruia ordinul de inspecție nu conținea o descriere a limitelor puterilor de inspecție și atribuțiilor conferite inspectorilor, instanța a observat că limitele acestor puteri de inspecție și atribuții, precum și obligația societății de a coopera, erau prevăzute clar la art. 36 alin. (1)-(4) din Legea concurenței (a se vedea infra, pct. </w:t>
      </w:r>
      <w:r w:rsidRPr="00C5096D">
        <w:fldChar w:fldCharType="begin"/>
      </w:r>
      <w:r w:rsidRPr="00C5096D">
        <w:instrText xml:space="preserve">REF paragraph00047 \h \* CharFormat </w:instrText>
      </w:r>
      <w:r w:rsidRPr="00C5096D">
        <w:fldChar w:fldCharType="separate"/>
      </w:r>
      <w:r w:rsidR="00C5096D" w:rsidRPr="00C5096D">
        <w:t>47</w:t>
      </w:r>
      <w:r w:rsidRPr="00C5096D">
        <w:fldChar w:fldCharType="end"/>
      </w:r>
      <w:r>
        <w:t>). Instanța a considerat că inspecția a fost proporțională având în vedere gravitatea actelor suspectate, importanța pieței implicate și posibilele consecințe ale actelor suspectate pe piața respectivă. Toate aceste elemente au justificat alegerea de către Consiliu a inspecției inopinate, în detrimentul instrumentelor prevăzute la art. 35 din Legea concurenței. În cadrul examinării proporționalității măsurii adoptate în prezenta cauză cu scopul urmărit, instanța a considerat că societatea reclamantă nu a demonstrat și nu a dovedit prejudiciul real suferit de aceasta ca urmare a inspecției inopinate efectuate la sediul său. Prin urmare, inspecția a respectat atât dreptul Uniunii, cât și dispozițiile art. 8 din Convenție.</w:t>
      </w:r>
    </w:p>
    <w:bookmarkStart w:id="19" w:name="paragraph00024"/>
    <w:p w14:paraId="2A3E5CD9" w14:textId="77777777" w:rsidR="00385475"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24</w:t>
      </w:r>
      <w:r w:rsidRPr="00C5096D">
        <w:fldChar w:fldCharType="end"/>
      </w:r>
      <w:bookmarkEnd w:id="19"/>
      <w:r>
        <w:t>.  În ceea ce privește capătul de cerere formulat de societatea reclamantă cu privire la lipsa accesului la o instanță, din cauza afirmației instanței inferioare potrivit căreia era necesar ca anumite argumente referitoare la inspecție să fie invocate într-o etapă ulterioară a procedurii (a se vedea supra, pct. </w:t>
      </w:r>
      <w:r w:rsidRPr="00C5096D">
        <w:fldChar w:fldCharType="begin"/>
      </w:r>
      <w:r w:rsidRPr="00C5096D">
        <w:instrText xml:space="preserve">REF paragraph00017 \h \* CharFormat </w:instrText>
      </w:r>
      <w:r w:rsidRPr="00C5096D">
        <w:fldChar w:fldCharType="separate"/>
      </w:r>
      <w:r w:rsidR="00C5096D" w:rsidRPr="00C5096D">
        <w:t>17</w:t>
      </w:r>
      <w:r w:rsidRPr="00C5096D">
        <w:fldChar w:fldCharType="end"/>
      </w:r>
      <w:r>
        <w:t>), instanța a considerat că aceasta a fost soluționată, având în vedere că societatea reclamantă a avut posibilitatea de a-și prezenta argumentele în cadrul recursului declarat de aceasta în fața Înaltei Curți și că a primit răspunsuri motivate în cuprinsul hotărârii în cauză.</w:t>
      </w:r>
    </w:p>
    <w:p w14:paraId="357CACED" w14:textId="77777777" w:rsidR="00385475" w:rsidRPr="00C5096D" w:rsidRDefault="007314F1" w:rsidP="00C5096D">
      <w:pPr>
        <w:pStyle w:val="JuHA"/>
        <w:ind w:left="584" w:hanging="352"/>
      </w:pPr>
      <w:r>
        <w:t>Încheierea investigației în materie de concurență</w:t>
      </w:r>
    </w:p>
    <w:bookmarkStart w:id="20" w:name="paragraph00025"/>
    <w:p w14:paraId="0B02CD81"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25</w:t>
      </w:r>
      <w:r w:rsidRPr="00C5096D">
        <w:fldChar w:fldCharType="end"/>
      </w:r>
      <w:bookmarkEnd w:id="20"/>
      <w:r>
        <w:t>.  La 29 mai 2013, societatea reclamantă a fost informată că președintele Consiliului a decis să încheie investigația în privința sa, întrucât probele strânse nu au dus la constatarea vreunei încălcări a Legii concurenței.</w:t>
      </w:r>
    </w:p>
    <w:p w14:paraId="05927355" w14:textId="77777777" w:rsidR="00572B49" w:rsidRPr="00C5096D" w:rsidRDefault="007314F1" w:rsidP="00C5096D">
      <w:pPr>
        <w:pStyle w:val="JuHIRoman"/>
        <w:ind w:left="357" w:hanging="357"/>
      </w:pPr>
      <w:r>
        <w:lastRenderedPageBreak/>
        <w:t>Procedurile penale</w:t>
      </w:r>
    </w:p>
    <w:bookmarkStart w:id="21" w:name="paragraph00026"/>
    <w:p w14:paraId="5E5F3076"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26</w:t>
      </w:r>
      <w:r w:rsidRPr="00C5096D">
        <w:fldChar w:fldCharType="end"/>
      </w:r>
      <w:bookmarkEnd w:id="21"/>
      <w:r>
        <w:t>.  În 2012, Direcția de Investigare a Infracțiunilor de Criminalitate Organizată și Terorism (DIICOT) din cadrul Ministerului Public a inițiat două proceduri penale separate, în care au fost implicați un număr mare de suspecți, inclusiv angajați ai societății reclamante, suspectați de fraudă la scară largă și spălare de bani.</w:t>
      </w:r>
    </w:p>
    <w:p w14:paraId="04D2FBA2" w14:textId="77777777" w:rsidR="00572B49" w:rsidRPr="00C5096D" w:rsidRDefault="007314F1" w:rsidP="00C5096D">
      <w:pPr>
        <w:pStyle w:val="JuHA"/>
        <w:ind w:left="584" w:hanging="352"/>
      </w:pPr>
      <w:r>
        <w:t>Dosarul nr. 102/D/P/2012</w:t>
      </w:r>
    </w:p>
    <w:bookmarkStart w:id="22" w:name="paragraph00027"/>
    <w:p w14:paraId="2D0C2462"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27</w:t>
      </w:r>
      <w:r w:rsidRPr="00C5096D">
        <w:fldChar w:fldCharType="end"/>
      </w:r>
      <w:bookmarkEnd w:id="22"/>
      <w:r>
        <w:t>.  În prima procedură desfășurată în cauza din dosarul nr. 102/D/P/2012 (denumit în continuare și „primul dosar penal”), s-a stabilit că, începând cu anul 2008, angajații societății reclamante, majoritatea deținând funcții de conducere, împreună cu persoane și societăți externe, au constituit un grup infracțional organizat cu scopul de a obține credite bancare în condiții ilegale și de a săvârși infracțiunile de înșelăciune, fals în înscrisuri sub semnătură privată și spălare de bani. Aceste activități au cauzat prejudicii de câteva milioane de euro societății reclamante, precum și bugetului de stat.</w:t>
      </w:r>
    </w:p>
    <w:p w14:paraId="45DC95B9"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28</w:t>
      </w:r>
      <w:r w:rsidRPr="00C5096D">
        <w:fldChar w:fldCharType="end"/>
      </w:r>
      <w:r>
        <w:t xml:space="preserve">.  La 16 noiembrie 2012 și la 8 februarie 2013, societatea reclamantă a depus plângeri penale împotriva a șapte dintre angajații săi pentru complicitate la înșelăciune, în contextul unor operațiuni de creditare, </w:t>
      </w:r>
      <w:proofErr w:type="spellStart"/>
      <w:r>
        <w:t>constituindu-se</w:t>
      </w:r>
      <w:proofErr w:type="spellEnd"/>
      <w:r>
        <w:t xml:space="preserve"> parte civilă pentru repararea prejudiciului pretins cauzat de infracțiunile în cauză.</w:t>
      </w:r>
    </w:p>
    <w:bookmarkStart w:id="23" w:name="paragraph00029"/>
    <w:p w14:paraId="3A68B70B" w14:textId="77777777" w:rsidR="00385475"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29</w:t>
      </w:r>
      <w:r w:rsidRPr="00C5096D">
        <w:fldChar w:fldCharType="end"/>
      </w:r>
      <w:bookmarkEnd w:id="23"/>
      <w:r>
        <w:t xml:space="preserve">.  Printr-o încheiere din 12 decembrie 2012, un judecător al Curții de Apel București a admis cererea procurorului de a efectua activități de percheziție în 48 de locații, inclusiv în două locații care aparțineau societății reclamante. Judecătorul a examinat probele din dosarul penal, care au fost depuse de procuror, și, în ședință secretă, a decis că existau suficiente motive pentru a considera că, în locațiile respective, ar fi putut fi găsite probe relevante pentru cauză și că au fost îndeplinite cerințele prevăzute la art. 100 și următoarele din Codul de procedură penală („C. </w:t>
      </w:r>
      <w:proofErr w:type="spellStart"/>
      <w:r>
        <w:t>proc</w:t>
      </w:r>
      <w:proofErr w:type="spellEnd"/>
      <w:r>
        <w:t xml:space="preserve">. </w:t>
      </w:r>
      <w:proofErr w:type="spellStart"/>
      <w:r>
        <w:t>pen</w:t>
      </w:r>
      <w:proofErr w:type="spellEnd"/>
      <w:r>
        <w:t>.” – a se vedea infra, pct. </w:t>
      </w:r>
      <w:r w:rsidRPr="00C5096D">
        <w:fldChar w:fldCharType="begin"/>
      </w:r>
      <w:r w:rsidRPr="00C5096D">
        <w:instrText xml:space="preserve">REF paragraph00068 \h \* CharFormat </w:instrText>
      </w:r>
      <w:r w:rsidRPr="00C5096D">
        <w:fldChar w:fldCharType="separate"/>
      </w:r>
      <w:r w:rsidR="00C5096D" w:rsidRPr="00C5096D">
        <w:t>68</w:t>
      </w:r>
      <w:r w:rsidRPr="00C5096D">
        <w:fldChar w:fldCharType="end"/>
      </w:r>
      <w:r>
        <w:t>), astfel încât era posibilă admiterea, în tot, a cererii procurorului. Ulterior, judecătorul a dispus separat efectuarea percheziției pentru cele două locații care aparțineau societății reclamante. În hotărârile de autorizare se menționa faptul că erau întemeiate pe încheierea pronunțată la aceeași dată și includeau adresele unde urmau să fie efectuate perchezițiile, precum și un termen de zece zile pentru efectuarea acestora, și anume perioada 12-21 decembrie 2012.</w:t>
      </w:r>
    </w:p>
    <w:bookmarkStart w:id="24" w:name="paragraph00030"/>
    <w:p w14:paraId="5E42FCDB"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30</w:t>
      </w:r>
      <w:r w:rsidRPr="00C5096D">
        <w:fldChar w:fldCharType="end"/>
      </w:r>
      <w:bookmarkEnd w:id="24"/>
      <w:r>
        <w:t>.  La 13 decembrie 2012, mai mulți agenți de poliție au efectuat percheziții la cele două birouri în cauză, pentru fiecare loc în prezența a doi martori independenți, a mai multor angajați și a unui avocat care reprezenta interesele societății reclamante. Potrivit proceselor-verbale de percheziție, care au fost semnate fără obiecțiuni de reprezentanții societății reclamante, au fost ridicate pentru a servi ca mijloace de probă (</w:t>
      </w:r>
      <w:r>
        <w:rPr>
          <w:i/>
        </w:rPr>
        <w:t>ridicare de obiecte</w:t>
      </w:r>
      <w:r>
        <w:t xml:space="preserve">) mai </w:t>
      </w:r>
      <w:r>
        <w:lastRenderedPageBreak/>
        <w:t>multe înscrisuri și dispozitive de stocare a datelor informatice (</w:t>
      </w:r>
      <w:proofErr w:type="spellStart"/>
      <w:r>
        <w:t>stick</w:t>
      </w:r>
      <w:proofErr w:type="spellEnd"/>
      <w:r>
        <w:t>-uri de memorie și DVD-uri), precum și 14 computere (unități centrale) utilizate de suspecți, de directorul filialei și de alți angajați. Toate obiectele ridicate au fost enumerate în procesele-verbale și plasate în saci și cutii sigilate.</w:t>
      </w:r>
    </w:p>
    <w:bookmarkStart w:id="25" w:name="paragraph00031"/>
    <w:p w14:paraId="4AEB51EC"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31</w:t>
      </w:r>
      <w:r w:rsidRPr="00C5096D">
        <w:fldChar w:fldCharType="end"/>
      </w:r>
      <w:bookmarkEnd w:id="25"/>
      <w:r>
        <w:t>.  Ulterior, în aceeași zi, societatea reclamantă a solicitat Procurorului General restituirea imediată a computerelor și a copiilor înscrisurilor ridicate din birourile sale, întrucât acestea conțineau informații necesare pentru a-și continua activitatea. Aceasta a subliniat, de asemenea, că era posibil ca un computer aparținând unui angajat care nu fusese implicat în investigație să fi fost ridicat abuziv. Câteva zile mai târziu, DIICOT a răspuns la această solicitare că formalitățile pentru autorizarea percheziției informatice erau în derulare.</w:t>
      </w:r>
    </w:p>
    <w:p w14:paraId="40B2A7F2"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32</w:t>
      </w:r>
      <w:r w:rsidRPr="00C5096D">
        <w:fldChar w:fldCharType="end"/>
      </w:r>
      <w:r>
        <w:t>.  La 4 ianuarie 2013, la cererea procurorului, un judecător din cadrul Curții de Apel București a pronunțat, în ședință secretă, o încheiere interlocutorie prin care a dispus autorizarea efectuării unei percheziții asupra materialului probator electronic stocat pe computere și pe celelalte suporturi de stocare care au fost ridicate la 13 decembrie 2012, în temeiul art. 55 și 56 din Legea nr. 161/2003 privind unele măsuri pentru asigurarea transparenței în exercitarea demnităților publice, a funcțiilor publice și în mediul de afaceri, prevenirea și sancționarea corupției (a se vedea infra, pct. </w:t>
      </w:r>
      <w:r w:rsidR="007314F1" w:rsidRPr="00C5096D">
        <w:fldChar w:fldCharType="begin"/>
      </w:r>
      <w:r w:rsidR="007314F1" w:rsidRPr="00C5096D">
        <w:instrText xml:space="preserve">REF paragraph00071 \h \* CharFormat </w:instrText>
      </w:r>
      <w:r w:rsidR="007314F1" w:rsidRPr="00C5096D">
        <w:fldChar w:fldCharType="separate"/>
      </w:r>
      <w:r w:rsidRPr="00C5096D">
        <w:t>71</w:t>
      </w:r>
      <w:r w:rsidR="007314F1" w:rsidRPr="00C5096D">
        <w:fldChar w:fldCharType="end"/>
      </w:r>
      <w:r>
        <w:t xml:space="preserve">) și al art. 100 și următoarele din C. </w:t>
      </w:r>
      <w:proofErr w:type="spellStart"/>
      <w:r>
        <w:t>proc</w:t>
      </w:r>
      <w:proofErr w:type="spellEnd"/>
      <w:r>
        <w:t xml:space="preserve">. </w:t>
      </w:r>
      <w:proofErr w:type="spellStart"/>
      <w:r>
        <w:t>pen</w:t>
      </w:r>
      <w:proofErr w:type="spellEnd"/>
      <w:r>
        <w:t>. (a se vedea infra, pct. </w:t>
      </w:r>
      <w:r w:rsidR="007314F1" w:rsidRPr="00C5096D">
        <w:fldChar w:fldCharType="begin"/>
      </w:r>
      <w:r w:rsidR="007314F1" w:rsidRPr="00C5096D">
        <w:instrText xml:space="preserve">REF paragraph00068 \h \* CharFormat </w:instrText>
      </w:r>
      <w:r w:rsidR="007314F1" w:rsidRPr="00C5096D">
        <w:fldChar w:fldCharType="separate"/>
      </w:r>
      <w:r w:rsidRPr="00C5096D">
        <w:t>68</w:t>
      </w:r>
      <w:r w:rsidR="007314F1" w:rsidRPr="00C5096D">
        <w:fldChar w:fldCharType="end"/>
      </w:r>
      <w:r>
        <w:t>). Prin această încheiere, judecătorul a încuviințat efectuarea separată într-un termen de treizeci de zile a unei percheziții asupra materialului probator electronic și copierea acestuia în vederea stocării. Ulterior, la cererea procurorului, judecătorul a prelungit termenul cu încă treizeci de zile, de la 6 februarie la 7 martie 2013, pentru două computere ridicate de la sediul societății reclamante și apoi, din nou, de la 29 martie la 27 aprilie 2013.</w:t>
      </w:r>
    </w:p>
    <w:p w14:paraId="20E1C742" w14:textId="77777777" w:rsidR="00572B49" w:rsidRPr="00C5096D" w:rsidRDefault="007314F1" w:rsidP="00C5096D">
      <w:pPr>
        <w:pStyle w:val="JuPara"/>
      </w:pPr>
      <w:fldSimple w:instr=" SEQ level0 \*arabic ">
        <w:r w:rsidR="00C5096D" w:rsidRPr="00C5096D">
          <w:t>33</w:t>
        </w:r>
      </w:fldSimple>
      <w:r>
        <w:t>.  Pungile care conțineau înscrisurile și dispozitivele de stocare ridicate au fost desigilate la 4 ianuarie 2013 la DIICOT, în prezența unui angajat al societății reclamante și a unui avocat care reprezenta interesele societății reclamante, care nu au formulat obiecțiuni în cuprinsul procesului-verbal întocmit cu această ocazie.</w:t>
      </w:r>
    </w:p>
    <w:bookmarkStart w:id="26" w:name="paragraph00034"/>
    <w:p w14:paraId="10A5E860"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34</w:t>
      </w:r>
      <w:r w:rsidRPr="00C5096D">
        <w:fldChar w:fldCharType="end"/>
      </w:r>
      <w:bookmarkEnd w:id="26"/>
      <w:r>
        <w:t xml:space="preserve">.  În perioada 16-25 ianuarie 2013, în prezența unui reprezentant al societății reclamante și a avocatului acesteia, precum și a unui martor independent, datele găsite pe dispozitivele ridicate de la societatea reclamantă au fost stocate în format electronic, pe hard-diskuri externe și pe alte dispozitive de stocare, iar obiectele ridicate au fost sigilate și au rămas în posesia autorităților. Procesele-verbale în care sunt enumerate toate computerele și alte dispozitive de stocare accesate au fost semnate de toți cei prezenți, fără obiecțiuni. Perchezițiile informatice asupra acestor date au avut loc la mai multe date, între 5 martie și 29 aprilie 2013, iar înscrisurile și informațiile considerate relevante pentru anchetă au fost identificate și tipărite. Acestea au constat în mesaje e-mail schimbate între angajații societății reclamante și în diverse documente anexate la mesajele în cauză. </w:t>
      </w:r>
      <w:r>
        <w:lastRenderedPageBreak/>
        <w:t>Printre aceste înscrisuri se numărau rapoarte de evaluare a clienților și alte informații privind societățile supuse investigației, precum și documente privind un audit intern referitor la activitatea celor doi angajați care făceau obiectul anchetei penale. Pentru fiecare percheziție informatică a fost întocmit un proces-verbal în care erau menționate data și ora efectuării percheziției, precum și tipul și numărul documentelor imprimate. Copii ale acestor documente au fost anexate la procesele-verbale.</w:t>
      </w:r>
    </w:p>
    <w:bookmarkStart w:id="27" w:name="paragraph00035"/>
    <w:p w14:paraId="47D06398"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35</w:t>
      </w:r>
      <w:r w:rsidRPr="00C5096D">
        <w:fldChar w:fldCharType="end"/>
      </w:r>
      <w:bookmarkEnd w:id="27"/>
      <w:r>
        <w:t xml:space="preserve">.  La 25 februarie 2013, doi dintre inculpați (care nu erau angajați ai societății reclamante) au solicitat restituirea computerelor și a telefoanelor mobile ridicate de la domiciliul lor, în temeiul art. 109 alin. (4) din C. </w:t>
      </w:r>
      <w:proofErr w:type="spellStart"/>
      <w:r>
        <w:t>proc</w:t>
      </w:r>
      <w:proofErr w:type="spellEnd"/>
      <w:r>
        <w:t xml:space="preserve">. </w:t>
      </w:r>
      <w:proofErr w:type="spellStart"/>
      <w:r>
        <w:t>pen</w:t>
      </w:r>
      <w:proofErr w:type="spellEnd"/>
      <w:r>
        <w:t>. (a se vedea infra, pct. </w:t>
      </w:r>
      <w:r w:rsidRPr="00C5096D">
        <w:fldChar w:fldCharType="begin"/>
      </w:r>
      <w:r w:rsidRPr="00C5096D">
        <w:instrText xml:space="preserve">REF paragraph00068 \h \* CharFormat </w:instrText>
      </w:r>
      <w:r w:rsidRPr="00C5096D">
        <w:fldChar w:fldCharType="separate"/>
      </w:r>
      <w:r w:rsidR="00C5096D" w:rsidRPr="00C5096D">
        <w:t>68</w:t>
      </w:r>
      <w:r w:rsidRPr="00C5096D">
        <w:fldChar w:fldCharType="end"/>
      </w:r>
      <w:r>
        <w:t>). Cererea acestora a fost admisă de procuror la 7 martie 2013.</w:t>
      </w:r>
    </w:p>
    <w:bookmarkStart w:id="28" w:name="paragraph00036"/>
    <w:p w14:paraId="2089AB51"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36</w:t>
      </w:r>
      <w:r w:rsidRPr="00C5096D">
        <w:fldChar w:fldCharType="end"/>
      </w:r>
      <w:bookmarkEnd w:id="28"/>
      <w:r>
        <w:t xml:space="preserve">.  La 19 martie 2013, două </w:t>
      </w:r>
      <w:proofErr w:type="spellStart"/>
      <w:r>
        <w:t>videorecordere</w:t>
      </w:r>
      <w:proofErr w:type="spellEnd"/>
      <w:r>
        <w:t xml:space="preserve"> digitale au fost restituite unui reprezentant al societății reclamante, în temeiul art. 109 alin. (4) din C. </w:t>
      </w:r>
      <w:proofErr w:type="spellStart"/>
      <w:r>
        <w:t>proc</w:t>
      </w:r>
      <w:proofErr w:type="spellEnd"/>
      <w:r>
        <w:t xml:space="preserve">. </w:t>
      </w:r>
      <w:proofErr w:type="spellStart"/>
      <w:r>
        <w:t>pen</w:t>
      </w:r>
      <w:proofErr w:type="spellEnd"/>
      <w:r>
        <w:t>., fără hard-diskurile acestora.</w:t>
      </w:r>
    </w:p>
    <w:bookmarkStart w:id="29" w:name="paragraph00037"/>
    <w:p w14:paraId="5C7E07E2"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37</w:t>
      </w:r>
      <w:r w:rsidRPr="00C5096D">
        <w:fldChar w:fldCharType="end"/>
      </w:r>
      <w:bookmarkEnd w:id="29"/>
      <w:r>
        <w:t>.  La 3 octombrie 2013, urmărirea penală a luat sfârșit, iar inculpații, inclusiv angajații societății reclamante, au fost trimiși în judecată. La data ultimelor informații puse la dispoziția Curții (septembrie 2024), procesul se afla în curs de judecată, pe rolul Curții de Apel București.</w:t>
      </w:r>
    </w:p>
    <w:p w14:paraId="6A01518D" w14:textId="77777777" w:rsidR="00572B49" w:rsidRPr="00C5096D" w:rsidRDefault="007314F1" w:rsidP="00C5096D">
      <w:pPr>
        <w:pStyle w:val="JuHA"/>
        <w:ind w:left="584" w:hanging="352"/>
      </w:pPr>
      <w:r>
        <w:t>Dosarul nr. 2352/D/P/2013</w:t>
      </w:r>
    </w:p>
    <w:bookmarkStart w:id="30" w:name="paragraph00038"/>
    <w:p w14:paraId="4FA27001"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38</w:t>
      </w:r>
      <w:r w:rsidRPr="00C5096D">
        <w:fldChar w:fldCharType="end"/>
      </w:r>
      <w:bookmarkEnd w:id="30"/>
      <w:r>
        <w:t>.  La sfârșitul anului 2012, DIICOT a inițiat o a doua anchetă (denumită în continuare „al doilea dosar penal”) cu privire la mai multe persoane, inclusiv angajați ai societății reclamante (alții decât cei anchetați în cauza din dosarul nr. 102/D/P/2012), cu privire la suspiciunea de asociere în scopul săvârșirii infracțiunilor de înșelăciune și fals în înscrisuri sub semnătură privată, prin facilitarea ilegală a aprobării unor credite neperformante.</w:t>
      </w:r>
    </w:p>
    <w:bookmarkStart w:id="31" w:name="paragraph00039"/>
    <w:p w14:paraId="25AFB1C7"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39</w:t>
      </w:r>
      <w:r w:rsidRPr="00C5096D">
        <w:fldChar w:fldCharType="end"/>
      </w:r>
      <w:bookmarkEnd w:id="31"/>
      <w:r>
        <w:t xml:space="preserve">.  La 9 ianuarie 2014, procurorul de caz a dispus, în temeiul art. 96-99 C. </w:t>
      </w:r>
      <w:proofErr w:type="spellStart"/>
      <w:r>
        <w:t>proc</w:t>
      </w:r>
      <w:proofErr w:type="spellEnd"/>
      <w:r>
        <w:t xml:space="preserve">. </w:t>
      </w:r>
      <w:proofErr w:type="spellStart"/>
      <w:r>
        <w:t>pen</w:t>
      </w:r>
      <w:proofErr w:type="spellEnd"/>
      <w:r>
        <w:t>. (a se vedea infra, pct. </w:t>
      </w:r>
      <w:r w:rsidRPr="00C5096D">
        <w:fldChar w:fldCharType="begin"/>
      </w:r>
      <w:r w:rsidRPr="00C5096D">
        <w:instrText xml:space="preserve">REF paragraph00068 \h \* CharFormat </w:instrText>
      </w:r>
      <w:r w:rsidRPr="00C5096D">
        <w:fldChar w:fldCharType="separate"/>
      </w:r>
      <w:r w:rsidR="00C5096D" w:rsidRPr="00C5096D">
        <w:t>68</w:t>
      </w:r>
      <w:r w:rsidRPr="00C5096D">
        <w:fldChar w:fldCharType="end"/>
      </w:r>
      <w:r>
        <w:t>), ridicarea computerelor utilizate în activitatea lor de suspectul L.A. și de martorul B.C.R., ambii angajați ai societății reclamante. Procurorul a considerat că cele două computere ar fi putut fi utilizate ca mijloace de probă, întrucât ar fi putut conține informații necesare pentru investigație.</w:t>
      </w:r>
    </w:p>
    <w:bookmarkStart w:id="32" w:name="paragraph00040"/>
    <w:p w14:paraId="6043E9D8"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40</w:t>
      </w:r>
      <w:r w:rsidRPr="00C5096D">
        <w:fldChar w:fldCharType="end"/>
      </w:r>
      <w:bookmarkEnd w:id="32"/>
      <w:r>
        <w:t xml:space="preserve">.  În executarea ordonanței de mai sus, la 13 ianuarie 2014 au fost ridicate două computere de la sediul societății reclamante, din birourile angajaților sus-menționați, în prezența reprezentantului societății reclamante, a lui L.A. și B.C.R. și a unui martor independent. Procesul-verbal întocmit cu acea ocazie de agenții de poliție care au efectuat operațiunea cuprindea următoarele obiecțiuni formulate de reprezentantul societății reclamante: faptul că nu i s-a permis să facă o copie a ordonanței procurorului din 9 ianuarie 2014; faptul că nu a existat nicio cerere prealabilă de predare a computerelor ca probe și, prin urmare, ridicarea lor a fost, în fapt, o percheziție pentru care ar fi trebuit să se obțină o autorizare judiciară; faptul </w:t>
      </w:r>
      <w:r>
        <w:lastRenderedPageBreak/>
        <w:t>că unul dintre computerele ridicate aparținea unui director comercial al biroului central și conținea informații confidențiale privind clienții, precum și strategii comerciale care erau protejate de secretul bancar și care nu erau necesare pentru investigație; faptul că ordonanța din 9 ianuarie 2014 nu menționa motive legate de necesitatea și justificarea măsurii, în condițiile în care aceasta fusese dispusă la mai mult de un an de la începerea cercetărilor, iar societatea reclamantă cooperase în mod constant cu procurorul și furnizase toate documentele și informațiile necesare.</w:t>
      </w:r>
    </w:p>
    <w:bookmarkStart w:id="33" w:name="paragraph00041"/>
    <w:p w14:paraId="286EF968"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41</w:t>
      </w:r>
      <w:r w:rsidRPr="00C5096D">
        <w:fldChar w:fldCharType="end"/>
      </w:r>
      <w:bookmarkEnd w:id="33"/>
      <w:r>
        <w:t>.  La 16 ianuarie 2014, la DIICOT a fost depusă de către societatea reclamantă o plângere împotriva ordonanței procurorului din 9 ianuarie 2014. Societatea reclamantă a reiterat obiecțiunile pe care le formulase cu ocazia ridicării de obiecte, astfel cum figurau în procesul-verbal întocmit de autorități cu această ocazie (a se vedea supra, pct. </w:t>
      </w:r>
      <w:r w:rsidRPr="00C5096D">
        <w:fldChar w:fldCharType="begin"/>
      </w:r>
      <w:r w:rsidRPr="00C5096D">
        <w:instrText xml:space="preserve">REF paragraph00040 \h \* CharFormat </w:instrText>
      </w:r>
      <w:r w:rsidRPr="00C5096D">
        <w:fldChar w:fldCharType="separate"/>
      </w:r>
      <w:r w:rsidR="00C5096D" w:rsidRPr="00C5096D">
        <w:t>40</w:t>
      </w:r>
      <w:r w:rsidRPr="00C5096D">
        <w:fldChar w:fldCharType="end"/>
      </w:r>
      <w:r>
        <w:t>). În plus, aceasta a mai susținut că percheziția informatică nu era prevăzută de lege pentru infracțiunile care făceau obiectul cercetărilor în speță. Mai precis, Legea nr. 161/2003 (a se vedea infra, pct. </w:t>
      </w:r>
      <w:r w:rsidRPr="00C5096D">
        <w:fldChar w:fldCharType="begin"/>
      </w:r>
      <w:r w:rsidRPr="00C5096D">
        <w:instrText xml:space="preserve">REF paragraph00071 \h \* CharFormat </w:instrText>
      </w:r>
      <w:r w:rsidRPr="00C5096D">
        <w:fldChar w:fldCharType="separate"/>
      </w:r>
      <w:r w:rsidR="00C5096D" w:rsidRPr="00C5096D">
        <w:t>71</w:t>
      </w:r>
      <w:r w:rsidRPr="00C5096D">
        <w:fldChar w:fldCharType="end"/>
      </w:r>
      <w:r>
        <w:t>) permitea astfel de percheziții doar în cazul infracțiunilor săvârșite prin intermediul sistemelor informatice. În plus, legea respectivă nu conținea nicio dispoziție privind prevenirea abuzurilor, întrucât nu existau dispoziții referitoare la acțiunile întreprinse ulterior ridicării de obiecte și înscrisuri, cum ar fi condițiile în care datele în cauză urmau să fie accesate, copiate și protejate și de către cine, precum și dacă acestea urmau să fie distruse. Societatea reclamantă s-a plâns, de asemenea, de lipsa unei autorizări judiciare pentru ridicare, care a dus la lipsa unui control judecătoresc al legalității și necesității măsurii în litigiu. Aceasta a susținut că ridicarea dispozitivelor informatice făcea parte din percheziția informatică și, prin urmare, ar fi trebuit să facă obiectul unei autorizări judiciare, împreună cu această percheziție. A susținut, de asemenea, că măsura a fost disproporționată și susceptibilă să cauzeze prejudicii considerabile, deoarece a dus la accesarea și stocarea mai multor informații decât a fost efectiv necesar. În sfârșit, societatea reclamantă a solicitat să fie convocată la momentul formulării cererii de autorizare judiciară pentru efectuarea percheziției asupra computerelor ridicate și să i se permită să fie prezentă pe parcursul tuturor etapelor percheziției, inclusiv pentru ștergerea informațiilor care nu erau necesare de pe dispozitivele aparținând autorităților.</w:t>
      </w:r>
    </w:p>
    <w:bookmarkStart w:id="34" w:name="paragraph00042"/>
    <w:p w14:paraId="4462E0E0"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42</w:t>
      </w:r>
      <w:r w:rsidRPr="00C5096D">
        <w:fldChar w:fldCharType="end"/>
      </w:r>
      <w:bookmarkEnd w:id="34"/>
      <w:r>
        <w:t xml:space="preserve">.  La 20 ianuarie 2014, plângerea societății reclamante a fost examinată pe fond și respinsă, în temeiul art. 275-278 C. </w:t>
      </w:r>
      <w:proofErr w:type="spellStart"/>
      <w:r>
        <w:t>proc</w:t>
      </w:r>
      <w:proofErr w:type="spellEnd"/>
      <w:r>
        <w:t xml:space="preserve">. </w:t>
      </w:r>
      <w:proofErr w:type="spellStart"/>
      <w:r>
        <w:t>pen</w:t>
      </w:r>
      <w:proofErr w:type="spellEnd"/>
      <w:r>
        <w:t>. (a se vedea infra, pct. </w:t>
      </w:r>
      <w:r w:rsidRPr="00C5096D">
        <w:fldChar w:fldCharType="begin"/>
      </w:r>
      <w:r w:rsidRPr="00C5096D">
        <w:instrText xml:space="preserve">REF paragraph00070 \h \* CharFormat </w:instrText>
      </w:r>
      <w:r w:rsidRPr="00C5096D">
        <w:fldChar w:fldCharType="separate"/>
      </w:r>
      <w:r w:rsidR="00C5096D" w:rsidRPr="00C5096D">
        <w:t>70</w:t>
      </w:r>
      <w:r w:rsidRPr="00C5096D">
        <w:fldChar w:fldCharType="end"/>
      </w:r>
      <w:r>
        <w:t>) și al art. 64 alin. (3) din Legea nr. 304/2004 (a se vedea infra, pct. </w:t>
      </w:r>
      <w:r w:rsidRPr="00C5096D">
        <w:fldChar w:fldCharType="begin"/>
      </w:r>
      <w:r w:rsidRPr="00C5096D">
        <w:instrText xml:space="preserve">REF paragraph00072 \h \* CharFormat </w:instrText>
      </w:r>
      <w:r w:rsidRPr="00C5096D">
        <w:fldChar w:fldCharType="separate"/>
      </w:r>
      <w:r w:rsidR="00C5096D" w:rsidRPr="00C5096D">
        <w:t>72</w:t>
      </w:r>
      <w:r w:rsidRPr="00C5096D">
        <w:fldChar w:fldCharType="end"/>
      </w:r>
      <w:r>
        <w:t>), de către procurorul ierarhic superior din cadrul DIICOT. După ce a examinat toate demersurile întreprinse în cadrul anchetei și modul în care a fost efectuată ridicarea de obiecte, procurorul a considerat că decizia din 9 ianuarie 2014 (a se vedea supra, pct. </w:t>
      </w:r>
      <w:r w:rsidRPr="00C5096D">
        <w:fldChar w:fldCharType="begin"/>
      </w:r>
      <w:r w:rsidRPr="00C5096D">
        <w:instrText xml:space="preserve">REF paragraph00039 \h \* CharFormat </w:instrText>
      </w:r>
      <w:r w:rsidRPr="00C5096D">
        <w:fldChar w:fldCharType="separate"/>
      </w:r>
      <w:r w:rsidR="00C5096D" w:rsidRPr="00C5096D">
        <w:t>39</w:t>
      </w:r>
      <w:r w:rsidRPr="00C5096D">
        <w:fldChar w:fldCharType="end"/>
      </w:r>
      <w:r>
        <w:t xml:space="preserve">) a fost legală. Ridicarea a fost justificată de natura infracțiunilor care făceau obiectul anchetei și de necesitatea de a examina datele stocate pe computerele utilizate de unul dintre </w:t>
      </w:r>
      <w:r>
        <w:lastRenderedPageBreak/>
        <w:t>suspecți și de un martor, în vederea descoperirii unor probe care să contribuie la stabilirea adevărului în cauză. Ridicarea a fost efectuată de agenți de poliție cărora li s-a încredințat în mod legal această sarcină, printr-o ordonanță a procurorului, în prezența lui L.A., a lui B.C.R. și a unui reprezentant legal al societății reclamante, care a avut posibilitatea de a formula obiecțiuni și s-a prevalat de aceasta (a se vedea supra, pct. </w:t>
      </w:r>
      <w:r w:rsidRPr="00C5096D">
        <w:fldChar w:fldCharType="begin"/>
      </w:r>
      <w:r w:rsidRPr="00C5096D">
        <w:instrText xml:space="preserve">REF paragraph00040 \h \* CharFormat </w:instrText>
      </w:r>
      <w:r w:rsidRPr="00C5096D">
        <w:fldChar w:fldCharType="separate"/>
      </w:r>
      <w:r w:rsidR="00C5096D" w:rsidRPr="00C5096D">
        <w:t>40</w:t>
      </w:r>
      <w:r w:rsidRPr="00C5096D">
        <w:fldChar w:fldCharType="end"/>
      </w:r>
      <w:r>
        <w:t xml:space="preserve">). Prin urmare, procurorul a considerat că percheziția a fost dispusă și efectuată cu respectarea dispozițiilor legale relevante ale art. 96-99 C. </w:t>
      </w:r>
      <w:proofErr w:type="spellStart"/>
      <w:r>
        <w:t>proc</w:t>
      </w:r>
      <w:proofErr w:type="spellEnd"/>
      <w:r>
        <w:t xml:space="preserve">. </w:t>
      </w:r>
      <w:proofErr w:type="spellStart"/>
      <w:r>
        <w:t>pen</w:t>
      </w:r>
      <w:proofErr w:type="spellEnd"/>
      <w:r>
        <w:t>. (a se vedea infra, pct. </w:t>
      </w:r>
      <w:r w:rsidRPr="00C5096D">
        <w:fldChar w:fldCharType="begin"/>
      </w:r>
      <w:r w:rsidRPr="00C5096D">
        <w:instrText xml:space="preserve">REF paragraph00068 \h \* CharFormat </w:instrText>
      </w:r>
      <w:r w:rsidRPr="00C5096D">
        <w:fldChar w:fldCharType="separate"/>
      </w:r>
      <w:r w:rsidR="00C5096D" w:rsidRPr="00C5096D">
        <w:t>68</w:t>
      </w:r>
      <w:r w:rsidRPr="00C5096D">
        <w:fldChar w:fldCharType="end"/>
      </w:r>
      <w:r>
        <w:t>). Procurorul a argumentat, de asemenea, că existau garanții suplimentare, astfel încât, în cazul în care s-ar fi dovedit necesar, percheziția informatică a datelor stocate pe computere ar fi fost efectuată doar în urma unei autorizări judiciare prealabile și în prezența persoanelor de la care au fost ridicate cele două calculatoare. Procesul-verbal întocmit la finalul unei astfel de percheziții urma să fie inclus în dosarul de urmărire penală, cu respectarea normelor procedurale.</w:t>
      </w:r>
    </w:p>
    <w:bookmarkStart w:id="35" w:name="paragraph00043"/>
    <w:p w14:paraId="2059BFE7"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43</w:t>
      </w:r>
      <w:r w:rsidRPr="00C5096D">
        <w:fldChar w:fldCharType="end"/>
      </w:r>
      <w:bookmarkEnd w:id="35"/>
      <w:r>
        <w:t xml:space="preserve">.  Printr-o încheiere din 20 ianuarie 2014, în temeiul art. 100 și următoarele C. </w:t>
      </w:r>
      <w:proofErr w:type="spellStart"/>
      <w:r>
        <w:t>proc</w:t>
      </w:r>
      <w:proofErr w:type="spellEnd"/>
      <w:r>
        <w:t xml:space="preserve">. </w:t>
      </w:r>
      <w:proofErr w:type="spellStart"/>
      <w:r>
        <w:t>pen</w:t>
      </w:r>
      <w:proofErr w:type="spellEnd"/>
      <w:r>
        <w:t>. (a se vedea infra, pct. </w:t>
      </w:r>
      <w:r w:rsidRPr="00C5096D">
        <w:fldChar w:fldCharType="begin"/>
      </w:r>
      <w:r w:rsidRPr="00C5096D">
        <w:instrText xml:space="preserve">REF paragraph00068 \h \* CharFormat </w:instrText>
      </w:r>
      <w:r w:rsidRPr="00C5096D">
        <w:fldChar w:fldCharType="separate"/>
      </w:r>
      <w:r w:rsidR="00C5096D" w:rsidRPr="00C5096D">
        <w:t>68</w:t>
      </w:r>
      <w:r w:rsidRPr="00C5096D">
        <w:fldChar w:fldCharType="end"/>
      </w:r>
      <w:r>
        <w:t>) și al art. 56 alin. (1) și (2) din Legea nr. 161/2003 (a se vedea infra, pct. </w:t>
      </w:r>
      <w:r w:rsidRPr="00C5096D">
        <w:fldChar w:fldCharType="begin"/>
      </w:r>
      <w:r w:rsidRPr="00C5096D">
        <w:instrText xml:space="preserve">REF paragraph00071 \h \* CharFormat </w:instrText>
      </w:r>
      <w:r w:rsidRPr="00C5096D">
        <w:fldChar w:fldCharType="separate"/>
      </w:r>
      <w:r w:rsidR="00C5096D" w:rsidRPr="00C5096D">
        <w:t>71</w:t>
      </w:r>
      <w:r w:rsidRPr="00C5096D">
        <w:fldChar w:fldCharType="end"/>
      </w:r>
      <w:r>
        <w:t>), un judecător din cadrul Tribunalului București a admis cererea procurorului de a efectua o percheziție asupra materialului probator electronic stocat pe cele două computere. Potrivit cererii procurorului, societatea reclamantă a fost informată cu privire la anchetă în noiembrie 2012 și i s-a solicitat să furnizeze copii ale corespondenței electronice purtate între cei doi angajați vizați de anchetă. Cu toate acestea, societatea reclamantă a informat procurorul că respectiva corespondență electronică dintre cei doi angajați nu era salvată pe server și, prin urmare, copii ale anumitor schimburi de mesaje dintre aceștia puteau fi prezentate doar de înșiși angajații respectivi. Așadar, procurorul a solicitat încuviințarea percheziției celor două computere, pentru a găsi un anumit e-mail, trimis la o anumită dată, care urma să clarifice circumstanțele în care L.A. i-a solicitat B.C.R. să examineze o cerere de credit. În baza încheierii sus-menționate, judecătorul a dispus efectuarea a două percheziții separate, câte una pentru fiecărui computer, ambele într-un termen de 20 de zile începând cu 20 ianuarie 2014.</w:t>
      </w:r>
    </w:p>
    <w:bookmarkStart w:id="36" w:name="paragraph00044"/>
    <w:p w14:paraId="2E23C22F"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44</w:t>
      </w:r>
      <w:r w:rsidRPr="00C5096D">
        <w:fldChar w:fldCharType="end"/>
      </w:r>
      <w:bookmarkEnd w:id="36"/>
      <w:r>
        <w:t xml:space="preserve">.  Perchezițiile au avut loc la 27 ianuarie 2014, separat pentru fiecare computer, în prezența suspectului L.A., a avocatului acestuia și a unui martor independent, în cazul primului computer, și în prezența martorului B.C.R. și a unui martor independent, în cazul celui de-al doilea computer. Potrivit proceselor-verbale de percheziție, care au fost semnate de toate părțile fără obiecțiuni, computerul utilizat de L.A. era criptat și nu putea fi accesat, astfel încât a fost pus într-o pungă sigilată și a rămas în posesia autorităților. Computerul folosit de B.C.R. a fost accesat și unul dintre e-mailurile schimbate între aceasta și L.A. s-a dovedit a fi util în scopul soluționării cauzei. Prin urmare, acesta a fost imprimat și, de asemenea, stocat pe un dispozitiv de stocare, împreună cu datele tehnice ale hard-diskului (cum ar fi </w:t>
      </w:r>
      <w:r>
        <w:lastRenderedPageBreak/>
        <w:t>numărul, tipul și capacitatea partițiilor, componentele hardware, precum și data și ora ultimei opriri). La finalul percheziției, acest computer a fost, de asemenea, plasat într-o pungă sigilată și a rămas în posesia autorităților.</w:t>
      </w:r>
    </w:p>
    <w:bookmarkStart w:id="37" w:name="paragraph00045"/>
    <w:p w14:paraId="2CDD4092"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45</w:t>
      </w:r>
      <w:r w:rsidRPr="00C5096D">
        <w:fldChar w:fldCharType="end"/>
      </w:r>
      <w:bookmarkEnd w:id="37"/>
      <w:r>
        <w:t>.  La 10 martie 2014, cele două computere au fost restituite lui L.A. și B.C.R. la solicitarea acestora, în prezența reprezentantului legal al societății reclamante.</w:t>
      </w:r>
    </w:p>
    <w:bookmarkStart w:id="38" w:name="paragraph00046"/>
    <w:p w14:paraId="3F02DD0F"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46</w:t>
      </w:r>
      <w:r w:rsidRPr="00C5096D">
        <w:fldChar w:fldCharType="end"/>
      </w:r>
      <w:bookmarkEnd w:id="38"/>
      <w:r>
        <w:t>.  La data ultimelor informații puse la dispoziția Curții, ancheta era încă în curs de desfășurare.</w:t>
      </w:r>
    </w:p>
    <w:p w14:paraId="6BE74EE1" w14:textId="77777777" w:rsidR="00572B49" w:rsidRPr="00C5096D" w:rsidRDefault="007314F1" w:rsidP="00C5096D">
      <w:pPr>
        <w:pStyle w:val="JuHHead"/>
      </w:pPr>
      <w:r>
        <w:t>CADRUL JURIDIC ȘI PRACTICA RELEVANTE</w:t>
      </w:r>
    </w:p>
    <w:p w14:paraId="23CA040D" w14:textId="77777777" w:rsidR="00572B49" w:rsidRPr="00C5096D" w:rsidRDefault="007314F1" w:rsidP="00C5096D">
      <w:pPr>
        <w:pStyle w:val="JuHIRoman"/>
        <w:ind w:left="357" w:hanging="357"/>
      </w:pPr>
      <w:r>
        <w:rPr>
          <w:caps w:val="0"/>
        </w:rPr>
        <w:t>DREPTUL ȘI PRACTICA INTERNE ÎN MATERIE DE CONCURENȚĂ ȘI SERVICII BANCARE</w:t>
      </w:r>
    </w:p>
    <w:bookmarkStart w:id="39" w:name="paragraph00047"/>
    <w:p w14:paraId="180A395F"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47</w:t>
      </w:r>
      <w:r w:rsidRPr="00C5096D">
        <w:fldChar w:fldCharType="end"/>
      </w:r>
      <w:bookmarkEnd w:id="39"/>
      <w:r>
        <w:t>.  Părțile relevante din Legea nr. 21/1996 privind concurența („Legea concurenței”), în versiunea în vigoare la momentul faptelor, se citesc astfel:</w:t>
      </w:r>
    </w:p>
    <w:p w14:paraId="5B47B266" w14:textId="77777777" w:rsidR="00572B49" w:rsidRPr="00C5096D" w:rsidRDefault="007314F1" w:rsidP="00C5096D">
      <w:pPr>
        <w:pStyle w:val="JuHArticle"/>
      </w:pPr>
      <w:r>
        <w:t>Articolul 2 alineatul (4)</w:t>
      </w:r>
    </w:p>
    <w:p w14:paraId="6893D86E" w14:textId="77777777" w:rsidR="00572B49" w:rsidRPr="00C5096D" w:rsidRDefault="007314F1" w:rsidP="00C5096D">
      <w:pPr>
        <w:pStyle w:val="JuQuot"/>
      </w:pPr>
      <w:r>
        <w:t>„Prezenta lege nu se aplică:</w:t>
      </w:r>
    </w:p>
    <w:p w14:paraId="0AE2EAF3" w14:textId="77777777" w:rsidR="00572B49" w:rsidRPr="00C5096D" w:rsidRDefault="007314F1" w:rsidP="00C5096D">
      <w:pPr>
        <w:pStyle w:val="JuQuot"/>
      </w:pPr>
      <w:r>
        <w:t>[...]</w:t>
      </w:r>
    </w:p>
    <w:p w14:paraId="3E5C30D6" w14:textId="77777777" w:rsidR="00572B49" w:rsidRPr="00C5096D" w:rsidRDefault="007314F1" w:rsidP="00C5096D">
      <w:pPr>
        <w:pStyle w:val="JuQuot"/>
      </w:pPr>
      <w:r>
        <w:t>b)  pieței monetare și pieței titlurilor de valoare, în măsura în care libera concurență pe aceste piețe face obiectul unor reglementări speciale.”</w:t>
      </w:r>
    </w:p>
    <w:p w14:paraId="71CA634C" w14:textId="77777777" w:rsidR="00572B49" w:rsidRPr="00C5096D" w:rsidRDefault="007314F1" w:rsidP="00C5096D">
      <w:pPr>
        <w:pStyle w:val="JuHArticle"/>
      </w:pPr>
      <w:r>
        <w:t>Articolul 5 alineatul (1)</w:t>
      </w:r>
    </w:p>
    <w:p w14:paraId="7C50477A" w14:textId="77777777" w:rsidR="00572B49" w:rsidRPr="00C5096D" w:rsidRDefault="007314F1" w:rsidP="00C5096D">
      <w:pPr>
        <w:pStyle w:val="JuQuot"/>
      </w:pPr>
      <w:r>
        <w:t>„Sunt interzise orice înțelegeri exprese sau tacite între agenții economici ori asociațiile de agenți economici [...] care au ca obiect sau au ca efect restrângerea, împiedicarea ori denaturarea concurenței pe piața românească sau pe o parte a acesteia, [...] ”</w:t>
      </w:r>
    </w:p>
    <w:p w14:paraId="2ED310AD" w14:textId="77777777" w:rsidR="00572B49" w:rsidRPr="00C5096D" w:rsidRDefault="007314F1" w:rsidP="00C5096D">
      <w:pPr>
        <w:pStyle w:val="JuHArticle"/>
      </w:pPr>
      <w:r>
        <w:t>Articolul 26</w:t>
      </w:r>
    </w:p>
    <w:p w14:paraId="72339257" w14:textId="77777777" w:rsidR="00572B49" w:rsidRPr="00C5096D" w:rsidRDefault="007314F1" w:rsidP="00C5096D">
      <w:pPr>
        <w:pStyle w:val="JuQuot"/>
      </w:pPr>
      <w:r>
        <w:t>„Consiliul Concurenței are următoarele atribuții:</w:t>
      </w:r>
    </w:p>
    <w:p w14:paraId="3F81F71C" w14:textId="77777777" w:rsidR="00572B49" w:rsidRPr="00C5096D" w:rsidRDefault="007314F1" w:rsidP="00C5096D">
      <w:pPr>
        <w:pStyle w:val="JuQuot"/>
      </w:pPr>
      <w:r>
        <w:t>[...]</w:t>
      </w:r>
    </w:p>
    <w:p w14:paraId="77F1CF66" w14:textId="77777777" w:rsidR="00572B49" w:rsidRPr="00C5096D" w:rsidRDefault="007314F1" w:rsidP="00C5096D">
      <w:pPr>
        <w:pStyle w:val="JuQuot"/>
      </w:pPr>
      <w:r>
        <w:t>b)  ia deciziile prevăzute de prezenta lege pentru cazurile de încălcare a dispozițiilor art. 5, 6, 9, 12 și 15, constatate în urma investigațiilor efectuate de către inspectorii de concurență, în baza prevederilor legii și abilitării cu puteri de inspecție prin ordin al președintelui; o copie a acestui ordin va fi înmânată de inspectorii de concurență abilitați agentului economic sau asociației de agenți economici supuși investigației; [...]”</w:t>
      </w:r>
    </w:p>
    <w:p w14:paraId="12AE8148" w14:textId="77777777" w:rsidR="00572B49" w:rsidRPr="00C5096D" w:rsidRDefault="007314F1" w:rsidP="00C5096D">
      <w:pPr>
        <w:pStyle w:val="JuHArticle"/>
      </w:pPr>
      <w:r>
        <w:t>Articolul 27 alineatul (4)</w:t>
      </w:r>
    </w:p>
    <w:p w14:paraId="4BA25922" w14:textId="77777777" w:rsidR="00572B49" w:rsidRPr="00C5096D" w:rsidRDefault="007314F1" w:rsidP="00C5096D">
      <w:pPr>
        <w:pStyle w:val="JuQuot"/>
      </w:pPr>
      <w:r>
        <w:t>„Consiliul Concurenței [...] dispune efectuarea de investigații [și] ordonă inspecții și măsurile de luat în privința agenților economici.”</w:t>
      </w:r>
    </w:p>
    <w:p w14:paraId="2E424D1C" w14:textId="77777777" w:rsidR="00572B49" w:rsidRPr="00C5096D" w:rsidRDefault="007314F1" w:rsidP="00C5096D">
      <w:pPr>
        <w:pStyle w:val="JuHArticle"/>
      </w:pPr>
      <w:r>
        <w:t>Articolul 34</w:t>
      </w:r>
    </w:p>
    <w:p w14:paraId="40950A42" w14:textId="77777777" w:rsidR="00572B49" w:rsidRPr="00C5096D" w:rsidRDefault="007314F1" w:rsidP="00C5096D">
      <w:pPr>
        <w:pStyle w:val="JuQuot"/>
      </w:pPr>
      <w:r>
        <w:t>„Consiliul Concurenței dispune efectuarea de investigații [...]:</w:t>
      </w:r>
    </w:p>
    <w:p w14:paraId="30B74CB6" w14:textId="77777777" w:rsidR="00572B49" w:rsidRPr="00C5096D" w:rsidRDefault="007314F1" w:rsidP="00C5096D">
      <w:pPr>
        <w:pStyle w:val="JuQuot"/>
      </w:pPr>
      <w:r>
        <w:t>a) din oficiu;</w:t>
      </w:r>
    </w:p>
    <w:p w14:paraId="0306A794" w14:textId="77777777" w:rsidR="00572B49" w:rsidRPr="00C5096D" w:rsidRDefault="007314F1" w:rsidP="00C5096D">
      <w:pPr>
        <w:pStyle w:val="JuQuot"/>
      </w:pPr>
      <w:r>
        <w:lastRenderedPageBreak/>
        <w:t>[...]”</w:t>
      </w:r>
    </w:p>
    <w:p w14:paraId="31579ADB" w14:textId="77777777" w:rsidR="00572B49" w:rsidRPr="00C5096D" w:rsidRDefault="007314F1" w:rsidP="00C5096D">
      <w:pPr>
        <w:pStyle w:val="JuHArticle"/>
      </w:pPr>
      <w:r>
        <w:t>Articolul 35</w:t>
      </w:r>
    </w:p>
    <w:p w14:paraId="08DC7EFC" w14:textId="77777777" w:rsidR="00572B49" w:rsidRPr="00C5096D" w:rsidRDefault="007314F1" w:rsidP="00C5096D">
      <w:pPr>
        <w:pStyle w:val="JuQuot"/>
      </w:pPr>
      <w:r>
        <w:t>„În realizarea investigațiilor, precum și a atribuțiilor conferite în baza prezentei legi, inspectorii de concurență pot solicita agenților economici sau asociațiilor de agenți economici informațiile și documentele care le sunt necesare, menționând baza legală și scopul solicitării, și pot stabili termene până la care aceste informații și documente să le fie furnizate, sub sancțiunea prevăzută în prezenta lege.”</w:t>
      </w:r>
    </w:p>
    <w:p w14:paraId="0E002F3D" w14:textId="77777777" w:rsidR="00572B49" w:rsidRPr="00C5096D" w:rsidRDefault="007314F1" w:rsidP="00C5096D">
      <w:pPr>
        <w:pStyle w:val="JuHArticle"/>
      </w:pPr>
      <w:r>
        <w:t>Articolul 36</w:t>
      </w:r>
    </w:p>
    <w:p w14:paraId="3820F8A6" w14:textId="77777777" w:rsidR="00572B49" w:rsidRPr="00C5096D" w:rsidRDefault="007314F1" w:rsidP="00C5096D">
      <w:pPr>
        <w:pStyle w:val="JuQuot"/>
      </w:pPr>
      <w:r>
        <w:t>„(1)  Pentru investigarea încălcării prevederilor prezentei legi, inspectorii de concurență sunt abilitați cu puteri de inspecție, cu excepția debutanților, și au următoarele puteri de inspecție:</w:t>
      </w:r>
    </w:p>
    <w:p w14:paraId="63EFC8B3" w14:textId="77777777" w:rsidR="00572B49" w:rsidRPr="00C5096D" w:rsidRDefault="007314F1" w:rsidP="00C5096D">
      <w:pPr>
        <w:pStyle w:val="JuQuot"/>
      </w:pPr>
      <w:r>
        <w:t>a)  să intre în spațiile, terenurile sau mijloacele de transport pe care agenții economici ori asociațiile de agenți economici le dețin legal;</w:t>
      </w:r>
    </w:p>
    <w:p w14:paraId="00F3776A" w14:textId="77777777" w:rsidR="00572B49" w:rsidRPr="00C5096D" w:rsidRDefault="007314F1" w:rsidP="00C5096D">
      <w:pPr>
        <w:pStyle w:val="JuQuot"/>
      </w:pPr>
      <w:r>
        <w:t>b)  să examineze orice documente, registre, acte financiar-contabile și comerciale sau alte evidențe legate de activitatea agenților economici sau asociațiilor de agenți economici, indiferent de locul în care sunt depozitate;</w:t>
      </w:r>
    </w:p>
    <w:p w14:paraId="1738BEB4" w14:textId="77777777" w:rsidR="00572B49" w:rsidRPr="00C5096D" w:rsidRDefault="007314F1" w:rsidP="00C5096D">
      <w:pPr>
        <w:pStyle w:val="JuQuot"/>
      </w:pPr>
      <w:r>
        <w:t>c)  să ia declarații reprezentanților și angajaților agentului economic sau asociației de agenți economici referitoare la fapte sau documente considerate relevante;</w:t>
      </w:r>
    </w:p>
    <w:p w14:paraId="76F8C4C6" w14:textId="77777777" w:rsidR="00572B49" w:rsidRPr="00C5096D" w:rsidRDefault="007314F1" w:rsidP="00C5096D">
      <w:pPr>
        <w:pStyle w:val="JuQuot"/>
      </w:pPr>
      <w:r>
        <w:t>d)  să ridice sau să obțină în orice formă copii ori extrase din orice documente, registre, acte financiar-contabile și comerciale sau din alte evidențe legate de activitatea agentului economic sau asociației de agenți economici;</w:t>
      </w:r>
    </w:p>
    <w:p w14:paraId="40A1CCEA" w14:textId="77777777" w:rsidR="00572B49" w:rsidRPr="00C5096D" w:rsidRDefault="007314F1" w:rsidP="00C5096D">
      <w:pPr>
        <w:pStyle w:val="JuQuot"/>
      </w:pPr>
      <w:r>
        <w:t>e)  să sigileze orice amplasament destinat activităților agentului economic sau asociației de agenți economici și orice documente, registre, acte financiar-contabile și comerciale sau alte evidențe [...], pe durata și în măsura necesară inspecției.</w:t>
      </w:r>
    </w:p>
    <w:p w14:paraId="1A3EFB4F" w14:textId="77777777" w:rsidR="00572B49" w:rsidRPr="00C5096D" w:rsidRDefault="007314F1" w:rsidP="00C5096D">
      <w:pPr>
        <w:pStyle w:val="JuQuot"/>
      </w:pPr>
      <w:r>
        <w:t>(2)  Inspectorii de concurență cu puteri de inspecție, prevăzuți la alin. (1), vor proceda la actele prevăzute la alin. (1) numai dacă există indicii că pot fi găsite documente sau pot fi obținute informații considerate necesare pentru îndeplinirea misiunii lor, iar rezultatul acestora va fi consemnat într-un proces-verbal de constatare și inventariere.</w:t>
      </w:r>
    </w:p>
    <w:p w14:paraId="7D3BD86B" w14:textId="77777777" w:rsidR="00572B49" w:rsidRPr="00C5096D" w:rsidRDefault="007314F1" w:rsidP="00C5096D">
      <w:pPr>
        <w:pStyle w:val="JuQuot"/>
      </w:pPr>
      <w:r>
        <w:t>(3)  Inspectorii concurență cu puteri de inspecție pot face inspecții inopinate și pot solicita orice fel de informații sau justificări legate de îndeplinirea misiunii, atât la fața locului, cat și la convocare la sediul Consiliului Concurenței.</w:t>
      </w:r>
    </w:p>
    <w:p w14:paraId="7BEA6F16" w14:textId="77777777" w:rsidR="00572B49" w:rsidRPr="00C5096D" w:rsidRDefault="007314F1" w:rsidP="00C5096D">
      <w:pPr>
        <w:pStyle w:val="JuQuot"/>
      </w:pPr>
      <w:r>
        <w:t>(4)  Exercitarea puterilor de inspecție se face în conformitate cu regulamentul privind organizarea, funcționarea și procedura Consiliului Concurenței.”</w:t>
      </w:r>
    </w:p>
    <w:p w14:paraId="6BB4A6AF" w14:textId="77777777" w:rsidR="00572B49" w:rsidRPr="00C5096D" w:rsidRDefault="007314F1" w:rsidP="00C5096D">
      <w:pPr>
        <w:pStyle w:val="JuHArticle"/>
      </w:pPr>
      <w:r>
        <w:t>Articolul 37</w:t>
      </w:r>
    </w:p>
    <w:p w14:paraId="0C6B85FB" w14:textId="77777777" w:rsidR="00572B49" w:rsidRPr="00C5096D" w:rsidRDefault="007314F1" w:rsidP="00C5096D">
      <w:pPr>
        <w:pStyle w:val="JuQuot"/>
      </w:pPr>
      <w:r>
        <w:t>„În baza autorizării judiciare date prin încheiere, conform art. 38, inspectorul de concurență poate efectua inspecții în orice alte spații, inclusiv domiciliul, terenuri sau mijloace de transport aparținând conducătorilor, administratorilor, directorilor și altor angajați ai agenților economici sau asociațiilor de agenți economici supuși investigației.”</w:t>
      </w:r>
    </w:p>
    <w:p w14:paraId="13FFB226" w14:textId="77777777" w:rsidR="00572B49" w:rsidRPr="00C5096D" w:rsidRDefault="007314F1" w:rsidP="00C5096D">
      <w:pPr>
        <w:pStyle w:val="JuHArticle"/>
      </w:pPr>
      <w:r>
        <w:t>Articolul 38</w:t>
      </w:r>
    </w:p>
    <w:p w14:paraId="5362059D" w14:textId="77777777" w:rsidR="00572B49" w:rsidRPr="00C5096D" w:rsidRDefault="007314F1" w:rsidP="00C5096D">
      <w:pPr>
        <w:pStyle w:val="JuQuot"/>
      </w:pPr>
      <w:r>
        <w:t xml:space="preserve">„(1)  Inspectorii de concurență pot proceda la inspecții, în conformitate cu prevederile art. 37, doar în baza unui ordin emis de către președintele Consiliului Concurenței și cu </w:t>
      </w:r>
      <w:r>
        <w:lastRenderedPageBreak/>
        <w:t>autorizarea judiciară dată prin încheiere de către președintele tribunalului în a cărui circumscripție sunt situate locurile de controlat sau de către un judecător delegat de acesta [...]</w:t>
      </w:r>
    </w:p>
    <w:p w14:paraId="727E3F82" w14:textId="77777777" w:rsidR="00572B49" w:rsidRPr="00C5096D" w:rsidRDefault="007314F1" w:rsidP="00C5096D">
      <w:pPr>
        <w:pStyle w:val="JuQuot"/>
      </w:pPr>
      <w:r>
        <w:t>(2)  Cererea de autorizare trebuie să cuprindă toate informațiile de natură a justifica inspecția, iar judecătorul sesizat este ținut să verifice dacă cererea este întemeiată. [...]</w:t>
      </w:r>
    </w:p>
    <w:p w14:paraId="70575882" w14:textId="77777777" w:rsidR="00572B49" w:rsidRPr="00C5096D" w:rsidRDefault="007314F1" w:rsidP="00C5096D">
      <w:pPr>
        <w:pStyle w:val="JuQuot"/>
      </w:pPr>
      <w:r>
        <w:t>(5)  Oricare ar fi împrejurările, inspecția nu poate începe înainte de ora 8.00 sau după ora 18.00 și trebuie efectuată în prezența ocupantului locului sau a reprezentantului său; numai inspectorii de concurență, ocupantul locului sau reprezentantul său pot lua cunoștință de piese și documente înaintea ridicării acestora.”</w:t>
      </w:r>
    </w:p>
    <w:p w14:paraId="61EB5DD9" w14:textId="77777777" w:rsidR="00572B49" w:rsidRPr="00C5096D" w:rsidRDefault="007314F1" w:rsidP="00C5096D">
      <w:pPr>
        <w:pStyle w:val="JuHArticle"/>
      </w:pPr>
      <w:r>
        <w:t>Articolul 39</w:t>
      </w:r>
    </w:p>
    <w:p w14:paraId="1D7C39F5" w14:textId="77777777" w:rsidR="00572B49" w:rsidRPr="00C5096D" w:rsidRDefault="007314F1" w:rsidP="00C5096D">
      <w:pPr>
        <w:pStyle w:val="JuQuot"/>
      </w:pPr>
      <w:r>
        <w:t>„(1)  Organele administrației publice centrale și locale, precum și orice alte instituții și autorități publice sunt obligate să permită inspectorilor de concurență accesul la documentele, datele și informațiile deținute de acestea, potrivit puterilor de inspecție stabilite de președintele Consiliului Concurenței, fără a se putea opune caracterul de secret de stat sau secret de serviciu al unor asemenea documente, date și informații.</w:t>
      </w:r>
    </w:p>
    <w:p w14:paraId="41C8239A" w14:textId="77777777" w:rsidR="00572B49" w:rsidRPr="00C5096D" w:rsidRDefault="007314F1" w:rsidP="00C5096D">
      <w:pPr>
        <w:pStyle w:val="JuQuot"/>
      </w:pPr>
      <w:r>
        <w:t>(2)  Inspectorii de concurență, primind acces la documentele, datele și informațiile menționate la alin. (1), sunt ținuți la respectarea strictă a caracterului de secret de stat sau secret de serviciu atribuit legal respectivelor documente, date și informații.”</w:t>
      </w:r>
    </w:p>
    <w:p w14:paraId="360A9C3E" w14:textId="77777777" w:rsidR="00572B49" w:rsidRPr="00C5096D" w:rsidRDefault="007314F1" w:rsidP="00C5096D">
      <w:pPr>
        <w:pStyle w:val="JuHArticle"/>
      </w:pPr>
      <w:r>
        <w:t>Articolul 44</w:t>
      </w:r>
    </w:p>
    <w:p w14:paraId="5018D36F" w14:textId="77777777" w:rsidR="00572B49" w:rsidRPr="00C5096D" w:rsidRDefault="007314F1" w:rsidP="00C5096D">
      <w:pPr>
        <w:pStyle w:val="JuQuot"/>
        <w:keepNext/>
      </w:pPr>
      <w:r>
        <w:t>„[...]</w:t>
      </w:r>
    </w:p>
    <w:p w14:paraId="63742C27" w14:textId="77777777" w:rsidR="00572B49" w:rsidRPr="00C5096D" w:rsidRDefault="007314F1" w:rsidP="00C5096D">
      <w:pPr>
        <w:pStyle w:val="JuQuot"/>
        <w:keepNext/>
      </w:pPr>
      <w:r>
        <w:t>(2)  Președintele Consiliului Concurenței poate permite părților în cauză consultarea dosarului la secretariatul Consiliului Concurenței și obținerea [...] de copii și extrase ale actelor procedurii de investigație.</w:t>
      </w:r>
    </w:p>
    <w:p w14:paraId="7ACEC468" w14:textId="77777777" w:rsidR="00572B49" w:rsidRPr="00C5096D" w:rsidRDefault="007314F1" w:rsidP="00C5096D">
      <w:pPr>
        <w:pStyle w:val="JuQuot"/>
        <w:keepNext/>
      </w:pPr>
      <w:r>
        <w:t>(3)  Documentele, datele și informațiile din dosarul cauzei, care prezintă caracter de secret de stat ori sunt confidențiale, nu sunt accesibile pentru consultare ori obținere de copii sau extrase decât prin decizie a președintelui Consiliului Concurenței.”</w:t>
      </w:r>
    </w:p>
    <w:bookmarkStart w:id="40" w:name="paragraph00048"/>
    <w:p w14:paraId="6951CDBA"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48</w:t>
      </w:r>
      <w:r w:rsidRPr="00C5096D">
        <w:fldChar w:fldCharType="end"/>
      </w:r>
      <w:bookmarkEnd w:id="40"/>
      <w:r>
        <w:t>.  Art. 47 alin. (4) din Legea concurenței prevedea, la momentul faptelor, că deciziile luate de Consiliul Concurenței după încheierea investigațiilor în temeiul art. 5 puteau face obiectul unui control judecătoresc, în cadrul procedurii de contencios administrativ (a se vedea infra, pct. </w:t>
      </w:r>
      <w:r w:rsidRPr="00C5096D">
        <w:fldChar w:fldCharType="begin"/>
      </w:r>
      <w:r w:rsidRPr="00C5096D">
        <w:instrText xml:space="preserve">REF paragraph00052 \h \* CharFormat </w:instrText>
      </w:r>
      <w:r w:rsidRPr="00C5096D">
        <w:fldChar w:fldCharType="separate"/>
      </w:r>
      <w:r w:rsidR="00C5096D" w:rsidRPr="00C5096D">
        <w:t>52</w:t>
      </w:r>
      <w:r w:rsidRPr="00C5096D">
        <w:fldChar w:fldCharType="end"/>
      </w:r>
      <w:r>
        <w:t>) la Curtea de Apel București, în termen de 30 de zile de la notificarea părților.</w:t>
      </w:r>
    </w:p>
    <w:bookmarkStart w:id="41" w:name="paragraph00049"/>
    <w:p w14:paraId="024E53D5"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49</w:t>
      </w:r>
      <w:r w:rsidRPr="00C5096D">
        <w:fldChar w:fldCharType="end"/>
      </w:r>
      <w:bookmarkEnd w:id="41"/>
      <w:r>
        <w:t>.  În conformitate cu art. 15 alin. (2) din Regulamentul de organizare, funcționare și procedură al Consiliului Concurenței, astfel cum era în vigoare la momentul respectiv, publicat în Monitorul Oficial nr. 288 din 1 aprilie 2004, în cazul în care Consiliul intenționa să deschidă o investigație din oficiu, o astfel de investigație urma să fie decisă în plenul Consiliului și declanșată prin ordin al președintelui său.</w:t>
      </w:r>
    </w:p>
    <w:bookmarkStart w:id="42" w:name="paragraph00050"/>
    <w:p w14:paraId="11F2BE24"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50</w:t>
      </w:r>
      <w:r w:rsidRPr="00C5096D">
        <w:fldChar w:fldCharType="end"/>
      </w:r>
      <w:bookmarkEnd w:id="42"/>
      <w:r>
        <w:t>.  Dispozițiile relevante din Instrucțiunile privind regulile de acces la dosarul Consiliului Concurenței, astfel cum erau în vigoare la momentul faptelor, publicate în Monitorul Oficial nr. 371 din 28 aprilie 2006, prevedeau că documentele care nu aveau legătură cu obiectul investigației în cauză puteau fi returnate agentului economic de la care au fost ridicate (punctul 6).</w:t>
      </w:r>
    </w:p>
    <w:p w14:paraId="2875218E" w14:textId="77777777" w:rsidR="00572B49" w:rsidRPr="00C5096D" w:rsidRDefault="007314F1" w:rsidP="00C5096D">
      <w:pPr>
        <w:pStyle w:val="JuPara"/>
      </w:pPr>
      <w:r>
        <w:t>Alte dispoziții relevante au următorul cuprins:</w:t>
      </w:r>
    </w:p>
    <w:p w14:paraId="30951117" w14:textId="77777777" w:rsidR="00572B49" w:rsidRPr="00C5096D" w:rsidRDefault="007314F1" w:rsidP="00C5096D">
      <w:pPr>
        <w:pStyle w:val="JuHArticle"/>
      </w:pPr>
      <w:r>
        <w:lastRenderedPageBreak/>
        <w:t>7.</w:t>
      </w:r>
    </w:p>
    <w:p w14:paraId="61BD644A" w14:textId="77777777" w:rsidR="00572B49" w:rsidRPr="00C5096D" w:rsidRDefault="007314F1" w:rsidP="00C5096D">
      <w:pPr>
        <w:pStyle w:val="JuQuot"/>
      </w:pPr>
      <w:r>
        <w:t>„Părților li se va acorda accesul la întregul dosar [...], cu excepția documentelor interne, a celor conținând secrete de afaceri ale altor agenți economici sau a altor documente confidențiale.”</w:t>
      </w:r>
    </w:p>
    <w:p w14:paraId="39BD48EB" w14:textId="77777777" w:rsidR="00572B49" w:rsidRPr="00C5096D" w:rsidRDefault="007314F1" w:rsidP="00C5096D">
      <w:pPr>
        <w:pStyle w:val="JuHArticle"/>
      </w:pPr>
      <w:r>
        <w:t>14.</w:t>
      </w:r>
    </w:p>
    <w:p w14:paraId="2DA337A3" w14:textId="77777777" w:rsidR="00572B49" w:rsidRPr="00C5096D" w:rsidRDefault="007314F1" w:rsidP="00C5096D">
      <w:pPr>
        <w:pStyle w:val="JuQuot"/>
      </w:pPr>
      <w:r>
        <w:t>„Dosarul [...] poate conține și documente ce includ [...] secrete de afaceri și alte informații confidențiale, cu privire la care accesul la dosar poate fi parțial sau total restricționat. Accesul va fi acordat, dacă este posibil, la o versiune neconfidențială a informațiilor inițiale, astfel cum aceasta a fost transmisă de agentul economic care beneficiază de acordarea caracterului confidențial. Când confidențialitatea poate fi asigurată prin rezumarea informațiilor relevante, accesul va fi acordat la rezumatul acestora. Toate celelalte documente sunt accesibile în forma lor originală.”</w:t>
      </w:r>
    </w:p>
    <w:p w14:paraId="699A4101" w14:textId="77777777" w:rsidR="00572B49" w:rsidRPr="00C5096D" w:rsidRDefault="007314F1" w:rsidP="00C5096D">
      <w:pPr>
        <w:pStyle w:val="JuHArticle"/>
      </w:pPr>
      <w:r>
        <w:t>17.</w:t>
      </w:r>
    </w:p>
    <w:p w14:paraId="5DBCA691" w14:textId="77777777" w:rsidR="00572B49" w:rsidRPr="00C5096D" w:rsidRDefault="007314F1" w:rsidP="00C5096D">
      <w:pPr>
        <w:pStyle w:val="JuQuot"/>
      </w:pPr>
      <w:r>
        <w:t>„Informațiile vor fi calificate ca fiind confidențiale atunci când o persoană sau un agent economic în cauză a făcut o solicitare motivată în acest sens și această solicitare a fost acceptată de Consiliul Concurenței.”</w:t>
      </w:r>
    </w:p>
    <w:bookmarkStart w:id="43" w:name="paragraph00051"/>
    <w:p w14:paraId="294EF566" w14:textId="77777777" w:rsidR="00572B49" w:rsidRPr="00C5096D" w:rsidRDefault="007314F1" w:rsidP="00C5096D">
      <w:pPr>
        <w:pStyle w:val="JuPara"/>
        <w:rPr>
          <w:rFonts w:ascii="Times New Roman" w:hAnsi="Times New Roman" w:cs="Times New Roman"/>
        </w:rPr>
      </w:pPr>
      <w:r w:rsidRPr="00C5096D">
        <w:fldChar w:fldCharType="begin"/>
      </w:r>
      <w:r w:rsidRPr="00C5096D">
        <w:instrText xml:space="preserve"> SEQ level0 \*arabic </w:instrText>
      </w:r>
      <w:r w:rsidRPr="00C5096D">
        <w:fldChar w:fldCharType="separate"/>
      </w:r>
      <w:r w:rsidR="00C5096D" w:rsidRPr="00C5096D">
        <w:t>51</w:t>
      </w:r>
      <w:r w:rsidRPr="00C5096D">
        <w:fldChar w:fldCharType="end"/>
      </w:r>
      <w:bookmarkEnd w:id="43"/>
      <w:r>
        <w:t>.  Legea concurenței a fost modificată prin Legea nr. 255/2013, care a intrat în vigoare la 1 februarie 2014 și</w:t>
      </w:r>
      <w:r>
        <w:rPr>
          <w:i/>
        </w:rPr>
        <w:t xml:space="preserve"> </w:t>
      </w:r>
      <w:r>
        <w:t>a introdus, printre altele</w:t>
      </w:r>
      <w:r>
        <w:rPr>
          <w:i/>
        </w:rPr>
        <w:t>,</w:t>
      </w:r>
      <w:r>
        <w:t xml:space="preserve"> următoarele modificări: a) cerința unei autorizări judiciare prealabile dată prin încheiere pentru orice inspecție și posibilitatea de a ataca încheierea cu contestație în fața Înaltei Curți de Casație și Justiție; b) obligația ca ordinul de inspecție să menționeze obiectul și domeniul de aplicare al inspecției; și c) posibilitatea de a sesiza instanțele cu privire la ordinul de inspecție. </w:t>
      </w:r>
      <w:r>
        <w:rPr>
          <w:rFonts w:ascii="Times New Roman" w:hAnsi="Times New Roman"/>
        </w:rPr>
        <w:t xml:space="preserve">Alte modificări au fost introduse prin Ordonanța de urgență a Guvernului nr. 170/2020, care a modificat, în special, articolul 38 alineatul (3) [fostul articol 36 alineatul (3)] referitor la procedura pentru inspecțiile inopinate. </w:t>
      </w:r>
      <w:r>
        <w:t>Modificările prevăzute la art. 38 alin. 3^1 menționau că documentele, datele și informațiile ridicate sau copiate în cursul inspecției inopinate pot fi accesate numai în prezența reprezentantului întreprinderii, la sediul Consiliului.</w:t>
      </w:r>
    </w:p>
    <w:bookmarkStart w:id="44" w:name="paragraph00052"/>
    <w:p w14:paraId="55291309" w14:textId="77777777" w:rsidR="00572B49" w:rsidRPr="00C5096D" w:rsidRDefault="007314F1" w:rsidP="00C5096D">
      <w:pPr>
        <w:pStyle w:val="JuPara"/>
        <w:rPr>
          <w:b/>
          <w:bCs/>
        </w:rPr>
      </w:pPr>
      <w:r w:rsidRPr="00C5096D">
        <w:fldChar w:fldCharType="begin"/>
      </w:r>
      <w:r w:rsidRPr="00C5096D">
        <w:instrText xml:space="preserve"> SEQ level0 \*arabic </w:instrText>
      </w:r>
      <w:r w:rsidRPr="00C5096D">
        <w:fldChar w:fldCharType="separate"/>
      </w:r>
      <w:r w:rsidR="00C5096D" w:rsidRPr="00C5096D">
        <w:t>52</w:t>
      </w:r>
      <w:r w:rsidRPr="00C5096D">
        <w:fldChar w:fldCharType="end"/>
      </w:r>
      <w:bookmarkEnd w:id="44"/>
      <w:r>
        <w:t>.  Art. 1 și 8 din Legea nr. 554/2004 a contenciosului administrativ prevăd că orice persoană care se consideră vătămată într-un drept al său ori într-un interes legitim, de către o autoritate publică, printr-un act administrativ sau prin nesoluționarea în termenul legal a unei cereri (de către o astfel de autoritate), se poate adresa instanței de contencios administrativ competente pentru anularea actului contestat, pentru recunoașterea dreptului pretins sau a interesului legitim pretins și pentru repararea pagubei ce i-a fost cauzată.</w:t>
      </w:r>
    </w:p>
    <w:p w14:paraId="23CC16F7"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53</w:t>
      </w:r>
      <w:r w:rsidRPr="00C5096D">
        <w:fldChar w:fldCharType="end"/>
      </w:r>
      <w:r>
        <w:t xml:space="preserve">.  Art. 113 din Ordonanța de urgență a Guvernului nr. 99/2006 privind instituțiile de credit prevede că obligația de păstrare a secretului profesional în domeniul bancar nu poate fi opusă unei autorități competente în exercitarea atribuțiilor sale de supraveghere. În plus, în temeiul art. 114, instituțiile de credit sunt obligate să furnizeze informații de natura secretului bancar, după începerea urmăririi penale împotriva unui client, la solicitarea scrisă a </w:t>
      </w:r>
      <w:r>
        <w:lastRenderedPageBreak/>
        <w:t>procurorului sau a instanței judecătorești ori, după caz, a organelor de cercetare penală, cu autorizarea procurorului. Art. 116 prevede, de asemenea, că persoanele abilitate să solicite și să primească informații de natura secretului bancar sunt obligate să păstreze confidențialitatea acestora și le pot utiliza numai în scopul pentru care le-au solicitat sau le-au fost furnizate, potrivit legii.</w:t>
      </w:r>
    </w:p>
    <w:p w14:paraId="6799BB46"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54</w:t>
      </w:r>
      <w:r w:rsidRPr="00C5096D">
        <w:fldChar w:fldCharType="end"/>
      </w:r>
      <w:r>
        <w:t>.  Guvernul a prezentat următoarele exemple de jurisprudență a instanțelor naționale.</w:t>
      </w:r>
    </w:p>
    <w:p w14:paraId="0FB25974"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55</w:t>
      </w:r>
      <w:r w:rsidRPr="00C5096D">
        <w:fldChar w:fldCharType="end"/>
      </w:r>
      <w:r>
        <w:t>.  Într-o decizie din 11 decembrie 2013, Înalta Curte de Casație și Justiție („Înalta Curte”) a statuat că deciziile președintelui Consiliului privind confidențialitatea documentelor obținute</w:t>
      </w:r>
      <w:r>
        <w:rPr>
          <w:b/>
        </w:rPr>
        <w:t xml:space="preserve"> </w:t>
      </w:r>
      <w:r>
        <w:t>în cursul unei inspecții erau supuse controlului judecătoresc în calitate de acte administrative, în temeiul dispozițiilor generale ale Legii nr. 554/2004 (a se vedea supra, pct. </w:t>
      </w:r>
      <w:r w:rsidR="007314F1" w:rsidRPr="00C5096D">
        <w:fldChar w:fldCharType="begin"/>
      </w:r>
      <w:r w:rsidR="007314F1" w:rsidRPr="00C5096D">
        <w:instrText xml:space="preserve">REF paragraph00052 \h \* CharFormat </w:instrText>
      </w:r>
      <w:r w:rsidR="007314F1" w:rsidRPr="00C5096D">
        <w:fldChar w:fldCharType="separate"/>
      </w:r>
      <w:r w:rsidRPr="00C5096D">
        <w:t>52</w:t>
      </w:r>
      <w:r w:rsidR="007314F1" w:rsidRPr="00C5096D">
        <w:fldChar w:fldCharType="end"/>
      </w:r>
      <w:r>
        <w:t>).</w:t>
      </w:r>
    </w:p>
    <w:bookmarkStart w:id="45" w:name="paragraph00056"/>
    <w:p w14:paraId="481E75A1"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56</w:t>
      </w:r>
      <w:r w:rsidRPr="00C5096D">
        <w:fldChar w:fldCharType="end"/>
      </w:r>
      <w:bookmarkEnd w:id="45"/>
      <w:r>
        <w:t>.  Într-o decizie din 22 aprilie 2016, Înalta Curte a examinat o plângere prin care s-a solicitat anularea a două ordine emise de președintele Consiliului, unul prin care s-a dispus deschiderea unei investigații, iar celălalt prin care s-a dispus desfășurarea unei inspecții inopinate. Plângerea a fost formulată de o societate împotriva deciziei finale a Consiliului de încheiere a investigației împotriva acesteia. În acest context, instanța a considerat că era competentă să examineze capetele de cerere privind modul în care s-a desfășurat inspecția și modul în care au fost obținute anumite informații și documente (de exemplu, copierea unui întreg hard-disk). Instanța a hotărât că, deși, la un moment dat, legea nu prevedea un conținut obligatoriu pentru ordinul de investigație, faptul că ordinul în cauză făcea referire la o notă internă în care erau descrise separat motivele pentru deschiderea unei investigații putea fi considerat ca reprezentând o motivare suficientă a ordinului de investigație. Instanța a hotărât de asemenea că lipsa unei autorizări judiciare prealabile nu a avut ca rezultat un risc ridicat de abuz, atât timp cât ordinele privind inspecția erau, în temeiul dreptului național, supuse unui control judecătoresc a posteriori cu privire la legalitatea lor, urmărirea de către acestea a unui scop legitim și proporționalitatea lor. Instanța a examinat și a respins toate argumentele prezentate de societate, considerând că toate actele adoptate de Consiliu erau prevăzute de lege.</w:t>
      </w:r>
    </w:p>
    <w:bookmarkStart w:id="46" w:name="paragraph00057"/>
    <w:p w14:paraId="53938E0F"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57</w:t>
      </w:r>
      <w:r w:rsidRPr="00C5096D">
        <w:fldChar w:fldCharType="end"/>
      </w:r>
      <w:bookmarkEnd w:id="46"/>
      <w:r>
        <w:t xml:space="preserve">.  Într-o decizie din 28 iunie 2016, Înalta Curte a examinat o plângere similară celei detaliate la punctul </w:t>
      </w:r>
      <w:r w:rsidRPr="00C5096D">
        <w:fldChar w:fldCharType="begin"/>
      </w:r>
      <w:r w:rsidRPr="00C5096D">
        <w:instrText xml:space="preserve">REF paragraph00056 \h \* CharFormat </w:instrText>
      </w:r>
      <w:r w:rsidRPr="00C5096D">
        <w:fldChar w:fldCharType="separate"/>
      </w:r>
      <w:r w:rsidR="00C5096D" w:rsidRPr="00C5096D">
        <w:t>56</w:t>
      </w:r>
      <w:r w:rsidRPr="00C5096D">
        <w:fldChar w:fldCharType="end"/>
      </w:r>
      <w:r>
        <w:t xml:space="preserve"> de mai sus. În acest context, instanța a considerat că cererea reclamantei de anulare a tuturor actelor aferente inspecției și a procesului-verbal de constatare și inventariere nu putea fi examinată decât odată cu decizia emisă la finalul investigației.</w:t>
      </w:r>
    </w:p>
    <w:bookmarkStart w:id="47" w:name="paragraph00058"/>
    <w:p w14:paraId="5EBDB6DB"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58</w:t>
      </w:r>
      <w:r w:rsidRPr="00C5096D">
        <w:fldChar w:fldCharType="end"/>
      </w:r>
      <w:bookmarkEnd w:id="47"/>
      <w:r>
        <w:t>.  Ca urmare a modificărilor aduse în 2014 Legii concurenței, care au introdus cerința autorizării judiciare prealabile a inspecțiilor (a se vedea supra, pct. </w:t>
      </w:r>
      <w:r w:rsidRPr="00C5096D">
        <w:fldChar w:fldCharType="begin"/>
      </w:r>
      <w:r w:rsidRPr="00C5096D">
        <w:instrText xml:space="preserve">REF paragraph00051 \h \* CharFormat </w:instrText>
      </w:r>
      <w:r w:rsidRPr="00C5096D">
        <w:fldChar w:fldCharType="separate"/>
      </w:r>
      <w:r w:rsidR="00C5096D" w:rsidRPr="00C5096D">
        <w:t>51</w:t>
      </w:r>
      <w:r w:rsidRPr="00C5096D">
        <w:fldChar w:fldCharType="end"/>
      </w:r>
      <w:r>
        <w:t xml:space="preserve">), Guvernul a identificat o singură decizie a Înaltei Curți, din 28 iunie 2016, în care s-a statuat că, deși apelul formulat împotriva hotărârii judecătorești de autorizare a inspecției a fost respins ca nefondat, putea fi formulată o plângere separată împotriva desfășurării efective a inspecției, însă </w:t>
      </w:r>
      <w:r>
        <w:lastRenderedPageBreak/>
        <w:t>numai prin conexarea acesteia cu plângerea împotriva deciziei Consiliului de încheiere a investigației. Guvernul a susținut că o astfel de interpretare se aplica numai inspecțiilor efectuate după intrarea în vigoare a modificărilor aduse Legii concurenței în 2014.</w:t>
      </w:r>
    </w:p>
    <w:p w14:paraId="2F1CCE7E" w14:textId="77777777" w:rsidR="00572B49" w:rsidRPr="00C5096D" w:rsidRDefault="007314F1" w:rsidP="00C5096D">
      <w:pPr>
        <w:pStyle w:val="JuHIRoman"/>
        <w:ind w:left="357" w:hanging="357"/>
      </w:pPr>
      <w:r>
        <w:t>Legislația și practica europeană în materie de concurență și servicii bancare</w:t>
      </w:r>
    </w:p>
    <w:bookmarkStart w:id="48" w:name="paragraph00059"/>
    <w:p w14:paraId="7F2A96EE"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59</w:t>
      </w:r>
      <w:r w:rsidRPr="00C5096D">
        <w:fldChar w:fldCharType="end"/>
      </w:r>
      <w:bookmarkEnd w:id="48"/>
      <w:r>
        <w:t>.  Articolele 20 și 21 din Regulamentul (CE) nr. 1/2003 al Consiliului din 16 decembrie 2002 privind punerea în aplicare a normelor de concurență prevăzute la articolele 81 și 82 din tratat (TCE) (în prezent articolele 101 și 102 din TFUE, Tratatul privind funcționarea Uniunii Europene), JO 2003, L 001, p. 1, („Regulamentul nr. 1/2003”), sunt aplicabile Comisiei Europene atunci când aceasta efectuează inspecții. Aceste articole prevăd următoarele:</w:t>
      </w:r>
    </w:p>
    <w:p w14:paraId="1FED1C87" w14:textId="77777777" w:rsidR="00572B49" w:rsidRPr="00C5096D" w:rsidRDefault="007314F1" w:rsidP="00C5096D">
      <w:pPr>
        <w:pStyle w:val="JuHArticle"/>
      </w:pPr>
      <w:r>
        <w:t>Articolul 20 – Competențele de inspecție ale Comisiei</w:t>
      </w:r>
    </w:p>
    <w:p w14:paraId="666C2874" w14:textId="77777777" w:rsidR="00572B49" w:rsidRPr="00C5096D" w:rsidRDefault="007314F1" w:rsidP="00C5096D">
      <w:pPr>
        <w:pStyle w:val="JuQuot"/>
      </w:pPr>
      <w:r>
        <w:t>„(1)  Pentru a-și îndeplini îndatoririle atribuite prin prezentul regulament, Comisia poate să desfășoare toate inspecțiile necesare la întreprinderi și asociațiile de întreprinderi.</w:t>
      </w:r>
    </w:p>
    <w:p w14:paraId="5E58D9EF" w14:textId="77777777" w:rsidR="00572B49" w:rsidRPr="00C5096D" w:rsidRDefault="007314F1" w:rsidP="00C5096D">
      <w:pPr>
        <w:pStyle w:val="JuQuot"/>
      </w:pPr>
      <w:r>
        <w:t>(2)  Reprezentanții oficiali și celelalte persoane care îi însoțesc, autorizate de Comisie să desfășoare o inspecție, sunt împuternicite:</w:t>
      </w:r>
    </w:p>
    <w:p w14:paraId="11AD7FF7" w14:textId="77777777" w:rsidR="00572B49" w:rsidRPr="00C5096D" w:rsidRDefault="007314F1" w:rsidP="00C5096D">
      <w:pPr>
        <w:pStyle w:val="JuQuot"/>
      </w:pPr>
      <w:r>
        <w:t>(a)  să intre în orice incinte, terenuri și mijloace de transport ale întreprinderilor și asociațiilor de întreprinderi;</w:t>
      </w:r>
    </w:p>
    <w:p w14:paraId="4812EDEA" w14:textId="77777777" w:rsidR="00572B49" w:rsidRPr="00C5096D" w:rsidRDefault="007314F1" w:rsidP="00C5096D">
      <w:pPr>
        <w:pStyle w:val="JuQuot"/>
      </w:pPr>
      <w:r>
        <w:t>(b)  să examineze registrele și alte documente privind activitatea, indiferent de suportul pe care sunt păstrate;</w:t>
      </w:r>
    </w:p>
    <w:p w14:paraId="193DF2EA" w14:textId="77777777" w:rsidR="00572B49" w:rsidRPr="00C5096D" w:rsidRDefault="007314F1" w:rsidP="00C5096D">
      <w:pPr>
        <w:pStyle w:val="JuQuot"/>
      </w:pPr>
      <w:r>
        <w:t>(c)  să ia sau să obțină, sub orice formă, copii sau extrase din aceste registre și documente;</w:t>
      </w:r>
    </w:p>
    <w:p w14:paraId="789CCABA" w14:textId="77777777" w:rsidR="00572B49" w:rsidRPr="00C5096D" w:rsidRDefault="007314F1" w:rsidP="00C5096D">
      <w:pPr>
        <w:pStyle w:val="JuQuot"/>
      </w:pPr>
      <w:r>
        <w:t>(d)  să sigileze orice incinte destinate activității și orice registre și documente pe perioada inspecției și în măsura necesară inspecției;</w:t>
      </w:r>
    </w:p>
    <w:p w14:paraId="321A4BF7" w14:textId="77777777" w:rsidR="00572B49" w:rsidRPr="00C5096D" w:rsidRDefault="007314F1" w:rsidP="00C5096D">
      <w:pPr>
        <w:pStyle w:val="JuQuot"/>
      </w:pPr>
      <w:r>
        <w:t>(e)  să ceară oricărui reprezentant sau membru al personalului întreprinderii sau asociației de întreprinderi explicații cu privire la faptele sau documentele legate de obiectul și scopul inspecției și să înregistreze răspunsurile acestora.</w:t>
      </w:r>
    </w:p>
    <w:p w14:paraId="35E10917" w14:textId="77777777" w:rsidR="00572B49" w:rsidRPr="00C5096D" w:rsidRDefault="007314F1" w:rsidP="00C5096D">
      <w:pPr>
        <w:pStyle w:val="JuQuot"/>
      </w:pPr>
      <w:r>
        <w:t>(3)  Reprezentanții oficiali și celelalte persoane care îi însoțesc, autorizate de Comisie să desfășoare o inspecție, își exercită competențele prin prezentarea unei autorizații scrise care indică obiectul și scopul inspecției și sancțiunile prevăzute la articolul 23, în cazul în care registrele și celelalte documente solicitate privind activitatea sunt incomplete sau atunci când răspunsurile la întrebările adresate în temeiul alineatului (2) din prezentul articol sunt inexacte sau induc în eroare. [...]</w:t>
      </w:r>
    </w:p>
    <w:p w14:paraId="15268057" w14:textId="77777777" w:rsidR="00572B49" w:rsidRPr="00C5096D" w:rsidRDefault="007314F1" w:rsidP="00C5096D">
      <w:pPr>
        <w:pStyle w:val="JuQuot"/>
      </w:pPr>
      <w:r>
        <w:t>(4)  Întreprinderile și asociațiile de întreprinderi sunt obligate să se supună inspecțiilor dispuse de Comisie prin decizie. Decizia indică obiectul și scopul inspecției, stabilește data la care începe și indică sancțiunile prevăzute la articolele 23 și 24, precum și dreptul de a ataca decizia la Curtea de Justiție. [...]</w:t>
      </w:r>
    </w:p>
    <w:p w14:paraId="011639F0" w14:textId="77777777" w:rsidR="00572B49" w:rsidRPr="00C5096D" w:rsidRDefault="007314F1" w:rsidP="00C5096D">
      <w:pPr>
        <w:pStyle w:val="JuQuot"/>
      </w:pPr>
      <w:r>
        <w:t xml:space="preserve">(5)  Reprezentanții oficiali, precum și celelalte persoane autorizate sau desemnate de autoritatea de concurență a statului membru pe teritoriul căruia urmează să se desfășoare inspecția trebuie, la cererea acestei autorități sau a Comisiei, să acorde </w:t>
      </w:r>
      <w:r>
        <w:lastRenderedPageBreak/>
        <w:t>asistență în mod activ reprezentanților oficiali și celorlalte persoane care îi însoțesc, autorizate de Comisie. În acest scop, ei beneficiază de competențele prevăzute la alineatul (2).</w:t>
      </w:r>
    </w:p>
    <w:p w14:paraId="4CB965BB" w14:textId="77777777" w:rsidR="00572B49" w:rsidRPr="00C5096D" w:rsidRDefault="007314F1" w:rsidP="00C5096D">
      <w:pPr>
        <w:pStyle w:val="JuQuot"/>
      </w:pPr>
      <w:r>
        <w:t>(6)  Atunci când reprezentanții oficiali și celelalte persoane care îi însoțesc, autorizate de Comisie, constată că o întreprindere se opune inspecției dispuse în temeiul prezentului articol, statul membru în cauză le acordă asistența necesară, solicitând, dacă este cazul, sprijinul forțelor de ordine sau al unei autorități publice de aplicare a legii echivalente, astfel încât să le dea posibilitatea de a desfășura inspecția.</w:t>
      </w:r>
    </w:p>
    <w:p w14:paraId="7F80A3F4" w14:textId="77777777" w:rsidR="00572B49" w:rsidRPr="00C5096D" w:rsidRDefault="007314F1" w:rsidP="00C5096D">
      <w:pPr>
        <w:pStyle w:val="JuQuot"/>
      </w:pPr>
      <w:r>
        <w:t>(7)  În cazul în care asistența prevăzută la alineatul (6) presupune autorizarea unei autorități judiciare în conformitate cu dreptul național, această autorizație trebuie să fie solicitată. Autorizația poate fi de asemenea solicitată ca măsură de precauție.</w:t>
      </w:r>
    </w:p>
    <w:p w14:paraId="051EB7F6" w14:textId="77777777" w:rsidR="00572B49" w:rsidRPr="00C5096D" w:rsidRDefault="007314F1" w:rsidP="00C5096D">
      <w:pPr>
        <w:pStyle w:val="JuQuot"/>
      </w:pPr>
      <w:r>
        <w:t>(8)  Atunci când este solicitată autorizația menționată la alineatul (7), autoritatea judiciară națională verifică dacă decizia Comisiei este autentică și dacă măsurile coercitive preconizate nu sunt nici arbitrare și nici excesive, având în vedere obiectul inspecției. Atunci când verifică proporționalitatea măsurilor coercitive, autoritatea judiciară națională poate solicita Comisiei, direct sau prin intermediul autorității de concurență a statului membru, explicații detaliate, în special privind motivele care determină Comisia să suspecteze încălcarea articolelor 81 și 82 din tratat, cât și privind gravitatea încălcării suspectate și privind natura implicării întreprinderii în cauză. Totuși, autoritatea judiciară națională nu poate pune în discuție necesitatea inspecției și nici nu poate solicita să i se furnizeze informații din dosarul Comisiei. Controlul legalității deciziei Comisiei este exercitat doar de Curtea de Justiție.”</w:t>
      </w:r>
    </w:p>
    <w:p w14:paraId="068416A3" w14:textId="77777777" w:rsidR="00572B49" w:rsidRPr="00C5096D" w:rsidRDefault="007314F1" w:rsidP="00C5096D">
      <w:pPr>
        <w:pStyle w:val="JuHArticle"/>
      </w:pPr>
      <w:r>
        <w:t>Articolul 21 – Inspecția altor incinte</w:t>
      </w:r>
    </w:p>
    <w:p w14:paraId="14651C85" w14:textId="77777777" w:rsidR="00572B49" w:rsidRPr="00C5096D" w:rsidRDefault="007314F1" w:rsidP="00C5096D">
      <w:pPr>
        <w:pStyle w:val="JuQuot"/>
      </w:pPr>
      <w:r>
        <w:t>„(1)  În cazul în care există o suspiciune întemeiată că registre sau alte documente privind activitatea și obiectul inspecției, care ar putea fi pertinente pentru a dovedi o încălcare gravă a articolului 81 sau a articolului 82 din tratat, sunt păstrate în orice alte incinte, terenuri și mijloace de transport, inclusiv în locuințele directorilor, administratorilor sau ale altor membri ai personalului întreprinderilor sau asociațiilor de întreprinderi în cauză, Comisia poate dispune, printr-o decizie, desfășurarea unei inspecții în aceste incinte, terenuri sau mijloace de transport.</w:t>
      </w:r>
    </w:p>
    <w:p w14:paraId="0603E1BA" w14:textId="77777777" w:rsidR="00572B49" w:rsidRPr="00C5096D" w:rsidRDefault="007314F1" w:rsidP="00C5096D">
      <w:pPr>
        <w:pStyle w:val="JuQuot"/>
      </w:pPr>
      <w:r>
        <w:t>[...]</w:t>
      </w:r>
    </w:p>
    <w:p w14:paraId="5DF75404" w14:textId="77777777" w:rsidR="00572B49" w:rsidRPr="00C5096D" w:rsidRDefault="007314F1" w:rsidP="00C5096D">
      <w:pPr>
        <w:pStyle w:val="JuQuot"/>
      </w:pPr>
      <w:r>
        <w:t>(3)  O decizie adoptată în temeiul alineatului (1) nu poate fi executată fără autorizarea prealabilă a autorității judiciare naționale a statului membru în cauză. Autoritatea judiciară națională verifică dacă decizia Comisiei este autentică și dacă măsurile coercitive preconizate nu sunt nici arbitrare și nici excesive, având în vedere, în special, gravitatea încălcării suspectate, importanța elementelor de probă căutate, implicarea întreprinderii în cauză și probabilitatea rezonabilă ca registrele și documentele privind activitatea care au legătură cu obiectul inspecției să fie păstrate în incintele pentru care se solicită autorizația. Autoritatea judiciară națională poate solicita Comisiei, direct sau prin intermediul autorității de concurență a statului membru, explicații detaliate cu privire la elementele necesare pentru a permite controlul proporționalității măsurilor coercitive avute în vedere.”</w:t>
      </w:r>
    </w:p>
    <w:bookmarkStart w:id="49" w:name="paragraph00060"/>
    <w:p w14:paraId="745F072D"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60</w:t>
      </w:r>
      <w:r w:rsidRPr="00C5096D">
        <w:fldChar w:fldCharType="end"/>
      </w:r>
      <w:bookmarkEnd w:id="49"/>
      <w:r>
        <w:t xml:space="preserve">.  În Hotărârea din 6 septembrie 2013, </w:t>
      </w:r>
      <w:r>
        <w:rPr>
          <w:i/>
        </w:rPr>
        <w:t xml:space="preserve">Deutsche </w:t>
      </w:r>
      <w:proofErr w:type="spellStart"/>
      <w:r>
        <w:rPr>
          <w:i/>
        </w:rPr>
        <w:t>Bahn</w:t>
      </w:r>
      <w:proofErr w:type="spellEnd"/>
      <w:r>
        <w:rPr>
          <w:i/>
        </w:rPr>
        <w:t xml:space="preserve"> și alții împotriva Comisiei</w:t>
      </w:r>
      <w:r>
        <w:t xml:space="preserve"> (T-289/11, T-290/11 și T-521/11, EU:T:2013:404), Tribunalul a statuat, pentru prima dată, că dreptul Uniunii nu impunea, în principiu, o autorizație judiciară prealabilă pentru inspecțiile efectuate în temeiul articolului 20 din Regulamentul nr. 1/2003 (a se vedea supra, pct. </w:t>
      </w:r>
      <w:r w:rsidRPr="00C5096D">
        <w:fldChar w:fldCharType="begin"/>
      </w:r>
      <w:r w:rsidRPr="00C5096D">
        <w:instrText xml:space="preserve">REF paragraph00059 \h \* CharFormat </w:instrText>
      </w:r>
      <w:r w:rsidRPr="00C5096D">
        <w:fldChar w:fldCharType="separate"/>
      </w:r>
      <w:r w:rsidR="00C5096D" w:rsidRPr="00C5096D">
        <w:t>59</w:t>
      </w:r>
      <w:r w:rsidRPr="00C5096D">
        <w:fldChar w:fldCharType="end"/>
      </w:r>
      <w:r>
        <w:t>).</w:t>
      </w:r>
    </w:p>
    <w:p w14:paraId="7CA32E7F" w14:textId="77777777" w:rsidR="00572B49" w:rsidRPr="00C5096D" w:rsidRDefault="00C5096D" w:rsidP="00C5096D">
      <w:pPr>
        <w:pStyle w:val="JuPara"/>
      </w:pPr>
      <w:r w:rsidRPr="00C5096D">
        <w:lastRenderedPageBreak/>
        <w:fldChar w:fldCharType="begin"/>
      </w:r>
      <w:r w:rsidR="007314F1">
        <w:instrText xml:space="preserve"> SEQ level0 \*arabic \* MERGEFORMAT </w:instrText>
      </w:r>
      <w:r w:rsidRPr="00C5096D">
        <w:fldChar w:fldCharType="separate"/>
      </w:r>
      <w:r w:rsidRPr="00C5096D">
        <w:t>61</w:t>
      </w:r>
      <w:r w:rsidRPr="00C5096D">
        <w:fldChar w:fldCharType="end"/>
      </w:r>
      <w:r>
        <w:t xml:space="preserve">.  În special, Tribunalul a analizat situația în temeiul dreptului Uniunii, identificând cinci categorii de garanții în contextul unei inspecții efectuate de Comisie: (1) motivarea deciziilor de inspecție; (2) limitele impuse Comisiei cu ocazia desfășurării inspecției; (3) imposibilitatea Comisiei de a impune inspecția cu forța; (4) intervenția instanțelor naționale; și (5) existența unor căi de atac </w:t>
      </w:r>
      <w:r>
        <w:rPr>
          <w:i/>
          <w:iCs/>
        </w:rPr>
        <w:t>a posteriori</w:t>
      </w:r>
      <w:r>
        <w:t>. Părțile relevante ale motivării Tribunalului au următorul cuprins:</w:t>
      </w:r>
    </w:p>
    <w:p w14:paraId="1B3BC6BC" w14:textId="77777777" w:rsidR="00572B49" w:rsidRPr="00C5096D" w:rsidRDefault="007314F1" w:rsidP="00C5096D">
      <w:pPr>
        <w:pStyle w:val="JuQuot"/>
      </w:pPr>
      <w:r>
        <w:t>„[Motivarea deciziei de inspecție]</w:t>
      </w:r>
    </w:p>
    <w:p w14:paraId="5F43D2DE" w14:textId="77777777" w:rsidR="00572B49" w:rsidRPr="00C5096D" w:rsidRDefault="007314F1" w:rsidP="00C5096D">
      <w:pPr>
        <w:pStyle w:val="JuQuot"/>
      </w:pPr>
      <w:r>
        <w:t xml:space="preserve">75.  În primul rând, în ceea ce privește motivarea deciziei de inspecție, reiese din jurisprudență că aceasta din urmă are drept obiect punerea în evidență a caracterului justificat al intervenției preconizate în interiorul întreprinderilor avute în vedere (a se vedea Hotărârea France </w:t>
      </w:r>
      <w:proofErr w:type="spellStart"/>
      <w:r>
        <w:t>Télécom</w:t>
      </w:r>
      <w:proofErr w:type="spellEnd"/>
      <w:r>
        <w:t>/Comisia, [...], punctul 57 și jurisprudența citată). În continuare, această decizie trebuie să respecte cerințele care figurează la articolul 20 alineatul (4) din Regulamentul nr. 1/2003. Decizia trebuie astfel să indice obiectul și scopul inspecției, să stabilească data la care aceasta începe și să indice sancțiunile prevăzute la articolele 23 și 24 din regulamentul menționat, precum și dreptul de a ataca această decizie la Curtea de Justiție. Reiese din jurisprudență că motivarea trebuie să indice și ipotezele și prezumțiile pe care Comisia dorește să le verifice (Hotărârea Tribunalului din 12 iulie 2007, CB/Comisia, T‑266/03, nepublicată în Repertoriu, punctele 36 și 37).</w:t>
      </w:r>
    </w:p>
    <w:p w14:paraId="47FD6DCF" w14:textId="77777777" w:rsidR="00572B49" w:rsidRPr="00C5096D" w:rsidRDefault="007314F1" w:rsidP="00C5096D">
      <w:pPr>
        <w:pStyle w:val="JuQuot"/>
      </w:pPr>
      <w:r>
        <w:t xml:space="preserve">76.  Astfel, Comisia nu trebuie nici să realizeze o calificare juridică precisă a încălcărilor prezumate, nici să aducă la cunoștința întreprinderii toate informațiile de care dispune, nici să indice perioada în care ar fi avut loc încălcarea suspectată (Hotărârea France </w:t>
      </w:r>
      <w:proofErr w:type="spellStart"/>
      <w:r>
        <w:t>Télécom</w:t>
      </w:r>
      <w:proofErr w:type="spellEnd"/>
      <w:r>
        <w:t>/Comisia, [...], punctul 58).</w:t>
      </w:r>
    </w:p>
    <w:p w14:paraId="606A6BE6" w14:textId="77777777" w:rsidR="00572B49" w:rsidRPr="00C5096D" w:rsidRDefault="007314F1" w:rsidP="00C5096D">
      <w:pPr>
        <w:pStyle w:val="JuQuot"/>
      </w:pPr>
      <w:r>
        <w:t xml:space="preserve">77.  Cu toate acestea, pentru a asigura întreprinderii posibilitatea de a utiliza dreptul său la opoziție, trebuie ca decizia de inspecție să conțină, în afară de elementele formale enumerate la articolul 20 alineatul (4) din Regulamentul nr. 1/2003, o descriere a caracteristicilor încălcării suspectate, indicând piața prezumată în cauză și natura restrângerilor suspectate ale concurenței, precum și sectoarele acoperite de pretinsa încălcare vizată de investigație, explicații referitoare la modul în care întreprinderea este prezumată a fi implicată în încălcare, ce anume se caută și la ce elemente trebuie să se refere verificarea (a se vedea Hotărârea France </w:t>
      </w:r>
      <w:proofErr w:type="spellStart"/>
      <w:r>
        <w:t>Télécom</w:t>
      </w:r>
      <w:proofErr w:type="spellEnd"/>
      <w:r>
        <w:t>/Comisia, [...], punctul 59 și jurisprudența citată).</w:t>
      </w:r>
    </w:p>
    <w:p w14:paraId="6DBA3E41" w14:textId="77777777" w:rsidR="00572B49" w:rsidRPr="00C5096D" w:rsidRDefault="007314F1" w:rsidP="00C5096D">
      <w:pPr>
        <w:pStyle w:val="JuQuot"/>
      </w:pPr>
      <w:r>
        <w:t>78.  Controlul motivării unei decizii permite instanței să se asigure de respectarea principiului protecției împotriva intervențiilor arbitrare și disproporționate și a dreptului la apărare [...]”</w:t>
      </w:r>
    </w:p>
    <w:p w14:paraId="1CF32C71"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62</w:t>
      </w:r>
      <w:r w:rsidRPr="00C5096D">
        <w:fldChar w:fldCharType="end"/>
      </w:r>
      <w:r>
        <w:t xml:space="preserve">.  În Hotărârea din 5 octombrie 2020, </w:t>
      </w:r>
      <w:proofErr w:type="spellStart"/>
      <w:r>
        <w:rPr>
          <w:i/>
        </w:rPr>
        <w:t>Intermarché</w:t>
      </w:r>
      <w:proofErr w:type="spellEnd"/>
      <w:r>
        <w:rPr>
          <w:i/>
        </w:rPr>
        <w:t xml:space="preserve"> </w:t>
      </w:r>
      <w:proofErr w:type="spellStart"/>
      <w:r>
        <w:rPr>
          <w:i/>
        </w:rPr>
        <w:t>Casino</w:t>
      </w:r>
      <w:proofErr w:type="spellEnd"/>
      <w:r>
        <w:rPr>
          <w:i/>
        </w:rPr>
        <w:t xml:space="preserve"> </w:t>
      </w:r>
      <w:proofErr w:type="spellStart"/>
      <w:r>
        <w:rPr>
          <w:i/>
        </w:rPr>
        <w:t>Achats</w:t>
      </w:r>
      <w:proofErr w:type="spellEnd"/>
      <w:r>
        <w:rPr>
          <w:i/>
        </w:rPr>
        <w:t xml:space="preserve"> împotriva Comisiei</w:t>
      </w:r>
      <w:r>
        <w:t xml:space="preserve"> (T‑254/17, EU:T:2020:459), Tribunalul și‐a întemeiat examinarea efectivității controlului jurisdicțional împotriva unei decizii de inspecție pe următoarele principii:</w:t>
      </w:r>
    </w:p>
    <w:p w14:paraId="37FCA306" w14:textId="77777777" w:rsidR="00572B49" w:rsidRPr="00C5096D" w:rsidRDefault="007314F1" w:rsidP="00C5096D">
      <w:pPr>
        <w:pStyle w:val="JuPara"/>
      </w:pPr>
      <w:r>
        <w:t>(1)  trebuie să existe un control jurisdicțional efectiv, atât în fapt, cât și în drept, al legalității deciziei sau a măsurilor în cauză („condiția efectivității”);</w:t>
      </w:r>
    </w:p>
    <w:p w14:paraId="7206EAF4" w14:textId="77777777" w:rsidR="00572B49" w:rsidRPr="00C5096D" w:rsidRDefault="007314F1" w:rsidP="00C5096D">
      <w:pPr>
        <w:pStyle w:val="JuPara"/>
      </w:pPr>
      <w:r>
        <w:t>(2)  căile de atac disponibile trebuie să permită fie împiedicarea desfășurării operațiunii în caz de nelegalitate, fie acordarea de reparații adecvate în cazul în care a avut deja loc o operațiune nelegală („condiția eficienței”);</w:t>
      </w:r>
    </w:p>
    <w:p w14:paraId="0E708150" w14:textId="77777777" w:rsidR="00572B49" w:rsidRPr="00C5096D" w:rsidRDefault="007314F1" w:rsidP="00C5096D">
      <w:pPr>
        <w:pStyle w:val="JuPara"/>
      </w:pPr>
      <w:r>
        <w:lastRenderedPageBreak/>
        <w:t>(3)  accesibilitatea căii de atac în cauză trebuie să fie sigură („condiția certitudinii”);</w:t>
      </w:r>
    </w:p>
    <w:p w14:paraId="0D1D987B" w14:textId="77777777" w:rsidR="00572B49" w:rsidRPr="00C5096D" w:rsidRDefault="007314F1" w:rsidP="00C5096D">
      <w:pPr>
        <w:pStyle w:val="JuPara"/>
      </w:pPr>
      <w:r>
        <w:t>(4)  controlul jurisdicțional trebuie să aibă loc într-un termen rezonabil („condiția termenului rezonabil”).</w:t>
      </w:r>
    </w:p>
    <w:p w14:paraId="436F65EC"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63</w:t>
      </w:r>
      <w:r w:rsidRPr="00C5096D">
        <w:fldChar w:fldCharType="end"/>
      </w:r>
      <w:r>
        <w:t>.  În cadrul examinării principiilor de mai sus, Tribunalul a explicat că instanțele Uniunii Europene s-au întemeiat în mod constant pe jurisprudența Curții, din care rezulta că examinarea trebuia să se bazeze pe o analiză globală a principiilor sus-menționate.</w:t>
      </w:r>
      <w:r>
        <w:rPr>
          <w:rFonts w:ascii="Segoe UI" w:hAnsi="Segoe UI"/>
          <w:color w:val="0D0D0D"/>
        </w:rPr>
        <w:t xml:space="preserve"> </w:t>
      </w:r>
      <w:r>
        <w:t>Mai exact, nu era necesar să fie îndeplinite toate principiile menționate pentru a se constata existența unei căi de atac efective într-o anumită cauză.</w:t>
      </w:r>
    </w:p>
    <w:p w14:paraId="23A5F444"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64</w:t>
      </w:r>
      <w:r w:rsidRPr="00C5096D">
        <w:fldChar w:fldCharType="end"/>
      </w:r>
      <w:r>
        <w:t xml:space="preserve">.  În hotărârea din 5 octombrie 2020, </w:t>
      </w:r>
      <w:proofErr w:type="spellStart"/>
      <w:r>
        <w:rPr>
          <w:i/>
        </w:rPr>
        <w:t>Les</w:t>
      </w:r>
      <w:proofErr w:type="spellEnd"/>
      <w:r>
        <w:rPr>
          <w:i/>
        </w:rPr>
        <w:t xml:space="preserve"> </w:t>
      </w:r>
      <w:proofErr w:type="spellStart"/>
      <w:r>
        <w:rPr>
          <w:i/>
        </w:rPr>
        <w:t>Mousquetaires</w:t>
      </w:r>
      <w:proofErr w:type="spellEnd"/>
      <w:r>
        <w:rPr>
          <w:i/>
        </w:rPr>
        <w:t xml:space="preserve"> și ITM </w:t>
      </w:r>
      <w:proofErr w:type="spellStart"/>
      <w:r>
        <w:rPr>
          <w:i/>
        </w:rPr>
        <w:t>Entreprises</w:t>
      </w:r>
      <w:proofErr w:type="spellEnd"/>
      <w:r>
        <w:t xml:space="preserve"> </w:t>
      </w:r>
      <w:r>
        <w:rPr>
          <w:i/>
          <w:iCs/>
        </w:rPr>
        <w:t>împotriva Comisiei</w:t>
      </w:r>
      <w:r>
        <w:t xml:space="preserve"> (T-255/17, EU:T:2020:460), Tribunalul a examinat o plângere depusă de două societăți care au solicitat (imediat după inspecție și înainte de adoptarea unei decizii emise la finalul procedurii de investigație) anularea deciziilor de inspecție adoptate de Comisie în conformitate cu articolul 20 alineatele (1) și (4) din Regulamentul nr. 1/2003 (a se vedea supra, pct. </w:t>
      </w:r>
      <w:r w:rsidR="007314F1" w:rsidRPr="00C5096D">
        <w:fldChar w:fldCharType="begin"/>
      </w:r>
      <w:r w:rsidR="007314F1" w:rsidRPr="00C5096D">
        <w:instrText xml:space="preserve">REF paragraph00059 \h \* CharFormat </w:instrText>
      </w:r>
      <w:r w:rsidR="007314F1" w:rsidRPr="00C5096D">
        <w:fldChar w:fldCharType="separate"/>
      </w:r>
      <w:r w:rsidRPr="00C5096D">
        <w:t>59</w:t>
      </w:r>
      <w:r w:rsidR="007314F1" w:rsidRPr="00C5096D">
        <w:fldChar w:fldCharType="end"/>
      </w:r>
      <w:r>
        <w:t>). Societățile reclamante au solicitat, de asemenea, anularea deciziei Comisiei de a reține și de a copia informațiile deținute pe dispozitive de comunicare și de stocare ce conțineau date referitoare la viața privată a utilizatorilor dispozitivelor respective, precum și a deciziei Comisiei de a respinge cererea reclamantelor de restituire a informațiilor în cauză.</w:t>
      </w:r>
    </w:p>
    <w:p w14:paraId="30988CE7"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65</w:t>
      </w:r>
      <w:r w:rsidRPr="00C5096D">
        <w:fldChar w:fldCharType="end"/>
      </w:r>
      <w:r>
        <w:t>.  În ceea ce privește critica întemeiată pe încălcarea dreptului la o cale de atac efectivă, ca urmare a lipsei unei căi legale specifice de a formula o plângere cu privire la desfășurarea inspecțiilor, Tribunalul a examinat căile de atac disponibile și a hotărât că aceste căi de atac, considerate împreună, erau de natură să ofere o reparație adecvată în situația reclamantelor. Mai precis, au fost examinate următoarele posibilități de a depune plângeri în fața unei instanțe. Posibilitatea, prevăzută la articolul 20 alineatele (4) și (8) din Regulamentul nr. 1/2003 (a se vedea supra, pct. </w:t>
      </w:r>
      <w:r w:rsidR="007314F1" w:rsidRPr="00C5096D">
        <w:fldChar w:fldCharType="begin"/>
      </w:r>
      <w:r w:rsidR="007314F1" w:rsidRPr="00C5096D">
        <w:instrText xml:space="preserve">REF paragraph00059 \h \* CharFormat </w:instrText>
      </w:r>
      <w:r w:rsidR="007314F1" w:rsidRPr="00C5096D">
        <w:fldChar w:fldCharType="separate"/>
      </w:r>
      <w:r w:rsidRPr="00C5096D">
        <w:t>59</w:t>
      </w:r>
      <w:r w:rsidR="007314F1" w:rsidRPr="00C5096D">
        <w:fldChar w:fldCharType="end"/>
      </w:r>
      <w:r>
        <w:t xml:space="preserve">), de a depune împotriva ordinului de inspecție o plângere care îi permite CJUE să examineze legalitatea acestuia, în special în ceea ce privește existența unor indicii suficient de serioase care să permită să se suspecteze o încălcare a normelor de concurență. În cazul constatării nelegalității, CJUE putea anula ordinul în cauză, precum și toate măsurile adoptate în temeiul acestuia. O altă cale de atac aflată la dispoziția reclamantelor era posibilitatea de a sesiza CJUE cu privire la orice măsură adoptată de Comisie în urma ordinului de inspecție sau în timpul inspecției, cum ar fi o decizie de a refuza o cerere de păstrare a confidențialității documentelor consultate sau ridicate în timpul inspecției sau o decizie de a refuza o cerere de protecție a vieții private a angajaților societății supuse inspecției. O a treia cale de atac disponibilă era posibilitatea de a depune o plângere la CJUE împotriva deciziei finale emise la încheierea procedurii de investigație. Această cale de atac oferea posibilitatea unui control jurisdicțional al respectării limitelor impuse Comisiei de cadrul legal în cazul inspecțiilor inopinate. Cu toate acestea, astfel de proceduri nu erau </w:t>
      </w:r>
      <w:r>
        <w:lastRenderedPageBreak/>
        <w:t>suficiente pentru a oferi o reparație adecvată în cazurile de acces nelegal la documente confidențiale în cursul unei inspecții. În sfârșit, deși a confirmat că respectivele căi de atac sus-menționate, considerate împreună, nu aveau efect suspensiv, Tribunalul a observat că articolul 278 TFUE permitea posibilitatea de a obține suspendarea executării actelor atacate, prin depunerea unei cereri de măsuri provizorii în cadrul oricăreia dintre procedurile sus-menționate. În sfârșit, o altă cale de atac disponibilă în situația reclamantelor era posibilitatea, prevăzută la articolul 340 alineatul (2) TFUE, de a introduce o acțiune în răspundere extracontractuală împotriva Comisiei. Această posibilitate era disponibilă chiar și înainte de adoptarea unei decizii finale de încheiere a investigației și chiar și în cazul în care inspecția nu conducea la o astfel de decizie finală.</w:t>
      </w:r>
    </w:p>
    <w:p w14:paraId="6762363C"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66</w:t>
      </w:r>
      <w:r w:rsidRPr="00C5096D">
        <w:fldChar w:fldCharType="end"/>
      </w:r>
      <w:r>
        <w:t>.  În ceea ce privește critica întemeiată pe încălcarea dreptului societăților reclamante la inviolabilitatea domiciliului (corespunzător art. 8 din Convenție), Tribunalul a procedat la o examinare aprofundată, care se întinde pe douăzeci și trei de pagini, a proporționalității inspecției și a existenței unor indicii suficient de serioase pentru a justifica deciziile de inspecție, cum ar fi indicii materiale serioase susceptibile să creeze o suspiciune de încălcare a dreptului concurenței. Constatând că nu existau astfel de indicii în ceea ce privește una dintre încălcările care au făcut obiectul investigației, Tribunalul a decis să anuleze partea din decizia de inspecție care se referea la încălcarea în cauză.</w:t>
      </w:r>
    </w:p>
    <w:bookmarkStart w:id="50" w:name="paragraph00067"/>
    <w:p w14:paraId="3DC77E1A" w14:textId="77777777" w:rsidR="00385475" w:rsidRPr="00C5096D" w:rsidRDefault="007314F1" w:rsidP="00C5096D">
      <w:pPr>
        <w:pStyle w:val="JuPara"/>
        <w:rPr>
          <w:b/>
          <w:bCs/>
        </w:rPr>
      </w:pPr>
      <w:r w:rsidRPr="00C5096D">
        <w:fldChar w:fldCharType="begin"/>
      </w:r>
      <w:r w:rsidRPr="00C5096D">
        <w:instrText xml:space="preserve"> SEQ level0 \*arabic \* MERGEFORMAT </w:instrText>
      </w:r>
      <w:r w:rsidRPr="00C5096D">
        <w:fldChar w:fldCharType="separate"/>
      </w:r>
      <w:r w:rsidR="00C5096D" w:rsidRPr="00C5096D">
        <w:t>67</w:t>
      </w:r>
      <w:r w:rsidRPr="00C5096D">
        <w:fldChar w:fldCharType="end"/>
      </w:r>
      <w:bookmarkEnd w:id="50"/>
      <w:r>
        <w:t>.  Recursul formulat de societățile reclamante împotriva deciziei sus-menționate a fost admis de CJUE, care a pronunțat hotărârea sa la 9 martie 2023 (</w:t>
      </w:r>
      <w:proofErr w:type="spellStart"/>
      <w:r>
        <w:rPr>
          <w:i/>
        </w:rPr>
        <w:t>Les</w:t>
      </w:r>
      <w:proofErr w:type="spellEnd"/>
      <w:r>
        <w:rPr>
          <w:i/>
        </w:rPr>
        <w:t xml:space="preserve"> </w:t>
      </w:r>
      <w:proofErr w:type="spellStart"/>
      <w:r>
        <w:rPr>
          <w:i/>
        </w:rPr>
        <w:t>Mousquetaires</w:t>
      </w:r>
      <w:proofErr w:type="spellEnd"/>
      <w:r>
        <w:rPr>
          <w:i/>
        </w:rPr>
        <w:t xml:space="preserve"> și ITM </w:t>
      </w:r>
      <w:proofErr w:type="spellStart"/>
      <w:r>
        <w:rPr>
          <w:i/>
        </w:rPr>
        <w:t>Entreprises</w:t>
      </w:r>
      <w:proofErr w:type="spellEnd"/>
      <w:r>
        <w:rPr>
          <w:i/>
        </w:rPr>
        <w:t>/Comisia,</w:t>
      </w:r>
      <w:r>
        <w:t xml:space="preserve"> C</w:t>
      </w:r>
      <w:r>
        <w:noBreakHyphen/>
        <w:t>682/20 P, EU:C:2023:170). CJUE a reexaminat motivele invocate de Comisie pentru a justifica deciziile de inspecție și a hotărât că deciziile în cauză nu au fost susținute de indicii suficient de serioase, deoarece elementele esențiale ale acestor indicii erau informații obținute cu încălcarea obligațiilor procedurale (interviurile cu furnizorii, efectuate înainte de deschiderea oficială a investigației în scopul colectării de indicii ale unei încălcări, au fost afectate de o neregularitate de formă). În consecință, CJUE a anulat deciziile de inspecție.</w:t>
      </w:r>
    </w:p>
    <w:p w14:paraId="293D9146" w14:textId="77777777" w:rsidR="00572B49" w:rsidRPr="00C5096D" w:rsidRDefault="007314F1" w:rsidP="00C5096D">
      <w:pPr>
        <w:pStyle w:val="JuHIRoman"/>
        <w:ind w:left="357" w:hanging="357"/>
      </w:pPr>
      <w:r>
        <w:rPr>
          <w:caps w:val="0"/>
        </w:rPr>
        <w:t>DISPOZIȚII ALE DREPTULUI PENAL INTERN</w:t>
      </w:r>
    </w:p>
    <w:bookmarkStart w:id="51" w:name="paragraph00068"/>
    <w:p w14:paraId="39FAFE80"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68</w:t>
      </w:r>
      <w:r w:rsidRPr="00C5096D">
        <w:fldChar w:fldCharType="end"/>
      </w:r>
      <w:bookmarkEnd w:id="51"/>
      <w:r>
        <w:t xml:space="preserve">.  Dispozițiile relevante ale vechiului Cod de procedură penală (denumit în continuare „vechiul C. </w:t>
      </w:r>
      <w:proofErr w:type="spellStart"/>
      <w:r>
        <w:t>proc</w:t>
      </w:r>
      <w:proofErr w:type="spellEnd"/>
      <w:r>
        <w:t xml:space="preserve">. </w:t>
      </w:r>
      <w:proofErr w:type="spellStart"/>
      <w:r>
        <w:t>pen</w:t>
      </w:r>
      <w:proofErr w:type="spellEnd"/>
      <w:r>
        <w:t>.”), în vigoare la momentul faptelor, se citesc astfel:</w:t>
      </w:r>
    </w:p>
    <w:p w14:paraId="6D0246B2" w14:textId="77777777" w:rsidR="00572B49" w:rsidRPr="00C5096D" w:rsidRDefault="007314F1" w:rsidP="00C5096D">
      <w:pPr>
        <w:pStyle w:val="JuHArticle"/>
      </w:pPr>
      <w:r>
        <w:t>Articolul 96 – Ridicarea de obiecte și înscrisuri</w:t>
      </w:r>
    </w:p>
    <w:p w14:paraId="0B5EFE79" w14:textId="77777777" w:rsidR="00572B49" w:rsidRPr="00C5096D" w:rsidRDefault="007314F1" w:rsidP="00C5096D">
      <w:pPr>
        <w:pStyle w:val="JuQuot"/>
      </w:pPr>
      <w:r>
        <w:t>„Organul de urmărire penală sau instanța de judecată are obligația să ridice obiectele și înscrisurile ce pot servi ca mijloc de probă în procesul penal.”</w:t>
      </w:r>
    </w:p>
    <w:p w14:paraId="56551955" w14:textId="77777777" w:rsidR="00572B49" w:rsidRPr="00C5096D" w:rsidRDefault="007314F1" w:rsidP="00C5096D">
      <w:pPr>
        <w:pStyle w:val="JuHArticle"/>
      </w:pPr>
      <w:r>
        <w:lastRenderedPageBreak/>
        <w:t>Articolul 97 – Predarea obiectelor și înscrisurilor</w:t>
      </w:r>
    </w:p>
    <w:p w14:paraId="19B9C69F" w14:textId="77777777" w:rsidR="00572B49" w:rsidRPr="00C5096D" w:rsidRDefault="007314F1" w:rsidP="00C5096D">
      <w:pPr>
        <w:pStyle w:val="JuQuot"/>
      </w:pPr>
      <w:r>
        <w:t>„(1)  Orice persoană fizică sau persoană juridică, în posesia căreia se află un obiect sau un înscris ce poate servi ca mijloc de probă, este obligată să-l prezinte și să-l predea, sub luare de dovadă, organului de urmărire penală sau instanței de judecată, la cererea acestora.</w:t>
      </w:r>
    </w:p>
    <w:p w14:paraId="07057517" w14:textId="77777777" w:rsidR="00572B49" w:rsidRPr="00C5096D" w:rsidRDefault="007314F1" w:rsidP="00C5096D">
      <w:pPr>
        <w:pStyle w:val="JuQuot"/>
      </w:pPr>
      <w:r>
        <w:t>(2)  Dacă organul de urmărire penală sau instanța de judecată apreciază că și o copie de pe un înscris poate servi ca mijloc de probă, reține numai copia.</w:t>
      </w:r>
    </w:p>
    <w:p w14:paraId="7769B716" w14:textId="77777777" w:rsidR="00572B49" w:rsidRPr="00C5096D" w:rsidRDefault="007314F1" w:rsidP="00C5096D">
      <w:pPr>
        <w:pStyle w:val="JuQuot"/>
      </w:pPr>
      <w:r>
        <w:t>(3)  Dacă obiectul sau înscrisul are caracter secret ori confidențial, prezentarea sau predarea se face în condiții care să asigure păstrarea secretului ori a confidențialității.”</w:t>
      </w:r>
    </w:p>
    <w:p w14:paraId="2DA1CEFD" w14:textId="77777777" w:rsidR="00572B49" w:rsidRPr="00C5096D" w:rsidRDefault="007314F1" w:rsidP="00C5096D">
      <w:pPr>
        <w:pStyle w:val="JuHArticle"/>
      </w:pPr>
      <w:r>
        <w:t>Articolul 99 – Ridicarea silită de obiecte sau de înscrisuri</w:t>
      </w:r>
    </w:p>
    <w:p w14:paraId="338E8D76" w14:textId="77777777" w:rsidR="00572B49" w:rsidRPr="00C5096D" w:rsidRDefault="007314F1" w:rsidP="00C5096D">
      <w:pPr>
        <w:pStyle w:val="JuQuot"/>
      </w:pPr>
      <w:r>
        <w:t>„(1)  Dacă obiectul sau înscrisul cerut nu este predat de bunăvoie, organul de urmărire penală sau instanța de judecată dispune ridicarea silită.</w:t>
      </w:r>
    </w:p>
    <w:p w14:paraId="7ED5C1A1" w14:textId="77777777" w:rsidR="00572B49" w:rsidRPr="00C5096D" w:rsidRDefault="007314F1" w:rsidP="00C5096D">
      <w:pPr>
        <w:pStyle w:val="JuQuot"/>
      </w:pPr>
      <w:r>
        <w:t>(2)  În cursul judecății dispoziția de ridicare silită a obiectelor sau înscrisurilor se comunică procurorului, care ia măsuri de aducere la îndeplinire prin organul de cercetare penală.”</w:t>
      </w:r>
    </w:p>
    <w:p w14:paraId="69722E8E" w14:textId="77777777" w:rsidR="00572B49" w:rsidRPr="00C5096D" w:rsidRDefault="007314F1" w:rsidP="00C5096D">
      <w:pPr>
        <w:pStyle w:val="JuHArticle"/>
      </w:pPr>
      <w:r>
        <w:t>Articolul 100 alineatul (5) – Percheziția</w:t>
      </w:r>
    </w:p>
    <w:p w14:paraId="5C70DB2C" w14:textId="77777777" w:rsidR="00572B49" w:rsidRPr="00C5096D" w:rsidRDefault="007314F1" w:rsidP="00C5096D">
      <w:pPr>
        <w:pStyle w:val="JuQuot"/>
      </w:pPr>
      <w:r>
        <w:t>„În baza încheierii, judecătorul emite de îndată autorizația de percheziție, care trebuie să cuprindă:</w:t>
      </w:r>
    </w:p>
    <w:p w14:paraId="7094FBCD" w14:textId="77777777" w:rsidR="00572B49" w:rsidRPr="00C5096D" w:rsidRDefault="007314F1" w:rsidP="00C5096D">
      <w:pPr>
        <w:pStyle w:val="JuQuot"/>
      </w:pPr>
      <w:r>
        <w:t>a) denumirea instanței;</w:t>
      </w:r>
    </w:p>
    <w:p w14:paraId="1E8CD8FE" w14:textId="77777777" w:rsidR="00572B49" w:rsidRPr="00C5096D" w:rsidRDefault="007314F1" w:rsidP="00C5096D">
      <w:pPr>
        <w:pStyle w:val="JuQuot"/>
      </w:pPr>
      <w:r>
        <w:t>b) data, ora și locul emiterii;</w:t>
      </w:r>
    </w:p>
    <w:p w14:paraId="1C6D42F2" w14:textId="77777777" w:rsidR="00572B49" w:rsidRPr="00C5096D" w:rsidRDefault="007314F1" w:rsidP="00C5096D">
      <w:pPr>
        <w:pStyle w:val="JuQuot"/>
      </w:pPr>
      <w:r>
        <w:t>c) numele, prenumele și calitatea persoanei care a emis autorizația de percheziție;</w:t>
      </w:r>
    </w:p>
    <w:p w14:paraId="26ADFA02" w14:textId="77777777" w:rsidR="00572B49" w:rsidRPr="00C5096D" w:rsidRDefault="007314F1" w:rsidP="00C5096D">
      <w:pPr>
        <w:pStyle w:val="JuQuot"/>
      </w:pPr>
      <w:r>
        <w:t>d) perioada pentru care s-a emis autorizația;</w:t>
      </w:r>
    </w:p>
    <w:p w14:paraId="7B5CEC20" w14:textId="77777777" w:rsidR="00572B49" w:rsidRPr="00C5096D" w:rsidRDefault="007314F1" w:rsidP="00C5096D">
      <w:pPr>
        <w:pStyle w:val="JuQuot"/>
      </w:pPr>
      <w:r>
        <w:t>e) locul unde urmează a se efectua percheziția;</w:t>
      </w:r>
    </w:p>
    <w:p w14:paraId="36DB79D1" w14:textId="77777777" w:rsidR="00572B49" w:rsidRPr="00C5096D" w:rsidRDefault="007314F1" w:rsidP="00C5096D">
      <w:pPr>
        <w:pStyle w:val="JuQuot"/>
      </w:pPr>
      <w:r>
        <w:t>f) numele persoanei la domiciliul sau reședința căreia se efectuează percheziția;</w:t>
      </w:r>
    </w:p>
    <w:p w14:paraId="1CDD19E0" w14:textId="77777777" w:rsidR="00572B49" w:rsidRPr="00C5096D" w:rsidRDefault="007314F1" w:rsidP="00C5096D">
      <w:pPr>
        <w:pStyle w:val="JuQuot"/>
      </w:pPr>
      <w:r>
        <w:t>g) numele învinuitului sau inculpatului.”</w:t>
      </w:r>
    </w:p>
    <w:p w14:paraId="69365CC5" w14:textId="77777777" w:rsidR="00572B49" w:rsidRPr="00C5096D" w:rsidRDefault="007314F1" w:rsidP="00C5096D">
      <w:pPr>
        <w:pStyle w:val="JuHArticle"/>
      </w:pPr>
      <w:r>
        <w:t>Articolul 109 – Măsuri privind obiectele ridicate</w:t>
      </w:r>
    </w:p>
    <w:p w14:paraId="6591ECD2" w14:textId="77777777" w:rsidR="00572B49" w:rsidRPr="00C5096D" w:rsidRDefault="007314F1" w:rsidP="00C5096D">
      <w:pPr>
        <w:pStyle w:val="JuQuot"/>
      </w:pPr>
      <w:r>
        <w:t>„(1)  Organul de urmărire penală sau instanța de judecată dispune ca obiectele ori înscrisurile ridicate care constituie mijloace de probă să fie, după caz, atașate la dosar sau păstrate în alt mod [...]</w:t>
      </w:r>
    </w:p>
    <w:p w14:paraId="2A372CC7" w14:textId="77777777" w:rsidR="00572B49" w:rsidRPr="00C5096D" w:rsidRDefault="007314F1" w:rsidP="00C5096D">
      <w:pPr>
        <w:pStyle w:val="JuQuot"/>
      </w:pPr>
      <w:r>
        <w:t>(3)  Până la soluționarea definitivă a cauzei, mijloacele materiale de probă se păstrează de organul de urmărire penală sau de instanța de judecată la care se găsește dosarul.</w:t>
      </w:r>
    </w:p>
    <w:p w14:paraId="21BD84C5" w14:textId="77777777" w:rsidR="00572B49" w:rsidRPr="00C5096D" w:rsidRDefault="007314F1" w:rsidP="00C5096D">
      <w:pPr>
        <w:pStyle w:val="JuQuot"/>
      </w:pPr>
      <w:r>
        <w:t>(4)  Obiectele și înscrisurile predate sau ridicate în urma percheziției și care nu au legătură cu cauza se restituie persoanei căreia îi aparțin. Obiectele supuse confiscării nu se restituie.</w:t>
      </w:r>
    </w:p>
    <w:p w14:paraId="7E9B2F10" w14:textId="77777777" w:rsidR="00572B49" w:rsidRPr="00C5096D" w:rsidRDefault="007314F1" w:rsidP="00C5096D">
      <w:pPr>
        <w:pStyle w:val="JuQuot"/>
      </w:pPr>
      <w:r>
        <w:t xml:space="preserve">(5)  Obiectele ce servesc ca mijloc de probă, dacă nu sunt supuse confiscării, pot fi restituite persoanei căreia îi aparțin, chiar înainte de soluționarea definitivă a procesului, afară de cazul când prin această restituire s-ar putea stânjeni aflarea adevărului. Organul de urmărire penală sau instanța de judecată pune în vedere persoanei căreia i-au fost </w:t>
      </w:r>
      <w:r>
        <w:lastRenderedPageBreak/>
        <w:t>restituite obiectele că este obligată să le păstreze până la soluționarea definitivă a cauzei.”</w:t>
      </w:r>
    </w:p>
    <w:p w14:paraId="22696D2E" w14:textId="77777777" w:rsidR="00572B49" w:rsidRPr="00C5096D" w:rsidRDefault="007314F1" w:rsidP="00C5096D">
      <w:pPr>
        <w:pStyle w:val="JuHArticle"/>
      </w:pPr>
      <w:r>
        <w:t>Articolul 301 – Drepturile procurorului și ale părților în instanță</w:t>
      </w:r>
    </w:p>
    <w:p w14:paraId="418E34A2" w14:textId="77777777" w:rsidR="00572B49" w:rsidRPr="00C5096D" w:rsidRDefault="007314F1" w:rsidP="00C5096D">
      <w:pPr>
        <w:pStyle w:val="JuQuot"/>
        <w:rPr>
          <w:bCs/>
        </w:rPr>
      </w:pPr>
      <w:r>
        <w:t>„(1)  În cursul judecății, procurorul și oricare dintre părți pot formula cereri, ridica excepții și pune concluzii.</w:t>
      </w:r>
    </w:p>
    <w:p w14:paraId="07860A2A" w14:textId="77777777" w:rsidR="00572B49" w:rsidRPr="00C5096D" w:rsidRDefault="007314F1" w:rsidP="00C5096D">
      <w:pPr>
        <w:pStyle w:val="JuQuot"/>
        <w:rPr>
          <w:bCs/>
        </w:rPr>
      </w:pPr>
      <w:r>
        <w:t>(2)  Partea vătămată poate formula cereri, ridica excepții și pune concluzii cu privire la latura penală a cauzei. [...]</w:t>
      </w:r>
    </w:p>
    <w:p w14:paraId="3C40A288" w14:textId="77777777" w:rsidR="00385475" w:rsidRPr="00C5096D" w:rsidRDefault="007314F1" w:rsidP="00C5096D">
      <w:pPr>
        <w:pStyle w:val="JuQuot"/>
        <w:rPr>
          <w:bCs/>
        </w:rPr>
      </w:pPr>
      <w:r>
        <w:t>(3)  Partea civilă poate formula cereri, ridica excepții și pune concluzii în măsura în care acestea au legătură cu pretențiile sale civile.”</w:t>
      </w:r>
    </w:p>
    <w:bookmarkStart w:id="52" w:name="paragraph00069"/>
    <w:p w14:paraId="16A81ADE"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69</w:t>
      </w:r>
      <w:r w:rsidRPr="00C5096D">
        <w:fldChar w:fldCharType="end"/>
      </w:r>
      <w:bookmarkEnd w:id="52"/>
      <w:r>
        <w:t xml:space="preserve">.  Dispozițiile relevante ale noului Cod de procedură penală („noul C. </w:t>
      </w:r>
      <w:proofErr w:type="spellStart"/>
      <w:r>
        <w:t>proc</w:t>
      </w:r>
      <w:proofErr w:type="spellEnd"/>
      <w:r>
        <w:t xml:space="preserve">. </w:t>
      </w:r>
      <w:proofErr w:type="spellStart"/>
      <w:r>
        <w:t>pen</w:t>
      </w:r>
      <w:proofErr w:type="spellEnd"/>
      <w:r>
        <w:t>.”), în vigoare începând cu 1 februarie 2014, se citesc astfel:</w:t>
      </w:r>
    </w:p>
    <w:p w14:paraId="4A1B79DC" w14:textId="77777777" w:rsidR="00572B49" w:rsidRPr="00C5096D" w:rsidRDefault="007314F1" w:rsidP="00C5096D">
      <w:pPr>
        <w:pStyle w:val="JuHArticle"/>
      </w:pPr>
      <w:r>
        <w:t>Articolul 157 – Cazurile și condițiile în care se poate dispune percheziția domiciliară</w:t>
      </w:r>
    </w:p>
    <w:p w14:paraId="1B1EC424" w14:textId="77777777" w:rsidR="00572B49" w:rsidRPr="00C5096D" w:rsidRDefault="007314F1" w:rsidP="00C5096D">
      <w:pPr>
        <w:pStyle w:val="JuQuot"/>
      </w:pPr>
      <w:r>
        <w:t>„(1)  Percheziția domiciliară ori a bunurilor aflate în domiciliu poate fi dispusă dacă există o suspiciune rezonabilă cu privire la săvârșirea unei infracțiuni de către o persoană ori la deținerea unor obiecte sau înscrisuri ce au legătură cu o infracțiune și se presupune că percheziția poate conduce la descoperirea și strângerea probelor cu privire la această infracțiune, la conservarea urmelor săvârșirii infracțiunii sau la prinderea suspectului ori inculpatului.</w:t>
      </w:r>
    </w:p>
    <w:p w14:paraId="06575D0B" w14:textId="77777777" w:rsidR="00572B49" w:rsidRPr="00C5096D" w:rsidRDefault="007314F1" w:rsidP="00C5096D">
      <w:pPr>
        <w:pStyle w:val="JuQuot"/>
      </w:pPr>
      <w:r>
        <w:t>(2)  Prin domiciliu se înțelege o locuință sau orice spațiu delimitat în orice mod ce aparține ori este folosit de o persoană fizică sau juridică.”</w:t>
      </w:r>
    </w:p>
    <w:p w14:paraId="609918CE" w14:textId="77777777" w:rsidR="00572B49" w:rsidRPr="00C5096D" w:rsidRDefault="007314F1" w:rsidP="00C5096D">
      <w:pPr>
        <w:pStyle w:val="JuHArticle"/>
      </w:pPr>
      <w:r>
        <w:t>Articolul 162 – Măsurile privind obiectele ori înscrisurile ridicate</w:t>
      </w:r>
    </w:p>
    <w:p w14:paraId="6C597E4F" w14:textId="77777777" w:rsidR="00572B49" w:rsidRPr="00C5096D" w:rsidRDefault="007314F1" w:rsidP="00C5096D">
      <w:pPr>
        <w:pStyle w:val="JuQuot"/>
      </w:pPr>
      <w:r>
        <w:t>„(1)  Obiectele ori înscrisurile ridicate care constituie mijloace de probă sunt atașate la dosar sau păstrate în alt mod, iar urmele săvârșirii infracțiunii se ridică și sunt conservate.</w:t>
      </w:r>
    </w:p>
    <w:p w14:paraId="404F96FC" w14:textId="77777777" w:rsidR="00572B49" w:rsidRPr="00C5096D" w:rsidRDefault="007314F1" w:rsidP="00C5096D">
      <w:pPr>
        <w:pStyle w:val="JuQuot"/>
      </w:pPr>
      <w:r>
        <w:t>[...]</w:t>
      </w:r>
    </w:p>
    <w:p w14:paraId="486005CE" w14:textId="77777777" w:rsidR="00572B49" w:rsidRPr="00C5096D" w:rsidRDefault="007314F1" w:rsidP="00C5096D">
      <w:pPr>
        <w:pStyle w:val="JuQuot"/>
      </w:pPr>
      <w:r>
        <w:t>(3)  Mijloacele materiale de probă se păstrează de organul de urmărire penală sau de instanța de judecată la care se găsește dosarul, până la soluționarea definitivă a cauzei.</w:t>
      </w:r>
    </w:p>
    <w:p w14:paraId="26CB9BE2" w14:textId="77777777" w:rsidR="00572B49" w:rsidRPr="00C5096D" w:rsidRDefault="007314F1" w:rsidP="00C5096D">
      <w:pPr>
        <w:pStyle w:val="JuQuot"/>
      </w:pPr>
      <w:r>
        <w:t>(4)  Obiectele care nu au legătură cu cauza se restituie persoanei căreia îi aparțin, cu excepția celor care sunt supuse confiscării, în condițiile legii.</w:t>
      </w:r>
    </w:p>
    <w:p w14:paraId="6C280417" w14:textId="77777777" w:rsidR="00572B49" w:rsidRPr="00C5096D" w:rsidRDefault="007314F1" w:rsidP="00C5096D">
      <w:pPr>
        <w:pStyle w:val="JuQuot"/>
      </w:pPr>
      <w:r>
        <w:t>(5)  Obiectele ce servesc ca mijloc de probă, dacă nu sunt supuse confiscării, în condițiile legii, pot fi restituite, chiar înainte de soluționarea definitivă a procesului, persoanei căreia îi aparțin, în afară de cazul când prin această restituire s-ar putea stânjeni aflarea adevărului. Organul de urmărire penală sau instanța de judecată pune în vedere persoanei căreia i-au fost restituite obiectele că este obligată să le păstreze până la soluționarea definitivă a cauzei.”</w:t>
      </w:r>
    </w:p>
    <w:p w14:paraId="5631E223" w14:textId="77777777" w:rsidR="00572B49" w:rsidRPr="00C5096D" w:rsidRDefault="007314F1" w:rsidP="00C5096D">
      <w:pPr>
        <w:pStyle w:val="JuHArticle"/>
      </w:pPr>
      <w:r>
        <w:t>Articolul 170 alineatul (1) – Predarea obiectelor, înscrisurilor sau a datelor informatice</w:t>
      </w:r>
    </w:p>
    <w:p w14:paraId="52BD3540" w14:textId="77777777" w:rsidR="00572B49" w:rsidRPr="00C5096D" w:rsidRDefault="007314F1" w:rsidP="00C5096D">
      <w:pPr>
        <w:pStyle w:val="JuQuot"/>
      </w:pPr>
      <w:r>
        <w:t xml:space="preserve">„În cazul în care există o suspiciune rezonabilă cu privire la pregătirea sau săvârșirea unei infracțiuni și sunt temeiuri de a se crede că un obiect ori un înscris poate servi ca mijloc de probă în cauză, organul de urmărire penală sau instanța de judecată poate </w:t>
      </w:r>
      <w:r>
        <w:lastRenderedPageBreak/>
        <w:t>dispune persoanei fizice sau juridice în posesia căreia se află să le prezinte și să le predea, sub luare de dovadă. [...]”</w:t>
      </w:r>
    </w:p>
    <w:p w14:paraId="3FB0BE9A" w14:textId="77777777" w:rsidR="00572B49" w:rsidRPr="00C5096D" w:rsidRDefault="007314F1" w:rsidP="00C5096D">
      <w:pPr>
        <w:pStyle w:val="JuHArticle"/>
      </w:pPr>
      <w:r>
        <w:t>Articolul 171 – Ridicarea silită de obiecte și înscrisuri</w:t>
      </w:r>
    </w:p>
    <w:p w14:paraId="7A8CF86D" w14:textId="77777777" w:rsidR="00572B49" w:rsidRPr="00C5096D" w:rsidRDefault="007314F1" w:rsidP="00C5096D">
      <w:pPr>
        <w:pStyle w:val="JuQuot"/>
      </w:pPr>
      <w:r>
        <w:t>„(1)  Dacă obiectul sau înscrisul cerut nu este predat de bunăvoie, organul de urmărire penală, prin ordonanță, sau instanța de judecată, prin încheiere, dispune ridicarea silită. În cursul judecății, dispoziția de ridicare silită a obiectelor sau înscrisurilor se comunică procurorului, care ia măsuri de aducere la îndeplinire, prin organul de cercetare penală.</w:t>
      </w:r>
    </w:p>
    <w:p w14:paraId="0D236FAD" w14:textId="77777777" w:rsidR="00572B49" w:rsidRPr="00C5096D" w:rsidRDefault="007314F1" w:rsidP="00C5096D">
      <w:pPr>
        <w:pStyle w:val="JuQuot"/>
      </w:pPr>
      <w:r>
        <w:t>(2)  Împotriva măsurii dispuse potrivit alin. (1) sau a modului de aducere la îndeplinire a acesteia se poate face plângere de către orice persoană interesată. Dispozițiile art. 250 se aplică în mod corespunzător.”</w:t>
      </w:r>
    </w:p>
    <w:p w14:paraId="237FFFEA" w14:textId="77777777" w:rsidR="00572B49" w:rsidRPr="00C5096D" w:rsidRDefault="007314F1" w:rsidP="00C5096D">
      <w:pPr>
        <w:pStyle w:val="JuHArticle"/>
      </w:pPr>
      <w:r>
        <w:t>Articolul 249 alineatul (1) – Condițiile generale de luare a măsurilor asigurătorii</w:t>
      </w:r>
    </w:p>
    <w:p w14:paraId="0089731A" w14:textId="77777777" w:rsidR="00572B49" w:rsidRPr="00C5096D" w:rsidRDefault="007314F1" w:rsidP="00C5096D">
      <w:pPr>
        <w:pStyle w:val="JuQuot"/>
      </w:pPr>
      <w:r>
        <w:t>„Procurorul, în cursul urmăririi penale, judecătorul de cameră preliminară sau instanța de judecată, din oficiu sau la cererea procurorului, în procedura de cameră preliminară ori în cursul judecății, poate lua măsuri asigurătorii [...] pentru a evita ascunderea, distrugerea, înstrăinarea sau sustragerea de la urmărire a bunurilor care pot face obiectul confiscării speciale sau al confiscării extinse ori care pot servi la garantarea executării pedepsei amenzii sau a cheltuielilor judiciare ori a reparării pagubei produse prin infracțiune.”</w:t>
      </w:r>
    </w:p>
    <w:p w14:paraId="34115DAD" w14:textId="77777777" w:rsidR="00572B49" w:rsidRPr="00C5096D" w:rsidRDefault="007314F1" w:rsidP="00C5096D">
      <w:pPr>
        <w:pStyle w:val="JuHArticle"/>
      </w:pPr>
      <w:r>
        <w:t>Articolul 250 alineatul (1) – Contestarea măsurilor asigurătorii</w:t>
      </w:r>
    </w:p>
    <w:p w14:paraId="1943764A" w14:textId="77777777" w:rsidR="00572B49" w:rsidRPr="00C5096D" w:rsidRDefault="007314F1" w:rsidP="00C5096D">
      <w:pPr>
        <w:pStyle w:val="JuQuot"/>
      </w:pPr>
      <w:r>
        <w:t>„Împotriva măsurii asigurătorii luate de procuror [sau a modului de aducere la îndeplinire a acesteia] suspectul ori inculpatul sau orice altă persoană interesată poate face contestație, în termen de 3 zile de la data comunicării ordonanței de luare a măsurii sau de la data aducerii la îndeplinire a acesteia, la judecătorul de drepturi și libertăți de la instanța căreia i-ar reveni competența să judece cauza în fond.”</w:t>
      </w:r>
    </w:p>
    <w:p w14:paraId="4C1DBBF4" w14:textId="77777777" w:rsidR="00572B49" w:rsidRPr="00C5096D" w:rsidRDefault="007314F1" w:rsidP="00C5096D">
      <w:pPr>
        <w:pStyle w:val="JuHArticle"/>
      </w:pPr>
      <w:r>
        <w:t>Articolul 255 – Restituirea lucrurilor</w:t>
      </w:r>
    </w:p>
    <w:p w14:paraId="2BC05147" w14:textId="77777777" w:rsidR="00572B49" w:rsidRPr="00C5096D" w:rsidRDefault="007314F1" w:rsidP="00C5096D">
      <w:pPr>
        <w:pStyle w:val="JuQuot"/>
      </w:pPr>
      <w:r>
        <w:t>„(1)  Dacă procurorul sau judecătorul de drepturi și libertăți, în cursul urmăririi penale, judecătorul de cameră preliminară sau instanța de judecată, în procedura de cameră preliminară ori în cursul judecății, constată, la cerere sau din oficiu, că lucrurile ridicate de la suspect ori inculpat sau de la orice persoană care le-a primit spre a le păstra sunt proprietatea persoanei vătămate sau a altei persoane ori au fost luate pe nedrept din posesia sau deținerea acestora, dispune restituirea acestor lucruri. Dispozițiile art. 250 se aplică în mod corespunzător.</w:t>
      </w:r>
    </w:p>
    <w:p w14:paraId="0BFAD37C" w14:textId="77777777" w:rsidR="00572B49" w:rsidRPr="00C5096D" w:rsidRDefault="007314F1" w:rsidP="00C5096D">
      <w:pPr>
        <w:pStyle w:val="JuQuot"/>
      </w:pPr>
      <w:r>
        <w:t>(2)  Restituirea lucrurilor ridicate are loc numai dacă prin aceasta nu sunt îngreunate stabilirea situației de fapt și justa soluționare a cauzei și cu obligația pentru cel căruia îi sunt restituite să le păstreze până la pronunțarea unei soluții definitive în procesul penal.”</w:t>
      </w:r>
    </w:p>
    <w:p w14:paraId="308FE27D" w14:textId="77777777" w:rsidR="00572B49" w:rsidRPr="00C5096D" w:rsidRDefault="007314F1" w:rsidP="00C5096D">
      <w:pPr>
        <w:pStyle w:val="JuHArticle"/>
      </w:pPr>
      <w:r>
        <w:t>Articolul 404 alineatul (4) – Conținutul dispozitivului [hotărârii instanței]</w:t>
      </w:r>
    </w:p>
    <w:p w14:paraId="1AF08FDB" w14:textId="77777777" w:rsidR="00572B49" w:rsidRPr="00C5096D" w:rsidRDefault="007314F1" w:rsidP="00C5096D">
      <w:pPr>
        <w:pStyle w:val="JuQuot"/>
      </w:pPr>
      <w:r>
        <w:t>„Dispozitivul trebuie să mai cuprindă, după caz, cele hotărâte de instanță cu privire la:</w:t>
      </w:r>
    </w:p>
    <w:p w14:paraId="19CB921D" w14:textId="77777777" w:rsidR="00572B49" w:rsidRPr="00C5096D" w:rsidRDefault="007314F1" w:rsidP="00C5096D">
      <w:pPr>
        <w:pStyle w:val="JuQuot"/>
      </w:pPr>
      <w:r>
        <w:t>[...]</w:t>
      </w:r>
    </w:p>
    <w:p w14:paraId="31B115F0" w14:textId="77777777" w:rsidR="00572B49" w:rsidRPr="00C5096D" w:rsidRDefault="007314F1" w:rsidP="00C5096D">
      <w:pPr>
        <w:pStyle w:val="JuQuot"/>
      </w:pPr>
      <w:r>
        <w:t>f) restituirea lucrurilor;</w:t>
      </w:r>
    </w:p>
    <w:p w14:paraId="71A362E3" w14:textId="77777777" w:rsidR="00572B49" w:rsidRPr="00C5096D" w:rsidRDefault="007314F1" w:rsidP="00C5096D">
      <w:pPr>
        <w:pStyle w:val="JuQuot"/>
      </w:pPr>
      <w:r>
        <w:t>[...]”</w:t>
      </w:r>
    </w:p>
    <w:bookmarkStart w:id="53" w:name="paragraph00070"/>
    <w:p w14:paraId="2415A257" w14:textId="77777777" w:rsidR="00572B49" w:rsidRPr="00C5096D" w:rsidRDefault="007314F1" w:rsidP="00C5096D">
      <w:pPr>
        <w:pStyle w:val="JuPara"/>
      </w:pPr>
      <w:r w:rsidRPr="00C5096D">
        <w:lastRenderedPageBreak/>
        <w:fldChar w:fldCharType="begin"/>
      </w:r>
      <w:r w:rsidRPr="00C5096D">
        <w:instrText xml:space="preserve"> SEQ level0 \*arabic \* MERGEFORMAT </w:instrText>
      </w:r>
      <w:r w:rsidRPr="00C5096D">
        <w:fldChar w:fldCharType="separate"/>
      </w:r>
      <w:r w:rsidR="00C5096D" w:rsidRPr="00C5096D">
        <w:t>70</w:t>
      </w:r>
      <w:r w:rsidRPr="00C5096D">
        <w:fldChar w:fldCharType="end"/>
      </w:r>
      <w:bookmarkEnd w:id="53"/>
      <w:r>
        <w:t>.  Art. 275-278</w:t>
      </w:r>
      <w:r>
        <w:rPr>
          <w:vertAlign w:val="superscript"/>
        </w:rPr>
        <w:t>1</w:t>
      </w:r>
      <w:r>
        <w:t xml:space="preserve"> din vechiul C. </w:t>
      </w:r>
      <w:proofErr w:type="spellStart"/>
      <w:r>
        <w:t>proc</w:t>
      </w:r>
      <w:proofErr w:type="spellEnd"/>
      <w:r>
        <w:t xml:space="preserve">. </w:t>
      </w:r>
      <w:proofErr w:type="spellStart"/>
      <w:r>
        <w:t>pen</w:t>
      </w:r>
      <w:proofErr w:type="spellEnd"/>
      <w:r>
        <w:t>. stabilesc procedura pentru orice persoană care dorește să facă plângere împotriva măsurilor sau actelor de urmărire penală, dacă prin acestea s-a adus o vătămare intereselor sale legitime [a se vedea, de exemplu</w:t>
      </w:r>
      <w:r>
        <w:rPr>
          <w:i/>
        </w:rPr>
        <w:t>, Centrul de Resurse Juridice în numele lui Valentin Câmpeanu împotriva României</w:t>
      </w:r>
      <w:r>
        <w:t xml:space="preserve"> (MC), nr. 47848/08, pct. 50, CEDO 2014]. Începând cu 1 februarie 2014, dispoziții similare au fost incluse la art. 336-339 din noul C. </w:t>
      </w:r>
      <w:proofErr w:type="spellStart"/>
      <w:r>
        <w:t>proc</w:t>
      </w:r>
      <w:proofErr w:type="spellEnd"/>
      <w:r>
        <w:t xml:space="preserve">. </w:t>
      </w:r>
      <w:proofErr w:type="spellStart"/>
      <w:r>
        <w:t>pen</w:t>
      </w:r>
      <w:proofErr w:type="spellEnd"/>
      <w:r>
        <w:t xml:space="preserve">. Art. 301 din vechiul C. </w:t>
      </w:r>
      <w:proofErr w:type="spellStart"/>
      <w:r>
        <w:t>proc</w:t>
      </w:r>
      <w:proofErr w:type="spellEnd"/>
      <w:r>
        <w:t xml:space="preserve">. </w:t>
      </w:r>
      <w:proofErr w:type="spellStart"/>
      <w:r>
        <w:t>pen</w:t>
      </w:r>
      <w:proofErr w:type="spellEnd"/>
      <w:r>
        <w:t>., astfel cum era în vigoare la momentul faptelor și care se referea la drepturile părților în instanță, prevedea că partea civilă putea să formuleze cereri, să ridice excepții și să pună concluzii în legătură cu pretențiile sale civile.</w:t>
      </w:r>
    </w:p>
    <w:bookmarkStart w:id="54" w:name="paragraph00071"/>
    <w:p w14:paraId="6D01B174"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71</w:t>
      </w:r>
      <w:r w:rsidRPr="00C5096D">
        <w:fldChar w:fldCharType="end"/>
      </w:r>
      <w:bookmarkEnd w:id="54"/>
      <w:r>
        <w:t>.  Legea nr. 161/2003 privind unele măsuri pentru asigurarea transparenței în exercitarea demnităților publice, a funcțiilor publice și în mediul de afaceri, prevenirea și sancționarea corupției, astfel cum era în vigoare la momentul respectiv, prevedea, la art. 55 și 56, că ori de câte ori, pentru descoperirea și strângerea probelor, era necesară cercetarea unui sistem informatic sau a unui suport de stocare a datelor informatice, organul competent prevăzut de lege putea să dispună efectuarea unei percheziții. Această lege prevedea, de asemenea, că dispozițiile articolelor sus-menționate trebuiau citite în coroborare cu dispozițiile din Codul de procedură penală referitoare la efectuarea percheziției domiciliare și că acestea se aplicau tuturor infracțiunilor săvârșite prin intermediul sistemelor informatice/suporturilor de stocare a datelor informatice. Articolul 34 prevedea că, în aplicarea dispozițiilor acestei legi, se asigura respectarea drepturilor omului și protecția datelor personale.</w:t>
      </w:r>
    </w:p>
    <w:bookmarkStart w:id="55" w:name="paragraph00072"/>
    <w:p w14:paraId="7501A4C6"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72</w:t>
      </w:r>
      <w:r w:rsidRPr="00C5096D">
        <w:fldChar w:fldCharType="end"/>
      </w:r>
      <w:bookmarkEnd w:id="55"/>
      <w:r>
        <w:t>.  Art. 64 alin. (3) din Legea nr. 304/2004 privind organizarea judiciară, astfel cum era în vigoare la momentul faptelor, prevedea că soluțiile adoptate de procuror puteau fi infirmate motivat de către procurorul ierarhic superior, când erau apreciate ca fiind nelegale.</w:t>
      </w:r>
    </w:p>
    <w:p w14:paraId="5B1B4706" w14:textId="77777777" w:rsidR="00572B49" w:rsidRPr="00C5096D" w:rsidRDefault="007314F1" w:rsidP="00C5096D">
      <w:pPr>
        <w:pStyle w:val="JuHIRoman"/>
        <w:ind w:left="357" w:hanging="357"/>
      </w:pPr>
      <w:r>
        <w:rPr>
          <w:caps w:val="0"/>
        </w:rPr>
        <w:t>PRACTICA INTERNĂ PRIVIND PROCEDURILE PENALE</w:t>
      </w:r>
    </w:p>
    <w:bookmarkStart w:id="56" w:name="paragraph00073"/>
    <w:p w14:paraId="40809E33"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73</w:t>
      </w:r>
      <w:r w:rsidRPr="00C5096D">
        <w:fldChar w:fldCharType="end"/>
      </w:r>
      <w:bookmarkEnd w:id="56"/>
      <w:r>
        <w:t xml:space="preserve">.  Guvernul a prezentat numeroase hotărâri pronunțate de instanțele naționale în cauze în care terții din cadrul anchetelor penale au contestat ridicarea bunurilor lor, dispusă de procuror în cursul urmăririi penale ca măsură asiguratorie (în temeiul art. 249 C. </w:t>
      </w:r>
      <w:proofErr w:type="spellStart"/>
      <w:r>
        <w:t>proc</w:t>
      </w:r>
      <w:proofErr w:type="spellEnd"/>
      <w:r>
        <w:t xml:space="preserve">. </w:t>
      </w:r>
      <w:proofErr w:type="spellStart"/>
      <w:r>
        <w:t>pen</w:t>
      </w:r>
      <w:proofErr w:type="spellEnd"/>
      <w:r>
        <w:t>. – a se vedea supra, pct. </w:t>
      </w:r>
      <w:r w:rsidRPr="00C5096D">
        <w:fldChar w:fldCharType="begin"/>
      </w:r>
      <w:r w:rsidRPr="00C5096D">
        <w:instrText xml:space="preserve">REF paragraph00069 \h \* CharFormat </w:instrText>
      </w:r>
      <w:r w:rsidRPr="00C5096D">
        <w:fldChar w:fldCharType="separate"/>
      </w:r>
      <w:r w:rsidR="00C5096D" w:rsidRPr="00C5096D">
        <w:t>69</w:t>
      </w:r>
      <w:r w:rsidRPr="00C5096D">
        <w:fldChar w:fldCharType="end"/>
      </w:r>
      <w:r>
        <w:t xml:space="preserve">) și nu în scopul strângerii de probe, precum în speță. Toate aceste hotărâri au fost pronunțate în cauze în care ancheta penală s-a încheiat și inculpații au fost trimiși în judecată în temeiul vechiului C. </w:t>
      </w:r>
      <w:proofErr w:type="spellStart"/>
      <w:r>
        <w:t>proc</w:t>
      </w:r>
      <w:proofErr w:type="spellEnd"/>
      <w:r>
        <w:t xml:space="preserve">. </w:t>
      </w:r>
      <w:proofErr w:type="spellStart"/>
      <w:r>
        <w:t>pen</w:t>
      </w:r>
      <w:proofErr w:type="spellEnd"/>
      <w:r>
        <w:t xml:space="preserve">., sau în cauze având ca obiect măsuri dispuse după intrarea în vigoare a noului C. </w:t>
      </w:r>
      <w:proofErr w:type="spellStart"/>
      <w:r>
        <w:t>proc</w:t>
      </w:r>
      <w:proofErr w:type="spellEnd"/>
      <w:r>
        <w:t xml:space="preserve">. </w:t>
      </w:r>
      <w:proofErr w:type="spellStart"/>
      <w:r>
        <w:t>pen</w:t>
      </w:r>
      <w:proofErr w:type="spellEnd"/>
      <w:r>
        <w:t xml:space="preserve">. Printr-o încheiere din 11 decembrie 2017, referitoare la o plângere depusă de o terță parte într-un proces împotriva măsurii ridicării de obiecte și înscrisuri, dispusă de procuror în 2011 ca măsură asiguratorie, Tribunalul Iași, după examinarea pe fond a plângerii, a decis să o admită și, în temeiul </w:t>
      </w:r>
      <w:r>
        <w:lastRenderedPageBreak/>
        <w:t xml:space="preserve">art. 255 din C. </w:t>
      </w:r>
      <w:proofErr w:type="spellStart"/>
      <w:r>
        <w:t>proc</w:t>
      </w:r>
      <w:proofErr w:type="spellEnd"/>
      <w:r>
        <w:t xml:space="preserve">. </w:t>
      </w:r>
      <w:proofErr w:type="spellStart"/>
      <w:r>
        <w:t>pen</w:t>
      </w:r>
      <w:proofErr w:type="spellEnd"/>
      <w:r>
        <w:t>., a dispus anularea măsurii ridicării. Și în această speță ancheta penală s-a încheiat și cauza a fost trimisă spre judecată.</w:t>
      </w:r>
    </w:p>
    <w:bookmarkStart w:id="57" w:name="paragraph00074"/>
    <w:p w14:paraId="2141EF62"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74</w:t>
      </w:r>
      <w:r w:rsidRPr="00C5096D">
        <w:fldChar w:fldCharType="end"/>
      </w:r>
      <w:bookmarkEnd w:id="57"/>
      <w:r>
        <w:t xml:space="preserve">.  Guvernul a prezentat, de asemenea, o hotărâre pronunțată de Înalta Curte la 30 ianuarie 2014 cu privire la o cerere de despăgubire pentru prejudiciul suferit ca urmare a unei pretinse detenții nelegale, a unei anchete ilegale și a mai multor măsuri preventive sau asigurătorii dispuse în cursul anchetei care l-a vizat pe reclamant. Reclamantul din cauza respectivă (un fost lucrător vamal și fost membru al parlamentului) a fost plasat în arest preventiv timp de mai multe luni în cursul urmăririi penale, iar apoi, unsprezece ani mai târziu, procedura îndreptată împotriva acestuia s-a încheiat printr-o ordonanță a procurorului de încetare a urmăririi penale față de acesta, întrucât nu săvârșise nicio infracțiune. În temeiul art. 504 și 505 din vechiul C. </w:t>
      </w:r>
      <w:proofErr w:type="spellStart"/>
      <w:r>
        <w:t>proc</w:t>
      </w:r>
      <w:proofErr w:type="spellEnd"/>
      <w:r>
        <w:t xml:space="preserve">. </w:t>
      </w:r>
      <w:proofErr w:type="spellStart"/>
      <w:r>
        <w:t>pen</w:t>
      </w:r>
      <w:proofErr w:type="spellEnd"/>
      <w:r>
        <w:t>., referitoare la dreptul la repararea prejudiciului suferit în cazul condamnării pe nedrept și al privării de libertate în mod nelegal, și în temeiul dispozițiilor dreptului general al răspunderii civile delictuale, și anume art. 998 și 999 din vechiul Cod civil, instanța a acordat reclamantului despăgubiri pentru prejudiciul moral suferit de acesta. Instanța a stabilit că, mai întâi, reclamantul a fost ținut în arest preventiv, dar că, ulterior, acesta nu a fost adus în fața unei instanțe și că acuzațiile împotriva acestuia au fost retrase. Instanța a considerat că acest lucru a constituit o eroare judiciară care a dat naștere unui drept la reparații. Instanța a acordat despăgubiri pentru o serie de măsuri dispuse de procuror și pentru durata excesivă a acestora. Printre aceste măsuri s-au numărat arestarea preventivă a reclamantului și confiscarea autoturismului acestuia.</w:t>
      </w:r>
    </w:p>
    <w:p w14:paraId="798948CE" w14:textId="77777777" w:rsidR="00572B49" w:rsidRPr="00C5096D" w:rsidRDefault="007314F1" w:rsidP="00C5096D">
      <w:pPr>
        <w:pStyle w:val="JuHHead"/>
        <w:numPr>
          <w:ilvl w:val="0"/>
          <w:numId w:val="1"/>
        </w:numPr>
        <w:ind w:left="360" w:hanging="360"/>
      </w:pPr>
      <w:r>
        <w:t>ÎN DREPT</w:t>
      </w:r>
    </w:p>
    <w:p w14:paraId="22BB0E9C" w14:textId="77777777" w:rsidR="00572B49" w:rsidRPr="00C5096D" w:rsidRDefault="007314F1" w:rsidP="00C5096D">
      <w:pPr>
        <w:pStyle w:val="JuHIRoman"/>
        <w:numPr>
          <w:ilvl w:val="1"/>
          <w:numId w:val="4"/>
        </w:numPr>
      </w:pPr>
      <w:r>
        <w:rPr>
          <w:caps w:val="0"/>
        </w:rPr>
        <w:t>CU PRIVIRE LA PRETINSA ÎNCĂLCARE A ART. 8 DIN CONVENȚIE</w:t>
      </w:r>
    </w:p>
    <w:p w14:paraId="7D2C2F3D" w14:textId="77777777" w:rsidR="00572B49" w:rsidRPr="00C5096D" w:rsidRDefault="007314F1" w:rsidP="00C5096D">
      <w:pPr>
        <w:pStyle w:val="JuPara"/>
      </w:pPr>
      <w:fldSimple w:instr=" SEQ level0 \*arabic ">
        <w:r w:rsidR="00C5096D" w:rsidRPr="00C5096D">
          <w:t>75</w:t>
        </w:r>
      </w:fldSimple>
      <w:r>
        <w:t>.  Societatea reclamantă s-a plâns că inspecția și perchezițiile efectuate la sediul său și perchezițiile informatice asupra computerelor sale i-au încălcat dreptul la respectarea vieții private, a domiciliului și a corespondenței, astfel cum se prevede la art. 8 din Convenție, care se citește astfel:</w:t>
      </w:r>
    </w:p>
    <w:p w14:paraId="231D3CAF" w14:textId="77777777" w:rsidR="00572B49" w:rsidRPr="00C5096D" w:rsidRDefault="007314F1" w:rsidP="00C5096D">
      <w:pPr>
        <w:pStyle w:val="JuQuot"/>
      </w:pPr>
      <w:r>
        <w:t>„1.  Orice persoană are dreptul la respectarea vieții sale private și de familie, a domiciliului său și a corespondenței sale.</w:t>
      </w:r>
    </w:p>
    <w:p w14:paraId="33ADD36D" w14:textId="77777777" w:rsidR="00572B49" w:rsidRPr="00C5096D" w:rsidRDefault="007314F1" w:rsidP="00C5096D">
      <w:pPr>
        <w:pStyle w:val="JuQuot"/>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14:paraId="2E94CBE0" w14:textId="77777777" w:rsidR="00572B49" w:rsidRPr="00C5096D" w:rsidRDefault="007314F1" w:rsidP="00C5096D">
      <w:pPr>
        <w:pStyle w:val="JuPara"/>
      </w:pPr>
      <w:fldSimple w:instr=" SEQ level0 \*arabic ">
        <w:r w:rsidR="00C5096D" w:rsidRPr="00C5096D">
          <w:t>76</w:t>
        </w:r>
      </w:fldSimple>
      <w:r>
        <w:t xml:space="preserve">.  Invocând art. 6 § 1 și art. 13 din Convenție, societatea reclamantă s-a plâns, de asemenea, că drepturile sale de acces la o instanță și la un proces </w:t>
      </w:r>
      <w:r>
        <w:lastRenderedPageBreak/>
        <w:t>echitabil au fost încălcate, în principal din cauza refuzului instanțelor naționale de a examina argumentele sale privind desfășurarea inspecției și imposibilitatea de a contesta în fața unei instanțe perchezițiile efectuate la sediul său în contextul procedurii penale.</w:t>
      </w:r>
    </w:p>
    <w:p w14:paraId="1D5E0A99" w14:textId="77777777" w:rsidR="00572B49" w:rsidRPr="00C5096D" w:rsidRDefault="007314F1" w:rsidP="00C5096D">
      <w:pPr>
        <w:pStyle w:val="JuPara"/>
        <w:rPr>
          <w:rFonts w:ascii="Times New Roman" w:hAnsi="Times New Roman" w:cs="Times New Roman"/>
          <w:color w:val="000000"/>
        </w:rPr>
      </w:pPr>
      <w:fldSimple w:instr=" SEQ level0 \*arabic ">
        <w:r w:rsidR="00C5096D" w:rsidRPr="00C5096D">
          <w:t>77</w:t>
        </w:r>
      </w:fldSimple>
      <w:r>
        <w:t>.  Având competența de a realiza încadrarea juridică a faptelor cauzei</w:t>
      </w:r>
      <w:r>
        <w:rPr>
          <w:rFonts w:ascii="Times New Roman" w:hAnsi="Times New Roman"/>
          <w:color w:val="000000"/>
        </w:rPr>
        <w:t xml:space="preserve"> [a se vedea, de exemplu, </w:t>
      </w:r>
      <w:bookmarkStart w:id="58" w:name="_Hlk193118781"/>
      <w:proofErr w:type="spellStart"/>
      <w:r>
        <w:rPr>
          <w:rFonts w:ascii="Times New Roman" w:hAnsi="Times New Roman"/>
          <w:i/>
          <w:color w:val="000000"/>
        </w:rPr>
        <w:t>Radomilja</w:t>
      </w:r>
      <w:proofErr w:type="spellEnd"/>
      <w:r>
        <w:rPr>
          <w:rFonts w:ascii="Times New Roman" w:hAnsi="Times New Roman"/>
          <w:i/>
          <w:color w:val="000000"/>
        </w:rPr>
        <w:t xml:space="preserve"> și alții împotriva Croației</w:t>
      </w:r>
      <w:r>
        <w:rPr>
          <w:rFonts w:ascii="Times New Roman" w:hAnsi="Times New Roman"/>
          <w:color w:val="000000"/>
        </w:rPr>
        <w:t xml:space="preserve"> (MC), nr. </w:t>
      </w:r>
      <w:hyperlink r:id="rId12" w:anchor="{" w:history="1">
        <w:r>
          <w:rPr>
            <w:color w:val="000000"/>
          </w:rPr>
          <w:t>37685/10</w:t>
        </w:r>
      </w:hyperlink>
      <w:r>
        <w:rPr>
          <w:rFonts w:ascii="Times New Roman" w:hAnsi="Times New Roman"/>
          <w:color w:val="000000"/>
        </w:rPr>
        <w:t xml:space="preserve">, pct. 114 și 126, 20 martie 2018] și ținând seama de cerințele procedurale care decurg implicit din art. 8 din Convenție, Curtea apreciază că este oportun să examineze capetele de cerere formulate în temeiul art. 6 § 1 și art. 13 din Convenție ca fiind incluse în capătul de cerere formulat în temeiul art. 8 (a se vedea, </w:t>
      </w:r>
      <w:r>
        <w:rPr>
          <w:rFonts w:ascii="Times New Roman" w:hAnsi="Times New Roman"/>
          <w:i/>
          <w:color w:val="000000"/>
        </w:rPr>
        <w:t>mutatis mutandis</w:t>
      </w:r>
      <w:r>
        <w:rPr>
          <w:rFonts w:ascii="Times New Roman" w:hAnsi="Times New Roman"/>
          <w:color w:val="000000"/>
        </w:rPr>
        <w:t xml:space="preserve">, </w:t>
      </w:r>
      <w:proofErr w:type="spellStart"/>
      <w:r>
        <w:rPr>
          <w:i/>
        </w:rPr>
        <w:t>Produkcija</w:t>
      </w:r>
      <w:proofErr w:type="spellEnd"/>
      <w:r>
        <w:rPr>
          <w:i/>
        </w:rPr>
        <w:t xml:space="preserve"> Plus </w:t>
      </w:r>
      <w:proofErr w:type="spellStart"/>
      <w:r>
        <w:rPr>
          <w:i/>
        </w:rPr>
        <w:t>Storitveno</w:t>
      </w:r>
      <w:proofErr w:type="spellEnd"/>
      <w:r>
        <w:rPr>
          <w:i/>
        </w:rPr>
        <w:t xml:space="preserve"> </w:t>
      </w:r>
      <w:proofErr w:type="spellStart"/>
      <w:r>
        <w:rPr>
          <w:i/>
        </w:rPr>
        <w:t>podjetje</w:t>
      </w:r>
      <w:proofErr w:type="spellEnd"/>
      <w:r>
        <w:rPr>
          <w:i/>
        </w:rPr>
        <w:t xml:space="preserve"> </w:t>
      </w:r>
      <w:proofErr w:type="spellStart"/>
      <w:r>
        <w:rPr>
          <w:i/>
        </w:rPr>
        <w:t>d.o.o</w:t>
      </w:r>
      <w:proofErr w:type="spellEnd"/>
      <w:r>
        <w:rPr>
          <w:i/>
        </w:rPr>
        <w:t>. împotriva Sloveniei</w:t>
      </w:r>
      <w:r>
        <w:t>, nr. 47072/15, pct. 32-33, 23 octombrie 2018)</w:t>
      </w:r>
      <w:r>
        <w:rPr>
          <w:rFonts w:ascii="Times New Roman" w:hAnsi="Times New Roman"/>
          <w:color w:val="000000"/>
        </w:rPr>
        <w:t>.</w:t>
      </w:r>
    </w:p>
    <w:p w14:paraId="3BC9483A" w14:textId="77777777" w:rsidR="00572B49" w:rsidRPr="00C5096D" w:rsidRDefault="007314F1" w:rsidP="00C5096D">
      <w:pPr>
        <w:pStyle w:val="JuPara"/>
        <w:rPr>
          <w:rFonts w:ascii="Times New Roman" w:hAnsi="Times New Roman" w:cs="Times New Roman"/>
          <w:color w:val="000000"/>
        </w:rPr>
      </w:pPr>
      <w:r w:rsidRPr="00C5096D">
        <w:rPr>
          <w:rFonts w:ascii="Times New Roman" w:hAnsi="Times New Roman" w:cs="Times New Roman"/>
          <w:color w:val="000000"/>
        </w:rPr>
        <w:fldChar w:fldCharType="begin"/>
      </w:r>
      <w:r w:rsidRPr="00C5096D">
        <w:rPr>
          <w:rFonts w:ascii="Times New Roman" w:hAnsi="Times New Roman" w:cs="Times New Roman"/>
          <w:color w:val="000000"/>
        </w:rPr>
        <w:instrText xml:space="preserve"> SEQ level0 \*arabic \* MERGEFORMAT </w:instrText>
      </w:r>
      <w:r w:rsidRPr="00C5096D">
        <w:rPr>
          <w:rFonts w:ascii="Times New Roman" w:hAnsi="Times New Roman" w:cs="Times New Roman"/>
          <w:color w:val="000000"/>
        </w:rPr>
        <w:fldChar w:fldCharType="separate"/>
      </w:r>
      <w:r w:rsidR="00C5096D" w:rsidRPr="00C5096D">
        <w:rPr>
          <w:rFonts w:ascii="Times New Roman" w:hAnsi="Times New Roman" w:cs="Times New Roman"/>
          <w:color w:val="000000"/>
        </w:rPr>
        <w:t>78</w:t>
      </w:r>
      <w:r w:rsidRPr="00C5096D">
        <w:rPr>
          <w:rFonts w:ascii="Times New Roman" w:hAnsi="Times New Roman" w:cs="Times New Roman"/>
          <w:color w:val="000000"/>
        </w:rPr>
        <w:fldChar w:fldCharType="end"/>
      </w:r>
      <w:r>
        <w:rPr>
          <w:rFonts w:ascii="Times New Roman" w:hAnsi="Times New Roman"/>
          <w:color w:val="000000"/>
        </w:rPr>
        <w:t>.  </w:t>
      </w:r>
      <w:r>
        <w:t>Curtea observă că inspecția și perchezițiile efectuate la sediul societății reclamante, precum și ridicarea și confiscarea de obiecte și înscrisuri care îi aparțineau au fost efectuate în cadrul a două tipuri diferite de proceduri</w:t>
      </w:r>
      <w:r>
        <w:rPr>
          <w:rFonts w:ascii="Times New Roman" w:hAnsi="Times New Roman"/>
          <w:color w:val="000000"/>
        </w:rPr>
        <w:t xml:space="preserve">: procedura în temeiul Legii concurenței (a se vedea supra, pct.  </w:t>
      </w:r>
      <w:r w:rsidRPr="00C5096D">
        <w:rPr>
          <w:rFonts w:ascii="Times New Roman" w:hAnsi="Times New Roman" w:cs="Times New Roman"/>
          <w:color w:val="000000"/>
        </w:rPr>
        <w:fldChar w:fldCharType="begin"/>
      </w:r>
      <w:r w:rsidRPr="00C5096D">
        <w:rPr>
          <w:rFonts w:ascii="Times New Roman" w:hAnsi="Times New Roman" w:cs="Times New Roman"/>
          <w:color w:val="000000"/>
        </w:rPr>
        <w:instrText xml:space="preserve">REF paragraph00006 \h \* CharFormat </w:instrText>
      </w:r>
      <w:r w:rsidRPr="00C5096D">
        <w:rPr>
          <w:rFonts w:ascii="Times New Roman" w:hAnsi="Times New Roman" w:cs="Times New Roman"/>
          <w:color w:val="000000"/>
        </w:rPr>
      </w:r>
      <w:r w:rsidRPr="00C5096D">
        <w:rPr>
          <w:rFonts w:ascii="Times New Roman" w:hAnsi="Times New Roman" w:cs="Times New Roman"/>
          <w:color w:val="000000"/>
        </w:rPr>
        <w:fldChar w:fldCharType="separate"/>
      </w:r>
      <w:r w:rsidR="00C5096D" w:rsidRPr="00C5096D">
        <w:rPr>
          <w:rFonts w:ascii="Times New Roman" w:hAnsi="Times New Roman" w:cs="Times New Roman"/>
          <w:color w:val="000000"/>
        </w:rPr>
        <w:t>6</w:t>
      </w:r>
      <w:r w:rsidRPr="00C5096D">
        <w:rPr>
          <w:rFonts w:ascii="Times New Roman" w:hAnsi="Times New Roman" w:cs="Times New Roman"/>
          <w:color w:val="000000"/>
        </w:rPr>
        <w:fldChar w:fldCharType="end"/>
      </w:r>
      <w:r>
        <w:t>-</w:t>
      </w:r>
      <w:r w:rsidRPr="00C5096D">
        <w:rPr>
          <w:rFonts w:ascii="Times New Roman" w:hAnsi="Times New Roman" w:cs="Times New Roman"/>
          <w:color w:val="000000"/>
        </w:rPr>
        <w:fldChar w:fldCharType="begin"/>
      </w:r>
      <w:r w:rsidRPr="00C5096D">
        <w:rPr>
          <w:rFonts w:ascii="Times New Roman" w:hAnsi="Times New Roman" w:cs="Times New Roman"/>
          <w:color w:val="000000"/>
        </w:rPr>
        <w:instrText xml:space="preserve">REF paragraph00025 \h \* CharFormat </w:instrText>
      </w:r>
      <w:r w:rsidRPr="00C5096D">
        <w:rPr>
          <w:rFonts w:ascii="Times New Roman" w:hAnsi="Times New Roman" w:cs="Times New Roman"/>
          <w:color w:val="000000"/>
        </w:rPr>
      </w:r>
      <w:r w:rsidRPr="00C5096D">
        <w:rPr>
          <w:rFonts w:ascii="Times New Roman" w:hAnsi="Times New Roman" w:cs="Times New Roman"/>
          <w:color w:val="000000"/>
        </w:rPr>
        <w:fldChar w:fldCharType="separate"/>
      </w:r>
      <w:r w:rsidR="00C5096D" w:rsidRPr="00C5096D">
        <w:rPr>
          <w:rFonts w:ascii="Times New Roman" w:hAnsi="Times New Roman" w:cs="Times New Roman"/>
          <w:color w:val="000000"/>
        </w:rPr>
        <w:t>25</w:t>
      </w:r>
      <w:r w:rsidRPr="00C5096D">
        <w:rPr>
          <w:rFonts w:ascii="Times New Roman" w:hAnsi="Times New Roman" w:cs="Times New Roman"/>
          <w:color w:val="000000"/>
        </w:rPr>
        <w:fldChar w:fldCharType="end"/>
      </w:r>
      <w:r>
        <w:rPr>
          <w:rFonts w:ascii="Times New Roman" w:hAnsi="Times New Roman"/>
          <w:color w:val="000000"/>
        </w:rPr>
        <w:t>) și procedura penală (a se vedea supra, pct. </w:t>
      </w:r>
      <w:r w:rsidRPr="00C5096D">
        <w:rPr>
          <w:rFonts w:ascii="Times New Roman" w:hAnsi="Times New Roman" w:cs="Times New Roman"/>
          <w:color w:val="000000"/>
        </w:rPr>
        <w:fldChar w:fldCharType="begin"/>
      </w:r>
      <w:r w:rsidRPr="00C5096D">
        <w:rPr>
          <w:rFonts w:ascii="Times New Roman" w:hAnsi="Times New Roman" w:cs="Times New Roman"/>
          <w:color w:val="000000"/>
        </w:rPr>
        <w:instrText xml:space="preserve">REF paragraph00026 \h \* CharFormat </w:instrText>
      </w:r>
      <w:r w:rsidRPr="00C5096D">
        <w:rPr>
          <w:rFonts w:ascii="Times New Roman" w:hAnsi="Times New Roman" w:cs="Times New Roman"/>
          <w:color w:val="000000"/>
        </w:rPr>
      </w:r>
      <w:r w:rsidRPr="00C5096D">
        <w:rPr>
          <w:rFonts w:ascii="Times New Roman" w:hAnsi="Times New Roman" w:cs="Times New Roman"/>
          <w:color w:val="000000"/>
        </w:rPr>
        <w:fldChar w:fldCharType="separate"/>
      </w:r>
      <w:r w:rsidR="00C5096D" w:rsidRPr="00C5096D">
        <w:rPr>
          <w:rFonts w:ascii="Times New Roman" w:hAnsi="Times New Roman" w:cs="Times New Roman"/>
          <w:color w:val="000000"/>
        </w:rPr>
        <w:t>26</w:t>
      </w:r>
      <w:r w:rsidRPr="00C5096D">
        <w:rPr>
          <w:rFonts w:ascii="Times New Roman" w:hAnsi="Times New Roman" w:cs="Times New Roman"/>
          <w:color w:val="000000"/>
        </w:rPr>
        <w:fldChar w:fldCharType="end"/>
      </w:r>
      <w:r>
        <w:t>-</w:t>
      </w:r>
      <w:r w:rsidRPr="00C5096D">
        <w:rPr>
          <w:rFonts w:ascii="Times New Roman" w:hAnsi="Times New Roman" w:cs="Times New Roman"/>
          <w:color w:val="000000"/>
        </w:rPr>
        <w:fldChar w:fldCharType="begin"/>
      </w:r>
      <w:r w:rsidRPr="00C5096D">
        <w:rPr>
          <w:rFonts w:ascii="Times New Roman" w:hAnsi="Times New Roman" w:cs="Times New Roman"/>
          <w:color w:val="000000"/>
        </w:rPr>
        <w:instrText xml:space="preserve">REF paragraph00046 \h \* CharFormat </w:instrText>
      </w:r>
      <w:r w:rsidRPr="00C5096D">
        <w:rPr>
          <w:rFonts w:ascii="Times New Roman" w:hAnsi="Times New Roman" w:cs="Times New Roman"/>
          <w:color w:val="000000"/>
        </w:rPr>
      </w:r>
      <w:r w:rsidRPr="00C5096D">
        <w:rPr>
          <w:rFonts w:ascii="Times New Roman" w:hAnsi="Times New Roman" w:cs="Times New Roman"/>
          <w:color w:val="000000"/>
        </w:rPr>
        <w:fldChar w:fldCharType="separate"/>
      </w:r>
      <w:r w:rsidR="00C5096D" w:rsidRPr="00C5096D">
        <w:rPr>
          <w:rFonts w:ascii="Times New Roman" w:hAnsi="Times New Roman" w:cs="Times New Roman"/>
          <w:color w:val="000000"/>
        </w:rPr>
        <w:t>46</w:t>
      </w:r>
      <w:r w:rsidRPr="00C5096D">
        <w:rPr>
          <w:rFonts w:ascii="Times New Roman" w:hAnsi="Times New Roman" w:cs="Times New Roman"/>
          <w:color w:val="000000"/>
        </w:rPr>
        <w:fldChar w:fldCharType="end"/>
      </w:r>
      <w:r>
        <w:rPr>
          <w:rFonts w:ascii="Times New Roman" w:hAnsi="Times New Roman"/>
          <w:color w:val="000000"/>
        </w:rPr>
        <w:t>). În vederea soluționării prezentei cereri, Curtea va examina aceste proceduri separat.</w:t>
      </w:r>
    </w:p>
    <w:p w14:paraId="33E4BF33" w14:textId="77777777" w:rsidR="00572B49" w:rsidRPr="00C5096D" w:rsidRDefault="007314F1" w:rsidP="00C5096D">
      <w:pPr>
        <w:pStyle w:val="JuHA"/>
        <w:ind w:left="584" w:hanging="352"/>
      </w:pPr>
      <w:r>
        <w:t>Procedura în temeiul Legii concurenței</w:t>
      </w:r>
    </w:p>
    <w:p w14:paraId="6987D11B" w14:textId="77777777" w:rsidR="00572B49" w:rsidRPr="00C5096D" w:rsidRDefault="007314F1" w:rsidP="00C5096D">
      <w:pPr>
        <w:pStyle w:val="JuH1"/>
        <w:ind w:left="731" w:hanging="300"/>
      </w:pPr>
      <w:r>
        <w:t>Cu privire la admisibilitate</w:t>
      </w:r>
    </w:p>
    <w:p w14:paraId="1A6DE0E3" w14:textId="77777777" w:rsidR="00572B49" w:rsidRPr="00C5096D" w:rsidRDefault="007314F1" w:rsidP="00C5096D">
      <w:pPr>
        <w:pStyle w:val="JuHa0"/>
        <w:ind w:left="482" w:hanging="340"/>
      </w:pPr>
      <w:r>
        <w:t>Excepția ridicată de Guvern cu privire la neepuizarea căilor de atac interne</w:t>
      </w:r>
    </w:p>
    <w:bookmarkStart w:id="59" w:name="paragraph00079"/>
    <w:p w14:paraId="04592369"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79</w:t>
      </w:r>
      <w:r w:rsidRPr="00C5096D">
        <w:fldChar w:fldCharType="end"/>
      </w:r>
      <w:bookmarkEnd w:id="59"/>
      <w:r>
        <w:t>.  Guvernul a susținut că societatea reclamantă nu a epuizat căile de atac interne disponibile în legătură cu plângerea sa privind inspecția din 30 octombrie 2008 (a se vedea supra, pct. </w:t>
      </w:r>
      <w:r w:rsidRPr="00C5096D">
        <w:fldChar w:fldCharType="begin"/>
      </w:r>
      <w:r w:rsidRPr="00C5096D">
        <w:instrText xml:space="preserve">REF paragraph00007 \h \* CharFormat </w:instrText>
      </w:r>
      <w:r w:rsidRPr="00C5096D">
        <w:fldChar w:fldCharType="separate"/>
      </w:r>
      <w:r w:rsidR="00C5096D" w:rsidRPr="00C5096D">
        <w:t>7</w:t>
      </w:r>
      <w:r w:rsidRPr="00C5096D">
        <w:fldChar w:fldCharType="end"/>
      </w:r>
      <w:r>
        <w:t>-</w:t>
      </w:r>
      <w:r w:rsidRPr="00C5096D">
        <w:fldChar w:fldCharType="begin"/>
      </w:r>
      <w:r w:rsidRPr="00C5096D">
        <w:instrText xml:space="preserve">REF paragraph00008 \h \* CharFormat </w:instrText>
      </w:r>
      <w:r w:rsidRPr="00C5096D">
        <w:fldChar w:fldCharType="separate"/>
      </w:r>
      <w:r w:rsidR="00C5096D" w:rsidRPr="00C5096D">
        <w:t>8</w:t>
      </w:r>
      <w:r w:rsidRPr="00C5096D">
        <w:fldChar w:fldCharType="end"/>
      </w:r>
      <w:r>
        <w:t>). Mai precis, în plângerea depusă la Curtea de Apel București (a se vedea supra, pct. </w:t>
      </w:r>
      <w:r w:rsidRPr="00C5096D">
        <w:fldChar w:fldCharType="begin"/>
      </w:r>
      <w:r w:rsidRPr="00C5096D">
        <w:instrText xml:space="preserve">REF paragraph00011 \h \* CharFormat </w:instrText>
      </w:r>
      <w:r w:rsidRPr="00C5096D">
        <w:fldChar w:fldCharType="separate"/>
      </w:r>
      <w:r w:rsidR="00C5096D" w:rsidRPr="00C5096D">
        <w:t>11</w:t>
      </w:r>
      <w:r w:rsidRPr="00C5096D">
        <w:fldChar w:fldCharType="end"/>
      </w:r>
      <w:r>
        <w:t>), aceasta nu a inclus un capăt de cerere cu privire la desfășurarea generală a inspecției. Plângerea a fost formulată tardiv și în termeni prea generali în timpul recursului (a se vedea supra, pct. </w:t>
      </w:r>
      <w:r w:rsidRPr="00C5096D">
        <w:fldChar w:fldCharType="begin"/>
      </w:r>
      <w:r w:rsidRPr="00C5096D">
        <w:instrText xml:space="preserve">REF paragraph00020 \h \* CharFormat </w:instrText>
      </w:r>
      <w:r w:rsidRPr="00C5096D">
        <w:fldChar w:fldCharType="separate"/>
      </w:r>
      <w:r w:rsidR="00C5096D" w:rsidRPr="00C5096D">
        <w:t>20</w:t>
      </w:r>
      <w:r w:rsidRPr="00C5096D">
        <w:fldChar w:fldCharType="end"/>
      </w:r>
      <w:r>
        <w:t>), astfel încât instanțele naționale nu au fost în măsură să o examineze.</w:t>
      </w:r>
    </w:p>
    <w:bookmarkStart w:id="60" w:name="paragraph00080"/>
    <w:p w14:paraId="6AB0166F"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80</w:t>
      </w:r>
      <w:r w:rsidRPr="00C5096D">
        <w:fldChar w:fldCharType="end"/>
      </w:r>
      <w:bookmarkEnd w:id="60"/>
      <w:r>
        <w:t>.  În plus, Guvernul a susținut că societatea reclamantă ar fi putut solicita în orice moment fie restituirea copiilor e-mailurilor ridicate de inspectori, dacă acestea nu mai erau necesare pentru investigație, fie ca documentele ridicate să rămână confidențiale în temeiul dispozițiilor relevante ale Regulamentului Consiliului Concurenței din 2006 (a se vedea supra, pct. </w:t>
      </w:r>
      <w:r w:rsidRPr="00C5096D">
        <w:fldChar w:fldCharType="begin"/>
      </w:r>
      <w:r w:rsidRPr="00C5096D">
        <w:instrText xml:space="preserve">REF paragraph00050 \h \* CharFormat </w:instrText>
      </w:r>
      <w:r w:rsidRPr="00C5096D">
        <w:fldChar w:fldCharType="separate"/>
      </w:r>
      <w:r w:rsidR="00C5096D" w:rsidRPr="00C5096D">
        <w:t>50</w:t>
      </w:r>
      <w:r w:rsidRPr="00C5096D">
        <w:fldChar w:fldCharType="end"/>
      </w:r>
      <w:r>
        <w:t>). Un eventual refuz al unor astfel de cereri ar fi făcut obiectul unui control jurisdicțional în temeiul dispozițiilor generale ale Legii nr. 554/2004 a contenciosului administrativ și, în acest context, societatea reclamantă ar fi putut solicita o compensație financiară sau alte măsuri reparatorii (a se vedea supra, pct. </w:t>
      </w:r>
      <w:r w:rsidRPr="00C5096D">
        <w:fldChar w:fldCharType="begin"/>
      </w:r>
      <w:r w:rsidRPr="00C5096D">
        <w:instrText xml:space="preserve">REF paragraph00052 \h \* CharFormat </w:instrText>
      </w:r>
      <w:r w:rsidRPr="00C5096D">
        <w:fldChar w:fldCharType="separate"/>
      </w:r>
      <w:r w:rsidR="00C5096D" w:rsidRPr="00C5096D">
        <w:t>52</w:t>
      </w:r>
      <w:r w:rsidRPr="00C5096D">
        <w:fldChar w:fldCharType="end"/>
      </w:r>
      <w:r>
        <w:t>).</w:t>
      </w:r>
    </w:p>
    <w:p w14:paraId="00598F5F" w14:textId="77777777" w:rsidR="00572B49" w:rsidRPr="00C5096D" w:rsidRDefault="007314F1" w:rsidP="00C5096D">
      <w:pPr>
        <w:pStyle w:val="JuHa0"/>
        <w:ind w:left="482" w:hanging="340"/>
      </w:pPr>
      <w:r>
        <w:lastRenderedPageBreak/>
        <w:t>Argumentele societății reclamante</w:t>
      </w:r>
    </w:p>
    <w:p w14:paraId="06DDEA56" w14:textId="77777777" w:rsidR="00572B49" w:rsidRPr="00C5096D" w:rsidRDefault="007314F1" w:rsidP="00C5096D">
      <w:pPr>
        <w:pStyle w:val="JuPara"/>
      </w:pPr>
      <w:fldSimple w:instr=" SEQ level0 \*arabic ">
        <w:r w:rsidR="00C5096D" w:rsidRPr="00C5096D">
          <w:t>81</w:t>
        </w:r>
      </w:fldSimple>
      <w:r>
        <w:t>.  Societatea reclamantă a susținut că plângerea sa cu privire la ordinul de inspecție a inclus, de asemenea, capetele sale de cerere în legătură cu desfășurarea inspecției, mai precis, ingerința în exercitarea dreptului său la protecția sediului său, a corespondenței sale și a vieții sale private, astfel cum este prevăzut la art. 8 din Convenție. Aceste capete de cerere au fost formulate în mod constant în fața instanței de prim grad de jurisdicție și în cadrul unui recurs. Având în vedere că dreptul național nu prevedea posibilitatea depunerii unei plângeri independente împotriva unei operațiuni administrative precum acțiunile inspectorilor din cadrul inspecției din 30 octombrie 2008, societatea reclamantă a formulat capetele de cerere sus-menționate în cadrul cererii sale de anulare a actelor administrative pe care s-a bazat inspecția, în temeiul Legii nr. 554/2004.</w:t>
      </w:r>
    </w:p>
    <w:p w14:paraId="0A7388EA" w14:textId="77777777" w:rsidR="00385475" w:rsidRPr="00C5096D" w:rsidRDefault="007314F1" w:rsidP="00C5096D">
      <w:pPr>
        <w:pStyle w:val="JuPara"/>
      </w:pPr>
      <w:fldSimple w:instr=" SEQ level0 \*arabic ">
        <w:r w:rsidR="00C5096D" w:rsidRPr="00C5096D">
          <w:t>82</w:t>
        </w:r>
      </w:fldSimple>
      <w:r>
        <w:t>.  În plus, cadrul legal nu prevedea nicio cale de atac împotriva modului în care inspectorii de concurență au realizat inspecția, iar Guvernul nu a indicat nicio dispoziție legală specifică pe care se putea întemeia o astfel de plângere. În mod similar, nu exista nicio cale de atac internă disponibilă pentru a depune o plângere cu privire la procesul-verbal întocmit la finalul inspecției. Nici acest document nu putea fi considerat un act administrativ, deoarece nu impunea nicio măsură. În această privință, societatea reclamantă a făcut referire la jurisprudența națională care confirmă inadmisibilitatea plângerilor referitoare la operațiunile administrative sau la actele pregătitoare (a se vedea supra, pct. </w:t>
      </w:r>
      <w:r w:rsidRPr="00C5096D">
        <w:fldChar w:fldCharType="begin"/>
      </w:r>
      <w:r w:rsidRPr="00C5096D">
        <w:instrText xml:space="preserve">REF paragraph00057 \h \* CharFormat </w:instrText>
      </w:r>
      <w:r w:rsidRPr="00C5096D">
        <w:fldChar w:fldCharType="separate"/>
      </w:r>
      <w:r w:rsidR="00C5096D" w:rsidRPr="00C5096D">
        <w:t>57</w:t>
      </w:r>
      <w:r w:rsidRPr="00C5096D">
        <w:fldChar w:fldCharType="end"/>
      </w:r>
      <w:r>
        <w:t xml:space="preserve"> și </w:t>
      </w:r>
      <w:r w:rsidRPr="00C5096D">
        <w:fldChar w:fldCharType="begin"/>
      </w:r>
      <w:r w:rsidRPr="00C5096D">
        <w:instrText xml:space="preserve">REF paragraph00058 \h \* CharFormat </w:instrText>
      </w:r>
      <w:r w:rsidRPr="00C5096D">
        <w:fldChar w:fldCharType="separate"/>
      </w:r>
      <w:r w:rsidR="00C5096D" w:rsidRPr="00C5096D">
        <w:t>58</w:t>
      </w:r>
      <w:r w:rsidRPr="00C5096D">
        <w:fldChar w:fldCharType="end"/>
      </w:r>
      <w:r>
        <w:t>).</w:t>
      </w:r>
    </w:p>
    <w:bookmarkStart w:id="61" w:name="paragraph00083"/>
    <w:p w14:paraId="0D58262F"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83</w:t>
      </w:r>
      <w:r w:rsidRPr="00C5096D">
        <w:fldChar w:fldCharType="end"/>
      </w:r>
      <w:bookmarkEnd w:id="61"/>
      <w:r>
        <w:t>.  Societatea reclamantă a apreciat că posibilitatea de a solicita ca documentele ridicate de inspectorii de concurență să rămână confidențiale sau să fie restituite în cazul în care nu erau necesare pentru investigație nu ar putea fi considerată o cale de atac efectivă în ceea ce privește plângerea formulată în temeiul art. 8 întrucât aceasta nu ar fi abordat principalele capete de cerere ale societății reclamante referitoare la lipsa unui control judiciar și la lipsa necesității și proporționalității inspecției.</w:t>
      </w:r>
    </w:p>
    <w:p w14:paraId="09BD919A" w14:textId="77777777" w:rsidR="00572B49" w:rsidRPr="00C5096D" w:rsidRDefault="007314F1" w:rsidP="00C5096D">
      <w:pPr>
        <w:pStyle w:val="JuHa0"/>
        <w:ind w:left="482" w:hanging="340"/>
      </w:pPr>
      <w:r>
        <w:t>Motivarea Curții</w:t>
      </w:r>
    </w:p>
    <w:p w14:paraId="48877A31" w14:textId="77777777" w:rsidR="00572B49" w:rsidRPr="00C5096D" w:rsidRDefault="007314F1" w:rsidP="00C5096D">
      <w:pPr>
        <w:pStyle w:val="JuPara"/>
      </w:pPr>
      <w:fldSimple w:instr=" SEQ level0 \*arabic ">
        <w:r w:rsidR="00C5096D" w:rsidRPr="00C5096D">
          <w:t>84</w:t>
        </w:r>
      </w:fldSimple>
      <w:r>
        <w:t xml:space="preserve">.  Principiile generale privind epuizarea căilor de atac interne sunt reluate în hotărârea </w:t>
      </w:r>
      <w:proofErr w:type="spellStart"/>
      <w:r>
        <w:rPr>
          <w:i/>
        </w:rPr>
        <w:t>Vučković</w:t>
      </w:r>
      <w:proofErr w:type="spellEnd"/>
      <w:r>
        <w:rPr>
          <w:i/>
        </w:rPr>
        <w:t xml:space="preserve"> și alții împotriva Serbiei </w:t>
      </w:r>
      <w:r>
        <w:t xml:space="preserve">[(excepție preliminară) (MC), nr. 17153/11 și alte 29 de cereri, pct. 69-77, 25 martie 2014] și </w:t>
      </w:r>
      <w:r>
        <w:rPr>
          <w:rFonts w:ascii="Times New Roman" w:hAnsi="Times New Roman"/>
        </w:rPr>
        <w:t xml:space="preserve">în hotărârea </w:t>
      </w:r>
      <w:proofErr w:type="spellStart"/>
      <w:r>
        <w:rPr>
          <w:rFonts w:ascii="Times New Roman" w:hAnsi="Times New Roman"/>
          <w:i/>
        </w:rPr>
        <w:t>Communauté</w:t>
      </w:r>
      <w:proofErr w:type="spellEnd"/>
      <w:r>
        <w:rPr>
          <w:rFonts w:ascii="Times New Roman" w:hAnsi="Times New Roman"/>
          <w:i/>
        </w:rPr>
        <w:t xml:space="preserve"> </w:t>
      </w:r>
      <w:proofErr w:type="spellStart"/>
      <w:r>
        <w:rPr>
          <w:rFonts w:ascii="Times New Roman" w:hAnsi="Times New Roman"/>
          <w:i/>
        </w:rPr>
        <w:t>genevoise</w:t>
      </w:r>
      <w:proofErr w:type="spellEnd"/>
      <w:r>
        <w:rPr>
          <w:rFonts w:ascii="Times New Roman" w:hAnsi="Times New Roman"/>
          <w:i/>
        </w:rPr>
        <w:t xml:space="preserve"> </w:t>
      </w:r>
      <w:proofErr w:type="spellStart"/>
      <w:r>
        <w:rPr>
          <w:rFonts w:ascii="Times New Roman" w:hAnsi="Times New Roman"/>
          <w:i/>
        </w:rPr>
        <w:t>d’action</w:t>
      </w:r>
      <w:proofErr w:type="spellEnd"/>
      <w:r>
        <w:rPr>
          <w:rFonts w:ascii="Times New Roman" w:hAnsi="Times New Roman"/>
          <w:i/>
        </w:rPr>
        <w:t xml:space="preserve"> </w:t>
      </w:r>
      <w:proofErr w:type="spellStart"/>
      <w:r>
        <w:rPr>
          <w:rFonts w:ascii="Times New Roman" w:hAnsi="Times New Roman"/>
          <w:i/>
        </w:rPr>
        <w:t>syndicale</w:t>
      </w:r>
      <w:proofErr w:type="spellEnd"/>
      <w:r>
        <w:rPr>
          <w:rFonts w:ascii="Times New Roman" w:hAnsi="Times New Roman"/>
          <w:i/>
        </w:rPr>
        <w:t xml:space="preserve"> (CGAS) împotriva Elveției</w:t>
      </w:r>
      <w:r>
        <w:rPr>
          <w:rFonts w:ascii="Times New Roman" w:hAnsi="Times New Roman"/>
        </w:rPr>
        <w:t xml:space="preserve"> [(MC), nr. 21881/20, pct. 138-145, 27 noiembrie 2023]</w:t>
      </w:r>
      <w:r>
        <w:t>.</w:t>
      </w:r>
    </w:p>
    <w:p w14:paraId="10677AF4"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85</w:t>
      </w:r>
      <w:r w:rsidRPr="00C5096D">
        <w:fldChar w:fldCharType="end"/>
      </w:r>
      <w:r>
        <w:t>.  Curtea observă că excepția ridicată de Guvern are două aspecte: în primul rând, acesta a susținut că societatea reclamantă nu s-a plâns în mod clar cu privire la desfășurarea generală a inspecției (a se vedea supra, pct. </w:t>
      </w:r>
      <w:r w:rsidR="007314F1" w:rsidRPr="00C5096D">
        <w:fldChar w:fldCharType="begin"/>
      </w:r>
      <w:r w:rsidR="007314F1" w:rsidRPr="00C5096D">
        <w:instrText xml:space="preserve">REF paragraph00079 \h \* CharFormat  \* MERGEFORMAT </w:instrText>
      </w:r>
      <w:r w:rsidR="007314F1" w:rsidRPr="00C5096D">
        <w:fldChar w:fldCharType="separate"/>
      </w:r>
      <w:r w:rsidRPr="00C5096D">
        <w:t>79</w:t>
      </w:r>
      <w:r w:rsidR="007314F1" w:rsidRPr="00C5096D">
        <w:fldChar w:fldCharType="end"/>
      </w:r>
      <w:r>
        <w:t>); și, în al doilea rând, a susținut că societatea reclamantă nu a solicitat restituirea copiilor e-mailurilor ridicate de inspectori și nici păstrarea confidențialității documentelor (a se vedea supra, pct. </w:t>
      </w:r>
      <w:r w:rsidR="007314F1" w:rsidRPr="00C5096D">
        <w:fldChar w:fldCharType="begin"/>
      </w:r>
      <w:r w:rsidR="007314F1" w:rsidRPr="00C5096D">
        <w:instrText xml:space="preserve">REF paragraph00080 \h \* CharFormat  \* MERGEFORMAT </w:instrText>
      </w:r>
      <w:r w:rsidR="007314F1" w:rsidRPr="00C5096D">
        <w:fldChar w:fldCharType="separate"/>
      </w:r>
      <w:r w:rsidRPr="00C5096D">
        <w:t>80</w:t>
      </w:r>
      <w:r w:rsidR="007314F1" w:rsidRPr="00C5096D">
        <w:fldChar w:fldCharType="end"/>
      </w:r>
      <w:r>
        <w:t xml:space="preserve">). În ceea ce privește </w:t>
      </w:r>
      <w:r>
        <w:lastRenderedPageBreak/>
        <w:t>primul aspect al excepției Guvernului, Curtea observă că societatea reclamantă a contestat în instanță ordinele administrative care i-au fost prezentate ca temei juridic pentru inspecția efectuată de inspectorii de concurență (a se vedea supra, pct. </w:t>
      </w:r>
      <w:r w:rsidR="007314F1" w:rsidRPr="00C5096D">
        <w:fldChar w:fldCharType="begin"/>
      </w:r>
      <w:r w:rsidR="007314F1" w:rsidRPr="00C5096D">
        <w:instrText xml:space="preserve">REF paragraph00011 \h \* CharFormat </w:instrText>
      </w:r>
      <w:r w:rsidR="007314F1" w:rsidRPr="00C5096D">
        <w:fldChar w:fldCharType="separate"/>
      </w:r>
      <w:r w:rsidRPr="00C5096D">
        <w:t>11</w:t>
      </w:r>
      <w:r w:rsidR="007314F1" w:rsidRPr="00C5096D">
        <w:fldChar w:fldCharType="end"/>
      </w:r>
      <w:r>
        <w:t xml:space="preserve">, </w:t>
      </w:r>
      <w:r w:rsidR="007314F1" w:rsidRPr="00C5096D">
        <w:fldChar w:fldCharType="begin"/>
      </w:r>
      <w:r w:rsidR="007314F1" w:rsidRPr="00C5096D">
        <w:instrText xml:space="preserve">REF paragraph00016 \h \* CharFormat </w:instrText>
      </w:r>
      <w:r w:rsidR="007314F1" w:rsidRPr="00C5096D">
        <w:fldChar w:fldCharType="separate"/>
      </w:r>
      <w:r w:rsidRPr="00C5096D">
        <w:t>16</w:t>
      </w:r>
      <w:r w:rsidR="007314F1" w:rsidRPr="00C5096D">
        <w:fldChar w:fldCharType="end"/>
      </w:r>
      <w:r>
        <w:t xml:space="preserve"> și </w:t>
      </w:r>
      <w:r w:rsidR="007314F1" w:rsidRPr="00C5096D">
        <w:fldChar w:fldCharType="begin"/>
      </w:r>
      <w:r w:rsidR="007314F1" w:rsidRPr="00C5096D">
        <w:instrText xml:space="preserve">REF paragraph00020 \h \* CharFormat </w:instrText>
      </w:r>
      <w:r w:rsidR="007314F1" w:rsidRPr="00C5096D">
        <w:fldChar w:fldCharType="separate"/>
      </w:r>
      <w:r w:rsidRPr="00C5096D">
        <w:t>20</w:t>
      </w:r>
      <w:r w:rsidR="007314F1" w:rsidRPr="00C5096D">
        <w:fldChar w:fldCharType="end"/>
      </w:r>
      <w:r>
        <w:t>). În plus, atât în fața Curții de Apel București, cât și în fața Înaltei Curți de Casație și Justiție („Înalta Curte”), societatea reclamantă a prezentat argumente legate de lipsa unui mandat judiciar pentru inspecție și de desfășurarea nelegală a inspecției (ibid.). Societatea reclamantă a invocat, de asemenea, în mod explicit art. 8 din Convenție și jurisprudența Curții referitoare la această dispoziție și a susținut că inspecția a fost atât nejustificată, cât și disproporționată. Aceste constatări sunt suficiente Curții pentru a concluziona că societatea reclamantă a invocat în mod adecvat în fața instanțelor naționale capetele sale de cerere întemeiate pe art. 8. Prin urmare, primul aspect al excepției ridicate de Guvern cu privire la neepuizarea căilor de atac interne trebuie să fie respins.</w:t>
      </w:r>
    </w:p>
    <w:bookmarkStart w:id="62" w:name="paragraph00086"/>
    <w:p w14:paraId="6CE48B40"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86</w:t>
      </w:r>
      <w:r w:rsidRPr="00C5096D">
        <w:fldChar w:fldCharType="end"/>
      </w:r>
      <w:bookmarkEnd w:id="62"/>
      <w:r>
        <w:t>.  În ceea ce privește</w:t>
      </w:r>
      <w:r>
        <w:rPr>
          <w:b/>
        </w:rPr>
        <w:t xml:space="preserve"> </w:t>
      </w:r>
      <w:r>
        <w:t>cel de-al doilea aspect al excepției Guvernului, referitor la posibilitatea de a solicita ca documentele ridicate să rămână confidențiale sau să fie restituite în cazul în care nu erau necesare pentru investigație (a se vedea supra, pct. </w:t>
      </w:r>
      <w:r w:rsidRPr="00C5096D">
        <w:fldChar w:fldCharType="begin"/>
      </w:r>
      <w:r w:rsidRPr="00C5096D">
        <w:instrText xml:space="preserve">REF paragraph00080 \h \* CharFormat  \* MERGEFORMAT </w:instrText>
      </w:r>
      <w:r w:rsidRPr="00C5096D">
        <w:fldChar w:fldCharType="separate"/>
      </w:r>
      <w:r w:rsidR="00C5096D" w:rsidRPr="00C5096D">
        <w:t>80</w:t>
      </w:r>
      <w:r w:rsidRPr="00C5096D">
        <w:fldChar w:fldCharType="end"/>
      </w:r>
      <w:r>
        <w:t>), Curtea observă că o astfel de posibilitate era într-adevăr prevăzută de cadrul legal (a se vedea supra, pct. </w:t>
      </w:r>
      <w:r w:rsidRPr="00C5096D">
        <w:fldChar w:fldCharType="begin"/>
      </w:r>
      <w:r w:rsidRPr="00C5096D">
        <w:instrText xml:space="preserve">REF paragraph00050 \h \* CharFormat  \* MERGEFORMAT </w:instrText>
      </w:r>
      <w:r w:rsidRPr="00C5096D">
        <w:fldChar w:fldCharType="separate"/>
      </w:r>
      <w:r w:rsidR="00C5096D" w:rsidRPr="00C5096D">
        <w:t>50</w:t>
      </w:r>
      <w:r w:rsidRPr="00C5096D">
        <w:fldChar w:fldCharType="end"/>
      </w:r>
      <w:r>
        <w:t>). Posibilitatea de a solicita ca documentele ridicate să rămână</w:t>
      </w:r>
      <w:r>
        <w:rPr>
          <w:b/>
        </w:rPr>
        <w:t xml:space="preserve"> </w:t>
      </w:r>
      <w:r>
        <w:t>confidențiale a fost de</w:t>
      </w:r>
      <w:r>
        <w:rPr>
          <w:b/>
        </w:rPr>
        <w:t xml:space="preserve"> </w:t>
      </w:r>
      <w:r>
        <w:t>asemenea notificată societății reclamante la momentul efectuării inspecției (a se vedea supra, pct. </w:t>
      </w:r>
      <w:r w:rsidRPr="00C5096D">
        <w:fldChar w:fldCharType="begin"/>
      </w:r>
      <w:r w:rsidRPr="00C5096D">
        <w:instrText xml:space="preserve">REF paragraph00008 \h \* CharFormat  \* MERGEFORMAT </w:instrText>
      </w:r>
      <w:r w:rsidRPr="00C5096D">
        <w:fldChar w:fldCharType="separate"/>
      </w:r>
      <w:r w:rsidR="00C5096D" w:rsidRPr="00C5096D">
        <w:t>8</w:t>
      </w:r>
      <w:r w:rsidRPr="00C5096D">
        <w:fldChar w:fldCharType="end"/>
      </w:r>
      <w:r>
        <w:t>). Societatea reclamantă a depus o astfel de cerere, iar cererea sa a fost admisă de Consiliu (a se vedea supra, pct. </w:t>
      </w:r>
      <w:r w:rsidRPr="00C5096D">
        <w:fldChar w:fldCharType="begin"/>
      </w:r>
      <w:r w:rsidRPr="00C5096D">
        <w:instrText xml:space="preserve">REF paragraph00009 \h \* CharFormat  \* MERGEFORMAT </w:instrText>
      </w:r>
      <w:r w:rsidRPr="00C5096D">
        <w:fldChar w:fldCharType="separate"/>
      </w:r>
      <w:r w:rsidR="00C5096D" w:rsidRPr="00C5096D">
        <w:t>9</w:t>
      </w:r>
      <w:r w:rsidRPr="00C5096D">
        <w:fldChar w:fldCharType="end"/>
      </w:r>
      <w:r>
        <w:t>). Este adevărat că, ulterior, documentele în cauză au fost incluse de Consiliu în dosarul instanței (a se vedea supra, pct. </w:t>
      </w:r>
      <w:r w:rsidRPr="00C5096D">
        <w:fldChar w:fldCharType="begin"/>
      </w:r>
      <w:r w:rsidRPr="00C5096D">
        <w:instrText xml:space="preserve">REF paragraph00015 \h \* CharFormat  \* MERGEFORMAT </w:instrText>
      </w:r>
      <w:r w:rsidRPr="00C5096D">
        <w:fldChar w:fldCharType="separate"/>
      </w:r>
      <w:r w:rsidR="00C5096D" w:rsidRPr="00C5096D">
        <w:t>15</w:t>
      </w:r>
      <w:r w:rsidRPr="00C5096D">
        <w:fldChar w:fldCharType="end"/>
      </w:r>
      <w:r>
        <w:t>). Societatea reclamantă s-a plâns cu privire la acest lucru în fața instanței de prim grad de jurisdicție, dar din dosarul cauzei nu reiese modul în care a fost soluționată această plângere specifică. Cu toate acestea, Curtea observă că societatea reclamantă nu a menținut plângerea sa în acest sens în cadrul recursului (a se vedea supra, pct.  </w:t>
      </w:r>
      <w:r w:rsidRPr="00C5096D">
        <w:fldChar w:fldCharType="begin"/>
      </w:r>
      <w:r w:rsidRPr="00C5096D">
        <w:instrText xml:space="preserve">REF paragraph00015 \h \* CharFormat  \* MERGEFORMAT </w:instrText>
      </w:r>
      <w:r w:rsidRPr="00C5096D">
        <w:fldChar w:fldCharType="separate"/>
      </w:r>
      <w:r w:rsidR="00C5096D" w:rsidRPr="00C5096D">
        <w:t>15</w:t>
      </w:r>
      <w:r w:rsidRPr="00C5096D">
        <w:fldChar w:fldCharType="end"/>
      </w:r>
      <w:r>
        <w:t>). În ceea ce privește argumentul Guvernului potrivit căruia societatea reclamantă avea posibilitatea de a solicita ca documentele ridicate de inspectori să fie restituite în cazul în care acestea nu erau necesare pentru investigație, Curtea observă că din dosarul cauzei nu reiese dacă societatea reclamantă s-a prevalat sau nu de această posibilitate. Prin urmare, cel de-al doilea aspect al excepției ridicate de Guvern cu privire la neepuizarea căilor de atac interne trebuie să fie admis, iar capătul de cerere formulat de societatea reclamantă cu privire la ridicarea de către inspectori a unor documente care erau confidențiale sau care nu aveau legătură cu investigația trebuie să fie respins pentru neepuizarea căilor de atac interne.</w:t>
      </w:r>
    </w:p>
    <w:bookmarkStart w:id="63" w:name="paragraph00087"/>
    <w:p w14:paraId="16BF0153"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87</w:t>
      </w:r>
      <w:r w:rsidRPr="00C5096D">
        <w:fldChar w:fldCharType="end"/>
      </w:r>
      <w:bookmarkEnd w:id="63"/>
      <w:r>
        <w:t>.  Curtea observă, de asemenea, că celelalte capete de cerere formulate de societatea reclamantă în temeiul art. 8 din Convenție cu privire la procedura în temeiul Legii concurenței nu sunt nici vădit nefondate, nici inadmisibile pentru alte motive enumerate la art. 35 din Convenție. Prin urmare, acestea trebuie declarate admisibile.</w:t>
      </w:r>
    </w:p>
    <w:p w14:paraId="38A2965C" w14:textId="77777777" w:rsidR="00572B49" w:rsidRPr="00C5096D" w:rsidRDefault="007314F1" w:rsidP="00C5096D">
      <w:pPr>
        <w:pStyle w:val="JuH1"/>
        <w:ind w:left="731" w:hanging="300"/>
      </w:pPr>
      <w:r>
        <w:lastRenderedPageBreak/>
        <w:t>Cu privire la fond</w:t>
      </w:r>
    </w:p>
    <w:p w14:paraId="506F0CA8" w14:textId="77777777" w:rsidR="00572B49" w:rsidRPr="00C5096D" w:rsidRDefault="007314F1" w:rsidP="00C5096D">
      <w:pPr>
        <w:pStyle w:val="JuHa0"/>
        <w:ind w:left="482" w:hanging="340"/>
      </w:pPr>
      <w:r>
        <w:t>Argumentele părților</w:t>
      </w:r>
    </w:p>
    <w:p w14:paraId="4F455C93" w14:textId="77777777" w:rsidR="00572B49" w:rsidRPr="00C5096D" w:rsidRDefault="007314F1" w:rsidP="00C5096D">
      <w:pPr>
        <w:pStyle w:val="JuHi"/>
        <w:ind w:left="1191" w:hanging="358"/>
      </w:pPr>
      <w:r>
        <w:t>Societatea reclamantă</w:t>
      </w:r>
    </w:p>
    <w:bookmarkStart w:id="64" w:name="paragraph00088"/>
    <w:p w14:paraId="32FD618C"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88</w:t>
      </w:r>
      <w:r w:rsidRPr="00C5096D">
        <w:fldChar w:fldCharType="end"/>
      </w:r>
      <w:bookmarkEnd w:id="64"/>
      <w:r>
        <w:t>.  Societatea reclamantă a susținut că inspecția efectuată la sediul său la 30 octombrie 2008, în cursul căreia inspectorii de concurență au accesat mai multe calculatoare fără nicio supraveghere sau restricție, au citit documente care intrau sub incidența secretului bancar sau care conțineau conversații private și au făcut copii ale mai multor astfel de documente, a încălcat garanțiile prevăzute la art. 8 din Convenție, deoarece ordinul de inspecție pe care s-a întemeiat inspecția nu conținea o descriere precisă a domeniului de aplicare și a întinderii inspecției și, prin urmare, nu a oferit protecție împotriva arbitrariului și a abuzului de putere. În plus, societatea reclamantă a reiterat faptul că inspecția a fost efectuată fără o autorizare judiciară prealabilă și a constituit o măsură disproporționată, fiind efectuată în lipsa unor motive relevante și suficiente și fără nicio garanție adecvată împotriva abuzurilor.</w:t>
      </w:r>
    </w:p>
    <w:bookmarkStart w:id="65" w:name="paragraph00089"/>
    <w:p w14:paraId="3D941226" w14:textId="77777777" w:rsidR="00385475"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89</w:t>
      </w:r>
      <w:r w:rsidRPr="00C5096D">
        <w:fldChar w:fldCharType="end"/>
      </w:r>
      <w:bookmarkEnd w:id="65"/>
      <w:r>
        <w:t>.  Inspecția care s-a desfășurat la sediul său, care a implicat percheziția computerelor utilizate de angajații săi nici nu era prevăzută de lege, întrucât temeiul juridic al inspecției, art. 36 din Legea concurenței (a se vedea supra, pct. </w:t>
      </w:r>
      <w:r w:rsidRPr="00C5096D">
        <w:fldChar w:fldCharType="begin"/>
      </w:r>
      <w:r w:rsidRPr="00C5096D">
        <w:instrText xml:space="preserve">REF paragraph00047 \h \* CharFormat </w:instrText>
      </w:r>
      <w:r w:rsidRPr="00C5096D">
        <w:fldChar w:fldCharType="separate"/>
      </w:r>
      <w:r w:rsidR="00C5096D" w:rsidRPr="00C5096D">
        <w:t>47</w:t>
      </w:r>
      <w:r w:rsidRPr="00C5096D">
        <w:fldChar w:fldCharType="end"/>
      </w:r>
      <w:r>
        <w:t>), nu includea dispoziții privind perchezițiile efectuate asupra unor astfel de sisteme informatice sau asupra corespondenței electronice. În plus, legea sus-menționată era neclară și nu prevedea nicio garanție pentru protecția corespondenței private găsite în aceste sisteme sau a informațiilor care intrau sub incidența secretului bancar.</w:t>
      </w:r>
    </w:p>
    <w:p w14:paraId="748910EC" w14:textId="77777777" w:rsidR="00572B49" w:rsidRPr="00C5096D" w:rsidRDefault="007314F1" w:rsidP="00C5096D">
      <w:pPr>
        <w:pStyle w:val="JuPara"/>
      </w:pPr>
      <w:fldSimple w:instr=" SEQ level0 \*arabic ">
        <w:r w:rsidR="00C5096D" w:rsidRPr="00C5096D">
          <w:t>90</w:t>
        </w:r>
      </w:fldSimple>
      <w:r>
        <w:t xml:space="preserve">.  De asemenea, societatea reclamantă nu a beneficiat nici de un control </w:t>
      </w:r>
      <w:r>
        <w:rPr>
          <w:i/>
        </w:rPr>
        <w:t xml:space="preserve">a posteriori </w:t>
      </w:r>
      <w:r>
        <w:t>adecvat al ingerinței sus-menționate în exercitarea dreptului său la respectarea domiciliului și a corespondenței, în sensul că, deși a avut posibilitatea să depună o plângere în care să invoce argumentele de mai sus, instanțele naționale nu au examinat-o în mod adecvat.</w:t>
      </w:r>
    </w:p>
    <w:p w14:paraId="495B14C3" w14:textId="77777777" w:rsidR="00572B49" w:rsidRPr="00C5096D" w:rsidRDefault="007314F1" w:rsidP="00C5096D">
      <w:pPr>
        <w:pStyle w:val="JuHi"/>
        <w:ind w:left="1191" w:hanging="358"/>
      </w:pPr>
      <w:r>
        <w:t>Guvernul</w:t>
      </w:r>
    </w:p>
    <w:bookmarkStart w:id="66" w:name="paragraph00091"/>
    <w:p w14:paraId="46384D63"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91</w:t>
      </w:r>
      <w:r w:rsidRPr="00C5096D">
        <w:fldChar w:fldCharType="end"/>
      </w:r>
      <w:bookmarkEnd w:id="66"/>
      <w:r>
        <w:t>.  Guvernul a susținut că inspecția a fost legală și proporțională cu scopul legitim urmărit. În plus, procedura în fața Curții de Apel București și, ulterior, în fața Înaltei Curți a constituit o cale de atac efectivă pentru plângerile formulate de societatea reclamantă.</w:t>
      </w:r>
    </w:p>
    <w:bookmarkStart w:id="67" w:name="paragraph00092"/>
    <w:p w14:paraId="78FDB2EB"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92</w:t>
      </w:r>
      <w:r w:rsidRPr="00C5096D">
        <w:fldChar w:fldCharType="end"/>
      </w:r>
      <w:bookmarkEnd w:id="67"/>
      <w:r>
        <w:t>.  Acesta a susținut că societatea reclamantă a formulat în fața instanței de prim grad de jurisdicție și a menținut în apel doar capătul de cerere potrivit căruia ordinul de inspecție a fost disproporționat și formulat în termeni prea generali, întrucât nu a precizat domeniul de aplicare al inspecției. Acest capăt de cerere a fost examinat în detaliu de către instanțe și a fost respins în temeiul legislației naționale și a Uniunii Europene și în conformitate cu normele Convenției. Celelalte capete de cerere fie nu au fost formulate în cadrul recursului, fie au fost formulate pentru prima dată în cadrul recursului, ceea ce a împiedicat examinarea lor din punct de vedere procedural.</w:t>
      </w:r>
      <w:r>
        <w:rPr>
          <w:b/>
        </w:rPr>
        <w:t xml:space="preserve"> </w:t>
      </w:r>
      <w:r>
        <w:t xml:space="preserve">În orice caz, </w:t>
      </w:r>
      <w:r>
        <w:lastRenderedPageBreak/>
        <w:t xml:space="preserve">în ceea ce privește caracterul prea general al ordinului de inspecție, Guvernul a subliniat că din dosar reiese faptul că inspectorii au completat conținutul ordinului de inspecție prin informarea verbală a reprezentanților societății reclamante cu privire la domeniul de aplicare și întinderea inspecției. În opinia Guvernului, detaliile furnizate de societatea reclamantă în plângerea depusă în fața Consiliului erau dovada veridicității acestei afirmații și, implicit, a faptului că societatea reclamantă a fost informată în mod corespunzător cu privire la domeniul de aplicare al inspecției, la momentul desfășurării acesteia (a se vedea punctul </w:t>
      </w:r>
      <w:r w:rsidRPr="00C5096D">
        <w:fldChar w:fldCharType="begin"/>
      </w:r>
      <w:r w:rsidRPr="00C5096D">
        <w:instrText xml:space="preserve">REF paragraph00010 \h \* CharFormat  \* MERGEFORMAT </w:instrText>
      </w:r>
      <w:r w:rsidRPr="00C5096D">
        <w:fldChar w:fldCharType="separate"/>
      </w:r>
      <w:r w:rsidR="00C5096D" w:rsidRPr="00C5096D">
        <w:t>10</w:t>
      </w:r>
      <w:r w:rsidRPr="00C5096D">
        <w:fldChar w:fldCharType="end"/>
      </w:r>
      <w:r>
        <w:t>).</w:t>
      </w:r>
    </w:p>
    <w:bookmarkStart w:id="68" w:name="paragraph00093"/>
    <w:p w14:paraId="37C5C70D" w14:textId="77777777" w:rsidR="00183B4E"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93</w:t>
      </w:r>
      <w:r w:rsidRPr="00C5096D">
        <w:fldChar w:fldCharType="end"/>
      </w:r>
      <w:bookmarkEnd w:id="68"/>
      <w:r>
        <w:t xml:space="preserve">.  Guvernul a susținut, de asemenea, că societatea reclamantă nu a fost privată de accesul la o instanță sau de un control </w:t>
      </w:r>
      <w:r>
        <w:rPr>
          <w:i/>
        </w:rPr>
        <w:t xml:space="preserve">ex post facto </w:t>
      </w:r>
      <w:r>
        <w:t>al inspecției, deoarece, astfel cum a constatat Înalta Curte în decizia sa din 11 aprilie 2013, societatea reclamantă a avut posibilitatea de a contesta ordinul de inspecție și și-a exercitat efectiv dreptul de a face acest lucru (a se vedea supra, pct. </w:t>
      </w:r>
      <w:r w:rsidRPr="00C5096D">
        <w:fldChar w:fldCharType="begin"/>
      </w:r>
      <w:r w:rsidRPr="00C5096D">
        <w:instrText xml:space="preserve">REF paragraph00024 \h \* CharFormat </w:instrText>
      </w:r>
      <w:r w:rsidRPr="00C5096D">
        <w:fldChar w:fldCharType="separate"/>
      </w:r>
      <w:r w:rsidR="00C5096D" w:rsidRPr="00C5096D">
        <w:t>24</w:t>
      </w:r>
      <w:r w:rsidRPr="00C5096D">
        <w:fldChar w:fldCharType="end"/>
      </w:r>
      <w:r>
        <w:t>).</w:t>
      </w:r>
    </w:p>
    <w:p w14:paraId="397203EE" w14:textId="77777777" w:rsidR="00572B49" w:rsidRPr="00C5096D" w:rsidRDefault="007314F1" w:rsidP="00C5096D">
      <w:pPr>
        <w:pStyle w:val="JuHa0"/>
        <w:ind w:left="482" w:hanging="340"/>
      </w:pPr>
      <w:r>
        <w:t>Motivarea Curții</w:t>
      </w:r>
    </w:p>
    <w:p w14:paraId="660DA2DE" w14:textId="77777777" w:rsidR="00572B49" w:rsidRPr="00C5096D" w:rsidRDefault="007314F1" w:rsidP="00C5096D">
      <w:pPr>
        <w:pStyle w:val="JuHi"/>
        <w:ind w:left="1191" w:hanging="358"/>
      </w:pPr>
      <w:r>
        <w:t>Cu privire la existența unei ingerințe</w:t>
      </w:r>
    </w:p>
    <w:p w14:paraId="342DFD95" w14:textId="77777777" w:rsidR="00572B49" w:rsidRPr="00C5096D" w:rsidRDefault="007314F1" w:rsidP="00C5096D">
      <w:pPr>
        <w:pStyle w:val="JuPara"/>
      </w:pPr>
      <w:fldSimple w:instr=" SEQ level0 \*arabic ">
        <w:r w:rsidR="00C5096D" w:rsidRPr="00C5096D">
          <w:t>94</w:t>
        </w:r>
      </w:fldSimple>
      <w:r>
        <w:t xml:space="preserve">.  Curtea reiterează faptul că a hotărât deja în repetate rânduri că perchezițiile efectuate la sediul societăților comerciale și perchezițiile informatice constituie o ingerință în exercitarea „dreptului la respectarea domiciliului” (a se vedea </w:t>
      </w:r>
      <w:proofErr w:type="spellStart"/>
      <w:r>
        <w:rPr>
          <w:i/>
        </w:rPr>
        <w:t>Société</w:t>
      </w:r>
      <w:proofErr w:type="spellEnd"/>
      <w:r>
        <w:rPr>
          <w:i/>
        </w:rPr>
        <w:t xml:space="preserve"> Canal Plus și altele împotriva Franței</w:t>
      </w:r>
      <w:r>
        <w:t xml:space="preserve">, nr. 29408/08, pct. 52, 21 decembrie 2010, și </w:t>
      </w:r>
      <w:r>
        <w:rPr>
          <w:i/>
        </w:rPr>
        <w:t xml:space="preserve">DELTA PEKÁRNY </w:t>
      </w:r>
      <w:proofErr w:type="spellStart"/>
      <w:r>
        <w:rPr>
          <w:i/>
        </w:rPr>
        <w:t>a.s.</w:t>
      </w:r>
      <w:proofErr w:type="spellEnd"/>
      <w:r>
        <w:rPr>
          <w:i/>
        </w:rPr>
        <w:t xml:space="preserve"> împotriva Republicii Cehe</w:t>
      </w:r>
      <w:r>
        <w:t xml:space="preserve">, nr. 97/11, pct. 77-78, 2 octombrie 2014) și a „dreptului la respectarea corespondenței” (a se vedea </w:t>
      </w:r>
      <w:proofErr w:type="spellStart"/>
      <w:r>
        <w:rPr>
          <w:i/>
        </w:rPr>
        <w:t>Wieser</w:t>
      </w:r>
      <w:proofErr w:type="spellEnd"/>
      <w:r>
        <w:rPr>
          <w:i/>
        </w:rPr>
        <w:t xml:space="preserve"> și </w:t>
      </w:r>
      <w:proofErr w:type="spellStart"/>
      <w:r>
        <w:rPr>
          <w:i/>
        </w:rPr>
        <w:t>Bicos</w:t>
      </w:r>
      <w:proofErr w:type="spellEnd"/>
      <w:r>
        <w:rPr>
          <w:i/>
        </w:rPr>
        <w:t xml:space="preserve"> </w:t>
      </w:r>
      <w:proofErr w:type="spellStart"/>
      <w:r>
        <w:rPr>
          <w:i/>
        </w:rPr>
        <w:t>Beteiligungen</w:t>
      </w:r>
      <w:proofErr w:type="spellEnd"/>
      <w:r>
        <w:rPr>
          <w:i/>
        </w:rPr>
        <w:t xml:space="preserve"> </w:t>
      </w:r>
      <w:proofErr w:type="spellStart"/>
      <w:r>
        <w:rPr>
          <w:i/>
        </w:rPr>
        <w:t>GmbH</w:t>
      </w:r>
      <w:proofErr w:type="spellEnd"/>
      <w:r>
        <w:rPr>
          <w:i/>
        </w:rPr>
        <w:t xml:space="preserve"> împotriva Austriei</w:t>
      </w:r>
      <w:r>
        <w:t>, nr. 74336/01, pct. 45, CEDO 2007</w:t>
      </w:r>
      <w:r>
        <w:noBreakHyphen/>
        <w:t>IV).</w:t>
      </w:r>
    </w:p>
    <w:p w14:paraId="63661C49" w14:textId="77777777" w:rsidR="00572B49" w:rsidRPr="00C5096D" w:rsidRDefault="007314F1" w:rsidP="00C5096D">
      <w:pPr>
        <w:pStyle w:val="JuPara"/>
      </w:pPr>
      <w:fldSimple w:instr=" SEQ level0 \*arabic ">
        <w:r w:rsidR="00C5096D" w:rsidRPr="00C5096D">
          <w:t>95</w:t>
        </w:r>
      </w:fldSimple>
      <w:r>
        <w:t>.  În speță, Curtea observă că nu se contestă faptul că societatea reclamantă avea obligația legală de a se conforma ordinului de inspecție prin care a fost autorizat accesul inspectorilor în sediul său. Impunerea acestei obligații societății reclamante a constituit o ingerință în exercitarea dreptului acesteia la respectarea „domiciliului” său, iar materialele obținute priveau fără îndoială „corespondența” în sensul art. 8.</w:t>
      </w:r>
    </w:p>
    <w:bookmarkStart w:id="69" w:name="paragraph00096"/>
    <w:p w14:paraId="5F581095"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96</w:t>
      </w:r>
      <w:r w:rsidRPr="00C5096D">
        <w:fldChar w:fldCharType="end"/>
      </w:r>
      <w:bookmarkEnd w:id="69"/>
      <w:r>
        <w:t>.  În ceea ce privește pretinsa ingerință în exercitarea dreptului societății reclamante la respectarea vieții private, Curtea observă că aceasta a susținut că respectivele computere care au fost percheziționate de inspectorii de concurență conțineau, de asemenea, copii ale corespondenței personale a angajaților (a se vedea supra, pct. </w:t>
      </w:r>
      <w:r w:rsidRPr="00C5096D">
        <w:fldChar w:fldCharType="begin"/>
      </w:r>
      <w:r w:rsidRPr="00C5096D">
        <w:instrText xml:space="preserve">REF paragraph00011 \h \* CharFormat </w:instrText>
      </w:r>
      <w:r w:rsidRPr="00C5096D">
        <w:fldChar w:fldCharType="separate"/>
      </w:r>
      <w:r w:rsidR="00C5096D" w:rsidRPr="00C5096D">
        <w:t>11</w:t>
      </w:r>
      <w:r w:rsidRPr="00C5096D">
        <w:fldChar w:fldCharType="end"/>
      </w:r>
      <w:r>
        <w:t xml:space="preserve"> și </w:t>
      </w:r>
      <w:r w:rsidRPr="00C5096D">
        <w:fldChar w:fldCharType="begin"/>
      </w:r>
      <w:r w:rsidRPr="00C5096D">
        <w:instrText xml:space="preserve">REF paragraph00020 \h \* CharFormat </w:instrText>
      </w:r>
      <w:r w:rsidRPr="00C5096D">
        <w:fldChar w:fldCharType="separate"/>
      </w:r>
      <w:r w:rsidR="00C5096D" w:rsidRPr="00C5096D">
        <w:t>20</w:t>
      </w:r>
      <w:r w:rsidRPr="00C5096D">
        <w:fldChar w:fldCharType="end"/>
      </w:r>
      <w:r>
        <w:t xml:space="preserve">). Cu toate acestea, nicio persoană nu s-a plâns de vreo ingerință în viața sa privată, nici în fața instanțelor naționale, nici în fața Curții. În lipsa unei astfel de plângeri, Curtea consideră că nu este necesar să stabilească dacă, în speță, a existat o ingerință în exercitarea dreptului la respectarea „vieții private”. Orice interes al societății solicitante de a asigura protecția vieții private a persoanelor care lucrează pentru aceasta ar trebui luat în considerare pentru a aprecia aspectul dacă, în </w:t>
      </w:r>
      <w:r>
        <w:lastRenderedPageBreak/>
        <w:t xml:space="preserve">prezenta cauză, sunt îndeplinite condițiile prevăzute la art. 8 § 2 (a se vedea </w:t>
      </w:r>
      <w:proofErr w:type="spellStart"/>
      <w:r>
        <w:rPr>
          <w:i/>
        </w:rPr>
        <w:t>Bernh</w:t>
      </w:r>
      <w:proofErr w:type="spellEnd"/>
      <w:r>
        <w:rPr>
          <w:i/>
        </w:rPr>
        <w:t xml:space="preserve"> </w:t>
      </w:r>
      <w:proofErr w:type="spellStart"/>
      <w:r>
        <w:rPr>
          <w:i/>
        </w:rPr>
        <w:t>Larsen</w:t>
      </w:r>
      <w:proofErr w:type="spellEnd"/>
      <w:r>
        <w:rPr>
          <w:i/>
        </w:rPr>
        <w:t xml:space="preserve"> Holding AS și altele împotriva Norvegiei</w:t>
      </w:r>
      <w:r>
        <w:t>, nr. 24117/08, pct. 107, 14 martie 2013).</w:t>
      </w:r>
    </w:p>
    <w:p w14:paraId="50810BD4"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97</w:t>
      </w:r>
      <w:r w:rsidRPr="00C5096D">
        <w:fldChar w:fldCharType="end"/>
      </w:r>
      <w:r>
        <w:t>.  Prin urmare, Curtea trebuie să stabilească dacă ingerința a îndeplinit cerințele art. 8 § 2.</w:t>
      </w:r>
    </w:p>
    <w:p w14:paraId="01AFACD8" w14:textId="77777777" w:rsidR="00572B49" w:rsidRPr="00C5096D" w:rsidRDefault="007314F1" w:rsidP="00C5096D">
      <w:pPr>
        <w:pStyle w:val="JuHi"/>
        <w:ind w:left="1191" w:hanging="358"/>
      </w:pPr>
      <w:r>
        <w:t>Cu privire la aspectul dacă ingerința era prevăzută de lege</w:t>
      </w:r>
    </w:p>
    <w:p w14:paraId="4B86925D" w14:textId="77777777" w:rsidR="00572B49" w:rsidRPr="00C5096D" w:rsidRDefault="007314F1" w:rsidP="00C5096D">
      <w:pPr>
        <w:pStyle w:val="JuPara"/>
      </w:pPr>
      <w:fldSimple w:instr=" SEQ level0 \*arabic ">
        <w:r w:rsidR="00C5096D" w:rsidRPr="00C5096D">
          <w:t>98</w:t>
        </w:r>
      </w:fldSimple>
      <w:r>
        <w:t>.  Curtea observă că părțile au fost în dezacord cu privire la aspectul dacă ingerința era „prevăzută de lege”. Diferența de opinii dintre părți în ceea ce privește legislația aplicabilă rezultă din opiniile lor divergente cu privire la aspectul dacă Legea concurenței permitea perchezițiile efectuate asupra sistemelor informatice sau asupra corespondenței electronice și dacă aceasta conținea dispoziții și garanții clare cu privire la protecția corespondenței private sau a informațiilor care intrau sub incidența secretului bancar, în contextul inspecțiilor inopinate (a se vedea supra, pct. </w:t>
      </w:r>
      <w:r w:rsidRPr="00C5096D">
        <w:fldChar w:fldCharType="begin"/>
      </w:r>
      <w:r w:rsidRPr="00C5096D">
        <w:instrText xml:space="preserve">REF paragraph00089 \h \* CharFormat </w:instrText>
      </w:r>
      <w:r w:rsidRPr="00C5096D">
        <w:fldChar w:fldCharType="separate"/>
      </w:r>
      <w:r w:rsidR="00C5096D" w:rsidRPr="00C5096D">
        <w:t>89</w:t>
      </w:r>
      <w:r w:rsidRPr="00C5096D">
        <w:fldChar w:fldCharType="end"/>
      </w:r>
      <w:r>
        <w:t xml:space="preserve"> și </w:t>
      </w:r>
      <w:r w:rsidRPr="00C5096D">
        <w:fldChar w:fldCharType="begin"/>
      </w:r>
      <w:r w:rsidRPr="00C5096D">
        <w:instrText xml:space="preserve">REF paragraph00091 \h \* CharFormat </w:instrText>
      </w:r>
      <w:r w:rsidRPr="00C5096D">
        <w:fldChar w:fldCharType="separate"/>
      </w:r>
      <w:r w:rsidR="00C5096D" w:rsidRPr="00C5096D">
        <w:t>91</w:t>
      </w:r>
      <w:r w:rsidRPr="00C5096D">
        <w:fldChar w:fldCharType="end"/>
      </w:r>
      <w:r>
        <w:t>).</w:t>
      </w:r>
    </w:p>
    <w:p w14:paraId="04A9E6F6" w14:textId="77777777" w:rsidR="00572B49" w:rsidRPr="00C5096D" w:rsidRDefault="007314F1" w:rsidP="00C5096D">
      <w:pPr>
        <w:pStyle w:val="JuPara"/>
      </w:pPr>
      <w:r w:rsidRPr="00C5096D">
        <w:rPr>
          <w:rFonts w:eastAsiaTheme="minorEastAsia"/>
        </w:rPr>
        <w:fldChar w:fldCharType="begin"/>
      </w:r>
      <w:r w:rsidRPr="00C5096D">
        <w:rPr>
          <w:rFonts w:eastAsiaTheme="minorEastAsia"/>
        </w:rPr>
        <w:instrText xml:space="preserve"> SEQ level0 \*arabic </w:instrText>
      </w:r>
      <w:r w:rsidRPr="00C5096D">
        <w:rPr>
          <w:rFonts w:eastAsiaTheme="minorEastAsia"/>
        </w:rPr>
        <w:fldChar w:fldCharType="separate"/>
      </w:r>
      <w:r w:rsidR="00C5096D" w:rsidRPr="00C5096D">
        <w:rPr>
          <w:rFonts w:eastAsiaTheme="minorEastAsia"/>
        </w:rPr>
        <w:t>99</w:t>
      </w:r>
      <w:r w:rsidRPr="00C5096D">
        <w:rPr>
          <w:rFonts w:eastAsiaTheme="minorEastAsia"/>
        </w:rPr>
        <w:fldChar w:fldCharType="end"/>
      </w:r>
      <w:r>
        <w:t>.  Astfel cum a statuat Curtea în repetate rânduri, nu este de competența acesteia să se substituie instanțelor naționale și revine în primul rând autorităților naționale, în special instanțelor, sarcina de a interpreta și de a aplica dreptul intern.</w:t>
      </w:r>
      <w:r>
        <w:rPr>
          <w:i/>
        </w:rPr>
        <w:t xml:space="preserve"> </w:t>
      </w:r>
      <w:r>
        <w:t xml:space="preserve">De asemenea, nu este de competența Curții să se pronunțe cu privire la caracterul adecvat al metodelor alese de legiuitorul unui stat pârât pentru a reglementa un anumit domeniu [a se vedea, printre multe alte hotărâri, </w:t>
      </w:r>
      <w:r>
        <w:rPr>
          <w:i/>
        </w:rPr>
        <w:t xml:space="preserve">Magyar Helsinki </w:t>
      </w:r>
      <w:proofErr w:type="spellStart"/>
      <w:r>
        <w:rPr>
          <w:i/>
        </w:rPr>
        <w:t>Bizottság</w:t>
      </w:r>
      <w:proofErr w:type="spellEnd"/>
      <w:r>
        <w:rPr>
          <w:i/>
        </w:rPr>
        <w:t xml:space="preserve"> împotriva Ungariei</w:t>
      </w:r>
      <w:r>
        <w:t xml:space="preserve"> (MC), nr. 18030/11, pct. 184, 8 noiembrie 2016, cu trimiterile citate].</w:t>
      </w:r>
    </w:p>
    <w:p w14:paraId="050E2870" w14:textId="77777777" w:rsidR="00572B49" w:rsidRPr="00C5096D" w:rsidRDefault="007314F1" w:rsidP="00C5096D">
      <w:pPr>
        <w:pStyle w:val="JuPara"/>
        <w:rPr>
          <w:rFonts w:eastAsiaTheme="minorEastAsia"/>
          <w:szCs w:val="22"/>
        </w:rPr>
      </w:pPr>
      <w:r w:rsidRPr="00C5096D">
        <w:rPr>
          <w:rFonts w:eastAsiaTheme="minorEastAsia"/>
        </w:rPr>
        <w:fldChar w:fldCharType="begin"/>
      </w:r>
      <w:r w:rsidRPr="00C5096D">
        <w:rPr>
          <w:rFonts w:eastAsiaTheme="minorEastAsia"/>
        </w:rPr>
        <w:instrText xml:space="preserve"> SEQ level0 \*arabic </w:instrText>
      </w:r>
      <w:r w:rsidRPr="00C5096D">
        <w:rPr>
          <w:rFonts w:eastAsiaTheme="minorEastAsia"/>
        </w:rPr>
        <w:fldChar w:fldCharType="separate"/>
      </w:r>
      <w:r w:rsidR="00C5096D" w:rsidRPr="00C5096D">
        <w:rPr>
          <w:rFonts w:eastAsiaTheme="minorEastAsia"/>
        </w:rPr>
        <w:t>100</w:t>
      </w:r>
      <w:r w:rsidRPr="00C5096D">
        <w:rPr>
          <w:rFonts w:eastAsiaTheme="minorEastAsia"/>
        </w:rPr>
        <w:fldChar w:fldCharType="end"/>
      </w:r>
      <w:r>
        <w:t>.  În prezenta cauză, Curtea observă că inspecția</w:t>
      </w:r>
      <w:r>
        <w:rPr>
          <w:b/>
        </w:rPr>
        <w:t xml:space="preserve"> </w:t>
      </w:r>
      <w:r>
        <w:t>și ridicarea de înscrisuri de către inspectorii de concurență s-au întemeiat pe art. 26 lit. b) și pe art. 27 alin. (4), coroborate cu art. 36 din Legea concurenței, care reglementează competențele lor de investigare pentru identificarea infracțiunilor economice legate de concurență (a se vedea supra, pct. </w:t>
      </w:r>
      <w:r w:rsidRPr="00C5096D">
        <w:rPr>
          <w:rFonts w:eastAsiaTheme="minorEastAsia"/>
        </w:rPr>
        <w:fldChar w:fldCharType="begin"/>
      </w:r>
      <w:r w:rsidRPr="00C5096D">
        <w:rPr>
          <w:rFonts w:eastAsiaTheme="minorEastAsia"/>
        </w:rPr>
        <w:instrText xml:space="preserve">REF paragraph00007 \h \* CharFormat </w:instrText>
      </w:r>
      <w:r w:rsidRPr="00C5096D">
        <w:rPr>
          <w:rFonts w:eastAsiaTheme="minorEastAsia"/>
        </w:rPr>
      </w:r>
      <w:r w:rsidRPr="00C5096D">
        <w:rPr>
          <w:rFonts w:eastAsiaTheme="minorEastAsia"/>
        </w:rPr>
        <w:fldChar w:fldCharType="separate"/>
      </w:r>
      <w:r w:rsidR="00C5096D" w:rsidRPr="00C5096D">
        <w:rPr>
          <w:rFonts w:eastAsiaTheme="minorEastAsia"/>
        </w:rPr>
        <w:t>7</w:t>
      </w:r>
      <w:r w:rsidRPr="00C5096D">
        <w:rPr>
          <w:rFonts w:eastAsiaTheme="minorEastAsia"/>
        </w:rPr>
        <w:fldChar w:fldCharType="end"/>
      </w:r>
      <w:r>
        <w:t xml:space="preserve"> și </w:t>
      </w:r>
      <w:r w:rsidRPr="00C5096D">
        <w:rPr>
          <w:rFonts w:eastAsiaTheme="minorEastAsia"/>
        </w:rPr>
        <w:fldChar w:fldCharType="begin"/>
      </w:r>
      <w:r w:rsidRPr="00C5096D">
        <w:rPr>
          <w:rFonts w:eastAsiaTheme="minorEastAsia"/>
        </w:rPr>
        <w:instrText xml:space="preserve">REF paragraph00047 \h \* CharFormat </w:instrText>
      </w:r>
      <w:r w:rsidRPr="00C5096D">
        <w:rPr>
          <w:rFonts w:eastAsiaTheme="minorEastAsia"/>
        </w:rPr>
      </w:r>
      <w:r w:rsidRPr="00C5096D">
        <w:rPr>
          <w:rFonts w:eastAsiaTheme="minorEastAsia"/>
        </w:rPr>
        <w:fldChar w:fldCharType="separate"/>
      </w:r>
      <w:r w:rsidR="00C5096D" w:rsidRPr="00C5096D">
        <w:rPr>
          <w:rFonts w:eastAsiaTheme="minorEastAsia"/>
        </w:rPr>
        <w:t>47</w:t>
      </w:r>
      <w:r w:rsidRPr="00C5096D">
        <w:rPr>
          <w:rFonts w:eastAsiaTheme="minorEastAsia"/>
        </w:rPr>
        <w:fldChar w:fldCharType="end"/>
      </w:r>
      <w:r>
        <w:t>). Curtea constată, de asemenea, că excepția de neconstituționalitate ridicată de societatea reclamantă în legătură cu dispozițiile art. 36-38 din Legea concurenței a fost respinsă de Curtea Constituțională (a se vedea supra, pct. </w:t>
      </w:r>
      <w:r w:rsidRPr="00C5096D">
        <w:rPr>
          <w:rFonts w:eastAsiaTheme="minorEastAsia"/>
        </w:rPr>
        <w:fldChar w:fldCharType="begin"/>
      </w:r>
      <w:r w:rsidRPr="00C5096D">
        <w:rPr>
          <w:rFonts w:eastAsiaTheme="minorEastAsia"/>
        </w:rPr>
        <w:instrText xml:space="preserve">REF paragraph00013 \h \* CharFormat </w:instrText>
      </w:r>
      <w:r w:rsidRPr="00C5096D">
        <w:rPr>
          <w:rFonts w:eastAsiaTheme="minorEastAsia"/>
        </w:rPr>
      </w:r>
      <w:r w:rsidRPr="00C5096D">
        <w:rPr>
          <w:rFonts w:eastAsiaTheme="minorEastAsia"/>
        </w:rPr>
        <w:fldChar w:fldCharType="separate"/>
      </w:r>
      <w:r w:rsidR="00C5096D" w:rsidRPr="00C5096D">
        <w:rPr>
          <w:rFonts w:eastAsiaTheme="minorEastAsia"/>
        </w:rPr>
        <w:t>13</w:t>
      </w:r>
      <w:r w:rsidRPr="00C5096D">
        <w:rPr>
          <w:rFonts w:eastAsiaTheme="minorEastAsia"/>
        </w:rPr>
        <w:fldChar w:fldCharType="end"/>
      </w:r>
      <w:r>
        <w:t>). În plus, atât Curtea de Apel București, cât și Înalta Curte au analizat argumentele prezentate de societatea reclamantă în această privință și au considerat că inspecția a respectat cadrul legal în vigoare la momentul faptelor (a se vedea supra, pct. </w:t>
      </w:r>
      <w:r w:rsidRPr="00C5096D">
        <w:rPr>
          <w:rFonts w:eastAsiaTheme="minorEastAsia"/>
        </w:rPr>
        <w:fldChar w:fldCharType="begin"/>
      </w:r>
      <w:r w:rsidRPr="00C5096D">
        <w:rPr>
          <w:rFonts w:eastAsiaTheme="minorEastAsia"/>
        </w:rPr>
        <w:instrText xml:space="preserve">REF paragraph00017 \h \* CharFormat </w:instrText>
      </w:r>
      <w:r w:rsidRPr="00C5096D">
        <w:rPr>
          <w:rFonts w:eastAsiaTheme="minorEastAsia"/>
        </w:rPr>
      </w:r>
      <w:r w:rsidRPr="00C5096D">
        <w:rPr>
          <w:rFonts w:eastAsiaTheme="minorEastAsia"/>
        </w:rPr>
        <w:fldChar w:fldCharType="separate"/>
      </w:r>
      <w:r w:rsidR="00C5096D" w:rsidRPr="00C5096D">
        <w:rPr>
          <w:rFonts w:eastAsiaTheme="minorEastAsia"/>
        </w:rPr>
        <w:t>17</w:t>
      </w:r>
      <w:r w:rsidRPr="00C5096D">
        <w:rPr>
          <w:rFonts w:eastAsiaTheme="minorEastAsia"/>
        </w:rPr>
        <w:fldChar w:fldCharType="end"/>
      </w:r>
      <w:r>
        <w:noBreakHyphen/>
      </w:r>
      <w:r w:rsidRPr="00C5096D">
        <w:rPr>
          <w:rFonts w:eastAsiaTheme="minorEastAsia"/>
        </w:rPr>
        <w:fldChar w:fldCharType="begin"/>
      </w:r>
      <w:r w:rsidRPr="00C5096D">
        <w:rPr>
          <w:rFonts w:eastAsiaTheme="minorEastAsia"/>
        </w:rPr>
        <w:instrText xml:space="preserve">REF paragraph00019 \h \* CharFormat </w:instrText>
      </w:r>
      <w:r w:rsidRPr="00C5096D">
        <w:rPr>
          <w:rFonts w:eastAsiaTheme="minorEastAsia"/>
        </w:rPr>
      </w:r>
      <w:r w:rsidRPr="00C5096D">
        <w:rPr>
          <w:rFonts w:eastAsiaTheme="minorEastAsia"/>
        </w:rPr>
        <w:fldChar w:fldCharType="separate"/>
      </w:r>
      <w:r w:rsidR="00C5096D" w:rsidRPr="00C5096D">
        <w:rPr>
          <w:rFonts w:eastAsiaTheme="minorEastAsia"/>
        </w:rPr>
        <w:t>19</w:t>
      </w:r>
      <w:r w:rsidRPr="00C5096D">
        <w:rPr>
          <w:rFonts w:eastAsiaTheme="minorEastAsia"/>
        </w:rPr>
        <w:fldChar w:fldCharType="end"/>
      </w:r>
      <w:r>
        <w:t xml:space="preserve"> și </w:t>
      </w:r>
      <w:r w:rsidRPr="00C5096D">
        <w:rPr>
          <w:rFonts w:eastAsiaTheme="minorEastAsia"/>
        </w:rPr>
        <w:fldChar w:fldCharType="begin"/>
      </w:r>
      <w:r w:rsidRPr="00C5096D">
        <w:rPr>
          <w:rFonts w:eastAsiaTheme="minorEastAsia"/>
        </w:rPr>
        <w:instrText xml:space="preserve">REF paragraph00022 \h \* CharFormat </w:instrText>
      </w:r>
      <w:r w:rsidRPr="00C5096D">
        <w:rPr>
          <w:rFonts w:eastAsiaTheme="minorEastAsia"/>
        </w:rPr>
      </w:r>
      <w:r w:rsidRPr="00C5096D">
        <w:rPr>
          <w:rFonts w:eastAsiaTheme="minorEastAsia"/>
        </w:rPr>
        <w:fldChar w:fldCharType="separate"/>
      </w:r>
      <w:r w:rsidR="00C5096D" w:rsidRPr="00C5096D">
        <w:rPr>
          <w:rFonts w:eastAsiaTheme="minorEastAsia"/>
        </w:rPr>
        <w:t>22</w:t>
      </w:r>
      <w:r w:rsidRPr="00C5096D">
        <w:rPr>
          <w:rFonts w:eastAsiaTheme="minorEastAsia"/>
        </w:rPr>
        <w:fldChar w:fldCharType="end"/>
      </w:r>
      <w:r>
        <w:t>-</w:t>
      </w:r>
      <w:r w:rsidRPr="00C5096D">
        <w:rPr>
          <w:rFonts w:eastAsiaTheme="minorEastAsia"/>
        </w:rPr>
        <w:fldChar w:fldCharType="begin"/>
      </w:r>
      <w:r w:rsidRPr="00C5096D">
        <w:rPr>
          <w:rFonts w:eastAsiaTheme="minorEastAsia"/>
        </w:rPr>
        <w:instrText xml:space="preserve">REF paragraph00023 \h \* CharFormat </w:instrText>
      </w:r>
      <w:r w:rsidRPr="00C5096D">
        <w:rPr>
          <w:rFonts w:eastAsiaTheme="minorEastAsia"/>
        </w:rPr>
      </w:r>
      <w:r w:rsidRPr="00C5096D">
        <w:rPr>
          <w:rFonts w:eastAsiaTheme="minorEastAsia"/>
        </w:rPr>
        <w:fldChar w:fldCharType="separate"/>
      </w:r>
      <w:r w:rsidR="00C5096D" w:rsidRPr="00C5096D">
        <w:rPr>
          <w:rFonts w:eastAsiaTheme="minorEastAsia"/>
        </w:rPr>
        <w:t>23</w:t>
      </w:r>
      <w:r w:rsidRPr="00C5096D">
        <w:rPr>
          <w:rFonts w:eastAsiaTheme="minorEastAsia"/>
        </w:rPr>
        <w:fldChar w:fldCharType="end"/>
      </w:r>
      <w:r>
        <w:t>). Având în vedere cele de mai sus și în circumstanțele specifice ale prezentei cauze, Curtea apreciază că nu există niciun motiv pentru a pune sub semnul întrebării interpretarea dată de instanțele naționale legislației aplicabile și, prin urmare, admite că ingerința era „prevăzută de lege” în sensul celui de-al doilea paragraf al articolului 8 din Convenție. Problema dacă legislația în cauză conținea garanții suficiente pentru a asigura protecția corespondenței private și a informațiilor protejate de secretul bancar va fi examinată în cadrul analizei aspectului proporționalității ingerinței.</w:t>
      </w:r>
    </w:p>
    <w:p w14:paraId="0B320597" w14:textId="77777777" w:rsidR="00572B49" w:rsidRPr="00C5096D" w:rsidRDefault="007314F1" w:rsidP="00C5096D">
      <w:pPr>
        <w:pStyle w:val="JuHi"/>
        <w:ind w:left="1191" w:hanging="358"/>
      </w:pPr>
      <w:r>
        <w:lastRenderedPageBreak/>
        <w:t>Cu privire la aspectul dacă ingerința a avut un scop legitim</w:t>
      </w:r>
    </w:p>
    <w:p w14:paraId="190D2E7A" w14:textId="77777777" w:rsidR="00572B49" w:rsidRPr="00C5096D" w:rsidRDefault="007314F1" w:rsidP="00C5096D">
      <w:pPr>
        <w:pStyle w:val="JuPara"/>
      </w:pPr>
      <w:fldSimple w:instr=" SEQ level0 \*arabic ">
        <w:r w:rsidR="00C5096D" w:rsidRPr="00C5096D">
          <w:t>101</w:t>
        </w:r>
      </w:fldSimple>
      <w:r>
        <w:t xml:space="preserve">.  Curtea consideră că măsura în cauză a fost adoptată în interesul bunăstării economice a țării și, prin urmare, a urmărit un scop legitim în sensul art. 8 § 2 din Convenție (a se vedea </w:t>
      </w:r>
      <w:r>
        <w:rPr>
          <w:i/>
          <w:iCs/>
        </w:rPr>
        <w:t xml:space="preserve">DELTA PEKÁRNY </w:t>
      </w:r>
      <w:proofErr w:type="spellStart"/>
      <w:r>
        <w:rPr>
          <w:i/>
          <w:iCs/>
        </w:rPr>
        <w:t>a.s.</w:t>
      </w:r>
      <w:proofErr w:type="spellEnd"/>
      <w:r>
        <w:t>, citată anterior, pct. 81).</w:t>
      </w:r>
    </w:p>
    <w:p w14:paraId="29BCAFC6" w14:textId="77777777" w:rsidR="00572B49" w:rsidRPr="00C5096D" w:rsidRDefault="007314F1" w:rsidP="00C5096D">
      <w:pPr>
        <w:pStyle w:val="JuHi"/>
        <w:ind w:left="1191" w:hanging="358"/>
      </w:pPr>
      <w:r>
        <w:t>Cu privire la aspectul dacă ingerința era necesară într-o societate democratică</w:t>
      </w:r>
    </w:p>
    <w:p w14:paraId="46B01446" w14:textId="77777777" w:rsidR="00572B49" w:rsidRPr="00C5096D" w:rsidRDefault="007314F1" w:rsidP="00C5096D">
      <w:pPr>
        <w:pStyle w:val="JuHalpha"/>
        <w:ind w:left="1372" w:hanging="334"/>
      </w:pPr>
      <w:r>
        <w:t>Principii generale</w:t>
      </w:r>
    </w:p>
    <w:bookmarkStart w:id="70" w:name="paragraph00102"/>
    <w:p w14:paraId="6C0696FF"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102</w:t>
      </w:r>
      <w:r w:rsidRPr="00C5096D">
        <w:fldChar w:fldCharType="end"/>
      </w:r>
      <w:bookmarkEnd w:id="70"/>
      <w:r>
        <w:t xml:space="preserve">.  Principiile generale privind perchezițiile și ridicările de obiecte și înscrisuri efectuate la sediile societăților comerciale au fost rezumate în hotărârea </w:t>
      </w:r>
      <w:r>
        <w:rPr>
          <w:i/>
        </w:rPr>
        <w:t xml:space="preserve">DELTA PEKÁRNY </w:t>
      </w:r>
      <w:proofErr w:type="spellStart"/>
      <w:r>
        <w:rPr>
          <w:i/>
        </w:rPr>
        <w:t>a.s.</w:t>
      </w:r>
      <w:proofErr w:type="spellEnd"/>
      <w:r>
        <w:t xml:space="preserve"> (citată anterior, pct. 82-83).</w:t>
      </w:r>
    </w:p>
    <w:bookmarkStart w:id="71" w:name="paragraph00103"/>
    <w:p w14:paraId="53DB9F1C"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103</w:t>
      </w:r>
      <w:r w:rsidRPr="00C5096D">
        <w:fldChar w:fldCharType="end"/>
      </w:r>
      <w:bookmarkEnd w:id="71"/>
      <w:r>
        <w:t>.  Curtea a hotărât, în special, că, pentru a stabili dacă măsura atacată era „necesară într-o societate democratică”, va analiza, în lumina cauzei respective în ansamblul său, dacă motivele invocate pentru justificarea măsurii au fost relevante și suficiente și dacă măsura a fost proporțională cu scopul legitim urmărit. Procedând astfel, Curtea va ține seama de faptul că autoritățile naționale beneficiază de o anumită marjă de apreciere, al cărei domeniu de aplicare depinde de factori precum natura și gravitatea intereselor aflate în joc și gravitatea ingerinței (a se vedea, de exemplu</w:t>
      </w:r>
      <w:r>
        <w:rPr>
          <w:i/>
        </w:rPr>
        <w:t>,</w:t>
      </w:r>
      <w:r>
        <w:t xml:space="preserve"> </w:t>
      </w:r>
      <w:proofErr w:type="spellStart"/>
      <w:r>
        <w:rPr>
          <w:i/>
        </w:rPr>
        <w:t>Bernh</w:t>
      </w:r>
      <w:proofErr w:type="spellEnd"/>
      <w:r>
        <w:rPr>
          <w:i/>
        </w:rPr>
        <w:t xml:space="preserve"> </w:t>
      </w:r>
      <w:proofErr w:type="spellStart"/>
      <w:r>
        <w:rPr>
          <w:i/>
        </w:rPr>
        <w:t>Larsen</w:t>
      </w:r>
      <w:proofErr w:type="spellEnd"/>
      <w:r>
        <w:rPr>
          <w:i/>
        </w:rPr>
        <w:t xml:space="preserve"> Holding AS </w:t>
      </w:r>
      <w:r>
        <w:rPr>
          <w:i/>
          <w:iCs/>
        </w:rPr>
        <w:t>și altele</w:t>
      </w:r>
      <w:r>
        <w:t>, citată anterior, pct. 158, cu trimiterile citate).</w:t>
      </w:r>
    </w:p>
    <w:bookmarkStart w:id="72" w:name="paragraph00104"/>
    <w:p w14:paraId="2B73D35C" w14:textId="77777777" w:rsidR="00572B49" w:rsidRPr="00C5096D" w:rsidRDefault="007314F1" w:rsidP="00C5096D">
      <w:pPr>
        <w:pStyle w:val="JuPara"/>
        <w:rPr>
          <w:iCs/>
        </w:rPr>
      </w:pPr>
      <w:r w:rsidRPr="00C5096D">
        <w:fldChar w:fldCharType="begin"/>
      </w:r>
      <w:r w:rsidRPr="00C5096D">
        <w:instrText xml:space="preserve"> SEQ level0 \*arabic \* MERGEFORMAT </w:instrText>
      </w:r>
      <w:r w:rsidRPr="00C5096D">
        <w:fldChar w:fldCharType="separate"/>
      </w:r>
      <w:r w:rsidR="00C5096D" w:rsidRPr="00C5096D">
        <w:t>104</w:t>
      </w:r>
      <w:r w:rsidRPr="00C5096D">
        <w:fldChar w:fldCharType="end"/>
      </w:r>
      <w:bookmarkEnd w:id="72"/>
      <w:r>
        <w:t>.  Curtea reiterează de asemenea faptul că perchezițiile și ridicările de obiecte și înscrisuri efectuate la sediile societăților comerciale pot fi justificate de scopul de a preveni dispariția sau ascunderea probelor privind practicile anticoncurențiale, dar că legislația și practica relevante ar trebui să ofere garanții adecvate și eficiente împotriva abuzului și arbitrarului.</w:t>
      </w:r>
      <w:r>
        <w:rPr>
          <w:color w:val="000000"/>
        </w:rPr>
        <w:t xml:space="preserve"> În cauzele având ca obiect inspecții inopinate efectuate de inspectori de concurență la sediul societăților comerciale – fără autorizarea prealabilă a unui judecător sau pe baza unor decizii care nu puteau face obiectul controlului unei instanțe judecătorești – Curtea a statuat că această lipsă a unei autorizări judiciare prealabile poate fi compensată de existența unui control judecătoresc </w:t>
      </w:r>
      <w:r>
        <w:rPr>
          <w:i/>
          <w:color w:val="000000"/>
        </w:rPr>
        <w:t>ex post facto</w:t>
      </w:r>
      <w:r>
        <w:rPr>
          <w:color w:val="000000"/>
        </w:rPr>
        <w:t xml:space="preserve"> al legalității și al necesității măsurii contestate, în circumstanțele specifice ale cauzei. </w:t>
      </w:r>
      <w:r>
        <w:t xml:space="preserve">În practică, acest lucru ar presupune ca persoanele în cauză să poată beneficia de un control judecătoresc efectiv, în fapt și în drept, al măsurii contestate și al punerii sale în aplicare și să primească o reparație adecvată în cazul în care a avut deja loc o percheziție nelegală (a se vedea </w:t>
      </w:r>
      <w:r>
        <w:rPr>
          <w:i/>
        </w:rPr>
        <w:t xml:space="preserve">DELTA PEKÁRNY </w:t>
      </w:r>
      <w:proofErr w:type="spellStart"/>
      <w:r>
        <w:rPr>
          <w:i/>
        </w:rPr>
        <w:t>a.s.</w:t>
      </w:r>
      <w:proofErr w:type="spellEnd"/>
      <w:r>
        <w:rPr>
          <w:i/>
        </w:rPr>
        <w:t>,</w:t>
      </w:r>
      <w:r>
        <w:t xml:space="preserve"> citată anterior, pct. 83-87, cu trimiterile citate). Unul dintre elementele care ar trebui examinate în contextul unui control </w:t>
      </w:r>
      <w:r>
        <w:rPr>
          <w:i/>
        </w:rPr>
        <w:t>ex post facto</w:t>
      </w:r>
      <w:r>
        <w:t xml:space="preserve"> efectiv este, în special, exercitarea de către autoritatea de concurență a competenței sale de a decide cu privire la necesitatea, durata și întinderea inspecției (ibid., pct. 91 </w:t>
      </w:r>
      <w:r>
        <w:rPr>
          <w:i/>
        </w:rPr>
        <w:t>in fine</w:t>
      </w:r>
      <w:r>
        <w:t>).</w:t>
      </w:r>
      <w:bookmarkStart w:id="73" w:name="_cl22100THELAW"/>
    </w:p>
    <w:p w14:paraId="15803044" w14:textId="77777777" w:rsidR="00572B49" w:rsidRPr="00C5096D" w:rsidRDefault="007314F1" w:rsidP="00C5096D">
      <w:pPr>
        <w:pStyle w:val="JuHalpha"/>
        <w:ind w:left="1372" w:hanging="334"/>
      </w:pPr>
      <w:r>
        <w:lastRenderedPageBreak/>
        <w:t xml:space="preserve">Aplicarea principiilor sus-menționate </w:t>
      </w:r>
      <w:proofErr w:type="spellStart"/>
      <w:r>
        <w:t>în</w:t>
      </w:r>
      <w:bookmarkEnd w:id="73"/>
      <w:r>
        <w:t>prezenta</w:t>
      </w:r>
      <w:proofErr w:type="spellEnd"/>
      <w:r>
        <w:t xml:space="preserve"> cauză</w:t>
      </w:r>
    </w:p>
    <w:bookmarkStart w:id="74" w:name="paragraph00105"/>
    <w:p w14:paraId="71C84AE3"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105</w:t>
      </w:r>
      <w:r w:rsidRPr="00C5096D">
        <w:fldChar w:fldCharType="end"/>
      </w:r>
      <w:bookmarkEnd w:id="74"/>
      <w:r>
        <w:t>.  Revenind la circumstanțele prezentei cauze și în ceea ce privește marja de apreciere acordată autorităților naționale (a se vedea supra, pct. </w:t>
      </w:r>
      <w:r w:rsidRPr="00C5096D">
        <w:fldChar w:fldCharType="begin"/>
      </w:r>
      <w:r w:rsidRPr="00C5096D">
        <w:instrText xml:space="preserve">REF paragraph00103 \h \* CharFormat  \* MERGEFORMAT </w:instrText>
      </w:r>
      <w:r w:rsidRPr="00C5096D">
        <w:fldChar w:fldCharType="separate"/>
      </w:r>
      <w:r w:rsidR="00C5096D" w:rsidRPr="00C5096D">
        <w:t>103</w:t>
      </w:r>
      <w:r w:rsidRPr="00C5096D">
        <w:fldChar w:fldCharType="end"/>
      </w:r>
      <w:r>
        <w:t xml:space="preserve">), Curtea observă că faptul că măsura a vizat o persoană juridică înseamnă că poate fi aplicată o marjă de apreciere mai largă decât în cazul în care aceasta ar fi vizat o persoană fizică (a se vedea </w:t>
      </w:r>
      <w:bookmarkStart w:id="75" w:name="_cl41750THELAW"/>
      <w:proofErr w:type="spellStart"/>
      <w:r>
        <w:rPr>
          <w:i/>
        </w:rPr>
        <w:t>Naumenko</w:t>
      </w:r>
      <w:proofErr w:type="spellEnd"/>
      <w:r>
        <w:rPr>
          <w:i/>
        </w:rPr>
        <w:t xml:space="preserve"> și SIA </w:t>
      </w:r>
      <w:proofErr w:type="spellStart"/>
      <w:r>
        <w:rPr>
          <w:i/>
        </w:rPr>
        <w:t>Rix</w:t>
      </w:r>
      <w:proofErr w:type="spellEnd"/>
      <w:r>
        <w:rPr>
          <w:i/>
        </w:rPr>
        <w:t xml:space="preserve"> Shipping împotriva Letoniei</w:t>
      </w:r>
      <w:bookmarkEnd w:id="75"/>
      <w:r>
        <w:t xml:space="preserve">, nr. 50805/14, pct. 51, 23 iunie 2022). În plus, spre deosebire de hotărârea </w:t>
      </w:r>
      <w:proofErr w:type="spellStart"/>
      <w:r>
        <w:rPr>
          <w:i/>
        </w:rPr>
        <w:t>Bernh</w:t>
      </w:r>
      <w:proofErr w:type="spellEnd"/>
      <w:r>
        <w:rPr>
          <w:i/>
        </w:rPr>
        <w:t xml:space="preserve"> </w:t>
      </w:r>
      <w:proofErr w:type="spellStart"/>
      <w:r>
        <w:rPr>
          <w:i/>
        </w:rPr>
        <w:t>Larsen</w:t>
      </w:r>
      <w:proofErr w:type="spellEnd"/>
      <w:r>
        <w:rPr>
          <w:i/>
        </w:rPr>
        <w:t xml:space="preserve"> Holding AS</w:t>
      </w:r>
      <w:r>
        <w:t xml:space="preserve"> </w:t>
      </w:r>
      <w:r>
        <w:rPr>
          <w:i/>
          <w:iCs/>
        </w:rPr>
        <w:t>și altele</w:t>
      </w:r>
      <w:r>
        <w:t xml:space="preserve"> (citată anterior, pct. 159), în care autoritățile au ridicat toate documentele existente pe server, indiferent de relevanța lor pentru investigație, și de hotărârea </w:t>
      </w:r>
      <w:proofErr w:type="spellStart"/>
      <w:r>
        <w:rPr>
          <w:i/>
        </w:rPr>
        <w:t>Naumenko</w:t>
      </w:r>
      <w:proofErr w:type="spellEnd"/>
      <w:r>
        <w:rPr>
          <w:i/>
        </w:rPr>
        <w:t xml:space="preserve"> și SIA </w:t>
      </w:r>
      <w:proofErr w:type="spellStart"/>
      <w:r>
        <w:rPr>
          <w:i/>
        </w:rPr>
        <w:t>Rix</w:t>
      </w:r>
      <w:proofErr w:type="spellEnd"/>
      <w:r>
        <w:rPr>
          <w:i/>
        </w:rPr>
        <w:t xml:space="preserve"> Shipping</w:t>
      </w:r>
      <w:r>
        <w:t xml:space="preserve"> (citată anterior, pct. 51), în care un număr mare de documente și e-mailuri au fost ridicate, Curtea observă că, în speță, doar un număr limitat de documente au fost ridicate de la societatea reclamantă.</w:t>
      </w:r>
    </w:p>
    <w:p w14:paraId="2BEDCA6C"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106</w:t>
      </w:r>
      <w:r w:rsidRPr="00C5096D">
        <w:fldChar w:fldCharType="end"/>
      </w:r>
      <w:r>
        <w:t xml:space="preserve">.  În ceea ce privește garanțiile împotriva abuzurilor prevăzute de dreptul român, Curtea reiterează faptul că, în cauzele la originea cărora se află cereri individuale, sarcina sa nu este, de regulă, să examineze </w:t>
      </w:r>
      <w:r>
        <w:rPr>
          <w:i/>
          <w:iCs/>
        </w:rPr>
        <w:t xml:space="preserve">in </w:t>
      </w:r>
      <w:proofErr w:type="spellStart"/>
      <w:r>
        <w:rPr>
          <w:i/>
          <w:iCs/>
        </w:rPr>
        <w:t>abstracto</w:t>
      </w:r>
      <w:proofErr w:type="spellEnd"/>
      <w:r>
        <w:t xml:space="preserve"> legislația relevantă sau o practică contestată. În schimb, aceasta trebuie să se limiteze, pe cât posibil, fără a pierde din vedere contextul general, la examinarea problemelor ridicate de cauza cu care este sesizată. Prin urmare, în prezenta cauză, sarcina Curții nu este de a examina </w:t>
      </w:r>
      <w:r>
        <w:rPr>
          <w:i/>
        </w:rPr>
        <w:t>in </w:t>
      </w:r>
      <w:proofErr w:type="spellStart"/>
      <w:r>
        <w:rPr>
          <w:i/>
        </w:rPr>
        <w:t>abstracto</w:t>
      </w:r>
      <w:proofErr w:type="spellEnd"/>
      <w:r>
        <w:t xml:space="preserve"> compatibilitatea cu dispozițiile Convenției a Legii</w:t>
      </w:r>
      <w:r>
        <w:rPr>
          <w:b/>
        </w:rPr>
        <w:t xml:space="preserve"> </w:t>
      </w:r>
      <w:r>
        <w:t xml:space="preserve">concurenței, astfel cum era în vigoare la momentul faptelor în România, ci de a stabili </w:t>
      </w:r>
      <w:r>
        <w:rPr>
          <w:i/>
        </w:rPr>
        <w:t>in </w:t>
      </w:r>
      <w:proofErr w:type="spellStart"/>
      <w:r>
        <w:rPr>
          <w:i/>
        </w:rPr>
        <w:t>concreto</w:t>
      </w:r>
      <w:proofErr w:type="spellEnd"/>
      <w:r>
        <w:t xml:space="preserve"> efectul ingerinței în exercitarea drepturilor societății reclamante, în temeiul art. 8 din Convenție (a se vedea, </w:t>
      </w:r>
      <w:r>
        <w:rPr>
          <w:i/>
        </w:rPr>
        <w:t>mutatis mutandis</w:t>
      </w:r>
      <w:r>
        <w:t xml:space="preserve">, </w:t>
      </w:r>
      <w:proofErr w:type="spellStart"/>
      <w:r>
        <w:rPr>
          <w:i/>
        </w:rPr>
        <w:t>Naumenko</w:t>
      </w:r>
      <w:proofErr w:type="spellEnd"/>
      <w:r>
        <w:rPr>
          <w:i/>
        </w:rPr>
        <w:t xml:space="preserve"> și SIA </w:t>
      </w:r>
      <w:proofErr w:type="spellStart"/>
      <w:r>
        <w:rPr>
          <w:i/>
        </w:rPr>
        <w:t>Rix</w:t>
      </w:r>
      <w:proofErr w:type="spellEnd"/>
      <w:r>
        <w:rPr>
          <w:i/>
        </w:rPr>
        <w:t xml:space="preserve"> Shipping</w:t>
      </w:r>
      <w:r>
        <w:t>, citată anterior, pct. 56).</w:t>
      </w:r>
    </w:p>
    <w:p w14:paraId="5C7B50B2"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107</w:t>
      </w:r>
      <w:r w:rsidRPr="00C5096D">
        <w:fldChar w:fldCharType="end"/>
      </w:r>
      <w:r>
        <w:t>.  Societatea reclamantă a susținut, în primul rând, că ordinul de inspecție nu conținea o descriere precisă a domeniului de aplicare și a întinderii inspecției, neprotejând-o astfel împotriva arbitrariului și abuzurilor (a se vedea supra, pct. </w:t>
      </w:r>
      <w:r w:rsidR="007314F1" w:rsidRPr="00C5096D">
        <w:fldChar w:fldCharType="begin"/>
      </w:r>
      <w:r w:rsidR="007314F1" w:rsidRPr="00C5096D">
        <w:instrText xml:space="preserve">REF paragraph00088 \h \* CharFormat  \* MERGEFORMAT </w:instrText>
      </w:r>
      <w:r w:rsidR="007314F1" w:rsidRPr="00C5096D">
        <w:fldChar w:fldCharType="separate"/>
      </w:r>
      <w:r w:rsidRPr="00C5096D">
        <w:t>88</w:t>
      </w:r>
      <w:r w:rsidR="007314F1" w:rsidRPr="00C5096D">
        <w:fldChar w:fldCharType="end"/>
      </w:r>
      <w:r>
        <w:t>). Curtea observă că măsura contestată s-a întemeiat pe o decizie de deschidere a unei investigații, aprobată de plenul Consiliului (a se vedea supra, pct. </w:t>
      </w:r>
      <w:r w:rsidR="007314F1" w:rsidRPr="00C5096D">
        <w:fldChar w:fldCharType="begin"/>
      </w:r>
      <w:r w:rsidR="007314F1" w:rsidRPr="00C5096D">
        <w:instrText xml:space="preserve">REF paragraph00006 \h \* CharFormat  \* MERGEFORMAT </w:instrText>
      </w:r>
      <w:r w:rsidR="007314F1" w:rsidRPr="00C5096D">
        <w:fldChar w:fldCharType="separate"/>
      </w:r>
      <w:r w:rsidRPr="00C5096D">
        <w:t>6</w:t>
      </w:r>
      <w:r w:rsidR="007314F1" w:rsidRPr="00C5096D">
        <w:fldChar w:fldCharType="end"/>
      </w:r>
      <w:r>
        <w:t>). La începutul inspecției, reprezentanții societății reclamante au primit copii ale celor două decizii pe care s-a bazat inspecția (cele două ordine ale președintelui Consiliului – a se vedea supra, pct.  </w:t>
      </w:r>
      <w:r w:rsidR="007314F1" w:rsidRPr="00C5096D">
        <w:fldChar w:fldCharType="begin"/>
      </w:r>
      <w:r w:rsidR="007314F1" w:rsidRPr="00C5096D">
        <w:instrText xml:space="preserve">REF paragraph00006 \h \* CharFormat </w:instrText>
      </w:r>
      <w:r w:rsidR="007314F1" w:rsidRPr="00C5096D">
        <w:fldChar w:fldCharType="separate"/>
      </w:r>
      <w:r w:rsidRPr="00C5096D">
        <w:t>6</w:t>
      </w:r>
      <w:r w:rsidR="007314F1" w:rsidRPr="00C5096D">
        <w:fldChar w:fldCharType="end"/>
      </w:r>
      <w:r>
        <w:t>-</w:t>
      </w:r>
      <w:r w:rsidR="007314F1" w:rsidRPr="00C5096D">
        <w:fldChar w:fldCharType="begin"/>
      </w:r>
      <w:r w:rsidR="007314F1" w:rsidRPr="00C5096D">
        <w:instrText xml:space="preserve">REF paragraph00007 \h \* CharFormat </w:instrText>
      </w:r>
      <w:r w:rsidR="007314F1" w:rsidRPr="00C5096D">
        <w:fldChar w:fldCharType="separate"/>
      </w:r>
      <w:r w:rsidRPr="00C5096D">
        <w:t>7</w:t>
      </w:r>
      <w:r w:rsidR="007314F1" w:rsidRPr="00C5096D">
        <w:fldChar w:fldCharType="end"/>
      </w:r>
      <w:r>
        <w:t>). Este adevărat că aceste ordine nu menționau decât pe scurt încălcările suspectate ale dreptului concurenței și nu includeau nicio precizare cu privire la motivele pe care se întemeiau aceste suspiciuni și nici cu privire la domeniul de aplicare și întinderea exacte ale inspecției. Cu toate acestea, inspectorii nu au început inspecția până când nu a fost prezent un reprezentant legal al societății reclamante și, astfel cum a susținut Guvernul și după cum reiese din documentele din dosarul cauzei, inspectorii au informat verbal acest reprezentant cu privire la domeniul de aplicare și întinderea inspecției (a se vedea supra, pct. </w:t>
      </w:r>
      <w:r w:rsidR="007314F1" w:rsidRPr="00C5096D">
        <w:fldChar w:fldCharType="begin"/>
      </w:r>
      <w:r w:rsidR="007314F1" w:rsidRPr="00C5096D">
        <w:instrText xml:space="preserve">REF paragraph00010 \h \* CharFormat  \* MERGEFORMAT </w:instrText>
      </w:r>
      <w:r w:rsidR="007314F1" w:rsidRPr="00C5096D">
        <w:fldChar w:fldCharType="separate"/>
      </w:r>
      <w:r w:rsidRPr="00C5096D">
        <w:t>10</w:t>
      </w:r>
      <w:r w:rsidR="007314F1" w:rsidRPr="00C5096D">
        <w:fldChar w:fldCharType="end"/>
      </w:r>
      <w:r>
        <w:t xml:space="preserve"> și </w:t>
      </w:r>
      <w:r w:rsidR="007314F1" w:rsidRPr="00C5096D">
        <w:fldChar w:fldCharType="begin"/>
      </w:r>
      <w:r w:rsidR="007314F1" w:rsidRPr="00C5096D">
        <w:instrText xml:space="preserve">REF paragraph00092 \h \* CharFormat  \* MERGEFORMAT </w:instrText>
      </w:r>
      <w:r w:rsidR="007314F1" w:rsidRPr="00C5096D">
        <w:fldChar w:fldCharType="separate"/>
      </w:r>
      <w:r w:rsidRPr="00C5096D">
        <w:t>92</w:t>
      </w:r>
      <w:r w:rsidR="007314F1" w:rsidRPr="00C5096D">
        <w:fldChar w:fldCharType="end"/>
      </w:r>
      <w:r>
        <w:t xml:space="preserve">). În plus, inspectorii nu au efectuat inspecția decât în prezența reprezentanților societății reclamante și au întocmit un proces-verbal de constatare și inventariere detaliat, în care erau menționate </w:t>
      </w:r>
      <w:r>
        <w:lastRenderedPageBreak/>
        <w:t>toate birourile inspectate și documentele accesate și includea o listă completă a documentelor ridicate (a se vedea supra, pct. </w:t>
      </w:r>
      <w:r w:rsidR="007314F1" w:rsidRPr="00C5096D">
        <w:fldChar w:fldCharType="begin"/>
      </w:r>
      <w:r w:rsidR="007314F1" w:rsidRPr="00C5096D">
        <w:instrText xml:space="preserve">REF paragraph00008 \h \* CharFormat </w:instrText>
      </w:r>
      <w:r w:rsidR="007314F1" w:rsidRPr="00C5096D">
        <w:fldChar w:fldCharType="separate"/>
      </w:r>
      <w:r w:rsidRPr="00C5096D">
        <w:t>8</w:t>
      </w:r>
      <w:r w:rsidR="007314F1" w:rsidRPr="00C5096D">
        <w:fldChar w:fldCharType="end"/>
      </w:r>
      <w:r>
        <w:t>).</w:t>
      </w:r>
    </w:p>
    <w:p w14:paraId="01D3B71A" w14:textId="77777777" w:rsidR="00572B49" w:rsidRPr="00C5096D" w:rsidRDefault="00C5096D" w:rsidP="00C5096D">
      <w:pPr>
        <w:pStyle w:val="JuPara"/>
        <w:rPr>
          <w:rFonts w:cstheme="minorHAnsi"/>
        </w:rPr>
      </w:pPr>
      <w:r w:rsidRPr="00C5096D">
        <w:fldChar w:fldCharType="begin"/>
      </w:r>
      <w:r w:rsidR="007314F1">
        <w:instrText xml:space="preserve"> SEQ level0 \*arabic \* MERGEFORMAT </w:instrText>
      </w:r>
      <w:r w:rsidRPr="00C5096D">
        <w:fldChar w:fldCharType="separate"/>
      </w:r>
      <w:r w:rsidRPr="00C5096D">
        <w:t>108</w:t>
      </w:r>
      <w:r w:rsidRPr="00C5096D">
        <w:fldChar w:fldCharType="end"/>
      </w:r>
      <w:r>
        <w:t xml:space="preserve">.  De asemenea, Curtea observă că, în prezenta cauză, un număr limitat de documente au fost ridicate în contextul inspecției, în special copii a 32 de e-mailuri (a se vedea, a contrario, </w:t>
      </w:r>
      <w:proofErr w:type="spellStart"/>
      <w:r>
        <w:rPr>
          <w:i/>
        </w:rPr>
        <w:t>Bernh</w:t>
      </w:r>
      <w:proofErr w:type="spellEnd"/>
      <w:r>
        <w:rPr>
          <w:i/>
        </w:rPr>
        <w:t xml:space="preserve"> </w:t>
      </w:r>
      <w:proofErr w:type="spellStart"/>
      <w:r>
        <w:rPr>
          <w:i/>
        </w:rPr>
        <w:t>Larsen</w:t>
      </w:r>
      <w:proofErr w:type="spellEnd"/>
      <w:r>
        <w:rPr>
          <w:i/>
        </w:rPr>
        <w:t xml:space="preserve"> Holding AS și altele, </w:t>
      </w:r>
      <w:r>
        <w:t xml:space="preserve">citată anterior, pct. 159; </w:t>
      </w:r>
      <w:r>
        <w:rPr>
          <w:i/>
        </w:rPr>
        <w:t xml:space="preserve">Vinci </w:t>
      </w:r>
      <w:proofErr w:type="spellStart"/>
      <w:r>
        <w:rPr>
          <w:i/>
        </w:rPr>
        <w:t>Construction</w:t>
      </w:r>
      <w:proofErr w:type="spellEnd"/>
      <w:r>
        <w:rPr>
          <w:i/>
        </w:rPr>
        <w:t xml:space="preserve"> și GTM </w:t>
      </w:r>
      <w:proofErr w:type="spellStart"/>
      <w:r>
        <w:rPr>
          <w:i/>
        </w:rPr>
        <w:t>Génie</w:t>
      </w:r>
      <w:proofErr w:type="spellEnd"/>
      <w:r>
        <w:rPr>
          <w:i/>
        </w:rPr>
        <w:t xml:space="preserve"> Civil et Services împotriva Franței, </w:t>
      </w:r>
      <w:r>
        <w:t xml:space="preserve">nr. 63629/10 și 60567/10, pct. 75, 2 aprilie 2015; </w:t>
      </w:r>
      <w:proofErr w:type="spellStart"/>
      <w:r>
        <w:rPr>
          <w:i/>
        </w:rPr>
        <w:t>Naumenko</w:t>
      </w:r>
      <w:proofErr w:type="spellEnd"/>
      <w:r>
        <w:rPr>
          <w:i/>
        </w:rPr>
        <w:t xml:space="preserve"> și SIA </w:t>
      </w:r>
      <w:proofErr w:type="spellStart"/>
      <w:r>
        <w:rPr>
          <w:i/>
        </w:rPr>
        <w:t>Rix</w:t>
      </w:r>
      <w:proofErr w:type="spellEnd"/>
      <w:r>
        <w:rPr>
          <w:i/>
        </w:rPr>
        <w:t xml:space="preserve"> Shipping</w:t>
      </w:r>
      <w:r>
        <w:t xml:space="preserve">, pct. 51 și 54; și </w:t>
      </w:r>
      <w:r>
        <w:rPr>
          <w:i/>
        </w:rPr>
        <w:t xml:space="preserve">UAB </w:t>
      </w:r>
      <w:proofErr w:type="spellStart"/>
      <w:r>
        <w:rPr>
          <w:i/>
        </w:rPr>
        <w:t>Kesko</w:t>
      </w:r>
      <w:proofErr w:type="spellEnd"/>
      <w:r>
        <w:rPr>
          <w:i/>
        </w:rPr>
        <w:t xml:space="preserve"> </w:t>
      </w:r>
      <w:proofErr w:type="spellStart"/>
      <w:r>
        <w:rPr>
          <w:i/>
        </w:rPr>
        <w:t>Senukai</w:t>
      </w:r>
      <w:proofErr w:type="spellEnd"/>
      <w:r>
        <w:rPr>
          <w:i/>
        </w:rPr>
        <w:t xml:space="preserve"> </w:t>
      </w:r>
      <w:proofErr w:type="spellStart"/>
      <w:r>
        <w:rPr>
          <w:i/>
        </w:rPr>
        <w:t>Lithuania</w:t>
      </w:r>
      <w:proofErr w:type="spellEnd"/>
      <w:r>
        <w:rPr>
          <w:i/>
        </w:rPr>
        <w:t>,</w:t>
      </w:r>
      <w:r>
        <w:t xml:space="preserve"> pct. 119, ambele citate anterior). Prin urmare, Curtea consideră că prezenta cauză nu are ca obiect o ridicare de înscrisuri „masivă și nediferențiată”. Cu privire la acest aspect, Curtea subliniază de asemenea că reprezentanții societății reclamante aveau dreptul să formuleze cereri și observații, dar aceștia au semnat fără obiecțiuni proces-verbal de constatare și inventariere în care erau enumerate toate documentele consultate și ridicate de inspectori (a se vedea supra, supra, pct. </w:t>
      </w:r>
      <w:r w:rsidR="007314F1" w:rsidRPr="00C5096D">
        <w:rPr>
          <w:rFonts w:cstheme="minorHAnsi"/>
        </w:rPr>
        <w:fldChar w:fldCharType="begin"/>
      </w:r>
      <w:r w:rsidR="007314F1" w:rsidRPr="00C5096D">
        <w:rPr>
          <w:rFonts w:cstheme="minorHAnsi"/>
        </w:rPr>
        <w:instrText xml:space="preserve">REF paragraph00008 \h \* CharFormat  \* MERGEFORMAT </w:instrText>
      </w:r>
      <w:r w:rsidR="007314F1" w:rsidRPr="00C5096D">
        <w:rPr>
          <w:rFonts w:cstheme="minorHAnsi"/>
        </w:rPr>
      </w:r>
      <w:r w:rsidR="007314F1" w:rsidRPr="00C5096D">
        <w:rPr>
          <w:rFonts w:cstheme="minorHAnsi"/>
        </w:rPr>
        <w:fldChar w:fldCharType="separate"/>
      </w:r>
      <w:r w:rsidRPr="00C5096D">
        <w:rPr>
          <w:rFonts w:cstheme="minorHAnsi"/>
        </w:rPr>
        <w:t>8</w:t>
      </w:r>
      <w:r w:rsidR="007314F1" w:rsidRPr="00C5096D">
        <w:rPr>
          <w:rFonts w:cstheme="minorHAnsi"/>
        </w:rPr>
        <w:fldChar w:fldCharType="end"/>
      </w:r>
      <w:r>
        <w:t>).</w:t>
      </w:r>
    </w:p>
    <w:p w14:paraId="32240C48"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109</w:t>
      </w:r>
      <w:r w:rsidRPr="00C5096D">
        <w:fldChar w:fldCharType="end"/>
      </w:r>
      <w:r>
        <w:t>.  În plus, Curtea a concluzionat deja că respectivul cadru legal intern oferea, de asemenea, posibilitatea de a solicita ca documentele ridicate de inspectorii de concurență să rămână confidențiale sau să fie restituite în cazul în care nu erau necesare pentru investigație (a se vedea supra, pct. </w:t>
      </w:r>
      <w:r w:rsidR="007314F1" w:rsidRPr="00C5096D">
        <w:fldChar w:fldCharType="begin"/>
      </w:r>
      <w:r w:rsidR="007314F1" w:rsidRPr="00C5096D">
        <w:instrText xml:space="preserve">REF paragraph00050 \h \* CharFormat  \* MERGEFORMAT </w:instrText>
      </w:r>
      <w:r w:rsidR="007314F1" w:rsidRPr="00C5096D">
        <w:fldChar w:fldCharType="separate"/>
      </w:r>
      <w:r w:rsidRPr="00C5096D">
        <w:t>50</w:t>
      </w:r>
      <w:r w:rsidR="007314F1" w:rsidRPr="00C5096D">
        <w:fldChar w:fldCharType="end"/>
      </w:r>
      <w:r>
        <w:t xml:space="preserve"> și </w:t>
      </w:r>
      <w:r w:rsidR="007314F1" w:rsidRPr="00C5096D">
        <w:fldChar w:fldCharType="begin"/>
      </w:r>
      <w:r w:rsidR="007314F1" w:rsidRPr="00C5096D">
        <w:instrText xml:space="preserve">REF paragraph00086 \h \* CharFormat  \* MERGEFORMAT </w:instrText>
      </w:r>
      <w:r w:rsidR="007314F1" w:rsidRPr="00C5096D">
        <w:fldChar w:fldCharType="separate"/>
      </w:r>
      <w:r w:rsidRPr="00C5096D">
        <w:t>86</w:t>
      </w:r>
      <w:r w:rsidR="007314F1" w:rsidRPr="00C5096D">
        <w:fldChar w:fldCharType="end"/>
      </w:r>
      <w:r>
        <w:t>).</w:t>
      </w:r>
    </w:p>
    <w:p w14:paraId="2BF7E39A"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110</w:t>
      </w:r>
      <w:r w:rsidRPr="00C5096D">
        <w:fldChar w:fldCharType="end"/>
      </w:r>
      <w:r>
        <w:t>.  Garanțiile procedurale sus-menționate permit Curții să concluzioneze că exercitarea puterii discreționare conferite Consiliului era suficient delimitată și că aplicarea în practică</w:t>
      </w:r>
      <w:r>
        <w:rPr>
          <w:b/>
        </w:rPr>
        <w:t xml:space="preserve"> </w:t>
      </w:r>
      <w:r>
        <w:t>a acestei puteri nu pare disproporționată în circumstanțele prezentei cauze.</w:t>
      </w:r>
    </w:p>
    <w:p w14:paraId="5FE35353" w14:textId="77777777" w:rsidR="00385475"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111</w:t>
      </w:r>
      <w:r w:rsidRPr="00C5096D">
        <w:fldChar w:fldCharType="end"/>
      </w:r>
      <w:r>
        <w:t>.  În ceea ce privește lipsa unei autorizări judiciare prealabile, Curtea observă că inspecția din 30 octombrie 2008 a avut loc fără emiterea unui mandat judiciar prealabil de către un judecător, exclusiv pe baza unei decizii administrative a Consiliului (a se vedea supra, pct. </w:t>
      </w:r>
      <w:r w:rsidR="00572B49" w:rsidRPr="00C5096D">
        <w:fldChar w:fldCharType="begin"/>
      </w:r>
      <w:r w:rsidR="00572B49" w:rsidRPr="00C5096D">
        <w:instrText xml:space="preserve">REF paragraph00007 \h \* CharFormat  \* MERGEFORMAT </w:instrText>
      </w:r>
      <w:r w:rsidR="00572B49" w:rsidRPr="00C5096D">
        <w:fldChar w:fldCharType="separate"/>
      </w:r>
      <w:r w:rsidRPr="00C5096D">
        <w:t>7</w:t>
      </w:r>
      <w:r w:rsidR="00572B49" w:rsidRPr="00C5096D">
        <w:fldChar w:fldCharType="end"/>
      </w:r>
      <w:r>
        <w:t xml:space="preserve">). Cu toate acestea, Curtea a hotărât deja că, în astfel de cazuri, lipsa unui mandat judiciar prealabil ar putea fi compensată de existența unui control judecătoresc </w:t>
      </w:r>
      <w:r>
        <w:rPr>
          <w:i/>
        </w:rPr>
        <w:t>ex post facto</w:t>
      </w:r>
      <w:r>
        <w:t>, care trebuie să fie efectiv în circumstanțele specifice ale cauzei (a se vedea jurisprudența citată supra, pct. </w:t>
      </w:r>
      <w:r w:rsidR="00572B49" w:rsidRPr="00C5096D">
        <w:fldChar w:fldCharType="begin"/>
      </w:r>
      <w:r w:rsidR="00572B49" w:rsidRPr="00C5096D">
        <w:instrText xml:space="preserve">REF paragraph00104 \h \* CharFormat  \* MERGEFORMAT </w:instrText>
      </w:r>
      <w:r w:rsidR="00572B49" w:rsidRPr="00C5096D">
        <w:fldChar w:fldCharType="separate"/>
      </w:r>
      <w:r w:rsidRPr="00C5096D">
        <w:t>104</w:t>
      </w:r>
      <w:r w:rsidR="00572B49" w:rsidRPr="00C5096D">
        <w:fldChar w:fldCharType="end"/>
      </w:r>
      <w:r>
        <w:t>).</w:t>
      </w:r>
    </w:p>
    <w:bookmarkStart w:id="76" w:name="paragraph00112"/>
    <w:p w14:paraId="2F0082D3"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112</w:t>
      </w:r>
      <w:r w:rsidRPr="00C5096D">
        <w:fldChar w:fldCharType="end"/>
      </w:r>
      <w:bookmarkEnd w:id="76"/>
      <w:r>
        <w:t xml:space="preserve">.  În ceea ce privește controlul </w:t>
      </w:r>
      <w:r>
        <w:rPr>
          <w:i/>
        </w:rPr>
        <w:t>ex post facto</w:t>
      </w:r>
      <w:r>
        <w:t xml:space="preserve"> al inspecției, Curtea observă că respectivul cadru legal intern nu prevedea o cale de atac specifică pentru a formula o plângere cu privire la desfășurarea inspecțiilor. Cu toate acestea, Legea concurenței prevedea posibilitatea de a contesta deciziile Consiliului după încheierea investigației (a se vedea supra, pct. </w:t>
      </w:r>
      <w:r w:rsidRPr="00C5096D">
        <w:fldChar w:fldCharType="begin"/>
      </w:r>
      <w:r w:rsidRPr="00C5096D">
        <w:instrText xml:space="preserve">REF paragraph00048 \h \* CharFormat </w:instrText>
      </w:r>
      <w:r w:rsidRPr="00C5096D">
        <w:fldChar w:fldCharType="separate"/>
      </w:r>
      <w:r w:rsidR="00C5096D" w:rsidRPr="00C5096D">
        <w:t>48</w:t>
      </w:r>
      <w:r w:rsidRPr="00C5096D">
        <w:fldChar w:fldCharType="end"/>
      </w:r>
      <w:r>
        <w:t xml:space="preserve">, </w:t>
      </w:r>
      <w:r w:rsidRPr="00C5096D">
        <w:fldChar w:fldCharType="begin"/>
      </w:r>
      <w:r w:rsidRPr="00C5096D">
        <w:instrText xml:space="preserve">REF paragraph00056 \h \* CharFormat </w:instrText>
      </w:r>
      <w:r w:rsidRPr="00C5096D">
        <w:fldChar w:fldCharType="separate"/>
      </w:r>
      <w:r w:rsidR="00C5096D" w:rsidRPr="00C5096D">
        <w:t>56</w:t>
      </w:r>
      <w:r w:rsidRPr="00C5096D">
        <w:fldChar w:fldCharType="end"/>
      </w:r>
      <w:r>
        <w:t xml:space="preserve"> și </w:t>
      </w:r>
      <w:r w:rsidRPr="00C5096D">
        <w:fldChar w:fldCharType="begin"/>
      </w:r>
      <w:r w:rsidRPr="00C5096D">
        <w:instrText xml:space="preserve">REF paragraph00057 \h \* CharFormat </w:instrText>
      </w:r>
      <w:r w:rsidRPr="00C5096D">
        <w:fldChar w:fldCharType="separate"/>
      </w:r>
      <w:r w:rsidR="00C5096D" w:rsidRPr="00C5096D">
        <w:t>57</w:t>
      </w:r>
      <w:r w:rsidRPr="00C5096D">
        <w:fldChar w:fldCharType="end"/>
      </w:r>
      <w:r>
        <w:t>), iar Legea contenciosului administrativ prevedea posibilitatea de a contesta în instanță fie actele administrative ale unei autorități publice, fie nesoluționarea unei cereri de către o autoritate publică (a se vedea supra, pct. </w:t>
      </w:r>
      <w:r w:rsidRPr="00C5096D">
        <w:fldChar w:fldCharType="begin"/>
      </w:r>
      <w:r w:rsidRPr="00C5096D">
        <w:instrText xml:space="preserve">REF paragraph00052 \h \* CharFormat </w:instrText>
      </w:r>
      <w:r w:rsidRPr="00C5096D">
        <w:fldChar w:fldCharType="separate"/>
      </w:r>
      <w:r w:rsidR="00C5096D" w:rsidRPr="00C5096D">
        <w:t>52</w:t>
      </w:r>
      <w:r w:rsidRPr="00C5096D">
        <w:fldChar w:fldCharType="end"/>
      </w:r>
      <w:r>
        <w:t>).</w:t>
      </w:r>
    </w:p>
    <w:p w14:paraId="41A7B32A"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113</w:t>
      </w:r>
      <w:r w:rsidRPr="00C5096D">
        <w:fldChar w:fldCharType="end"/>
      </w:r>
      <w:r>
        <w:t xml:space="preserve">.  În plus, Curtea observă că societatea reclamantă s-a prevalat de posibilitatea de care dispunea de a-și formula capetele de cerere în fața unei instanțe, imediat după încheierea inspecției. Mai precis, societatea reclamantă a inițiat o procedură întemeiată pe Legea contenciosului administrativ, care a avut ca obiect anularea celor două acte administrative adoptate în cazul său, </w:t>
      </w:r>
      <w:r>
        <w:lastRenderedPageBreak/>
        <w:t>Ordinele nr. 420 și nr. 424 ale președintelui Consiliului (a se vedea supra, pct. </w:t>
      </w:r>
      <w:r w:rsidR="007314F1" w:rsidRPr="00C5096D">
        <w:fldChar w:fldCharType="begin"/>
      </w:r>
      <w:r w:rsidR="007314F1" w:rsidRPr="00C5096D">
        <w:instrText xml:space="preserve">REF paragraph00011 \h \* CharFormat </w:instrText>
      </w:r>
      <w:r w:rsidR="007314F1" w:rsidRPr="00C5096D">
        <w:fldChar w:fldCharType="separate"/>
      </w:r>
      <w:r w:rsidRPr="00C5096D">
        <w:t>11</w:t>
      </w:r>
      <w:r w:rsidR="007314F1" w:rsidRPr="00C5096D">
        <w:fldChar w:fldCharType="end"/>
      </w:r>
      <w:r>
        <w:t>). În acest context, societatea reclamantă a formulat și capetele sale de cerere cu privire la desfășurarea inspecției (a se vedea supra, pct. </w:t>
      </w:r>
      <w:r w:rsidR="007314F1" w:rsidRPr="00C5096D">
        <w:fldChar w:fldCharType="begin"/>
      </w:r>
      <w:r w:rsidR="007314F1" w:rsidRPr="00C5096D">
        <w:instrText xml:space="preserve">REF paragraph00011 \h \* CharFormat </w:instrText>
      </w:r>
      <w:r w:rsidR="007314F1" w:rsidRPr="00C5096D">
        <w:fldChar w:fldCharType="separate"/>
      </w:r>
      <w:r w:rsidRPr="00C5096D">
        <w:t>11</w:t>
      </w:r>
      <w:r w:rsidR="007314F1" w:rsidRPr="00C5096D">
        <w:fldChar w:fldCharType="end"/>
      </w:r>
      <w:r>
        <w:t xml:space="preserve">, </w:t>
      </w:r>
      <w:r w:rsidR="007314F1" w:rsidRPr="00C5096D">
        <w:fldChar w:fldCharType="begin"/>
      </w:r>
      <w:r w:rsidR="007314F1" w:rsidRPr="00C5096D">
        <w:instrText xml:space="preserve">REF paragraph00016 \h \* CharFormat </w:instrText>
      </w:r>
      <w:r w:rsidR="007314F1" w:rsidRPr="00C5096D">
        <w:fldChar w:fldCharType="separate"/>
      </w:r>
      <w:r w:rsidRPr="00C5096D">
        <w:t>16</w:t>
      </w:r>
      <w:r w:rsidR="007314F1" w:rsidRPr="00C5096D">
        <w:fldChar w:fldCharType="end"/>
      </w:r>
      <w:r>
        <w:t xml:space="preserve"> și </w:t>
      </w:r>
      <w:r w:rsidR="007314F1" w:rsidRPr="00C5096D">
        <w:fldChar w:fldCharType="begin"/>
      </w:r>
      <w:r w:rsidR="007314F1" w:rsidRPr="00C5096D">
        <w:instrText xml:space="preserve">REF paragraph00020 \h \* CharFormat </w:instrText>
      </w:r>
      <w:r w:rsidR="007314F1" w:rsidRPr="00C5096D">
        <w:fldChar w:fldCharType="separate"/>
      </w:r>
      <w:r w:rsidRPr="00C5096D">
        <w:t>20</w:t>
      </w:r>
      <w:r w:rsidR="007314F1" w:rsidRPr="00C5096D">
        <w:fldChar w:fldCharType="end"/>
      </w:r>
      <w:r>
        <w:t>).</w:t>
      </w:r>
    </w:p>
    <w:p w14:paraId="59913C48"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114</w:t>
      </w:r>
      <w:r w:rsidRPr="00C5096D">
        <w:fldChar w:fldCharType="end"/>
      </w:r>
      <w:r>
        <w:t>.  Este adevărat că, acționând în calitate de instanță de prim grad de jurisdicție, Curtea de Apel București a examinat doar conformitatea celor două ordine cu Legea concurenței și a statuat că argumentele suplimentare ale societății reclamante privind pretinsa nelegalitate a inspecției trebuiau să fie invocate după încheierea investigației, în cadrul unei plângeri separate împotriva deciziei adoptate la finalul investigației (a se vedea supra, pct. </w:t>
      </w:r>
      <w:r w:rsidR="007314F1" w:rsidRPr="00C5096D">
        <w:fldChar w:fldCharType="begin"/>
      </w:r>
      <w:r w:rsidR="007314F1" w:rsidRPr="00C5096D">
        <w:instrText xml:space="preserve">REF paragraph00017 \h \* CharFormat </w:instrText>
      </w:r>
      <w:r w:rsidR="007314F1" w:rsidRPr="00C5096D">
        <w:fldChar w:fldCharType="separate"/>
      </w:r>
      <w:r w:rsidRPr="00C5096D">
        <w:t>17</w:t>
      </w:r>
      <w:r w:rsidR="007314F1" w:rsidRPr="00C5096D">
        <w:fldChar w:fldCharType="end"/>
      </w:r>
      <w:r>
        <w:t>-</w:t>
      </w:r>
      <w:r w:rsidR="007314F1" w:rsidRPr="00C5096D">
        <w:fldChar w:fldCharType="begin"/>
      </w:r>
      <w:r w:rsidR="007314F1" w:rsidRPr="00C5096D">
        <w:instrText xml:space="preserve">REF paragraph00019 \h \* CharFormat </w:instrText>
      </w:r>
      <w:r w:rsidR="007314F1" w:rsidRPr="00C5096D">
        <w:fldChar w:fldCharType="separate"/>
      </w:r>
      <w:r w:rsidRPr="00C5096D">
        <w:t>19</w:t>
      </w:r>
      <w:r w:rsidR="007314F1" w:rsidRPr="00C5096D">
        <w:fldChar w:fldCharType="end"/>
      </w:r>
      <w:r>
        <w:t>). Cu toate acestea, în cadrul procedurii de recurs, Înalta Curte a examinat într-adevăr temeiul juridic al celor două ordine, precum și domeniul de aplicare și proporționalitatea inspecției,</w:t>
      </w:r>
      <w:r>
        <w:rPr>
          <w:b/>
        </w:rPr>
        <w:t xml:space="preserve"> </w:t>
      </w:r>
      <w:r>
        <w:t>în lumina dreptului și practicii interne și a dreptului și practicii Uniunii Europene. Mai precis, Înalta Curte a examinat dosarul de investigație, astfel cum a fost prezentat de Consiliu, și a constatat că ordinul de inspecție s-a bazat pe suspiciuni potrivit cărora, la sediul societății reclamante, puteau fi găsite documente considerate necesare pentru investigație. În plus, aceasta a considerat că alegerea de a efectua o inspecție inopinată în speță a fost justificată de gravitatea încălcărilor suspectate ale dreptului concurenței, de piața implicată și de posibilele consecințe ale actelor suspectate pe această piață (a se vedea supra, pct. </w:t>
      </w:r>
      <w:r w:rsidR="007314F1" w:rsidRPr="00C5096D">
        <w:fldChar w:fldCharType="begin"/>
      </w:r>
      <w:r w:rsidR="007314F1" w:rsidRPr="00C5096D">
        <w:instrText xml:space="preserve">REF paragraph00022 \h \* CharFormat  \* MERGEFORMAT </w:instrText>
      </w:r>
      <w:r w:rsidR="007314F1" w:rsidRPr="00C5096D">
        <w:fldChar w:fldCharType="separate"/>
      </w:r>
      <w:r w:rsidRPr="00C5096D">
        <w:t>22</w:t>
      </w:r>
      <w:r w:rsidR="007314F1" w:rsidRPr="00C5096D">
        <w:fldChar w:fldCharType="end"/>
      </w:r>
      <w:r>
        <w:t>-</w:t>
      </w:r>
      <w:r w:rsidR="007314F1" w:rsidRPr="00C5096D">
        <w:fldChar w:fldCharType="begin"/>
      </w:r>
      <w:r w:rsidR="007314F1" w:rsidRPr="00C5096D">
        <w:instrText xml:space="preserve">REF paragraph00023 \h \* CharFormat  \* MERGEFORMAT </w:instrText>
      </w:r>
      <w:r w:rsidR="007314F1" w:rsidRPr="00C5096D">
        <w:fldChar w:fldCharType="separate"/>
      </w:r>
      <w:r w:rsidRPr="00C5096D">
        <w:t>23</w:t>
      </w:r>
      <w:r w:rsidR="007314F1" w:rsidRPr="00C5096D">
        <w:fldChar w:fldCharType="end"/>
      </w:r>
      <w:r>
        <w:t>). În sfârșit, în cadrul examinării proporționalității inspecției, Înalta Curte</w:t>
      </w:r>
      <w:r>
        <w:rPr>
          <w:b/>
        </w:rPr>
        <w:t xml:space="preserve"> </w:t>
      </w:r>
      <w:r>
        <w:t>a luat de asemenea în considerare faptul că societatea reclamantă nu a dovedit existența vreunui prejudiciu ca urmare a acestei operațiuni (a se vedea supra, pct. </w:t>
      </w:r>
      <w:r w:rsidR="007314F1" w:rsidRPr="00C5096D">
        <w:fldChar w:fldCharType="begin"/>
      </w:r>
      <w:r w:rsidR="007314F1" w:rsidRPr="00C5096D">
        <w:instrText xml:space="preserve">REF paragraph00023 \h \* CharFormat  \* MERGEFORMAT </w:instrText>
      </w:r>
      <w:r w:rsidR="007314F1" w:rsidRPr="00C5096D">
        <w:fldChar w:fldCharType="separate"/>
      </w:r>
      <w:r w:rsidRPr="00C5096D">
        <w:t>23</w:t>
      </w:r>
      <w:r w:rsidR="007314F1" w:rsidRPr="00C5096D">
        <w:fldChar w:fldCharType="end"/>
      </w:r>
      <w:r>
        <w:t xml:space="preserve"> </w:t>
      </w:r>
      <w:r>
        <w:rPr>
          <w:i/>
        </w:rPr>
        <w:t>in fine</w:t>
      </w:r>
      <w:r>
        <w:t xml:space="preserve">, precum și, </w:t>
      </w:r>
      <w:r>
        <w:rPr>
          <w:i/>
        </w:rPr>
        <w:t>mutatis mutandis,</w:t>
      </w:r>
      <w:r>
        <w:t xml:space="preserve"> </w:t>
      </w:r>
      <w:r>
        <w:rPr>
          <w:i/>
        </w:rPr>
        <w:t>mutatis mutandis</w:t>
      </w:r>
      <w:r>
        <w:t xml:space="preserve">, </w:t>
      </w:r>
      <w:proofErr w:type="spellStart"/>
      <w:r>
        <w:rPr>
          <w:i/>
        </w:rPr>
        <w:t>Naumenko</w:t>
      </w:r>
      <w:proofErr w:type="spellEnd"/>
      <w:r>
        <w:rPr>
          <w:i/>
        </w:rPr>
        <w:t xml:space="preserve"> și SIA </w:t>
      </w:r>
      <w:proofErr w:type="spellStart"/>
      <w:r>
        <w:rPr>
          <w:i/>
        </w:rPr>
        <w:t>Rix</w:t>
      </w:r>
      <w:proofErr w:type="spellEnd"/>
      <w:r>
        <w:rPr>
          <w:i/>
        </w:rPr>
        <w:t xml:space="preserve"> Shipping</w:t>
      </w:r>
      <w:r>
        <w:t>, citată anterior, pct. 60).</w:t>
      </w:r>
    </w:p>
    <w:p w14:paraId="33C270D2"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115</w:t>
      </w:r>
      <w:r w:rsidRPr="00C5096D">
        <w:fldChar w:fldCharType="end"/>
      </w:r>
      <w:r>
        <w:t xml:space="preserve">.  Având în vedere cele de mai sus, Curtea consideră că decizia Înaltei Curți s-a întemeiat pe motive relevante și suficiente. În consecință, necesitatea și proporționalitatea măsurii au făcut obiectul unui control </w:t>
      </w:r>
      <w:r>
        <w:rPr>
          <w:i/>
        </w:rPr>
        <w:t>ex post facto</w:t>
      </w:r>
      <w:r>
        <w:t xml:space="preserve"> adecvat.</w:t>
      </w:r>
    </w:p>
    <w:p w14:paraId="456EF9E3"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116</w:t>
      </w:r>
      <w:r w:rsidRPr="00C5096D">
        <w:fldChar w:fldCharType="end"/>
      </w:r>
      <w:r>
        <w:t xml:space="preserve">.  În concluzie, Curtea observă că, la momentul relevant în speță, în dreptul român erau consacrate garanții adecvate. Mai precis, inspecțiile inopinate puteau avea loc prin decizia președintelui Consiliului în cazurile în care au fost deschise investigații în urma unei decizii a plenului și puteau fi efectuate doar în prezența reprezentanților societății în cauză. Urma să fie întocmit un proces-verbal de constatare și inventariere detaliat cu privire la inspecție, iar societatea putea să formuleze observații, să ridice obiecțiuni și să solicite ca orice documente ridicate să fie tratate ca fiind confidențiale sau să fie restituite în cazul în care nu aveau legătură cu investigația. Legea prevedea un control ulterior al inspecției, fie sub forma unei plângeri împotriva ordinului de inspecție, depusă imediat după inspecție în temeiul Legii contenciosului administrativ, fie la finalul investigației în materie de concurență, sub forma unei plângeri împotriva deciziei emise la finalul investigației respective, în temeiul Legii concurenței. În plus, putea fi depusă </w:t>
      </w:r>
      <w:r>
        <w:lastRenderedPageBreak/>
        <w:t>o plângere împotriva oricărei decizii luate de Consiliu în cursul unei anchete, în temeiul Legii contenciosului administrativ (a se vedea supra, pct. </w:t>
      </w:r>
      <w:r w:rsidR="007314F1" w:rsidRPr="00C5096D">
        <w:fldChar w:fldCharType="begin"/>
      </w:r>
      <w:r w:rsidR="007314F1" w:rsidRPr="00C5096D">
        <w:instrText xml:space="preserve">REF paragraph00052 \h \* CharFormat  \* MERGEFORMAT </w:instrText>
      </w:r>
      <w:r w:rsidR="007314F1" w:rsidRPr="00C5096D">
        <w:fldChar w:fldCharType="separate"/>
      </w:r>
      <w:r w:rsidRPr="00C5096D">
        <w:t>52</w:t>
      </w:r>
      <w:r w:rsidR="007314F1" w:rsidRPr="00C5096D">
        <w:fldChar w:fldCharType="end"/>
      </w:r>
      <w:r>
        <w:t xml:space="preserve"> și </w:t>
      </w:r>
      <w:r w:rsidR="007314F1" w:rsidRPr="00C5096D">
        <w:fldChar w:fldCharType="begin"/>
      </w:r>
      <w:r w:rsidR="007314F1" w:rsidRPr="00C5096D">
        <w:instrText xml:space="preserve">REF paragraph00112 \h \* CharFormat  \* MERGEFORMAT </w:instrText>
      </w:r>
      <w:r w:rsidR="007314F1" w:rsidRPr="00C5096D">
        <w:fldChar w:fldCharType="separate"/>
      </w:r>
      <w:r w:rsidRPr="00C5096D">
        <w:t>112</w:t>
      </w:r>
      <w:r w:rsidR="007314F1" w:rsidRPr="00C5096D">
        <w:fldChar w:fldCharType="end"/>
      </w:r>
      <w:r>
        <w:t>).</w:t>
      </w:r>
    </w:p>
    <w:p w14:paraId="4D754BE3"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117</w:t>
      </w:r>
      <w:r w:rsidRPr="00C5096D">
        <w:fldChar w:fldCharType="end"/>
      </w:r>
      <w:r>
        <w:t>.  În lumina considerațiilor de mai sus, rezultă că, având în vedere marja de apreciere acordată autorităților (a se vedea supra, pct. </w:t>
      </w:r>
      <w:r w:rsidR="007314F1" w:rsidRPr="00C5096D">
        <w:fldChar w:fldCharType="begin"/>
      </w:r>
      <w:r w:rsidR="007314F1" w:rsidRPr="00C5096D">
        <w:instrText xml:space="preserve">REF paragraph00103 \h \* CharFormat  \* MERGEFORMAT </w:instrText>
      </w:r>
      <w:r w:rsidR="007314F1" w:rsidRPr="00C5096D">
        <w:fldChar w:fldCharType="separate"/>
      </w:r>
      <w:r w:rsidRPr="00C5096D">
        <w:t>103</w:t>
      </w:r>
      <w:r w:rsidR="007314F1" w:rsidRPr="00C5096D">
        <w:fldChar w:fldCharType="end"/>
      </w:r>
      <w:r>
        <w:t xml:space="preserve"> și </w:t>
      </w:r>
      <w:r w:rsidR="007314F1" w:rsidRPr="00C5096D">
        <w:fldChar w:fldCharType="begin"/>
      </w:r>
      <w:r w:rsidR="007314F1" w:rsidRPr="00C5096D">
        <w:instrText xml:space="preserve">REF paragraph00105 \h \* CharFormat </w:instrText>
      </w:r>
      <w:r w:rsidR="007314F1" w:rsidRPr="00C5096D">
        <w:fldChar w:fldCharType="separate"/>
      </w:r>
      <w:r w:rsidRPr="00C5096D">
        <w:t>105</w:t>
      </w:r>
      <w:r w:rsidR="007314F1" w:rsidRPr="00C5096D">
        <w:fldChar w:fldCharType="end"/>
      </w:r>
      <w:r>
        <w:t>), ingerința contestată în exercitarea drepturilor societății reclamante a fost proporțională cu scopul urmărit. Prin urmare, nu a fost încălcat art. 8 din Convenție.</w:t>
      </w:r>
    </w:p>
    <w:p w14:paraId="27ED15D0" w14:textId="77777777" w:rsidR="00572B49" w:rsidRPr="00C5096D" w:rsidRDefault="007314F1" w:rsidP="00C5096D">
      <w:pPr>
        <w:pStyle w:val="JuHA"/>
        <w:ind w:left="584" w:hanging="352"/>
      </w:pPr>
      <w:r>
        <w:t>Procedurile penale</w:t>
      </w:r>
    </w:p>
    <w:p w14:paraId="4D6A97F1" w14:textId="77777777" w:rsidR="00572B49" w:rsidRPr="00C5096D" w:rsidRDefault="007314F1" w:rsidP="00C5096D">
      <w:pPr>
        <w:pStyle w:val="JuH1"/>
        <w:ind w:left="731" w:hanging="300"/>
      </w:pPr>
      <w:r>
        <w:t>Excepția ridicată de Guvern cu privire la neepuizarea căilor de atac interne în legătură cu perchezițiile din dosarul nr. 102/D/2012</w:t>
      </w:r>
    </w:p>
    <w:bookmarkStart w:id="77" w:name="paragraph00118"/>
    <w:p w14:paraId="0D53C80E"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118</w:t>
      </w:r>
      <w:r w:rsidRPr="00C5096D">
        <w:fldChar w:fldCharType="end"/>
      </w:r>
      <w:bookmarkEnd w:id="77"/>
      <w:r>
        <w:t>.  Guvernul a susținut că, în cauza penală nr. 102/D/2012, societatea reclamantă nu a epuizat căile de atac interne disponibile în ceea ce privește capetele de cerere formulate de aceasta în temeiul art. 8 din Convenție.</w:t>
      </w:r>
    </w:p>
    <w:bookmarkStart w:id="78" w:name="paragraph00119"/>
    <w:p w14:paraId="622E69D8"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119</w:t>
      </w:r>
      <w:r w:rsidRPr="00C5096D">
        <w:fldChar w:fldCharType="end"/>
      </w:r>
      <w:bookmarkEnd w:id="78"/>
      <w:r>
        <w:t>.  Mai precis, făcând referire la exemple din jurisprudența instanțelor naționale (a se vedea supra, pct. </w:t>
      </w:r>
      <w:r w:rsidRPr="00C5096D">
        <w:fldChar w:fldCharType="begin"/>
      </w:r>
      <w:r w:rsidRPr="00C5096D">
        <w:instrText xml:space="preserve">REF paragraph00073 \h \* CharFormat </w:instrText>
      </w:r>
      <w:r w:rsidRPr="00C5096D">
        <w:fldChar w:fldCharType="separate"/>
      </w:r>
      <w:r w:rsidR="00C5096D" w:rsidRPr="00C5096D">
        <w:t>73</w:t>
      </w:r>
      <w:r w:rsidRPr="00C5096D">
        <w:fldChar w:fldCharType="end"/>
      </w:r>
      <w:r>
        <w:t>), acesta a susținut că societatea reclamantă ar fi putut contesta în fața instanțelor legalitatea și desfășurarea perchezițiilor și ridicărilor de obiecte și înscrisuri, întrucât inculpații au fost trimiși în judecată în octombrie 2013 (a se vedea supra, pct. </w:t>
      </w:r>
      <w:r w:rsidRPr="00C5096D">
        <w:fldChar w:fldCharType="begin"/>
      </w:r>
      <w:r w:rsidRPr="00C5096D">
        <w:instrText xml:space="preserve">REF paragraph00037 \h \* CharFormat </w:instrText>
      </w:r>
      <w:r w:rsidRPr="00C5096D">
        <w:fldChar w:fldCharType="separate"/>
      </w:r>
      <w:r w:rsidR="00C5096D" w:rsidRPr="00C5096D">
        <w:t>37</w:t>
      </w:r>
      <w:r w:rsidRPr="00C5096D">
        <w:fldChar w:fldCharType="end"/>
      </w:r>
      <w:r>
        <w:t>), la scurt timp după realizarea perchezițiilor. În acel moment, societatea reclamantă a avut posibilitatea de a-și prezenta în fața unei instanțe capetele de cerere cu privire la măsurile în cauză. Constatarea de către instanța penală a oricărei nelegalități în procesul de percheziție și ridicare de obiecte și înscrisuri ar fi oferit societății reclamante posibilitatea de a introduce o acțiune în despăgubiri în fața unei instanțe civile, în temeiul dreptului general al răspunderii civile delictuale (a se vedea supra, pct. </w:t>
      </w:r>
      <w:r w:rsidRPr="00C5096D">
        <w:fldChar w:fldCharType="begin"/>
      </w:r>
      <w:r w:rsidRPr="00C5096D">
        <w:instrText xml:space="preserve">REF paragraph00074 \h \* CharFormat </w:instrText>
      </w:r>
      <w:r w:rsidRPr="00C5096D">
        <w:fldChar w:fldCharType="separate"/>
      </w:r>
      <w:r w:rsidR="00C5096D" w:rsidRPr="00C5096D">
        <w:t>74</w:t>
      </w:r>
      <w:r w:rsidRPr="00C5096D">
        <w:fldChar w:fldCharType="end"/>
      </w:r>
      <w:r>
        <w:t>).</w:t>
      </w:r>
    </w:p>
    <w:bookmarkStart w:id="79" w:name="paragraph00120"/>
    <w:p w14:paraId="299F7C7B"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120</w:t>
      </w:r>
      <w:r w:rsidRPr="00C5096D">
        <w:fldChar w:fldCharType="end"/>
      </w:r>
      <w:bookmarkEnd w:id="79"/>
      <w:r>
        <w:t xml:space="preserve">.  Societatea reclamantă a susținut că nu avea nicio posibilitate de a contesta în fața unei instanțe autorizațiile de percheziție, modul de desfășurare a perchezițiilor sau ridicarea probelor. În conformitate cu C. </w:t>
      </w:r>
      <w:proofErr w:type="spellStart"/>
      <w:r>
        <w:t>proc</w:t>
      </w:r>
      <w:proofErr w:type="spellEnd"/>
      <w:r>
        <w:t xml:space="preserve">. </w:t>
      </w:r>
      <w:proofErr w:type="spellStart"/>
      <w:r>
        <w:t>pen</w:t>
      </w:r>
      <w:proofErr w:type="spellEnd"/>
      <w:r>
        <w:t xml:space="preserve">. și cu practica instanțelor naționale, hotărârile judecătorești de încuviințare a perchezițiilor domiciliare puteau fi contestate în fața unei instanțe doar împreună cu fondul cauzei. În cazul societății reclamante, la momentul depunerii prezentei cereri, posibilitatea sa de a se plânge cu privire la autorizații de percheziție era incertă, întrucât cauza era pendinte în fața procurorului și aceasta nu știa când și dacă va fi trimisă în fața unei instanțe. Făcând trimitere la </w:t>
      </w:r>
      <w:proofErr w:type="spellStart"/>
      <w:r>
        <w:rPr>
          <w:i/>
        </w:rPr>
        <w:t>Compagnie</w:t>
      </w:r>
      <w:proofErr w:type="spellEnd"/>
      <w:r>
        <w:rPr>
          <w:i/>
        </w:rPr>
        <w:t xml:space="preserve"> des gaz de </w:t>
      </w:r>
      <w:proofErr w:type="spellStart"/>
      <w:r>
        <w:rPr>
          <w:i/>
        </w:rPr>
        <w:t>pétrole</w:t>
      </w:r>
      <w:proofErr w:type="spellEnd"/>
      <w:r>
        <w:rPr>
          <w:i/>
        </w:rPr>
        <w:t xml:space="preserve"> </w:t>
      </w:r>
      <w:proofErr w:type="spellStart"/>
      <w:r>
        <w:rPr>
          <w:i/>
        </w:rPr>
        <w:t>Primagaz</w:t>
      </w:r>
      <w:proofErr w:type="spellEnd"/>
      <w:r>
        <w:rPr>
          <w:i/>
        </w:rPr>
        <w:t xml:space="preserve"> </w:t>
      </w:r>
      <w:r>
        <w:t xml:space="preserve">(citată anterior, pct. 24), în care Curtea a hotărât că, în cazul perchezițiilor domiciliare, persoanele în cauză trebuie să poată beneficia de un control jurisdicțional, în fapt și în drept, al legalității deciziei prin care s-a dispus percheziția și, dacă este necesar, al legalității măsurilor adoptate în temeiul acestei decizii, societatea reclamantă a susținut că orice plângere în fața procurorului – astfel </w:t>
      </w:r>
      <w:r>
        <w:lastRenderedPageBreak/>
        <w:t>cum era prevăzută de cadrul legal de la momentul faptelor – nu era în măsură să ofere o cale de atac adecvată în prezenta cauză.</w:t>
      </w:r>
    </w:p>
    <w:p w14:paraId="66773B92"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121</w:t>
      </w:r>
      <w:r w:rsidRPr="00C5096D">
        <w:fldChar w:fldCharType="end"/>
      </w:r>
      <w:r>
        <w:t>.  Principiile generale privind epuizarea căilor de atac interne sunt reluate în hotărârile pronunțate în cauzele</w:t>
      </w:r>
      <w:bookmarkStart w:id="80" w:name="L_A35_principles_2"/>
      <w:r>
        <w:t xml:space="preserve"> </w:t>
      </w:r>
      <w:proofErr w:type="spellStart"/>
      <w:r>
        <w:rPr>
          <w:i/>
        </w:rPr>
        <w:t>Vučković</w:t>
      </w:r>
      <w:proofErr w:type="spellEnd"/>
      <w:r>
        <w:rPr>
          <w:i/>
        </w:rPr>
        <w:t xml:space="preserve"> și alții, </w:t>
      </w:r>
      <w:r>
        <w:t>pct. 69-77</w:t>
      </w:r>
      <w:bookmarkEnd w:id="80"/>
      <w:r>
        <w:t xml:space="preserve"> și</w:t>
      </w:r>
      <w:r>
        <w:rPr>
          <w:rFonts w:ascii="Times New Roman" w:hAnsi="Times New Roman"/>
          <w:i/>
        </w:rPr>
        <w:t xml:space="preserve"> </w:t>
      </w:r>
      <w:proofErr w:type="spellStart"/>
      <w:r>
        <w:rPr>
          <w:i/>
        </w:rPr>
        <w:t>Communauté</w:t>
      </w:r>
      <w:proofErr w:type="spellEnd"/>
      <w:r>
        <w:rPr>
          <w:i/>
        </w:rPr>
        <w:t xml:space="preserve"> </w:t>
      </w:r>
      <w:proofErr w:type="spellStart"/>
      <w:r>
        <w:rPr>
          <w:i/>
        </w:rPr>
        <w:t>genevoise</w:t>
      </w:r>
      <w:proofErr w:type="spellEnd"/>
      <w:r>
        <w:rPr>
          <w:i/>
        </w:rPr>
        <w:t xml:space="preserve"> </w:t>
      </w:r>
      <w:proofErr w:type="spellStart"/>
      <w:r>
        <w:rPr>
          <w:i/>
        </w:rPr>
        <w:t>d’action</w:t>
      </w:r>
      <w:proofErr w:type="spellEnd"/>
      <w:r>
        <w:rPr>
          <w:i/>
        </w:rPr>
        <w:t xml:space="preserve"> </w:t>
      </w:r>
      <w:proofErr w:type="spellStart"/>
      <w:r>
        <w:rPr>
          <w:i/>
        </w:rPr>
        <w:t>syndicale</w:t>
      </w:r>
      <w:proofErr w:type="spellEnd"/>
      <w:r>
        <w:rPr>
          <w:i/>
        </w:rPr>
        <w:t xml:space="preserve"> (CGAS)</w:t>
      </w:r>
      <w:r>
        <w:t>, pct. 138-145, ambele citate anterior.</w:t>
      </w:r>
    </w:p>
    <w:bookmarkStart w:id="81" w:name="paragraph00122"/>
    <w:p w14:paraId="0735356C"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122</w:t>
      </w:r>
      <w:r w:rsidRPr="00C5096D">
        <w:fldChar w:fldCharType="end"/>
      </w:r>
      <w:bookmarkEnd w:id="81"/>
      <w:r>
        <w:t xml:space="preserve">.  Curtea a hotărât deja că o plângere în fața unei instanțe penale, urmată de o acțiune în răspundere civilă delictuală, introdusă în fața unei instanțe civile, ar putea fi considerată o cale de atac efectivă în sistemul juridic român, în cauzele referitoare la pretinsa nelegalitate a autorizațiilor de interceptare a convorbirilor telefonice și pretinsa încălcare a art. 8 din Convenție ca urmare a acordării unor astfel de autorizații [a se vedea </w:t>
      </w:r>
      <w:proofErr w:type="spellStart"/>
      <w:r>
        <w:rPr>
          <w:i/>
        </w:rPr>
        <w:t>Bălteanu</w:t>
      </w:r>
      <w:proofErr w:type="spellEnd"/>
      <w:r>
        <w:rPr>
          <w:i/>
        </w:rPr>
        <w:t xml:space="preserve"> împotriva României</w:t>
      </w:r>
      <w:r>
        <w:t xml:space="preserve">, nr. 142/04, pct. 32, 16 iulie 2013, și </w:t>
      </w:r>
      <w:r>
        <w:rPr>
          <w:i/>
        </w:rPr>
        <w:t>Tender împotriva României</w:t>
      </w:r>
      <w:r>
        <w:t xml:space="preserve"> (dec.), nr. 19806/06, pct. 21</w:t>
      </w:r>
      <w:r>
        <w:noBreakHyphen/>
        <w:t xml:space="preserve">23, 17 decembrie 2013) și pretinsa nelegalitate a autorizațiilor de percheziție domiciliară și pretinsa încălcare a art. 8 ca urmare a acordării unor astfel de autorizații [a se vedea </w:t>
      </w:r>
      <w:r>
        <w:rPr>
          <w:i/>
        </w:rPr>
        <w:t>Bîrsan împotriva României</w:t>
      </w:r>
      <w:r>
        <w:t xml:space="preserve"> (dec.), nr. 79917/13, pct. 56-57, 2 februarie 2016].</w:t>
      </w:r>
    </w:p>
    <w:bookmarkStart w:id="82" w:name="paragraph00123"/>
    <w:p w14:paraId="1F4F1A7F"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123</w:t>
      </w:r>
      <w:r w:rsidRPr="00C5096D">
        <w:fldChar w:fldCharType="end"/>
      </w:r>
      <w:bookmarkEnd w:id="82"/>
      <w:r>
        <w:t>.  În speță, Curtea observă că măsurile denunțate au avut loc între 12 decembrie 2012 și 29 aprilie 2013 (a se vedea supra, pct. </w:t>
      </w:r>
      <w:r w:rsidRPr="00C5096D">
        <w:fldChar w:fldCharType="begin"/>
      </w:r>
      <w:r w:rsidRPr="00C5096D">
        <w:instrText xml:space="preserve">REF paragraph00029 \h \* CharFormat </w:instrText>
      </w:r>
      <w:r w:rsidRPr="00C5096D">
        <w:fldChar w:fldCharType="separate"/>
      </w:r>
      <w:r w:rsidR="00C5096D" w:rsidRPr="00C5096D">
        <w:t>29</w:t>
      </w:r>
      <w:r w:rsidRPr="00C5096D">
        <w:fldChar w:fldCharType="end"/>
      </w:r>
      <w:r>
        <w:t xml:space="preserve">, </w:t>
      </w:r>
      <w:r w:rsidRPr="00C5096D">
        <w:fldChar w:fldCharType="begin"/>
      </w:r>
      <w:r w:rsidRPr="00C5096D">
        <w:instrText xml:space="preserve">REF paragraph00030 \h \* CharFormat </w:instrText>
      </w:r>
      <w:r w:rsidRPr="00C5096D">
        <w:fldChar w:fldCharType="separate"/>
      </w:r>
      <w:r w:rsidR="00C5096D" w:rsidRPr="00C5096D">
        <w:t>30</w:t>
      </w:r>
      <w:r w:rsidRPr="00C5096D">
        <w:fldChar w:fldCharType="end"/>
      </w:r>
      <w:r>
        <w:t xml:space="preserve"> și </w:t>
      </w:r>
      <w:r w:rsidRPr="00C5096D">
        <w:fldChar w:fldCharType="begin"/>
      </w:r>
      <w:r w:rsidRPr="00C5096D">
        <w:instrText xml:space="preserve">REF paragraph00034 \h \* CharFormat </w:instrText>
      </w:r>
      <w:r w:rsidRPr="00C5096D">
        <w:fldChar w:fldCharType="separate"/>
      </w:r>
      <w:r w:rsidR="00C5096D" w:rsidRPr="00C5096D">
        <w:t>34</w:t>
      </w:r>
      <w:r w:rsidRPr="00C5096D">
        <w:fldChar w:fldCharType="end"/>
      </w:r>
      <w:r>
        <w:t>) și că, la 3 octombrie 2013, inculpații au fost trimiși în judecată (a se vedea supra, pct. </w:t>
      </w:r>
      <w:r w:rsidRPr="00C5096D">
        <w:fldChar w:fldCharType="begin"/>
      </w:r>
      <w:r w:rsidRPr="00C5096D">
        <w:instrText xml:space="preserve">REF paragraph00037 \h \* CharFormat </w:instrText>
      </w:r>
      <w:r w:rsidRPr="00C5096D">
        <w:fldChar w:fldCharType="separate"/>
      </w:r>
      <w:r w:rsidR="00C5096D" w:rsidRPr="00C5096D">
        <w:t>37</w:t>
      </w:r>
      <w:r w:rsidRPr="00C5096D">
        <w:fldChar w:fldCharType="end"/>
      </w:r>
      <w:r>
        <w:t xml:space="preserve">). Societatea reclamantă ar fi putut să își formuleze capetele de cerere în fața procurorului, prin intermediul unei plângeri împotriva măsurilor luate de procuror, în temeiul art. 275-278 C. </w:t>
      </w:r>
      <w:proofErr w:type="spellStart"/>
      <w:r>
        <w:t>proc</w:t>
      </w:r>
      <w:proofErr w:type="spellEnd"/>
      <w:r>
        <w:t xml:space="preserve">. </w:t>
      </w:r>
      <w:proofErr w:type="spellStart"/>
      <w:r>
        <w:t>pen</w:t>
      </w:r>
      <w:proofErr w:type="spellEnd"/>
      <w:r>
        <w:t>. [a se vedea supra, pct. </w:t>
      </w:r>
      <w:r w:rsidRPr="00C5096D">
        <w:fldChar w:fldCharType="begin"/>
      </w:r>
      <w:r w:rsidRPr="00C5096D">
        <w:instrText xml:space="preserve">REF paragraph00070 \h \* CharFormat </w:instrText>
      </w:r>
      <w:r w:rsidRPr="00C5096D">
        <w:fldChar w:fldCharType="separate"/>
      </w:r>
      <w:r w:rsidR="00C5096D" w:rsidRPr="00C5096D">
        <w:t>70</w:t>
      </w:r>
      <w:r w:rsidRPr="00C5096D">
        <w:fldChar w:fldCharType="end"/>
      </w:r>
      <w:r>
        <w:t xml:space="preserve">; a se vedea, de asemenea, de exemplu, </w:t>
      </w:r>
      <w:r>
        <w:rPr>
          <w:i/>
        </w:rPr>
        <w:t>Bîrsan</w:t>
      </w:r>
      <w:r>
        <w:t xml:space="preserve">, citată anterior, pct. 17, și </w:t>
      </w:r>
      <w:r>
        <w:rPr>
          <w:i/>
        </w:rPr>
        <w:t xml:space="preserve">Man și alții împotriva României </w:t>
      </w:r>
      <w:r>
        <w:t xml:space="preserve">(dec.), nr. 39273/07, pct. 95, 19 noiembrie 2019] sau ulterior, în calitate de parte civilă în proces, atunci când cauza penală a fost înaintată instanței, începând din octombrie 2013, astfel cum se confirma în dreptul intern [a se vedea art. 301 alin. (3) din vechiul C. </w:t>
      </w:r>
      <w:proofErr w:type="spellStart"/>
      <w:r>
        <w:t>proc</w:t>
      </w:r>
      <w:proofErr w:type="spellEnd"/>
      <w:r>
        <w:t xml:space="preserve">. </w:t>
      </w:r>
      <w:proofErr w:type="spellStart"/>
      <w:r>
        <w:t>pen</w:t>
      </w:r>
      <w:proofErr w:type="spellEnd"/>
      <w:r>
        <w:t>., citat supra, pct. </w:t>
      </w:r>
      <w:r w:rsidRPr="00C5096D">
        <w:fldChar w:fldCharType="begin"/>
      </w:r>
      <w:r w:rsidRPr="00C5096D">
        <w:instrText xml:space="preserve">REF paragraph00068 \h \* CharFormat </w:instrText>
      </w:r>
      <w:r w:rsidRPr="00C5096D">
        <w:fldChar w:fldCharType="separate"/>
      </w:r>
      <w:r w:rsidR="00C5096D" w:rsidRPr="00C5096D">
        <w:t>68</w:t>
      </w:r>
      <w:r w:rsidRPr="00C5096D">
        <w:fldChar w:fldCharType="end"/>
      </w:r>
      <w:r>
        <w:t>].</w:t>
      </w:r>
    </w:p>
    <w:bookmarkStart w:id="83" w:name="paragraph00124"/>
    <w:p w14:paraId="38B83EB2"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124</w:t>
      </w:r>
      <w:r w:rsidRPr="00C5096D">
        <w:fldChar w:fldCharType="end"/>
      </w:r>
      <w:bookmarkEnd w:id="83"/>
      <w:r>
        <w:t>.  Cu toate acestea, Curtea observă că, spre deosebire de cea de-a doua cauză penală (a se vedea supra, pct. </w:t>
      </w:r>
      <w:r w:rsidRPr="00C5096D">
        <w:fldChar w:fldCharType="begin"/>
      </w:r>
      <w:r w:rsidRPr="00C5096D">
        <w:instrText xml:space="preserve">REF paragraph00040 \h \* CharFormat </w:instrText>
      </w:r>
      <w:r w:rsidRPr="00C5096D">
        <w:fldChar w:fldCharType="separate"/>
      </w:r>
      <w:r w:rsidR="00C5096D" w:rsidRPr="00C5096D">
        <w:t>40</w:t>
      </w:r>
      <w:r w:rsidRPr="00C5096D">
        <w:fldChar w:fldCharType="end"/>
      </w:r>
      <w:r>
        <w:t>-</w:t>
      </w:r>
      <w:r w:rsidRPr="00C5096D">
        <w:fldChar w:fldCharType="begin"/>
      </w:r>
      <w:r w:rsidRPr="00C5096D">
        <w:instrText xml:space="preserve">REF paragraph00041 \h \* CharFormat </w:instrText>
      </w:r>
      <w:r w:rsidRPr="00C5096D">
        <w:fldChar w:fldCharType="separate"/>
      </w:r>
      <w:r w:rsidR="00C5096D" w:rsidRPr="00C5096D">
        <w:t>41</w:t>
      </w:r>
      <w:r w:rsidRPr="00C5096D">
        <w:fldChar w:fldCharType="end"/>
      </w:r>
      <w:r>
        <w:t>), în cadrul procedurii privind primul dosar penal, societatea reclamantă nu a invocat nicio critică, nici prin formularea de obiecțiuni cu privire la procesele-verbale de percheziție, nici prin intermediul unei plângeri în fața procurorului. În plus, nu au fost furnizate informații cu privire la cererile sau plângerile formulate de societatea reclamantă în calitate de parte la procesul în fața instanțelor naționale, începând din octombrie 2013.</w:t>
      </w:r>
    </w:p>
    <w:p w14:paraId="0F4A1439"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125</w:t>
      </w:r>
      <w:r w:rsidRPr="00C5096D">
        <w:fldChar w:fldCharType="end"/>
      </w:r>
      <w:r>
        <w:t>.  Având în vedere cele de mai sus, Curtea consideră că excepția ridicată de Guvern trebuie să fie admisă.</w:t>
      </w:r>
      <w:r>
        <w:rPr>
          <w:rFonts w:ascii="Arial" w:hAnsi="Arial"/>
          <w:color w:val="000000"/>
        </w:rPr>
        <w:t xml:space="preserve"> </w:t>
      </w:r>
      <w:r>
        <w:t>Rezultă că acest capăt de cerere trebuie respins în temeiul art. 35 § 1 din Convenție, pentru neepuizarea căilor de atac interne.</w:t>
      </w:r>
    </w:p>
    <w:p w14:paraId="27F69537" w14:textId="77777777" w:rsidR="00572B49" w:rsidRPr="00C5096D" w:rsidRDefault="007314F1" w:rsidP="00C5096D">
      <w:pPr>
        <w:pStyle w:val="JuH1"/>
        <w:ind w:left="731" w:hanging="300"/>
      </w:pPr>
      <w:r>
        <w:lastRenderedPageBreak/>
        <w:t>Ridicarea de obiecte și percheziția informatică din dosarul nr. 2352/D/P/2013</w:t>
      </w:r>
    </w:p>
    <w:p w14:paraId="39C735E6" w14:textId="77777777" w:rsidR="00572B49" w:rsidRPr="00C5096D" w:rsidRDefault="007314F1" w:rsidP="00C5096D">
      <w:pPr>
        <w:pStyle w:val="JuHa0"/>
        <w:ind w:left="482" w:hanging="340"/>
      </w:pPr>
      <w:r>
        <w:t>Cu privire la admisibilitate</w:t>
      </w:r>
    </w:p>
    <w:bookmarkStart w:id="84" w:name="paragraph00126"/>
    <w:p w14:paraId="2A6B8702"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126</w:t>
      </w:r>
      <w:r w:rsidRPr="00C5096D">
        <w:fldChar w:fldCharType="end"/>
      </w:r>
      <w:bookmarkEnd w:id="84"/>
      <w:r>
        <w:t xml:space="preserve">.  Guvernul a susținut că, nici în acest dosar, societatea reclamantă nu a epuizat căile de atac interne disponibile. Aceasta ar fi putut sesiza o instanță chiar și în cursul anchetei, având în vedere că au fost incluse dispoziții în acest sens în noul C. </w:t>
      </w:r>
      <w:proofErr w:type="spellStart"/>
      <w:r>
        <w:t>proc</w:t>
      </w:r>
      <w:proofErr w:type="spellEnd"/>
      <w:r>
        <w:t xml:space="preserve">. </w:t>
      </w:r>
      <w:proofErr w:type="spellStart"/>
      <w:r>
        <w:t>pen</w:t>
      </w:r>
      <w:proofErr w:type="spellEnd"/>
      <w:r>
        <w:t>. începând cu 1 februarie 2014 (a se vedea supra, pct. </w:t>
      </w:r>
      <w:r w:rsidRPr="00C5096D">
        <w:fldChar w:fldCharType="begin"/>
      </w:r>
      <w:r w:rsidRPr="00C5096D">
        <w:instrText xml:space="preserve">REF paragraph00069 \h \* CharFormat </w:instrText>
      </w:r>
      <w:r w:rsidRPr="00C5096D">
        <w:fldChar w:fldCharType="separate"/>
      </w:r>
      <w:r w:rsidR="00C5096D" w:rsidRPr="00C5096D">
        <w:t>69</w:t>
      </w:r>
      <w:r w:rsidRPr="00C5096D">
        <w:fldChar w:fldCharType="end"/>
      </w:r>
      <w:r>
        <w:t>).</w:t>
      </w:r>
    </w:p>
    <w:p w14:paraId="7A271204"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127</w:t>
      </w:r>
      <w:r w:rsidRPr="00C5096D">
        <w:fldChar w:fldCharType="end"/>
      </w:r>
      <w:r>
        <w:t>.  Curtea consideră că, în circumstanțele specifice ale prezentei cauze, excepția ridicată de Guvern este atât de strâns legată de fondul capătului de cerere formulat de societatea reclamantă în temeiul art. 8 încât aceasta ar trebui să fie unită cu fondul.</w:t>
      </w:r>
    </w:p>
    <w:p w14:paraId="47EB2FCB"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128</w:t>
      </w:r>
      <w:r w:rsidRPr="00C5096D">
        <w:fldChar w:fldCharType="end"/>
      </w:r>
      <w:r>
        <w:t>.  Curtea constată, de asemenea, că acest capăt de cerere nu este nici vădit nefondat, nici inadmisibil pentru alte motive enumerate la art. 35 § 3 lit. a) din Convenție. Prin urmare, acesta trebuie declarat admisibil.</w:t>
      </w:r>
    </w:p>
    <w:p w14:paraId="249560D4" w14:textId="77777777" w:rsidR="00572B49" w:rsidRPr="00C5096D" w:rsidRDefault="007314F1" w:rsidP="00C5096D">
      <w:pPr>
        <w:pStyle w:val="JuHa0"/>
        <w:ind w:left="482" w:hanging="340"/>
      </w:pPr>
      <w:r>
        <w:t>Cu privire la fond</w:t>
      </w:r>
    </w:p>
    <w:p w14:paraId="11B075F1" w14:textId="77777777" w:rsidR="00572B49" w:rsidRPr="00C5096D" w:rsidRDefault="007314F1" w:rsidP="00C5096D">
      <w:pPr>
        <w:pStyle w:val="JuHi"/>
        <w:ind w:left="1191" w:hanging="358"/>
      </w:pPr>
      <w:r>
        <w:t>Argumentele părților</w:t>
      </w:r>
    </w:p>
    <w:p w14:paraId="39A9589F" w14:textId="77777777" w:rsidR="00572B49" w:rsidRPr="00C5096D" w:rsidRDefault="007314F1" w:rsidP="00C5096D">
      <w:pPr>
        <w:pStyle w:val="JuHalpha"/>
        <w:ind w:left="1372" w:hanging="334"/>
      </w:pPr>
      <w:r>
        <w:t>Societatea reclamantă</w:t>
      </w:r>
    </w:p>
    <w:bookmarkStart w:id="85" w:name="paragraph00129"/>
    <w:p w14:paraId="30B99CD6"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129</w:t>
      </w:r>
      <w:r w:rsidRPr="00C5096D">
        <w:fldChar w:fldCharType="end"/>
      </w:r>
      <w:bookmarkEnd w:id="85"/>
      <w:r>
        <w:t>.  Societatea reclamantă s-a plâns de faptul că ridicarea celor două computere de la sediul său, la 13 ianuarie 2014, nu era prevăzută de lege. Dreptul național nu reglementa ridicarea dispozitivelor de stocare a datelor informatice în cauzele având ca obiect alte infracțiuni decât cele săvârșite prin intermediul sistemelor informatice. De asemenea, perchezițiile informatice ulterioare nu au fost efectuate în condițiile legii, întrucât dispozițiile Legii nr. 161/2003 (a se vedea supra, pct. </w:t>
      </w:r>
      <w:r w:rsidRPr="00C5096D">
        <w:fldChar w:fldCharType="begin"/>
      </w:r>
      <w:r w:rsidRPr="00C5096D">
        <w:instrText xml:space="preserve">REF paragraph00071 \h \* CharFormat </w:instrText>
      </w:r>
      <w:r w:rsidRPr="00C5096D">
        <w:fldChar w:fldCharType="separate"/>
      </w:r>
      <w:r w:rsidR="00C5096D" w:rsidRPr="00C5096D">
        <w:t>71</w:t>
      </w:r>
      <w:r w:rsidRPr="00C5096D">
        <w:fldChar w:fldCharType="end"/>
      </w:r>
      <w:r>
        <w:t>) permiteau astfel de percheziții numai în ceea ce privește infracțiunile săvârșite prin intermediul sistemelor informatice, ceea ce nu era cazul în speță.</w:t>
      </w:r>
    </w:p>
    <w:p w14:paraId="5BC285BF"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130</w:t>
      </w:r>
      <w:r w:rsidRPr="00C5096D">
        <w:fldChar w:fldCharType="end"/>
      </w:r>
      <w:r>
        <w:t>.  În al doilea rând, nu au existat motive care să justifice ridicarea de obiecte în prezenta cauză, iar existența unor astfel de motive nu a fost verificată, întrucât măsura a fost pusă în aplicare pe baza unei ordonanțe a procurorului, fără o autorizare judiciară prealabilă.</w:t>
      </w:r>
    </w:p>
    <w:p w14:paraId="5091DF94"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131</w:t>
      </w:r>
      <w:r w:rsidRPr="00C5096D">
        <w:fldChar w:fldCharType="end"/>
      </w:r>
      <w:r>
        <w:t xml:space="preserve">.  În plus, cadrul legal intern nu oferea garanții suficiente în cazul perchezițiilor informatice. Nici Legea nr. 161/2003, nici C. </w:t>
      </w:r>
      <w:proofErr w:type="spellStart"/>
      <w:r>
        <w:t>proc</w:t>
      </w:r>
      <w:proofErr w:type="spellEnd"/>
      <w:r>
        <w:t xml:space="preserve">. </w:t>
      </w:r>
      <w:proofErr w:type="spellStart"/>
      <w:r>
        <w:t>pen</w:t>
      </w:r>
      <w:proofErr w:type="spellEnd"/>
      <w:r>
        <w:t>. nu includeau dispoziții privind procedura care trebuia urmată în urma ridicării oricăror dispozitive de stocare a datelor informatice: când și în ce condiții urmau să fie accesate, persoanele care trebuiau să autorizeze acest acces, persoanele care trebuiau să fie prezente în momentul accesării lor și dacă se puteau face copii și, în caz afirmativ, în ce condiții trebuiau stocate, accesate sau distruse acestea.</w:t>
      </w:r>
    </w:p>
    <w:p w14:paraId="073B1FE3"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132</w:t>
      </w:r>
      <w:r w:rsidRPr="00C5096D">
        <w:fldChar w:fldCharType="end"/>
      </w:r>
      <w:r>
        <w:t xml:space="preserve">.  În cele din urmă, legile care reglementau secretul bancar și perchezițiile efectuate în cauzele penale erau lipsite de previzibilitate întrucât </w:t>
      </w:r>
      <w:r>
        <w:lastRenderedPageBreak/>
        <w:t>cadrul legal intern includea prevederi foarte generale și nu includea nicio garanție pentru situația specifică a perchezițiilor efectuate la sediul unei bănci, în cursul cărora puteau fi afectate informații de natura secretului bancar.</w:t>
      </w:r>
    </w:p>
    <w:p w14:paraId="02430942" w14:textId="77777777" w:rsidR="00572B49" w:rsidRPr="00C5096D" w:rsidRDefault="007314F1" w:rsidP="00C5096D">
      <w:pPr>
        <w:pStyle w:val="JuPara"/>
      </w:pPr>
      <w:fldSimple w:instr=" SEQ level0 \*arabic ">
        <w:r w:rsidR="00C5096D" w:rsidRPr="00C5096D">
          <w:t>133</w:t>
        </w:r>
      </w:fldSimple>
      <w:r>
        <w:t>.  Situația de mai sus a fost agravată de imposibilitatea de a contesta în fața unei instanțe ordonanța procurorului și punerea în executare a acesteia. Societatea reclamantă a susținut că nicio plângere în fața procurorului – astfel cum prevedea cadrul legal în vigoare la momentul faptelor – nu era în măsură să ofere o cale de atac adecvată în prezenta cauză.</w:t>
      </w:r>
    </w:p>
    <w:p w14:paraId="60C6C885" w14:textId="77777777" w:rsidR="00572B49" w:rsidRPr="00C5096D" w:rsidRDefault="007314F1" w:rsidP="00C5096D">
      <w:pPr>
        <w:pStyle w:val="JuHalpha"/>
        <w:ind w:left="1372" w:hanging="334"/>
      </w:pPr>
      <w:r>
        <w:t>Guvernul</w:t>
      </w:r>
    </w:p>
    <w:bookmarkStart w:id="86" w:name="paragraph00134"/>
    <w:p w14:paraId="45078237"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134</w:t>
      </w:r>
      <w:r w:rsidRPr="00C5096D">
        <w:fldChar w:fldCharType="end"/>
      </w:r>
      <w:bookmarkEnd w:id="86"/>
      <w:r>
        <w:t xml:space="preserve">.  Guvernul a susținut că percheziția și ridicarea computerelor și a datelor informatice au avut o bază juridică, și anume art. 99 și 100 din C. </w:t>
      </w:r>
      <w:proofErr w:type="spellStart"/>
      <w:r>
        <w:t>proc</w:t>
      </w:r>
      <w:proofErr w:type="spellEnd"/>
      <w:r>
        <w:t xml:space="preserve">. </w:t>
      </w:r>
      <w:proofErr w:type="spellStart"/>
      <w:r>
        <w:t>pen</w:t>
      </w:r>
      <w:proofErr w:type="spellEnd"/>
      <w:r>
        <w:t>. (a se vedea supra, pct. </w:t>
      </w:r>
      <w:r w:rsidRPr="00C5096D">
        <w:fldChar w:fldCharType="begin"/>
      </w:r>
      <w:r w:rsidRPr="00C5096D">
        <w:instrText xml:space="preserve">REF paragraph00068 \h \* CharFormat </w:instrText>
      </w:r>
      <w:r w:rsidRPr="00C5096D">
        <w:fldChar w:fldCharType="separate"/>
      </w:r>
      <w:r w:rsidR="00C5096D" w:rsidRPr="00C5096D">
        <w:t>68</w:t>
      </w:r>
      <w:r w:rsidRPr="00C5096D">
        <w:fldChar w:fldCharType="end"/>
      </w:r>
      <w:r>
        <w:t>), au urmărit unui scop legitim, și anume prevenirea faptelor penale, și au fost proporționale cu scopul urmărit, întrucât cadrul legal intern prevedea garanții suficiente și adecvate pentru situația societății reclamante. Mai precis, ridicarea a fost autorizată de procuror și un judecător a încuviințat separat perchezițiile informatice.</w:t>
      </w:r>
    </w:p>
    <w:bookmarkStart w:id="87" w:name="paragraph00135"/>
    <w:p w14:paraId="4C1B580A"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135</w:t>
      </w:r>
      <w:r w:rsidRPr="00C5096D">
        <w:fldChar w:fldCharType="end"/>
      </w:r>
      <w:bookmarkEnd w:id="87"/>
      <w:r>
        <w:t xml:space="preserve">.  Societatea reclamantă avea posibilitatea de a contesta în instanță legalitatea și desfășurarea operațiunii de ridicare de obiecte și a perchezițiilor ulterioare începând cu 1 februarie 2014, în temeiul noului C. </w:t>
      </w:r>
      <w:proofErr w:type="spellStart"/>
      <w:r>
        <w:t>proc</w:t>
      </w:r>
      <w:proofErr w:type="spellEnd"/>
      <w:r>
        <w:t xml:space="preserve">. </w:t>
      </w:r>
      <w:proofErr w:type="spellStart"/>
      <w:r>
        <w:t>pen</w:t>
      </w:r>
      <w:proofErr w:type="spellEnd"/>
      <w:r>
        <w:t>., dar nu a făcut acest lucru.</w:t>
      </w:r>
    </w:p>
    <w:p w14:paraId="500D4C3A" w14:textId="77777777" w:rsidR="00572B49" w:rsidRPr="00C5096D" w:rsidRDefault="007314F1" w:rsidP="00C5096D">
      <w:pPr>
        <w:pStyle w:val="JuPara"/>
      </w:pPr>
      <w:fldSimple w:instr=" SEQ level0 \*arabic ">
        <w:r w:rsidR="00C5096D" w:rsidRPr="00C5096D">
          <w:t>136</w:t>
        </w:r>
      </w:fldSimple>
      <w:r>
        <w:t>.  Guvernul a susținut, de asemenea, că respectivele computere ridicate au fost restituite la cerere, într-o perioadă de timp rezonabil de scurtă, și a concluzionat că măsurile adoptate în speță au fost proporționale în contextul unei investigații sensibile și complexe.</w:t>
      </w:r>
    </w:p>
    <w:p w14:paraId="293229AF" w14:textId="77777777" w:rsidR="00572B49" w:rsidRPr="00C5096D" w:rsidRDefault="007314F1" w:rsidP="00C5096D">
      <w:pPr>
        <w:pStyle w:val="JuHi"/>
        <w:ind w:left="1191" w:hanging="358"/>
      </w:pPr>
      <w:r>
        <w:t>Motivarea Curții</w:t>
      </w:r>
    </w:p>
    <w:p w14:paraId="0475E589" w14:textId="77777777" w:rsidR="00572B49" w:rsidRPr="00C5096D" w:rsidRDefault="007314F1" w:rsidP="00C5096D">
      <w:pPr>
        <w:pStyle w:val="JuHalpha"/>
        <w:ind w:left="1372" w:hanging="334"/>
      </w:pPr>
      <w:r>
        <w:t>Cu privire la existența unei ingerințe</w:t>
      </w:r>
    </w:p>
    <w:bookmarkStart w:id="88" w:name="paragraph00137"/>
    <w:p w14:paraId="39F36CC5" w14:textId="77777777" w:rsidR="00572B49" w:rsidRPr="00C5096D" w:rsidRDefault="007314F1" w:rsidP="00C5096D">
      <w:pPr>
        <w:pStyle w:val="JuPara"/>
      </w:pPr>
      <w:r w:rsidRPr="00C5096D">
        <w:fldChar w:fldCharType="begin"/>
      </w:r>
      <w:r w:rsidRPr="00C5096D">
        <w:instrText xml:space="preserve"> SEQ level0 \*arabic </w:instrText>
      </w:r>
      <w:r w:rsidRPr="00C5096D">
        <w:fldChar w:fldCharType="separate"/>
      </w:r>
      <w:r w:rsidR="00C5096D" w:rsidRPr="00C5096D">
        <w:t>137</w:t>
      </w:r>
      <w:r w:rsidRPr="00C5096D">
        <w:fldChar w:fldCharType="end"/>
      </w:r>
      <w:bookmarkEnd w:id="88"/>
      <w:r>
        <w:t xml:space="preserve">.  Curtea observă că nu se contestă faptul că ridicarea celor două computere de la sediul societății reclamante și percheziția informatică realizată ulterior constituie o ingerință în exercitarea de către societatea reclamantă a dreptului la respectarea domiciliului său și a corespondenței sale (a se vedea </w:t>
      </w:r>
      <w:proofErr w:type="spellStart"/>
      <w:r>
        <w:rPr>
          <w:i/>
        </w:rPr>
        <w:t>Wieser</w:t>
      </w:r>
      <w:proofErr w:type="spellEnd"/>
      <w:r>
        <w:rPr>
          <w:i/>
        </w:rPr>
        <w:t xml:space="preserve"> și </w:t>
      </w:r>
      <w:proofErr w:type="spellStart"/>
      <w:r>
        <w:rPr>
          <w:i/>
        </w:rPr>
        <w:t>Bicos</w:t>
      </w:r>
      <w:proofErr w:type="spellEnd"/>
      <w:r>
        <w:rPr>
          <w:i/>
        </w:rPr>
        <w:t xml:space="preserve"> </w:t>
      </w:r>
      <w:proofErr w:type="spellStart"/>
      <w:r>
        <w:rPr>
          <w:i/>
        </w:rPr>
        <w:t>Beteiligungen</w:t>
      </w:r>
      <w:proofErr w:type="spellEnd"/>
      <w:r>
        <w:rPr>
          <w:i/>
        </w:rPr>
        <w:t xml:space="preserve"> </w:t>
      </w:r>
      <w:proofErr w:type="spellStart"/>
      <w:r>
        <w:rPr>
          <w:i/>
        </w:rPr>
        <w:t>GmbH</w:t>
      </w:r>
      <w:proofErr w:type="spellEnd"/>
      <w:r>
        <w:t>, citată anterior, pct. 43 și 45). Curtea apreciază că nu este necesar să stabilească dacă a existat de asemenea o ingerință în exercitarea dreptului societății reclamante la respectarea vieții private (a se vedea supra, pct. </w:t>
      </w:r>
      <w:r w:rsidRPr="00C5096D">
        <w:fldChar w:fldCharType="begin"/>
      </w:r>
      <w:r w:rsidRPr="00C5096D">
        <w:instrText xml:space="preserve">REF paragraph00096 \h \* CharFormat </w:instrText>
      </w:r>
      <w:r w:rsidRPr="00C5096D">
        <w:fldChar w:fldCharType="separate"/>
      </w:r>
      <w:r w:rsidR="00C5096D" w:rsidRPr="00C5096D">
        <w:t>96</w:t>
      </w:r>
      <w:r w:rsidRPr="00C5096D">
        <w:fldChar w:fldCharType="end"/>
      </w:r>
      <w:r>
        <w:t>).</w:t>
      </w:r>
    </w:p>
    <w:p w14:paraId="4AA09DA7"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138</w:t>
      </w:r>
      <w:r w:rsidRPr="00C5096D">
        <w:fldChar w:fldCharType="end"/>
      </w:r>
      <w:r>
        <w:t>.  În continuare, Curtea trebuie să stabilească dacă ingerința a îndeplinit cerințele art. 8 § 2.</w:t>
      </w:r>
    </w:p>
    <w:p w14:paraId="0ECCF294" w14:textId="77777777" w:rsidR="00572B49" w:rsidRPr="00C5096D" w:rsidRDefault="007314F1" w:rsidP="00C5096D">
      <w:pPr>
        <w:pStyle w:val="JuHalpha"/>
        <w:ind w:left="1372" w:hanging="334"/>
      </w:pPr>
      <w:r>
        <w:lastRenderedPageBreak/>
        <w:t>Cu privire la aspectul dacă ingerința era prevăzută de lege și a urmărit un scop legitim</w:t>
      </w:r>
    </w:p>
    <w:bookmarkStart w:id="89" w:name="paragraph00139"/>
    <w:p w14:paraId="6782C23F"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139</w:t>
      </w:r>
      <w:r w:rsidRPr="00C5096D">
        <w:fldChar w:fldCharType="end"/>
      </w:r>
      <w:bookmarkEnd w:id="89"/>
      <w:r>
        <w:t>.  Părțile au fost în dezacord cu privire la aspectul dacă ingerința era „prevăzută de lege”, acestea având opinii divergente cu privire la aspectul dacă percheziția efectuată asupra dispozitivelor de stocare a datelor informatice era permisă de lege în prezenta cauză (a se vedea supra, pct. </w:t>
      </w:r>
      <w:r w:rsidRPr="00C5096D">
        <w:fldChar w:fldCharType="begin"/>
      </w:r>
      <w:r w:rsidRPr="00C5096D">
        <w:instrText xml:space="preserve">REF paragraph00129 \h \* CharFormat </w:instrText>
      </w:r>
      <w:r w:rsidRPr="00C5096D">
        <w:fldChar w:fldCharType="separate"/>
      </w:r>
      <w:r w:rsidR="00C5096D" w:rsidRPr="00C5096D">
        <w:t>129</w:t>
      </w:r>
      <w:r w:rsidRPr="00C5096D">
        <w:fldChar w:fldCharType="end"/>
      </w:r>
      <w:r>
        <w:t xml:space="preserve"> și </w:t>
      </w:r>
      <w:r w:rsidRPr="00C5096D">
        <w:fldChar w:fldCharType="begin"/>
      </w:r>
      <w:r w:rsidRPr="00C5096D">
        <w:instrText xml:space="preserve">REF paragraph00134 \h \* CharFormat </w:instrText>
      </w:r>
      <w:r w:rsidRPr="00C5096D">
        <w:fldChar w:fldCharType="separate"/>
      </w:r>
      <w:r w:rsidR="00C5096D" w:rsidRPr="00C5096D">
        <w:t>134</w:t>
      </w:r>
      <w:r w:rsidRPr="00C5096D">
        <w:fldChar w:fldCharType="end"/>
      </w:r>
      <w:r>
        <w:t>).</w:t>
      </w:r>
    </w:p>
    <w:p w14:paraId="1E62EAB7" w14:textId="77777777" w:rsidR="00572B49" w:rsidRPr="00C5096D" w:rsidRDefault="007314F1" w:rsidP="00C5096D">
      <w:pPr>
        <w:pStyle w:val="JuPara"/>
      </w:pPr>
      <w:fldSimple w:instr=" SEQ level0 \*arabic \* MERGEFORMAT ">
        <w:r w:rsidR="00C5096D" w:rsidRPr="00C5096D">
          <w:t>140</w:t>
        </w:r>
      </w:fldSimple>
      <w:r>
        <w:t xml:space="preserve">.  Curtea observă că operațiunea de ridicare s-a întemeiat pe art. 96-99 din C. </w:t>
      </w:r>
      <w:proofErr w:type="spellStart"/>
      <w:r>
        <w:t>proc</w:t>
      </w:r>
      <w:proofErr w:type="spellEnd"/>
      <w:r>
        <w:t xml:space="preserve">. </w:t>
      </w:r>
      <w:proofErr w:type="spellStart"/>
      <w:r>
        <w:t>pen</w:t>
      </w:r>
      <w:proofErr w:type="spellEnd"/>
      <w:r>
        <w:t>. (a se vedea supra, pct. </w:t>
      </w:r>
      <w:r w:rsidRPr="00C5096D">
        <w:fldChar w:fldCharType="begin"/>
      </w:r>
      <w:r w:rsidRPr="00C5096D">
        <w:instrText xml:space="preserve">REF paragraph00039 \h \* CharFormat </w:instrText>
      </w:r>
      <w:r w:rsidRPr="00C5096D">
        <w:fldChar w:fldCharType="separate"/>
      </w:r>
      <w:r w:rsidR="00C5096D" w:rsidRPr="00C5096D">
        <w:t>39</w:t>
      </w:r>
      <w:r w:rsidRPr="00C5096D">
        <w:fldChar w:fldCharType="end"/>
      </w:r>
      <w:r>
        <w:t xml:space="preserve"> și </w:t>
      </w:r>
      <w:r w:rsidRPr="00C5096D">
        <w:fldChar w:fldCharType="begin"/>
      </w:r>
      <w:r w:rsidRPr="00C5096D">
        <w:instrText xml:space="preserve">REF paragraph00068 \h \* CharFormat </w:instrText>
      </w:r>
      <w:r w:rsidRPr="00C5096D">
        <w:fldChar w:fldCharType="separate"/>
      </w:r>
      <w:r w:rsidR="00C5096D" w:rsidRPr="00C5096D">
        <w:t>68</w:t>
      </w:r>
      <w:r w:rsidRPr="00C5096D">
        <w:fldChar w:fldCharType="end"/>
      </w:r>
      <w:r>
        <w:t xml:space="preserve">), iar perchezițiile informatice s-au întemeiat pe art. 100 din C. </w:t>
      </w:r>
      <w:proofErr w:type="spellStart"/>
      <w:r>
        <w:t>proc</w:t>
      </w:r>
      <w:proofErr w:type="spellEnd"/>
      <w:r>
        <w:t xml:space="preserve">. </w:t>
      </w:r>
      <w:proofErr w:type="spellStart"/>
      <w:r>
        <w:t>pen</w:t>
      </w:r>
      <w:proofErr w:type="spellEnd"/>
      <w:r>
        <w:t>., precum și pe dispozițiile art. 56 din Legea nr. 161/2003 (a se vedea supra, pct. </w:t>
      </w:r>
      <w:r w:rsidRPr="00C5096D">
        <w:fldChar w:fldCharType="begin"/>
      </w:r>
      <w:r w:rsidRPr="00C5096D">
        <w:instrText xml:space="preserve">REF paragraph00043 \h \* CharFormat </w:instrText>
      </w:r>
      <w:r w:rsidRPr="00C5096D">
        <w:fldChar w:fldCharType="separate"/>
      </w:r>
      <w:r w:rsidR="00C5096D" w:rsidRPr="00C5096D">
        <w:t>43</w:t>
      </w:r>
      <w:r w:rsidRPr="00C5096D">
        <w:fldChar w:fldCharType="end"/>
      </w:r>
      <w:r>
        <w:t xml:space="preserve"> și de </w:t>
      </w:r>
      <w:r w:rsidRPr="00C5096D">
        <w:fldChar w:fldCharType="begin"/>
      </w:r>
      <w:r w:rsidRPr="00C5096D">
        <w:instrText xml:space="preserve">REF paragraph00071 \h \* CharFormat </w:instrText>
      </w:r>
      <w:r w:rsidRPr="00C5096D">
        <w:fldChar w:fldCharType="separate"/>
      </w:r>
      <w:r w:rsidR="00C5096D" w:rsidRPr="00C5096D">
        <w:t>71</w:t>
      </w:r>
      <w:r w:rsidRPr="00C5096D">
        <w:fldChar w:fldCharType="end"/>
      </w:r>
      <w:r>
        <w:t xml:space="preserve">). Este adevărat că, la momentul faptelor, C. </w:t>
      </w:r>
      <w:proofErr w:type="spellStart"/>
      <w:r>
        <w:t>proc</w:t>
      </w:r>
      <w:proofErr w:type="spellEnd"/>
      <w:r>
        <w:t xml:space="preserve">. </w:t>
      </w:r>
      <w:proofErr w:type="spellStart"/>
      <w:r>
        <w:t>pen</w:t>
      </w:r>
      <w:proofErr w:type="spellEnd"/>
      <w:r>
        <w:t>. nu conținea dispoziții specifice pentru percheziționarea și ridicarea computerelor. Totuși, acesta conținea dispoziții detaliate privind ridicarea obiectelor și înscrisurilor ce puteau servi ca mijloc de probă în procesul penal. În plus, perchezițiile informatice din prezenta cauză au fost autorizate de un judecător care a examinat dispozițiile legale aplicabile (a se vedea supra, pct. </w:t>
      </w:r>
      <w:r w:rsidRPr="00C5096D">
        <w:fldChar w:fldCharType="begin"/>
      </w:r>
      <w:r w:rsidRPr="00C5096D">
        <w:instrText xml:space="preserve">REF paragraph00043 \h \* CharFormat </w:instrText>
      </w:r>
      <w:r w:rsidRPr="00C5096D">
        <w:fldChar w:fldCharType="separate"/>
      </w:r>
      <w:r w:rsidR="00C5096D" w:rsidRPr="00C5096D">
        <w:t>43</w:t>
      </w:r>
      <w:r w:rsidRPr="00C5096D">
        <w:fldChar w:fldCharType="end"/>
      </w:r>
      <w:r>
        <w:t>).</w:t>
      </w:r>
    </w:p>
    <w:p w14:paraId="53D343AC" w14:textId="77777777" w:rsidR="00572B49" w:rsidRPr="00C5096D" w:rsidRDefault="007314F1" w:rsidP="00C5096D">
      <w:pPr>
        <w:pStyle w:val="JuPara"/>
      </w:pPr>
      <w:fldSimple w:instr=" SEQ level0 \*arabic \* MERGEFORMAT ">
        <w:r w:rsidR="00C5096D" w:rsidRPr="00C5096D">
          <w:t>141</w:t>
        </w:r>
      </w:fldSimple>
      <w:r>
        <w:t>.  Astfel cum a reținut în repetate rânduri, Curtea consideră că nu are sarcina de a se substitui instanțelor naționale și autoritățile naționale, în special instanțele de judecată, sunt cele cărora le revine în primul rând obligația de a interpreta și a aplica dreptul intern (a se vedea, printre multe alte hotărâri, </w:t>
      </w:r>
      <w:proofErr w:type="spellStart"/>
      <w:r>
        <w:rPr>
          <w:i/>
        </w:rPr>
        <w:t>Pine</w:t>
      </w:r>
      <w:proofErr w:type="spellEnd"/>
      <w:r>
        <w:rPr>
          <w:i/>
        </w:rPr>
        <w:t xml:space="preserve"> Valley </w:t>
      </w:r>
      <w:proofErr w:type="spellStart"/>
      <w:r>
        <w:rPr>
          <w:i/>
        </w:rPr>
        <w:t>Developments</w:t>
      </w:r>
      <w:proofErr w:type="spellEnd"/>
      <w:r>
        <w:rPr>
          <w:i/>
        </w:rPr>
        <w:t> Ltd și alții împotriva Irlandei</w:t>
      </w:r>
      <w:r>
        <w:t>, 29 noiembrie 1991, pct. 52, seria A nr. 222, și </w:t>
      </w:r>
      <w:r>
        <w:rPr>
          <w:i/>
        </w:rPr>
        <w:t>S.C. Antares Transport S.A. și S.C. </w:t>
      </w:r>
      <w:proofErr w:type="spellStart"/>
      <w:r>
        <w:rPr>
          <w:i/>
        </w:rPr>
        <w:t>Transroby</w:t>
      </w:r>
      <w:proofErr w:type="spellEnd"/>
      <w:r>
        <w:rPr>
          <w:i/>
        </w:rPr>
        <w:t> S.R.L.</w:t>
      </w:r>
      <w:r>
        <w:t> </w:t>
      </w:r>
      <w:r>
        <w:rPr>
          <w:i/>
        </w:rPr>
        <w:t>împotriva României</w:t>
      </w:r>
      <w:r>
        <w:t>, nr. 27227/08, pct. 42, 15 decembrie 2015). La fel și în prezenta cauză, Curtea apreciază că nu există niciun motiv pentru a pune sub semnul întrebării interpretarea dată Codului de procedură penală de către instanța națională și, prin urmare, admite că ingerința în cauză era „prevăzută de lege” în sensul celui de-al doilea paragraf al articolului 8 din Convenție.</w:t>
      </w:r>
    </w:p>
    <w:p w14:paraId="6AD80B7A"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142</w:t>
      </w:r>
      <w:r w:rsidRPr="00C5096D">
        <w:fldChar w:fldCharType="end"/>
      </w:r>
      <w:r>
        <w:t>.  În plus, Curtea observă că măsurile criticate au fost dispuse în cadrul unei anchete penale privind infracțiunile de înșelăciune și fals în înscrisuri sub semnătură privată (a se vedea supra, pct. </w:t>
      </w:r>
      <w:r w:rsidR="007314F1" w:rsidRPr="00C5096D">
        <w:fldChar w:fldCharType="begin"/>
      </w:r>
      <w:r w:rsidR="007314F1" w:rsidRPr="00C5096D">
        <w:instrText xml:space="preserve">REF paragraph00038 \h \* CharFormat </w:instrText>
      </w:r>
      <w:r w:rsidR="007314F1" w:rsidRPr="00C5096D">
        <w:fldChar w:fldCharType="separate"/>
      </w:r>
      <w:r w:rsidRPr="00C5096D">
        <w:t>38</w:t>
      </w:r>
      <w:r w:rsidR="007314F1" w:rsidRPr="00C5096D">
        <w:fldChar w:fldCharType="end"/>
      </w:r>
      <w:r>
        <w:t>). Prin urmare, acestea au urmărit un scop legitim, și anume prevenirea faptelor penale și protejarea drepturilor altora.</w:t>
      </w:r>
    </w:p>
    <w:p w14:paraId="7D3D3A08" w14:textId="77777777" w:rsidR="00572B49" w:rsidRPr="00C5096D" w:rsidRDefault="007314F1" w:rsidP="00C5096D">
      <w:pPr>
        <w:pStyle w:val="JuHalpha"/>
        <w:ind w:left="1372" w:hanging="334"/>
      </w:pPr>
      <w:r>
        <w:t>Cu privire la aspectul dacă ingerința a fost „necesară într-o societate democratică”</w:t>
      </w:r>
    </w:p>
    <w:p w14:paraId="30E848B5" w14:textId="77777777" w:rsidR="00572B49" w:rsidRPr="00C5096D" w:rsidRDefault="007314F1" w:rsidP="00C5096D">
      <w:pPr>
        <w:pStyle w:val="JuPara"/>
      </w:pPr>
      <w:fldSimple w:instr=" SEQ level0 \*arabic \* MERGEFORMAT ">
        <w:r w:rsidR="00C5096D" w:rsidRPr="00C5096D">
          <w:t>143</w:t>
        </w:r>
      </w:fldSimple>
      <w:r>
        <w:t xml:space="preserve">.  Rămâne de stabilit dacă ingerința a fost „necesară într-o societate democratică”. În cauze similare, atunci când Curtea a examinat dacă dreptul și practicile naționale ofereau garanții adecvate și eficiente împotriva abuzului și arbitrarului, aceasta a luat în considerare următoarele aspecte: dacă percheziția s-a întemeiat pe un mandat emis de un judecător și pe o suspiciune rezonabilă; circumstanțele în care a fost emis mandatul de percheziție – în special dacă erau disponibile și alte probe la momentul </w:t>
      </w:r>
      <w:r>
        <w:lastRenderedPageBreak/>
        <w:t xml:space="preserve">respectiv; dacă întinderea mandatului a fost limitată în mod rezonabil; și modul în care a fost efectuată percheziția, inclusiv prezența unor observatori independenți în timpul percheziției, pentru a garanta că nu sunt sustrase materiale protejate de secretul profesional (a se vedea </w:t>
      </w:r>
      <w:proofErr w:type="spellStart"/>
      <w:r>
        <w:rPr>
          <w:i/>
        </w:rPr>
        <w:t>Wieser</w:t>
      </w:r>
      <w:proofErr w:type="spellEnd"/>
      <w:r>
        <w:rPr>
          <w:i/>
        </w:rPr>
        <w:t xml:space="preserve"> și </w:t>
      </w:r>
      <w:proofErr w:type="spellStart"/>
      <w:r>
        <w:rPr>
          <w:i/>
        </w:rPr>
        <w:t>Bicos</w:t>
      </w:r>
      <w:proofErr w:type="spellEnd"/>
      <w:r>
        <w:rPr>
          <w:i/>
        </w:rPr>
        <w:t xml:space="preserve"> </w:t>
      </w:r>
      <w:proofErr w:type="spellStart"/>
      <w:r>
        <w:rPr>
          <w:i/>
        </w:rPr>
        <w:t>Beteiligungen</w:t>
      </w:r>
      <w:proofErr w:type="spellEnd"/>
      <w:r>
        <w:rPr>
          <w:i/>
        </w:rPr>
        <w:t xml:space="preserve"> </w:t>
      </w:r>
      <w:proofErr w:type="spellStart"/>
      <w:r>
        <w:rPr>
          <w:i/>
        </w:rPr>
        <w:t>GmbH</w:t>
      </w:r>
      <w:proofErr w:type="spellEnd"/>
      <w:r>
        <w:t xml:space="preserve">, citată anterior, pct. 57, cu trimiterile citate, și </w:t>
      </w:r>
      <w:r>
        <w:rPr>
          <w:i/>
        </w:rPr>
        <w:t>Smirnov împotriva Rusiei</w:t>
      </w:r>
      <w:r>
        <w:t>, nr. 71362/01, pct. 44, 7 iunie 2007).</w:t>
      </w:r>
    </w:p>
    <w:bookmarkStart w:id="90" w:name="paragraph00144"/>
    <w:p w14:paraId="5A3A0EB6" w14:textId="77777777" w:rsidR="00385475"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144</w:t>
      </w:r>
      <w:r w:rsidRPr="00C5096D">
        <w:fldChar w:fldCharType="end"/>
      </w:r>
      <w:bookmarkEnd w:id="90"/>
      <w:r>
        <w:t xml:space="preserve">.  În ceea ce privește garanțiile împotriva abuzului și arbitrarului prevăzute în dreptul român la momentul faptelor din prezenta cauză, Curtea constată că ridicarea celor două computere aparținând societății reclamante a avut loc în urma unei ordonanțe a procurorului, care nu a fost supusă unui control jurisdicțional în această etapă specifică a procedurii. Curtea a hotărât deja că, în lipsa unei cerințe privind autorizarea judiciară prealabilă, organele de urmărire penală dispuneau de o putere discreționară nelimitată pentru a aprecia oportunitatea efectuării percheziției și ridicării de obiecte și înscrisuri, precum și domeniul de aplicare al acestora. În cauzele </w:t>
      </w:r>
      <w:proofErr w:type="spellStart"/>
      <w:r>
        <w:rPr>
          <w:i/>
        </w:rPr>
        <w:t>Funke</w:t>
      </w:r>
      <w:proofErr w:type="spellEnd"/>
      <w:r>
        <w:rPr>
          <w:i/>
        </w:rPr>
        <w:t xml:space="preserve">, </w:t>
      </w:r>
      <w:proofErr w:type="spellStart"/>
      <w:r>
        <w:rPr>
          <w:i/>
        </w:rPr>
        <w:t>Crémieux</w:t>
      </w:r>
      <w:proofErr w:type="spellEnd"/>
      <w:r>
        <w:rPr>
          <w:i/>
        </w:rPr>
        <w:t> </w:t>
      </w:r>
      <w:r>
        <w:t>și </w:t>
      </w:r>
      <w:proofErr w:type="spellStart"/>
      <w:r>
        <w:rPr>
          <w:i/>
        </w:rPr>
        <w:t>Miailhe</w:t>
      </w:r>
      <w:proofErr w:type="spellEnd"/>
      <w:r>
        <w:rPr>
          <w:i/>
        </w:rPr>
        <w:t xml:space="preserve"> împotriva Franței, </w:t>
      </w:r>
      <w:r>
        <w:t>Curtea a constatat că, mai presus de toate, din cauza lipsei unui mandat judiciar, „restricțiile și condițiile prevăzute de lege [...] p[</w:t>
      </w:r>
      <w:proofErr w:type="spellStart"/>
      <w:r>
        <w:t>ăreau</w:t>
      </w:r>
      <w:proofErr w:type="spellEnd"/>
      <w:r>
        <w:t>] prea laxe</w:t>
      </w:r>
      <w:r>
        <w:rPr>
          <w:i/>
        </w:rPr>
        <w:t> </w:t>
      </w:r>
      <w:r>
        <w:t xml:space="preserve">și lacunare pentru ca ingerințele în exercitarea drepturilor reclamanților să fi fost strict proporționale cu scopul legitim urmărit” și a hotărât că a fost încălcat art. 8 din Convenție [a se vedea </w:t>
      </w:r>
      <w:proofErr w:type="spellStart"/>
      <w:r>
        <w:rPr>
          <w:i/>
        </w:rPr>
        <w:t>Funke</w:t>
      </w:r>
      <w:proofErr w:type="spellEnd"/>
      <w:r>
        <w:rPr>
          <w:i/>
        </w:rPr>
        <w:t xml:space="preserve"> împotriva Franței</w:t>
      </w:r>
      <w:r>
        <w:t>, 25 februarie 1993, seria A nr. 256</w:t>
      </w:r>
      <w:r>
        <w:noBreakHyphen/>
        <w:t xml:space="preserve">A, </w:t>
      </w:r>
      <w:proofErr w:type="spellStart"/>
      <w:r>
        <w:rPr>
          <w:i/>
        </w:rPr>
        <w:t>Crémieux</w:t>
      </w:r>
      <w:proofErr w:type="spellEnd"/>
      <w:r>
        <w:rPr>
          <w:i/>
        </w:rPr>
        <w:t xml:space="preserve"> împotriva Franței </w:t>
      </w:r>
      <w:r>
        <w:t xml:space="preserve">și </w:t>
      </w:r>
      <w:proofErr w:type="spellStart"/>
      <w:r>
        <w:rPr>
          <w:i/>
        </w:rPr>
        <w:t>Miailhe</w:t>
      </w:r>
      <w:proofErr w:type="spellEnd"/>
      <w:r>
        <w:rPr>
          <w:i/>
        </w:rPr>
        <w:t xml:space="preserve"> împotriva Franței (nr. 1)</w:t>
      </w:r>
      <w:r>
        <w:t>, 25 februarie 1993, seria A nr. 256</w:t>
      </w:r>
      <w:r>
        <w:noBreakHyphen/>
        <w:t>B și 256</w:t>
      </w:r>
      <w:r>
        <w:noBreakHyphen/>
        <w:t xml:space="preserve">C]. Cu toate acestea, într-o altă cauză, Curtea a considerat, de asemenea, că absența unui mandat judiciar prealabil a fost, într-o anumită măsură, compensată de disponibilitatea unui control jurisdicțional </w:t>
      </w:r>
      <w:r>
        <w:rPr>
          <w:i/>
          <w:iCs/>
        </w:rPr>
        <w:t>ex post facto</w:t>
      </w:r>
      <w:r>
        <w:t xml:space="preserve"> (a se vedea </w:t>
      </w:r>
      <w:r>
        <w:rPr>
          <w:i/>
        </w:rPr>
        <w:t>Smirnov</w:t>
      </w:r>
      <w:r>
        <w:t>, citată anterior, pct. 45).</w:t>
      </w:r>
    </w:p>
    <w:bookmarkStart w:id="91" w:name="paragraph00145"/>
    <w:p w14:paraId="0053367C" w14:textId="77777777" w:rsidR="00572B49" w:rsidRPr="00C5096D" w:rsidRDefault="007314F1" w:rsidP="00C5096D">
      <w:pPr>
        <w:pStyle w:val="JuPara"/>
      </w:pPr>
      <w:r w:rsidRPr="00C5096D">
        <w:fldChar w:fldCharType="begin"/>
      </w:r>
      <w:r w:rsidRPr="00C5096D">
        <w:instrText xml:space="preserve"> SEQ level0 \*arabic \* MERGEFORMAT </w:instrText>
      </w:r>
      <w:r w:rsidRPr="00C5096D">
        <w:fldChar w:fldCharType="separate"/>
      </w:r>
      <w:r w:rsidR="00C5096D" w:rsidRPr="00C5096D">
        <w:t>145</w:t>
      </w:r>
      <w:r w:rsidRPr="00C5096D">
        <w:fldChar w:fldCharType="end"/>
      </w:r>
      <w:bookmarkEnd w:id="91"/>
      <w:r>
        <w:t>.  În continuare, Curtea observă că, în speță, societatea reclamantă a formulat mai multe critici în ceea ce privește, printre altele, lipsa motivării, a justificării și a legalității măsurii în cauză. Aceste critici au fost formulate atât ca obiecțiuni împotriva procesului-verbal întocmit cu ocazia ridicării de obiecte (a se vedea supra, pct. </w:t>
      </w:r>
      <w:r w:rsidRPr="00C5096D">
        <w:fldChar w:fldCharType="begin"/>
      </w:r>
      <w:r w:rsidRPr="00C5096D">
        <w:instrText xml:space="preserve">REF paragraph00040 \h \* CharFormat </w:instrText>
      </w:r>
      <w:r w:rsidRPr="00C5096D">
        <w:fldChar w:fldCharType="separate"/>
      </w:r>
      <w:r w:rsidR="00C5096D" w:rsidRPr="00C5096D">
        <w:t>40</w:t>
      </w:r>
      <w:r w:rsidRPr="00C5096D">
        <w:fldChar w:fldCharType="end"/>
      </w:r>
      <w:r>
        <w:t xml:space="preserve">), cât și sub forma unei plângeri în fața procurorului ierarhic superior, în temeiul art. 275-278 din C. </w:t>
      </w:r>
      <w:proofErr w:type="spellStart"/>
      <w:r>
        <w:t>proc</w:t>
      </w:r>
      <w:proofErr w:type="spellEnd"/>
      <w:r>
        <w:t xml:space="preserve">. </w:t>
      </w:r>
      <w:proofErr w:type="spellStart"/>
      <w:r>
        <w:t>pen</w:t>
      </w:r>
      <w:proofErr w:type="spellEnd"/>
      <w:r>
        <w:t>. (a se vedea supra, pct. </w:t>
      </w:r>
      <w:r w:rsidRPr="00C5096D">
        <w:fldChar w:fldCharType="begin"/>
      </w:r>
      <w:r w:rsidRPr="00C5096D">
        <w:instrText xml:space="preserve">REF paragraph00041 \h \* CharFormat </w:instrText>
      </w:r>
      <w:r w:rsidRPr="00C5096D">
        <w:fldChar w:fldCharType="separate"/>
      </w:r>
      <w:r w:rsidR="00C5096D" w:rsidRPr="00C5096D">
        <w:t>41</w:t>
      </w:r>
      <w:r w:rsidRPr="00C5096D">
        <w:fldChar w:fldCharType="end"/>
      </w:r>
      <w:r>
        <w:t xml:space="preserve"> și </w:t>
      </w:r>
      <w:r w:rsidRPr="00C5096D">
        <w:fldChar w:fldCharType="begin"/>
      </w:r>
      <w:r w:rsidRPr="00C5096D">
        <w:instrText xml:space="preserve">REF paragraph00070 \h \* CharFormat </w:instrText>
      </w:r>
      <w:r w:rsidRPr="00C5096D">
        <w:fldChar w:fldCharType="separate"/>
      </w:r>
      <w:r w:rsidR="00C5096D" w:rsidRPr="00C5096D">
        <w:t>70</w:t>
      </w:r>
      <w:r w:rsidRPr="00C5096D">
        <w:fldChar w:fldCharType="end"/>
      </w:r>
      <w:r>
        <w:t>). Cu toate acestea, procurorul ierarhic superior a examinat doar conformitatea generală a ordonanței procurorului din 9 ianuarie 2014 cu dispozițiile legale citate în aceasta, fără să răspundă criticilor specifice formulate de societatea reclamantă (a se vedea supra, pct. </w:t>
      </w:r>
      <w:r w:rsidRPr="00C5096D">
        <w:fldChar w:fldCharType="begin"/>
      </w:r>
      <w:r w:rsidRPr="00C5096D">
        <w:instrText xml:space="preserve">REF paragraph00042 \h \* CharFormat </w:instrText>
      </w:r>
      <w:r w:rsidRPr="00C5096D">
        <w:fldChar w:fldCharType="separate"/>
      </w:r>
      <w:r w:rsidR="00C5096D" w:rsidRPr="00C5096D">
        <w:t>42</w:t>
      </w:r>
      <w:r w:rsidRPr="00C5096D">
        <w:fldChar w:fldCharType="end"/>
      </w:r>
      <w:r>
        <w:t>). În plus, din cauza faptului că ancheta penală era încă în curs de desfășurare la data ultimelor informații puse la dispoziția Curții (a se vedea supra, pct. </w:t>
      </w:r>
      <w:r w:rsidRPr="00C5096D">
        <w:fldChar w:fldCharType="begin"/>
      </w:r>
      <w:r w:rsidRPr="00C5096D">
        <w:instrText xml:space="preserve">REF paragraph00046 \h \* CharFormat </w:instrText>
      </w:r>
      <w:r w:rsidRPr="00C5096D">
        <w:fldChar w:fldCharType="separate"/>
      </w:r>
      <w:r w:rsidR="00C5096D" w:rsidRPr="00C5096D">
        <w:t>46</w:t>
      </w:r>
      <w:r w:rsidRPr="00C5096D">
        <w:fldChar w:fldCharType="end"/>
      </w:r>
      <w:r>
        <w:t xml:space="preserve">), nici societatea reclamantă nu a putut beneficia de un control jurisdicțional </w:t>
      </w:r>
      <w:r>
        <w:rPr>
          <w:i/>
        </w:rPr>
        <w:t>ex post facto.</w:t>
      </w:r>
      <w:r>
        <w:t xml:space="preserve"> Ordonanța procurorului a fost dată și pusă în executare în ianuarie 2014 (a se vedea supra, pct. </w:t>
      </w:r>
      <w:r w:rsidRPr="00C5096D">
        <w:fldChar w:fldCharType="begin"/>
      </w:r>
      <w:r w:rsidRPr="00C5096D">
        <w:instrText xml:space="preserve">REF paragraph00039 \h \* CharFormat </w:instrText>
      </w:r>
      <w:r w:rsidRPr="00C5096D">
        <w:fldChar w:fldCharType="separate"/>
      </w:r>
      <w:r w:rsidR="00C5096D" w:rsidRPr="00C5096D">
        <w:t>39</w:t>
      </w:r>
      <w:r w:rsidRPr="00C5096D">
        <w:fldChar w:fldCharType="end"/>
      </w:r>
      <w:r>
        <w:t xml:space="preserve"> și </w:t>
      </w:r>
      <w:r w:rsidRPr="00C5096D">
        <w:fldChar w:fldCharType="begin"/>
      </w:r>
      <w:r w:rsidRPr="00C5096D">
        <w:instrText xml:space="preserve">REF paragraph00040 \h \* CharFormat </w:instrText>
      </w:r>
      <w:r w:rsidRPr="00C5096D">
        <w:fldChar w:fldCharType="separate"/>
      </w:r>
      <w:r w:rsidR="00C5096D" w:rsidRPr="00C5096D">
        <w:t>40</w:t>
      </w:r>
      <w:r w:rsidRPr="00C5096D">
        <w:fldChar w:fldCharType="end"/>
      </w:r>
      <w:r>
        <w:t xml:space="preserve">), în temeiul vechiului C. </w:t>
      </w:r>
      <w:proofErr w:type="spellStart"/>
      <w:r>
        <w:t>proc</w:t>
      </w:r>
      <w:proofErr w:type="spellEnd"/>
      <w:r>
        <w:t xml:space="preserve">. </w:t>
      </w:r>
      <w:proofErr w:type="spellStart"/>
      <w:r>
        <w:t>pen</w:t>
      </w:r>
      <w:proofErr w:type="spellEnd"/>
      <w:r>
        <w:t>. În temeiul cadrului legal în vigoare la momentul faptelor, societatea reclamantă nu putea contesta în instanță măsurile în cauză (a se vedea supra, pct. </w:t>
      </w:r>
      <w:r w:rsidRPr="00C5096D">
        <w:fldChar w:fldCharType="begin"/>
      </w:r>
      <w:r w:rsidRPr="00C5096D">
        <w:instrText xml:space="preserve">REF paragraph00068 \h \* CharFormat </w:instrText>
      </w:r>
      <w:r w:rsidRPr="00C5096D">
        <w:fldChar w:fldCharType="separate"/>
      </w:r>
      <w:r w:rsidR="00C5096D" w:rsidRPr="00C5096D">
        <w:t>68</w:t>
      </w:r>
      <w:r w:rsidRPr="00C5096D">
        <w:fldChar w:fldCharType="end"/>
      </w:r>
      <w:r>
        <w:t xml:space="preserve">). Este adevărat că, în februarie 2014, au intrat în </w:t>
      </w:r>
      <w:r>
        <w:lastRenderedPageBreak/>
        <w:t>vigoare noi dispoziții de drept penal, care prevedeau posibilitatea de a contesta în instanță măsuri precum cele din prezenta cauză (a se vedea supra, pct. </w:t>
      </w:r>
      <w:r w:rsidRPr="00C5096D">
        <w:fldChar w:fldCharType="begin"/>
      </w:r>
      <w:r w:rsidRPr="00C5096D">
        <w:instrText xml:space="preserve">REF paragraph00069 \h \* CharFormat </w:instrText>
      </w:r>
      <w:r w:rsidRPr="00C5096D">
        <w:fldChar w:fldCharType="separate"/>
      </w:r>
      <w:r w:rsidR="00C5096D" w:rsidRPr="00C5096D">
        <w:t>69</w:t>
      </w:r>
      <w:r w:rsidRPr="00C5096D">
        <w:fldChar w:fldCharType="end"/>
      </w:r>
      <w:r>
        <w:t xml:space="preserve">). Cu toate acestea, noile dispoziții erau aplicabile de la data intrării lor în vigoare și au introdus, de asemenea, un termen-limită pentru formularea unor astfel de contestații (trei zile de la luarea măsurii – a se vedea, în special, art. 250 alin. (1) din noul C. </w:t>
      </w:r>
      <w:proofErr w:type="spellStart"/>
      <w:r>
        <w:t>proc</w:t>
      </w:r>
      <w:proofErr w:type="spellEnd"/>
      <w:r>
        <w:t xml:space="preserve">. </w:t>
      </w:r>
      <w:proofErr w:type="spellStart"/>
      <w:r>
        <w:t>pen</w:t>
      </w:r>
      <w:proofErr w:type="spellEnd"/>
      <w:r>
        <w:t xml:space="preserve">.). Guvernul nu a prezentat niciun exemplu de jurisprudență în care instanțele naționale au examinat, după februarie 2014, contestații împotriva unor măsuri dispuse de procurori în temeiul vechiului C. </w:t>
      </w:r>
      <w:proofErr w:type="spellStart"/>
      <w:r>
        <w:t>proc</w:t>
      </w:r>
      <w:proofErr w:type="spellEnd"/>
      <w:r>
        <w:t xml:space="preserve">. </w:t>
      </w:r>
      <w:proofErr w:type="spellStart"/>
      <w:r>
        <w:t>pen</w:t>
      </w:r>
      <w:proofErr w:type="spellEnd"/>
      <w:r>
        <w:t>., formulate de terți în cursul urmăririi penale (a se vedea supra, pct. </w:t>
      </w:r>
      <w:r w:rsidRPr="00C5096D">
        <w:fldChar w:fldCharType="begin"/>
      </w:r>
      <w:r w:rsidRPr="00C5096D">
        <w:instrText xml:space="preserve">REF paragraph00073 \h \* CharFormat </w:instrText>
      </w:r>
      <w:r w:rsidRPr="00C5096D">
        <w:fldChar w:fldCharType="separate"/>
      </w:r>
      <w:r w:rsidR="00C5096D" w:rsidRPr="00C5096D">
        <w:t>73</w:t>
      </w:r>
      <w:r w:rsidRPr="00C5096D">
        <w:fldChar w:fldCharType="end"/>
      </w:r>
      <w:r>
        <w:t xml:space="preserve">, și a se face comparația cu </w:t>
      </w:r>
      <w:r>
        <w:rPr>
          <w:i/>
        </w:rPr>
        <w:t xml:space="preserve">Credit Europe Leasing </w:t>
      </w:r>
      <w:proofErr w:type="spellStart"/>
      <w:r>
        <w:rPr>
          <w:i/>
        </w:rPr>
        <w:t>Ifn</w:t>
      </w:r>
      <w:proofErr w:type="spellEnd"/>
      <w:r>
        <w:rPr>
          <w:i/>
        </w:rPr>
        <w:t xml:space="preserve"> S.A.</w:t>
      </w:r>
      <w:r>
        <w:t xml:space="preserve"> </w:t>
      </w:r>
      <w:r>
        <w:rPr>
          <w:i/>
        </w:rPr>
        <w:t>împotriva României,</w:t>
      </w:r>
      <w:r>
        <w:t xml:space="preserve"> nr. 38072/11, pct. 83, 21 iulie 2020).</w:t>
      </w:r>
    </w:p>
    <w:p w14:paraId="135DE8C6"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146</w:t>
      </w:r>
      <w:r w:rsidRPr="00C5096D">
        <w:fldChar w:fldCharType="end"/>
      </w:r>
      <w:r>
        <w:t>.  În ceea ce privește critica societății reclamante potrivit căreia perchezițiile informatice, care au avut loc la 27 ianuarie 2014 (a se vedea supra, pct. </w:t>
      </w:r>
      <w:r w:rsidR="007314F1" w:rsidRPr="00C5096D">
        <w:fldChar w:fldCharType="begin"/>
      </w:r>
      <w:r w:rsidR="007314F1" w:rsidRPr="00C5096D">
        <w:instrText xml:space="preserve">REF paragraph00044 \h \* CharFormat </w:instrText>
      </w:r>
      <w:r w:rsidR="007314F1" w:rsidRPr="00C5096D">
        <w:fldChar w:fldCharType="separate"/>
      </w:r>
      <w:r w:rsidRPr="00C5096D">
        <w:t>44</w:t>
      </w:r>
      <w:r w:rsidR="007314F1" w:rsidRPr="00C5096D">
        <w:fldChar w:fldCharType="end"/>
      </w:r>
      <w:r>
        <w:t>), nu erau prevăzute de lege (a se vedea supra, pct. </w:t>
      </w:r>
      <w:r w:rsidR="007314F1" w:rsidRPr="00C5096D">
        <w:fldChar w:fldCharType="begin"/>
      </w:r>
      <w:r w:rsidR="007314F1" w:rsidRPr="00C5096D">
        <w:instrText xml:space="preserve">REF paragraph00129 \h \* CharFormat </w:instrText>
      </w:r>
      <w:r w:rsidR="007314F1" w:rsidRPr="00C5096D">
        <w:fldChar w:fldCharType="separate"/>
      </w:r>
      <w:r w:rsidRPr="00C5096D">
        <w:t>129</w:t>
      </w:r>
      <w:r w:rsidR="007314F1" w:rsidRPr="00C5096D">
        <w:fldChar w:fldCharType="end"/>
      </w:r>
      <w:r>
        <w:t>), Curtea observă că din dosar nu rezultă dacă a fost depusă o plângere oficială în fața procurorului în această privință. Cu toate acestea, având în vedere constatările sale anterioare cu privire la răspunsul dat de procuror la acest tip specific de plângere (a se vedea supra, pct. </w:t>
      </w:r>
      <w:r w:rsidR="007314F1" w:rsidRPr="00C5096D">
        <w:fldChar w:fldCharType="begin"/>
      </w:r>
      <w:r w:rsidR="007314F1" w:rsidRPr="00C5096D">
        <w:instrText xml:space="preserve">REF paragraph00145 \h \* CharFormat </w:instrText>
      </w:r>
      <w:r w:rsidR="007314F1" w:rsidRPr="00C5096D">
        <w:fldChar w:fldCharType="separate"/>
      </w:r>
      <w:r w:rsidRPr="00C5096D">
        <w:t>145</w:t>
      </w:r>
      <w:r w:rsidR="007314F1" w:rsidRPr="00C5096D">
        <w:fldChar w:fldCharType="end"/>
      </w:r>
      <w:r>
        <w:t>), Curtea are îndoieli cu privire la eficacitatea unei astfel de plângeri. De asemenea, în circumstanțele specifice ale acestei proceduri, în care ancheta era încă în curs la mai mulți ani după măsurile în litigiu, societatea reclamantă nu a fost în măsură să își prezinte plângerea în fața unei instanțe.</w:t>
      </w:r>
    </w:p>
    <w:p w14:paraId="14B7B07A" w14:textId="77777777" w:rsidR="00F97454"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147</w:t>
      </w:r>
      <w:r w:rsidRPr="00C5096D">
        <w:fldChar w:fldCharType="end"/>
      </w:r>
      <w:r>
        <w:t>.  În consecință, argumentele societății reclamante în legătură cu ridicarea de obiecte din 13 ianuarie 2014 și cu perchezițiile informatice efectuate ulterior nu au fost supuse unui control efectiv și nu a fost realizată nicio examinare riguroasă a proporționalității acestor măsuri.</w:t>
      </w:r>
    </w:p>
    <w:p w14:paraId="65F9F12C"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148</w:t>
      </w:r>
      <w:r w:rsidRPr="00C5096D">
        <w:fldChar w:fldCharType="end"/>
      </w:r>
      <w:r>
        <w:t>.  Având în vedere cele de mai sus, Curtea consideră că, ținând seama de circumstanțele particulare ale celui de-al doilea dosar penal – în special lipsa oricărui control judiciar semnificativ și durata anchetei penale –, garanțiile disponibile, astfel cum au fost aplicate în speță, nu au asigurat o protecție efectivă a dreptului societății reclamante la respectarea domiciliului său și a corespondenței sale. Prin urmare, ingerința în exercitarea drepturilor sale nu poate fi considerată proporțională cu scopul urmărit. Rezultă că excepția ridicată de Guvern cu privire la neepuizarea căilor de atac interne (a se vedea supra, pct. </w:t>
      </w:r>
      <w:r w:rsidR="007314F1" w:rsidRPr="00C5096D">
        <w:fldChar w:fldCharType="begin"/>
      </w:r>
      <w:r w:rsidR="007314F1" w:rsidRPr="00C5096D">
        <w:instrText xml:space="preserve">REF paragraph00126 \h \* CharFormat </w:instrText>
      </w:r>
      <w:r w:rsidR="007314F1" w:rsidRPr="00C5096D">
        <w:fldChar w:fldCharType="separate"/>
      </w:r>
      <w:r w:rsidRPr="00C5096D">
        <w:t>126</w:t>
      </w:r>
      <w:r w:rsidR="007314F1" w:rsidRPr="00C5096D">
        <w:fldChar w:fldCharType="end"/>
      </w:r>
      <w:r>
        <w:t xml:space="preserve"> și </w:t>
      </w:r>
      <w:r w:rsidR="007314F1" w:rsidRPr="00C5096D">
        <w:fldChar w:fldCharType="begin"/>
      </w:r>
      <w:r w:rsidR="007314F1" w:rsidRPr="00C5096D">
        <w:instrText xml:space="preserve">REF paragraph00135 \h \* CharFormat </w:instrText>
      </w:r>
      <w:r w:rsidR="007314F1" w:rsidRPr="00C5096D">
        <w:fldChar w:fldCharType="separate"/>
      </w:r>
      <w:r w:rsidRPr="00C5096D">
        <w:t>135</w:t>
      </w:r>
      <w:r w:rsidR="007314F1" w:rsidRPr="00C5096D">
        <w:fldChar w:fldCharType="end"/>
      </w:r>
      <w:r>
        <w:t>) trebuie respinsă.</w:t>
      </w:r>
    </w:p>
    <w:p w14:paraId="40A60181"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149</w:t>
      </w:r>
      <w:r w:rsidRPr="00C5096D">
        <w:fldChar w:fldCharType="end"/>
      </w:r>
      <w:r>
        <w:t>.  În consecință, a fost încălcat art. 8 din Convenție în ceea ce privește ridicarea de obiecte din 13 ianuarie 2014 și perchezițiile informatice care au avut loc ulterior, la 27 ianuarie 2014.</w:t>
      </w:r>
    </w:p>
    <w:p w14:paraId="3B9479B8" w14:textId="77777777" w:rsidR="00572B49" w:rsidRPr="00C5096D" w:rsidRDefault="007314F1" w:rsidP="00C5096D">
      <w:pPr>
        <w:pStyle w:val="JuHIRoman"/>
        <w:ind w:left="357" w:hanging="357"/>
      </w:pPr>
      <w:r>
        <w:rPr>
          <w:caps w:val="0"/>
        </w:rPr>
        <w:t>CU PRIVIRE LA PRETINSA ÎNCĂLCARE A ART. 1 DIN PROTOCOLUL NR. 1</w:t>
      </w:r>
    </w:p>
    <w:p w14:paraId="4A0E691A"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150</w:t>
      </w:r>
      <w:r w:rsidRPr="00C5096D">
        <w:fldChar w:fldCharType="end"/>
      </w:r>
      <w:r>
        <w:t xml:space="preserve">.  Societatea reclamantă s-a plâns, de asemenea, de faptul că refuzul autorităților de a restitui computerele, documentele și dispozitivele de stocare </w:t>
      </w:r>
      <w:r>
        <w:lastRenderedPageBreak/>
        <w:t>a datelor informatice ridicate în dosarul nr. 102/D/P/2012 și imposibilitatea de a contesta acest refuz în instanță au adus atingere dreptului său la respectarea bunurilor, cu încălcarea art. 1 din Protocolul nr. 1 la Convenție, care prevede următoarele:</w:t>
      </w:r>
    </w:p>
    <w:p w14:paraId="25E2DB72" w14:textId="77777777" w:rsidR="00572B49" w:rsidRPr="00C5096D" w:rsidRDefault="007314F1" w:rsidP="00C5096D">
      <w:pPr>
        <w:pStyle w:val="JuQuot"/>
      </w:pPr>
      <w:r>
        <w:t>„Orice persoană fizică sau juridică are dreptul la respectarea bunurilor sale. Nimeni nu poate fi lipsit de proprietatea sa decât pentru cauză de utilitate publică și în condițiile prevăzute de lege și de principiile generale ale dreptului internațional.</w:t>
      </w:r>
    </w:p>
    <w:p w14:paraId="0B096575" w14:textId="77777777" w:rsidR="00572B49" w:rsidRPr="00C5096D" w:rsidRDefault="007314F1" w:rsidP="00C5096D">
      <w:pPr>
        <w:pStyle w:val="JuQuot"/>
      </w:pPr>
      <w:r>
        <w:t>Dispozițiile precedente nu aduc atingere dreptului statelor de a adopta legile pe care le consideră necesare pentru a reglementa folosința bunurilor conform interesului general sau pentru a asigura plata impozitelor ori a altor contribuții, sau a amenzilor.”</w:t>
      </w:r>
    </w:p>
    <w:p w14:paraId="0285E019"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151</w:t>
      </w:r>
      <w:r w:rsidRPr="00C5096D">
        <w:fldChar w:fldCharType="end"/>
      </w:r>
      <w:r>
        <w:t>.  Bazându-se pe argumentele invocate în temeiul art. 8 (a se vedea supra, pct. </w:t>
      </w:r>
      <w:r w:rsidR="007314F1" w:rsidRPr="00C5096D">
        <w:fldChar w:fldCharType="begin"/>
      </w:r>
      <w:r w:rsidR="007314F1" w:rsidRPr="00C5096D">
        <w:instrText xml:space="preserve">REF paragraph00118 \h \* CharFormat </w:instrText>
      </w:r>
      <w:r w:rsidR="007314F1" w:rsidRPr="00C5096D">
        <w:fldChar w:fldCharType="separate"/>
      </w:r>
      <w:r w:rsidRPr="00C5096D">
        <w:t>118</w:t>
      </w:r>
      <w:r w:rsidR="007314F1" w:rsidRPr="00C5096D">
        <w:fldChar w:fldCharType="end"/>
      </w:r>
      <w:r>
        <w:t>-</w:t>
      </w:r>
      <w:r w:rsidR="007314F1" w:rsidRPr="00C5096D">
        <w:fldChar w:fldCharType="begin"/>
      </w:r>
      <w:r w:rsidR="007314F1" w:rsidRPr="00C5096D">
        <w:instrText xml:space="preserve">REF paragraph00119 \h \* CharFormat </w:instrText>
      </w:r>
      <w:r w:rsidR="007314F1" w:rsidRPr="00C5096D">
        <w:fldChar w:fldCharType="separate"/>
      </w:r>
      <w:r w:rsidRPr="00C5096D">
        <w:t>119</w:t>
      </w:r>
      <w:r w:rsidR="007314F1" w:rsidRPr="00C5096D">
        <w:fldChar w:fldCharType="end"/>
      </w:r>
      <w:r>
        <w:t xml:space="preserve">), Guvernul a susținut că societatea reclamantă nu a epuizat căile de atac interne disponibile. În plus, societatea reclamantă ar fi putut să solicite procurorului, în cursul anchetei, sau, începând cu luna octombrie 2013, în fața instanțelor, restituirea obiectelor și a înscrisurilor ridicate cu privire la care se considera că nu aveau legătură cu ancheta penală sau că nu mai erau necesare în scopul anchetei (a se vedea art. 109 din vechiul C. </w:t>
      </w:r>
      <w:proofErr w:type="spellStart"/>
      <w:r>
        <w:t>proc</w:t>
      </w:r>
      <w:proofErr w:type="spellEnd"/>
      <w:r>
        <w:t xml:space="preserve">. </w:t>
      </w:r>
      <w:proofErr w:type="spellStart"/>
      <w:r>
        <w:t>pen</w:t>
      </w:r>
      <w:proofErr w:type="spellEnd"/>
      <w:r>
        <w:t>., citat supra, pct. </w:t>
      </w:r>
      <w:r w:rsidR="007314F1" w:rsidRPr="00C5096D">
        <w:fldChar w:fldCharType="begin"/>
      </w:r>
      <w:r w:rsidR="007314F1" w:rsidRPr="00C5096D">
        <w:instrText xml:space="preserve">REF paragraph00068 \h \* CharFormat </w:instrText>
      </w:r>
      <w:r w:rsidR="007314F1" w:rsidRPr="00C5096D">
        <w:fldChar w:fldCharType="separate"/>
      </w:r>
      <w:r w:rsidRPr="00C5096D">
        <w:t>68</w:t>
      </w:r>
      <w:r w:rsidR="007314F1" w:rsidRPr="00C5096D">
        <w:fldChar w:fldCharType="end"/>
      </w:r>
      <w:r>
        <w:t>).</w:t>
      </w:r>
    </w:p>
    <w:p w14:paraId="64F2C119" w14:textId="77777777" w:rsidR="00385475"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152</w:t>
      </w:r>
      <w:r w:rsidRPr="00C5096D">
        <w:fldChar w:fldCharType="end"/>
      </w:r>
      <w:r>
        <w:t>.  Societatea reclamantă a contestat aceste argumente (a se vedea supra, pct. </w:t>
      </w:r>
      <w:r w:rsidR="00572B49" w:rsidRPr="00C5096D">
        <w:fldChar w:fldCharType="begin"/>
      </w:r>
      <w:r w:rsidR="00572B49" w:rsidRPr="00C5096D">
        <w:instrText xml:space="preserve">REF paragraph00120 \h \* CharFormat </w:instrText>
      </w:r>
      <w:r w:rsidR="00572B49" w:rsidRPr="00C5096D">
        <w:fldChar w:fldCharType="separate"/>
      </w:r>
      <w:r w:rsidRPr="00C5096D">
        <w:t>120</w:t>
      </w:r>
      <w:r w:rsidR="00572B49" w:rsidRPr="00C5096D">
        <w:fldChar w:fldCharType="end"/>
      </w:r>
      <w:r>
        <w:t>). În ceea ce privește posibilitatea de a solicita restituirea obiectelor ridicate, aceasta a susținut că solicitarea formulată în această privință nu a primit un răspuns pozitiv (a se vedea supra, pct. </w:t>
      </w:r>
      <w:r w:rsidR="00572B49" w:rsidRPr="00C5096D">
        <w:fldChar w:fldCharType="begin"/>
      </w:r>
      <w:r w:rsidR="00572B49" w:rsidRPr="00C5096D">
        <w:instrText xml:space="preserve">REF paragraph00031 \h \* CharFormat </w:instrText>
      </w:r>
      <w:r w:rsidR="00572B49" w:rsidRPr="00C5096D">
        <w:fldChar w:fldCharType="separate"/>
      </w:r>
      <w:r w:rsidRPr="00C5096D">
        <w:t>31</w:t>
      </w:r>
      <w:r w:rsidR="00572B49" w:rsidRPr="00C5096D">
        <w:fldChar w:fldCharType="end"/>
      </w:r>
      <w:r>
        <w:t>).</w:t>
      </w:r>
    </w:p>
    <w:p w14:paraId="4FE6C7C1"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153</w:t>
      </w:r>
      <w:r w:rsidRPr="00C5096D">
        <w:fldChar w:fldCharType="end"/>
      </w:r>
      <w:r>
        <w:t>.  Curtea constată că a hotărât deja că, în cadrul procedurii penale, societatea reclamantă a avut la dispoziție căi de atac interne efective pentru a formula capetele sale de cerere în temeiul art. 8 din Convenție (a se vedea supra, pct. </w:t>
      </w:r>
      <w:r w:rsidR="007314F1" w:rsidRPr="00C5096D">
        <w:fldChar w:fldCharType="begin"/>
      </w:r>
      <w:r w:rsidR="007314F1" w:rsidRPr="00C5096D">
        <w:instrText xml:space="preserve">REF paragraph00122 \h \* CharFormat </w:instrText>
      </w:r>
      <w:r w:rsidR="007314F1" w:rsidRPr="00C5096D">
        <w:fldChar w:fldCharType="separate"/>
      </w:r>
      <w:r w:rsidRPr="00C5096D">
        <w:t>122</w:t>
      </w:r>
      <w:r w:rsidR="007314F1" w:rsidRPr="00C5096D">
        <w:fldChar w:fldCharType="end"/>
      </w:r>
      <w:r>
        <w:t>), dar nu le-a exercitat (a se vedea supra, pct. </w:t>
      </w:r>
      <w:r w:rsidR="007314F1" w:rsidRPr="00C5096D">
        <w:fldChar w:fldCharType="begin"/>
      </w:r>
      <w:r w:rsidR="007314F1" w:rsidRPr="00C5096D">
        <w:instrText xml:space="preserve">REF paragraph00124 \h \* CharFormat </w:instrText>
      </w:r>
      <w:r w:rsidR="007314F1" w:rsidRPr="00C5096D">
        <w:fldChar w:fldCharType="separate"/>
      </w:r>
      <w:r w:rsidRPr="00C5096D">
        <w:t>124</w:t>
      </w:r>
      <w:r w:rsidR="007314F1" w:rsidRPr="00C5096D">
        <w:fldChar w:fldCharType="end"/>
      </w:r>
      <w:r>
        <w:t xml:space="preserve">). Curtea consideră că același raționament se aplică și capătului de cerere formulat în temeiul art. 1 din Protocolul nr. 1. În plus, Curtea observă că art. 109 din C. </w:t>
      </w:r>
      <w:proofErr w:type="spellStart"/>
      <w:r>
        <w:t>proc</w:t>
      </w:r>
      <w:proofErr w:type="spellEnd"/>
      <w:r>
        <w:t xml:space="preserve">. </w:t>
      </w:r>
      <w:proofErr w:type="spellStart"/>
      <w:r>
        <w:t>pen</w:t>
      </w:r>
      <w:proofErr w:type="spellEnd"/>
      <w:r>
        <w:t>. prevedea posibilitatea de a depune o cerere – în fața procurorului sau în instanță – pentru restituirea bunurilor ridicate (a se vedea supra, pct. </w:t>
      </w:r>
      <w:r w:rsidR="007314F1" w:rsidRPr="00C5096D">
        <w:fldChar w:fldCharType="begin"/>
      </w:r>
      <w:r w:rsidR="007314F1" w:rsidRPr="00C5096D">
        <w:instrText xml:space="preserve">REF paragraph00068 \h \* CharFormat </w:instrText>
      </w:r>
      <w:r w:rsidR="007314F1" w:rsidRPr="00C5096D">
        <w:fldChar w:fldCharType="separate"/>
      </w:r>
      <w:r w:rsidRPr="00C5096D">
        <w:t>68</w:t>
      </w:r>
      <w:r w:rsidR="007314F1" w:rsidRPr="00C5096D">
        <w:fldChar w:fldCharType="end"/>
      </w:r>
      <w:r>
        <w:t>). Alte părți implicate în anchetă (a se vedea supra, pct. </w:t>
      </w:r>
      <w:r w:rsidR="007314F1" w:rsidRPr="00C5096D">
        <w:fldChar w:fldCharType="begin"/>
      </w:r>
      <w:r w:rsidR="007314F1" w:rsidRPr="00C5096D">
        <w:instrText xml:space="preserve">REF paragraph00035 \h \* CharFormat </w:instrText>
      </w:r>
      <w:r w:rsidR="007314F1" w:rsidRPr="00C5096D">
        <w:fldChar w:fldCharType="separate"/>
      </w:r>
      <w:r w:rsidRPr="00C5096D">
        <w:t>35</w:t>
      </w:r>
      <w:r w:rsidR="007314F1" w:rsidRPr="00C5096D">
        <w:fldChar w:fldCharType="end"/>
      </w:r>
      <w:r>
        <w:t xml:space="preserve"> și </w:t>
      </w:r>
      <w:r w:rsidR="007314F1" w:rsidRPr="00C5096D">
        <w:fldChar w:fldCharType="begin"/>
      </w:r>
      <w:r w:rsidR="007314F1" w:rsidRPr="00C5096D">
        <w:instrText xml:space="preserve">REF paragraph00045 \h \* CharFormat </w:instrText>
      </w:r>
      <w:r w:rsidR="007314F1" w:rsidRPr="00C5096D">
        <w:fldChar w:fldCharType="separate"/>
      </w:r>
      <w:r w:rsidRPr="00C5096D">
        <w:t>45</w:t>
      </w:r>
      <w:r w:rsidR="007314F1" w:rsidRPr="00C5096D">
        <w:fldChar w:fldCharType="end"/>
      </w:r>
      <w:r>
        <w:t>), precum și societatea reclamantă (a se vedea supra, pct. </w:t>
      </w:r>
      <w:r w:rsidR="007314F1" w:rsidRPr="00C5096D">
        <w:fldChar w:fldCharType="begin"/>
      </w:r>
      <w:r w:rsidR="007314F1" w:rsidRPr="00C5096D">
        <w:instrText xml:space="preserve">REF paragraph00036 \h \* CharFormat </w:instrText>
      </w:r>
      <w:r w:rsidR="007314F1" w:rsidRPr="00C5096D">
        <w:fldChar w:fldCharType="separate"/>
      </w:r>
      <w:r w:rsidRPr="00C5096D">
        <w:t>36</w:t>
      </w:r>
      <w:r w:rsidR="007314F1" w:rsidRPr="00C5096D">
        <w:fldChar w:fldCharType="end"/>
      </w:r>
      <w:r>
        <w:t>) s-au prevalat, cu succes, de această posibilitate în cursul anchetei în ceea ce privește unele dintre bunuri. Este adevărat că solicitarea inițială a societății reclamante de restituire a bunurilor ridicate a fost respinsă. Totuși, acest lucru s-a datorat faptului că respectiva cerere fusese depusă în ziua în care au avut loc perchezițiile și ridicările de obiecte și înscrisuri, înainte ca autoritățile să fi avut posibilitatea de a efectua perchezițiile informatice (a se vedea supra, pct. </w:t>
      </w:r>
      <w:r w:rsidR="007314F1" w:rsidRPr="00C5096D">
        <w:fldChar w:fldCharType="begin"/>
      </w:r>
      <w:r w:rsidR="007314F1" w:rsidRPr="00C5096D">
        <w:instrText xml:space="preserve">REF paragraph00031 \h \* CharFormat </w:instrText>
      </w:r>
      <w:r w:rsidR="007314F1" w:rsidRPr="00C5096D">
        <w:fldChar w:fldCharType="separate"/>
      </w:r>
      <w:r w:rsidRPr="00C5096D">
        <w:t>31</w:t>
      </w:r>
      <w:r w:rsidR="007314F1" w:rsidRPr="00C5096D">
        <w:fldChar w:fldCharType="end"/>
      </w:r>
      <w:r>
        <w:t>). Dacă ar fi fost depusă din nou după finalizarea perchezițiilor, o astfel de cerere ar fi avut șanse de reușită.</w:t>
      </w:r>
    </w:p>
    <w:p w14:paraId="638A28A1"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154</w:t>
      </w:r>
      <w:r w:rsidRPr="00C5096D">
        <w:fldChar w:fldCharType="end"/>
      </w:r>
      <w:r>
        <w:t>.  Având în vedere considerațiile de mai sus, Curtea constată că, în circumstanțele prezentei cauze, societatea reclamantă nu a exercitat căile de atac efective de care dispunea în temeiul dreptului intern.</w:t>
      </w:r>
    </w:p>
    <w:p w14:paraId="46458972" w14:textId="77777777" w:rsidR="00572B49" w:rsidRPr="00C5096D" w:rsidRDefault="00C5096D" w:rsidP="00C5096D">
      <w:pPr>
        <w:pStyle w:val="JuPara"/>
      </w:pPr>
      <w:r w:rsidRPr="00C5096D">
        <w:lastRenderedPageBreak/>
        <w:fldChar w:fldCharType="begin"/>
      </w:r>
      <w:r w:rsidR="007314F1">
        <w:instrText xml:space="preserve"> SEQ level0 \*arabic \* MERGEFORMAT </w:instrText>
      </w:r>
      <w:r w:rsidRPr="00C5096D">
        <w:fldChar w:fldCharType="separate"/>
      </w:r>
      <w:r w:rsidRPr="00C5096D">
        <w:t>155</w:t>
      </w:r>
      <w:r w:rsidRPr="00C5096D">
        <w:fldChar w:fldCharType="end"/>
      </w:r>
      <w:r>
        <w:t>.  Rezultă că acest capăt de cerere trebuie respins în temeiul art. 35 § 1 și § 4 din Convenție, pentru neepuizarea căilor de atac interne.</w:t>
      </w:r>
    </w:p>
    <w:p w14:paraId="74B6B5E6" w14:textId="77777777" w:rsidR="00572B49" w:rsidRPr="00C5096D" w:rsidRDefault="007314F1" w:rsidP="00C5096D">
      <w:pPr>
        <w:pStyle w:val="JuHIRoman"/>
        <w:ind w:left="357" w:hanging="357"/>
      </w:pPr>
      <w:r>
        <w:rPr>
          <w:caps w:val="0"/>
        </w:rPr>
        <w:t>CU PRIVIRE LA PRETINSA ÎNCĂLCARE A ART. 6 § 1 DIN CONVENȚIE</w:t>
      </w:r>
    </w:p>
    <w:p w14:paraId="206D3071" w14:textId="77777777" w:rsidR="00385475" w:rsidRPr="00C5096D" w:rsidRDefault="007314F1" w:rsidP="00C5096D">
      <w:pPr>
        <w:pStyle w:val="JuPara"/>
      </w:pPr>
      <w:fldSimple w:instr=" SEQ level0 \*arabic ">
        <w:r w:rsidR="00C5096D" w:rsidRPr="00C5096D">
          <w:t>156</w:t>
        </w:r>
      </w:fldSimple>
      <w:r>
        <w:t>.  În sfârșit, societatea reclamantă s-a plâns, în temeiul art. 6 § 1 din Convenție, de caracterul inechitabil al procedurii încheiate cu pronunțarea deciziei Înaltei Curți din 11 aprilie 2013, ca urmare a respingerii cererii sale privind sesizarea Curții de Justiție a Uniunii Europene pentru pronunțarea unei hotărâri preliminare cu privire la garanțiile care trebuie asigurate în cazul inspecțiilor inopinate (a se vedea supra, pct. </w:t>
      </w:r>
      <w:r w:rsidRPr="00C5096D">
        <w:fldChar w:fldCharType="begin"/>
      </w:r>
      <w:r w:rsidRPr="00C5096D">
        <w:instrText xml:space="preserve">REF paragraph00014 \h \* CharFormat </w:instrText>
      </w:r>
      <w:r w:rsidRPr="00C5096D">
        <w:fldChar w:fldCharType="separate"/>
      </w:r>
      <w:r w:rsidR="00C5096D" w:rsidRPr="00C5096D">
        <w:t>14</w:t>
      </w:r>
      <w:r w:rsidRPr="00C5096D">
        <w:fldChar w:fldCharType="end"/>
      </w:r>
      <w:r>
        <w:t>).</w:t>
      </w:r>
    </w:p>
    <w:p w14:paraId="17E82A82"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157</w:t>
      </w:r>
      <w:r w:rsidRPr="00C5096D">
        <w:fldChar w:fldCharType="end"/>
      </w:r>
      <w:r>
        <w:t>.  </w:t>
      </w:r>
      <w:r>
        <w:rPr>
          <w:rFonts w:ascii="Times New Roman" w:hAnsi="Times New Roman"/>
          <w:color w:val="000000"/>
        </w:rPr>
        <w:t>Curtea a examinat această critică în lumina susținerilor societății reclamante. Cu toate acestea, având în vedere toate elementele de care dispune și în măsura în care este competentă să se pronunțe cu privire la aspectele invocate, Curtea constată că acestea nu indică nicio aparentă încălcare a drepturilor și a libertăților enunțate în Convenție sau în protocoalele la aceasta. Rezultă că acest capăt de cerere trebuie să fie respins ca vădit nefondat, în conformitate cu art. 35 § 3 și § 4 din Convenție.</w:t>
      </w:r>
    </w:p>
    <w:p w14:paraId="40B36D55" w14:textId="77777777" w:rsidR="00572B49" w:rsidRPr="00C5096D" w:rsidRDefault="007314F1" w:rsidP="00C5096D">
      <w:pPr>
        <w:pStyle w:val="JuHIRoman"/>
        <w:ind w:left="357" w:hanging="357"/>
      </w:pPr>
      <w:r>
        <w:t>CU PRIVIRE LA APLICAREA ART. 41 DIN CONVENȚIE</w:t>
      </w:r>
    </w:p>
    <w:p w14:paraId="3E7620E2" w14:textId="77777777" w:rsidR="00572B49" w:rsidRPr="00C5096D" w:rsidRDefault="007314F1" w:rsidP="00C5096D">
      <w:pPr>
        <w:pStyle w:val="JuPara"/>
      </w:pPr>
      <w:fldSimple w:instr=" SEQ level0 \*arabic ">
        <w:r w:rsidR="00C5096D" w:rsidRPr="00C5096D">
          <w:t>158</w:t>
        </w:r>
      </w:fldSimple>
      <w:r>
        <w:t>.  Art. 41 din Convenție prevede:</w:t>
      </w:r>
    </w:p>
    <w:p w14:paraId="54D8511F" w14:textId="77777777" w:rsidR="00572B49" w:rsidRPr="00C5096D" w:rsidRDefault="007314F1" w:rsidP="00C5096D">
      <w:pPr>
        <w:pStyle w:val="JuQuot"/>
        <w:keepNext/>
        <w:keepLines/>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09ACF5FF" w14:textId="77777777" w:rsidR="00572B49" w:rsidRPr="00C5096D" w:rsidRDefault="007314F1" w:rsidP="00C5096D">
      <w:pPr>
        <w:pStyle w:val="JuHA"/>
        <w:numPr>
          <w:ilvl w:val="2"/>
          <w:numId w:val="3"/>
        </w:numPr>
        <w:tabs>
          <w:tab w:val="num" w:pos="1492"/>
        </w:tabs>
        <w:ind w:left="1492" w:hanging="360"/>
      </w:pPr>
      <w:r>
        <w:t>Prejudiciu</w:t>
      </w:r>
    </w:p>
    <w:p w14:paraId="4B65E20C" w14:textId="77777777" w:rsidR="00572B49" w:rsidRPr="00C5096D" w:rsidRDefault="007314F1" w:rsidP="00C5096D">
      <w:pPr>
        <w:pStyle w:val="JuPara"/>
      </w:pPr>
      <w:fldSimple w:instr=" SEQ level0 \*arabic ">
        <w:r w:rsidR="00C5096D" w:rsidRPr="00C5096D">
          <w:t>159</w:t>
        </w:r>
      </w:fldSimple>
      <w:r>
        <w:t>.  Societatea reclamantă a solicitat 9 000 de euro (EUR) cu titlu de despăgubire pentru prejudiciul moral suferit ca urmare a încălcării drepturilor sale în cadrul procedurii în materie de concurență și în cadrul procedurilor penale.</w:t>
      </w:r>
    </w:p>
    <w:p w14:paraId="1E9DB8DC" w14:textId="77777777" w:rsidR="00572B49" w:rsidRPr="00C5096D" w:rsidRDefault="007314F1" w:rsidP="00C5096D">
      <w:pPr>
        <w:pStyle w:val="JuPara"/>
      </w:pPr>
      <w:fldSimple w:instr=" SEQ level0 \*arabic ">
        <w:r w:rsidR="00C5096D" w:rsidRPr="00C5096D">
          <w:t>160</w:t>
        </w:r>
      </w:fldSimple>
      <w:r>
        <w:t>.  Guvernul a considerat că pretențiile acesteia sunt excesive și nejustificate și a susținut că o constatare a unei încălcări ar constitui o reparație suficientă pentru orice prejudiciu moral suferit de societatea reclamantă.</w:t>
      </w:r>
    </w:p>
    <w:p w14:paraId="23C982E0" w14:textId="77777777" w:rsidR="00572B49" w:rsidRPr="00C5096D" w:rsidRDefault="007314F1" w:rsidP="00C5096D">
      <w:pPr>
        <w:pStyle w:val="JuPara"/>
      </w:pPr>
      <w:fldSimple w:instr=" SEQ level0 \*arabic ">
        <w:r w:rsidR="00C5096D" w:rsidRPr="00C5096D">
          <w:t>161</w:t>
        </w:r>
      </w:fldSimple>
      <w:r>
        <w:t>.  Curtea apreciază că societatea reclamantă a suferit cu siguranță un prejudiciu moral ca urmare a încălcării art. 8 din Convenție, constatată în ceea ce privește cea de-a doua procedură penală (dosarul nr. 2352/D/P/2013). Pronunțându-se în echitate, Curtea acordă societății reclamante 2 600 EUR cu titlu de despăgubire pentru prejudiciul moral, plus orice sumă ce poate fi datorată cu titlu de impozit.</w:t>
      </w:r>
    </w:p>
    <w:p w14:paraId="04AE92A3" w14:textId="77777777" w:rsidR="00572B49" w:rsidRPr="00C5096D" w:rsidRDefault="007314F1" w:rsidP="00C5096D">
      <w:pPr>
        <w:pStyle w:val="JuHA"/>
        <w:numPr>
          <w:ilvl w:val="2"/>
          <w:numId w:val="3"/>
        </w:numPr>
        <w:tabs>
          <w:tab w:val="num" w:pos="1492"/>
        </w:tabs>
        <w:ind w:left="1492" w:hanging="360"/>
      </w:pPr>
      <w:r>
        <w:lastRenderedPageBreak/>
        <w:t>Cheltuieli de judecată</w:t>
      </w:r>
    </w:p>
    <w:p w14:paraId="383C20BA" w14:textId="77777777" w:rsidR="00572B49" w:rsidRPr="00C5096D" w:rsidRDefault="007314F1" w:rsidP="00C5096D">
      <w:pPr>
        <w:pStyle w:val="JuPara"/>
      </w:pPr>
      <w:fldSimple w:instr=" SEQ level0 \*arabic ">
        <w:r w:rsidR="00C5096D" w:rsidRPr="00C5096D">
          <w:t>162</w:t>
        </w:r>
      </w:fldSimple>
      <w:r>
        <w:t>.  Societatea reclamantă a solicitat, de asemenea, 41 160 EUR pentru cheltuielile de judecată ocazionate de reprezentarea sa juridică în fața Curții. Aceasta a prezentat copii ale unor facturi și ale unor documente detaliate în care se menționează numărul de ore lucrate de avocatul său pentru pregătirea apărării în cauza sa.</w:t>
      </w:r>
    </w:p>
    <w:p w14:paraId="75C04B2C" w14:textId="77777777" w:rsidR="00572B49" w:rsidRPr="00C5096D" w:rsidRDefault="007314F1" w:rsidP="00C5096D">
      <w:pPr>
        <w:pStyle w:val="JuPara"/>
      </w:pPr>
      <w:fldSimple w:instr=" SEQ level0 \*arabic ">
        <w:r w:rsidR="00C5096D" w:rsidRPr="00C5096D">
          <w:t>163</w:t>
        </w:r>
      </w:fldSimple>
      <w:r>
        <w:t xml:space="preserve">.  Guvernul a considerat că suma solicitată este excesivă, nefondată și </w:t>
      </w:r>
      <w:commentRangeStart w:id="92"/>
      <w:commentRangeEnd w:id="92"/>
      <w:r>
        <w:t>nejustificată. Acesta a susținut că societatea reclamantă nu a prezentat contractele de reprezentare juridică pe care se bazau facturile.</w:t>
      </w:r>
    </w:p>
    <w:p w14:paraId="6D10BB63" w14:textId="77777777" w:rsidR="00572B49" w:rsidRPr="00C5096D" w:rsidRDefault="007314F1" w:rsidP="00C5096D">
      <w:pPr>
        <w:pStyle w:val="JuPara"/>
      </w:pPr>
      <w:fldSimple w:instr=" SEQ level0 \*arabic ">
        <w:r w:rsidR="00C5096D" w:rsidRPr="00C5096D">
          <w:t>164</w:t>
        </w:r>
      </w:fldSimple>
      <w:r>
        <w:t xml:space="preserve">.  Conform jurisprudenței Curții, un reclamant are dreptul la rambursarea cheltuielilor de judecată numai în măsura în care se stabilește caracterul real, necesar și rezonabil al acestora. În conformitate cu art. 60 § 2 din Regulamentul Curții, este necesar ca toate pretențiile să fie însoțite de documente justificative relevante, în absența acestora Camera putând respinge cererea în tot sau în parte [a se vedea, de exemplu, </w:t>
      </w:r>
      <w:proofErr w:type="spellStart"/>
      <w:r>
        <w:rPr>
          <w:i/>
        </w:rPr>
        <w:t>Nilsen</w:t>
      </w:r>
      <w:proofErr w:type="spellEnd"/>
      <w:r>
        <w:rPr>
          <w:i/>
        </w:rPr>
        <w:t xml:space="preserve"> și </w:t>
      </w:r>
      <w:proofErr w:type="spellStart"/>
      <w:r>
        <w:rPr>
          <w:i/>
        </w:rPr>
        <w:t>Johnsen</w:t>
      </w:r>
      <w:proofErr w:type="spellEnd"/>
      <w:r>
        <w:rPr>
          <w:i/>
        </w:rPr>
        <w:t xml:space="preserve"> împotriva Norvegiei</w:t>
      </w:r>
      <w:r>
        <w:t xml:space="preserve"> (MC), nr. 23118/93, pct. 62, CEDO 1999-VIII, și </w:t>
      </w:r>
      <w:r>
        <w:rPr>
          <w:i/>
        </w:rPr>
        <w:t>Cobzaru împotriva României</w:t>
      </w:r>
      <w:r>
        <w:t>, nr. 48254/99, pct. 110, 26 iulie 2007</w:t>
      </w:r>
      <w:bookmarkEnd w:id="58"/>
      <w:r>
        <w:t>].</w:t>
      </w:r>
    </w:p>
    <w:p w14:paraId="35F1AE17" w14:textId="77777777" w:rsidR="00572B49" w:rsidRPr="00C5096D" w:rsidRDefault="00C5096D" w:rsidP="00C5096D">
      <w:pPr>
        <w:pStyle w:val="JuPara"/>
      </w:pPr>
      <w:r w:rsidRPr="00C5096D">
        <w:fldChar w:fldCharType="begin"/>
      </w:r>
      <w:r w:rsidR="007314F1">
        <w:instrText xml:space="preserve"> SEQ level0 \*arabic \* MERGEFORMAT </w:instrText>
      </w:r>
      <w:r w:rsidRPr="00C5096D">
        <w:fldChar w:fldCharType="separate"/>
      </w:r>
      <w:r w:rsidRPr="00C5096D">
        <w:t>165</w:t>
      </w:r>
      <w:r w:rsidRPr="00C5096D">
        <w:fldChar w:fldCharType="end"/>
      </w:r>
      <w:r>
        <w:t>.  În prezenta cauză, având în vedere criteriile sus-menționate, complexitatea cauzei și documentele de care dispune, Curtea consideră că este rezonabil să acorde suma de 10 000 EUR pentru cheltuielile de judecată ocazionate de procedura în fața Curții, plus orice sumă ce poate fi datorată de societatea reclamantă cu titlu de impozit.</w:t>
      </w:r>
    </w:p>
    <w:p w14:paraId="13B07C34" w14:textId="77777777" w:rsidR="00572B49" w:rsidRPr="00C5096D" w:rsidRDefault="007314F1" w:rsidP="00C5096D">
      <w:pPr>
        <w:pStyle w:val="JuHHead"/>
      </w:pPr>
      <w:r>
        <w:t>PENTRU ACESTE MOTIVE, ÎN UNANIMITATE, CURTEA</w:t>
      </w:r>
    </w:p>
    <w:p w14:paraId="7499942E" w14:textId="77777777" w:rsidR="00572B49" w:rsidRPr="00C5096D" w:rsidRDefault="007314F1" w:rsidP="00C5096D">
      <w:pPr>
        <w:pStyle w:val="JuList"/>
        <w:numPr>
          <w:ilvl w:val="0"/>
          <w:numId w:val="6"/>
        </w:numPr>
      </w:pPr>
      <w:r>
        <w:rPr>
          <w:i/>
          <w:iCs/>
        </w:rPr>
        <w:t xml:space="preserve">unește </w:t>
      </w:r>
      <w:r>
        <w:t xml:space="preserve">cu </w:t>
      </w:r>
      <w:r>
        <w:rPr>
          <w:i/>
        </w:rPr>
        <w:t xml:space="preserve">fondul </w:t>
      </w:r>
      <w:r>
        <w:t xml:space="preserve">excepția ridicată de Guvern cu privire la neepuizarea căilor de atac interne în cadrul celei de-a doua proceduri penale și o </w:t>
      </w:r>
      <w:r>
        <w:rPr>
          <w:i/>
        </w:rPr>
        <w:t>respinge;</w:t>
      </w:r>
    </w:p>
    <w:p w14:paraId="42D698E1" w14:textId="77777777" w:rsidR="00572B49" w:rsidRPr="00C5096D" w:rsidRDefault="007314F1" w:rsidP="00C5096D">
      <w:pPr>
        <w:pStyle w:val="JuList"/>
        <w:numPr>
          <w:ilvl w:val="0"/>
          <w:numId w:val="6"/>
        </w:numPr>
      </w:pPr>
      <w:r>
        <w:rPr>
          <w:i/>
        </w:rPr>
        <w:t xml:space="preserve">declară </w:t>
      </w:r>
      <w:r>
        <w:t xml:space="preserve">cererea admisibilă în ceea ce privește capătul de cerere formulat în temeiul art. 8 din Convenție cu privire la cea de-a doua procedură penală (dosarul nr. 2352/D/P/2013) și la procedura prevăzută de Legea concurenței, cu excepția capătului de cerere cu privire la ridicarea, de către inspectorii de concurență, a unor documente care fie erau confidențiale, fie nu aveau legătură cu investigația, pe care îl </w:t>
      </w:r>
      <w:r>
        <w:rPr>
          <w:i/>
        </w:rPr>
        <w:t xml:space="preserve">declară </w:t>
      </w:r>
      <w:r>
        <w:t>inadmisibil, împreună cu celelalte capete de cerere.</w:t>
      </w:r>
    </w:p>
    <w:p w14:paraId="3DB3C66E" w14:textId="77777777" w:rsidR="00572B49" w:rsidRPr="00C5096D" w:rsidRDefault="007314F1" w:rsidP="00C5096D">
      <w:pPr>
        <w:pStyle w:val="JuList"/>
        <w:numPr>
          <w:ilvl w:val="0"/>
          <w:numId w:val="6"/>
        </w:numPr>
      </w:pPr>
      <w:r>
        <w:rPr>
          <w:i/>
        </w:rPr>
        <w:t xml:space="preserve">hotărăște </w:t>
      </w:r>
      <w:r>
        <w:t>că nu a fost încălcat art. 8 din Convenție în ceea ce privește inspecția desfășurată în contextul procedurii prevăzute de Legea concurenței;</w:t>
      </w:r>
    </w:p>
    <w:p w14:paraId="34D049DF" w14:textId="77777777" w:rsidR="00572B49" w:rsidRPr="00C5096D" w:rsidRDefault="007314F1" w:rsidP="00C5096D">
      <w:pPr>
        <w:pStyle w:val="JuList"/>
        <w:numPr>
          <w:ilvl w:val="0"/>
          <w:numId w:val="6"/>
        </w:numPr>
      </w:pPr>
      <w:r>
        <w:rPr>
          <w:i/>
          <w:iCs/>
        </w:rPr>
        <w:t>hotărăște</w:t>
      </w:r>
      <w:r>
        <w:rPr>
          <w:i/>
        </w:rPr>
        <w:t xml:space="preserve"> </w:t>
      </w:r>
      <w:r>
        <w:t xml:space="preserve">că a fost încălcat art. 8 din Convenție în ceea ce privește ridicarea de obiecte din 13 ianuarie 2014 și percheziția informatică </w:t>
      </w:r>
      <w:r>
        <w:lastRenderedPageBreak/>
        <w:t>efectuată în cadrul celei de-a doua proceduri penale (dosarul nr. 2352/D/P/2013);</w:t>
      </w:r>
    </w:p>
    <w:p w14:paraId="35AEB6AC" w14:textId="77777777" w:rsidR="00572B49" w:rsidRPr="00C5096D" w:rsidRDefault="007314F1" w:rsidP="00C5096D">
      <w:pPr>
        <w:pStyle w:val="JuList"/>
        <w:numPr>
          <w:ilvl w:val="0"/>
          <w:numId w:val="2"/>
        </w:numPr>
      </w:pPr>
      <w:r>
        <w:rPr>
          <w:i/>
        </w:rPr>
        <w:t>hotărăște</w:t>
      </w:r>
    </w:p>
    <w:p w14:paraId="0AA2A2FA" w14:textId="77777777" w:rsidR="00572B49" w:rsidRPr="00C5096D" w:rsidRDefault="007314F1" w:rsidP="00C5096D">
      <w:pPr>
        <w:pStyle w:val="JuLista"/>
        <w:numPr>
          <w:ilvl w:val="1"/>
          <w:numId w:val="2"/>
        </w:numPr>
      </w:pPr>
      <w:r>
        <w:t>că statul pârât trebuie să plătească societății reclamante, în termen de trei luni de la data rămânerii definitive a hotărârii, în conformitate cu art. 44 § 2 din Convenție, următoarele sume, care trebuie convertite în moneda statului pârât, la rata de schimb aplicabilă la data plății:</w:t>
      </w:r>
    </w:p>
    <w:p w14:paraId="1C531708" w14:textId="77777777" w:rsidR="00572B49" w:rsidRPr="00C5096D" w:rsidRDefault="007314F1" w:rsidP="00C5096D">
      <w:pPr>
        <w:pStyle w:val="JuListi"/>
        <w:numPr>
          <w:ilvl w:val="2"/>
          <w:numId w:val="2"/>
        </w:numPr>
      </w:pPr>
      <w:r>
        <w:t>2 600 EUR (două mii șase sute de euro), cu titlu de despăgubire pentru prejudiciul moral, plus orice sumă ce poate fi datorată cu titlu de impozit;</w:t>
      </w:r>
    </w:p>
    <w:p w14:paraId="3AA748F3" w14:textId="77777777" w:rsidR="00572B49" w:rsidRPr="00C5096D" w:rsidRDefault="007314F1" w:rsidP="00C5096D">
      <w:pPr>
        <w:pStyle w:val="JuListi"/>
        <w:numPr>
          <w:ilvl w:val="2"/>
          <w:numId w:val="2"/>
        </w:numPr>
      </w:pPr>
      <w:r>
        <w:t>10 000 EUR (zece mii de euro), pentru cheltuielile de judecată, plus orice sumă ce poate fi datorată de societatea reclamantă cu titlu de impozit;</w:t>
      </w:r>
    </w:p>
    <w:p w14:paraId="3EA67136" w14:textId="77777777" w:rsidR="00F97454" w:rsidRPr="00C5096D" w:rsidRDefault="007314F1" w:rsidP="00C5096D">
      <w:pPr>
        <w:pStyle w:val="JuLista"/>
        <w:numPr>
          <w:ilvl w:val="1"/>
          <w:numId w:val="2"/>
        </w:numPr>
      </w:pPr>
      <w:r>
        <w:t>că, de la expirarea termenului de trei luni menționat și până la efectuarea plății, aceste sume trebuie majorate cu o dobândă simplă, la o rată anuală egală cu rata dobânzii facilității de împrumut marginal practicată de Banca Centrală Europeană, majorată cu trei puncte procentuale;</w:t>
      </w:r>
    </w:p>
    <w:p w14:paraId="125203C7" w14:textId="77777777" w:rsidR="00F97454" w:rsidRPr="00C5096D" w:rsidRDefault="007314F1" w:rsidP="00C5096D">
      <w:r>
        <w:br w:type="page"/>
      </w:r>
    </w:p>
    <w:p w14:paraId="6F67B6FE" w14:textId="77777777" w:rsidR="004D0EC7" w:rsidRPr="00C5096D" w:rsidRDefault="007314F1" w:rsidP="00C5096D">
      <w:pPr>
        <w:pStyle w:val="JuList"/>
      </w:pPr>
      <w:r>
        <w:rPr>
          <w:i/>
        </w:rPr>
        <w:lastRenderedPageBreak/>
        <w:t>respinge</w:t>
      </w:r>
      <w:r>
        <w:t xml:space="preserve"> cererea societății reclamante de acordare a unei reparații echitabile pentru celelalte capete de cerere.</w:t>
      </w:r>
    </w:p>
    <w:p w14:paraId="78E415F9" w14:textId="77777777" w:rsidR="008E3A08" w:rsidRPr="00C5096D" w:rsidRDefault="007314F1" w:rsidP="00C5096D">
      <w:pPr>
        <w:pStyle w:val="JuParaLast"/>
      </w:pPr>
      <w:r>
        <w:t>Redactată în limba engleză și comunicată în scris la 18 martie 2025, în conformitate cu art. 77 § 2 și art. 77 § 3 din Regulamentul Curții.</w:t>
      </w:r>
    </w:p>
    <w:p w14:paraId="612BDA48" w14:textId="77777777" w:rsidR="007E79A4" w:rsidRPr="00C5096D" w:rsidRDefault="007314F1" w:rsidP="00C5096D">
      <w:pPr>
        <w:pStyle w:val="ECHRPlaceholder"/>
        <w:rPr>
          <w:szCs w:val="22"/>
        </w:rPr>
      </w:pPr>
      <w:r>
        <w:tab/>
      </w:r>
    </w:p>
    <w:p w14:paraId="6A61DA7D" w14:textId="77777777" w:rsidR="00182EBA" w:rsidRDefault="007314F1" w:rsidP="00C5096D">
      <w:pPr>
        <w:pStyle w:val="JuSigned"/>
      </w:pPr>
      <w:r>
        <w:tab/>
        <w:t>Simeon Petrovski</w:t>
      </w:r>
      <w:r>
        <w:tab/>
      </w:r>
      <w:proofErr w:type="spellStart"/>
      <w:r>
        <w:t>Lado</w:t>
      </w:r>
      <w:proofErr w:type="spellEnd"/>
      <w:r>
        <w:t xml:space="preserve"> Chanturia</w:t>
      </w:r>
      <w:r>
        <w:br/>
      </w:r>
      <w:r>
        <w:tab/>
        <w:t>Grefier adjunct</w:t>
      </w:r>
      <w:r>
        <w:tab/>
        <w:t>Președinte</w:t>
      </w:r>
    </w:p>
    <w:p w14:paraId="4707E18D" w14:textId="77777777" w:rsidR="00C5096D" w:rsidRPr="00C5096D" w:rsidRDefault="00C5096D" w:rsidP="00C5096D">
      <w:pPr>
        <w:pStyle w:val="JuPara"/>
        <w:rPr>
          <w:lang w:val="it-IT"/>
        </w:rPr>
      </w:pPr>
    </w:p>
    <w:sectPr w:rsidR="00C5096D" w:rsidRPr="00C5096D" w:rsidSect="007D3701">
      <w:headerReference w:type="even" r:id="rId13"/>
      <w:headerReference w:type="default" r:id="rId14"/>
      <w:footerReference w:type="even" r:id="rId15"/>
      <w:footerReference w:type="default" r:id="rId16"/>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50054" w14:textId="77777777" w:rsidR="004756A7" w:rsidRDefault="004756A7">
      <w:r>
        <w:separator/>
      </w:r>
    </w:p>
  </w:endnote>
  <w:endnote w:type="continuationSeparator" w:id="0">
    <w:p w14:paraId="120427B9" w14:textId="77777777" w:rsidR="004756A7" w:rsidRDefault="0047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D3BCB" w14:textId="77777777" w:rsidR="001B2902" w:rsidRPr="00150BFA" w:rsidRDefault="001B2902" w:rsidP="0020718E">
    <w:pPr>
      <w:jc w:val="center"/>
    </w:pPr>
    <w:r>
      <w:rPr>
        <w:noProof/>
        <w:lang w:eastAsia="ro-RO"/>
      </w:rPr>
      <w:drawing>
        <wp:inline distT="0" distB="0" distL="0" distR="0" wp14:anchorId="216CEEDC" wp14:editId="6B143913">
          <wp:extent cx="771525" cy="619125"/>
          <wp:effectExtent l="0" t="0" r="9525" b="9525"/>
          <wp:docPr id="11" name="Picture 11"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14:paraId="284B9903" w14:textId="77777777" w:rsidR="001B2902" w:rsidRPr="00E67565" w:rsidRDefault="001B2902"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EE22F" w14:textId="77777777" w:rsidR="001B2902" w:rsidRPr="00150BFA" w:rsidRDefault="001B2902" w:rsidP="0020718E">
    <w:pPr>
      <w:jc w:val="center"/>
    </w:pPr>
    <w:r>
      <w:rPr>
        <w:noProof/>
        <w:lang w:eastAsia="ro-RO"/>
      </w:rPr>
      <w:drawing>
        <wp:inline distT="0" distB="0" distL="0" distR="0" wp14:anchorId="08F4526A" wp14:editId="200A605C">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14:paraId="3788134B" w14:textId="77777777" w:rsidR="001B2902" w:rsidRPr="00E67565" w:rsidRDefault="001B2902"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38763" w14:textId="756DD355" w:rsidR="001B2902" w:rsidRDefault="001B2902" w:rsidP="009A115C">
    <w:pPr>
      <w:pStyle w:val="JuHeader"/>
    </w:pPr>
    <w:r>
      <w:fldChar w:fldCharType="begin"/>
    </w:r>
    <w:r>
      <w:instrText xml:space="preserve"> PAGE  \* MERGEFORMAT </w:instrText>
    </w:r>
    <w:r>
      <w:fldChar w:fldCharType="separate"/>
    </w:r>
    <w:r w:rsidR="009752C5">
      <w:rPr>
        <w:noProof/>
      </w:rPr>
      <w:t>50</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25B66" w14:textId="3B2AD4EF" w:rsidR="001B2902" w:rsidRPr="000B7195" w:rsidRDefault="001B2902" w:rsidP="007D3701">
    <w:pPr>
      <w:pStyle w:val="JuHeader"/>
    </w:pPr>
    <w:r>
      <w:fldChar w:fldCharType="begin"/>
    </w:r>
    <w:r>
      <w:instrText xml:space="preserve"> PAGE  \* MERGEFORMAT </w:instrText>
    </w:r>
    <w:r>
      <w:fldChar w:fldCharType="separate"/>
    </w:r>
    <w:r w:rsidR="009752C5">
      <w:rPr>
        <w:noProof/>
      </w:rPr>
      <w:t>49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04883" w14:textId="77777777" w:rsidR="004756A7" w:rsidRDefault="004756A7">
      <w:r>
        <w:separator/>
      </w:r>
    </w:p>
  </w:footnote>
  <w:footnote w:type="continuationSeparator" w:id="0">
    <w:p w14:paraId="31E3EB2C" w14:textId="77777777" w:rsidR="004756A7" w:rsidRDefault="00475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D9EE4" w14:textId="77777777" w:rsidR="001B2902" w:rsidRPr="00A45145" w:rsidRDefault="001B2902" w:rsidP="00A45145">
    <w:pPr>
      <w:jc w:val="center"/>
    </w:pPr>
    <w:r>
      <w:rPr>
        <w:noProof/>
        <w:lang w:eastAsia="ro-RO"/>
      </w:rPr>
      <w:drawing>
        <wp:inline distT="0" distB="0" distL="0" distR="0" wp14:anchorId="2500F82D" wp14:editId="313D8D92">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14:paraId="5AA54A12" w14:textId="77777777" w:rsidR="001B2902" w:rsidRPr="00E67565" w:rsidRDefault="001B2902"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9DCE3" w14:textId="77777777" w:rsidR="001B2902" w:rsidRDefault="001B2902" w:rsidP="004301E7">
    <w:pPr>
      <w:jc w:val="right"/>
    </w:pPr>
    <w:r>
      <w:rPr>
        <w:i/>
      </w:rPr>
      <w:t>Tradus și revizuit de IER (</w:t>
    </w:r>
    <w:hyperlink r:id="rId1" w:history="1">
      <w:r>
        <w:rPr>
          <w:rStyle w:val="Hyperlink"/>
        </w:rPr>
        <w:t>http://ier.gov.ro/</w:t>
      </w:r>
    </w:hyperlink>
    <w:r>
      <w:rPr>
        <w:i/>
      </w:rPr>
      <w:t>)</w:t>
    </w:r>
  </w:p>
  <w:p w14:paraId="62585F3D" w14:textId="7DBC8622" w:rsidR="001B2902" w:rsidRDefault="001B2902" w:rsidP="001B2902">
    <w:pPr>
      <w:rPr>
        <w:noProof/>
        <w:lang w:eastAsia="ro-RO"/>
      </w:rPr>
    </w:pPr>
  </w:p>
  <w:p w14:paraId="734A9F31" w14:textId="77777777" w:rsidR="001B2902" w:rsidRPr="00A45145" w:rsidRDefault="001B2902" w:rsidP="00A45145">
    <w:pPr>
      <w:jc w:val="center"/>
    </w:pPr>
    <w:r>
      <w:rPr>
        <w:noProof/>
        <w:lang w:eastAsia="ro-RO"/>
      </w:rPr>
      <w:drawing>
        <wp:inline distT="0" distB="0" distL="0" distR="0" wp14:anchorId="01DE6EDD" wp14:editId="4D4FC98F">
          <wp:extent cx="2962275" cy="1219200"/>
          <wp:effectExtent l="0" t="0" r="9525" b="0"/>
          <wp:docPr id="10" name="Picture 1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14:paraId="10CA1A8F" w14:textId="77777777" w:rsidR="001B2902" w:rsidRPr="00E67565" w:rsidRDefault="001B29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4F6DC" w14:textId="77777777" w:rsidR="001B2902" w:rsidRPr="00D67182" w:rsidRDefault="001B2902" w:rsidP="004D0EC7">
    <w:pPr>
      <w:pStyle w:val="JuHeader"/>
    </w:pPr>
    <w:r>
      <w:t>HOTĂRÂREA BRD – GROUPE SOCIÉTÉ GÉNÉRALE S.A.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345F9" w14:textId="77777777" w:rsidR="001B2902" w:rsidRPr="00D67182" w:rsidRDefault="001B2902" w:rsidP="007D3701">
    <w:pPr>
      <w:pStyle w:val="JuHeader"/>
    </w:pPr>
    <w:r>
      <w:t>HOTĂRÂREA BRD – GROUPE SOCIÉTÉ GÉNÉRALE S.A.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85E6A40"/>
    <w:multiLevelType w:val="multilevel"/>
    <w:tmpl w:val="C8FE6436"/>
    <w:numStyleLink w:val="ECHRA1StyleList"/>
  </w:abstractNum>
  <w:abstractNum w:abstractNumId="15"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7"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8"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9" w15:restartNumberingAfterBreak="0">
    <w:nsid w:val="67FD1241"/>
    <w:multiLevelType w:val="hybridMultilevel"/>
    <w:tmpl w:val="F6D86CC2"/>
    <w:lvl w:ilvl="0" w:tplc="7F127994">
      <w:start w:val="1"/>
      <w:numFmt w:val="bullet"/>
      <w:pStyle w:val="ListBullet"/>
      <w:lvlText w:val=""/>
      <w:lvlJc w:val="left"/>
      <w:pPr>
        <w:tabs>
          <w:tab w:val="num" w:pos="851"/>
        </w:tabs>
        <w:ind w:left="568" w:firstLine="0"/>
      </w:pPr>
      <w:rPr>
        <w:rFonts w:ascii="Wingdings" w:hAnsi="Wingdings" w:hint="default"/>
        <w:color w:val="808080"/>
        <w:sz w:val="16"/>
      </w:rPr>
    </w:lvl>
    <w:lvl w:ilvl="1" w:tplc="A9ACB520" w:tentative="1">
      <w:start w:val="1"/>
      <w:numFmt w:val="bullet"/>
      <w:lvlText w:val="o"/>
      <w:lvlJc w:val="left"/>
      <w:pPr>
        <w:tabs>
          <w:tab w:val="num" w:pos="1724"/>
        </w:tabs>
        <w:ind w:left="1724" w:hanging="360"/>
      </w:pPr>
      <w:rPr>
        <w:rFonts w:ascii="Courier New" w:hAnsi="Courier New" w:cs="Courier New" w:hint="default"/>
      </w:rPr>
    </w:lvl>
    <w:lvl w:ilvl="2" w:tplc="06EE228E" w:tentative="1">
      <w:start w:val="1"/>
      <w:numFmt w:val="bullet"/>
      <w:lvlText w:val=""/>
      <w:lvlJc w:val="left"/>
      <w:pPr>
        <w:tabs>
          <w:tab w:val="num" w:pos="2444"/>
        </w:tabs>
        <w:ind w:left="2444" w:hanging="360"/>
      </w:pPr>
      <w:rPr>
        <w:rFonts w:ascii="Wingdings" w:hAnsi="Wingdings" w:hint="default"/>
      </w:rPr>
    </w:lvl>
    <w:lvl w:ilvl="3" w:tplc="2BFE29FC" w:tentative="1">
      <w:start w:val="1"/>
      <w:numFmt w:val="bullet"/>
      <w:lvlText w:val=""/>
      <w:lvlJc w:val="left"/>
      <w:pPr>
        <w:tabs>
          <w:tab w:val="num" w:pos="3164"/>
        </w:tabs>
        <w:ind w:left="3164" w:hanging="360"/>
      </w:pPr>
      <w:rPr>
        <w:rFonts w:ascii="Symbol" w:hAnsi="Symbol" w:hint="default"/>
      </w:rPr>
    </w:lvl>
    <w:lvl w:ilvl="4" w:tplc="03648A48" w:tentative="1">
      <w:start w:val="1"/>
      <w:numFmt w:val="bullet"/>
      <w:lvlText w:val="o"/>
      <w:lvlJc w:val="left"/>
      <w:pPr>
        <w:tabs>
          <w:tab w:val="num" w:pos="3884"/>
        </w:tabs>
        <w:ind w:left="3884" w:hanging="360"/>
      </w:pPr>
      <w:rPr>
        <w:rFonts w:ascii="Courier New" w:hAnsi="Courier New" w:cs="Courier New" w:hint="default"/>
      </w:rPr>
    </w:lvl>
    <w:lvl w:ilvl="5" w:tplc="7C3EBAC4" w:tentative="1">
      <w:start w:val="1"/>
      <w:numFmt w:val="bullet"/>
      <w:lvlText w:val=""/>
      <w:lvlJc w:val="left"/>
      <w:pPr>
        <w:tabs>
          <w:tab w:val="num" w:pos="4604"/>
        </w:tabs>
        <w:ind w:left="4604" w:hanging="360"/>
      </w:pPr>
      <w:rPr>
        <w:rFonts w:ascii="Wingdings" w:hAnsi="Wingdings" w:hint="default"/>
      </w:rPr>
    </w:lvl>
    <w:lvl w:ilvl="6" w:tplc="62D01BF2" w:tentative="1">
      <w:start w:val="1"/>
      <w:numFmt w:val="bullet"/>
      <w:lvlText w:val=""/>
      <w:lvlJc w:val="left"/>
      <w:pPr>
        <w:tabs>
          <w:tab w:val="num" w:pos="5324"/>
        </w:tabs>
        <w:ind w:left="5324" w:hanging="360"/>
      </w:pPr>
      <w:rPr>
        <w:rFonts w:ascii="Symbol" w:hAnsi="Symbol" w:hint="default"/>
      </w:rPr>
    </w:lvl>
    <w:lvl w:ilvl="7" w:tplc="943896B6" w:tentative="1">
      <w:start w:val="1"/>
      <w:numFmt w:val="bullet"/>
      <w:lvlText w:val="o"/>
      <w:lvlJc w:val="left"/>
      <w:pPr>
        <w:tabs>
          <w:tab w:val="num" w:pos="6044"/>
        </w:tabs>
        <w:ind w:left="6044" w:hanging="360"/>
      </w:pPr>
      <w:rPr>
        <w:rFonts w:ascii="Courier New" w:hAnsi="Courier New" w:cs="Courier New" w:hint="default"/>
      </w:rPr>
    </w:lvl>
    <w:lvl w:ilvl="8" w:tplc="2D54367C"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8"/>
  </w:num>
  <w:num w:numId="2">
    <w:abstractNumId w:val="9"/>
    <w:lvlOverride w:ilvl="0">
      <w:lvl w:ilvl="0">
        <w:start w:val="1"/>
        <w:numFmt w:val="decimal"/>
        <w:pStyle w:val="JuList"/>
        <w:lvlText w:val="%1."/>
        <w:lvlJc w:val="left"/>
        <w:pPr>
          <w:tabs>
            <w:tab w:val="num" w:pos="340"/>
          </w:tabs>
          <w:ind w:left="340" w:hanging="340"/>
        </w:pPr>
      </w:lvl>
    </w:lvlOverride>
  </w:num>
  <w:num w:numId="3">
    <w:abstractNumId w:val="2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9"/>
    <w:lvlOverride w:ilvl="0">
      <w:startOverride w:val="1"/>
      <w:lvl w:ilvl="0">
        <w:start w:val="1"/>
        <w:numFmt w:val="decimal"/>
        <w:pStyle w:val="JuList"/>
        <w:lvlText w:val="%1."/>
        <w:lvlJc w:val="left"/>
        <w:pPr>
          <w:tabs>
            <w:tab w:val="num" w:pos="340"/>
          </w:tabs>
          <w:ind w:left="340" w:hanging="340"/>
        </w:pPr>
        <w:rPr>
          <w:rFonts w:hint="default"/>
        </w:rPr>
      </w:lvl>
    </w:lvlOverride>
    <w:lvlOverride w:ilvl="1">
      <w:startOverride w:val="1"/>
      <w:lvl w:ilvl="1">
        <w:start w:val="1"/>
        <w:numFmt w:val="decimal"/>
        <w:pStyle w:val="JuLista"/>
        <w:lvlText w:val=""/>
        <w:lvlJc w:val="left"/>
      </w:lvl>
    </w:lvlOverride>
    <w:lvlOverride w:ilvl="2">
      <w:startOverride w:val="1"/>
      <w:lvl w:ilvl="2">
        <w:start w:val="1"/>
        <w:numFmt w:val="decimal"/>
        <w:pStyle w:val="JuListi"/>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7">
    <w:abstractNumId w:val="15"/>
  </w:num>
  <w:num w:numId="8">
    <w:abstractNumId w:val="12"/>
  </w:num>
  <w:num w:numId="9">
    <w:abstractNumId w:val="11"/>
  </w:num>
  <w:num w:numId="10">
    <w:abstractNumId w:val="1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6"/>
  </w:num>
  <w:num w:numId="21">
    <w:abstractNumId w:val="13"/>
  </w:num>
  <w:num w:numId="22">
    <w:abstractNumId w:val="17"/>
  </w:num>
  <w:num w:numId="23">
    <w:abstractNumId w:val="16"/>
  </w:num>
  <w:num w:numId="24">
    <w:abstractNumId w:val="17"/>
  </w:num>
  <w:num w:numId="25">
    <w:abstractNumId w:val="10"/>
  </w:num>
  <w:num w:numId="2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572B49"/>
    <w:rsid w:val="000041F8"/>
    <w:rsid w:val="000042A8"/>
    <w:rsid w:val="00004308"/>
    <w:rsid w:val="00005BF0"/>
    <w:rsid w:val="0000617D"/>
    <w:rsid w:val="00007154"/>
    <w:rsid w:val="000103AE"/>
    <w:rsid w:val="00011D69"/>
    <w:rsid w:val="00012AD3"/>
    <w:rsid w:val="00015C2D"/>
    <w:rsid w:val="00015F00"/>
    <w:rsid w:val="0001768D"/>
    <w:rsid w:val="000217A9"/>
    <w:rsid w:val="00022C1D"/>
    <w:rsid w:val="0002592F"/>
    <w:rsid w:val="00031428"/>
    <w:rsid w:val="00034987"/>
    <w:rsid w:val="00041560"/>
    <w:rsid w:val="00054F9C"/>
    <w:rsid w:val="000602DF"/>
    <w:rsid w:val="00061B05"/>
    <w:rsid w:val="000632D5"/>
    <w:rsid w:val="000644EE"/>
    <w:rsid w:val="0006465C"/>
    <w:rsid w:val="000712E3"/>
    <w:rsid w:val="0007780A"/>
    <w:rsid w:val="00085457"/>
    <w:rsid w:val="000913FD"/>
    <w:rsid w:val="000925AD"/>
    <w:rsid w:val="00096FE1"/>
    <w:rsid w:val="00097A62"/>
    <w:rsid w:val="000A24EB"/>
    <w:rsid w:val="000B686A"/>
    <w:rsid w:val="000B6923"/>
    <w:rsid w:val="000B7195"/>
    <w:rsid w:val="000C4F67"/>
    <w:rsid w:val="000C5F3C"/>
    <w:rsid w:val="000C6DCC"/>
    <w:rsid w:val="000D47AA"/>
    <w:rsid w:val="000D721F"/>
    <w:rsid w:val="000E069B"/>
    <w:rsid w:val="000E0E82"/>
    <w:rsid w:val="000E1DC5"/>
    <w:rsid w:val="000E223F"/>
    <w:rsid w:val="000E46B8"/>
    <w:rsid w:val="000E7D45"/>
    <w:rsid w:val="000F52AC"/>
    <w:rsid w:val="000F52F4"/>
    <w:rsid w:val="000F7851"/>
    <w:rsid w:val="00101505"/>
    <w:rsid w:val="00104E23"/>
    <w:rsid w:val="00110DA8"/>
    <w:rsid w:val="00111B0C"/>
    <w:rsid w:val="00120D6C"/>
    <w:rsid w:val="001257EC"/>
    <w:rsid w:val="001323E4"/>
    <w:rsid w:val="00133D33"/>
    <w:rsid w:val="00134B6A"/>
    <w:rsid w:val="00134D64"/>
    <w:rsid w:val="00135A30"/>
    <w:rsid w:val="0013612C"/>
    <w:rsid w:val="00137FF6"/>
    <w:rsid w:val="00141650"/>
    <w:rsid w:val="00150BFA"/>
    <w:rsid w:val="001561B6"/>
    <w:rsid w:val="00162A12"/>
    <w:rsid w:val="00166530"/>
    <w:rsid w:val="00170027"/>
    <w:rsid w:val="001814D0"/>
    <w:rsid w:val="00182EBA"/>
    <w:rsid w:val="001832BD"/>
    <w:rsid w:val="00183B4E"/>
    <w:rsid w:val="001943B5"/>
    <w:rsid w:val="00195134"/>
    <w:rsid w:val="001A020C"/>
    <w:rsid w:val="001A145B"/>
    <w:rsid w:val="001A3E09"/>
    <w:rsid w:val="001A674C"/>
    <w:rsid w:val="001B2902"/>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0718E"/>
    <w:rsid w:val="00210338"/>
    <w:rsid w:val="002115FC"/>
    <w:rsid w:val="0021423C"/>
    <w:rsid w:val="00216D5D"/>
    <w:rsid w:val="00226C89"/>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B5B43"/>
    <w:rsid w:val="002C0E27"/>
    <w:rsid w:val="002C3040"/>
    <w:rsid w:val="002C4433"/>
    <w:rsid w:val="002C44DA"/>
    <w:rsid w:val="002C5ADD"/>
    <w:rsid w:val="002C7826"/>
    <w:rsid w:val="002D022D"/>
    <w:rsid w:val="002D24BB"/>
    <w:rsid w:val="002D2FA7"/>
    <w:rsid w:val="002D37DB"/>
    <w:rsid w:val="002D47BA"/>
    <w:rsid w:val="002D77B9"/>
    <w:rsid w:val="002E46DA"/>
    <w:rsid w:val="002E7764"/>
    <w:rsid w:val="002F2AF7"/>
    <w:rsid w:val="002F69C4"/>
    <w:rsid w:val="002F7D9E"/>
    <w:rsid w:val="002F7E1C"/>
    <w:rsid w:val="00301A75"/>
    <w:rsid w:val="00302F70"/>
    <w:rsid w:val="0030336F"/>
    <w:rsid w:val="0030375E"/>
    <w:rsid w:val="00303B43"/>
    <w:rsid w:val="00310196"/>
    <w:rsid w:val="00312A30"/>
    <w:rsid w:val="003201D8"/>
    <w:rsid w:val="00320F72"/>
    <w:rsid w:val="0032463E"/>
    <w:rsid w:val="00326224"/>
    <w:rsid w:val="00337EE4"/>
    <w:rsid w:val="00340FFD"/>
    <w:rsid w:val="00345C41"/>
    <w:rsid w:val="003506B1"/>
    <w:rsid w:val="00355877"/>
    <w:rsid w:val="00356AC7"/>
    <w:rsid w:val="003609FA"/>
    <w:rsid w:val="003710C8"/>
    <w:rsid w:val="003750BE"/>
    <w:rsid w:val="00385475"/>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E7BCC"/>
    <w:rsid w:val="003F05FA"/>
    <w:rsid w:val="003F244A"/>
    <w:rsid w:val="003F2517"/>
    <w:rsid w:val="003F30B8"/>
    <w:rsid w:val="003F4C45"/>
    <w:rsid w:val="003F5F7B"/>
    <w:rsid w:val="003F7D64"/>
    <w:rsid w:val="0040433A"/>
    <w:rsid w:val="00414300"/>
    <w:rsid w:val="00414F27"/>
    <w:rsid w:val="00420703"/>
    <w:rsid w:val="00425C67"/>
    <w:rsid w:val="00427E7A"/>
    <w:rsid w:val="004301E7"/>
    <w:rsid w:val="004355AC"/>
    <w:rsid w:val="00436C49"/>
    <w:rsid w:val="00443D98"/>
    <w:rsid w:val="00445366"/>
    <w:rsid w:val="00447F5B"/>
    <w:rsid w:val="00461DB0"/>
    <w:rsid w:val="00463926"/>
    <w:rsid w:val="00464AB7"/>
    <w:rsid w:val="00464C9A"/>
    <w:rsid w:val="00474F3D"/>
    <w:rsid w:val="004756A7"/>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5F69"/>
    <w:rsid w:val="00511C07"/>
    <w:rsid w:val="005125CB"/>
    <w:rsid w:val="00512EC4"/>
    <w:rsid w:val="0051725A"/>
    <w:rsid w:val="005173A6"/>
    <w:rsid w:val="00517BB8"/>
    <w:rsid w:val="00520354"/>
    <w:rsid w:val="00520BAA"/>
    <w:rsid w:val="005217D8"/>
    <w:rsid w:val="00525208"/>
    <w:rsid w:val="005257A5"/>
    <w:rsid w:val="005264C0"/>
    <w:rsid w:val="00526A8A"/>
    <w:rsid w:val="00527FB1"/>
    <w:rsid w:val="00530FE6"/>
    <w:rsid w:val="00531DF2"/>
    <w:rsid w:val="0053315C"/>
    <w:rsid w:val="00537476"/>
    <w:rsid w:val="0054322F"/>
    <w:rsid w:val="005442EE"/>
    <w:rsid w:val="00545DA6"/>
    <w:rsid w:val="0054716E"/>
    <w:rsid w:val="00547353"/>
    <w:rsid w:val="005474E7"/>
    <w:rsid w:val="005512A3"/>
    <w:rsid w:val="005578CE"/>
    <w:rsid w:val="005615AB"/>
    <w:rsid w:val="00562781"/>
    <w:rsid w:val="00562B6C"/>
    <w:rsid w:val="0057271C"/>
    <w:rsid w:val="00572845"/>
    <w:rsid w:val="00572B49"/>
    <w:rsid w:val="005879A2"/>
    <w:rsid w:val="00592772"/>
    <w:rsid w:val="0059574A"/>
    <w:rsid w:val="005A1B9B"/>
    <w:rsid w:val="005A2221"/>
    <w:rsid w:val="005A2E79"/>
    <w:rsid w:val="005A6751"/>
    <w:rsid w:val="005B092E"/>
    <w:rsid w:val="005B152C"/>
    <w:rsid w:val="005B1EE0"/>
    <w:rsid w:val="005B2B24"/>
    <w:rsid w:val="005B4425"/>
    <w:rsid w:val="005B4B94"/>
    <w:rsid w:val="005C2C62"/>
    <w:rsid w:val="005C3EE8"/>
    <w:rsid w:val="005D2F2A"/>
    <w:rsid w:val="005D34F9"/>
    <w:rsid w:val="005D4190"/>
    <w:rsid w:val="005D67A3"/>
    <w:rsid w:val="005E2988"/>
    <w:rsid w:val="005E3085"/>
    <w:rsid w:val="005F0EB3"/>
    <w:rsid w:val="005F51E1"/>
    <w:rsid w:val="00600698"/>
    <w:rsid w:val="00611C80"/>
    <w:rsid w:val="00611D8A"/>
    <w:rsid w:val="00615802"/>
    <w:rsid w:val="00620692"/>
    <w:rsid w:val="00623885"/>
    <w:rsid w:val="006242CA"/>
    <w:rsid w:val="00627507"/>
    <w:rsid w:val="00633717"/>
    <w:rsid w:val="006344E1"/>
    <w:rsid w:val="00643524"/>
    <w:rsid w:val="0064393B"/>
    <w:rsid w:val="006445D1"/>
    <w:rsid w:val="00645CF2"/>
    <w:rsid w:val="00653BED"/>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4E97"/>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4F1"/>
    <w:rsid w:val="00731F0F"/>
    <w:rsid w:val="00733250"/>
    <w:rsid w:val="00741404"/>
    <w:rsid w:val="007449E5"/>
    <w:rsid w:val="0074750E"/>
    <w:rsid w:val="00747FF0"/>
    <w:rsid w:val="00751066"/>
    <w:rsid w:val="0075566E"/>
    <w:rsid w:val="00757900"/>
    <w:rsid w:val="00763602"/>
    <w:rsid w:val="00764D4E"/>
    <w:rsid w:val="00765A1F"/>
    <w:rsid w:val="00775B6D"/>
    <w:rsid w:val="00776D68"/>
    <w:rsid w:val="00777E82"/>
    <w:rsid w:val="00781140"/>
    <w:rsid w:val="0078323E"/>
    <w:rsid w:val="007849C2"/>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C72AF"/>
    <w:rsid w:val="007D1ECD"/>
    <w:rsid w:val="007D3701"/>
    <w:rsid w:val="007D4832"/>
    <w:rsid w:val="007E21B2"/>
    <w:rsid w:val="007E2C4E"/>
    <w:rsid w:val="007E2C8C"/>
    <w:rsid w:val="007E51BA"/>
    <w:rsid w:val="007E73D7"/>
    <w:rsid w:val="007E79A4"/>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3CF4"/>
    <w:rsid w:val="00845723"/>
    <w:rsid w:val="008519E7"/>
    <w:rsid w:val="00851EF9"/>
    <w:rsid w:val="008577FD"/>
    <w:rsid w:val="00860B03"/>
    <w:rsid w:val="0086497A"/>
    <w:rsid w:val="0086538E"/>
    <w:rsid w:val="00867066"/>
    <w:rsid w:val="00870F02"/>
    <w:rsid w:val="008713A1"/>
    <w:rsid w:val="00872584"/>
    <w:rsid w:val="008754AB"/>
    <w:rsid w:val="0088060C"/>
    <w:rsid w:val="00882CD5"/>
    <w:rsid w:val="00883151"/>
    <w:rsid w:val="00893576"/>
    <w:rsid w:val="00893E73"/>
    <w:rsid w:val="008A32AE"/>
    <w:rsid w:val="008B02DC"/>
    <w:rsid w:val="008B092C"/>
    <w:rsid w:val="008B24DC"/>
    <w:rsid w:val="008B57CE"/>
    <w:rsid w:val="008C26DE"/>
    <w:rsid w:val="008D1668"/>
    <w:rsid w:val="008D2225"/>
    <w:rsid w:val="008D4752"/>
    <w:rsid w:val="008D5A13"/>
    <w:rsid w:val="008E271C"/>
    <w:rsid w:val="008E3A08"/>
    <w:rsid w:val="008E418E"/>
    <w:rsid w:val="008E5BC6"/>
    <w:rsid w:val="008E6217"/>
    <w:rsid w:val="008E6A25"/>
    <w:rsid w:val="008F2465"/>
    <w:rsid w:val="008F2554"/>
    <w:rsid w:val="008F3AEC"/>
    <w:rsid w:val="008F4D80"/>
    <w:rsid w:val="008F5193"/>
    <w:rsid w:val="008F67A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31C"/>
    <w:rsid w:val="00941747"/>
    <w:rsid w:val="00941EFB"/>
    <w:rsid w:val="00947AFB"/>
    <w:rsid w:val="00951AA3"/>
    <w:rsid w:val="00951D7D"/>
    <w:rsid w:val="00956D0C"/>
    <w:rsid w:val="009630C7"/>
    <w:rsid w:val="00972B55"/>
    <w:rsid w:val="009743B7"/>
    <w:rsid w:val="009752C5"/>
    <w:rsid w:val="0098228B"/>
    <w:rsid w:val="009828DA"/>
    <w:rsid w:val="0098410D"/>
    <w:rsid w:val="00985BAB"/>
    <w:rsid w:val="00986B3C"/>
    <w:rsid w:val="00987B4F"/>
    <w:rsid w:val="0099000C"/>
    <w:rsid w:val="009921F5"/>
    <w:rsid w:val="009A115C"/>
    <w:rsid w:val="009A7FC1"/>
    <w:rsid w:val="009B1606"/>
    <w:rsid w:val="009B1B5F"/>
    <w:rsid w:val="009B6673"/>
    <w:rsid w:val="009C191B"/>
    <w:rsid w:val="009C2BD6"/>
    <w:rsid w:val="009D135B"/>
    <w:rsid w:val="009D539C"/>
    <w:rsid w:val="009D57AA"/>
    <w:rsid w:val="009E1F32"/>
    <w:rsid w:val="009E2CC2"/>
    <w:rsid w:val="009E47A2"/>
    <w:rsid w:val="009E776C"/>
    <w:rsid w:val="009E7A6F"/>
    <w:rsid w:val="009F077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45145"/>
    <w:rsid w:val="00A51D0F"/>
    <w:rsid w:val="00A54192"/>
    <w:rsid w:val="00A57147"/>
    <w:rsid w:val="00A6035E"/>
    <w:rsid w:val="00A6144C"/>
    <w:rsid w:val="00A66564"/>
    <w:rsid w:val="00A66617"/>
    <w:rsid w:val="00A671F8"/>
    <w:rsid w:val="00A673A4"/>
    <w:rsid w:val="00A724AE"/>
    <w:rsid w:val="00A73329"/>
    <w:rsid w:val="00A82359"/>
    <w:rsid w:val="00A84D78"/>
    <w:rsid w:val="00A86531"/>
    <w:rsid w:val="00A865D2"/>
    <w:rsid w:val="00A87C10"/>
    <w:rsid w:val="00A90BCD"/>
    <w:rsid w:val="00A92625"/>
    <w:rsid w:val="00A94C20"/>
    <w:rsid w:val="00A95D81"/>
    <w:rsid w:val="00AA1B09"/>
    <w:rsid w:val="00AA227F"/>
    <w:rsid w:val="00AA3BC7"/>
    <w:rsid w:val="00AA754A"/>
    <w:rsid w:val="00AB099E"/>
    <w:rsid w:val="00AB4328"/>
    <w:rsid w:val="00AB52B2"/>
    <w:rsid w:val="00AB5ABA"/>
    <w:rsid w:val="00AC38DE"/>
    <w:rsid w:val="00AC4CD4"/>
    <w:rsid w:val="00AE0A2E"/>
    <w:rsid w:val="00AE354C"/>
    <w:rsid w:val="00AF12C5"/>
    <w:rsid w:val="00AF4B07"/>
    <w:rsid w:val="00AF6186"/>
    <w:rsid w:val="00AF77A3"/>
    <w:rsid w:val="00AF7A3A"/>
    <w:rsid w:val="00B02587"/>
    <w:rsid w:val="00B049D1"/>
    <w:rsid w:val="00B14793"/>
    <w:rsid w:val="00B153A0"/>
    <w:rsid w:val="00B160DB"/>
    <w:rsid w:val="00B20836"/>
    <w:rsid w:val="00B235BB"/>
    <w:rsid w:val="00B27A44"/>
    <w:rsid w:val="00B30BBF"/>
    <w:rsid w:val="00B33C03"/>
    <w:rsid w:val="00B4421F"/>
    <w:rsid w:val="00B44E56"/>
    <w:rsid w:val="00B45917"/>
    <w:rsid w:val="00B46543"/>
    <w:rsid w:val="00B47D33"/>
    <w:rsid w:val="00B52BE0"/>
    <w:rsid w:val="00B54133"/>
    <w:rsid w:val="00B54CB4"/>
    <w:rsid w:val="00B55A8D"/>
    <w:rsid w:val="00B647E6"/>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56A7"/>
    <w:rsid w:val="00BC6BBF"/>
    <w:rsid w:val="00BD1572"/>
    <w:rsid w:val="00BD6D3E"/>
    <w:rsid w:val="00BE14E3"/>
    <w:rsid w:val="00BE3774"/>
    <w:rsid w:val="00BE41E5"/>
    <w:rsid w:val="00BE4CE2"/>
    <w:rsid w:val="00BE53BD"/>
    <w:rsid w:val="00BF118F"/>
    <w:rsid w:val="00BF401C"/>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6D"/>
    <w:rsid w:val="00C509A6"/>
    <w:rsid w:val="00C53F4A"/>
    <w:rsid w:val="00C54125"/>
    <w:rsid w:val="00C55B54"/>
    <w:rsid w:val="00C6098E"/>
    <w:rsid w:val="00C6152C"/>
    <w:rsid w:val="00C71424"/>
    <w:rsid w:val="00C74810"/>
    <w:rsid w:val="00C820FB"/>
    <w:rsid w:val="00C86599"/>
    <w:rsid w:val="00C90D68"/>
    <w:rsid w:val="00C939FE"/>
    <w:rsid w:val="00CA4BDA"/>
    <w:rsid w:val="00CB0526"/>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2E6C"/>
    <w:rsid w:val="00D6435F"/>
    <w:rsid w:val="00D66471"/>
    <w:rsid w:val="00D669D4"/>
    <w:rsid w:val="00D67182"/>
    <w:rsid w:val="00D70641"/>
    <w:rsid w:val="00D74888"/>
    <w:rsid w:val="00D7488B"/>
    <w:rsid w:val="00D75E28"/>
    <w:rsid w:val="00D772C2"/>
    <w:rsid w:val="00D8008E"/>
    <w:rsid w:val="00D82C45"/>
    <w:rsid w:val="00D908A8"/>
    <w:rsid w:val="00D91876"/>
    <w:rsid w:val="00D977B6"/>
    <w:rsid w:val="00DA1223"/>
    <w:rsid w:val="00DA4A31"/>
    <w:rsid w:val="00DA7B04"/>
    <w:rsid w:val="00DB36C2"/>
    <w:rsid w:val="00DC00A8"/>
    <w:rsid w:val="00DC169B"/>
    <w:rsid w:val="00DC2AB9"/>
    <w:rsid w:val="00DC63F0"/>
    <w:rsid w:val="00DD37EA"/>
    <w:rsid w:val="00DD6EE5"/>
    <w:rsid w:val="00DE386C"/>
    <w:rsid w:val="00DE4D35"/>
    <w:rsid w:val="00DF098B"/>
    <w:rsid w:val="00DF11C4"/>
    <w:rsid w:val="00DF210C"/>
    <w:rsid w:val="00DF4B6A"/>
    <w:rsid w:val="00E004C0"/>
    <w:rsid w:val="00E02C09"/>
    <w:rsid w:val="00E03F19"/>
    <w:rsid w:val="00E04D59"/>
    <w:rsid w:val="00E07DA1"/>
    <w:rsid w:val="00E123CB"/>
    <w:rsid w:val="00E13B09"/>
    <w:rsid w:val="00E20E13"/>
    <w:rsid w:val="00E21DBC"/>
    <w:rsid w:val="00E275D7"/>
    <w:rsid w:val="00E27DBE"/>
    <w:rsid w:val="00E31380"/>
    <w:rsid w:val="00E32AB1"/>
    <w:rsid w:val="00E36C71"/>
    <w:rsid w:val="00E40404"/>
    <w:rsid w:val="00E4126A"/>
    <w:rsid w:val="00E42A06"/>
    <w:rsid w:val="00E459C6"/>
    <w:rsid w:val="00E47589"/>
    <w:rsid w:val="00E557AA"/>
    <w:rsid w:val="00E63EC7"/>
    <w:rsid w:val="00E64915"/>
    <w:rsid w:val="00E64D3A"/>
    <w:rsid w:val="00E661D4"/>
    <w:rsid w:val="00E67565"/>
    <w:rsid w:val="00E70091"/>
    <w:rsid w:val="00E70D2E"/>
    <w:rsid w:val="00E720F5"/>
    <w:rsid w:val="00E744E0"/>
    <w:rsid w:val="00E76D47"/>
    <w:rsid w:val="00E827BC"/>
    <w:rsid w:val="00E838A6"/>
    <w:rsid w:val="00E849F7"/>
    <w:rsid w:val="00E90302"/>
    <w:rsid w:val="00E91D05"/>
    <w:rsid w:val="00E9262D"/>
    <w:rsid w:val="00E94245"/>
    <w:rsid w:val="00E95C1E"/>
    <w:rsid w:val="00E9682C"/>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10FF"/>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30C2"/>
    <w:rsid w:val="00F56A6F"/>
    <w:rsid w:val="00F5709C"/>
    <w:rsid w:val="00F60B85"/>
    <w:rsid w:val="00F64EF1"/>
    <w:rsid w:val="00F72498"/>
    <w:rsid w:val="00F72B14"/>
    <w:rsid w:val="00F7349B"/>
    <w:rsid w:val="00F8765F"/>
    <w:rsid w:val="00F90767"/>
    <w:rsid w:val="00F90BF6"/>
    <w:rsid w:val="00F9263C"/>
    <w:rsid w:val="00F97454"/>
    <w:rsid w:val="00FA1637"/>
    <w:rsid w:val="00FA685B"/>
    <w:rsid w:val="00FB0C01"/>
    <w:rsid w:val="00FB5934"/>
    <w:rsid w:val="00FB6AC9"/>
    <w:rsid w:val="00FC18F2"/>
    <w:rsid w:val="00FC2A17"/>
    <w:rsid w:val="00FC38CF"/>
    <w:rsid w:val="00FC39E5"/>
    <w:rsid w:val="00FC3A78"/>
    <w:rsid w:val="00FD1005"/>
    <w:rsid w:val="00FD1AF4"/>
    <w:rsid w:val="00FD1F7F"/>
    <w:rsid w:val="00FD6C75"/>
    <w:rsid w:val="00FD7972"/>
    <w:rsid w:val="00FE0401"/>
    <w:rsid w:val="00FE71B3"/>
    <w:rsid w:val="00FF42C5"/>
    <w:rsid w:val="00FF79BF"/>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3B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183B4E"/>
    <w:rPr>
      <w:sz w:val="24"/>
      <w:szCs w:val="24"/>
    </w:rPr>
  </w:style>
  <w:style w:type="paragraph" w:styleId="Heading1">
    <w:name w:val="heading 1"/>
    <w:basedOn w:val="Normal"/>
    <w:next w:val="Normal"/>
    <w:link w:val="Heading1Char"/>
    <w:uiPriority w:val="98"/>
    <w:semiHidden/>
    <w:rsid w:val="00183B4E"/>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183B4E"/>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183B4E"/>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183B4E"/>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183B4E"/>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183B4E"/>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183B4E"/>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183B4E"/>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183B4E"/>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183B4E"/>
    <w:rPr>
      <w:rFonts w:ascii="Tahoma" w:hAnsi="Tahoma" w:cs="Tahoma"/>
      <w:sz w:val="16"/>
      <w:szCs w:val="16"/>
    </w:rPr>
  </w:style>
  <w:style w:type="character" w:customStyle="1" w:styleId="BalloonTextChar">
    <w:name w:val="Balloon Text Char"/>
    <w:basedOn w:val="DefaultParagraphFont"/>
    <w:link w:val="BalloonText"/>
    <w:uiPriority w:val="98"/>
    <w:semiHidden/>
    <w:rsid w:val="00183B4E"/>
    <w:rPr>
      <w:rFonts w:ascii="Tahoma" w:hAnsi="Tahoma" w:cs="Tahoma"/>
      <w:sz w:val="16"/>
      <w:szCs w:val="16"/>
      <w:lang w:val="ro-RO"/>
    </w:rPr>
  </w:style>
  <w:style w:type="character" w:styleId="BookTitle">
    <w:name w:val="Book Title"/>
    <w:uiPriority w:val="98"/>
    <w:semiHidden/>
    <w:qFormat/>
    <w:rsid w:val="00183B4E"/>
    <w:rPr>
      <w:i/>
      <w:iCs/>
      <w:smallCaps/>
      <w:spacing w:val="5"/>
    </w:rPr>
  </w:style>
  <w:style w:type="paragraph" w:customStyle="1" w:styleId="JuHeader">
    <w:name w:val="Ju_Header"/>
    <w:aliases w:val="_Header"/>
    <w:basedOn w:val="Header"/>
    <w:uiPriority w:val="29"/>
    <w:qFormat/>
    <w:rsid w:val="00183B4E"/>
    <w:pPr>
      <w:tabs>
        <w:tab w:val="clear" w:pos="4536"/>
        <w:tab w:val="clear" w:pos="9072"/>
      </w:tabs>
      <w:jc w:val="center"/>
    </w:pPr>
    <w:rPr>
      <w:sz w:val="18"/>
    </w:rPr>
  </w:style>
  <w:style w:type="paragraph" w:customStyle="1" w:styleId="NormalJustified">
    <w:name w:val="Normal_Justified"/>
    <w:basedOn w:val="Normal"/>
    <w:semiHidden/>
    <w:rsid w:val="00183B4E"/>
    <w:pPr>
      <w:jc w:val="both"/>
    </w:pPr>
  </w:style>
  <w:style w:type="character" w:styleId="Strong">
    <w:name w:val="Strong"/>
    <w:uiPriority w:val="98"/>
    <w:semiHidden/>
    <w:qFormat/>
    <w:rsid w:val="00183B4E"/>
    <w:rPr>
      <w:b/>
      <w:bCs/>
    </w:rPr>
  </w:style>
  <w:style w:type="paragraph" w:styleId="NoSpacing">
    <w:name w:val="No Spacing"/>
    <w:basedOn w:val="Normal"/>
    <w:link w:val="NoSpacingChar"/>
    <w:uiPriority w:val="98"/>
    <w:semiHidden/>
    <w:qFormat/>
    <w:rsid w:val="00183B4E"/>
  </w:style>
  <w:style w:type="character" w:customStyle="1" w:styleId="NoSpacingChar">
    <w:name w:val="No Spacing Char"/>
    <w:basedOn w:val="DefaultParagraphFont"/>
    <w:link w:val="NoSpacing"/>
    <w:uiPriority w:val="98"/>
    <w:semiHidden/>
    <w:rsid w:val="00183B4E"/>
    <w:rPr>
      <w:sz w:val="24"/>
      <w:szCs w:val="24"/>
      <w:lang w:val="ro-RO"/>
    </w:rPr>
  </w:style>
  <w:style w:type="paragraph" w:customStyle="1" w:styleId="JuQuot">
    <w:name w:val="Ju_Quot"/>
    <w:aliases w:val="_Quote"/>
    <w:basedOn w:val="NormalJustified"/>
    <w:uiPriority w:val="20"/>
    <w:qFormat/>
    <w:rsid w:val="00183B4E"/>
    <w:pPr>
      <w:spacing w:before="120" w:after="120"/>
      <w:ind w:left="425" w:firstLine="142"/>
    </w:pPr>
    <w:rPr>
      <w:sz w:val="20"/>
    </w:rPr>
  </w:style>
  <w:style w:type="paragraph" w:customStyle="1" w:styleId="DummyStyle">
    <w:name w:val="Dummy_Style"/>
    <w:aliases w:val="_Dummy"/>
    <w:basedOn w:val="Normal"/>
    <w:semiHidden/>
    <w:qFormat/>
    <w:rsid w:val="00183B4E"/>
    <w:rPr>
      <w:color w:val="00B050"/>
      <w:sz w:val="22"/>
    </w:rPr>
  </w:style>
  <w:style w:type="paragraph" w:customStyle="1" w:styleId="JuList">
    <w:name w:val="Ju_List"/>
    <w:aliases w:val="_List_1"/>
    <w:basedOn w:val="NormalJustified"/>
    <w:uiPriority w:val="23"/>
    <w:qFormat/>
    <w:rsid w:val="00183B4E"/>
    <w:pPr>
      <w:numPr>
        <w:numId w:val="26"/>
      </w:numPr>
      <w:spacing w:before="280" w:after="60"/>
    </w:pPr>
  </w:style>
  <w:style w:type="paragraph" w:customStyle="1" w:styleId="JuLista">
    <w:name w:val="Ju_List_a"/>
    <w:aliases w:val="_List_2"/>
    <w:basedOn w:val="NormalJustified"/>
    <w:uiPriority w:val="23"/>
    <w:rsid w:val="00183B4E"/>
    <w:pPr>
      <w:numPr>
        <w:ilvl w:val="1"/>
        <w:numId w:val="26"/>
      </w:numPr>
    </w:pPr>
  </w:style>
  <w:style w:type="paragraph" w:customStyle="1" w:styleId="JuListi">
    <w:name w:val="Ju_List_i"/>
    <w:aliases w:val="_List_3"/>
    <w:basedOn w:val="NormalJustified"/>
    <w:uiPriority w:val="23"/>
    <w:rsid w:val="00183B4E"/>
    <w:pPr>
      <w:numPr>
        <w:ilvl w:val="2"/>
        <w:numId w:val="26"/>
      </w:numPr>
    </w:pPr>
  </w:style>
  <w:style w:type="paragraph" w:customStyle="1" w:styleId="JuHArticle">
    <w:name w:val="Ju_H_Article"/>
    <w:aliases w:val="_Title_Quote"/>
    <w:basedOn w:val="Normal"/>
    <w:next w:val="JuQuot"/>
    <w:uiPriority w:val="19"/>
    <w:qFormat/>
    <w:rsid w:val="00183B4E"/>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183B4E"/>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183B4E"/>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183B4E"/>
    <w:pPr>
      <w:keepNext/>
      <w:keepLines/>
      <w:numPr>
        <w:numId w:val="25"/>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183B4E"/>
    <w:pPr>
      <w:numPr>
        <w:numId w:val="20"/>
      </w:numPr>
    </w:pPr>
  </w:style>
  <w:style w:type="paragraph" w:customStyle="1" w:styleId="JuSigned">
    <w:name w:val="Ju_Signed"/>
    <w:aliases w:val="_Signature"/>
    <w:basedOn w:val="Normal"/>
    <w:next w:val="JuPara"/>
    <w:uiPriority w:val="31"/>
    <w:qFormat/>
    <w:rsid w:val="00183B4E"/>
    <w:pPr>
      <w:tabs>
        <w:tab w:val="center" w:pos="1418"/>
        <w:tab w:val="center" w:pos="5954"/>
      </w:tabs>
      <w:spacing w:before="720"/>
    </w:pPr>
  </w:style>
  <w:style w:type="paragraph" w:styleId="Title">
    <w:name w:val="Title"/>
    <w:basedOn w:val="Normal"/>
    <w:next w:val="Normal"/>
    <w:link w:val="TitleChar"/>
    <w:uiPriority w:val="98"/>
    <w:semiHidden/>
    <w:qFormat/>
    <w:rsid w:val="00183B4E"/>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183B4E"/>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183B4E"/>
    <w:pPr>
      <w:numPr>
        <w:numId w:val="21"/>
      </w:numPr>
    </w:pPr>
  </w:style>
  <w:style w:type="numbering" w:customStyle="1" w:styleId="ECHRA1StyleNumberedList">
    <w:name w:val="ECHR_A1_Style_Numbered_List"/>
    <w:basedOn w:val="NoList"/>
    <w:rsid w:val="00183B4E"/>
    <w:pPr>
      <w:numPr>
        <w:numId w:val="22"/>
      </w:numPr>
    </w:pPr>
  </w:style>
  <w:style w:type="table" w:customStyle="1" w:styleId="ECHRTable2019">
    <w:name w:val="ECHR_Table_2019"/>
    <w:basedOn w:val="TableNormal"/>
    <w:uiPriority w:val="99"/>
    <w:rsid w:val="00183B4E"/>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183B4E"/>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183B4E"/>
    <w:pPr>
      <w:keepNext/>
      <w:keepLines/>
      <w:numPr>
        <w:ilvl w:val="1"/>
        <w:numId w:val="2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183B4E"/>
    <w:pPr>
      <w:keepNext/>
      <w:keepLines/>
      <w:numPr>
        <w:ilvl w:val="2"/>
        <w:numId w:val="2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183B4E"/>
    <w:pPr>
      <w:keepNext/>
      <w:keepLines/>
      <w:numPr>
        <w:ilvl w:val="3"/>
        <w:numId w:val="25"/>
      </w:numPr>
      <w:spacing w:before="100" w:beforeAutospacing="1" w:after="120"/>
      <w:jc w:val="both"/>
    </w:pPr>
    <w:rPr>
      <w:b w:val="0"/>
      <w:color w:val="auto"/>
      <w:sz w:val="24"/>
    </w:rPr>
  </w:style>
  <w:style w:type="paragraph" w:styleId="Header">
    <w:name w:val="header"/>
    <w:basedOn w:val="Normal"/>
    <w:link w:val="HeaderChar"/>
    <w:uiPriority w:val="98"/>
    <w:semiHidden/>
    <w:rsid w:val="00183B4E"/>
    <w:pPr>
      <w:tabs>
        <w:tab w:val="center" w:pos="4536"/>
        <w:tab w:val="right" w:pos="9072"/>
      </w:tabs>
    </w:pPr>
  </w:style>
  <w:style w:type="character" w:customStyle="1" w:styleId="HeaderChar">
    <w:name w:val="Header Char"/>
    <w:basedOn w:val="DefaultParagraphFont"/>
    <w:link w:val="Header"/>
    <w:uiPriority w:val="98"/>
    <w:semiHidden/>
    <w:rsid w:val="00183B4E"/>
    <w:rPr>
      <w:sz w:val="24"/>
      <w:szCs w:val="24"/>
      <w:lang w:val="ro-RO"/>
    </w:rPr>
  </w:style>
  <w:style w:type="character" w:customStyle="1" w:styleId="Heading1Char">
    <w:name w:val="Heading 1 Char"/>
    <w:basedOn w:val="DefaultParagraphFont"/>
    <w:link w:val="Heading1"/>
    <w:uiPriority w:val="98"/>
    <w:semiHidden/>
    <w:rsid w:val="00183B4E"/>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183B4E"/>
    <w:pPr>
      <w:keepNext/>
      <w:keepLines/>
      <w:numPr>
        <w:ilvl w:val="4"/>
        <w:numId w:val="25"/>
      </w:numPr>
      <w:spacing w:before="100" w:beforeAutospacing="1" w:after="120"/>
      <w:jc w:val="both"/>
    </w:pPr>
    <w:rPr>
      <w:color w:val="auto"/>
      <w:sz w:val="20"/>
    </w:rPr>
  </w:style>
  <w:style w:type="paragraph" w:customStyle="1" w:styleId="JuHi">
    <w:name w:val="Ju_H_i"/>
    <w:aliases w:val="_Head_6"/>
    <w:basedOn w:val="Heading6"/>
    <w:next w:val="JuPara"/>
    <w:uiPriority w:val="17"/>
    <w:rsid w:val="00183B4E"/>
    <w:pPr>
      <w:keepNext/>
      <w:keepLines/>
      <w:numPr>
        <w:ilvl w:val="5"/>
        <w:numId w:val="2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183B4E"/>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183B4E"/>
    <w:pPr>
      <w:keepNext/>
      <w:keepLines/>
      <w:numPr>
        <w:ilvl w:val="6"/>
        <w:numId w:val="2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183B4E"/>
    <w:pPr>
      <w:keepNext/>
      <w:keepLines/>
      <w:numPr>
        <w:ilvl w:val="7"/>
        <w:numId w:val="25"/>
      </w:numPr>
      <w:spacing w:before="100" w:beforeAutospacing="1" w:after="120"/>
      <w:jc w:val="both"/>
    </w:pPr>
    <w:rPr>
      <w:i/>
    </w:rPr>
  </w:style>
  <w:style w:type="character" w:customStyle="1" w:styleId="Heading3Char">
    <w:name w:val="Heading 3 Char"/>
    <w:basedOn w:val="DefaultParagraphFont"/>
    <w:link w:val="Heading3"/>
    <w:uiPriority w:val="98"/>
    <w:semiHidden/>
    <w:rsid w:val="00183B4E"/>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183B4E"/>
    <w:pPr>
      <w:keepNext/>
      <w:keepLines/>
      <w:spacing w:before="240" w:after="240"/>
      <w:ind w:firstLine="284"/>
    </w:pPr>
  </w:style>
  <w:style w:type="paragraph" w:customStyle="1" w:styleId="JuJudges">
    <w:name w:val="Ju_Judges"/>
    <w:aliases w:val="_Judges"/>
    <w:basedOn w:val="Normal"/>
    <w:uiPriority w:val="32"/>
    <w:qFormat/>
    <w:rsid w:val="00183B4E"/>
    <w:pPr>
      <w:tabs>
        <w:tab w:val="left" w:pos="567"/>
        <w:tab w:val="left" w:pos="1134"/>
      </w:tabs>
    </w:pPr>
  </w:style>
  <w:style w:type="character" w:customStyle="1" w:styleId="Heading4Char">
    <w:name w:val="Heading 4 Char"/>
    <w:basedOn w:val="DefaultParagraphFont"/>
    <w:link w:val="Heading4"/>
    <w:uiPriority w:val="98"/>
    <w:semiHidden/>
    <w:rsid w:val="00183B4E"/>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183B4E"/>
    <w:pPr>
      <w:tabs>
        <w:tab w:val="center" w:pos="6407"/>
      </w:tabs>
      <w:spacing w:before="720"/>
      <w:jc w:val="right"/>
    </w:pPr>
  </w:style>
  <w:style w:type="character" w:customStyle="1" w:styleId="Heading5Char">
    <w:name w:val="Heading 5 Char"/>
    <w:basedOn w:val="DefaultParagraphFont"/>
    <w:link w:val="Heading5"/>
    <w:uiPriority w:val="98"/>
    <w:semiHidden/>
    <w:rsid w:val="00183B4E"/>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183B4E"/>
    <w:rPr>
      <w:vanish w:val="0"/>
      <w:color w:val="auto"/>
      <w:sz w:val="14"/>
      <w:bdr w:val="none" w:sz="0" w:space="0" w:color="auto"/>
      <w:shd w:val="clear" w:color="auto" w:fill="FFFFFF" w:themeFill="background1" w:themeFillTint="33"/>
    </w:rPr>
  </w:style>
  <w:style w:type="character" w:customStyle="1" w:styleId="JUNAMES">
    <w:name w:val="JU_NAMES"/>
    <w:aliases w:val="_Ju_Names"/>
    <w:uiPriority w:val="33"/>
    <w:qFormat/>
    <w:rsid w:val="00183B4E"/>
    <w:rPr>
      <w:caps w:val="0"/>
      <w:smallCaps/>
    </w:rPr>
  </w:style>
  <w:style w:type="character" w:styleId="SubtleEmphasis">
    <w:name w:val="Subtle Emphasis"/>
    <w:uiPriority w:val="98"/>
    <w:semiHidden/>
    <w:qFormat/>
    <w:rsid w:val="00183B4E"/>
    <w:rPr>
      <w:i/>
      <w:iCs/>
    </w:rPr>
  </w:style>
  <w:style w:type="table" w:customStyle="1" w:styleId="ECHRTable">
    <w:name w:val="ECHR_Table"/>
    <w:basedOn w:val="TableNormal"/>
    <w:rsid w:val="00183B4E"/>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183B4E"/>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183B4E"/>
    <w:rPr>
      <w:b/>
      <w:bCs/>
      <w:i/>
      <w:iCs/>
      <w:spacing w:val="10"/>
      <w:bdr w:val="none" w:sz="0" w:space="0" w:color="auto"/>
      <w:shd w:val="clear" w:color="auto" w:fill="auto"/>
    </w:rPr>
  </w:style>
  <w:style w:type="paragraph" w:styleId="Footer0">
    <w:name w:val="footer"/>
    <w:basedOn w:val="Normal"/>
    <w:link w:val="FooterChar"/>
    <w:uiPriority w:val="98"/>
    <w:semiHidden/>
    <w:rsid w:val="00183B4E"/>
    <w:pPr>
      <w:tabs>
        <w:tab w:val="center" w:pos="3686"/>
        <w:tab w:val="right" w:pos="7371"/>
      </w:tabs>
    </w:pPr>
  </w:style>
  <w:style w:type="character" w:customStyle="1" w:styleId="FooterChar">
    <w:name w:val="Footer Char"/>
    <w:basedOn w:val="DefaultParagraphFont"/>
    <w:link w:val="Footer0"/>
    <w:uiPriority w:val="98"/>
    <w:semiHidden/>
    <w:rsid w:val="00183B4E"/>
    <w:rPr>
      <w:sz w:val="24"/>
      <w:szCs w:val="24"/>
      <w:lang w:val="ro-RO"/>
    </w:rPr>
  </w:style>
  <w:style w:type="character" w:styleId="FootnoteReference">
    <w:name w:val="footnote reference"/>
    <w:basedOn w:val="DefaultParagraphFont"/>
    <w:uiPriority w:val="98"/>
    <w:semiHidden/>
    <w:rsid w:val="00183B4E"/>
    <w:rPr>
      <w:vertAlign w:val="superscript"/>
    </w:rPr>
  </w:style>
  <w:style w:type="paragraph" w:styleId="FootnoteText">
    <w:name w:val="footnote text"/>
    <w:basedOn w:val="NormalJustified"/>
    <w:link w:val="FootnoteTextChar"/>
    <w:uiPriority w:val="98"/>
    <w:semiHidden/>
    <w:rsid w:val="00183B4E"/>
    <w:rPr>
      <w:sz w:val="20"/>
      <w:szCs w:val="20"/>
    </w:rPr>
  </w:style>
  <w:style w:type="character" w:customStyle="1" w:styleId="FootnoteTextChar">
    <w:name w:val="Footnote Text Char"/>
    <w:basedOn w:val="DefaultParagraphFont"/>
    <w:link w:val="FootnoteText"/>
    <w:uiPriority w:val="98"/>
    <w:semiHidden/>
    <w:rsid w:val="00183B4E"/>
    <w:rPr>
      <w:sz w:val="20"/>
      <w:szCs w:val="20"/>
      <w:lang w:val="ro-RO"/>
    </w:rPr>
  </w:style>
  <w:style w:type="character" w:customStyle="1" w:styleId="Heading6Char">
    <w:name w:val="Heading 6 Char"/>
    <w:basedOn w:val="DefaultParagraphFont"/>
    <w:link w:val="Heading6"/>
    <w:uiPriority w:val="98"/>
    <w:semiHidden/>
    <w:rsid w:val="00183B4E"/>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183B4E"/>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183B4E"/>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183B4E"/>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183B4E"/>
    <w:rPr>
      <w:color w:val="0072BC" w:themeColor="hyperlink"/>
      <w:u w:val="single"/>
    </w:rPr>
  </w:style>
  <w:style w:type="character" w:styleId="IntenseEmphasis">
    <w:name w:val="Intense Emphasis"/>
    <w:uiPriority w:val="98"/>
    <w:semiHidden/>
    <w:qFormat/>
    <w:rsid w:val="00183B4E"/>
    <w:rPr>
      <w:b/>
      <w:bCs/>
    </w:rPr>
  </w:style>
  <w:style w:type="paragraph" w:styleId="IntenseQuote">
    <w:name w:val="Intense Quote"/>
    <w:basedOn w:val="Normal"/>
    <w:next w:val="Normal"/>
    <w:link w:val="IntenseQuoteChar"/>
    <w:uiPriority w:val="98"/>
    <w:semiHidden/>
    <w:qFormat/>
    <w:rsid w:val="00183B4E"/>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183B4E"/>
    <w:rPr>
      <w:b/>
      <w:bCs/>
      <w:i/>
      <w:iCs/>
      <w:sz w:val="24"/>
      <w:szCs w:val="24"/>
      <w:lang w:val="ro-RO" w:bidi="en-US"/>
    </w:rPr>
  </w:style>
  <w:style w:type="character" w:styleId="IntenseReference">
    <w:name w:val="Intense Reference"/>
    <w:uiPriority w:val="98"/>
    <w:semiHidden/>
    <w:qFormat/>
    <w:rsid w:val="00183B4E"/>
    <w:rPr>
      <w:smallCaps/>
      <w:spacing w:val="5"/>
      <w:u w:val="single"/>
    </w:rPr>
  </w:style>
  <w:style w:type="paragraph" w:styleId="ListParagraph">
    <w:name w:val="List Paragraph"/>
    <w:basedOn w:val="Normal"/>
    <w:uiPriority w:val="98"/>
    <w:semiHidden/>
    <w:qFormat/>
    <w:rsid w:val="00183B4E"/>
    <w:pPr>
      <w:ind w:left="720"/>
      <w:contextualSpacing/>
    </w:pPr>
  </w:style>
  <w:style w:type="table" w:customStyle="1" w:styleId="LtrTableAddress">
    <w:name w:val="Ltr_Table_Address"/>
    <w:aliases w:val="ECHR_Ltr_Table_Address"/>
    <w:basedOn w:val="TableNormal"/>
    <w:uiPriority w:val="99"/>
    <w:rsid w:val="00183B4E"/>
    <w:rPr>
      <w:sz w:val="24"/>
      <w:szCs w:val="24"/>
    </w:rPr>
    <w:tblPr>
      <w:tblInd w:w="5103" w:type="dxa"/>
    </w:tblPr>
  </w:style>
  <w:style w:type="paragraph" w:styleId="Quote">
    <w:name w:val="Quote"/>
    <w:basedOn w:val="Normal"/>
    <w:next w:val="Normal"/>
    <w:link w:val="QuoteChar"/>
    <w:uiPriority w:val="98"/>
    <w:semiHidden/>
    <w:qFormat/>
    <w:rsid w:val="00183B4E"/>
    <w:pPr>
      <w:spacing w:before="200"/>
      <w:ind w:left="360" w:right="360"/>
    </w:pPr>
    <w:rPr>
      <w:i/>
      <w:iCs/>
      <w:lang w:bidi="en-US"/>
    </w:rPr>
  </w:style>
  <w:style w:type="character" w:customStyle="1" w:styleId="QuoteChar">
    <w:name w:val="Quote Char"/>
    <w:basedOn w:val="DefaultParagraphFont"/>
    <w:link w:val="Quote"/>
    <w:uiPriority w:val="98"/>
    <w:semiHidden/>
    <w:rsid w:val="00183B4E"/>
    <w:rPr>
      <w:i/>
      <w:iCs/>
      <w:sz w:val="24"/>
      <w:szCs w:val="24"/>
      <w:lang w:val="ro-RO" w:bidi="en-US"/>
    </w:rPr>
  </w:style>
  <w:style w:type="character" w:styleId="SubtleReference">
    <w:name w:val="Subtle Reference"/>
    <w:uiPriority w:val="98"/>
    <w:semiHidden/>
    <w:qFormat/>
    <w:rsid w:val="00183B4E"/>
    <w:rPr>
      <w:smallCaps/>
    </w:rPr>
  </w:style>
  <w:style w:type="table" w:styleId="TableGrid">
    <w:name w:val="Table Grid"/>
    <w:basedOn w:val="TableNormal"/>
    <w:uiPriority w:val="59"/>
    <w:semiHidden/>
    <w:rsid w:val="00183B4E"/>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183B4E"/>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183B4E"/>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183B4E"/>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183B4E"/>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183B4E"/>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183B4E"/>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183B4E"/>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183B4E"/>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183B4E"/>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183B4E"/>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183B4E"/>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183B4E"/>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183B4E"/>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183B4E"/>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183B4E"/>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183B4E"/>
    <w:pPr>
      <w:numPr>
        <w:numId w:val="7"/>
      </w:numPr>
    </w:pPr>
  </w:style>
  <w:style w:type="paragraph" w:customStyle="1" w:styleId="JuPara">
    <w:name w:val="Ju_Para"/>
    <w:aliases w:val="_Para"/>
    <w:basedOn w:val="NormalJustified"/>
    <w:link w:val="JuParaChar"/>
    <w:uiPriority w:val="4"/>
    <w:qFormat/>
    <w:rsid w:val="00183B4E"/>
    <w:pPr>
      <w:ind w:firstLine="284"/>
    </w:pPr>
  </w:style>
  <w:style w:type="numbering" w:styleId="1ai">
    <w:name w:val="Outline List 1"/>
    <w:basedOn w:val="NoList"/>
    <w:uiPriority w:val="99"/>
    <w:semiHidden/>
    <w:unhideWhenUsed/>
    <w:rsid w:val="00183B4E"/>
    <w:pPr>
      <w:numPr>
        <w:numId w:val="8"/>
      </w:numPr>
    </w:pPr>
  </w:style>
  <w:style w:type="table" w:customStyle="1" w:styleId="ECHRTableSimpleBox">
    <w:name w:val="ECHR_Table_Simple_Box"/>
    <w:basedOn w:val="TableNormal"/>
    <w:uiPriority w:val="99"/>
    <w:rsid w:val="00183B4E"/>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183B4E"/>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183B4E"/>
    <w:pPr>
      <w:numPr>
        <w:numId w:val="9"/>
      </w:numPr>
    </w:pPr>
  </w:style>
  <w:style w:type="table" w:customStyle="1" w:styleId="ECHRTableForInternalUse">
    <w:name w:val="ECHR_Table_For_Internal_Use"/>
    <w:basedOn w:val="TableNormal"/>
    <w:uiPriority w:val="99"/>
    <w:rsid w:val="00183B4E"/>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183B4E"/>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183B4E"/>
  </w:style>
  <w:style w:type="paragraph" w:styleId="BlockText">
    <w:name w:val="Block Text"/>
    <w:basedOn w:val="Normal"/>
    <w:uiPriority w:val="98"/>
    <w:semiHidden/>
    <w:rsid w:val="00183B4E"/>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183B4E"/>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183B4E"/>
    <w:pPr>
      <w:spacing w:after="120"/>
    </w:pPr>
  </w:style>
  <w:style w:type="character" w:customStyle="1" w:styleId="BodyTextChar">
    <w:name w:val="Body Text Char"/>
    <w:basedOn w:val="DefaultParagraphFont"/>
    <w:link w:val="BodyText"/>
    <w:uiPriority w:val="98"/>
    <w:semiHidden/>
    <w:rsid w:val="00183B4E"/>
    <w:rPr>
      <w:sz w:val="24"/>
      <w:szCs w:val="24"/>
      <w:lang w:val="ro-RO"/>
    </w:rPr>
  </w:style>
  <w:style w:type="table" w:customStyle="1" w:styleId="ECHRTableOddBanded">
    <w:name w:val="ECHR_Table_Odd_Banded"/>
    <w:basedOn w:val="TableNormal"/>
    <w:uiPriority w:val="99"/>
    <w:rsid w:val="00183B4E"/>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183B4E"/>
    <w:pPr>
      <w:spacing w:after="120" w:line="480" w:lineRule="auto"/>
    </w:pPr>
  </w:style>
  <w:style w:type="table" w:customStyle="1" w:styleId="ECHRHeaderTableReduced">
    <w:name w:val="ECHR_Header_Table_Reduced"/>
    <w:basedOn w:val="TableNormal"/>
    <w:uiPriority w:val="99"/>
    <w:rsid w:val="00183B4E"/>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183B4E"/>
    <w:pPr>
      <w:ind w:firstLine="284"/>
    </w:pPr>
    <w:rPr>
      <w:b/>
    </w:rPr>
  </w:style>
  <w:style w:type="character" w:styleId="PageNumber">
    <w:name w:val="page number"/>
    <w:uiPriority w:val="98"/>
    <w:semiHidden/>
    <w:rsid w:val="00183B4E"/>
    <w:rPr>
      <w:sz w:val="18"/>
    </w:rPr>
  </w:style>
  <w:style w:type="paragraph" w:styleId="ListBullet">
    <w:name w:val="List Bullet"/>
    <w:basedOn w:val="Normal"/>
    <w:uiPriority w:val="98"/>
    <w:semiHidden/>
    <w:rsid w:val="00183B4E"/>
    <w:pPr>
      <w:numPr>
        <w:numId w:val="10"/>
      </w:numPr>
    </w:pPr>
  </w:style>
  <w:style w:type="paragraph" w:styleId="ListBullet3">
    <w:name w:val="List Bullet 3"/>
    <w:basedOn w:val="Normal"/>
    <w:uiPriority w:val="98"/>
    <w:semiHidden/>
    <w:rsid w:val="00183B4E"/>
    <w:pPr>
      <w:numPr>
        <w:numId w:val="12"/>
      </w:numPr>
      <w:contextualSpacing/>
    </w:pPr>
  </w:style>
  <w:style w:type="character" w:customStyle="1" w:styleId="BodyText2Char">
    <w:name w:val="Body Text 2 Char"/>
    <w:basedOn w:val="DefaultParagraphFont"/>
    <w:link w:val="BodyText2"/>
    <w:uiPriority w:val="98"/>
    <w:semiHidden/>
    <w:rsid w:val="00183B4E"/>
    <w:rPr>
      <w:sz w:val="24"/>
      <w:szCs w:val="24"/>
      <w:lang w:val="ro-RO"/>
    </w:rPr>
  </w:style>
  <w:style w:type="paragraph" w:styleId="BodyText3">
    <w:name w:val="Body Text 3"/>
    <w:basedOn w:val="Normal"/>
    <w:link w:val="BodyText3Char"/>
    <w:uiPriority w:val="98"/>
    <w:semiHidden/>
    <w:rsid w:val="00183B4E"/>
    <w:pPr>
      <w:spacing w:after="120"/>
    </w:pPr>
    <w:rPr>
      <w:sz w:val="16"/>
      <w:szCs w:val="16"/>
    </w:rPr>
  </w:style>
  <w:style w:type="character" w:customStyle="1" w:styleId="BodyText3Char">
    <w:name w:val="Body Text 3 Char"/>
    <w:basedOn w:val="DefaultParagraphFont"/>
    <w:link w:val="BodyText3"/>
    <w:uiPriority w:val="98"/>
    <w:semiHidden/>
    <w:rsid w:val="00183B4E"/>
    <w:rPr>
      <w:sz w:val="16"/>
      <w:szCs w:val="16"/>
      <w:lang w:val="ro-RO"/>
    </w:rPr>
  </w:style>
  <w:style w:type="paragraph" w:styleId="BodyTextFirstIndent">
    <w:name w:val="Body Text First Indent"/>
    <w:basedOn w:val="BodyText"/>
    <w:link w:val="BodyTextFirstIndentChar"/>
    <w:uiPriority w:val="98"/>
    <w:semiHidden/>
    <w:rsid w:val="00183B4E"/>
    <w:pPr>
      <w:spacing w:after="0"/>
      <w:ind w:firstLine="360"/>
    </w:pPr>
  </w:style>
  <w:style w:type="character" w:customStyle="1" w:styleId="BodyTextFirstIndentChar">
    <w:name w:val="Body Text First Indent Char"/>
    <w:basedOn w:val="BodyTextChar"/>
    <w:link w:val="BodyTextFirstIndent"/>
    <w:uiPriority w:val="98"/>
    <w:semiHidden/>
    <w:rsid w:val="00183B4E"/>
    <w:rPr>
      <w:sz w:val="24"/>
      <w:szCs w:val="24"/>
      <w:lang w:val="ro-RO"/>
    </w:rPr>
  </w:style>
  <w:style w:type="paragraph" w:styleId="BodyTextIndent">
    <w:name w:val="Body Text Indent"/>
    <w:basedOn w:val="Normal"/>
    <w:link w:val="BodyTextIndentChar"/>
    <w:uiPriority w:val="98"/>
    <w:semiHidden/>
    <w:rsid w:val="00183B4E"/>
    <w:pPr>
      <w:spacing w:after="120"/>
      <w:ind w:left="283"/>
    </w:pPr>
  </w:style>
  <w:style w:type="character" w:customStyle="1" w:styleId="BodyTextIndentChar">
    <w:name w:val="Body Text Indent Char"/>
    <w:basedOn w:val="DefaultParagraphFont"/>
    <w:link w:val="BodyTextIndent"/>
    <w:uiPriority w:val="98"/>
    <w:semiHidden/>
    <w:rsid w:val="00183B4E"/>
    <w:rPr>
      <w:sz w:val="24"/>
      <w:szCs w:val="24"/>
      <w:lang w:val="ro-RO"/>
    </w:rPr>
  </w:style>
  <w:style w:type="paragraph" w:styleId="BodyTextFirstIndent2">
    <w:name w:val="Body Text First Indent 2"/>
    <w:basedOn w:val="BodyTextIndent"/>
    <w:link w:val="BodyTextFirstIndent2Char"/>
    <w:uiPriority w:val="98"/>
    <w:semiHidden/>
    <w:rsid w:val="00183B4E"/>
    <w:pPr>
      <w:spacing w:after="0"/>
      <w:ind w:left="360" w:firstLine="360"/>
    </w:pPr>
  </w:style>
  <w:style w:type="character" w:customStyle="1" w:styleId="BodyTextFirstIndent2Char">
    <w:name w:val="Body Text First Indent 2 Char"/>
    <w:basedOn w:val="BodyTextIndentChar"/>
    <w:link w:val="BodyTextFirstIndent2"/>
    <w:uiPriority w:val="98"/>
    <w:semiHidden/>
    <w:rsid w:val="00183B4E"/>
    <w:rPr>
      <w:sz w:val="24"/>
      <w:szCs w:val="24"/>
      <w:lang w:val="ro-RO"/>
    </w:rPr>
  </w:style>
  <w:style w:type="paragraph" w:styleId="BodyTextIndent2">
    <w:name w:val="Body Text Indent 2"/>
    <w:basedOn w:val="Normal"/>
    <w:link w:val="BodyTextIndent2Char"/>
    <w:uiPriority w:val="98"/>
    <w:semiHidden/>
    <w:rsid w:val="00183B4E"/>
    <w:pPr>
      <w:spacing w:after="120" w:line="480" w:lineRule="auto"/>
      <w:ind w:left="283"/>
    </w:pPr>
  </w:style>
  <w:style w:type="character" w:customStyle="1" w:styleId="BodyTextIndent2Char">
    <w:name w:val="Body Text Indent 2 Char"/>
    <w:basedOn w:val="DefaultParagraphFont"/>
    <w:link w:val="BodyTextIndent2"/>
    <w:uiPriority w:val="98"/>
    <w:semiHidden/>
    <w:rsid w:val="00183B4E"/>
    <w:rPr>
      <w:sz w:val="24"/>
      <w:szCs w:val="24"/>
      <w:lang w:val="ro-RO"/>
    </w:rPr>
  </w:style>
  <w:style w:type="paragraph" w:styleId="BodyTextIndent3">
    <w:name w:val="Body Text Indent 3"/>
    <w:basedOn w:val="Normal"/>
    <w:link w:val="BodyTextIndent3Char"/>
    <w:uiPriority w:val="98"/>
    <w:semiHidden/>
    <w:rsid w:val="00183B4E"/>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183B4E"/>
    <w:rPr>
      <w:sz w:val="16"/>
      <w:szCs w:val="16"/>
      <w:lang w:val="ro-RO"/>
    </w:rPr>
  </w:style>
  <w:style w:type="paragraph" w:styleId="Caption">
    <w:name w:val="caption"/>
    <w:basedOn w:val="Normal"/>
    <w:next w:val="Normal"/>
    <w:uiPriority w:val="98"/>
    <w:semiHidden/>
    <w:qFormat/>
    <w:rsid w:val="00183B4E"/>
    <w:pPr>
      <w:spacing w:after="200"/>
    </w:pPr>
    <w:rPr>
      <w:b/>
      <w:bCs/>
      <w:color w:val="0072BC" w:themeColor="accent1"/>
      <w:sz w:val="18"/>
      <w:szCs w:val="18"/>
    </w:rPr>
  </w:style>
  <w:style w:type="paragraph" w:styleId="Closing">
    <w:name w:val="Closing"/>
    <w:basedOn w:val="Normal"/>
    <w:link w:val="ClosingChar"/>
    <w:uiPriority w:val="98"/>
    <w:semiHidden/>
    <w:rsid w:val="00183B4E"/>
    <w:pPr>
      <w:ind w:left="4252"/>
    </w:pPr>
  </w:style>
  <w:style w:type="character" w:customStyle="1" w:styleId="ClosingChar">
    <w:name w:val="Closing Char"/>
    <w:basedOn w:val="DefaultParagraphFont"/>
    <w:link w:val="Closing"/>
    <w:uiPriority w:val="98"/>
    <w:semiHidden/>
    <w:rsid w:val="00183B4E"/>
    <w:rPr>
      <w:sz w:val="24"/>
      <w:szCs w:val="24"/>
      <w:lang w:val="ro-RO"/>
    </w:rPr>
  </w:style>
  <w:style w:type="table" w:styleId="ColorfulGrid">
    <w:name w:val="Colorful Grid"/>
    <w:basedOn w:val="TableNormal"/>
    <w:uiPriority w:val="73"/>
    <w:semiHidden/>
    <w:rsid w:val="00183B4E"/>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183B4E"/>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183B4E"/>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183B4E"/>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183B4E"/>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183B4E"/>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183B4E"/>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183B4E"/>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183B4E"/>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183B4E"/>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183B4E"/>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183B4E"/>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183B4E"/>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183B4E"/>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183B4E"/>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183B4E"/>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183B4E"/>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183B4E"/>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183B4E"/>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183B4E"/>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183B4E"/>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183B4E"/>
    <w:rPr>
      <w:sz w:val="20"/>
      <w:szCs w:val="20"/>
      <w:lang w:val="ro-RO"/>
    </w:rPr>
  </w:style>
  <w:style w:type="paragraph" w:styleId="CommentSubject">
    <w:name w:val="annotation subject"/>
    <w:basedOn w:val="CommentText"/>
    <w:next w:val="CommentText"/>
    <w:link w:val="CommentSubjectChar"/>
    <w:uiPriority w:val="98"/>
    <w:semiHidden/>
    <w:rsid w:val="00183B4E"/>
    <w:rPr>
      <w:b/>
      <w:bCs/>
    </w:rPr>
  </w:style>
  <w:style w:type="character" w:customStyle="1" w:styleId="CommentSubjectChar">
    <w:name w:val="Comment Subject Char"/>
    <w:basedOn w:val="CommentTextChar"/>
    <w:link w:val="CommentSubject"/>
    <w:uiPriority w:val="98"/>
    <w:semiHidden/>
    <w:rsid w:val="00183B4E"/>
    <w:rPr>
      <w:b/>
      <w:bCs/>
      <w:sz w:val="20"/>
      <w:szCs w:val="20"/>
      <w:lang w:val="ro-RO"/>
    </w:rPr>
  </w:style>
  <w:style w:type="table" w:styleId="DarkList">
    <w:name w:val="Dark List"/>
    <w:basedOn w:val="TableNormal"/>
    <w:uiPriority w:val="70"/>
    <w:semiHidden/>
    <w:rsid w:val="00183B4E"/>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183B4E"/>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183B4E"/>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183B4E"/>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183B4E"/>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183B4E"/>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183B4E"/>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183B4E"/>
  </w:style>
  <w:style w:type="character" w:customStyle="1" w:styleId="DateChar">
    <w:name w:val="Date Char"/>
    <w:basedOn w:val="DefaultParagraphFont"/>
    <w:link w:val="Date"/>
    <w:uiPriority w:val="98"/>
    <w:semiHidden/>
    <w:rsid w:val="00183B4E"/>
    <w:rPr>
      <w:sz w:val="24"/>
      <w:szCs w:val="24"/>
      <w:lang w:val="ro-RO"/>
    </w:rPr>
  </w:style>
  <w:style w:type="paragraph" w:styleId="DocumentMap">
    <w:name w:val="Document Map"/>
    <w:basedOn w:val="Normal"/>
    <w:link w:val="DocumentMapChar"/>
    <w:uiPriority w:val="98"/>
    <w:semiHidden/>
    <w:rsid w:val="00183B4E"/>
    <w:rPr>
      <w:rFonts w:ascii="Tahoma" w:hAnsi="Tahoma" w:cs="Tahoma"/>
      <w:sz w:val="16"/>
      <w:szCs w:val="16"/>
    </w:rPr>
  </w:style>
  <w:style w:type="character" w:customStyle="1" w:styleId="DocumentMapChar">
    <w:name w:val="Document Map Char"/>
    <w:basedOn w:val="DefaultParagraphFont"/>
    <w:link w:val="DocumentMap"/>
    <w:uiPriority w:val="98"/>
    <w:semiHidden/>
    <w:rsid w:val="00183B4E"/>
    <w:rPr>
      <w:rFonts w:ascii="Tahoma" w:hAnsi="Tahoma" w:cs="Tahoma"/>
      <w:sz w:val="16"/>
      <w:szCs w:val="16"/>
      <w:lang w:val="ro-RO"/>
    </w:rPr>
  </w:style>
  <w:style w:type="paragraph" w:styleId="E-mailSignature">
    <w:name w:val="E-mail Signature"/>
    <w:basedOn w:val="Normal"/>
    <w:link w:val="E-mailSignatureChar"/>
    <w:uiPriority w:val="98"/>
    <w:semiHidden/>
    <w:rsid w:val="00183B4E"/>
  </w:style>
  <w:style w:type="character" w:customStyle="1" w:styleId="E-mailSignatureChar">
    <w:name w:val="E-mail Signature Char"/>
    <w:basedOn w:val="DefaultParagraphFont"/>
    <w:link w:val="E-mailSignature"/>
    <w:uiPriority w:val="98"/>
    <w:semiHidden/>
    <w:rsid w:val="00183B4E"/>
    <w:rPr>
      <w:sz w:val="24"/>
      <w:szCs w:val="24"/>
      <w:lang w:val="ro-RO"/>
    </w:rPr>
  </w:style>
  <w:style w:type="character" w:styleId="EndnoteReference">
    <w:name w:val="endnote reference"/>
    <w:basedOn w:val="DefaultParagraphFont"/>
    <w:uiPriority w:val="98"/>
    <w:semiHidden/>
    <w:rsid w:val="00183B4E"/>
    <w:rPr>
      <w:vertAlign w:val="superscript"/>
    </w:rPr>
  </w:style>
  <w:style w:type="paragraph" w:styleId="EndnoteText">
    <w:name w:val="endnote text"/>
    <w:basedOn w:val="Normal"/>
    <w:link w:val="EndnoteTextChar"/>
    <w:uiPriority w:val="98"/>
    <w:semiHidden/>
    <w:rsid w:val="00183B4E"/>
    <w:rPr>
      <w:sz w:val="20"/>
      <w:szCs w:val="20"/>
    </w:rPr>
  </w:style>
  <w:style w:type="character" w:customStyle="1" w:styleId="EndnoteTextChar">
    <w:name w:val="Endnote Text Char"/>
    <w:basedOn w:val="DefaultParagraphFont"/>
    <w:link w:val="EndnoteText"/>
    <w:uiPriority w:val="98"/>
    <w:semiHidden/>
    <w:rsid w:val="00183B4E"/>
    <w:rPr>
      <w:sz w:val="20"/>
      <w:szCs w:val="20"/>
      <w:lang w:val="ro-RO"/>
    </w:rPr>
  </w:style>
  <w:style w:type="paragraph" w:styleId="EnvelopeAddress">
    <w:name w:val="envelope address"/>
    <w:basedOn w:val="Normal"/>
    <w:uiPriority w:val="98"/>
    <w:semiHidden/>
    <w:rsid w:val="00183B4E"/>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183B4E"/>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183B4E"/>
    <w:rPr>
      <w:color w:val="7030A0" w:themeColor="followedHyperlink"/>
      <w:u w:val="single"/>
    </w:rPr>
  </w:style>
  <w:style w:type="character" w:styleId="HTMLAcronym">
    <w:name w:val="HTML Acronym"/>
    <w:basedOn w:val="DefaultParagraphFont"/>
    <w:uiPriority w:val="98"/>
    <w:semiHidden/>
    <w:rsid w:val="00183B4E"/>
  </w:style>
  <w:style w:type="paragraph" w:styleId="HTMLAddress">
    <w:name w:val="HTML Address"/>
    <w:basedOn w:val="Normal"/>
    <w:link w:val="HTMLAddressChar"/>
    <w:uiPriority w:val="98"/>
    <w:semiHidden/>
    <w:rsid w:val="00183B4E"/>
    <w:rPr>
      <w:i/>
      <w:iCs/>
    </w:rPr>
  </w:style>
  <w:style w:type="character" w:customStyle="1" w:styleId="HTMLAddressChar">
    <w:name w:val="HTML Address Char"/>
    <w:basedOn w:val="DefaultParagraphFont"/>
    <w:link w:val="HTMLAddress"/>
    <w:uiPriority w:val="98"/>
    <w:semiHidden/>
    <w:rsid w:val="00183B4E"/>
    <w:rPr>
      <w:i/>
      <w:iCs/>
      <w:sz w:val="24"/>
      <w:szCs w:val="24"/>
      <w:lang w:val="ro-RO"/>
    </w:rPr>
  </w:style>
  <w:style w:type="character" w:styleId="HTMLCite">
    <w:name w:val="HTML Cite"/>
    <w:basedOn w:val="DefaultParagraphFont"/>
    <w:uiPriority w:val="98"/>
    <w:semiHidden/>
    <w:rsid w:val="00183B4E"/>
    <w:rPr>
      <w:i/>
      <w:iCs/>
    </w:rPr>
  </w:style>
  <w:style w:type="character" w:styleId="HTMLCode">
    <w:name w:val="HTML Code"/>
    <w:basedOn w:val="DefaultParagraphFont"/>
    <w:uiPriority w:val="98"/>
    <w:semiHidden/>
    <w:rsid w:val="00183B4E"/>
    <w:rPr>
      <w:rFonts w:ascii="Consolas" w:hAnsi="Consolas" w:cs="Consolas"/>
      <w:sz w:val="20"/>
      <w:szCs w:val="20"/>
    </w:rPr>
  </w:style>
  <w:style w:type="character" w:styleId="HTMLDefinition">
    <w:name w:val="HTML Definition"/>
    <w:basedOn w:val="DefaultParagraphFont"/>
    <w:uiPriority w:val="98"/>
    <w:semiHidden/>
    <w:rsid w:val="00183B4E"/>
    <w:rPr>
      <w:i/>
      <w:iCs/>
    </w:rPr>
  </w:style>
  <w:style w:type="character" w:styleId="HTMLKeyboard">
    <w:name w:val="HTML Keyboard"/>
    <w:basedOn w:val="DefaultParagraphFont"/>
    <w:uiPriority w:val="98"/>
    <w:semiHidden/>
    <w:rsid w:val="00183B4E"/>
    <w:rPr>
      <w:rFonts w:ascii="Consolas" w:hAnsi="Consolas" w:cs="Consolas"/>
      <w:sz w:val="20"/>
      <w:szCs w:val="20"/>
    </w:rPr>
  </w:style>
  <w:style w:type="paragraph" w:styleId="HTMLPreformatted">
    <w:name w:val="HTML Preformatted"/>
    <w:basedOn w:val="Normal"/>
    <w:link w:val="HTMLPreformattedChar"/>
    <w:uiPriority w:val="98"/>
    <w:semiHidden/>
    <w:rsid w:val="00183B4E"/>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183B4E"/>
    <w:rPr>
      <w:rFonts w:ascii="Consolas" w:hAnsi="Consolas" w:cs="Consolas"/>
      <w:sz w:val="20"/>
      <w:szCs w:val="20"/>
      <w:lang w:val="ro-RO"/>
    </w:rPr>
  </w:style>
  <w:style w:type="character" w:styleId="HTMLSample">
    <w:name w:val="HTML Sample"/>
    <w:basedOn w:val="DefaultParagraphFont"/>
    <w:uiPriority w:val="98"/>
    <w:semiHidden/>
    <w:rsid w:val="00183B4E"/>
    <w:rPr>
      <w:rFonts w:ascii="Consolas" w:hAnsi="Consolas" w:cs="Consolas"/>
      <w:sz w:val="24"/>
      <w:szCs w:val="24"/>
    </w:rPr>
  </w:style>
  <w:style w:type="character" w:styleId="HTMLTypewriter">
    <w:name w:val="HTML Typewriter"/>
    <w:basedOn w:val="DefaultParagraphFont"/>
    <w:uiPriority w:val="98"/>
    <w:semiHidden/>
    <w:rsid w:val="00183B4E"/>
    <w:rPr>
      <w:rFonts w:ascii="Consolas" w:hAnsi="Consolas" w:cs="Consolas"/>
      <w:sz w:val="20"/>
      <w:szCs w:val="20"/>
    </w:rPr>
  </w:style>
  <w:style w:type="character" w:styleId="HTMLVariable">
    <w:name w:val="HTML Variable"/>
    <w:basedOn w:val="DefaultParagraphFont"/>
    <w:uiPriority w:val="98"/>
    <w:semiHidden/>
    <w:rsid w:val="00183B4E"/>
    <w:rPr>
      <w:i/>
      <w:iCs/>
    </w:rPr>
  </w:style>
  <w:style w:type="paragraph" w:styleId="Index1">
    <w:name w:val="index 1"/>
    <w:basedOn w:val="Normal"/>
    <w:next w:val="Normal"/>
    <w:autoRedefine/>
    <w:uiPriority w:val="98"/>
    <w:semiHidden/>
    <w:rsid w:val="00183B4E"/>
    <w:pPr>
      <w:ind w:left="240" w:hanging="240"/>
    </w:pPr>
  </w:style>
  <w:style w:type="paragraph" w:styleId="Index2">
    <w:name w:val="index 2"/>
    <w:basedOn w:val="Normal"/>
    <w:next w:val="Normal"/>
    <w:autoRedefine/>
    <w:uiPriority w:val="98"/>
    <w:semiHidden/>
    <w:rsid w:val="00183B4E"/>
    <w:pPr>
      <w:ind w:left="480" w:hanging="240"/>
    </w:pPr>
  </w:style>
  <w:style w:type="paragraph" w:styleId="Index3">
    <w:name w:val="index 3"/>
    <w:basedOn w:val="Normal"/>
    <w:next w:val="Normal"/>
    <w:autoRedefine/>
    <w:uiPriority w:val="98"/>
    <w:semiHidden/>
    <w:rsid w:val="00183B4E"/>
    <w:pPr>
      <w:ind w:left="720" w:hanging="240"/>
    </w:pPr>
  </w:style>
  <w:style w:type="paragraph" w:styleId="Index4">
    <w:name w:val="index 4"/>
    <w:basedOn w:val="Normal"/>
    <w:next w:val="Normal"/>
    <w:autoRedefine/>
    <w:uiPriority w:val="98"/>
    <w:semiHidden/>
    <w:rsid w:val="00183B4E"/>
    <w:pPr>
      <w:ind w:left="960" w:hanging="240"/>
    </w:pPr>
  </w:style>
  <w:style w:type="paragraph" w:styleId="Index5">
    <w:name w:val="index 5"/>
    <w:basedOn w:val="Normal"/>
    <w:next w:val="Normal"/>
    <w:autoRedefine/>
    <w:uiPriority w:val="98"/>
    <w:semiHidden/>
    <w:rsid w:val="00183B4E"/>
    <w:pPr>
      <w:ind w:left="1200" w:hanging="240"/>
    </w:pPr>
  </w:style>
  <w:style w:type="paragraph" w:styleId="Index6">
    <w:name w:val="index 6"/>
    <w:basedOn w:val="Normal"/>
    <w:next w:val="Normal"/>
    <w:autoRedefine/>
    <w:uiPriority w:val="98"/>
    <w:semiHidden/>
    <w:rsid w:val="00183B4E"/>
    <w:pPr>
      <w:ind w:left="1440" w:hanging="240"/>
    </w:pPr>
  </w:style>
  <w:style w:type="paragraph" w:styleId="Index7">
    <w:name w:val="index 7"/>
    <w:basedOn w:val="Normal"/>
    <w:next w:val="Normal"/>
    <w:autoRedefine/>
    <w:uiPriority w:val="98"/>
    <w:semiHidden/>
    <w:rsid w:val="00183B4E"/>
    <w:pPr>
      <w:ind w:left="1680" w:hanging="240"/>
    </w:pPr>
  </w:style>
  <w:style w:type="paragraph" w:styleId="Index8">
    <w:name w:val="index 8"/>
    <w:basedOn w:val="Normal"/>
    <w:next w:val="Normal"/>
    <w:autoRedefine/>
    <w:uiPriority w:val="98"/>
    <w:semiHidden/>
    <w:rsid w:val="00183B4E"/>
    <w:pPr>
      <w:ind w:left="1920" w:hanging="240"/>
    </w:pPr>
  </w:style>
  <w:style w:type="paragraph" w:styleId="Index9">
    <w:name w:val="index 9"/>
    <w:basedOn w:val="Normal"/>
    <w:next w:val="Normal"/>
    <w:autoRedefine/>
    <w:uiPriority w:val="98"/>
    <w:semiHidden/>
    <w:rsid w:val="00183B4E"/>
    <w:pPr>
      <w:ind w:left="2160" w:hanging="240"/>
    </w:pPr>
  </w:style>
  <w:style w:type="paragraph" w:styleId="IndexHeading">
    <w:name w:val="index heading"/>
    <w:basedOn w:val="Normal"/>
    <w:next w:val="Index1"/>
    <w:uiPriority w:val="98"/>
    <w:semiHidden/>
    <w:rsid w:val="00183B4E"/>
    <w:rPr>
      <w:rFonts w:asciiTheme="majorHAnsi" w:eastAsiaTheme="majorEastAsia" w:hAnsiTheme="majorHAnsi" w:cstheme="majorBidi"/>
      <w:b/>
      <w:bCs/>
    </w:rPr>
  </w:style>
  <w:style w:type="table" w:styleId="LightGrid">
    <w:name w:val="Light Grid"/>
    <w:basedOn w:val="TableNormal"/>
    <w:uiPriority w:val="62"/>
    <w:semiHidden/>
    <w:rsid w:val="00183B4E"/>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183B4E"/>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183B4E"/>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183B4E"/>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183B4E"/>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183B4E"/>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183B4E"/>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183B4E"/>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183B4E"/>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183B4E"/>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183B4E"/>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183B4E"/>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183B4E"/>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183B4E"/>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183B4E"/>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183B4E"/>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183B4E"/>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183B4E"/>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183B4E"/>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183B4E"/>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183B4E"/>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183B4E"/>
  </w:style>
  <w:style w:type="paragraph" w:styleId="List">
    <w:name w:val="List"/>
    <w:basedOn w:val="Normal"/>
    <w:uiPriority w:val="98"/>
    <w:semiHidden/>
    <w:rsid w:val="00183B4E"/>
    <w:pPr>
      <w:ind w:left="283" w:hanging="283"/>
      <w:contextualSpacing/>
    </w:pPr>
  </w:style>
  <w:style w:type="paragraph" w:styleId="List2">
    <w:name w:val="List 2"/>
    <w:basedOn w:val="Normal"/>
    <w:uiPriority w:val="98"/>
    <w:semiHidden/>
    <w:rsid w:val="00183B4E"/>
    <w:pPr>
      <w:ind w:left="566" w:hanging="283"/>
      <w:contextualSpacing/>
    </w:pPr>
  </w:style>
  <w:style w:type="paragraph" w:styleId="List3">
    <w:name w:val="List 3"/>
    <w:basedOn w:val="Normal"/>
    <w:uiPriority w:val="98"/>
    <w:semiHidden/>
    <w:rsid w:val="00183B4E"/>
    <w:pPr>
      <w:ind w:left="849" w:hanging="283"/>
      <w:contextualSpacing/>
    </w:pPr>
  </w:style>
  <w:style w:type="paragraph" w:styleId="List4">
    <w:name w:val="List 4"/>
    <w:basedOn w:val="Normal"/>
    <w:uiPriority w:val="98"/>
    <w:semiHidden/>
    <w:rsid w:val="00183B4E"/>
    <w:pPr>
      <w:ind w:left="1132" w:hanging="283"/>
      <w:contextualSpacing/>
    </w:pPr>
  </w:style>
  <w:style w:type="paragraph" w:styleId="List5">
    <w:name w:val="List 5"/>
    <w:basedOn w:val="Normal"/>
    <w:uiPriority w:val="98"/>
    <w:semiHidden/>
    <w:rsid w:val="00183B4E"/>
    <w:pPr>
      <w:ind w:left="1415" w:hanging="283"/>
      <w:contextualSpacing/>
    </w:pPr>
  </w:style>
  <w:style w:type="paragraph" w:styleId="ListBullet2">
    <w:name w:val="List Bullet 2"/>
    <w:basedOn w:val="Normal"/>
    <w:uiPriority w:val="98"/>
    <w:semiHidden/>
    <w:rsid w:val="00183B4E"/>
    <w:pPr>
      <w:numPr>
        <w:numId w:val="11"/>
      </w:numPr>
      <w:contextualSpacing/>
    </w:pPr>
  </w:style>
  <w:style w:type="paragraph" w:styleId="ListBullet4">
    <w:name w:val="List Bullet 4"/>
    <w:basedOn w:val="Normal"/>
    <w:uiPriority w:val="98"/>
    <w:semiHidden/>
    <w:rsid w:val="00183B4E"/>
    <w:pPr>
      <w:numPr>
        <w:numId w:val="13"/>
      </w:numPr>
      <w:contextualSpacing/>
    </w:pPr>
  </w:style>
  <w:style w:type="paragraph" w:styleId="ListBullet5">
    <w:name w:val="List Bullet 5"/>
    <w:basedOn w:val="Normal"/>
    <w:uiPriority w:val="98"/>
    <w:semiHidden/>
    <w:rsid w:val="00183B4E"/>
    <w:pPr>
      <w:numPr>
        <w:numId w:val="14"/>
      </w:numPr>
      <w:contextualSpacing/>
    </w:pPr>
  </w:style>
  <w:style w:type="paragraph" w:styleId="ListContinue">
    <w:name w:val="List Continue"/>
    <w:basedOn w:val="Normal"/>
    <w:uiPriority w:val="98"/>
    <w:semiHidden/>
    <w:rsid w:val="00183B4E"/>
    <w:pPr>
      <w:spacing w:after="120"/>
      <w:ind w:left="283"/>
      <w:contextualSpacing/>
    </w:pPr>
  </w:style>
  <w:style w:type="paragraph" w:styleId="ListContinue2">
    <w:name w:val="List Continue 2"/>
    <w:basedOn w:val="Normal"/>
    <w:uiPriority w:val="98"/>
    <w:semiHidden/>
    <w:rsid w:val="00183B4E"/>
    <w:pPr>
      <w:spacing w:after="120"/>
      <w:ind w:left="566"/>
      <w:contextualSpacing/>
    </w:pPr>
  </w:style>
  <w:style w:type="paragraph" w:styleId="ListContinue3">
    <w:name w:val="List Continue 3"/>
    <w:basedOn w:val="Normal"/>
    <w:uiPriority w:val="98"/>
    <w:semiHidden/>
    <w:rsid w:val="00183B4E"/>
    <w:pPr>
      <w:spacing w:after="120"/>
      <w:ind w:left="849"/>
      <w:contextualSpacing/>
    </w:pPr>
  </w:style>
  <w:style w:type="paragraph" w:styleId="ListContinue4">
    <w:name w:val="List Continue 4"/>
    <w:basedOn w:val="Normal"/>
    <w:uiPriority w:val="98"/>
    <w:semiHidden/>
    <w:rsid w:val="00183B4E"/>
    <w:pPr>
      <w:spacing w:after="120"/>
      <w:ind w:left="1132"/>
      <w:contextualSpacing/>
    </w:pPr>
  </w:style>
  <w:style w:type="paragraph" w:styleId="ListContinue5">
    <w:name w:val="List Continue 5"/>
    <w:basedOn w:val="Normal"/>
    <w:uiPriority w:val="98"/>
    <w:semiHidden/>
    <w:rsid w:val="00183B4E"/>
    <w:pPr>
      <w:spacing w:after="120"/>
      <w:ind w:left="1415"/>
      <w:contextualSpacing/>
    </w:pPr>
  </w:style>
  <w:style w:type="paragraph" w:styleId="ListNumber">
    <w:name w:val="List Number"/>
    <w:basedOn w:val="Normal"/>
    <w:uiPriority w:val="98"/>
    <w:semiHidden/>
    <w:rsid w:val="00183B4E"/>
    <w:pPr>
      <w:numPr>
        <w:numId w:val="15"/>
      </w:numPr>
      <w:contextualSpacing/>
    </w:pPr>
  </w:style>
  <w:style w:type="paragraph" w:styleId="ListNumber2">
    <w:name w:val="List Number 2"/>
    <w:basedOn w:val="Normal"/>
    <w:uiPriority w:val="98"/>
    <w:semiHidden/>
    <w:rsid w:val="00183B4E"/>
    <w:pPr>
      <w:numPr>
        <w:numId w:val="16"/>
      </w:numPr>
      <w:contextualSpacing/>
    </w:pPr>
  </w:style>
  <w:style w:type="paragraph" w:styleId="ListNumber3">
    <w:name w:val="List Number 3"/>
    <w:basedOn w:val="Normal"/>
    <w:uiPriority w:val="98"/>
    <w:semiHidden/>
    <w:rsid w:val="00183B4E"/>
    <w:pPr>
      <w:numPr>
        <w:numId w:val="17"/>
      </w:numPr>
      <w:contextualSpacing/>
    </w:pPr>
  </w:style>
  <w:style w:type="paragraph" w:styleId="ListNumber4">
    <w:name w:val="List Number 4"/>
    <w:basedOn w:val="Normal"/>
    <w:uiPriority w:val="98"/>
    <w:semiHidden/>
    <w:rsid w:val="00183B4E"/>
    <w:pPr>
      <w:numPr>
        <w:numId w:val="18"/>
      </w:numPr>
      <w:contextualSpacing/>
    </w:pPr>
  </w:style>
  <w:style w:type="paragraph" w:styleId="ListNumber5">
    <w:name w:val="List Number 5"/>
    <w:basedOn w:val="Normal"/>
    <w:uiPriority w:val="98"/>
    <w:semiHidden/>
    <w:rsid w:val="00183B4E"/>
    <w:pPr>
      <w:numPr>
        <w:numId w:val="19"/>
      </w:numPr>
      <w:contextualSpacing/>
    </w:pPr>
  </w:style>
  <w:style w:type="paragraph" w:styleId="MacroText">
    <w:name w:val="macro"/>
    <w:link w:val="MacroTextChar"/>
    <w:uiPriority w:val="98"/>
    <w:semiHidden/>
    <w:rsid w:val="00183B4E"/>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183B4E"/>
    <w:rPr>
      <w:rFonts w:ascii="Consolas" w:eastAsiaTheme="minorEastAsia" w:hAnsi="Consolas" w:cs="Consolas"/>
      <w:sz w:val="20"/>
      <w:szCs w:val="20"/>
    </w:rPr>
  </w:style>
  <w:style w:type="table" w:styleId="MediumGrid1">
    <w:name w:val="Medium Grid 1"/>
    <w:basedOn w:val="TableNormal"/>
    <w:uiPriority w:val="67"/>
    <w:semiHidden/>
    <w:rsid w:val="00183B4E"/>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183B4E"/>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183B4E"/>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183B4E"/>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183B4E"/>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183B4E"/>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183B4E"/>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183B4E"/>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183B4E"/>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183B4E"/>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183B4E"/>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183B4E"/>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183B4E"/>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183B4E"/>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183B4E"/>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183B4E"/>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183B4E"/>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183B4E"/>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183B4E"/>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183B4E"/>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183B4E"/>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183B4E"/>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183B4E"/>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183B4E"/>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183B4E"/>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183B4E"/>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183B4E"/>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183B4E"/>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183B4E"/>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183B4E"/>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183B4E"/>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183B4E"/>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183B4E"/>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183B4E"/>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183B4E"/>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183B4E"/>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183B4E"/>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183B4E"/>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183B4E"/>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183B4E"/>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183B4E"/>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183B4E"/>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183B4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183B4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183B4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183B4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183B4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183B4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183B4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183B4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183B4E"/>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183B4E"/>
    <w:rPr>
      <w:rFonts w:ascii="Times New Roman" w:hAnsi="Times New Roman" w:cs="Times New Roman"/>
    </w:rPr>
  </w:style>
  <w:style w:type="paragraph" w:styleId="NormalIndent">
    <w:name w:val="Normal Indent"/>
    <w:basedOn w:val="Normal"/>
    <w:uiPriority w:val="98"/>
    <w:semiHidden/>
    <w:rsid w:val="00183B4E"/>
    <w:pPr>
      <w:ind w:left="720"/>
    </w:pPr>
  </w:style>
  <w:style w:type="paragraph" w:styleId="NoteHeading">
    <w:name w:val="Note Heading"/>
    <w:basedOn w:val="Normal"/>
    <w:next w:val="Normal"/>
    <w:link w:val="NoteHeadingChar"/>
    <w:uiPriority w:val="98"/>
    <w:semiHidden/>
    <w:rsid w:val="00183B4E"/>
  </w:style>
  <w:style w:type="character" w:customStyle="1" w:styleId="NoteHeadingChar">
    <w:name w:val="Note Heading Char"/>
    <w:basedOn w:val="DefaultParagraphFont"/>
    <w:link w:val="NoteHeading"/>
    <w:uiPriority w:val="98"/>
    <w:semiHidden/>
    <w:rsid w:val="00183B4E"/>
    <w:rPr>
      <w:sz w:val="24"/>
      <w:szCs w:val="24"/>
      <w:lang w:val="ro-RO"/>
    </w:rPr>
  </w:style>
  <w:style w:type="character" w:styleId="PlaceholderText">
    <w:name w:val="Placeholder Text"/>
    <w:basedOn w:val="DefaultParagraphFont"/>
    <w:uiPriority w:val="98"/>
    <w:semiHidden/>
    <w:rsid w:val="00183B4E"/>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183B4E"/>
    <w:rPr>
      <w:rFonts w:ascii="Consolas" w:hAnsi="Consolas" w:cs="Consolas"/>
      <w:sz w:val="21"/>
      <w:szCs w:val="21"/>
    </w:rPr>
  </w:style>
  <w:style w:type="character" w:customStyle="1" w:styleId="PlainTextChar">
    <w:name w:val="Plain Text Char"/>
    <w:basedOn w:val="DefaultParagraphFont"/>
    <w:link w:val="PlainText"/>
    <w:uiPriority w:val="98"/>
    <w:semiHidden/>
    <w:rsid w:val="00183B4E"/>
    <w:rPr>
      <w:rFonts w:ascii="Consolas" w:hAnsi="Consolas" w:cs="Consolas"/>
      <w:sz w:val="21"/>
      <w:szCs w:val="21"/>
      <w:lang w:val="ro-RO"/>
    </w:rPr>
  </w:style>
  <w:style w:type="paragraph" w:styleId="Salutation">
    <w:name w:val="Salutation"/>
    <w:basedOn w:val="Normal"/>
    <w:next w:val="Normal"/>
    <w:link w:val="SalutationChar"/>
    <w:uiPriority w:val="98"/>
    <w:semiHidden/>
    <w:rsid w:val="00183B4E"/>
  </w:style>
  <w:style w:type="character" w:customStyle="1" w:styleId="SalutationChar">
    <w:name w:val="Salutation Char"/>
    <w:basedOn w:val="DefaultParagraphFont"/>
    <w:link w:val="Salutation"/>
    <w:uiPriority w:val="98"/>
    <w:semiHidden/>
    <w:rsid w:val="00183B4E"/>
    <w:rPr>
      <w:sz w:val="24"/>
      <w:szCs w:val="24"/>
      <w:lang w:val="ro-RO"/>
    </w:rPr>
  </w:style>
  <w:style w:type="paragraph" w:styleId="Signature">
    <w:name w:val="Signature"/>
    <w:basedOn w:val="Normal"/>
    <w:link w:val="SignatureChar"/>
    <w:uiPriority w:val="98"/>
    <w:semiHidden/>
    <w:rsid w:val="00183B4E"/>
    <w:pPr>
      <w:ind w:left="4252"/>
    </w:pPr>
  </w:style>
  <w:style w:type="character" w:customStyle="1" w:styleId="SignatureChar">
    <w:name w:val="Signature Char"/>
    <w:basedOn w:val="DefaultParagraphFont"/>
    <w:link w:val="Signature"/>
    <w:uiPriority w:val="98"/>
    <w:semiHidden/>
    <w:rsid w:val="00183B4E"/>
    <w:rPr>
      <w:sz w:val="24"/>
      <w:szCs w:val="24"/>
      <w:lang w:val="ro-RO"/>
    </w:rPr>
  </w:style>
  <w:style w:type="table" w:styleId="Table3Deffects1">
    <w:name w:val="Table 3D effects 1"/>
    <w:basedOn w:val="TableNormal"/>
    <w:uiPriority w:val="99"/>
    <w:semiHidden/>
    <w:unhideWhenUsed/>
    <w:rsid w:val="00183B4E"/>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83B4E"/>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83B4E"/>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83B4E"/>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83B4E"/>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83B4E"/>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83B4E"/>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83B4E"/>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83B4E"/>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83B4E"/>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83B4E"/>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83B4E"/>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83B4E"/>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83B4E"/>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83B4E"/>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83B4E"/>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83B4E"/>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83B4E"/>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83B4E"/>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83B4E"/>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83B4E"/>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83B4E"/>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83B4E"/>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83B4E"/>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83B4E"/>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83B4E"/>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83B4E"/>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83B4E"/>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83B4E"/>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83B4E"/>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83B4E"/>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83B4E"/>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83B4E"/>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183B4E"/>
    <w:pPr>
      <w:ind w:left="240" w:hanging="240"/>
    </w:pPr>
  </w:style>
  <w:style w:type="paragraph" w:styleId="TableofFigures">
    <w:name w:val="table of figures"/>
    <w:basedOn w:val="Normal"/>
    <w:next w:val="Normal"/>
    <w:uiPriority w:val="98"/>
    <w:semiHidden/>
    <w:rsid w:val="00183B4E"/>
  </w:style>
  <w:style w:type="table" w:styleId="TableProfessional">
    <w:name w:val="Table Professional"/>
    <w:basedOn w:val="TableNormal"/>
    <w:uiPriority w:val="99"/>
    <w:semiHidden/>
    <w:unhideWhenUsed/>
    <w:rsid w:val="00183B4E"/>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83B4E"/>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83B4E"/>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83B4E"/>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83B4E"/>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83B4E"/>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83B4E"/>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83B4E"/>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83B4E"/>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83B4E"/>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183B4E"/>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183B4E"/>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183B4E"/>
    <w:pPr>
      <w:spacing w:after="100"/>
      <w:ind w:left="1680"/>
    </w:pPr>
  </w:style>
  <w:style w:type="paragraph" w:styleId="TOC9">
    <w:name w:val="toc 9"/>
    <w:basedOn w:val="Normal"/>
    <w:next w:val="Normal"/>
    <w:autoRedefine/>
    <w:uiPriority w:val="98"/>
    <w:semiHidden/>
    <w:rsid w:val="00183B4E"/>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183B4E"/>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183B4E"/>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183B4E"/>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183B4E"/>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183B4E"/>
    <w:pPr>
      <w:numPr>
        <w:numId w:val="23"/>
      </w:numPr>
      <w:spacing w:before="60" w:after="60"/>
    </w:pPr>
  </w:style>
  <w:style w:type="paragraph" w:customStyle="1" w:styleId="ECHRBullet2">
    <w:name w:val="ECHR_Bullet_2"/>
    <w:aliases w:val="_Bul_2"/>
    <w:basedOn w:val="ECHRBullet1"/>
    <w:uiPriority w:val="23"/>
    <w:semiHidden/>
    <w:rsid w:val="00183B4E"/>
    <w:pPr>
      <w:numPr>
        <w:ilvl w:val="1"/>
      </w:numPr>
    </w:pPr>
  </w:style>
  <w:style w:type="paragraph" w:customStyle="1" w:styleId="ECHRBullet3">
    <w:name w:val="ECHR_Bullet_3"/>
    <w:aliases w:val="_Bul_3"/>
    <w:basedOn w:val="ECHRBullet2"/>
    <w:uiPriority w:val="23"/>
    <w:semiHidden/>
    <w:rsid w:val="00183B4E"/>
    <w:pPr>
      <w:numPr>
        <w:ilvl w:val="2"/>
      </w:numPr>
    </w:pPr>
  </w:style>
  <w:style w:type="paragraph" w:customStyle="1" w:styleId="ECHRBullet4">
    <w:name w:val="ECHR_Bullet_4"/>
    <w:aliases w:val="_Bul_4"/>
    <w:basedOn w:val="ECHRBullet3"/>
    <w:uiPriority w:val="23"/>
    <w:semiHidden/>
    <w:rsid w:val="00183B4E"/>
    <w:pPr>
      <w:numPr>
        <w:ilvl w:val="3"/>
      </w:numPr>
    </w:pPr>
  </w:style>
  <w:style w:type="paragraph" w:customStyle="1" w:styleId="ECHRConfidential">
    <w:name w:val="ECHR_Confidential"/>
    <w:aliases w:val="_Confidential"/>
    <w:basedOn w:val="Normal"/>
    <w:next w:val="Normal"/>
    <w:uiPriority w:val="42"/>
    <w:semiHidden/>
    <w:qFormat/>
    <w:rsid w:val="00183B4E"/>
    <w:pPr>
      <w:jc w:val="right"/>
    </w:pPr>
    <w:rPr>
      <w:color w:val="C00000"/>
      <w:sz w:val="20"/>
    </w:rPr>
  </w:style>
  <w:style w:type="paragraph" w:customStyle="1" w:styleId="ECHRDecisionBody">
    <w:name w:val="ECHR_Decision_Body"/>
    <w:aliases w:val="_Decision_Body"/>
    <w:basedOn w:val="NormalJustified"/>
    <w:uiPriority w:val="54"/>
    <w:semiHidden/>
    <w:rsid w:val="00183B4E"/>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183B4E"/>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183B4E"/>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183B4E"/>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183B4E"/>
    <w:pPr>
      <w:jc w:val="right"/>
    </w:pPr>
    <w:rPr>
      <w:sz w:val="20"/>
    </w:rPr>
  </w:style>
  <w:style w:type="paragraph" w:customStyle="1" w:styleId="ECHRHeaderRefIt">
    <w:name w:val="ECHR_Header_Ref_It"/>
    <w:aliases w:val="_Ref_Ital"/>
    <w:basedOn w:val="Normal"/>
    <w:next w:val="ECHRHeaderDate"/>
    <w:uiPriority w:val="43"/>
    <w:qFormat/>
    <w:rsid w:val="00183B4E"/>
    <w:pPr>
      <w:jc w:val="right"/>
    </w:pPr>
    <w:rPr>
      <w:i/>
      <w:sz w:val="20"/>
    </w:rPr>
  </w:style>
  <w:style w:type="paragraph" w:customStyle="1" w:styleId="ECHRHeading9">
    <w:name w:val="ECHR_Heading_9"/>
    <w:aliases w:val="_Head_9"/>
    <w:basedOn w:val="Heading9"/>
    <w:uiPriority w:val="17"/>
    <w:semiHidden/>
    <w:rsid w:val="00183B4E"/>
    <w:pPr>
      <w:keepNext/>
      <w:keepLines/>
      <w:numPr>
        <w:ilvl w:val="8"/>
        <w:numId w:val="25"/>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183B4E"/>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183B4E"/>
    <w:pPr>
      <w:numPr>
        <w:numId w:val="24"/>
      </w:numPr>
      <w:spacing w:before="60" w:after="60"/>
    </w:pPr>
  </w:style>
  <w:style w:type="paragraph" w:customStyle="1" w:styleId="ECHRNumberedList2">
    <w:name w:val="ECHR_Numbered_List_2"/>
    <w:aliases w:val="_Num_2"/>
    <w:basedOn w:val="ECHRNumberedList1"/>
    <w:uiPriority w:val="23"/>
    <w:semiHidden/>
    <w:rsid w:val="00183B4E"/>
    <w:pPr>
      <w:numPr>
        <w:ilvl w:val="1"/>
      </w:numPr>
    </w:pPr>
  </w:style>
  <w:style w:type="paragraph" w:customStyle="1" w:styleId="ECHRNumberedList3">
    <w:name w:val="ECHR_Numbered_List_3"/>
    <w:aliases w:val="_Num_3"/>
    <w:basedOn w:val="ECHRNumberedList2"/>
    <w:uiPriority w:val="23"/>
    <w:semiHidden/>
    <w:rsid w:val="00183B4E"/>
    <w:pPr>
      <w:numPr>
        <w:ilvl w:val="2"/>
      </w:numPr>
    </w:pPr>
  </w:style>
  <w:style w:type="paragraph" w:customStyle="1" w:styleId="ECHRParaHanging">
    <w:name w:val="ECHR_Para_Hanging"/>
    <w:aliases w:val="_Hanging"/>
    <w:basedOn w:val="NormalJustified"/>
    <w:uiPriority w:val="8"/>
    <w:semiHidden/>
    <w:qFormat/>
    <w:rsid w:val="00183B4E"/>
    <w:pPr>
      <w:ind w:left="567" w:hanging="567"/>
    </w:pPr>
  </w:style>
  <w:style w:type="paragraph" w:customStyle="1" w:styleId="ECHRParaIndent">
    <w:name w:val="ECHR_Para_Indent"/>
    <w:aliases w:val="_Indent"/>
    <w:basedOn w:val="NormalJustified"/>
    <w:uiPriority w:val="7"/>
    <w:semiHidden/>
    <w:qFormat/>
    <w:rsid w:val="00183B4E"/>
    <w:pPr>
      <w:spacing w:before="120" w:after="120"/>
      <w:ind w:left="284"/>
    </w:pPr>
  </w:style>
  <w:style w:type="character" w:customStyle="1" w:styleId="ECHRRed">
    <w:name w:val="ECHR_Red"/>
    <w:aliases w:val="_Red"/>
    <w:basedOn w:val="DefaultParagraphFont"/>
    <w:uiPriority w:val="15"/>
    <w:semiHidden/>
    <w:qFormat/>
    <w:rsid w:val="00183B4E"/>
    <w:rPr>
      <w:color w:val="C00000" w:themeColor="accent2"/>
    </w:rPr>
  </w:style>
  <w:style w:type="paragraph" w:customStyle="1" w:styleId="DecList">
    <w:name w:val="Dec_List"/>
    <w:aliases w:val="_List"/>
    <w:basedOn w:val="JuList"/>
    <w:uiPriority w:val="22"/>
    <w:rsid w:val="00183B4E"/>
    <w:pPr>
      <w:numPr>
        <w:numId w:val="0"/>
      </w:numPr>
      <w:ind w:left="284"/>
    </w:pPr>
  </w:style>
  <w:style w:type="table" w:customStyle="1" w:styleId="ECHRTable2">
    <w:name w:val="ECHR_Table_2"/>
    <w:basedOn w:val="TableNormal"/>
    <w:uiPriority w:val="99"/>
    <w:rsid w:val="00183B4E"/>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183B4E"/>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183B4E"/>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183B4E"/>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183B4E"/>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183B4E"/>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183B4E"/>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183B4E"/>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183B4E"/>
    <w:pPr>
      <w:outlineLvl w:val="0"/>
    </w:pPr>
  </w:style>
  <w:style w:type="paragraph" w:customStyle="1" w:styleId="ECHRTitleTOC1">
    <w:name w:val="ECHR_Title_TOC_1"/>
    <w:aliases w:val="_Title_L_TOC"/>
    <w:basedOn w:val="ECHRTitle1"/>
    <w:next w:val="Normal"/>
    <w:uiPriority w:val="27"/>
    <w:semiHidden/>
    <w:qFormat/>
    <w:rsid w:val="00183B4E"/>
    <w:pPr>
      <w:outlineLvl w:val="0"/>
    </w:pPr>
  </w:style>
  <w:style w:type="paragraph" w:customStyle="1" w:styleId="ECHRPlaceholder">
    <w:name w:val="ECHR_Placeholder"/>
    <w:aliases w:val="_Placeholder"/>
    <w:basedOn w:val="JuSigned"/>
    <w:uiPriority w:val="31"/>
    <w:rsid w:val="00183B4E"/>
    <w:rPr>
      <w:color w:val="FFFFFF"/>
    </w:rPr>
  </w:style>
  <w:style w:type="paragraph" w:customStyle="1" w:styleId="ECHRSpacer">
    <w:name w:val="ECHR_Spacer"/>
    <w:aliases w:val="_Spacer"/>
    <w:basedOn w:val="Normal"/>
    <w:uiPriority w:val="45"/>
    <w:semiHidden/>
    <w:rsid w:val="00183B4E"/>
    <w:rPr>
      <w:sz w:val="4"/>
    </w:rPr>
  </w:style>
  <w:style w:type="table" w:customStyle="1" w:styleId="ECHRTableGrey">
    <w:name w:val="ECHR_Table_Grey"/>
    <w:basedOn w:val="TableNormal"/>
    <w:uiPriority w:val="99"/>
    <w:rsid w:val="00183B4E"/>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183B4E"/>
    <w:rPr>
      <w:color w:val="605E5C"/>
      <w:shd w:val="clear" w:color="auto" w:fill="E1DFDD"/>
    </w:rPr>
  </w:style>
  <w:style w:type="character" w:customStyle="1" w:styleId="JuParaChar">
    <w:name w:val="Ju_Para Char"/>
    <w:aliases w:val="_Para Char"/>
    <w:link w:val="JuPara"/>
    <w:uiPriority w:val="4"/>
    <w:rsid w:val="00572B49"/>
    <w:rPr>
      <w:sz w:val="24"/>
      <w:szCs w:val="24"/>
      <w:lang w:val="ro-RO"/>
    </w:rPr>
  </w:style>
  <w:style w:type="character" w:customStyle="1" w:styleId="JuNames0">
    <w:name w:val="Ju_Names"/>
    <w:rsid w:val="00572B49"/>
    <w:rPr>
      <w:smallCaps/>
    </w:rPr>
  </w:style>
  <w:style w:type="paragraph" w:customStyle="1" w:styleId="JuList4">
    <w:name w:val="Ju_List_4"/>
    <w:aliases w:val="N_Bul_4"/>
    <w:basedOn w:val="JuListi"/>
    <w:uiPriority w:val="19"/>
    <w:rsid w:val="00572B49"/>
    <w:pPr>
      <w:numPr>
        <w:ilvl w:val="0"/>
        <w:numId w:val="0"/>
      </w:numPr>
      <w:tabs>
        <w:tab w:val="num" w:pos="1701"/>
      </w:tabs>
      <w:spacing w:before="60" w:after="60" w:line="240" w:lineRule="exact"/>
      <w:ind w:left="1703" w:hanging="284"/>
      <w:contextualSpacing/>
    </w:pPr>
    <w:rPr>
      <w:sz w:val="22"/>
      <w:lang w:eastAsia="fr-FR"/>
    </w:rPr>
  </w:style>
  <w:style w:type="paragraph" w:styleId="Revision">
    <w:name w:val="Revision"/>
    <w:hidden/>
    <w:uiPriority w:val="99"/>
    <w:semiHidden/>
    <w:rsid w:val="00572B49"/>
    <w:rPr>
      <w:sz w:val="24"/>
      <w:szCs w:val="24"/>
    </w:rPr>
  </w:style>
  <w:style w:type="paragraph" w:customStyle="1" w:styleId="ECHRList1">
    <w:name w:val="ECHR_List_1"/>
    <w:aliases w:val="Num_Left_1"/>
    <w:basedOn w:val="NormalJustified"/>
    <w:uiPriority w:val="12"/>
    <w:qFormat/>
    <w:rsid w:val="00572B49"/>
    <w:pPr>
      <w:numPr>
        <w:numId w:val="5"/>
      </w:numPr>
      <w:spacing w:before="60" w:after="60"/>
    </w:pPr>
    <w:rPr>
      <w:rFonts w:ascii="Calibri" w:eastAsia="Calibri" w:hAnsi="Calibri" w:cs="Times New Roman"/>
      <w:sz w:val="22"/>
      <w:szCs w:val="22"/>
    </w:rPr>
  </w:style>
  <w:style w:type="paragraph" w:customStyle="1" w:styleId="ECHRList2">
    <w:name w:val="ECHR_List_2"/>
    <w:aliases w:val="Num_Left_2"/>
    <w:basedOn w:val="ECHRList1"/>
    <w:uiPriority w:val="12"/>
    <w:rsid w:val="00572B49"/>
    <w:pPr>
      <w:numPr>
        <w:ilvl w:val="1"/>
      </w:numPr>
    </w:pPr>
  </w:style>
  <w:style w:type="paragraph" w:customStyle="1" w:styleId="ECHRList3">
    <w:name w:val="ECHR_List_3"/>
    <w:aliases w:val="Num_Left_3"/>
    <w:basedOn w:val="ECHRList2"/>
    <w:uiPriority w:val="12"/>
    <w:rsid w:val="00572B49"/>
    <w:pPr>
      <w:numPr>
        <w:ilvl w:val="2"/>
      </w:numPr>
      <w:tabs>
        <w:tab w:val="num" w:pos="360"/>
      </w:tabs>
    </w:pPr>
  </w:style>
  <w:style w:type="table" w:styleId="GridTable1Light">
    <w:name w:val="Grid Table 1 Light"/>
    <w:basedOn w:val="TableNormal"/>
    <w:uiPriority w:val="46"/>
    <w:semiHidden/>
    <w:rsid w:val="0038547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385475"/>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385475"/>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385475"/>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385475"/>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385475"/>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385475"/>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38547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385475"/>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385475"/>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385475"/>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385475"/>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385475"/>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385475"/>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38547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38547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38547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385475"/>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38547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38547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38547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38547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38547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38547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385475"/>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38547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38547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38547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38547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38547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38547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38547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38547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38547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38547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38547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385475"/>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385475"/>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385475"/>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385475"/>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385475"/>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385475"/>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38547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385475"/>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385475"/>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385475"/>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385475"/>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385475"/>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385475"/>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385475"/>
    <w:rPr>
      <w:color w:val="2B579A"/>
      <w:shd w:val="clear" w:color="auto" w:fill="E1DFDD"/>
    </w:rPr>
  </w:style>
  <w:style w:type="table" w:styleId="ListTable1Light">
    <w:name w:val="List Table 1 Light"/>
    <w:basedOn w:val="TableNormal"/>
    <w:uiPriority w:val="46"/>
    <w:semiHidden/>
    <w:rsid w:val="0038547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385475"/>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385475"/>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385475"/>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385475"/>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385475"/>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385475"/>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38547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385475"/>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385475"/>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385475"/>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385475"/>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385475"/>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385475"/>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38547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385475"/>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385475"/>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385475"/>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385475"/>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385475"/>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385475"/>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38547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38547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38547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385475"/>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38547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38547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38547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38547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385475"/>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385475"/>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385475"/>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385475"/>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385475"/>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385475"/>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38547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385475"/>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385475"/>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385475"/>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385475"/>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385475"/>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385475"/>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38547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385475"/>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385475"/>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385475"/>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385475"/>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385475"/>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385475"/>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385475"/>
    <w:rPr>
      <w:color w:val="2B579A"/>
      <w:shd w:val="clear" w:color="auto" w:fill="E1DFDD"/>
    </w:rPr>
  </w:style>
  <w:style w:type="table" w:styleId="PlainTable1">
    <w:name w:val="Plain Table 1"/>
    <w:basedOn w:val="TableNormal"/>
    <w:uiPriority w:val="41"/>
    <w:semiHidden/>
    <w:rsid w:val="0038547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38547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38547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38547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38547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385475"/>
    <w:rPr>
      <w:u w:val="dotted"/>
    </w:rPr>
  </w:style>
  <w:style w:type="character" w:customStyle="1" w:styleId="SmartLink">
    <w:name w:val="Smart Link"/>
    <w:basedOn w:val="DefaultParagraphFont"/>
    <w:uiPriority w:val="99"/>
    <w:semiHidden/>
    <w:unhideWhenUsed/>
    <w:rsid w:val="00385475"/>
    <w:rPr>
      <w:color w:val="0000FF"/>
      <w:u w:val="single"/>
      <w:shd w:val="clear" w:color="auto" w:fill="F3F2F1"/>
    </w:rPr>
  </w:style>
  <w:style w:type="table" w:styleId="TableGridLight">
    <w:name w:val="Grid Table Light"/>
    <w:basedOn w:val="TableNormal"/>
    <w:uiPriority w:val="40"/>
    <w:semiHidden/>
    <w:rsid w:val="0038547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e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C4730-F5A1-420F-B8DB-7CA224150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23143</Words>
  <Characters>134231</Characters>
  <Application>Microsoft Office Word</Application>
  <DocSecurity>0</DocSecurity>
  <Lines>1118</Lines>
  <Paragraphs>314</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157060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2025-05-21T07:19:00Z</dcterms:created>
  <dcterms:modified xsi:type="dcterms:W3CDTF">2025-07-14T14:00:00Z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889427</vt:lpwstr>
  </property>
  <property fmtid="{D5CDD505-2E9C-101B-9397-08002B2CF9AE}" pid="3" name="cstLanguage">
    <vt:i4>2057</vt:i4>
  </property>
  <property fmtid="{D5CDD505-2E9C-101B-9397-08002B2CF9AE}" pid="4" name="RegisteredNo">
    <vt:lpwstr>38798/13</vt:lpwstr>
  </property>
</Properties>
</file>