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56286" w14:textId="7BF8D67C" w:rsidR="00D33FCF" w:rsidRPr="007E1819" w:rsidRDefault="007E1819" w:rsidP="00C2426B">
      <w:pPr>
        <w:jc w:val="center"/>
        <w:rPr>
          <w:rFonts w:asciiTheme="majorHAnsi" w:hAnsiTheme="majorHAnsi"/>
          <w:sz w:val="28"/>
        </w:rPr>
      </w:pPr>
      <w:r>
        <w:rPr>
          <w:rFonts w:asciiTheme="majorHAnsi" w:hAnsiTheme="majorHAnsi"/>
          <w:sz w:val="28"/>
        </w:rPr>
        <w:t>CURTEA EUROPEANĂ A DREPTURILOR OMULUI</w:t>
      </w:r>
    </w:p>
    <w:p w14:paraId="72AA03F7" w14:textId="43602754" w:rsidR="0098410D" w:rsidRPr="00C2426B" w:rsidRDefault="00D33FCF" w:rsidP="00C2426B">
      <w:pPr>
        <w:pStyle w:val="DecHTitle"/>
      </w:pPr>
      <w:r>
        <w:t>SECȚIA A TREIA</w:t>
      </w:r>
    </w:p>
    <w:p w14:paraId="7F671A68" w14:textId="33D7BF89" w:rsidR="008E6217" w:rsidRPr="00C2426B" w:rsidRDefault="008E6217" w:rsidP="003C6E6C">
      <w:pPr>
        <w:pStyle w:val="JuTitle"/>
        <w:spacing w:before="1080"/>
      </w:pPr>
      <w:bookmarkStart w:id="0" w:name="To"/>
      <w:r>
        <w:rPr>
          <w:color w:val="000000" w:themeColor="text1"/>
        </w:rPr>
        <w:t xml:space="preserve">CAUZA </w:t>
      </w:r>
      <w:bookmarkEnd w:id="0"/>
      <w:r>
        <w:t>OOO MEMO ÎMPOTRIVA RUSIEI</w:t>
      </w:r>
    </w:p>
    <w:p w14:paraId="316CF567" w14:textId="10ED8DA3" w:rsidR="00D74888" w:rsidRPr="00C2426B" w:rsidRDefault="008E6217" w:rsidP="00C2426B">
      <w:pPr>
        <w:pStyle w:val="ECHRCoverTitle4"/>
      </w:pPr>
      <w:r>
        <w:t>(Cererea nr. 2840/10)</w:t>
      </w:r>
    </w:p>
    <w:p w14:paraId="3C0F405E" w14:textId="77777777" w:rsidR="0098410D" w:rsidRPr="00C2426B" w:rsidRDefault="0098410D" w:rsidP="00C2426B">
      <w:pPr>
        <w:pStyle w:val="DecHCase"/>
      </w:pPr>
    </w:p>
    <w:p w14:paraId="7E016FDF" w14:textId="708F7FBE" w:rsidR="0098410D" w:rsidRPr="00C2426B" w:rsidRDefault="0098410D" w:rsidP="00C2426B">
      <w:pPr>
        <w:pStyle w:val="DecHCase"/>
      </w:pPr>
      <w:r>
        <w:t>HOTĂRÂRE</w:t>
      </w:r>
      <w:r>
        <w:br/>
      </w:r>
    </w:p>
    <w:p w14:paraId="4C24A1B2" w14:textId="59827789" w:rsidR="00F67187" w:rsidRPr="00C2426B" w:rsidRDefault="00F67187" w:rsidP="00C2426B">
      <w:pPr>
        <w:pStyle w:val="JuPara"/>
        <w:pBdr>
          <w:top w:val="single" w:sz="4" w:space="1" w:color="auto"/>
          <w:left w:val="single" w:sz="4" w:space="4" w:color="auto"/>
          <w:bottom w:val="single" w:sz="4" w:space="1" w:color="auto"/>
          <w:right w:val="single" w:sz="4" w:space="4" w:color="auto"/>
        </w:pBdr>
        <w:ind w:firstLine="0"/>
      </w:pPr>
      <w:r>
        <w:t>Art. 10 • Libertatea de exprimare • Lipsa scopului legitim în procedura civilă pentru calomnie împotriva unui canal media, care urmărește să protejeze „reputația“ unei autorități publice și fără legătură cu orice activitate economică • Interesele organelor executive ale puterii de stat în a menține o bună reputație, care diferă de cele ale persoanelor fizice sau juridice concurente în piață • Riscul de a împiedica libertatea media și efectul de descurajare, prin protejarea organelor executive de criticile mass-mediei • Membrii ușor de identificat ai acestor organe nu pot fi excluși de la dreptul de a formula acțiuni în nume propriu</w:t>
      </w:r>
    </w:p>
    <w:p w14:paraId="49443A6E" w14:textId="77777777" w:rsidR="00F67187" w:rsidRPr="00C2426B" w:rsidRDefault="00F67187" w:rsidP="00C2426B">
      <w:pPr>
        <w:pStyle w:val="JuPara"/>
        <w:spacing w:after="120"/>
      </w:pPr>
    </w:p>
    <w:p w14:paraId="182DAC75" w14:textId="77777777" w:rsidR="0098410D" w:rsidRPr="00C2426B" w:rsidRDefault="0098410D" w:rsidP="00C2426B">
      <w:pPr>
        <w:pStyle w:val="DecHCase"/>
      </w:pPr>
      <w:r>
        <w:t>STRASBOURG</w:t>
      </w:r>
    </w:p>
    <w:p w14:paraId="2B3DD474" w14:textId="58883899" w:rsidR="0098410D" w:rsidRPr="00C2426B" w:rsidRDefault="00D33FCF" w:rsidP="00C2426B">
      <w:pPr>
        <w:pStyle w:val="DecHCase"/>
      </w:pPr>
      <w:r>
        <w:rPr>
          <w:rFonts w:ascii="Times New Roman" w:hAnsi="Times New Roman"/>
        </w:rPr>
        <w:t>15 martie 2022</w:t>
      </w:r>
    </w:p>
    <w:p w14:paraId="7E0C38B5" w14:textId="77777777" w:rsidR="00AC4CD4" w:rsidRPr="00C2426B" w:rsidRDefault="00AC4CD4" w:rsidP="00C2426B">
      <w:pPr>
        <w:pStyle w:val="JuPara"/>
      </w:pPr>
    </w:p>
    <w:p w14:paraId="020B5332" w14:textId="77777777" w:rsidR="003C6E6C" w:rsidRDefault="003C6E6C" w:rsidP="003C6E6C">
      <w:pPr>
        <w:pStyle w:val="jucase0"/>
        <w:ind w:firstLine="0"/>
        <w:jc w:val="center"/>
        <w:rPr>
          <w:color w:val="FF0000"/>
          <w:sz w:val="28"/>
          <w:szCs w:val="28"/>
          <w:u w:val="single"/>
        </w:rPr>
      </w:pPr>
      <w:bookmarkStart w:id="1" w:name="_Hlk59706592"/>
      <w:bookmarkStart w:id="2" w:name="_Hlk59704667"/>
      <w:r>
        <w:rPr>
          <w:color w:val="FF0000"/>
          <w:sz w:val="28"/>
          <w:u w:val="single"/>
        </w:rPr>
        <w:t>DEFINITIVĂ</w:t>
      </w:r>
    </w:p>
    <w:p w14:paraId="07834370" w14:textId="77777777" w:rsidR="003C6E6C" w:rsidRPr="00D04090" w:rsidRDefault="003C6E6C" w:rsidP="003C6E6C">
      <w:pPr>
        <w:pStyle w:val="jucase0"/>
        <w:ind w:firstLine="0"/>
        <w:jc w:val="center"/>
        <w:rPr>
          <w:b w:val="0"/>
          <w:bCs w:val="0"/>
          <w:color w:val="FF0000"/>
          <w:u w:val="single"/>
        </w:rPr>
      </w:pPr>
    </w:p>
    <w:p w14:paraId="51BEE1DA" w14:textId="77777777" w:rsidR="003C6E6C" w:rsidRPr="00E974D6" w:rsidRDefault="003C6E6C" w:rsidP="003C6E6C">
      <w:pPr>
        <w:pStyle w:val="jucase0"/>
        <w:ind w:firstLine="0"/>
        <w:jc w:val="center"/>
        <w:rPr>
          <w:b w:val="0"/>
          <w:color w:val="FF0000"/>
          <w:sz w:val="28"/>
          <w:szCs w:val="28"/>
        </w:rPr>
      </w:pPr>
      <w:r>
        <w:rPr>
          <w:b w:val="0"/>
          <w:color w:val="FF0000"/>
          <w:sz w:val="28"/>
        </w:rPr>
        <w:t>15 iunie 2022</w:t>
      </w:r>
    </w:p>
    <w:p w14:paraId="22EB4194" w14:textId="77777777" w:rsidR="003C6E6C" w:rsidRPr="00261F46" w:rsidRDefault="003C6E6C" w:rsidP="003C6E6C">
      <w:pPr>
        <w:pStyle w:val="jupara0"/>
        <w:ind w:firstLine="0"/>
        <w:jc w:val="center"/>
      </w:pPr>
    </w:p>
    <w:p w14:paraId="35E87E67" w14:textId="08FF1BDC" w:rsidR="002422B6" w:rsidRPr="00C2426B" w:rsidRDefault="003C6E6C" w:rsidP="003C6E6C">
      <w:pPr>
        <w:jc w:val="center"/>
        <w:rPr>
          <w:i/>
          <w:sz w:val="22"/>
        </w:rPr>
      </w:pPr>
      <w:r>
        <w:rPr>
          <w:i/>
          <w:sz w:val="22"/>
        </w:rPr>
        <w:t>Hotărârea a rămas definitivă în condițiile prevăzute la art. 44 § 2 din Convenție. Aceasta poate suferi modificări de formă.</w:t>
      </w:r>
      <w:bookmarkEnd w:id="1"/>
      <w:bookmarkEnd w:id="2"/>
    </w:p>
    <w:p w14:paraId="3345F8A1" w14:textId="77777777" w:rsidR="0098410D" w:rsidRPr="00C2426B" w:rsidRDefault="0098410D" w:rsidP="00C2426B">
      <w:pPr>
        <w:sectPr w:rsidR="0098410D" w:rsidRPr="00C2426B" w:rsidSect="00D6647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1E600FB5" w14:textId="3AA4A3D0" w:rsidR="0098410D" w:rsidRPr="00C2426B" w:rsidRDefault="0098410D" w:rsidP="00C2426B">
      <w:pPr>
        <w:pStyle w:val="JuCase"/>
      </w:pPr>
      <w:r>
        <w:lastRenderedPageBreak/>
        <w:t>În cauza OOO Memo împotriva Rusiei,</w:t>
      </w:r>
    </w:p>
    <w:p w14:paraId="664756B6" w14:textId="68374063" w:rsidR="009F4C8F" w:rsidRPr="00C2426B" w:rsidRDefault="009F4C8F" w:rsidP="00C2426B">
      <w:pPr>
        <w:pStyle w:val="JuPara"/>
      </w:pPr>
      <w:r>
        <w:t>Curtea Europeană a Drepturilor Omului (Secția a treia), reunită într-o cameră compusă din:</w:t>
      </w:r>
    </w:p>
    <w:p w14:paraId="59D67AA7" w14:textId="5BF67350" w:rsidR="009F4C8F" w:rsidRPr="00C2426B" w:rsidRDefault="00672E9C" w:rsidP="00C2426B">
      <w:pPr>
        <w:pStyle w:val="JuJudges"/>
      </w:pPr>
      <w:r>
        <w:tab/>
        <w:t xml:space="preserve">Georges </w:t>
      </w:r>
      <w:proofErr w:type="spellStart"/>
      <w:r>
        <w:t>Ravarani</w:t>
      </w:r>
      <w:proofErr w:type="spellEnd"/>
      <w:r>
        <w:t>,</w:t>
      </w:r>
      <w:r>
        <w:rPr>
          <w:i/>
        </w:rPr>
        <w:t xml:space="preserve"> Președinte,</w:t>
      </w:r>
      <w:r>
        <w:rPr>
          <w:i/>
        </w:rPr>
        <w:br/>
      </w:r>
      <w:r>
        <w:tab/>
        <w:t xml:space="preserve">Georgios A. </w:t>
      </w:r>
      <w:proofErr w:type="spellStart"/>
      <w:r>
        <w:t>Serghides</w:t>
      </w:r>
      <w:proofErr w:type="spellEnd"/>
      <w:r>
        <w:t>,</w:t>
      </w:r>
      <w:r>
        <w:rPr>
          <w:i/>
        </w:rPr>
        <w:br/>
      </w:r>
      <w:r>
        <w:tab/>
      </w:r>
      <w:proofErr w:type="spellStart"/>
      <w:r>
        <w:t>Darian</w:t>
      </w:r>
      <w:proofErr w:type="spellEnd"/>
      <w:r>
        <w:t xml:space="preserve"> </w:t>
      </w:r>
      <w:proofErr w:type="spellStart"/>
      <w:r>
        <w:t>Pavli</w:t>
      </w:r>
      <w:proofErr w:type="spellEnd"/>
      <w:r>
        <w:t>,</w:t>
      </w:r>
      <w:r>
        <w:rPr>
          <w:i/>
        </w:rPr>
        <w:br/>
      </w:r>
      <w:r>
        <w:tab/>
      </w:r>
      <w:proofErr w:type="spellStart"/>
      <w:r>
        <w:t>Peeter</w:t>
      </w:r>
      <w:proofErr w:type="spellEnd"/>
      <w:r>
        <w:t xml:space="preserve"> </w:t>
      </w:r>
      <w:proofErr w:type="spellStart"/>
      <w:r>
        <w:t>Roosma</w:t>
      </w:r>
      <w:proofErr w:type="spellEnd"/>
      <w:r>
        <w:t>,</w:t>
      </w:r>
      <w:r>
        <w:rPr>
          <w:i/>
        </w:rPr>
        <w:br/>
      </w:r>
      <w:r>
        <w:tab/>
        <w:t xml:space="preserve">Andreas </w:t>
      </w:r>
      <w:proofErr w:type="spellStart"/>
      <w:r>
        <w:t>Zünd</w:t>
      </w:r>
      <w:proofErr w:type="spellEnd"/>
      <w:r>
        <w:t>,</w:t>
      </w:r>
      <w:r>
        <w:rPr>
          <w:i/>
        </w:rPr>
        <w:br/>
      </w:r>
      <w:r>
        <w:tab/>
        <w:t xml:space="preserve">Frédéric </w:t>
      </w:r>
      <w:proofErr w:type="spellStart"/>
      <w:r>
        <w:t>Krenc</w:t>
      </w:r>
      <w:proofErr w:type="spellEnd"/>
      <w:r>
        <w:t>,</w:t>
      </w:r>
      <w:r>
        <w:rPr>
          <w:i/>
        </w:rPr>
        <w:br/>
      </w:r>
      <w:r>
        <w:tab/>
      </w:r>
      <w:proofErr w:type="spellStart"/>
      <w:r>
        <w:t>Mikhail</w:t>
      </w:r>
      <w:proofErr w:type="spellEnd"/>
      <w:r>
        <w:t xml:space="preserve"> </w:t>
      </w:r>
      <w:proofErr w:type="spellStart"/>
      <w:r>
        <w:t>Lobov</w:t>
      </w:r>
      <w:proofErr w:type="spellEnd"/>
      <w:r>
        <w:t>,</w:t>
      </w:r>
      <w:r>
        <w:rPr>
          <w:i/>
        </w:rPr>
        <w:t xml:space="preserve"> judecători,</w:t>
      </w:r>
      <w:r>
        <w:br/>
        <w:t xml:space="preserve">și Milan </w:t>
      </w:r>
      <w:proofErr w:type="spellStart"/>
      <w:r>
        <w:t>Blaško</w:t>
      </w:r>
      <w:proofErr w:type="spellEnd"/>
      <w:r>
        <w:t xml:space="preserve">, </w:t>
      </w:r>
      <w:r>
        <w:rPr>
          <w:i/>
          <w:iCs/>
        </w:rPr>
        <w:t>Grefier de secție</w:t>
      </w:r>
      <w:r>
        <w:rPr>
          <w:i/>
        </w:rPr>
        <w:t>,</w:t>
      </w:r>
    </w:p>
    <w:p w14:paraId="142C4026" w14:textId="77777777" w:rsidR="00D33FCF" w:rsidRPr="00C2426B" w:rsidRDefault="00D33FCF" w:rsidP="00C2426B">
      <w:pPr>
        <w:pStyle w:val="JuPara"/>
      </w:pPr>
      <w:r>
        <w:t>Având în vedere:</w:t>
      </w:r>
    </w:p>
    <w:p w14:paraId="00A59F5E" w14:textId="77777777" w:rsidR="00D33FCF" w:rsidRPr="00C2426B" w:rsidRDefault="00D33FCF" w:rsidP="00C2426B">
      <w:pPr>
        <w:pStyle w:val="JuPara"/>
      </w:pPr>
      <w:r>
        <w:t>cererea nr. 2840/10, îndreptată împotriva Federației Ruse, prin care OOO Memo, o persoană juridică de drept rus („societatea reclamantă”) a sesizat Curtea la 24 decembrie 2009, în temeiul art. 34 din Convenția pentru apărarea drepturilor omului și a libertăților fundamentale („Convenția”);</w:t>
      </w:r>
    </w:p>
    <w:p w14:paraId="6CDF770B" w14:textId="77777777" w:rsidR="00D33FCF" w:rsidRPr="00C2426B" w:rsidRDefault="00D33FCF" w:rsidP="00C2426B">
      <w:pPr>
        <w:pStyle w:val="JuPara"/>
      </w:pPr>
      <w:r>
        <w:t>decizia de a comunica cererea Guvernului Rusiei („Guvernul”);</w:t>
      </w:r>
    </w:p>
    <w:p w14:paraId="53E6CD0B" w14:textId="123589F1" w:rsidR="00D33FCF" w:rsidRPr="00C2426B" w:rsidRDefault="00D33FCF" w:rsidP="00C2426B">
      <w:pPr>
        <w:pStyle w:val="JuPara"/>
      </w:pPr>
      <w:r>
        <w:t>observațiile părților;</w:t>
      </w:r>
    </w:p>
    <w:p w14:paraId="58550187" w14:textId="1C108D49" w:rsidR="009F4C8F" w:rsidRPr="00C2426B" w:rsidRDefault="009F4C8F" w:rsidP="00C2426B">
      <w:pPr>
        <w:pStyle w:val="JuPara"/>
      </w:pPr>
      <w:r>
        <w:t>După ce a deliberat în camera de consiliu, la 25 ianuarie 2022,</w:t>
      </w:r>
    </w:p>
    <w:p w14:paraId="50286C69" w14:textId="77777777" w:rsidR="009F4C8F" w:rsidRPr="00C2426B" w:rsidRDefault="009F4C8F" w:rsidP="00C2426B">
      <w:pPr>
        <w:pStyle w:val="JuPara"/>
      </w:pPr>
      <w:r>
        <w:t>pronunță prezenta hotărâre, adoptată la aceeași dată:</w:t>
      </w:r>
    </w:p>
    <w:p w14:paraId="39D3E637" w14:textId="77777777" w:rsidR="00D33FCF" w:rsidRPr="00C2426B" w:rsidRDefault="00D33FCF" w:rsidP="00C2426B">
      <w:pPr>
        <w:pStyle w:val="JuHHead"/>
        <w:numPr>
          <w:ilvl w:val="0"/>
          <w:numId w:val="0"/>
        </w:numPr>
      </w:pPr>
      <w:r>
        <w:t>INTRODUCERE</w:t>
      </w:r>
    </w:p>
    <w:p w14:paraId="11339F4E" w14:textId="5F188248" w:rsidR="00D33FCF" w:rsidRPr="00C2426B" w:rsidRDefault="00D77874" w:rsidP="00C2426B">
      <w:pPr>
        <w:pStyle w:val="JuPara"/>
      </w:pPr>
      <w:r>
        <w:fldChar w:fldCharType="begin"/>
      </w:r>
      <w:r>
        <w:instrText xml:space="preserve"> SEQ level0 \*arabic \r1 </w:instrText>
      </w:r>
      <w:r>
        <w:fldChar w:fldCharType="separate"/>
      </w:r>
      <w:r w:rsidR="00C2426B" w:rsidRPr="00C2426B">
        <w:t>1</w:t>
      </w:r>
      <w:r>
        <w:fldChar w:fldCharType="end"/>
      </w:r>
      <w:r w:rsidR="00D33FCF">
        <w:t xml:space="preserve">.  Cauza are ca obiect procesul civil pentru calomnie  intentat de Administrația Regiunii </w:t>
      </w:r>
      <w:proofErr w:type="spellStart"/>
      <w:r w:rsidR="00D33FCF">
        <w:t>Volgograd</w:t>
      </w:r>
      <w:proofErr w:type="spellEnd"/>
      <w:r w:rsidR="00D33FCF">
        <w:t xml:space="preserve"> împotriva unui canal media de Internet în urma publicării unui interviu cu un terț.</w:t>
      </w:r>
    </w:p>
    <w:p w14:paraId="04732637" w14:textId="77777777" w:rsidR="00D33FCF" w:rsidRPr="00C2426B" w:rsidRDefault="00D33FCF" w:rsidP="00C2426B">
      <w:pPr>
        <w:pStyle w:val="JuHHead"/>
      </w:pPr>
      <w:r>
        <w:t>ÎN FAPT</w:t>
      </w:r>
    </w:p>
    <w:p w14:paraId="508DCC45" w14:textId="3C84C44F" w:rsidR="00D33FCF" w:rsidRPr="00C2426B" w:rsidRDefault="00D77874" w:rsidP="00C2426B">
      <w:pPr>
        <w:pStyle w:val="JuPara"/>
      </w:pPr>
      <w:r>
        <w:fldChar w:fldCharType="begin"/>
      </w:r>
      <w:r>
        <w:instrText xml:space="preserve"> SEQ level0 \*arabic </w:instrText>
      </w:r>
      <w:r>
        <w:fldChar w:fldCharType="separate"/>
      </w:r>
      <w:r w:rsidR="00C2426B" w:rsidRPr="00C2426B">
        <w:t>2</w:t>
      </w:r>
      <w:r>
        <w:fldChar w:fldCharType="end"/>
      </w:r>
      <w:r w:rsidR="00D33FCF">
        <w:t xml:space="preserve">.  Societatea reclamantă este o persoană juridică de drept rus. A fost reprezentată de doamna A. </w:t>
      </w:r>
      <w:proofErr w:type="spellStart"/>
      <w:r w:rsidR="00D33FCF">
        <w:t>Soboleva</w:t>
      </w:r>
      <w:proofErr w:type="spellEnd"/>
      <w:r w:rsidR="00D33FCF">
        <w:t>, avocată în Moscova.</w:t>
      </w:r>
    </w:p>
    <w:p w14:paraId="6AE2470F" w14:textId="53976044" w:rsidR="00D33FCF" w:rsidRPr="00C2426B" w:rsidRDefault="00D77874" w:rsidP="00C2426B">
      <w:pPr>
        <w:pStyle w:val="JuPara"/>
        <w:rPr>
          <w:rFonts w:ascii="Times New Roman" w:hAnsi="Times New Roman" w:cs="Times New Roman"/>
        </w:rPr>
      </w:pPr>
      <w:r>
        <w:fldChar w:fldCharType="begin"/>
      </w:r>
      <w:r>
        <w:instrText xml:space="preserve"> SEQ level0 \*arabic </w:instrText>
      </w:r>
      <w:r>
        <w:fldChar w:fldCharType="separate"/>
      </w:r>
      <w:r w:rsidR="00C2426B" w:rsidRPr="00C2426B">
        <w:t>3</w:t>
      </w:r>
      <w:r>
        <w:fldChar w:fldCharType="end"/>
      </w:r>
      <w:r w:rsidR="00D33FCF">
        <w:t>.  Guvernul a fost reprezentat</w:t>
      </w:r>
      <w:r w:rsidR="00D33FCF">
        <w:rPr>
          <w:rFonts w:ascii="Times New Roman" w:hAnsi="Times New Roman"/>
        </w:rPr>
        <w:t xml:space="preserve"> inițial de domnul G. </w:t>
      </w:r>
      <w:proofErr w:type="spellStart"/>
      <w:r w:rsidR="00D33FCF">
        <w:rPr>
          <w:rFonts w:ascii="Times New Roman" w:hAnsi="Times New Roman"/>
        </w:rPr>
        <w:t>Matyushkin</w:t>
      </w:r>
      <w:proofErr w:type="spellEnd"/>
      <w:r w:rsidR="00D33FCF">
        <w:rPr>
          <w:rFonts w:ascii="Times New Roman" w:hAnsi="Times New Roman"/>
        </w:rPr>
        <w:t>, care era atunci Reprezentantul Federației Ruse la Curtea Europeană a Drepturilor Omului, și ulterior de domnul M. Vinogradov, succesorul său în această funcție.</w:t>
      </w:r>
    </w:p>
    <w:p w14:paraId="05CCFC0B" w14:textId="5AB3C17E" w:rsidR="00D33FCF" w:rsidRPr="00C2426B" w:rsidRDefault="00D77874" w:rsidP="00C2426B">
      <w:pPr>
        <w:pStyle w:val="JuPara"/>
      </w:pPr>
      <w:r>
        <w:fldChar w:fldCharType="begin"/>
      </w:r>
      <w:r>
        <w:instrText xml:space="preserve"> SEQ level0 \*arabic </w:instrText>
      </w:r>
      <w:r>
        <w:fldChar w:fldCharType="separate"/>
      </w:r>
      <w:r w:rsidR="00C2426B" w:rsidRPr="00C2426B">
        <w:t>4</w:t>
      </w:r>
      <w:r>
        <w:fldChar w:fldCharType="end"/>
      </w:r>
      <w:r w:rsidR="00D33FCF">
        <w:t>.  Faptele cauzei, astfel cum au fost expuse de părți, pot fi rezumate după cum urmează.</w:t>
      </w:r>
    </w:p>
    <w:p w14:paraId="23EDF38F" w14:textId="77777777" w:rsidR="00D33FCF" w:rsidRPr="00C2426B" w:rsidRDefault="00D33FCF" w:rsidP="00C2426B">
      <w:pPr>
        <w:pStyle w:val="JuHIRoman"/>
      </w:pPr>
      <w:r>
        <w:t>Istoricul cauzei</w:t>
      </w:r>
    </w:p>
    <w:p w14:paraId="7AA58C50" w14:textId="120CCC20"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5</w:t>
      </w:r>
      <w:r w:rsidRPr="00C2426B">
        <w:rPr>
          <w:rFonts w:eastAsiaTheme="minorEastAsia"/>
        </w:rPr>
        <w:fldChar w:fldCharType="end"/>
      </w:r>
      <w:r>
        <w:t xml:space="preserve">.  Societatea reclamantă este fondatoarea </w:t>
      </w:r>
      <w:proofErr w:type="spellStart"/>
      <w:r>
        <w:rPr>
          <w:i/>
        </w:rPr>
        <w:t>Kavkazskiy</w:t>
      </w:r>
      <w:proofErr w:type="spellEnd"/>
      <w:r>
        <w:rPr>
          <w:i/>
        </w:rPr>
        <w:t xml:space="preserve"> </w:t>
      </w:r>
      <w:proofErr w:type="spellStart"/>
      <w:r>
        <w:rPr>
          <w:i/>
        </w:rPr>
        <w:t>Uzel</w:t>
      </w:r>
      <w:proofErr w:type="spellEnd"/>
      <w:r>
        <w:t xml:space="preserve"> («</w:t>
      </w:r>
      <w:proofErr w:type="spellStart"/>
      <w:r>
        <w:rPr>
          <w:i/>
        </w:rPr>
        <w:t>Кавказский</w:t>
      </w:r>
      <w:proofErr w:type="spellEnd"/>
      <w:r>
        <w:rPr>
          <w:i/>
        </w:rPr>
        <w:t xml:space="preserve"> </w:t>
      </w:r>
      <w:proofErr w:type="spellStart"/>
      <w:r>
        <w:rPr>
          <w:i/>
        </w:rPr>
        <w:t>узел</w:t>
      </w:r>
      <w:proofErr w:type="spellEnd"/>
      <w:r>
        <w:t xml:space="preserve">», „Nodul caucazian“), un canal media online înregistrat în baza legislației ruse și dedicat situației politice </w:t>
      </w:r>
      <w:proofErr w:type="spellStart"/>
      <w:r>
        <w:t>şi</w:t>
      </w:r>
      <w:proofErr w:type="spellEnd"/>
      <w:r>
        <w:t xml:space="preserve"> a drepturilor omului în sudul Rusiei, inclusiv Regiunea </w:t>
      </w:r>
      <w:proofErr w:type="spellStart"/>
      <w:r>
        <w:t>Volgograd</w:t>
      </w:r>
      <w:proofErr w:type="spellEnd"/>
      <w:r>
        <w:t>.</w:t>
      </w:r>
    </w:p>
    <w:bookmarkStart w:id="3" w:name="prior"/>
    <w:bookmarkStart w:id="4" w:name="AVR"/>
    <w:p w14:paraId="3C04D153" w14:textId="28D10E51" w:rsidR="00D33FCF" w:rsidRPr="00C2426B" w:rsidRDefault="00D33FCF" w:rsidP="00C2426B">
      <w:pPr>
        <w:pStyle w:val="JuPara"/>
        <w:rPr>
          <w:rFonts w:eastAsiaTheme="minorEastAsia"/>
        </w:rPr>
      </w:pPr>
      <w:r w:rsidRPr="00C2426B">
        <w:rPr>
          <w:rFonts w:eastAsiaTheme="minorEastAsia"/>
        </w:rPr>
        <w:lastRenderedPageBreak/>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6</w:t>
      </w:r>
      <w:r w:rsidRPr="00C2426B">
        <w:rPr>
          <w:rFonts w:eastAsiaTheme="minorEastAsia"/>
        </w:rPr>
        <w:fldChar w:fldCharType="end"/>
      </w:r>
      <w:bookmarkEnd w:id="3"/>
      <w:bookmarkEnd w:id="4"/>
      <w:r>
        <w:t xml:space="preserve">.  În 2008 autoritatea executivă a Regiunii </w:t>
      </w:r>
      <w:proofErr w:type="spellStart"/>
      <w:r>
        <w:t>Volgograd</w:t>
      </w:r>
      <w:proofErr w:type="spellEnd"/>
      <w:r>
        <w:t xml:space="preserve"> („Administrația Regiunii </w:t>
      </w:r>
      <w:proofErr w:type="spellStart"/>
      <w:r>
        <w:t>Volgograd</w:t>
      </w:r>
      <w:proofErr w:type="spellEnd"/>
      <w:r>
        <w:t xml:space="preserve">“), înregistrată ca persoană juridică în Registrul unificat de stat al persoanelor juridice, a suspendat transferul fondurilor alocate ca subvenție orașului </w:t>
      </w:r>
      <w:proofErr w:type="spellStart"/>
      <w:r>
        <w:t>Volgograd</w:t>
      </w:r>
      <w:proofErr w:type="spellEnd"/>
      <w:r>
        <w:t xml:space="preserve"> în sumă de 5 294 000 Ruble rusești (aproximativ 145 000 euro) pe motiv că și-a depășit deja limita subvențiilor de la buget. Rezultă că legalitatea deciziei de a suspenda transferul a fost dezbătută pe larg în mod public în Regiunea </w:t>
      </w:r>
      <w:proofErr w:type="spellStart"/>
      <w:r>
        <w:t>Volgograd</w:t>
      </w:r>
      <w:proofErr w:type="spellEnd"/>
      <w:r>
        <w:t>.</w:t>
      </w:r>
    </w:p>
    <w:p w14:paraId="1FDF2529" w14:textId="77777777" w:rsidR="00D33FCF" w:rsidRPr="00C2426B" w:rsidRDefault="00D33FCF" w:rsidP="00C2426B">
      <w:pPr>
        <w:pStyle w:val="JuHIRoman"/>
      </w:pPr>
      <w:r>
        <w:t>Articolul denunțat</w:t>
      </w:r>
    </w:p>
    <w:p w14:paraId="4EA15EB9" w14:textId="0678A9F0"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7</w:t>
      </w:r>
      <w:r w:rsidRPr="00C2426B">
        <w:rPr>
          <w:rFonts w:eastAsiaTheme="minorEastAsia"/>
        </w:rPr>
        <w:fldChar w:fldCharType="end"/>
      </w:r>
      <w:r>
        <w:t xml:space="preserve">.  La 1 iulie 2008 </w:t>
      </w:r>
      <w:proofErr w:type="spellStart"/>
      <w:r>
        <w:rPr>
          <w:i/>
        </w:rPr>
        <w:t>Kavkazskiy</w:t>
      </w:r>
      <w:proofErr w:type="spellEnd"/>
      <w:r>
        <w:rPr>
          <w:i/>
        </w:rPr>
        <w:t xml:space="preserve"> </w:t>
      </w:r>
      <w:proofErr w:type="spellStart"/>
      <w:r>
        <w:rPr>
          <w:i/>
        </w:rPr>
        <w:t>Uzel</w:t>
      </w:r>
      <w:proofErr w:type="spellEnd"/>
      <w:r>
        <w:t xml:space="preserve"> a publicat un articol scris de corespondentul său, domnul </w:t>
      </w:r>
      <w:proofErr w:type="spellStart"/>
      <w:r>
        <w:t>Ya</w:t>
      </w:r>
      <w:proofErr w:type="spellEnd"/>
      <w:r>
        <w:t>., pe baza interviului dat de domnul S., un expert al Fondului de dezvoltare a politicii informaționale («</w:t>
      </w:r>
      <w:proofErr w:type="spellStart"/>
      <w:r>
        <w:rPr>
          <w:i/>
        </w:rPr>
        <w:t>Фонд</w:t>
      </w:r>
      <w:proofErr w:type="spellEnd"/>
      <w:r>
        <w:rPr>
          <w:i/>
        </w:rPr>
        <w:t xml:space="preserve"> </w:t>
      </w:r>
      <w:proofErr w:type="spellStart"/>
      <w:r>
        <w:rPr>
          <w:i/>
        </w:rPr>
        <w:t>развития</w:t>
      </w:r>
      <w:proofErr w:type="spellEnd"/>
      <w:r>
        <w:rPr>
          <w:i/>
        </w:rPr>
        <w:t xml:space="preserve"> </w:t>
      </w:r>
      <w:proofErr w:type="spellStart"/>
      <w:r>
        <w:rPr>
          <w:i/>
        </w:rPr>
        <w:t>информационной</w:t>
      </w:r>
      <w:proofErr w:type="spellEnd"/>
      <w:r>
        <w:rPr>
          <w:i/>
        </w:rPr>
        <w:t xml:space="preserve"> </w:t>
      </w:r>
      <w:proofErr w:type="spellStart"/>
      <w:r>
        <w:rPr>
          <w:i/>
        </w:rPr>
        <w:t>политики</w:t>
      </w:r>
      <w:proofErr w:type="spellEnd"/>
      <w:r>
        <w:rPr>
          <w:i/>
        </w:rPr>
        <w:t>»</w:t>
      </w:r>
      <w:r>
        <w:t>).</w:t>
      </w:r>
    </w:p>
    <w:bookmarkStart w:id="5" w:name="article"/>
    <w:p w14:paraId="1FBBCE54" w14:textId="478C9338"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8</w:t>
      </w:r>
      <w:r w:rsidRPr="00C2426B">
        <w:rPr>
          <w:rFonts w:eastAsiaTheme="minorEastAsia"/>
        </w:rPr>
        <w:fldChar w:fldCharType="end"/>
      </w:r>
      <w:bookmarkEnd w:id="5"/>
      <w:r>
        <w:t xml:space="preserve">.  Articolul se intitula „[Domnul S]: primăria din </w:t>
      </w:r>
      <w:proofErr w:type="spellStart"/>
      <w:r>
        <w:t>Volgograd</w:t>
      </w:r>
      <w:proofErr w:type="spellEnd"/>
      <w:r>
        <w:t xml:space="preserve"> s-a certat cu Administrația Regiunii </w:t>
      </w:r>
      <w:proofErr w:type="spellStart"/>
      <w:r>
        <w:t>Volgograd</w:t>
      </w:r>
      <w:proofErr w:type="spellEnd"/>
      <w:r>
        <w:t xml:space="preserve"> pentru o fabrică de autobuze“ și era redactat după cum urmează:</w:t>
      </w:r>
    </w:p>
    <w:p w14:paraId="02E72E4F" w14:textId="77777777" w:rsidR="00D33FCF" w:rsidRPr="00C2426B" w:rsidRDefault="00D33FCF" w:rsidP="00C2426B">
      <w:pPr>
        <w:pStyle w:val="JuQuot"/>
        <w:rPr>
          <w:rFonts w:eastAsiaTheme="minorEastAsia"/>
        </w:rPr>
      </w:pPr>
      <w:r>
        <w:t xml:space="preserve">„Interese ale funcționarilor din Administrația Regiunii </w:t>
      </w:r>
      <w:proofErr w:type="spellStart"/>
      <w:r>
        <w:t>Volgograd</w:t>
      </w:r>
      <w:proofErr w:type="spellEnd"/>
      <w:r>
        <w:t xml:space="preserve"> și ale conducerii fabricii de autobuze </w:t>
      </w:r>
      <w:proofErr w:type="spellStart"/>
      <w:r>
        <w:t>Volzhanin</w:t>
      </w:r>
      <w:proofErr w:type="spellEnd"/>
      <w:r>
        <w:t xml:space="preserve"> pot fi motivul din spatele conflictului financiar dintre primăria </w:t>
      </w:r>
      <w:proofErr w:type="spellStart"/>
      <w:r>
        <w:t>Volgograd</w:t>
      </w:r>
      <w:proofErr w:type="spellEnd"/>
      <w:r>
        <w:t xml:space="preserve"> și Administrația Regiunii </w:t>
      </w:r>
      <w:proofErr w:type="spellStart"/>
      <w:r>
        <w:t>Volgograd</w:t>
      </w:r>
      <w:proofErr w:type="spellEnd"/>
      <w:r>
        <w:t>.</w:t>
      </w:r>
    </w:p>
    <w:p w14:paraId="79E82C3E" w14:textId="77777777" w:rsidR="00D33FCF" w:rsidRPr="00C2426B" w:rsidRDefault="00D33FCF" w:rsidP="00C2426B">
      <w:pPr>
        <w:pStyle w:val="JuQuot"/>
        <w:rPr>
          <w:rFonts w:eastAsiaTheme="minorEastAsia"/>
          <w:i/>
          <w:iCs/>
        </w:rPr>
      </w:pPr>
      <w:r>
        <w:t xml:space="preserve">La concluzia de mai sus a ajuns un expert al Fondului de dezvoltare a politicii informaționale, domnul [S.], în interviul dat unui corespondent al </w:t>
      </w:r>
      <w:proofErr w:type="spellStart"/>
      <w:r>
        <w:rPr>
          <w:i/>
        </w:rPr>
        <w:t>Kavkazskiy</w:t>
      </w:r>
      <w:proofErr w:type="spellEnd"/>
      <w:r>
        <w:rPr>
          <w:i/>
        </w:rPr>
        <w:t xml:space="preserve"> </w:t>
      </w:r>
      <w:proofErr w:type="spellStart"/>
      <w:r>
        <w:rPr>
          <w:i/>
        </w:rPr>
        <w:t>Uzel</w:t>
      </w:r>
      <w:proofErr w:type="spellEnd"/>
      <w:r>
        <w:rPr>
          <w:i/>
        </w:rPr>
        <w:t>.</w:t>
      </w:r>
    </w:p>
    <w:p w14:paraId="5AF6326C" w14:textId="113033C9" w:rsidR="00D33FCF" w:rsidRPr="00C2426B" w:rsidRDefault="00C2426B" w:rsidP="00C2426B">
      <w:pPr>
        <w:pStyle w:val="JuQuot"/>
        <w:rPr>
          <w:rFonts w:eastAsiaTheme="minorEastAsia"/>
        </w:rPr>
      </w:pPr>
      <w:r>
        <w:t xml:space="preserve">„În opinia mea, există două motive principale pentru conflictul financiar care a rezultat din decizia Administrației Regiunii </w:t>
      </w:r>
      <w:proofErr w:type="spellStart"/>
      <w:r>
        <w:t>Volgograd</w:t>
      </w:r>
      <w:proofErr w:type="spellEnd"/>
      <w:r>
        <w:t xml:space="preserve"> de a suspenda alocarea subvențiilor din bugetul regional către orașul </w:t>
      </w:r>
      <w:proofErr w:type="spellStart"/>
      <w:r>
        <w:t>Volgograd</w:t>
      </w:r>
      <w:proofErr w:type="spellEnd"/>
      <w:r>
        <w:t>. După cum vă amintiți, suma a fost de 5 294 000 ruble“, a explicat domnul [S.]. „Fără îndoială, primul motiv este unul politic. Este legat de [rezultatele de la] alegerile regionale [de la 2 martie 2008]. Cel de-al doilea motiv nu este cunoscut public. Are un caracter pur economic“.</w:t>
      </w:r>
    </w:p>
    <w:p w14:paraId="31F9395E" w14:textId="2AFCC7B9" w:rsidR="00D33FCF" w:rsidRPr="00C2426B" w:rsidRDefault="00D33FCF" w:rsidP="00C2426B">
      <w:pPr>
        <w:pStyle w:val="JuQuot"/>
        <w:rPr>
          <w:rFonts w:eastAsiaTheme="minorEastAsia"/>
        </w:rPr>
      </w:pPr>
      <w:r>
        <w:t xml:space="preserve">Domnul [S.] a precizat în continuare că mulți funcționari din Administrația Regiunii </w:t>
      </w:r>
      <w:proofErr w:type="spellStart"/>
      <w:r>
        <w:t>Volgograd</w:t>
      </w:r>
      <w:proofErr w:type="spellEnd"/>
      <w:r>
        <w:t xml:space="preserve"> sunt „impresari” ai fabricii de autobuze </w:t>
      </w:r>
      <w:proofErr w:type="spellStart"/>
      <w:r>
        <w:t>Volzhanin</w:t>
      </w:r>
      <w:proofErr w:type="spellEnd"/>
      <w:r>
        <w:t xml:space="preserve">. Conform acestuia, Administrația Regiunii </w:t>
      </w:r>
      <w:proofErr w:type="spellStart"/>
      <w:r>
        <w:t>Volgograd</w:t>
      </w:r>
      <w:proofErr w:type="spellEnd"/>
      <w:r>
        <w:t xml:space="preserve"> a dat un important sprijin fabricii de autobuze pentru deschiderea filialei din Republica </w:t>
      </w:r>
      <w:proofErr w:type="spellStart"/>
      <w:r>
        <w:t>Kabardino-Balkaria</w:t>
      </w:r>
      <w:proofErr w:type="spellEnd"/>
      <w:r>
        <w:t xml:space="preserve"> la 30 ianuarie 2008. „[Guvernatorul Regiunii </w:t>
      </w:r>
      <w:proofErr w:type="spellStart"/>
      <w:r>
        <w:t>Volgograd</w:t>
      </w:r>
      <w:proofErr w:type="spellEnd"/>
      <w:r>
        <w:t>] a participat personal la ceremonia de deschidere”, a menționat expertul.</w:t>
      </w:r>
    </w:p>
    <w:p w14:paraId="411AA6B6" w14:textId="3308B102" w:rsidR="00D33FCF" w:rsidRPr="00C2426B" w:rsidRDefault="00C2426B" w:rsidP="00C2426B">
      <w:pPr>
        <w:pStyle w:val="JuQuot"/>
        <w:rPr>
          <w:rFonts w:eastAsiaTheme="minorEastAsia"/>
        </w:rPr>
      </w:pPr>
      <w:r>
        <w:t xml:space="preserve">„Recent primăria a organizat o licitație deschisă pentru cumpărarea de autobuze. Administrația Regiunii </w:t>
      </w:r>
      <w:proofErr w:type="spellStart"/>
      <w:r>
        <w:t>Volgograd</w:t>
      </w:r>
      <w:proofErr w:type="spellEnd"/>
      <w:r>
        <w:t xml:space="preserve"> a făcut lobby pentru interesele fabricii </w:t>
      </w:r>
      <w:proofErr w:type="spellStart"/>
      <w:r>
        <w:t>Volzhanin</w:t>
      </w:r>
      <w:proofErr w:type="spellEnd"/>
      <w:r>
        <w:t xml:space="preserve"> pentru a câștiga cererea de ofertă, dar aceasta a fost câștigată de o altă companie care oferea autobuze, fiecare dintre ele mai ieftine cu aproape 1 000 000 de ruble [decât autobuzele oferite de fabrica </w:t>
      </w:r>
      <w:proofErr w:type="spellStart"/>
      <w:r>
        <w:t>Volzhanin</w:t>
      </w:r>
      <w:proofErr w:type="spellEnd"/>
      <w:r>
        <w:t>]. Totalul economiei la buget era important. Era de 35 000 000 ruble“, a declarat expertul.</w:t>
      </w:r>
    </w:p>
    <w:p w14:paraId="367A6C9C" w14:textId="6BDABD5E" w:rsidR="00D33FCF" w:rsidRPr="00C2426B" w:rsidRDefault="00C2426B" w:rsidP="00C2426B">
      <w:pPr>
        <w:pStyle w:val="JuQuot"/>
        <w:rPr>
          <w:rFonts w:eastAsiaTheme="minorEastAsia"/>
        </w:rPr>
      </w:pPr>
      <w:r>
        <w:t xml:space="preserve">„Funcționarii administrației s-au deplasat la primărie, spunând, «Cum se face că nu ați susținut producătorul local!» Consider că refuzul primăriei de a face afaceri cu fabrica </w:t>
      </w:r>
      <w:proofErr w:type="spellStart"/>
      <w:r>
        <w:t>Volzhanin</w:t>
      </w:r>
      <w:proofErr w:type="spellEnd"/>
      <w:r>
        <w:t xml:space="preserve"> a fost unul dintre principalele motive ale furiei funcționarilor regionali“, a observat domnul [S.].</w:t>
      </w:r>
    </w:p>
    <w:p w14:paraId="11A56402" w14:textId="6FBD3D87" w:rsidR="00D33FCF" w:rsidRPr="00C2426B" w:rsidRDefault="00D33FCF" w:rsidP="00C2426B">
      <w:pPr>
        <w:pStyle w:val="JuQuot"/>
        <w:rPr>
          <w:rFonts w:eastAsiaTheme="minorEastAsia"/>
        </w:rPr>
      </w:pPr>
      <w:r>
        <w:lastRenderedPageBreak/>
        <w:t xml:space="preserve">În concluzie, expertul [a afirmat că] nu putea exclude posibilitatea ca „suspendarea alocării subvențiilor către orașul </w:t>
      </w:r>
      <w:proofErr w:type="spellStart"/>
      <w:r>
        <w:t>Volgograd</w:t>
      </w:r>
      <w:proofErr w:type="spellEnd"/>
      <w:r>
        <w:t xml:space="preserve"> din bugetul regional să fie un act de răzbunare pentru pierderea cererii de ofertă“.</w:t>
      </w:r>
    </w:p>
    <w:p w14:paraId="10FA5135" w14:textId="77777777" w:rsidR="00D33FCF" w:rsidRPr="00C2426B" w:rsidRDefault="00D33FCF" w:rsidP="00C2426B">
      <w:pPr>
        <w:pStyle w:val="JuQuot"/>
        <w:rPr>
          <w:rFonts w:eastAsiaTheme="minorEastAsia"/>
        </w:rPr>
      </w:pPr>
      <w:proofErr w:type="spellStart"/>
      <w:r>
        <w:rPr>
          <w:i/>
        </w:rPr>
        <w:t>Kavkazskiy</w:t>
      </w:r>
      <w:proofErr w:type="spellEnd"/>
      <w:r>
        <w:rPr>
          <w:i/>
        </w:rPr>
        <w:t xml:space="preserve"> </w:t>
      </w:r>
      <w:proofErr w:type="spellStart"/>
      <w:r>
        <w:rPr>
          <w:i/>
        </w:rPr>
        <w:t>Uzel</w:t>
      </w:r>
      <w:proofErr w:type="spellEnd"/>
      <w:r>
        <w:t xml:space="preserve"> a relatat mai devreme că membrii [Adunării Legislative a] Regiunii </w:t>
      </w:r>
      <w:proofErr w:type="spellStart"/>
      <w:r>
        <w:t>Volgograd</w:t>
      </w:r>
      <w:proofErr w:type="spellEnd"/>
      <w:r>
        <w:t xml:space="preserve"> au trimis o scrisoare către Administrația Regiunii </w:t>
      </w:r>
      <w:proofErr w:type="spellStart"/>
      <w:r>
        <w:t>Volgograd</w:t>
      </w:r>
      <w:proofErr w:type="spellEnd"/>
      <w:r>
        <w:t xml:space="preserve"> prin care cereau revocarea ordinului ... de a suspenda ... alocarea subvențiilor din bugetul regional către orașul </w:t>
      </w:r>
      <w:proofErr w:type="spellStart"/>
      <w:r>
        <w:t>Volgograd</w:t>
      </w:r>
      <w:proofErr w:type="spellEnd"/>
      <w:r>
        <w:t>...</w:t>
      </w:r>
    </w:p>
    <w:p w14:paraId="6E0A25BC" w14:textId="56B71705" w:rsidR="00D33FCF" w:rsidRPr="00C2426B" w:rsidRDefault="00D33FCF" w:rsidP="00C2426B">
      <w:pPr>
        <w:pStyle w:val="JuQuot"/>
        <w:rPr>
          <w:rFonts w:eastAsiaTheme="minorEastAsia"/>
        </w:rPr>
      </w:pPr>
      <w:r>
        <w:t>Autoritățile regionale, la rândul lor, explică această măsură prin faptul că autoritățile municipale nu au respectat limitele cheltuielilor stabilite de autoritățile regionale pentru a finanța activitățile guvernanței municipale.</w:t>
      </w:r>
    </w:p>
    <w:p w14:paraId="16568214" w14:textId="5E40C5EF" w:rsidR="00D33FCF" w:rsidRPr="00C2426B" w:rsidRDefault="00D33FCF" w:rsidP="00C2426B">
      <w:pPr>
        <w:pStyle w:val="JuQuot"/>
        <w:rPr>
          <w:rFonts w:eastAsiaTheme="minorEastAsia"/>
        </w:rPr>
      </w:pPr>
      <w:r>
        <w:t xml:space="preserve">Membrii [Adunării Legislative a Regiunii </w:t>
      </w:r>
      <w:proofErr w:type="spellStart"/>
      <w:r>
        <w:t>Volgograd</w:t>
      </w:r>
      <w:proofErr w:type="spellEnd"/>
      <w:r>
        <w:t xml:space="preserve">] au contestat legalitatea deciziei. Au cerut guvernatorului [Regiunii </w:t>
      </w:r>
      <w:proofErr w:type="spellStart"/>
      <w:r>
        <w:t>Volgograd</w:t>
      </w:r>
      <w:proofErr w:type="spellEnd"/>
      <w:r>
        <w:t xml:space="preserve">] să suspende ordinul criticat și să asigure respectarea metodei federale de extindere a relațiilor inter-bugetare, ținând seama în mod corespunzător de calcularea și fundamentarea de către [primăria </w:t>
      </w:r>
      <w:proofErr w:type="spellStart"/>
      <w:r>
        <w:t>Volgograd</w:t>
      </w:r>
      <w:proofErr w:type="spellEnd"/>
      <w:r>
        <w:t>].“</w:t>
      </w:r>
    </w:p>
    <w:p w14:paraId="0FC8F895" w14:textId="77777777" w:rsidR="00D33FCF" w:rsidRPr="00C2426B" w:rsidRDefault="00D33FCF" w:rsidP="00C2426B">
      <w:pPr>
        <w:pStyle w:val="JuHIRoman"/>
      </w:pPr>
      <w:r>
        <w:t>Procesul pentru calomnie</w:t>
      </w:r>
    </w:p>
    <w:p w14:paraId="2BF53243" w14:textId="53025BF9"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9</w:t>
      </w:r>
      <w:r w:rsidRPr="00C2426B">
        <w:rPr>
          <w:rFonts w:eastAsiaTheme="minorEastAsia"/>
        </w:rPr>
        <w:fldChar w:fldCharType="end"/>
      </w:r>
      <w:r>
        <w:t xml:space="preserve">.  La 2 octombrie 2008 Administrația Regiunii </w:t>
      </w:r>
      <w:proofErr w:type="spellStart"/>
      <w:r>
        <w:t>Volgograd</w:t>
      </w:r>
      <w:proofErr w:type="spellEnd"/>
      <w:r>
        <w:t xml:space="preserve"> a intentat un proces civil pentru calomnie împotriva societății reclamante și a comitetului de redacție al </w:t>
      </w:r>
      <w:proofErr w:type="spellStart"/>
      <w:r>
        <w:rPr>
          <w:i/>
        </w:rPr>
        <w:t>Kavkazskiy</w:t>
      </w:r>
      <w:proofErr w:type="spellEnd"/>
      <w:r>
        <w:rPr>
          <w:i/>
        </w:rPr>
        <w:t xml:space="preserve"> </w:t>
      </w:r>
      <w:proofErr w:type="spellStart"/>
      <w:r>
        <w:rPr>
          <w:i/>
        </w:rPr>
        <w:t>Uzel</w:t>
      </w:r>
      <w:proofErr w:type="spellEnd"/>
      <w:r>
        <w:t xml:space="preserve"> în scopul retragerii declarațiilor de mai jos.</w:t>
      </w:r>
    </w:p>
    <w:p w14:paraId="78960EC6" w14:textId="77777777" w:rsidR="00D33FCF" w:rsidRPr="00C2426B" w:rsidRDefault="00D33FCF" w:rsidP="00C2426B">
      <w:pPr>
        <w:pStyle w:val="JuQuot"/>
        <w:rPr>
          <w:rFonts w:eastAsiaTheme="minorEastAsia"/>
        </w:rPr>
      </w:pPr>
      <w:r>
        <w:t xml:space="preserve">(a) „[...] există două motive principale pentru conflictul financiar care a rezultat din decizia Administrației Regiunii </w:t>
      </w:r>
      <w:proofErr w:type="spellStart"/>
      <w:r>
        <w:t>Volgograd</w:t>
      </w:r>
      <w:proofErr w:type="spellEnd"/>
      <w:r>
        <w:t xml:space="preserve"> de a suspenda alocarea subvențiilor din bugetul regional către orașul </w:t>
      </w:r>
      <w:proofErr w:type="spellStart"/>
      <w:r>
        <w:t>Volgograd</w:t>
      </w:r>
      <w:proofErr w:type="spellEnd"/>
      <w:r>
        <w:t>. [...] „Fără îndoială, primul motiv este unul politic. Este legat de [rezultatele de la] alegerile regionale [de la 2 martie 2008]. Cel de-al doilea motiv nu este cunoscut. Are un caracter pur economic.“</w:t>
      </w:r>
    </w:p>
    <w:p w14:paraId="2FC1CB59" w14:textId="19922BC0" w:rsidR="00D33FCF" w:rsidRPr="00C2426B" w:rsidRDefault="00D33FCF" w:rsidP="00C2426B">
      <w:pPr>
        <w:pStyle w:val="JuQuot"/>
        <w:rPr>
          <w:rFonts w:eastAsiaTheme="minorEastAsia"/>
        </w:rPr>
      </w:pPr>
      <w:r>
        <w:t xml:space="preserve">(b) „Recent primăria a organizat o licitație deschisă pentru cumpărarea de autobuze. Administrația Regiunii </w:t>
      </w:r>
      <w:proofErr w:type="spellStart"/>
      <w:r>
        <w:t>Volgograd</w:t>
      </w:r>
      <w:proofErr w:type="spellEnd"/>
      <w:r>
        <w:t xml:space="preserve"> a făcut lobby pentru interesele fabricii </w:t>
      </w:r>
      <w:proofErr w:type="spellStart"/>
      <w:r>
        <w:t>Volzhanin</w:t>
      </w:r>
      <w:proofErr w:type="spellEnd"/>
      <w:r>
        <w:t xml:space="preserve"> pentru a câștiga cererea de ofertă, dar aceasta a fost câștigată de o altă companie.”</w:t>
      </w:r>
    </w:p>
    <w:p w14:paraId="38A2F444" w14:textId="7D01238D" w:rsidR="00D33FCF" w:rsidRPr="00C2426B" w:rsidRDefault="00D33FCF" w:rsidP="00C2426B">
      <w:pPr>
        <w:pStyle w:val="JuQuot"/>
        <w:rPr>
          <w:rFonts w:eastAsiaTheme="minorEastAsia"/>
        </w:rPr>
      </w:pPr>
      <w:r>
        <w:t xml:space="preserve">(c) „Funcționarii administrației s-au deplasat la primărie, spunând, «Cum se face că nu ați susținut producătorul local!» Consider că refuzul primăriei de a face afaceri cu fabrica </w:t>
      </w:r>
      <w:proofErr w:type="spellStart"/>
      <w:r>
        <w:t>Volzhanin</w:t>
      </w:r>
      <w:proofErr w:type="spellEnd"/>
      <w:r>
        <w:t xml:space="preserve"> a fost unul dintre principalele motive ale furiei funcționarilor regionali.“</w:t>
      </w:r>
    </w:p>
    <w:p w14:paraId="5E81B3DC" w14:textId="77777777" w:rsidR="00D33FCF" w:rsidRPr="00C2426B" w:rsidRDefault="00D33FCF" w:rsidP="00C2426B">
      <w:pPr>
        <w:pStyle w:val="JuQuot"/>
        <w:rPr>
          <w:rFonts w:eastAsiaTheme="minorEastAsia"/>
        </w:rPr>
      </w:pPr>
      <w:r>
        <w:t xml:space="preserve">(d) [...] „suspendarea alocării subvențiilor către orașul </w:t>
      </w:r>
      <w:proofErr w:type="spellStart"/>
      <w:r>
        <w:t>Volgograd</w:t>
      </w:r>
      <w:proofErr w:type="spellEnd"/>
      <w:r>
        <w:t xml:space="preserve"> din bugetul regional [era] un act de răzbunare pentru pierderea cererii de ofertă.“</w:t>
      </w:r>
    </w:p>
    <w:p w14:paraId="30DDF2FD" w14:textId="591A076D"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10</w:t>
      </w:r>
      <w:r w:rsidRPr="00C2426B">
        <w:rPr>
          <w:rFonts w:eastAsiaTheme="minorEastAsia"/>
        </w:rPr>
        <w:fldChar w:fldCharType="end"/>
      </w:r>
      <w:r>
        <w:t>.  Petentul a contestat afirmațiile în litigiu ca fiind false, s-a plâns că au fost comunicate ca fiind opinia domnului S. și au pătat „reputația în afaceri“ a autorităților administrative (</w:t>
      </w:r>
      <w:proofErr w:type="spellStart"/>
      <w:r>
        <w:rPr>
          <w:i/>
        </w:rPr>
        <w:t>деловая</w:t>
      </w:r>
      <w:proofErr w:type="spellEnd"/>
      <w:r>
        <w:rPr>
          <w:i/>
        </w:rPr>
        <w:t xml:space="preserve"> </w:t>
      </w:r>
      <w:proofErr w:type="spellStart"/>
      <w:r>
        <w:rPr>
          <w:i/>
        </w:rPr>
        <w:t>репутация</w:t>
      </w:r>
      <w:proofErr w:type="spellEnd"/>
      <w:r>
        <w:t xml:space="preserve">). Autoritățile administrative ale Regiunii </w:t>
      </w:r>
      <w:proofErr w:type="spellStart"/>
      <w:r>
        <w:t>Volgograd</w:t>
      </w:r>
      <w:proofErr w:type="spellEnd"/>
      <w:r>
        <w:t xml:space="preserve"> au insistat că nu au făcut nicio presiune asupra autorităților municipale, că nu au făcut lobby ca fabrica de autobuze </w:t>
      </w:r>
      <w:proofErr w:type="spellStart"/>
      <w:r>
        <w:t>Volzhanin</w:t>
      </w:r>
      <w:proofErr w:type="spellEnd"/>
      <w:r>
        <w:t xml:space="preserve"> să câștige cererea de ofertă și că transferul subvențiilor a fost suspendat doar din cauză că s-a depășit limita subvențiilor de la buget.</w:t>
      </w:r>
    </w:p>
    <w:p w14:paraId="4DBF953F" w14:textId="3217EC29"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11</w:t>
      </w:r>
      <w:r w:rsidRPr="00C2426B">
        <w:rPr>
          <w:rFonts w:eastAsiaTheme="minorEastAsia"/>
        </w:rPr>
        <w:fldChar w:fldCharType="end"/>
      </w:r>
      <w:r>
        <w:t xml:space="preserve">.  Societatea reclamantă a susținut că declarațiile în litigiu erau mai degrabă judecăți de valoare ale domnului S. bazate pe opinia sa, decât o expunere a situației de fapt. A mai afirmat că publicația criticată a abordat probleme de interes public, în mod deosebit relațiile complexe dintre </w:t>
      </w:r>
      <w:r>
        <w:lastRenderedPageBreak/>
        <w:t xml:space="preserve">autoritățile regionale și cele locale. Societatea reclamantă a insistat că afirmațiile criticate nu sunt defăimătoare, nu au reprezentat atacarea gratuită a vreunui funcționar anume din Administrația Regiunii </w:t>
      </w:r>
      <w:proofErr w:type="spellStart"/>
      <w:r>
        <w:t>Volgograd</w:t>
      </w:r>
      <w:proofErr w:type="spellEnd"/>
      <w:r>
        <w:t xml:space="preserve"> și nu au depășit limitele unei critici acceptabile în privința acesteia, care, fiind un organ al puterii executive, trebuia să dea dovadă de o mai mare toleranță față de o asemenea critică decât persoanele particulare.</w:t>
      </w:r>
    </w:p>
    <w:p w14:paraId="49CD7AB6" w14:textId="0D63EFB0"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12</w:t>
      </w:r>
      <w:r w:rsidRPr="00C2426B">
        <w:rPr>
          <w:rFonts w:eastAsiaTheme="minorEastAsia"/>
        </w:rPr>
        <w:fldChar w:fldCharType="end"/>
      </w:r>
      <w:r>
        <w:t xml:space="preserve">.  La 8 aprilie 2009, Tribunalul Districtual </w:t>
      </w:r>
      <w:proofErr w:type="spellStart"/>
      <w:r>
        <w:t>Ostankinskiy</w:t>
      </w:r>
      <w:proofErr w:type="spellEnd"/>
      <w:r>
        <w:t xml:space="preserve"> din Moscova („instanța districtuală“)  a examinat cauza pe fond. A remarcat că, în temeiul art. 152 din Codul civil al Rusiei, în procedurile pentru calomnie revine petentului obligația să dovedească faptul răspândirii informațiilor și natura lor, în vreme ce pârâtul are obligația să dovedească acuratețea acestor informații.</w:t>
      </w:r>
    </w:p>
    <w:p w14:paraId="6AE97660" w14:textId="2D3EF900"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13</w:t>
      </w:r>
      <w:r w:rsidRPr="00C2426B">
        <w:rPr>
          <w:rFonts w:eastAsiaTheme="minorEastAsia"/>
        </w:rPr>
        <w:fldChar w:fldCharType="end"/>
      </w:r>
      <w:r>
        <w:t>.  Instanța districtuală a reținut următoarele:</w:t>
      </w:r>
    </w:p>
    <w:p w14:paraId="196F2E0C" w14:textId="11FD1A7A" w:rsidR="00D33FCF" w:rsidRPr="00C2426B" w:rsidRDefault="00D33FCF" w:rsidP="00C2426B">
      <w:pPr>
        <w:pStyle w:val="JuQuot"/>
        <w:rPr>
          <w:rFonts w:eastAsiaTheme="minorEastAsia"/>
        </w:rPr>
      </w:pPr>
      <w:r>
        <w:t xml:space="preserve">„La 1 iulie 2008 un articol intitulat «[Domnul S]: primăria din </w:t>
      </w:r>
      <w:proofErr w:type="spellStart"/>
      <w:r>
        <w:t>Volgograd</w:t>
      </w:r>
      <w:proofErr w:type="spellEnd"/>
      <w:r>
        <w:t xml:space="preserve"> s-a certat cu autoritățile administrative ale Regiunii </w:t>
      </w:r>
      <w:proofErr w:type="spellStart"/>
      <w:r>
        <w:t>Volgograd</w:t>
      </w:r>
      <w:proofErr w:type="spellEnd"/>
      <w:r>
        <w:t xml:space="preserve"> pentru o fabrică de autobuze» scris de domnul [S.] a fost publicat în </w:t>
      </w:r>
      <w:proofErr w:type="spellStart"/>
      <w:r>
        <w:rPr>
          <w:i/>
        </w:rPr>
        <w:t>Kavkazskiy</w:t>
      </w:r>
      <w:proofErr w:type="spellEnd"/>
      <w:r>
        <w:rPr>
          <w:i/>
        </w:rPr>
        <w:t xml:space="preserve"> </w:t>
      </w:r>
      <w:proofErr w:type="spellStart"/>
      <w:r>
        <w:rPr>
          <w:i/>
        </w:rPr>
        <w:t>Uzel</w:t>
      </w:r>
      <w:proofErr w:type="spellEnd"/>
      <w:r>
        <w:t xml:space="preserve"> [al societății reclamante]. În articol, autorul a ajuns la o concluzie despre natura economică a conflictului dintre primăria </w:t>
      </w:r>
      <w:proofErr w:type="spellStart"/>
      <w:r>
        <w:t>Volgograd</w:t>
      </w:r>
      <w:proofErr w:type="spellEnd"/>
      <w:r>
        <w:t xml:space="preserve"> și Administrația Regiunii </w:t>
      </w:r>
      <w:proofErr w:type="spellStart"/>
      <w:r>
        <w:t>Volgograd</w:t>
      </w:r>
      <w:proofErr w:type="spellEnd"/>
      <w:r>
        <w:t xml:space="preserve">, pe motiv că Administrația Regiunii </w:t>
      </w:r>
      <w:proofErr w:type="spellStart"/>
      <w:r>
        <w:t>Volgograd</w:t>
      </w:r>
      <w:proofErr w:type="spellEnd"/>
      <w:r>
        <w:t xml:space="preserve"> a făcut lobby pentru interesele fabricii </w:t>
      </w:r>
      <w:proofErr w:type="spellStart"/>
      <w:r>
        <w:t>Volzhanin</w:t>
      </w:r>
      <w:proofErr w:type="spellEnd"/>
      <w:r>
        <w:t xml:space="preserve"> într-o cerere de ofertă și că s-a suspendat alocarea subvențiilor către orașul </w:t>
      </w:r>
      <w:proofErr w:type="spellStart"/>
      <w:r>
        <w:t>Volgograd</w:t>
      </w:r>
      <w:proofErr w:type="spellEnd"/>
      <w:r>
        <w:t xml:space="preserve"> din bugetul regional ca un act de răzbunare pentru pierderea cererii de ofertă. Pârâtul nu a contestat faptul că informațiile în litigiu au fost publicate. S-a limitat să susțină că expresiile în cauză nu erau o expunere a situației de fapt, ci judecăți de valoare. Instanța a considerat totuși că pârâtul a expus o situație de fapt sub forma unor afirmații că Administrația Regiunii </w:t>
      </w:r>
      <w:proofErr w:type="spellStart"/>
      <w:r>
        <w:t>Volgograd</w:t>
      </w:r>
      <w:proofErr w:type="spellEnd"/>
      <w:r>
        <w:t xml:space="preserve"> a făcut lobby pentru interesele fabricii </w:t>
      </w:r>
      <w:proofErr w:type="spellStart"/>
      <w:r>
        <w:t>Volzhanin</w:t>
      </w:r>
      <w:proofErr w:type="spellEnd"/>
      <w:r>
        <w:t>. În esență, a face lobby implică intenția cuiva de a crea condiții avantajoase pentru o persoană în comparație cu celelalte. Cu alte cuvinte, înseamnă să influențezi o persoană sau un organism al statului, utilizând resurse nelimitate, pentru atingerea scopului urmărit de a crea o prioritate pentru cineva în raport cu ceilalți.</w:t>
      </w:r>
    </w:p>
    <w:p w14:paraId="59464EDC" w14:textId="3D0BF491" w:rsidR="00D33FCF" w:rsidRPr="00C2426B" w:rsidRDefault="00D33FCF" w:rsidP="00C2426B">
      <w:pPr>
        <w:pStyle w:val="JuQuot"/>
        <w:rPr>
          <w:rFonts w:eastAsiaTheme="minorEastAsia"/>
        </w:rPr>
      </w:pPr>
      <w:r>
        <w:t xml:space="preserve">În pofida faptului că autorul folosește o expresie precum „mi se pare“, acesta afirmă că suspendarea alocării subvențiilor către orașul </w:t>
      </w:r>
      <w:proofErr w:type="spellStart"/>
      <w:r>
        <w:t>Volgograd</w:t>
      </w:r>
      <w:proofErr w:type="spellEnd"/>
      <w:r>
        <w:t xml:space="preserve"> este un act de răzbunare al autorităților administrative din Regiunea </w:t>
      </w:r>
      <w:proofErr w:type="spellStart"/>
      <w:r>
        <w:t>Volgograd</w:t>
      </w:r>
      <w:proofErr w:type="spellEnd"/>
      <w:r>
        <w:t>.</w:t>
      </w:r>
    </w:p>
    <w:p w14:paraId="794C3937" w14:textId="67FDBCCD" w:rsidR="00D33FCF" w:rsidRPr="00C2426B" w:rsidRDefault="00D33FCF" w:rsidP="00C2426B">
      <w:pPr>
        <w:pStyle w:val="JuQuot"/>
        <w:rPr>
          <w:rFonts w:eastAsiaTheme="minorEastAsia"/>
        </w:rPr>
      </w:pPr>
      <w:r>
        <w:t xml:space="preserve">Acuzațiile de lobby pentru interesele unei anumite entități juridice și cele de răzbunare din partea unui organ al puterii executive reprezintă în sine un prejudiciu pentru reputația autorităților Regiunii </w:t>
      </w:r>
      <w:proofErr w:type="spellStart"/>
      <w:r>
        <w:t>Volgograd</w:t>
      </w:r>
      <w:proofErr w:type="spellEnd"/>
      <w:r>
        <w:t xml:space="preserve">, întrucât pot face ca numeroși utilizatori de Internet să creadă că autoritățile au participat la o activitate condamnată de societate, necurată și lipsită de etică – chiar dacă nu ilegală și pasibilă de pedeapsă penală. În același timp, pârâtul nu a adus probe pentru a dovedi că evenimentele la care s-a referit în articol au avut loc. Administrația Regiunii </w:t>
      </w:r>
      <w:proofErr w:type="spellStart"/>
      <w:r>
        <w:t>Volgograd</w:t>
      </w:r>
      <w:proofErr w:type="spellEnd"/>
      <w:r>
        <w:t xml:space="preserve"> a prezentat ordinele de suspendare a alocării subvențiilor către orașul </w:t>
      </w:r>
      <w:proofErr w:type="spellStart"/>
      <w:r>
        <w:t>Volgograd</w:t>
      </w:r>
      <w:proofErr w:type="spellEnd"/>
      <w:r>
        <w:t xml:space="preserve"> în legătură cu depășirea limitei cheltuielilor preconizate pentru autoritățile municipale.</w:t>
      </w:r>
    </w:p>
    <w:p w14:paraId="7C3BF760" w14:textId="77777777" w:rsidR="00D33FCF" w:rsidRPr="00C2426B" w:rsidRDefault="00D33FCF" w:rsidP="00C2426B">
      <w:pPr>
        <w:pStyle w:val="JuQuot"/>
        <w:rPr>
          <w:rFonts w:eastAsiaTheme="minorEastAsia"/>
          <w:szCs w:val="22"/>
        </w:rPr>
      </w:pPr>
      <w:r>
        <w:t xml:space="preserve">Prin urmare, faptul de a răspândi afirmații care au pătat reputația în afaceri a Administrației Regiunii </w:t>
      </w:r>
      <w:proofErr w:type="spellStart"/>
      <w:r>
        <w:t>Volgograd</w:t>
      </w:r>
      <w:proofErr w:type="spellEnd"/>
      <w:r>
        <w:t xml:space="preserve"> a fost probat în cadrul examinării prezentei cauze. Pe de altă parte, adevărul afirmațiilor răspândite nu a fost dovedit de către inculpat, care nu a prezentat niciun mijloc de probă și nici nu a cerut să fie asistat de instanță în obținerea de mijloace de probă.“</w:t>
      </w:r>
    </w:p>
    <w:p w14:paraId="238E1C95" w14:textId="3399E6D3" w:rsidR="00D33FCF" w:rsidRPr="00C2426B" w:rsidRDefault="00D33FCF" w:rsidP="00C2426B">
      <w:pPr>
        <w:pStyle w:val="JuPara"/>
        <w:rPr>
          <w:rFonts w:eastAsiaTheme="minorEastAsia"/>
        </w:rPr>
      </w:pPr>
      <w:r w:rsidRPr="00C2426B">
        <w:rPr>
          <w:rFonts w:eastAsiaTheme="minorEastAsia"/>
        </w:rPr>
        <w:lastRenderedPageBreak/>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14</w:t>
      </w:r>
      <w:r w:rsidRPr="00C2426B">
        <w:rPr>
          <w:rFonts w:eastAsiaTheme="minorEastAsia"/>
        </w:rPr>
        <w:fldChar w:fldCharType="end"/>
      </w:r>
      <w:r>
        <w:t>.  Instanța districtuală a dispus în continuare ca societatea reclamantă, în termen de treizeci de zile după ce hotărârea a devenit definitivă, să publice pe website-</w:t>
      </w:r>
      <w:proofErr w:type="spellStart"/>
      <w:r>
        <w:t>ul</w:t>
      </w:r>
      <w:proofErr w:type="spellEnd"/>
      <w:r>
        <w:t xml:space="preserve"> </w:t>
      </w:r>
      <w:proofErr w:type="spellStart"/>
      <w:r>
        <w:rPr>
          <w:i/>
        </w:rPr>
        <w:t>Kavkazskiy</w:t>
      </w:r>
      <w:proofErr w:type="spellEnd"/>
      <w:r>
        <w:rPr>
          <w:i/>
        </w:rPr>
        <w:t xml:space="preserve"> </w:t>
      </w:r>
      <w:proofErr w:type="spellStart"/>
      <w:r>
        <w:rPr>
          <w:i/>
        </w:rPr>
        <w:t>Uzel</w:t>
      </w:r>
      <w:proofErr w:type="spellEnd"/>
      <w:r>
        <w:t xml:space="preserve"> o retractare în sensul că declarațiile următoare sunt false și au pătat reputația în afaceri a petentului: „Administrația Regiunii </w:t>
      </w:r>
      <w:proofErr w:type="spellStart"/>
      <w:r>
        <w:t>Volgograd</w:t>
      </w:r>
      <w:proofErr w:type="spellEnd"/>
      <w:r>
        <w:t xml:space="preserve"> a făcut lobby pentru ca fabrica </w:t>
      </w:r>
      <w:proofErr w:type="spellStart"/>
      <w:r>
        <w:t>Volzhanin</w:t>
      </w:r>
      <w:proofErr w:type="spellEnd"/>
      <w:r>
        <w:t xml:space="preserve"> să câștige cererea de ofertă“; „suspendarea alocării subvențiilor către orașul </w:t>
      </w:r>
      <w:proofErr w:type="spellStart"/>
      <w:r>
        <w:t>Volgograd</w:t>
      </w:r>
      <w:proofErr w:type="spellEnd"/>
      <w:r>
        <w:t xml:space="preserve"> din bugetul regional [a fost] un act de răzbunare pentru pierderea cererii de ofertă“. Instanța districtuală a dispus, de asemenea, ca societatea reclamantă să publice dispozitivul hotărârii sale pe website.</w:t>
      </w:r>
    </w:p>
    <w:p w14:paraId="1DEB399A" w14:textId="7CDBC5C9"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15</w:t>
      </w:r>
      <w:r w:rsidRPr="00C2426B">
        <w:rPr>
          <w:rFonts w:eastAsiaTheme="minorEastAsia"/>
        </w:rPr>
        <w:fldChar w:fldCharType="end"/>
      </w:r>
      <w:r>
        <w:t>.  Societatea reclamantă a introdus recurs, plângându-se că instanța districtuală nu a luat în seamă niciunul dintre argumentele sale. De asemenea, și-a susținut argumentele prezentate în fața instanței districtuale, și anume că afirmațiile în cauză au fost judecăți de valoare și nu au fost formulate în termeni absoluți. A remarcat, de asemenea, că articolul privea o problemă de actualitate și că autorul, fiind un jurnalist profesionist, nu a încălcat limitele criticii admisibile.</w:t>
      </w:r>
    </w:p>
    <w:p w14:paraId="640D88A2" w14:textId="72B7D757" w:rsidR="00D33FCF" w:rsidRPr="00C2426B" w:rsidRDefault="00D33FCF" w:rsidP="00C2426B">
      <w:pPr>
        <w:pStyle w:val="JuPara"/>
        <w:rPr>
          <w:rFonts w:eastAsiaTheme="minorEastAsia"/>
        </w:rPr>
      </w:pPr>
      <w:r w:rsidRPr="00C2426B">
        <w:rPr>
          <w:rFonts w:eastAsiaTheme="minorEastAsia"/>
        </w:rPr>
        <w:fldChar w:fldCharType="begin"/>
      </w:r>
      <w:r w:rsidRPr="00C2426B">
        <w:rPr>
          <w:rFonts w:eastAsiaTheme="minorEastAsia"/>
        </w:rPr>
        <w:instrText xml:space="preserve"> SEQ level0 \*arabic </w:instrText>
      </w:r>
      <w:r w:rsidRPr="00C2426B">
        <w:rPr>
          <w:rFonts w:eastAsiaTheme="minorEastAsia"/>
        </w:rPr>
        <w:fldChar w:fldCharType="separate"/>
      </w:r>
      <w:r w:rsidR="00C2426B" w:rsidRPr="00C2426B">
        <w:rPr>
          <w:rFonts w:eastAsiaTheme="minorEastAsia"/>
        </w:rPr>
        <w:t>16</w:t>
      </w:r>
      <w:r w:rsidRPr="00C2426B">
        <w:rPr>
          <w:rFonts w:eastAsiaTheme="minorEastAsia"/>
        </w:rPr>
        <w:fldChar w:fldCharType="end"/>
      </w:r>
      <w:r>
        <w:t>.  La 16 iulie 2009 instanța orașului Moscova, susținând sumar motivarea instanței districtuale, a confirmat hotărârea în apel.</w:t>
      </w:r>
    </w:p>
    <w:p w14:paraId="763F97D3" w14:textId="77777777" w:rsidR="00D33FCF" w:rsidRPr="00C2426B" w:rsidRDefault="00D33FCF" w:rsidP="00C2426B">
      <w:pPr>
        <w:pStyle w:val="JuHHead"/>
      </w:pPr>
      <w:r>
        <w:t>CADRUL JURIDIC RELEVANT</w:t>
      </w:r>
    </w:p>
    <w:p w14:paraId="00B065DA" w14:textId="77777777" w:rsidR="00D33FCF" w:rsidRPr="00C2426B" w:rsidRDefault="00D33FCF" w:rsidP="00C2426B">
      <w:pPr>
        <w:pStyle w:val="JuHIRoman"/>
      </w:pPr>
      <w:r>
        <w:t>Dreptul şi practica interne</w:t>
      </w:r>
    </w:p>
    <w:p w14:paraId="0A401AC4" w14:textId="442B1BF3" w:rsidR="00D33FCF" w:rsidRPr="00C2426B" w:rsidRDefault="00D77874" w:rsidP="00C2426B">
      <w:pPr>
        <w:pStyle w:val="JuPara"/>
      </w:pPr>
      <w:r>
        <w:fldChar w:fldCharType="begin"/>
      </w:r>
      <w:r>
        <w:instrText xml:space="preserve"> SEQ level0 \*arabic </w:instrText>
      </w:r>
      <w:r>
        <w:fldChar w:fldCharType="separate"/>
      </w:r>
      <w:r w:rsidR="00C2426B" w:rsidRPr="00C2426B">
        <w:t>17</w:t>
      </w:r>
      <w:r>
        <w:fldChar w:fldCharType="end"/>
      </w:r>
      <w:r w:rsidR="00D33FCF">
        <w:t xml:space="preserve">.  Cadrul juridic și practica interne relevante au fost descrise în </w:t>
      </w:r>
      <w:bookmarkStart w:id="6" w:name="_Hlk97906713"/>
      <w:proofErr w:type="spellStart"/>
      <w:r w:rsidR="00D33FCF">
        <w:rPr>
          <w:i/>
        </w:rPr>
        <w:t>Novaya</w:t>
      </w:r>
      <w:proofErr w:type="spellEnd"/>
      <w:r w:rsidR="00D33FCF">
        <w:rPr>
          <w:i/>
        </w:rPr>
        <w:t xml:space="preserve"> Gazeta și </w:t>
      </w:r>
      <w:proofErr w:type="spellStart"/>
      <w:r w:rsidR="00D33FCF">
        <w:rPr>
          <w:i/>
        </w:rPr>
        <w:t>Milashina</w:t>
      </w:r>
      <w:proofErr w:type="spellEnd"/>
      <w:r w:rsidR="00D33FCF">
        <w:rPr>
          <w:i/>
        </w:rPr>
        <w:t xml:space="preserve"> împotriva Rusiei</w:t>
      </w:r>
      <w:r w:rsidR="00D33FCF">
        <w:t xml:space="preserve"> (nr. 45083/06, pct. 35</w:t>
      </w:r>
      <w:r w:rsidR="00D33FCF">
        <w:noBreakHyphen/>
        <w:t>38, 3 octombrie 2017</w:t>
      </w:r>
      <w:bookmarkEnd w:id="6"/>
      <w:r w:rsidR="00D33FCF">
        <w:t>).</w:t>
      </w:r>
    </w:p>
    <w:p w14:paraId="584F7804" w14:textId="56D52BA1" w:rsidR="00D33FCF" w:rsidRPr="00C2426B" w:rsidRDefault="00D77874" w:rsidP="00C2426B">
      <w:pPr>
        <w:pStyle w:val="JuPara"/>
      </w:pPr>
      <w:r>
        <w:fldChar w:fldCharType="begin"/>
      </w:r>
      <w:r>
        <w:instrText xml:space="preserve"> SEQ level0 \*a</w:instrText>
      </w:r>
      <w:r>
        <w:instrText xml:space="preserve">rabic </w:instrText>
      </w:r>
      <w:r>
        <w:fldChar w:fldCharType="separate"/>
      </w:r>
      <w:r w:rsidR="00C2426B" w:rsidRPr="00C2426B">
        <w:t>18</w:t>
      </w:r>
      <w:r>
        <w:fldChar w:fldCharType="end"/>
      </w:r>
      <w:r w:rsidR="00D33FCF">
        <w:t>.  Art. 29 din Constituția Federației Ruse garantează libertatea de gândire și de exprimare, precum și libertatea media.</w:t>
      </w:r>
    </w:p>
    <w:bookmarkStart w:id="7" w:name="A152"/>
    <w:p w14:paraId="7BBC1A3D" w14:textId="30B01491"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19</w:t>
      </w:r>
      <w:r w:rsidRPr="00C2426B">
        <w:fldChar w:fldCharType="end"/>
      </w:r>
      <w:bookmarkEnd w:id="7"/>
      <w:r>
        <w:t>.  Art. 152 din Codul civil al Federației Ruse în vigoare la momentul faptelor, înainte de modificările în vigoare începând cu 1 octombrie 2013, prevedea că o persoană fizică („un cetățean“) putea sesiza instanța cerând să dispună retractarea afirmațiilor («</w:t>
      </w:r>
      <w:proofErr w:type="spellStart"/>
      <w:r>
        <w:rPr>
          <w:i/>
        </w:rPr>
        <w:t>сведения</w:t>
      </w:r>
      <w:proofErr w:type="spellEnd"/>
      <w:r>
        <w:rPr>
          <w:i/>
        </w:rPr>
        <w:t>»</w:t>
      </w:r>
      <w:r>
        <w:t>) care îi aduc prejudicii onoarei, demnității, reputației sale în afaceri, dacă persoana care a răspândit afirmațiile nu le dovedește veridicitatea. Persoana vătămată poate pretinde și despăgubiri pentru prejudiciul (material) și prejudiciul moral („vătămare morală“) suferite ca urmare a răspândirii acestor afirmații. Paragraful 7 prevedea: „[n]</w:t>
      </w:r>
      <w:proofErr w:type="spellStart"/>
      <w:r>
        <w:t>ormele</w:t>
      </w:r>
      <w:proofErr w:type="spellEnd"/>
      <w:r>
        <w:t xml:space="preserve"> de la acest articol privind protejarea reputației în afaceri a unui cetățean sunt, respectiv, aplicabile protejării reputației în afaceri a unei persoane juridice“. La 1 octombrie 2013 noile modificări aduse art. 152 au intrat în vigoare, ducând la unsprezece alineate în loc de șapte. Alineatul 7 a devenit alineatul 11 și a fost modificat prevăzând următoarele: „[D]</w:t>
      </w:r>
      <w:proofErr w:type="spellStart"/>
      <w:r>
        <w:t>ispozițiile</w:t>
      </w:r>
      <w:proofErr w:type="spellEnd"/>
      <w:r>
        <w:t xml:space="preserve"> de la acest articol privind protejarea reputației în afaceri a unui cetățean, cu excepția dispozițiilor cu privire la acordarea de daune morale </w:t>
      </w:r>
      <w:r>
        <w:rPr>
          <w:i/>
        </w:rPr>
        <w:t>(«</w:t>
      </w:r>
      <w:proofErr w:type="spellStart"/>
      <w:r>
        <w:rPr>
          <w:i/>
        </w:rPr>
        <w:t>моральный</w:t>
      </w:r>
      <w:proofErr w:type="spellEnd"/>
      <w:r>
        <w:rPr>
          <w:i/>
        </w:rPr>
        <w:t xml:space="preserve"> </w:t>
      </w:r>
      <w:proofErr w:type="spellStart"/>
      <w:r>
        <w:rPr>
          <w:i/>
        </w:rPr>
        <w:t>вред</w:t>
      </w:r>
      <w:proofErr w:type="spellEnd"/>
      <w:r>
        <w:rPr>
          <w:i/>
        </w:rPr>
        <w:t>»</w:t>
      </w:r>
      <w:r>
        <w:t xml:space="preserve">), </w:t>
      </w:r>
      <w:r>
        <w:lastRenderedPageBreak/>
        <w:t>sunt, respectiv, aplicabile protejării reputației în afaceri a unei persoane juridice.“</w:t>
      </w:r>
    </w:p>
    <w:p w14:paraId="7A478427" w14:textId="4FE34B25"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20</w:t>
      </w:r>
      <w:r>
        <w:fldChar w:fldCharType="end"/>
      </w:r>
      <w:r w:rsidR="007E1819">
        <w:t>.  La momentul faptelor, nu exista o jurisprudență a instanțelor interne care să explice dacă o autoritate publică putea depune plângere pentru a-și proteja reputația în afaceri în temeiul art. 152 din Codul civil al Federației Ruse.</w:t>
      </w:r>
    </w:p>
    <w:p w14:paraId="24A5BEE3" w14:textId="0E914A58"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21</w:t>
      </w:r>
      <w:r>
        <w:fldChar w:fldCharType="end"/>
      </w:r>
      <w:r w:rsidR="007E1819">
        <w:t xml:space="preserve">.  În temeiul Hotărârii nr. 16 din 15 iunie 2010 a plenului </w:t>
      </w:r>
      <w:proofErr w:type="spellStart"/>
      <w:r w:rsidR="007E1819">
        <w:t>Curţii</w:t>
      </w:r>
      <w:proofErr w:type="spellEnd"/>
      <w:r w:rsidR="007E1819">
        <w:t xml:space="preserve"> Supreme a Rusiei, în cauze care priveau reglementări cu privire la libertatea de exprimare și canalele mass-media, se cere instanțelor să asigure un echilibru între drepturile acestora și drepturile altora sau alte valori constituționale. Chestiunea unui presupus abuz al libertății media trebuie soluționată luând în considerare formularea articolului și contextul în care erau făcute afirmațiile în litigiu, împreună cu scopul, genul și stilul articolului și dacă afirmațiile puteau fi considerate drept o exprimare a unei opinii în domeniul dezbaterii politice sau o atragere a atenției asupra dezbaterii unor probleme importante social.</w:t>
      </w:r>
    </w:p>
    <w:p w14:paraId="0598C18B" w14:textId="77777777" w:rsidR="00D33FCF" w:rsidRPr="00C2426B" w:rsidRDefault="00D33FCF" w:rsidP="00C2426B">
      <w:pPr>
        <w:pStyle w:val="JuHIRoman"/>
      </w:pPr>
      <w:r>
        <w:t>Documente ale Consiliului Europei</w:t>
      </w:r>
    </w:p>
    <w:bookmarkStart w:id="8" w:name="PACE"/>
    <w:p w14:paraId="50459204" w14:textId="309761B4"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22</w:t>
      </w:r>
      <w:r w:rsidRPr="00C2426B">
        <w:fldChar w:fldCharType="end"/>
      </w:r>
      <w:bookmarkEnd w:id="8"/>
      <w:r>
        <w:t>.  În Raportul privind onorarea obligațiilor și a angajamentelor de către Federația Rusă al Comisiei pentru onorarea obligațiilor și a angajamentelor asumate de statele membre ale Consiliului Europei (Comisia de monitorizare) a Adunării Parlamentare a Consiliului Europei din 3 iunie 2005 (doc. 10568) pasajele relevante au fost formulate astfel:</w:t>
      </w:r>
    </w:p>
    <w:p w14:paraId="17FF76DA" w14:textId="77777777" w:rsidR="00D33FCF" w:rsidRPr="00C2426B" w:rsidRDefault="00D33FCF" w:rsidP="00C2426B">
      <w:pPr>
        <w:pStyle w:val="JuQuot"/>
        <w:rPr>
          <w:szCs w:val="20"/>
        </w:rPr>
      </w:pPr>
      <w:r>
        <w:t xml:space="preserve">„392.  ... posibilitatea de a intenta procese împotriva media și a jurnaliștilor de către autoritățile publice ar trebui să fie abolită întrucât acestea din urmă, </w:t>
      </w:r>
      <w:r>
        <w:rPr>
          <w:i/>
          <w:iCs/>
        </w:rPr>
        <w:t>per se</w:t>
      </w:r>
      <w:r>
        <w:t>, nu au demnitate, onoare sau reputație.</w:t>
      </w:r>
    </w:p>
    <w:p w14:paraId="3E7F430A" w14:textId="69D93FCB" w:rsidR="00D33FCF" w:rsidRPr="00C2426B" w:rsidRDefault="00D33FCF" w:rsidP="00C2426B">
      <w:pPr>
        <w:pStyle w:val="JuQuot"/>
        <w:rPr>
          <w:rFonts w:ascii="Times New Roman" w:eastAsia="Times New Roman" w:hAnsi="Times New Roman" w:cs="Times New Roman"/>
          <w:color w:val="000000"/>
          <w:szCs w:val="20"/>
        </w:rPr>
      </w:pPr>
      <w:r>
        <w:rPr>
          <w:rFonts w:ascii="Times New Roman" w:hAnsi="Times New Roman"/>
          <w:color w:val="000000"/>
        </w:rPr>
        <w:t>393.  Prin urmare, îndemnăm autoritățile ruse să-și reformeze legislația privind calomnia, </w:t>
      </w:r>
      <w:r>
        <w:rPr>
          <w:rFonts w:ascii="Times New Roman" w:hAnsi="Times New Roman"/>
          <w:i/>
          <w:color w:val="000000"/>
        </w:rPr>
        <w:t>inter alia</w:t>
      </w:r>
      <w:r>
        <w:rPr>
          <w:rFonts w:ascii="Times New Roman" w:hAnsi="Times New Roman"/>
          <w:color w:val="000000"/>
        </w:rPr>
        <w:t>: ... să anuleze protecția suplimentară împotriva calomniei pentru persoanele cu funcții publice, să introducă interzicerea clară ca organismele publice să inițieze proceduri civile pentru a-și proteja «reputația» (fără a împiedica dreptul persoanelor cu funcții publice de a se judeca în calitate de persoane private), să stabilească în mod clar că nimeni nu trebuie să fie răspunzător în temeiul legii privind calomnia pentru exprimarea unei opinii («judecăți de valoare»), să dea prioritate formelor nepecuniare de despăgubire în fața reparației pecuniare a prejudiciului și să întărească protecția surselor de informație ale jurnaliștilor.“</w:t>
      </w:r>
    </w:p>
    <w:bookmarkStart w:id="9" w:name="CommHR"/>
    <w:p w14:paraId="333BB92A" w14:textId="0F0EAC2B" w:rsidR="00D33FCF" w:rsidRPr="00C2426B" w:rsidRDefault="00D33FCF" w:rsidP="00C2426B">
      <w:pPr>
        <w:pStyle w:val="JuPara"/>
        <w:rPr>
          <w:rFonts w:eastAsia="Times New Roman"/>
        </w:rPr>
      </w:pPr>
      <w:r w:rsidRPr="00C2426B">
        <w:rPr>
          <w:rFonts w:eastAsia="Times New Roman"/>
        </w:rPr>
        <w:fldChar w:fldCharType="begin"/>
      </w:r>
      <w:r w:rsidRPr="00C2426B">
        <w:rPr>
          <w:rFonts w:eastAsia="Times New Roman"/>
        </w:rPr>
        <w:instrText xml:space="preserve"> SEQ level0 \*arabic \* MERGEFORMAT </w:instrText>
      </w:r>
      <w:r w:rsidRPr="00C2426B">
        <w:rPr>
          <w:rFonts w:eastAsia="Times New Roman"/>
        </w:rPr>
        <w:fldChar w:fldCharType="separate"/>
      </w:r>
      <w:r w:rsidR="00C2426B" w:rsidRPr="00C2426B">
        <w:rPr>
          <w:rFonts w:eastAsia="Times New Roman"/>
        </w:rPr>
        <w:t>23</w:t>
      </w:r>
      <w:r w:rsidRPr="00C2426B">
        <w:rPr>
          <w:rFonts w:eastAsia="Times New Roman"/>
        </w:rPr>
        <w:fldChar w:fldCharType="end"/>
      </w:r>
      <w:bookmarkEnd w:id="9"/>
      <w:r>
        <w:t>.  Comentariul referitor la drepturile omului al comisarului pentru drepturile omului al Consiliului Europei „Este timpul să acționăm împotriva SLAPP“ [Acțiunile strategice în justiție împotriva mobilizării publice] din 27 octombrie 2020 conține următoarele pasaje relevante:</w:t>
      </w:r>
    </w:p>
    <w:p w14:paraId="153B54A1" w14:textId="77777777" w:rsidR="00D33FCF" w:rsidRPr="00C2426B" w:rsidRDefault="00D33FCF" w:rsidP="00C2426B">
      <w:pPr>
        <w:pStyle w:val="JuQuot"/>
        <w:rPr>
          <w:rFonts w:eastAsia="Times New Roman"/>
        </w:rPr>
      </w:pPr>
      <w:r>
        <w:t>„</w:t>
      </w:r>
      <w:r>
        <w:rPr>
          <w:i/>
        </w:rPr>
        <w:t xml:space="preserve">SLAPP: acțiuni în justiție menite să intimideze </w:t>
      </w:r>
    </w:p>
    <w:p w14:paraId="202A6C32" w14:textId="77777777" w:rsidR="00D33FCF" w:rsidRPr="00C2426B" w:rsidRDefault="00D33FCF" w:rsidP="00C2426B">
      <w:pPr>
        <w:pStyle w:val="JuQuot"/>
        <w:rPr>
          <w:rFonts w:eastAsia="Times New Roman"/>
        </w:rPr>
      </w:pPr>
      <w:r>
        <w:t xml:space="preserve">Raportul anual al Platformei Consiliului Europei pentru promovarea protecției jurnalismului și a siguranței jurnaliștilor evidențiază acțiunile legale neîntemeiate ale persoanelor fizice sau ale societăților puternice care urmăresc să intimideze jurnaliștii pentru a renunța la investigații. În unele cazuri, amenințarea cu introducerea unei astfel </w:t>
      </w:r>
      <w:r>
        <w:lastRenderedPageBreak/>
        <w:t>de acțiuni, inclusiv prin scrisori trimise de cabinete de avocatură puternice, era destul pentru a produce efectul dorit de stopare a investigației și a relatării jurnalistice.</w:t>
      </w:r>
    </w:p>
    <w:p w14:paraId="16858D7D" w14:textId="77777777" w:rsidR="00D33FCF" w:rsidRPr="00C2426B" w:rsidRDefault="00D33FCF" w:rsidP="00C2426B">
      <w:pPr>
        <w:pStyle w:val="JuQuot"/>
        <w:rPr>
          <w:rFonts w:eastAsia="Times New Roman"/>
        </w:rPr>
      </w:pPr>
      <w:r>
        <w:t>Această problemă nu vizează doar presa. „Câinii de pază“ publici în general sunt afectați. Activiștii, ONG-urile, cadrele universitare, apărătorii drepturilor omului, în fapt toți cei care vorbesc în interes public și îi trag la răspundere pe cei care dețin puterea, pot fi vizați. SLAPP sunt de obicei deghizate în acțiuni civile sau penale precum calomnia sau defăimarea și au mai multe trăsături comune.</w:t>
      </w:r>
    </w:p>
    <w:p w14:paraId="1C91A74A" w14:textId="77777777" w:rsidR="00D33FCF" w:rsidRPr="00C2426B" w:rsidRDefault="00D33FCF" w:rsidP="00C2426B">
      <w:pPr>
        <w:pStyle w:val="JuQuot"/>
        <w:rPr>
          <w:rFonts w:eastAsia="Times New Roman"/>
        </w:rPr>
      </w:pPr>
      <w:r>
        <w:t>Mai întâi, acestea sunt de natură pur ofensatoare. Nu au scopul de a câștiga cauza, ci de a consuma timp și energie, ca o tactică pentru a înăbuși critica legitimă. Părțile în proces sunt de obicei mai interesate de desfășurarea procesului în sine decât de soluționarea cauzei. Scopul de a crea diversiune sau de a intimida este atins de multe ori făcând procedura judiciară costisitoare și consumatoare de timp. Cererile de despăgubire sunt deseori exagerate.</w:t>
      </w:r>
    </w:p>
    <w:p w14:paraId="1ACB822D" w14:textId="77777777" w:rsidR="00D33FCF" w:rsidRPr="00C2426B" w:rsidRDefault="00D33FCF" w:rsidP="00C2426B">
      <w:pPr>
        <w:pStyle w:val="JuQuot"/>
        <w:rPr>
          <w:rFonts w:eastAsia="Times New Roman"/>
        </w:rPr>
      </w:pPr>
      <w:r>
        <w:t>O altă trăsătură comună a SLAPP este dezechilibrul de putere dintre reclamant și pârât. Societățile private sau oamenii puternici vizează de obicei persoane fizice, împreună cu organizațiile din care acestea fac parte sau pentru care lucrează, în încercarea de a intimida și a reduce la tăcere vocile critice, bazându-se exclusiv pe puterea financiară a petentului.</w:t>
      </w:r>
    </w:p>
    <w:p w14:paraId="0C4DA5FC" w14:textId="77777777" w:rsidR="00D33FCF" w:rsidRPr="00C2426B" w:rsidRDefault="00D33FCF" w:rsidP="00C2426B">
      <w:pPr>
        <w:pStyle w:val="JuQuot"/>
        <w:rPr>
          <w:rFonts w:eastAsia="Times New Roman"/>
        </w:rPr>
      </w:pPr>
      <w:r>
        <w:t>[...]</w:t>
      </w:r>
    </w:p>
    <w:p w14:paraId="19E5596A" w14:textId="6728F460" w:rsidR="00D33FCF" w:rsidRPr="00C2426B" w:rsidRDefault="00D33FCF" w:rsidP="00C2426B">
      <w:pPr>
        <w:pStyle w:val="JuQuot"/>
        <w:rPr>
          <w:rFonts w:eastAsia="Times New Roman"/>
        </w:rPr>
      </w:pPr>
      <w:r>
        <w:t>Statele membre au, prin urmare, obligația pozitivă de a garanta exercițiul drepturilor consacrate la art. 10 din Convenție: nu trebuie doar să se abțină de la orice ingerință în exercitarea libertății de exprimare a persoanei, dar au și obligația pozitivă de a proteja dreptul acesteia la libertatea de exprimare de orice încălcări, inclusiv de către persoane private. [...]”</w:t>
      </w:r>
    </w:p>
    <w:p w14:paraId="0EA3F913" w14:textId="77777777" w:rsidR="00D33FCF" w:rsidRPr="00C2426B" w:rsidRDefault="00D33FCF" w:rsidP="00C2426B">
      <w:pPr>
        <w:pStyle w:val="JuHHead"/>
        <w:numPr>
          <w:ilvl w:val="0"/>
          <w:numId w:val="2"/>
        </w:numPr>
        <w:ind w:left="360" w:hanging="360"/>
      </w:pPr>
      <w:r>
        <w:t>ÎN DREPT</w:t>
      </w:r>
    </w:p>
    <w:p w14:paraId="4396FEE8" w14:textId="77777777" w:rsidR="00D33FCF" w:rsidRPr="00C2426B" w:rsidRDefault="00D33FCF" w:rsidP="00C2426B">
      <w:pPr>
        <w:pStyle w:val="JuHIRoman"/>
        <w:numPr>
          <w:ilvl w:val="1"/>
          <w:numId w:val="24"/>
        </w:numPr>
      </w:pPr>
      <w:r>
        <w:t>CU PRIVIRE LA PRETINSA ÎNCĂLCARE A ART. 10 DIN CONVENŢIE</w:t>
      </w:r>
    </w:p>
    <w:p w14:paraId="12BDDC2E" w14:textId="32DA8E53" w:rsidR="00D33FCF" w:rsidRPr="00C2426B" w:rsidRDefault="00D77874" w:rsidP="00C2426B">
      <w:pPr>
        <w:pStyle w:val="JuPara"/>
      </w:pPr>
      <w:r>
        <w:fldChar w:fldCharType="begin"/>
      </w:r>
      <w:r>
        <w:instrText xml:space="preserve"> SEQ level0 \*arabic </w:instrText>
      </w:r>
      <w:r>
        <w:fldChar w:fldCharType="separate"/>
      </w:r>
      <w:r w:rsidR="00C2426B" w:rsidRPr="00C2426B">
        <w:t>24</w:t>
      </w:r>
      <w:r>
        <w:fldChar w:fldCharType="end"/>
      </w:r>
      <w:r w:rsidR="00D33FCF">
        <w:t>.  Societatea reclamantă s-a plâns de o încălcare a dreptului său la libertatea de exprimare garantat la art. 10 din Convenție, care conține următoarele pasaje relevante:</w:t>
      </w:r>
    </w:p>
    <w:p w14:paraId="18B498A5" w14:textId="77777777" w:rsidR="00D33FCF" w:rsidRPr="00C2426B" w:rsidRDefault="00D33FCF" w:rsidP="00C2426B">
      <w:pPr>
        <w:pStyle w:val="JuQuot"/>
      </w:pPr>
      <w:r>
        <w:t>„1.  Orice persoană are dreptul la libertatea de exprimare. Acest drept cuprinde libertatea de opinie și libertatea de a primi sau de a comunica informații ori idei fără amestecul autorităților publice și fără a ține seama de frontiere. [...]</w:t>
      </w:r>
    </w:p>
    <w:p w14:paraId="6350B3CD" w14:textId="77777777" w:rsidR="00D33FCF" w:rsidRPr="00C2426B" w:rsidRDefault="00D33FCF" w:rsidP="00C2426B">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siguranță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2A0EB2B7" w14:textId="77777777" w:rsidR="00D33FCF" w:rsidRPr="00C2426B" w:rsidRDefault="00D33FCF" w:rsidP="00C2426B">
      <w:pPr>
        <w:pStyle w:val="JuHA"/>
      </w:pPr>
      <w:r>
        <w:lastRenderedPageBreak/>
        <w:t>Cu privire la admisibilitate</w:t>
      </w:r>
    </w:p>
    <w:p w14:paraId="10EAD7E5" w14:textId="364ED47C" w:rsidR="00D33FCF" w:rsidRPr="00C2426B" w:rsidRDefault="00D77874" w:rsidP="00C2426B">
      <w:pPr>
        <w:pStyle w:val="JuPara"/>
      </w:pPr>
      <w:r>
        <w:fldChar w:fldCharType="begin"/>
      </w:r>
      <w:r>
        <w:instrText xml:space="preserve"> SEQ level0 \*arabic </w:instrText>
      </w:r>
      <w:r>
        <w:fldChar w:fldCharType="separate"/>
      </w:r>
      <w:r w:rsidR="00C2426B" w:rsidRPr="00C2426B">
        <w:t>25</w:t>
      </w:r>
      <w:r>
        <w:fldChar w:fldCharType="end"/>
      </w:r>
      <w:r w:rsidR="00D33FCF">
        <w:t>.  Curtea constată că cererea nu este nici vădit nefondată, nici inadmisibilă pentru alte motive enumerate la art. 35 din Convenție. Prin urmare, trebuie să fie declarată admisibilă.</w:t>
      </w:r>
    </w:p>
    <w:p w14:paraId="1C6935A0" w14:textId="77777777" w:rsidR="00D33FCF" w:rsidRPr="00C2426B" w:rsidRDefault="00D33FCF" w:rsidP="00C2426B">
      <w:pPr>
        <w:pStyle w:val="JuHA"/>
      </w:pPr>
      <w:r>
        <w:t>Cu privire la fond</w:t>
      </w:r>
    </w:p>
    <w:p w14:paraId="0B3AEEE7" w14:textId="48BEC171" w:rsidR="00D33FCF" w:rsidRPr="00C2426B" w:rsidRDefault="00D33FCF" w:rsidP="00C2426B">
      <w:pPr>
        <w:pStyle w:val="JuH1"/>
      </w:pPr>
      <w:r>
        <w:t>Argumentele părților</w:t>
      </w:r>
    </w:p>
    <w:p w14:paraId="6EEBDB19" w14:textId="77777777" w:rsidR="00D33FCF" w:rsidRPr="00C2426B" w:rsidRDefault="00D33FCF" w:rsidP="00C2426B">
      <w:pPr>
        <w:pStyle w:val="JuHa0"/>
      </w:pPr>
      <w:r>
        <w:t>Argumentele societății reclamante</w:t>
      </w:r>
    </w:p>
    <w:bookmarkStart w:id="10" w:name="OBSR"/>
    <w:p w14:paraId="69413D59" w14:textId="61D805B2"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26</w:t>
      </w:r>
      <w:r w:rsidRPr="00C2426B">
        <w:fldChar w:fldCharType="end"/>
      </w:r>
      <w:bookmarkEnd w:id="10"/>
      <w:r>
        <w:t xml:space="preserve">.  Societatea reclamantă a susținut că ingerința nu fusese „prevăzută de lege“. Art. 152 din Codul civil al Federației Ruse, în vigoare la momentul faptelor, vorbește despre „onoarea și demnitatea” „cetățenilor“, adică a persoanelor fizice, și despre „reputația în afaceri“ a persoanei juridice, și totuși Administrația Regiunii </w:t>
      </w:r>
      <w:proofErr w:type="spellStart"/>
      <w:r>
        <w:t>Volgograd</w:t>
      </w:r>
      <w:proofErr w:type="spellEnd"/>
      <w:r>
        <w:t xml:space="preserve">, fiind un organ al puterii executive, nu putea să se angajeze în niciun fel de activități de afaceri și astfel nu putea să se bucure de vreo „reputație în afaceri”. Din aceleași motive, societatea reclamantă a motivat că nu se poate afirma că ingerința reclamată a urmărit un „scop legitim“ de a proteja reputației altora. În acest sens, a făcut referire la Raportul APCE privind onorarea obligațiilor și a angajamentelor de către Federația Rusă din 3 iunie 2005 (doc. 10568) (a se vedea supra, pct. </w:t>
      </w:r>
      <w:r w:rsidRPr="00C2426B">
        <w:fldChar w:fldCharType="begin"/>
      </w:r>
      <w:r w:rsidRPr="00C2426B">
        <w:instrText xml:space="preserve"> REF PACE \h </w:instrText>
      </w:r>
      <w:r w:rsidRPr="00C2426B">
        <w:fldChar w:fldCharType="separate"/>
      </w:r>
      <w:r w:rsidR="00C2426B" w:rsidRPr="00C2426B">
        <w:t>22</w:t>
      </w:r>
      <w:r w:rsidRPr="00C2426B">
        <w:fldChar w:fldCharType="end"/>
      </w:r>
      <w:r>
        <w:t>).</w:t>
      </w:r>
    </w:p>
    <w:p w14:paraId="06DB757F" w14:textId="48BF2C2E" w:rsidR="00D33FCF" w:rsidRPr="00C2426B" w:rsidRDefault="00D77874" w:rsidP="00C2426B">
      <w:pPr>
        <w:pStyle w:val="JuPara"/>
      </w:pPr>
      <w:r>
        <w:fldChar w:fldCharType="begin"/>
      </w:r>
      <w:r>
        <w:instrText xml:space="preserve"> SEQ level0 \*arabic </w:instrText>
      </w:r>
      <w:r>
        <w:fldChar w:fldCharType="separate"/>
      </w:r>
      <w:r w:rsidR="00C2426B" w:rsidRPr="00C2426B">
        <w:t>27</w:t>
      </w:r>
      <w:r>
        <w:fldChar w:fldCharType="end"/>
      </w:r>
      <w:r w:rsidR="00D33FCF">
        <w:t>.  Societatea reclamantă a susținut că ingerința contestată nu a răspuns niciunei „nevoi sociale imperioase”. Convenția, în interpretarea Curții, nu acordă un nivel special de protecție funcționarilor publici.</w:t>
      </w:r>
    </w:p>
    <w:p w14:paraId="2C374DC6" w14:textId="177967A8" w:rsidR="00D33FCF" w:rsidRPr="00C2426B" w:rsidRDefault="00D77874" w:rsidP="00C2426B">
      <w:pPr>
        <w:pStyle w:val="JuPara"/>
      </w:pPr>
      <w:r>
        <w:fldChar w:fldCharType="begin"/>
      </w:r>
      <w:r>
        <w:instrText xml:space="preserve"> SEQ level0 \*arabic </w:instrText>
      </w:r>
      <w:r>
        <w:fldChar w:fldCharType="separate"/>
      </w:r>
      <w:r w:rsidR="00C2426B" w:rsidRPr="00C2426B">
        <w:t>28</w:t>
      </w:r>
      <w:r>
        <w:fldChar w:fldCharType="end"/>
      </w:r>
      <w:r w:rsidR="00D33FCF">
        <w:t>.  Instanțele interne nu au acordat atenție Rezoluției Curții Supreme nr. 3 din 24 februarie 2005 care cerea să se facă o distincție între expunerea situației de fapt și judecățile de valoare, deși în cursul interviului domnul S. a declarat în mod limpede că își exprima opinia personală. Mai mult, opinia domnului S. se baza pe fapte, după cum s-a arătat în fața instanței districtuale.</w:t>
      </w:r>
    </w:p>
    <w:p w14:paraId="60AF6717" w14:textId="77777777" w:rsidR="00D33FCF" w:rsidRPr="00C2426B" w:rsidRDefault="00D33FCF" w:rsidP="00C2426B">
      <w:pPr>
        <w:pStyle w:val="JuHa0"/>
      </w:pPr>
      <w:r>
        <w:t>Guvernul</w:t>
      </w:r>
    </w:p>
    <w:bookmarkStart w:id="11" w:name="OBSG"/>
    <w:p w14:paraId="4412C61B" w14:textId="7FA20A58"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29</w:t>
      </w:r>
      <w:r w:rsidRPr="00C2426B">
        <w:fldChar w:fldCharType="end"/>
      </w:r>
      <w:bookmarkEnd w:id="11"/>
      <w:r>
        <w:t>.  Acceptând că a existat o ingerință în exercitarea dreptului la libertatea de exprimare al societății reclamante, Guvernul a susținut că aceasta era legală, urmărea scopul legitim de a proteja reputația altora și era proporțională cu scopul urmărit. A subliniat că societatea reclamantă „răspândise prin media afirmații care au întinat reputația reprezentanților autorităților statului“.</w:t>
      </w:r>
    </w:p>
    <w:bookmarkStart w:id="12" w:name="OBSGSoF"/>
    <w:p w14:paraId="1F46D11A" w14:textId="7EF6CC56"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30</w:t>
      </w:r>
      <w:r w:rsidRPr="00C2426B">
        <w:fldChar w:fldCharType="end"/>
      </w:r>
      <w:bookmarkEnd w:id="12"/>
      <w:r>
        <w:t xml:space="preserve">.  În mod deosebit, Guvernul a observat că, „după cum rezultă din analiza sensului fragmentelor în litigiu din articol, aceste fragmente conțin informații că Administrația Regiunii </w:t>
      </w:r>
      <w:proofErr w:type="spellStart"/>
      <w:r>
        <w:t>Volgograd</w:t>
      </w:r>
      <w:proofErr w:type="spellEnd"/>
      <w:r>
        <w:t xml:space="preserve"> </w:t>
      </w:r>
      <w:proofErr w:type="spellStart"/>
      <w:r>
        <w:t>Region</w:t>
      </w:r>
      <w:proofErr w:type="spellEnd"/>
      <w:r>
        <w:t xml:space="preserve"> a făcut lobby pentru interesele fabricii </w:t>
      </w:r>
      <w:proofErr w:type="spellStart"/>
      <w:r>
        <w:t>Volzhanin</w:t>
      </w:r>
      <w:proofErr w:type="spellEnd"/>
      <w:r>
        <w:t xml:space="preserve"> și că actele administrației de a opri plata subvențiilor către orașul </w:t>
      </w:r>
      <w:proofErr w:type="spellStart"/>
      <w:r>
        <w:t>Volgograd</w:t>
      </w:r>
      <w:proofErr w:type="spellEnd"/>
      <w:r>
        <w:t xml:space="preserve"> [au fost] un act de răzbunare din partea Administrației Regiunii </w:t>
      </w:r>
      <w:proofErr w:type="spellStart"/>
      <w:r>
        <w:t>Volgograd</w:t>
      </w:r>
      <w:proofErr w:type="spellEnd"/>
      <w:r>
        <w:t xml:space="preserve">“ și a subliniat că societatea reclamantă nu </w:t>
      </w:r>
      <w:r>
        <w:lastRenderedPageBreak/>
        <w:t>a oferit nicio dovadă în sprijinul „expunerii situației de fapt“ în litigiu. În fața instanțelor interne, societatea reclamantă nu a oferit „nicio informație referitoare la credibilitatea sursei informațiilor folosite, la calificările sale și nu a depus la dosar nicio solicitare de examinare a unor martori sau cerere de probe care ar fi putut confirma caracterul credibil al circumstanțelor prezentate în articol“.</w:t>
      </w:r>
    </w:p>
    <w:p w14:paraId="7AD09D5F" w14:textId="0242F061" w:rsidR="00D33FCF" w:rsidRPr="00C2426B" w:rsidRDefault="00D77874" w:rsidP="00C2426B">
      <w:pPr>
        <w:pStyle w:val="JuPara"/>
      </w:pPr>
      <w:r>
        <w:fldChar w:fldCharType="begin"/>
      </w:r>
      <w:r>
        <w:instrText xml:space="preserve"> SEQ level0 \*arabic </w:instrText>
      </w:r>
      <w:r>
        <w:fldChar w:fldCharType="separate"/>
      </w:r>
      <w:r w:rsidR="00C2426B" w:rsidRPr="00C2426B">
        <w:t>31</w:t>
      </w:r>
      <w:r>
        <w:fldChar w:fldCharType="end"/>
      </w:r>
      <w:r w:rsidR="00D33FCF">
        <w:t xml:space="preserve">.  Guvernul a insistat asupra faptului că  ingerința a corespuns unei „nevoi sociale stringente“ și a subliniat că instanța de prim grad a „hotărât că, în sine, referirea la activitatea de lobby pentru entitatea juridică specifică și răzbunarea din partea unui organ al puterii executive a adus un prejudiciu reputației în afaceri a Administrației Regiunii </w:t>
      </w:r>
      <w:proofErr w:type="spellStart"/>
      <w:r w:rsidR="00D33FCF">
        <w:t>Volgograd</w:t>
      </w:r>
      <w:proofErr w:type="spellEnd"/>
      <w:r w:rsidR="00D33FCF">
        <w:t>, întrucât a fost percepută de masa utilizatorilor de Internet ca o implicare într-un comportament necurat și lipsit de etică – deși nu reprezenta o infracțiune și nu era o încălcare a legii, dar era dezaprobată  de societate.”</w:t>
      </w:r>
    </w:p>
    <w:p w14:paraId="303237EE" w14:textId="229807A6" w:rsidR="00D33FCF" w:rsidRPr="00C2426B" w:rsidRDefault="00D77874" w:rsidP="00C2426B">
      <w:pPr>
        <w:pStyle w:val="JuPara"/>
      </w:pPr>
      <w:r>
        <w:fldChar w:fldCharType="begin"/>
      </w:r>
      <w:r>
        <w:instrText xml:space="preserve"> SEQ level0 \*arabic </w:instrText>
      </w:r>
      <w:r>
        <w:fldChar w:fldCharType="separate"/>
      </w:r>
      <w:r w:rsidR="00C2426B" w:rsidRPr="00C2426B">
        <w:t>32</w:t>
      </w:r>
      <w:r>
        <w:fldChar w:fldCharType="end"/>
      </w:r>
      <w:r w:rsidR="00D33FCF">
        <w:t>.  Guvernul a respins pretenția societății reclamante că afirmațiile în litigiu au fost, în fapt, judecățile de valoare ale domnului S. și a concluzionat că „instanța internă a stabilit pe bună dreptate natura afirmativă a informațiilor difuzate și neconfirmate de probe.”</w:t>
      </w:r>
    </w:p>
    <w:p w14:paraId="11986707" w14:textId="2F44E120" w:rsidR="00D33FCF" w:rsidRPr="00C2426B" w:rsidRDefault="00D33FCF" w:rsidP="00C2426B">
      <w:pPr>
        <w:pStyle w:val="JuH1"/>
      </w:pPr>
      <w:r>
        <w:t>Motivarea Curții</w:t>
      </w:r>
    </w:p>
    <w:p w14:paraId="1EB5288C" w14:textId="63F26F84" w:rsidR="00D33FCF" w:rsidRPr="00C2426B" w:rsidRDefault="00D77874" w:rsidP="00C2426B">
      <w:pPr>
        <w:pStyle w:val="JuPara"/>
      </w:pPr>
      <w:r>
        <w:fldChar w:fldCharType="begin"/>
      </w:r>
      <w:r>
        <w:instrText xml:space="preserve"> SEQ level0 \*arabic </w:instrText>
      </w:r>
      <w:r>
        <w:fldChar w:fldCharType="separate"/>
      </w:r>
      <w:r w:rsidR="00C2426B" w:rsidRPr="00C2426B">
        <w:t>33</w:t>
      </w:r>
      <w:r>
        <w:fldChar w:fldCharType="end"/>
      </w:r>
      <w:r w:rsidR="00D33FCF">
        <w:t xml:space="preserve">.  Deși părțile nu contestă că hotărârea instanței districtuale din 8 aprilie 2009, confirmată la 16 iulie 2009 de instanța orașului Moscova, a constituit o ingerință în exercitarea dreptului societății reclamante la libertatea de exprimare, părțile nu sunt de acord dacă ingerința respectivă era „prevăzută de lege”, dacă urmărea un „scop legitim“ în sensul art. 10 § 2 din Convenție și dacă era proporțională cu scopul urmărit (a se vedea </w:t>
      </w:r>
      <w:r w:rsidR="00D33FCF">
        <w:rPr>
          <w:i/>
          <w:iCs/>
        </w:rPr>
        <w:t>supra</w:t>
      </w:r>
      <w:r w:rsidR="00D33FCF">
        <w:t xml:space="preserve">, pct. </w:t>
      </w:r>
      <w:r w:rsidR="00D33FCF" w:rsidRPr="00C2426B">
        <w:fldChar w:fldCharType="begin"/>
      </w:r>
      <w:r w:rsidR="00D33FCF" w:rsidRPr="00C2426B">
        <w:instrText xml:space="preserve"> REF OBSR \h </w:instrText>
      </w:r>
      <w:r w:rsidR="00D33FCF" w:rsidRPr="00C2426B">
        <w:fldChar w:fldCharType="separate"/>
      </w:r>
      <w:r w:rsidR="00C2426B" w:rsidRPr="00C2426B">
        <w:t>26</w:t>
      </w:r>
      <w:r w:rsidR="00D33FCF" w:rsidRPr="00C2426B">
        <w:fldChar w:fldCharType="end"/>
      </w:r>
      <w:r w:rsidR="00D33FCF">
        <w:t xml:space="preserve"> și </w:t>
      </w:r>
      <w:r w:rsidR="00D33FCF" w:rsidRPr="00C2426B">
        <w:fldChar w:fldCharType="begin"/>
      </w:r>
      <w:r w:rsidR="00D33FCF" w:rsidRPr="00C2426B">
        <w:instrText xml:space="preserve"> REF OBSG \h </w:instrText>
      </w:r>
      <w:r w:rsidR="00D33FCF" w:rsidRPr="00C2426B">
        <w:fldChar w:fldCharType="separate"/>
      </w:r>
      <w:r w:rsidR="00C2426B" w:rsidRPr="00C2426B">
        <w:t>29</w:t>
      </w:r>
      <w:r w:rsidR="00D33FCF" w:rsidRPr="00C2426B">
        <w:fldChar w:fldCharType="end"/>
      </w:r>
      <w:r w:rsidR="00D33FCF">
        <w:t>).</w:t>
      </w:r>
    </w:p>
    <w:p w14:paraId="26E154C2" w14:textId="77777777" w:rsidR="00D33FCF" w:rsidRPr="00C2426B" w:rsidRDefault="00D33FCF" w:rsidP="00C2426B">
      <w:pPr>
        <w:pStyle w:val="JuHa0"/>
      </w:pPr>
      <w:r>
        <w:t>Cu privire la întrebarea dacă ingerința era „prevăzută de lege“</w:t>
      </w:r>
    </w:p>
    <w:p w14:paraId="2D7D5E69" w14:textId="24CB0FD2" w:rsidR="00D33FCF" w:rsidRPr="00C2426B" w:rsidRDefault="00D77874" w:rsidP="00C2426B">
      <w:pPr>
        <w:pStyle w:val="JuPara"/>
      </w:pPr>
      <w:r>
        <w:fldChar w:fldCharType="begin"/>
      </w:r>
      <w:r>
        <w:instrText xml:space="preserve"> SEQ level0 \*arabic </w:instrText>
      </w:r>
      <w:r>
        <w:fldChar w:fldCharType="separate"/>
      </w:r>
      <w:r w:rsidR="00C2426B" w:rsidRPr="00C2426B">
        <w:t>34</w:t>
      </w:r>
      <w:r>
        <w:fldChar w:fldCharType="end"/>
      </w:r>
      <w:r w:rsidR="00D33FCF">
        <w:t xml:space="preserve">.  Curtea consideră că formularea utilizată în art. 152 din Codul civil al Rusiei în vigoare la momentul faptelor conferea dreptul de a introduce o acțiune civilă în calomnie unui cetățean îndreptățit la protejarea onoarei, a demnității și a reputației sale în afaceri. Prevederile sale, în măsura în care priveau reputația în afaceri, erau în mod expres făcute pentru a fi aplicabile persoanelor juridice (a se vedea supra, pct. </w:t>
      </w:r>
      <w:r w:rsidR="00D33FCF" w:rsidRPr="00C2426B">
        <w:fldChar w:fldCharType="begin"/>
      </w:r>
      <w:r w:rsidR="00D33FCF" w:rsidRPr="00C2426B">
        <w:instrText xml:space="preserve"> REF A152 \h </w:instrText>
      </w:r>
      <w:r w:rsidR="00D33FCF" w:rsidRPr="00C2426B">
        <w:fldChar w:fldCharType="separate"/>
      </w:r>
      <w:r w:rsidR="00C2426B" w:rsidRPr="00C2426B">
        <w:t>19</w:t>
      </w:r>
      <w:r w:rsidR="00D33FCF" w:rsidRPr="00C2426B">
        <w:fldChar w:fldCharType="end"/>
      </w:r>
      <w:r w:rsidR="00D33FCF">
        <w:t xml:space="preserve">). Dat fiind că Administrația Regiunii </w:t>
      </w:r>
      <w:proofErr w:type="spellStart"/>
      <w:r w:rsidR="00D33FCF">
        <w:t>Volgograd</w:t>
      </w:r>
      <w:proofErr w:type="spellEnd"/>
      <w:r w:rsidR="00D33FCF">
        <w:t xml:space="preserve"> este o persoană juridică (a se vedea </w:t>
      </w:r>
      <w:r w:rsidR="00D33FCF">
        <w:rPr>
          <w:i/>
          <w:iCs/>
        </w:rPr>
        <w:t>supra</w:t>
      </w:r>
      <w:r w:rsidR="00D33FCF">
        <w:t>, pct. </w:t>
      </w:r>
      <w:r w:rsidR="00D33FCF" w:rsidRPr="00C2426B">
        <w:fldChar w:fldCharType="begin"/>
      </w:r>
      <w:r w:rsidR="00D33FCF" w:rsidRPr="00C2426B">
        <w:instrText xml:space="preserve"> REF AVR \h  \* MERGEFORMAT </w:instrText>
      </w:r>
      <w:r w:rsidR="00D33FCF" w:rsidRPr="00C2426B">
        <w:fldChar w:fldCharType="separate"/>
      </w:r>
      <w:r w:rsidR="00C2426B" w:rsidRPr="00C2426B">
        <w:rPr>
          <w:rFonts w:eastAsiaTheme="minorEastAsia"/>
        </w:rPr>
        <w:t>6</w:t>
      </w:r>
      <w:r w:rsidR="00D33FCF" w:rsidRPr="00C2426B">
        <w:fldChar w:fldCharType="end"/>
      </w:r>
      <w:r w:rsidR="00D33FCF">
        <w:t>) și în pofida lipsei unei jurisprudențe naționale consacrate cu privire la „reputația în afaceri“ a autorităților publice, Curtea este pregătită să accepte faptul că ingerința criticată era „prevăzută de lege“.</w:t>
      </w:r>
    </w:p>
    <w:p w14:paraId="3D9BA402" w14:textId="77777777" w:rsidR="00D33FCF" w:rsidRPr="00C2426B" w:rsidRDefault="00D33FCF" w:rsidP="00C2426B">
      <w:pPr>
        <w:pStyle w:val="JuHa0"/>
      </w:pPr>
      <w:r>
        <w:t>Dacă ingerința a urmărit un „scop legitim“</w:t>
      </w:r>
    </w:p>
    <w:p w14:paraId="16EFAD9B" w14:textId="5516C5B4" w:rsidR="00D33FCF" w:rsidRPr="00C2426B" w:rsidRDefault="00D77874" w:rsidP="00C2426B">
      <w:pPr>
        <w:pStyle w:val="JuPara"/>
      </w:pPr>
      <w:r>
        <w:fldChar w:fldCharType="begin"/>
      </w:r>
      <w:r>
        <w:instrText xml:space="preserve"> SEQ level0 \*arabic </w:instrText>
      </w:r>
      <w:r>
        <w:fldChar w:fldCharType="separate"/>
      </w:r>
      <w:r w:rsidR="00C2426B" w:rsidRPr="00C2426B">
        <w:t>35</w:t>
      </w:r>
      <w:r>
        <w:fldChar w:fldCharType="end"/>
      </w:r>
      <w:r w:rsidR="00D33FCF">
        <w:t>.  Curtea observă, în primul rând, că petentul din procesul pentru calomnie examinat este autoritatea executivă a unei entități constitutive a Federației Ruse.</w:t>
      </w:r>
    </w:p>
    <w:p w14:paraId="03E3D4BA" w14:textId="14F2C47B" w:rsidR="00D33FCF" w:rsidRPr="00C2426B" w:rsidRDefault="00D77874" w:rsidP="00C2426B">
      <w:pPr>
        <w:pStyle w:val="JuPara"/>
      </w:pPr>
      <w:r>
        <w:lastRenderedPageBreak/>
        <w:fldChar w:fldCharType="begin"/>
      </w:r>
      <w:r>
        <w:instrText xml:space="preserve"> SEQ level0 \*arabic </w:instrText>
      </w:r>
      <w:r>
        <w:fldChar w:fldCharType="separate"/>
      </w:r>
      <w:r w:rsidR="00C2426B" w:rsidRPr="00C2426B">
        <w:t>36</w:t>
      </w:r>
      <w:r>
        <w:fldChar w:fldCharType="end"/>
      </w:r>
      <w:r w:rsidR="00D33FCF">
        <w:t xml:space="preserve">.  În argumentele Guvernului, ingerința în litigiu a urmărit un scop legitim de „protejare a reputației și a drepturilor altora”. Societatea reclamantă a obiectat susținând că Administrația Regiunii </w:t>
      </w:r>
      <w:proofErr w:type="spellStart"/>
      <w:r w:rsidR="00D33FCF">
        <w:t>Volgograd</w:t>
      </w:r>
      <w:proofErr w:type="spellEnd"/>
      <w:r w:rsidR="00D33FCF">
        <w:t xml:space="preserve"> nu putea pretinde că are o „reputație în afaceri“.</w:t>
      </w:r>
    </w:p>
    <w:bookmarkStart w:id="13" w:name="Morice"/>
    <w:p w14:paraId="566486A3" w14:textId="3E66B1FE"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37</w:t>
      </w:r>
      <w:r w:rsidRPr="00C2426B">
        <w:fldChar w:fldCharType="end"/>
      </w:r>
      <w:bookmarkEnd w:id="13"/>
      <w:r>
        <w:t xml:space="preserve">.  Curtea reamintește că lista scopurilor legitime prevăzută la art. 10 § 2 este exhaustivă. Interpretat strict, acest paragraf acordă – în mod excepțional, având în vedere rolul său special în societate – protecție doar uneia dintre puterile în stat, puterea judecătorească [a se vedea, pentru detalii, </w:t>
      </w:r>
      <w:bookmarkStart w:id="14" w:name="_Hlk97906504"/>
      <w:proofErr w:type="spellStart"/>
      <w:r>
        <w:rPr>
          <w:i/>
          <w:iCs/>
        </w:rPr>
        <w:t>Morice</w:t>
      </w:r>
      <w:proofErr w:type="spellEnd"/>
      <w:r>
        <w:rPr>
          <w:i/>
          <w:iCs/>
        </w:rPr>
        <w:t xml:space="preserve"> împotriva Franței</w:t>
      </w:r>
      <w:r>
        <w:t xml:space="preserve"> (MC), nr. 29369/10, pct. 128-30, CEDO 2015].</w:t>
      </w:r>
    </w:p>
    <w:p w14:paraId="698DF55A" w14:textId="7C934203"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38</w:t>
      </w:r>
      <w:r>
        <w:fldChar w:fldCharType="end"/>
      </w:r>
      <w:r w:rsidR="007E1819">
        <w:t xml:space="preserve">.  Curtea a hotărât de multă vreme că dreptul la protejarea reputației este un drept protejat de art. 8 din Convenție ca parte a dreptului la respectarea </w:t>
      </w:r>
      <w:proofErr w:type="spellStart"/>
      <w:r w:rsidR="007E1819">
        <w:t>vieţii</w:t>
      </w:r>
      <w:proofErr w:type="spellEnd"/>
      <w:r w:rsidR="007E1819">
        <w:t xml:space="preserve"> private. Noțiunea de „viață privată” este un concept larg care nu se pretează unei definiții exhaustive, care include integritatea fizică și psihologică a unei persoane. Pentru ca art. 8 să se aplice, cu toate acestea, un atac la adresa reputației unei persoane trebuie să atingă un anumit nivel de gravitate și să fi fost săvârșit într-un mod cauzator de prejudicii exercitării dreptului la respectarea vieții private [a se vedea, cu trimiterile suplimentare, </w:t>
      </w:r>
      <w:proofErr w:type="spellStart"/>
      <w:r w:rsidR="007E1819">
        <w:rPr>
          <w:i/>
          <w:iCs/>
        </w:rPr>
        <w:t>Medžlis</w:t>
      </w:r>
      <w:proofErr w:type="spellEnd"/>
      <w:r w:rsidR="007E1819">
        <w:rPr>
          <w:i/>
          <w:iCs/>
        </w:rPr>
        <w:t xml:space="preserve"> </w:t>
      </w:r>
      <w:proofErr w:type="spellStart"/>
      <w:r w:rsidR="007E1819">
        <w:rPr>
          <w:i/>
          <w:iCs/>
        </w:rPr>
        <w:t>Islamske</w:t>
      </w:r>
      <w:proofErr w:type="spellEnd"/>
      <w:r w:rsidR="007E1819">
        <w:rPr>
          <w:i/>
          <w:iCs/>
        </w:rPr>
        <w:t xml:space="preserve"> </w:t>
      </w:r>
      <w:proofErr w:type="spellStart"/>
      <w:r w:rsidR="007E1819">
        <w:rPr>
          <w:i/>
          <w:iCs/>
        </w:rPr>
        <w:t>Zajednice</w:t>
      </w:r>
      <w:proofErr w:type="spellEnd"/>
      <w:r w:rsidR="007E1819">
        <w:rPr>
          <w:i/>
          <w:iCs/>
        </w:rPr>
        <w:t xml:space="preserve"> </w:t>
      </w:r>
      <w:proofErr w:type="spellStart"/>
      <w:r w:rsidR="007E1819">
        <w:rPr>
          <w:i/>
          <w:iCs/>
        </w:rPr>
        <w:t>Brčko</w:t>
      </w:r>
      <w:proofErr w:type="spellEnd"/>
      <w:r w:rsidR="007E1819">
        <w:rPr>
          <w:i/>
          <w:iCs/>
        </w:rPr>
        <w:t xml:space="preserve"> și alții împotriva Bosniei și Herțegovinei</w:t>
      </w:r>
      <w:r w:rsidR="007E1819">
        <w:t xml:space="preserve"> (MC), nr. 17224/11, pct. 76, 27 iunie 2017].</w:t>
      </w:r>
    </w:p>
    <w:bookmarkStart w:id="15" w:name="Ambit"/>
    <w:p w14:paraId="060A6B3F" w14:textId="28FF1036" w:rsidR="00D33FCF" w:rsidRPr="00C2426B" w:rsidRDefault="00D33FCF" w:rsidP="00C2426B">
      <w:pPr>
        <w:pStyle w:val="JuPara"/>
      </w:pPr>
      <w:r w:rsidRPr="00C2426B">
        <w:fldChar w:fldCharType="begin"/>
      </w:r>
      <w:r w:rsidRPr="00C2426B">
        <w:instrText xml:space="preserve"> SEQ level0 \*arabic </w:instrText>
      </w:r>
      <w:r w:rsidRPr="00C2426B">
        <w:fldChar w:fldCharType="separate"/>
      </w:r>
      <w:r w:rsidR="00C2426B" w:rsidRPr="00C2426B">
        <w:t>39</w:t>
      </w:r>
      <w:r w:rsidRPr="00C2426B">
        <w:fldChar w:fldCharType="end"/>
      </w:r>
      <w:bookmarkEnd w:id="15"/>
      <w:r>
        <w:t xml:space="preserve">.  Totuși, domeniul de aplicare al clauzei privind „protejarea reputației altora“ de la art. 10 § 2 nu se reduce la persoanele fizice, în pofida diferenței dintre interesele privind reputația ale entității juridice și reputația unui individ în calitate de membru al societății în măsura în care cele dintâi sunt lipsite de dimensiunea morală a demnității umane (a se vedea </w:t>
      </w:r>
      <w:r>
        <w:rPr>
          <w:i/>
        </w:rPr>
        <w:t>OOO Regnum împotriva Rusiei</w:t>
      </w:r>
      <w:r>
        <w:t>, nr. 22649/08, pct. 66, 8 septembrie 2020).</w:t>
      </w:r>
    </w:p>
    <w:p w14:paraId="58C0F26D" w14:textId="288038B7" w:rsidR="00D33FCF" w:rsidRPr="00C2426B" w:rsidRDefault="00D77874" w:rsidP="00C2426B">
      <w:pPr>
        <w:pStyle w:val="JuPara"/>
      </w:pPr>
      <w:r>
        <w:fldChar w:fldCharType="begin"/>
      </w:r>
      <w:r>
        <w:instrText xml:space="preserve"> SEQ level0 \*arabic </w:instrText>
      </w:r>
      <w:r>
        <w:fldChar w:fldCharType="separate"/>
      </w:r>
      <w:r w:rsidR="00C2426B" w:rsidRPr="00C2426B">
        <w:t>40</w:t>
      </w:r>
      <w:r>
        <w:fldChar w:fldCharType="end"/>
      </w:r>
      <w:r w:rsidR="00D33FCF">
        <w:t xml:space="preserve">.  Curtea a recunoscut că există și este legitim „interesul de a proteja succesul comercial </w:t>
      </w:r>
      <w:proofErr w:type="spellStart"/>
      <w:r w:rsidR="00D33FCF">
        <w:t>şi</w:t>
      </w:r>
      <w:proofErr w:type="spellEnd"/>
      <w:r w:rsidR="00D33FCF">
        <w:t xml:space="preserve"> viabilitatea societăților, în folosul acționarilor </w:t>
      </w:r>
      <w:proofErr w:type="spellStart"/>
      <w:r w:rsidR="00D33FCF">
        <w:t>şi</w:t>
      </w:r>
      <w:proofErr w:type="spellEnd"/>
      <w:r w:rsidR="00D33FCF">
        <w:t xml:space="preserve"> al angajaților, dar </w:t>
      </w:r>
      <w:proofErr w:type="spellStart"/>
      <w:r w:rsidR="00D33FCF">
        <w:t>şi</w:t>
      </w:r>
      <w:proofErr w:type="spellEnd"/>
      <w:r w:rsidR="00D33FCF">
        <w:t xml:space="preserve"> pentru bunăstarea economică a comunității“ (a se vedea </w:t>
      </w:r>
      <w:proofErr w:type="spellStart"/>
      <w:r w:rsidR="00D33FCF">
        <w:rPr>
          <w:i/>
        </w:rPr>
        <w:t>Steel</w:t>
      </w:r>
      <w:proofErr w:type="spellEnd"/>
      <w:r w:rsidR="00D33FCF">
        <w:rPr>
          <w:i/>
        </w:rPr>
        <w:t xml:space="preserve"> și Morris împotriva Regatului Unit</w:t>
      </w:r>
      <w:r w:rsidR="00D33FCF">
        <w:t>, nr. 68416/01, pct. 94, CEDO 2005</w:t>
      </w:r>
      <w:r w:rsidR="00D33FCF">
        <w:noBreakHyphen/>
        <w:t xml:space="preserve">II, și </w:t>
      </w:r>
      <w:proofErr w:type="spellStart"/>
      <w:r w:rsidR="00D33FCF">
        <w:rPr>
          <w:i/>
        </w:rPr>
        <w:t>Uj</w:t>
      </w:r>
      <w:proofErr w:type="spellEnd"/>
      <w:r w:rsidR="00D33FCF">
        <w:rPr>
          <w:i/>
        </w:rPr>
        <w:t xml:space="preserve"> împotriva Ungariei</w:t>
      </w:r>
      <w:r w:rsidR="00D33FCF">
        <w:t>, nr. 23954/10, pct. 22, 19 iulie 2011). Aceste considerații nu sunt, totuși, aplicabile unui organ al puterii executive și care, ca atare, nu se implică în activități economice directe.</w:t>
      </w:r>
    </w:p>
    <w:p w14:paraId="7D2135AE" w14:textId="1AD31096"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41</w:t>
      </w:r>
      <w:r>
        <w:fldChar w:fldCharType="end"/>
      </w:r>
      <w:r w:rsidR="007E1819">
        <w:t xml:space="preserve">.  Cu privire la organismele publice care urmăresc protejarea juridică a reputației lor, în cauza </w:t>
      </w:r>
      <w:proofErr w:type="spellStart"/>
      <w:r w:rsidR="007E1819">
        <w:rPr>
          <w:i/>
        </w:rPr>
        <w:t>Lombardo</w:t>
      </w:r>
      <w:proofErr w:type="spellEnd"/>
      <w:r w:rsidR="007E1819">
        <w:rPr>
          <w:i/>
        </w:rPr>
        <w:t xml:space="preserve"> și alții împotriva Maltei</w:t>
      </w:r>
      <w:r w:rsidR="007E1819">
        <w:t xml:space="preserve"> (nr. 7333/06, 24 aprilie 2007) Curtea, observând că numai în circumstanțe excepționale o măsură care interzice afirmațiile critice la adresa actelor sau a omisiunilor unui organ ales ar putea fi justificată cu referire la „protejarea drepturilor sau a reputației altora“, era pregătită să asume că acest scop poate fi considerat ca legitim în contextul procesului pentru calomnie introdus de consiliul local al unui oraș cu mai puțin de 12 000 de locuitori. În momentul când evalua proporționalitatea ingerinței, Curtea a observat că „limitele criticii admisibile sunt și mai extinse în ceea ce privește Guvernul decât în ceea ce privește o persoană fizică sau chiar un politician“ (</w:t>
      </w:r>
      <w:r w:rsidR="007E1819">
        <w:rPr>
          <w:i/>
          <w:iCs/>
        </w:rPr>
        <w:t>ibid</w:t>
      </w:r>
      <w:r w:rsidR="007E1819">
        <w:t xml:space="preserve">., pct. 54). În cauza </w:t>
      </w:r>
      <w:proofErr w:type="spellStart"/>
      <w:r w:rsidR="007E1819">
        <w:rPr>
          <w:i/>
        </w:rPr>
        <w:t>Romanenko</w:t>
      </w:r>
      <w:proofErr w:type="spellEnd"/>
      <w:r w:rsidR="007E1819">
        <w:rPr>
          <w:i/>
        </w:rPr>
        <w:t xml:space="preserve"> și alții împotriva Rusiei</w:t>
      </w:r>
      <w:r w:rsidR="007E1819">
        <w:t xml:space="preserve"> (nr. 11751/03, 8 octombrie 2009) privind procesele </w:t>
      </w:r>
      <w:r w:rsidR="007E1819">
        <w:lastRenderedPageBreak/>
        <w:t>civile pentru calomnie inițiate de departamentul pentru managementul judiciar al unei entități constitutive a Federației Ruse, Curtea, reținând că pot exista motive solide de politici publice pentru a decide că organele publice nu ar trebui să inițieze procese pentru calomnie în nume propriu, a admis existența scopului legitim de „a proteja reputația și drepturile altora“ (</w:t>
      </w:r>
      <w:r w:rsidR="007E1819">
        <w:rPr>
          <w:i/>
          <w:iCs/>
        </w:rPr>
        <w:t>ibid</w:t>
      </w:r>
      <w:r w:rsidR="007E1819">
        <w:t xml:space="preserve">., pct. 39). Pornind de la aceste constatări, Curtea a observat într-o cauză privind plângerea pentru calomnie împotriva jurnaliștilor în care petent era Spitalul Universitar din Copenhaga, entitate publică, că nu a fost convinsă de argumentul reclamanților că justiția este singura autoritate publică a cărei protecție este aptă să constituie un scop legitim în conformitate cu art. 10 § 2 (a se vedea </w:t>
      </w:r>
      <w:proofErr w:type="spellStart"/>
      <w:r w:rsidR="007E1819">
        <w:rPr>
          <w:i/>
        </w:rPr>
        <w:t>Frisk</w:t>
      </w:r>
      <w:proofErr w:type="spellEnd"/>
      <w:r w:rsidR="007E1819">
        <w:rPr>
          <w:i/>
        </w:rPr>
        <w:t xml:space="preserve"> și Jensen împotriva Danemarcei</w:t>
      </w:r>
      <w:r w:rsidR="007E1819">
        <w:t>, nr. 19657/12, pct. 47, 5 decembrie 2017).</w:t>
      </w:r>
    </w:p>
    <w:p w14:paraId="7E155E9A" w14:textId="02D87D24"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42</w:t>
      </w:r>
      <w:r>
        <w:fldChar w:fldCharType="end"/>
      </w:r>
      <w:r w:rsidR="007E1819">
        <w:t xml:space="preserve">.  În hotărârile sale împotriva Rusiei adoptate ulterior celei din cauza </w:t>
      </w:r>
      <w:proofErr w:type="spellStart"/>
      <w:r w:rsidR="007E1819">
        <w:rPr>
          <w:i/>
        </w:rPr>
        <w:t>Romanenko</w:t>
      </w:r>
      <w:proofErr w:type="spellEnd"/>
      <w:r w:rsidR="007E1819">
        <w:rPr>
          <w:i/>
        </w:rPr>
        <w:t xml:space="preserve"> și alții</w:t>
      </w:r>
      <w:r w:rsidR="007E1819">
        <w:t xml:space="preserve">, în absența unui litigiu între părți cu privire la existența unui scop legitim, Curtea, examinând capete de cerere formulate în temeiul art. 10 care decurg din acțiuni în calomnie formulate de un centru de arestare preventivă și de doi ofițeri ai acestuia (a se vedea </w:t>
      </w:r>
      <w:proofErr w:type="spellStart"/>
      <w:r w:rsidR="007E1819">
        <w:rPr>
          <w:i/>
        </w:rPr>
        <w:t>Reznik</w:t>
      </w:r>
      <w:proofErr w:type="spellEnd"/>
      <w:r w:rsidR="007E1819">
        <w:rPr>
          <w:i/>
        </w:rPr>
        <w:t xml:space="preserve"> împotriva Rusiei</w:t>
      </w:r>
      <w:r w:rsidR="007E1819">
        <w:t xml:space="preserve">, nr. 4977/05, pct. 41, 4 aprilie 2013), de o universitate (a se vedea </w:t>
      </w:r>
      <w:proofErr w:type="spellStart"/>
      <w:r w:rsidR="007E1819">
        <w:rPr>
          <w:i/>
        </w:rPr>
        <w:t>Kharlamov</w:t>
      </w:r>
      <w:proofErr w:type="spellEnd"/>
      <w:r w:rsidR="007E1819">
        <w:rPr>
          <w:i/>
        </w:rPr>
        <w:t xml:space="preserve"> împotriva Rusiei</w:t>
      </w:r>
      <w:r w:rsidR="007E1819">
        <w:t xml:space="preserve">, nr. 27447/07, pct. 25, 8 octombrie 2015), de Parchetul militar general al Rusiei (a se vedea </w:t>
      </w:r>
      <w:proofErr w:type="spellStart"/>
      <w:r w:rsidR="007E1819">
        <w:rPr>
          <w:i/>
        </w:rPr>
        <w:t>Novaya</w:t>
      </w:r>
      <w:proofErr w:type="spellEnd"/>
      <w:r w:rsidR="007E1819">
        <w:rPr>
          <w:i/>
        </w:rPr>
        <w:t xml:space="preserve"> Gazeta și </w:t>
      </w:r>
      <w:proofErr w:type="spellStart"/>
      <w:r w:rsidR="007E1819">
        <w:rPr>
          <w:i/>
        </w:rPr>
        <w:t>Milashina</w:t>
      </w:r>
      <w:proofErr w:type="spellEnd"/>
      <w:r w:rsidR="007E1819">
        <w:t xml:space="preserve">, citată anterior, pct. 62), de comisia electorală și de organul puterii executive ale unei entități constitutive a Federației Ruse, ca și de organizația regională a Partidului Rusia Unită (a se vedea </w:t>
      </w:r>
      <w:proofErr w:type="spellStart"/>
      <w:r w:rsidR="007E1819">
        <w:rPr>
          <w:i/>
        </w:rPr>
        <w:t>Ostanina</w:t>
      </w:r>
      <w:proofErr w:type="spellEnd"/>
      <w:r w:rsidR="007E1819">
        <w:rPr>
          <w:i/>
        </w:rPr>
        <w:t xml:space="preserve"> împotriva Rusiei</w:t>
      </w:r>
      <w:r w:rsidR="007E1819">
        <w:t>, nr. 22169/11, pct. 19, 17 aprilie 2018), sau de organul puterii executive al unei entități constitutive a Federației Ruse (a se vedea</w:t>
      </w:r>
      <w:r w:rsidR="007E1819">
        <w:rPr>
          <w:i/>
        </w:rPr>
        <w:t xml:space="preserve"> </w:t>
      </w:r>
      <w:proofErr w:type="spellStart"/>
      <w:r w:rsidR="007E1819">
        <w:rPr>
          <w:i/>
        </w:rPr>
        <w:t>Margulev</w:t>
      </w:r>
      <w:proofErr w:type="spellEnd"/>
      <w:r w:rsidR="007E1819">
        <w:rPr>
          <w:i/>
        </w:rPr>
        <w:t xml:space="preserve"> împotriva Rusiei</w:t>
      </w:r>
      <w:r w:rsidR="007E1819">
        <w:t xml:space="preserve">, nr. 15449/09, pct. 45, 8 octombrie 2019, și </w:t>
      </w:r>
      <w:proofErr w:type="spellStart"/>
      <w:r w:rsidR="007E1819">
        <w:rPr>
          <w:i/>
        </w:rPr>
        <w:t>Kommersant</w:t>
      </w:r>
      <w:proofErr w:type="spellEnd"/>
      <w:r w:rsidR="007E1819">
        <w:rPr>
          <w:i/>
        </w:rPr>
        <w:t xml:space="preserve"> și alții împotriva Rusiei</w:t>
      </w:r>
      <w:r w:rsidR="007E1819">
        <w:t>, nr. 37482/10 și 37486/10, 23 iunie 2020), care se concentrează pe a evalua proporționalitatea unei ingerințe.</w:t>
      </w:r>
    </w:p>
    <w:p w14:paraId="14DB26AB" w14:textId="1701B395" w:rsidR="00D33FCF" w:rsidRPr="00C2426B" w:rsidRDefault="00D77874" w:rsidP="00C2426B">
      <w:pPr>
        <w:pStyle w:val="JuPara"/>
      </w:pPr>
      <w:r>
        <w:fldChar w:fldCharType="begin"/>
      </w:r>
      <w:r>
        <w:instrText xml:space="preserve"> SEQ level0 \*arabic </w:instrText>
      </w:r>
      <w:r>
        <w:fldChar w:fldCharType="separate"/>
      </w:r>
      <w:r w:rsidR="00C2426B" w:rsidRPr="00C2426B">
        <w:t>43</w:t>
      </w:r>
      <w:r>
        <w:fldChar w:fldCharType="end"/>
      </w:r>
      <w:r w:rsidR="00D33FCF">
        <w:t xml:space="preserve">.  Întrucât părțile au contestat chestiunea dacă ingerința în litigiu a urmărit un scop legitim în sensul art. 10 § 2 din Convenție, apreciind conștientizarea tot mai mare a riscurilor la adresa democrației reprezentate de procedurile în instanță în scopul de a limita participarea publicului, după cum a subliniat comisarul pentru drepturile omului al Consiliului Europei (a se vedea </w:t>
      </w:r>
      <w:r w:rsidR="00D33FCF">
        <w:rPr>
          <w:i/>
          <w:iCs/>
        </w:rPr>
        <w:t>supra</w:t>
      </w:r>
      <w:r w:rsidR="00D33FCF">
        <w:t xml:space="preserve">, pct. </w:t>
      </w:r>
      <w:r w:rsidR="00D33FCF" w:rsidRPr="00C2426B">
        <w:fldChar w:fldCharType="begin"/>
      </w:r>
      <w:r w:rsidR="00D33FCF" w:rsidRPr="00C2426B">
        <w:instrText xml:space="preserve"> REF CommHR \h </w:instrText>
      </w:r>
      <w:r w:rsidR="00D33FCF" w:rsidRPr="00C2426B">
        <w:fldChar w:fldCharType="separate"/>
      </w:r>
      <w:r w:rsidR="00C2426B" w:rsidRPr="00C2426B">
        <w:rPr>
          <w:rFonts w:eastAsia="Times New Roman"/>
        </w:rPr>
        <w:t>23</w:t>
      </w:r>
      <w:r w:rsidR="00D33FCF" w:rsidRPr="00C2426B">
        <w:fldChar w:fldCharType="end"/>
      </w:r>
      <w:r w:rsidR="00D33FCF">
        <w:t xml:space="preserve">), și având în vedere dezechilibrul de putere dintre petent și pârât în prezenta cauză, Curtea consideră că are capacitatea de a stabili în prezenta cauză dacă ingerința reclamată, -  și anume, procesul civil pentru calomnie intentat de Administrația Regiunii </w:t>
      </w:r>
      <w:proofErr w:type="spellStart"/>
      <w:r w:rsidR="00D33FCF">
        <w:t>Volgograd</w:t>
      </w:r>
      <w:proofErr w:type="spellEnd"/>
      <w:r w:rsidR="00D33FCF">
        <w:t xml:space="preserve"> împotriva societății reclamante, un canal media, - a avut legătură cu scopul legitim de „a proteja reputația altora“, în sensul art. 10 § 2 din Convenție.</w:t>
      </w:r>
    </w:p>
    <w:p w14:paraId="3667372D" w14:textId="71856D68" w:rsidR="00D33FCF" w:rsidRPr="00C2426B" w:rsidRDefault="00D77874" w:rsidP="00C2426B">
      <w:pPr>
        <w:pStyle w:val="JuPara"/>
      </w:pPr>
      <w:r>
        <w:fldChar w:fldCharType="begin"/>
      </w:r>
      <w:r>
        <w:instrText xml:space="preserve"> SEQ level0 \*arabic </w:instrText>
      </w:r>
      <w:r>
        <w:fldChar w:fldCharType="separate"/>
      </w:r>
      <w:r w:rsidR="00C2426B" w:rsidRPr="00C2426B">
        <w:t>44</w:t>
      </w:r>
      <w:r>
        <w:fldChar w:fldCharType="end"/>
      </w:r>
      <w:r w:rsidR="00D33FCF">
        <w:t xml:space="preserve">.  Curtea consideră că organele puterii executive învestite cu puteri de stat diferă în esență de entitățile juridice, inclusiv corporațiile publice sau cele în proprietatea statului, implicate în activități competitive în piață, întrucât cele din urmă se bazează pe buna lor reputație pentru a atrage clienți în vederea realizării de profit, iar primele există pentru a servi publicul și sunt </w:t>
      </w:r>
      <w:r w:rsidR="00D33FCF">
        <w:lastRenderedPageBreak/>
        <w:t xml:space="preserve">finanțate de contribuabili. Pentru a preveni abuzul de putere și corupția funcției publice într-o democrație, activitățile unei autorități publice de orice fel trebuie să facă obiectul unui control atent nu numai din partea autorităților legislative și judiciare, ci și al opiniei publice (a se vedea </w:t>
      </w:r>
      <w:proofErr w:type="spellStart"/>
      <w:r w:rsidR="00D33FCF">
        <w:rPr>
          <w:i/>
        </w:rPr>
        <w:t>Sener</w:t>
      </w:r>
      <w:proofErr w:type="spellEnd"/>
      <w:r w:rsidR="00D33FCF">
        <w:rPr>
          <w:i/>
        </w:rPr>
        <w:t xml:space="preserve"> împotriva Turciei</w:t>
      </w:r>
      <w:r w:rsidR="00D33FCF">
        <w:t>, nr. 26680/95, pct. 40, 18 iulie 2000).</w:t>
      </w:r>
    </w:p>
    <w:p w14:paraId="30BC9702" w14:textId="1600B65A" w:rsidR="00D33FCF" w:rsidRPr="00C2426B" w:rsidRDefault="00D77874" w:rsidP="00C2426B">
      <w:pPr>
        <w:pStyle w:val="JuPara"/>
        <w:rPr>
          <w:iCs/>
        </w:rPr>
      </w:pPr>
      <w:r>
        <w:fldChar w:fldCharType="begin"/>
      </w:r>
      <w:r>
        <w:instrText xml:space="preserve"> SEQ level0 \*arabic \* MERGEFORMAT </w:instrText>
      </w:r>
      <w:r>
        <w:fldChar w:fldCharType="separate"/>
      </w:r>
      <w:r w:rsidR="00C2426B" w:rsidRPr="00C2426B">
        <w:t>45</w:t>
      </w:r>
      <w:r>
        <w:fldChar w:fldCharType="end"/>
      </w:r>
      <w:r w:rsidR="00D33FCF">
        <w:t xml:space="preserve">.  În </w:t>
      </w:r>
      <w:proofErr w:type="spellStart"/>
      <w:r w:rsidR="00D33FCF">
        <w:rPr>
          <w:i/>
        </w:rPr>
        <w:t>Steel</w:t>
      </w:r>
      <w:proofErr w:type="spellEnd"/>
      <w:r w:rsidR="00D33FCF">
        <w:rPr>
          <w:i/>
        </w:rPr>
        <w:t xml:space="preserve"> și Morris </w:t>
      </w:r>
      <w:r w:rsidR="00D33FCF">
        <w:t xml:space="preserve">(citată anterior, pct. 40) Curtea a observat poziția din dreptul Angliei și al Țării Galilor, prin care „autoritățile locale, corporațiile deținute de Guvern și partidele politice [...] [nu poate] iniția procese pentru calomnie, din cauza interesului public ca o organizație aleasă în mod democratic, sau o entitate controlată de o astfel de organizație, să fie deschisă criticii publice și fără inhibiții.” Desigur, protejarea organelor puterii executive, care au posibilitatea de a răspunde oricăror acuzații în „instanța opiniei publice“ prin instrumentele lor de relații publice, de critica din mass-media prin acordarea protecției pentru „reputația în afaceri“ poate vătăma grav libertatea media. Permisiunea ca organele puterii executive să intenteze procese pentru calomnie împotriva membrilor media impune o sarcină excesivă și disproporționată mass-mediei și poate avea un efect de descurajare inevitabil asupra acesteia în îndeplinirea misiunii sale de furnizor de informații și de „câine de pază” public (a se vedea, </w:t>
      </w:r>
      <w:r w:rsidR="00D33FCF">
        <w:rPr>
          <w:i/>
        </w:rPr>
        <w:t>mutatis mutandis</w:t>
      </w:r>
      <w:r w:rsidR="00D33FCF">
        <w:t xml:space="preserve">, </w:t>
      </w:r>
      <w:proofErr w:type="spellStart"/>
      <w:r w:rsidR="00D33FCF">
        <w:rPr>
          <w:i/>
        </w:rPr>
        <w:t>Dyuldin</w:t>
      </w:r>
      <w:proofErr w:type="spellEnd"/>
      <w:r w:rsidR="00D33FCF">
        <w:rPr>
          <w:i/>
        </w:rPr>
        <w:t xml:space="preserve"> și </w:t>
      </w:r>
      <w:proofErr w:type="spellStart"/>
      <w:r w:rsidR="00D33FCF">
        <w:rPr>
          <w:i/>
        </w:rPr>
        <w:t>Kislov</w:t>
      </w:r>
      <w:proofErr w:type="spellEnd"/>
      <w:r w:rsidR="00D33FCF">
        <w:rPr>
          <w:i/>
        </w:rPr>
        <w:t xml:space="preserve"> împotriva Rusiei</w:t>
      </w:r>
      <w:r w:rsidR="00D33FCF">
        <w:t>, nr. 25968/02, pct. 43, 31 iulie 2007).</w:t>
      </w:r>
    </w:p>
    <w:p w14:paraId="4DFA0383" w14:textId="4EAB0569"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46</w:t>
      </w:r>
      <w:r>
        <w:fldChar w:fldCharType="end"/>
      </w:r>
      <w:r w:rsidR="007E1819">
        <w:t>.  Curtea consideră că, în virtutea rolului său într-o democrație, interesele unui organ al puterii executive a puterii de stat în a menține o bună reputație, diferă în esență atât de dreptul la reputație al persoanelor fizice, cât și de interesele privind reputația ale entităților juridice, private ori publice, concurente în piață.</w:t>
      </w:r>
    </w:p>
    <w:p w14:paraId="091B7674" w14:textId="751F314E" w:rsidR="00D33FCF" w:rsidRPr="00C2426B" w:rsidRDefault="00D77874" w:rsidP="00C2426B">
      <w:pPr>
        <w:pStyle w:val="JuPara"/>
      </w:pPr>
      <w:r>
        <w:fldChar w:fldCharType="begin"/>
      </w:r>
      <w:r>
        <w:instrText xml:space="preserve"> SEQ level0 \*arabic </w:instrText>
      </w:r>
      <w:r>
        <w:fldChar w:fldCharType="separate"/>
      </w:r>
      <w:r w:rsidR="00C2426B" w:rsidRPr="00C2426B">
        <w:t>47</w:t>
      </w:r>
      <w:r>
        <w:fldChar w:fldCharType="end"/>
      </w:r>
      <w:r w:rsidR="00D33FCF">
        <w:t xml:space="preserve">.  Rezultă că procedura civilă pentru calomnie inițiată, în nume propriu, de o entitate juridică ce exercită puterea publică nu poate fi considerată, ca regulă generală, ca fiind în conformitate cu scopul legitim al „protejării reputației [...] altora” în temeiul art. 10 § 2 din Convenție. Acest lucru nu exclude posibilitatea ca persoane care aparțin unui organ public, care pot fi „ușor de identificat“ având în vedere numărul limitat al membrilor și natura alegațiilor care îi incriminează (a se vedea </w:t>
      </w:r>
      <w:proofErr w:type="spellStart"/>
      <w:r w:rsidR="00D33FCF">
        <w:rPr>
          <w:i/>
        </w:rPr>
        <w:t>Thoma</w:t>
      </w:r>
      <w:proofErr w:type="spellEnd"/>
      <w:r w:rsidR="00D33FCF">
        <w:rPr>
          <w:i/>
        </w:rPr>
        <w:t xml:space="preserve"> împotriva Luxemburg</w:t>
      </w:r>
      <w:r w:rsidR="00D33FCF">
        <w:t>, nr. 38432/97, pct. 56, CEDO 2001</w:t>
      </w:r>
      <w:r w:rsidR="00D33FCF">
        <w:noBreakHyphen/>
        <w:t xml:space="preserve">III, și, </w:t>
      </w:r>
      <w:r w:rsidR="00D33FCF">
        <w:rPr>
          <w:i/>
        </w:rPr>
        <w:t>mutatis mutandis</w:t>
      </w:r>
      <w:r w:rsidR="00D33FCF">
        <w:t xml:space="preserve">, </w:t>
      </w:r>
      <w:proofErr w:type="spellStart"/>
      <w:r w:rsidR="00D33FCF">
        <w:rPr>
          <w:i/>
        </w:rPr>
        <w:t>Lombardo</w:t>
      </w:r>
      <w:proofErr w:type="spellEnd"/>
      <w:r w:rsidR="00D33FCF">
        <w:rPr>
          <w:i/>
        </w:rPr>
        <w:t xml:space="preserve"> și alții</w:t>
      </w:r>
      <w:r w:rsidR="00D33FCF">
        <w:t>, citată anterior, pct. 54), să fie autorizate să intenteze procese pentru calomnie în nume propriu.</w:t>
      </w:r>
    </w:p>
    <w:p w14:paraId="559D95E1" w14:textId="1D3BA5B4"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48</w:t>
      </w:r>
      <w:r>
        <w:fldChar w:fldCharType="end"/>
      </w:r>
      <w:r w:rsidR="007E1819">
        <w:t xml:space="preserve">.  Cu privire la prezenta cauză, Curtea observă că petentul din procesul civil pentru calomnie este organul suprem al puterii executive a Regiunii </w:t>
      </w:r>
      <w:proofErr w:type="spellStart"/>
      <w:r w:rsidR="007E1819">
        <w:t>Volgograd</w:t>
      </w:r>
      <w:proofErr w:type="spellEnd"/>
      <w:r w:rsidR="007E1819">
        <w:t xml:space="preserve">. Este greu de conceput că acesta are un „interes de a proteja succesul comercial </w:t>
      </w:r>
      <w:proofErr w:type="spellStart"/>
      <w:r w:rsidR="007E1819">
        <w:t>şi</w:t>
      </w:r>
      <w:proofErr w:type="spellEnd"/>
      <w:r w:rsidR="007E1819">
        <w:t xml:space="preserve"> viabilitatea“, fie și în „folosul acționarilor </w:t>
      </w:r>
      <w:proofErr w:type="spellStart"/>
      <w:r w:rsidR="007E1819">
        <w:t>şi</w:t>
      </w:r>
      <w:proofErr w:type="spellEnd"/>
      <w:r w:rsidR="007E1819">
        <w:t xml:space="preserve"> al angajaților” sau „pentru bunăstarea economică a comunității” (a se vedea </w:t>
      </w:r>
      <w:proofErr w:type="spellStart"/>
      <w:r w:rsidR="007E1819">
        <w:rPr>
          <w:i/>
        </w:rPr>
        <w:t>Steel</w:t>
      </w:r>
      <w:proofErr w:type="spellEnd"/>
      <w:r w:rsidR="007E1819">
        <w:rPr>
          <w:i/>
        </w:rPr>
        <w:t xml:space="preserve"> și Morris</w:t>
      </w:r>
      <w:r w:rsidR="007E1819">
        <w:t xml:space="preserve">, citată </w:t>
      </w:r>
      <w:r w:rsidR="007E1819">
        <w:rPr>
          <w:i/>
          <w:iCs/>
        </w:rPr>
        <w:t>supra</w:t>
      </w:r>
      <w:r w:rsidR="007E1819">
        <w:t xml:space="preserve">, pct. 94) care ar garanta o protecție legală. Nu se putea spune nici că membrii săi erau la fel de „ușor de identificat“ cum erau membrii Comisiei pentru apă și păduri din Luxemburg (a se vedea </w:t>
      </w:r>
      <w:proofErr w:type="spellStart"/>
      <w:r w:rsidR="007E1819">
        <w:rPr>
          <w:i/>
        </w:rPr>
        <w:t>Thoma</w:t>
      </w:r>
      <w:proofErr w:type="spellEnd"/>
      <w:r w:rsidR="007E1819">
        <w:t xml:space="preserve">, citată anterior, pct. 56) sau membrii Consiliului local </w:t>
      </w:r>
      <w:proofErr w:type="spellStart"/>
      <w:r w:rsidR="007E1819">
        <w:t>Fgura</w:t>
      </w:r>
      <w:proofErr w:type="spellEnd"/>
      <w:r w:rsidR="007E1819">
        <w:t xml:space="preserve"> care reprezentau </w:t>
      </w:r>
      <w:r w:rsidR="007E1819">
        <w:lastRenderedPageBreak/>
        <w:t xml:space="preserve">12 000 de locuitori (a se vedea </w:t>
      </w:r>
      <w:r w:rsidR="007E1819">
        <w:rPr>
          <w:i/>
          <w:iCs/>
        </w:rPr>
        <w:t>supra</w:t>
      </w:r>
      <w:r w:rsidR="007E1819">
        <w:t xml:space="preserve">, pct. </w:t>
      </w:r>
      <w:r w:rsidR="00D33FCF" w:rsidRPr="00C2426B">
        <w:fldChar w:fldCharType="begin"/>
      </w:r>
      <w:r w:rsidR="00D33FCF" w:rsidRPr="00C2426B">
        <w:instrText xml:space="preserve"> REF Ambit \h  \* MERGEFORMAT </w:instrText>
      </w:r>
      <w:r w:rsidR="00D33FCF" w:rsidRPr="00C2426B">
        <w:fldChar w:fldCharType="separate"/>
      </w:r>
      <w:r w:rsidR="00C2426B" w:rsidRPr="00C2426B">
        <w:t>39</w:t>
      </w:r>
      <w:r w:rsidR="00D33FCF" w:rsidRPr="00C2426B">
        <w:fldChar w:fldCharType="end"/>
      </w:r>
      <w:r w:rsidR="007E1819">
        <w:t xml:space="preserve">) dat fiind nivelul la care opera: populația Regiunii </w:t>
      </w:r>
      <w:proofErr w:type="spellStart"/>
      <w:r w:rsidR="007E1819">
        <w:t>Volgograd</w:t>
      </w:r>
      <w:proofErr w:type="spellEnd"/>
      <w:r w:rsidR="007E1819">
        <w:t xml:space="preserve"> depășea în 2010 cifra de două milioane și jumătate. Oricum, cauza privind calomnia a fost inițiată în numele entității juridice ca atare și nu al unui membru individual al acesteia.</w:t>
      </w:r>
    </w:p>
    <w:p w14:paraId="198BB0B5" w14:textId="4BF670CF" w:rsidR="00D33FCF" w:rsidRPr="00C2426B" w:rsidRDefault="00D77874" w:rsidP="00C2426B">
      <w:pPr>
        <w:pStyle w:val="JuPara"/>
      </w:pPr>
      <w:r>
        <w:fldChar w:fldCharType="begin"/>
      </w:r>
      <w:r>
        <w:instrText xml:space="preserve"> SEQ level0 \*arabic </w:instrText>
      </w:r>
      <w:r>
        <w:fldChar w:fldCharType="separate"/>
      </w:r>
      <w:r w:rsidR="00C2426B" w:rsidRPr="00C2426B">
        <w:t>49</w:t>
      </w:r>
      <w:r>
        <w:fldChar w:fldCharType="end"/>
      </w:r>
      <w:r w:rsidR="00D33FCF">
        <w:t xml:space="preserve">.  În acest sens, Curtea constată că procesul civil pentru calomnie intentat de Administrația Regiunii </w:t>
      </w:r>
      <w:proofErr w:type="spellStart"/>
      <w:r w:rsidR="00D33FCF">
        <w:t>Volgograd</w:t>
      </w:r>
      <w:proofErr w:type="spellEnd"/>
      <w:r w:rsidR="00D33FCF">
        <w:t xml:space="preserve"> împotriva societății reclamante nu urmărea niciunul dintre scopurile legitime enumerate la art. 10 § 2 din Convenție. În cazul în care s-a demonstrat că ingerința nu a urmărit un „scop legitim“, nu este necesar a se ancheta dacă aceasta a fost „necesară într-o societate democratică“ (a se vedea </w:t>
      </w:r>
      <w:proofErr w:type="spellStart"/>
      <w:r w:rsidR="00D33FCF">
        <w:rPr>
          <w:i/>
          <w:iCs/>
        </w:rPr>
        <w:t>Khuzhin</w:t>
      </w:r>
      <w:proofErr w:type="spellEnd"/>
      <w:r w:rsidR="00D33FCF">
        <w:rPr>
          <w:i/>
          <w:iCs/>
        </w:rPr>
        <w:t xml:space="preserve"> și alții împotriva Rusiei</w:t>
      </w:r>
      <w:r w:rsidR="00D33FCF">
        <w:t>, nr. 13470/02, pct. 117, 23 octombrie 2008</w:t>
      </w:r>
      <w:bookmarkEnd w:id="14"/>
      <w:r w:rsidR="00D33FCF">
        <w:t>).</w:t>
      </w:r>
    </w:p>
    <w:p w14:paraId="1F06CCAC" w14:textId="24C96AEC" w:rsidR="00D33FCF" w:rsidRPr="00C2426B" w:rsidRDefault="00D77874" w:rsidP="00C2426B">
      <w:pPr>
        <w:pStyle w:val="JuPara"/>
      </w:pPr>
      <w:r>
        <w:fldChar w:fldCharType="begin"/>
      </w:r>
      <w:r>
        <w:instrText xml:space="preserve"> SEQ level0 \*arabic \* MERGEFORMAT </w:instrText>
      </w:r>
      <w:r>
        <w:fldChar w:fldCharType="separate"/>
      </w:r>
      <w:r w:rsidR="00C2426B" w:rsidRPr="00C2426B">
        <w:t>50</w:t>
      </w:r>
      <w:r>
        <w:fldChar w:fldCharType="end"/>
      </w:r>
      <w:r w:rsidR="007E1819">
        <w:t>.  În consecință, a fost încălcat art. 10 din Convenție.</w:t>
      </w:r>
    </w:p>
    <w:p w14:paraId="62E6AFCF" w14:textId="77777777" w:rsidR="00D33FCF" w:rsidRPr="00C2426B" w:rsidRDefault="00D33FCF" w:rsidP="00C2426B">
      <w:pPr>
        <w:pStyle w:val="JuHIRoman"/>
      </w:pPr>
      <w:r>
        <w:t>CU PRIVIRE LA APLICAREA ART. 41 DIN CONVENȚIE</w:t>
      </w:r>
    </w:p>
    <w:p w14:paraId="46F3836C" w14:textId="706F52F8" w:rsidR="00D33FCF" w:rsidRPr="00C2426B" w:rsidRDefault="00D77874" w:rsidP="00C2426B">
      <w:pPr>
        <w:pStyle w:val="JuPara"/>
        <w:keepNext/>
        <w:keepLines/>
      </w:pPr>
      <w:r>
        <w:fldChar w:fldCharType="begin"/>
      </w:r>
      <w:r>
        <w:instrText xml:space="preserve"> SEQ level0 \*arabic </w:instrText>
      </w:r>
      <w:r>
        <w:fldChar w:fldCharType="separate"/>
      </w:r>
      <w:r w:rsidR="00C2426B" w:rsidRPr="00C2426B">
        <w:t>51</w:t>
      </w:r>
      <w:r>
        <w:fldChar w:fldCharType="end"/>
      </w:r>
      <w:r w:rsidR="00D33FCF">
        <w:t>.  Art. 41 din Convenție prevede:</w:t>
      </w:r>
    </w:p>
    <w:p w14:paraId="07059D4E" w14:textId="77777777" w:rsidR="00D33FCF" w:rsidRPr="00C2426B" w:rsidRDefault="00D33FCF" w:rsidP="00C2426B">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7D706F5B" w14:textId="2DE74CA5" w:rsidR="00D33FCF" w:rsidRPr="00C2426B" w:rsidRDefault="00D77874" w:rsidP="00C2426B">
      <w:pPr>
        <w:pStyle w:val="JuPara"/>
      </w:pPr>
      <w:r>
        <w:fldChar w:fldCharType="begin"/>
      </w:r>
      <w:r>
        <w:instrText xml:space="preserve"> SEQ level0 \*arabic </w:instrText>
      </w:r>
      <w:r>
        <w:fldChar w:fldCharType="separate"/>
      </w:r>
      <w:r w:rsidR="00C2426B" w:rsidRPr="00C2426B">
        <w:t>52</w:t>
      </w:r>
      <w:r>
        <w:fldChar w:fldCharType="end"/>
      </w:r>
      <w:r w:rsidR="00D33FCF">
        <w:t>.  Societatea reclamantă nu a pretins reparații echitabile. Prin urmare, Curtea decide să nu acorde nicio reparație în conformitate cu art. 41 din Convenție.</w:t>
      </w:r>
    </w:p>
    <w:p w14:paraId="5D6CF4D6" w14:textId="1A6119A8" w:rsidR="00D33FCF" w:rsidRPr="00C2426B" w:rsidRDefault="00D33FCF" w:rsidP="00C2426B">
      <w:pPr>
        <w:pStyle w:val="JuHHead"/>
        <w:numPr>
          <w:ilvl w:val="0"/>
          <w:numId w:val="3"/>
        </w:numPr>
        <w:ind w:left="360" w:hanging="360"/>
      </w:pPr>
      <w:r>
        <w:t>PENTRU ACESTE MOTIVE, CURTEA, ÎN UNANIMITATE,</w:t>
      </w:r>
    </w:p>
    <w:p w14:paraId="37F99C78" w14:textId="255B3C50" w:rsidR="00D33FCF" w:rsidRPr="00C2426B" w:rsidRDefault="00D33FCF" w:rsidP="00C2426B">
      <w:pPr>
        <w:pStyle w:val="JuList"/>
        <w:numPr>
          <w:ilvl w:val="0"/>
          <w:numId w:val="1"/>
        </w:numPr>
      </w:pPr>
      <w:r>
        <w:rPr>
          <w:i/>
          <w:iCs/>
        </w:rPr>
        <w:t>Declară</w:t>
      </w:r>
      <w:r>
        <w:t xml:space="preserve"> cererea admisibilă;</w:t>
      </w:r>
    </w:p>
    <w:p w14:paraId="7DF4828E" w14:textId="46877604" w:rsidR="004D0EC7" w:rsidRPr="00C2426B" w:rsidRDefault="00D33FCF" w:rsidP="00C2426B">
      <w:pPr>
        <w:pStyle w:val="JuList"/>
        <w:numPr>
          <w:ilvl w:val="0"/>
          <w:numId w:val="1"/>
        </w:numPr>
      </w:pPr>
      <w:r>
        <w:rPr>
          <w:i/>
        </w:rPr>
        <w:t>Hotărăște</w:t>
      </w:r>
      <w:r>
        <w:t xml:space="preserve"> că a fost încălcat art. 10 din Convenție.</w:t>
      </w:r>
    </w:p>
    <w:p w14:paraId="28416F0F" w14:textId="7CF03BE4" w:rsidR="008E3A08" w:rsidRPr="00C2426B" w:rsidRDefault="007E2C8C" w:rsidP="00C2426B">
      <w:pPr>
        <w:pStyle w:val="JuParaLast"/>
      </w:pPr>
      <w:r>
        <w:t>Redactată în limba engleză și comunicată în scris la 15 martie 2022, în conformitate cu art. 77 § 2 și art. 77 § 3 din Regulamentul Curții.</w:t>
      </w:r>
    </w:p>
    <w:p w14:paraId="714E5475" w14:textId="6B3A34F1" w:rsidR="008B092C" w:rsidRPr="00C2426B" w:rsidRDefault="00281B7C" w:rsidP="00C2426B">
      <w:pPr>
        <w:pStyle w:val="ECHRPlaceholder"/>
        <w:rPr>
          <w:szCs w:val="22"/>
        </w:rPr>
      </w:pPr>
      <w:r>
        <w:tab/>
      </w:r>
    </w:p>
    <w:p w14:paraId="27B2BE02" w14:textId="6CD04C9C" w:rsidR="00182EBA" w:rsidRPr="00C2426B" w:rsidRDefault="002E7764" w:rsidP="00C2426B">
      <w:pPr>
        <w:pStyle w:val="JuSigned"/>
      </w:pPr>
      <w:r>
        <w:tab/>
        <w:t xml:space="preserve">Milan </w:t>
      </w:r>
      <w:proofErr w:type="spellStart"/>
      <w:r>
        <w:t>Blaško</w:t>
      </w:r>
      <w:proofErr w:type="spellEnd"/>
      <w:r>
        <w:t xml:space="preserve"> </w:t>
      </w:r>
      <w:r>
        <w:tab/>
        <w:t xml:space="preserve">Georges </w:t>
      </w:r>
      <w:proofErr w:type="spellStart"/>
      <w:r>
        <w:t>Ravarani</w:t>
      </w:r>
      <w:proofErr w:type="spellEnd"/>
      <w:r>
        <w:br/>
      </w:r>
      <w:r>
        <w:tab/>
        <w:t xml:space="preserve">Grefier </w:t>
      </w:r>
      <w:r>
        <w:tab/>
      </w:r>
      <w:r>
        <w:tab/>
      </w:r>
      <w:r>
        <w:tab/>
        <w:t>Președinte</w:t>
      </w:r>
    </w:p>
    <w:p w14:paraId="0CECDF9F" w14:textId="323387F3" w:rsidR="00CE2E04" w:rsidRPr="00C2426B" w:rsidRDefault="00CE2E04" w:rsidP="00C2426B">
      <w:pPr>
        <w:pStyle w:val="JuParaLast"/>
      </w:pPr>
      <w:r>
        <w:lastRenderedPageBreak/>
        <w:t xml:space="preserve">În conformitate cu art. 45 § 2 din Convenție și cu art. 74 § 2 din Regulamentul Curții, opinia separată a judecătorilor </w:t>
      </w:r>
      <w:proofErr w:type="spellStart"/>
      <w:r>
        <w:t>Ravarani</w:t>
      </w:r>
      <w:proofErr w:type="spellEnd"/>
      <w:r>
        <w:t xml:space="preserve">, </w:t>
      </w:r>
      <w:proofErr w:type="spellStart"/>
      <w:r>
        <w:t>Serghides</w:t>
      </w:r>
      <w:proofErr w:type="spellEnd"/>
      <w:r>
        <w:t xml:space="preserve"> și </w:t>
      </w:r>
      <w:proofErr w:type="spellStart"/>
      <w:r>
        <w:t>Lobov</w:t>
      </w:r>
      <w:proofErr w:type="spellEnd"/>
      <w:r>
        <w:t xml:space="preserve"> se anexează la prezenta hotărâre.</w:t>
      </w:r>
    </w:p>
    <w:p w14:paraId="75D4BA5D" w14:textId="7CFE66A3" w:rsidR="00A27A22" w:rsidRPr="00C2426B" w:rsidRDefault="00CE2E04" w:rsidP="00C2426B">
      <w:pPr>
        <w:pStyle w:val="JuInitialled"/>
      </w:pPr>
      <w:r>
        <w:t>G.R.</w:t>
      </w:r>
      <w:r>
        <w:br/>
        <w:t>M.B.</w:t>
      </w:r>
      <w:r>
        <w:br/>
      </w:r>
    </w:p>
    <w:p w14:paraId="2EFB452C" w14:textId="77777777" w:rsidR="00CE2E04" w:rsidRPr="00C2426B" w:rsidRDefault="00CE2E04" w:rsidP="00C2426B">
      <w:pPr>
        <w:pStyle w:val="JuPara"/>
        <w:sectPr w:rsidR="00CE2E04" w:rsidRPr="00C2426B" w:rsidSect="007D3701">
          <w:headerReference w:type="even" r:id="rId17"/>
          <w:headerReference w:type="default" r:id="rId18"/>
          <w:footerReference w:type="even" r:id="rId19"/>
          <w:footerReference w:type="default" r:id="rId20"/>
          <w:footnotePr>
            <w:numRestart w:val="eachSect"/>
          </w:footnotePr>
          <w:pgSz w:w="11906" w:h="16838" w:code="9"/>
          <w:pgMar w:top="2274" w:right="2274" w:bottom="2274" w:left="2274" w:header="1701" w:footer="720" w:gutter="0"/>
          <w:pgNumType w:start="1"/>
          <w:cols w:space="720"/>
          <w:docGrid w:linePitch="326"/>
        </w:sectPr>
      </w:pPr>
    </w:p>
    <w:p w14:paraId="30C48183" w14:textId="77777777" w:rsidR="00CA23DE" w:rsidRPr="00C2426B" w:rsidRDefault="00CA23DE" w:rsidP="00C2426B">
      <w:pPr>
        <w:keepNext/>
        <w:keepLines/>
        <w:spacing w:after="240"/>
        <w:jc w:val="center"/>
        <w:outlineLvl w:val="0"/>
        <w:rPr>
          <w:rFonts w:ascii="Times New Roman" w:eastAsia="Times New Roman" w:hAnsi="Times New Roman" w:cs="Times New Roman"/>
          <w:sz w:val="28"/>
        </w:rPr>
      </w:pPr>
      <w:r>
        <w:rPr>
          <w:rFonts w:ascii="Times New Roman" w:hAnsi="Times New Roman"/>
          <w:sz w:val="28"/>
        </w:rPr>
        <w:lastRenderedPageBreak/>
        <w:t>OPINIA CONCORDANTĂ COMUNĂ A JUDECĂTORILOR RAVARANI, SERGHIDES ȘI LOBOV</w:t>
      </w:r>
    </w:p>
    <w:p w14:paraId="7DA95727" w14:textId="2E72177C" w:rsidR="00CA23DE" w:rsidRPr="00C2426B" w:rsidRDefault="00F673E6"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\r1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1</w:t>
      </w:r>
      <w:r w:rsidRPr="00C2426B">
        <w:rPr>
          <w:rFonts w:ascii="Times New Roman" w:eastAsia="Times New Roman" w:hAnsi="Times New Roman" w:cs="Times New Roman"/>
        </w:rPr>
        <w:fldChar w:fldCharType="end"/>
      </w:r>
      <w:r>
        <w:rPr>
          <w:rFonts w:ascii="Times New Roman" w:hAnsi="Times New Roman"/>
        </w:rPr>
        <w:t>.  Cu respect, nu suntem de acord cu punctul de vedere al majorității că încălcarea art. 10 în speță se datora faptului că ingerința în litigiu în exercitarea dreptului societății reclamante la libertatea de exprimare nu avea un scop legitim în sensul art. 10 § 2 din Convenție. În opinia noastră, art. 10 a fost încălcat din alt motiv, legat de faptul că instanțele naționale nu au demonstrat că ingerința era necesară într-o societate democratică, în conformitate cu jurisprudența consacrată a Curții.</w:t>
      </w:r>
    </w:p>
    <w:p w14:paraId="648167D4" w14:textId="77777777" w:rsidR="00CA23DE" w:rsidRPr="00C2426B" w:rsidRDefault="00CA23DE" w:rsidP="00C2426B">
      <w:pPr>
        <w:keepNext/>
        <w:keepLines/>
        <w:spacing w:before="100" w:beforeAutospacing="1" w:after="240"/>
        <w:ind w:left="510"/>
        <w:jc w:val="both"/>
        <w:outlineLvl w:val="2"/>
        <w:rPr>
          <w:rFonts w:ascii="Times New Roman" w:eastAsia="Times New Roman" w:hAnsi="Times New Roman" w:cs="Times New Roman"/>
          <w:b/>
          <w:bCs/>
          <w:szCs w:val="22"/>
        </w:rPr>
      </w:pPr>
      <w:r>
        <w:rPr>
          <w:rFonts w:ascii="Times New Roman" w:hAnsi="Times New Roman"/>
          <w:b/>
        </w:rPr>
        <w:t>Existența scopului legitim pentru ingerință</w:t>
      </w:r>
    </w:p>
    <w:p w14:paraId="5379292C" w14:textId="315A7679"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2</w:t>
      </w:r>
      <w:r w:rsidRPr="00C2426B">
        <w:rPr>
          <w:rFonts w:ascii="Times New Roman" w:eastAsia="Times New Roman" w:hAnsi="Times New Roman" w:cs="Times New Roman"/>
        </w:rPr>
        <w:fldChar w:fldCharType="end"/>
      </w:r>
      <w:r>
        <w:rPr>
          <w:rFonts w:ascii="Times New Roman" w:hAnsi="Times New Roman"/>
        </w:rPr>
        <w:t>.  Majoritatea a hotărât să revizuiască abordarea Curții față de îndreptățirea entității publice la „protecția reputației și a drepturilor altora“, prevăzută la art. 10 § 2. În pofida considerațiilor de politică care au determinat abordarea nouă a majorității (pct. 43 din prezenta hotărâre), nu suntem convinși că existau motive întemeiate încât Camera să se îndepărteze atât de radical de numeroasele hotărâri anterioare care acceptaseră aplicabilitatea scopului legitim menționat mai sus la diferite entități publice și autorități din diferite țări, în contexte penale și civile.</w:t>
      </w:r>
    </w:p>
    <w:p w14:paraId="6A2D722C" w14:textId="25425507"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3</w:t>
      </w:r>
      <w:r w:rsidRPr="00C2426B">
        <w:rPr>
          <w:rFonts w:ascii="Times New Roman" w:eastAsia="Times New Roman" w:hAnsi="Times New Roman" w:cs="Times New Roman"/>
        </w:rPr>
        <w:fldChar w:fldCharType="end"/>
      </w:r>
      <w:r>
        <w:rPr>
          <w:rFonts w:ascii="Times New Roman" w:hAnsi="Times New Roman"/>
        </w:rPr>
        <w:t xml:space="preserve">.  Până în prezent Curtea a recunoscut invariabil existența unui scop legitim în cauze similare, indiferent dacă părțile contestau sau nu acest punct (a se compara cauzele citate la pct. 42 din hotărâre, și </w:t>
      </w:r>
      <w:proofErr w:type="spellStart"/>
      <w:r>
        <w:rPr>
          <w:rFonts w:ascii="Times New Roman" w:hAnsi="Times New Roman"/>
          <w:i/>
        </w:rPr>
        <w:t>Frisk</w:t>
      </w:r>
      <w:proofErr w:type="spellEnd"/>
      <w:r>
        <w:rPr>
          <w:rFonts w:ascii="Times New Roman" w:hAnsi="Times New Roman"/>
          <w:i/>
        </w:rPr>
        <w:t xml:space="preserve"> și Jensen împotriva Danemarcei</w:t>
      </w:r>
      <w:r>
        <w:rPr>
          <w:rFonts w:ascii="Times New Roman" w:hAnsi="Times New Roman"/>
        </w:rPr>
        <w:t>, nr. 19657/12, pct. 42-50, 5 decembrie 2017, în care în mod explicit reclamanții au contestat existența unui scop legitim). În cea din urmă cauză, Curtea a respins fără echivoc declarația reclamanților că „justiția este singura autoritate publică a cărei protecție este aptă să constituie un scop legitim în conformitate cu art. 10 § 2” (ibid., pct. 47), concluzie care este contrazisă de ipoteza excesiv de restrictivă a majorității de la pct. 37 din prezenta hotărâre.</w:t>
      </w:r>
    </w:p>
    <w:p w14:paraId="6C81DF1E" w14:textId="1FD76605"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4</w:t>
      </w:r>
      <w:r w:rsidRPr="00C2426B">
        <w:rPr>
          <w:rFonts w:ascii="Times New Roman" w:eastAsia="Times New Roman" w:hAnsi="Times New Roman" w:cs="Times New Roman"/>
        </w:rPr>
        <w:fldChar w:fldCharType="end"/>
      </w:r>
      <w:r>
        <w:rPr>
          <w:rFonts w:ascii="Times New Roman" w:hAnsi="Times New Roman"/>
        </w:rPr>
        <w:t xml:space="preserve">.  În plus față de diversele cauze citate în prezenta hotărâre și de cele în care ingerința a servit scopul mai specific de „a menține autoritatea puterii judecătorești” (a se vedea, cel mai recent, </w:t>
      </w:r>
      <w:r>
        <w:rPr>
          <w:rFonts w:ascii="Times New Roman" w:hAnsi="Times New Roman"/>
          <w:i/>
        </w:rPr>
        <w:t xml:space="preserve">Freitas </w:t>
      </w:r>
      <w:proofErr w:type="spellStart"/>
      <w:r>
        <w:rPr>
          <w:rFonts w:ascii="Times New Roman" w:hAnsi="Times New Roman"/>
          <w:i/>
        </w:rPr>
        <w:t>Rangel</w:t>
      </w:r>
      <w:proofErr w:type="spellEnd"/>
      <w:r>
        <w:rPr>
          <w:rFonts w:ascii="Times New Roman" w:hAnsi="Times New Roman"/>
          <w:i/>
        </w:rPr>
        <w:t xml:space="preserve"> împotriva Portugaliei</w:t>
      </w:r>
      <w:r>
        <w:rPr>
          <w:rFonts w:ascii="Times New Roman" w:hAnsi="Times New Roman"/>
        </w:rPr>
        <w:t>, nr. 78873/13, pct. 48, 11 ianuarie 2022, nedefinitivă), Curtea a acceptat deja scopul legitim de „a proteja reputația altora“ în ceea ce privește instituții publice precum poliția (</w:t>
      </w:r>
      <w:proofErr w:type="spellStart"/>
      <w:r>
        <w:rPr>
          <w:rFonts w:ascii="Times New Roman" w:hAnsi="Times New Roman"/>
          <w:i/>
        </w:rPr>
        <w:t>Savva</w:t>
      </w:r>
      <w:proofErr w:type="spellEnd"/>
      <w:r>
        <w:rPr>
          <w:rFonts w:ascii="Times New Roman" w:hAnsi="Times New Roman"/>
          <w:i/>
        </w:rPr>
        <w:t xml:space="preserve"> </w:t>
      </w:r>
      <w:proofErr w:type="spellStart"/>
      <w:r>
        <w:rPr>
          <w:rFonts w:ascii="Times New Roman" w:hAnsi="Times New Roman"/>
          <w:i/>
        </w:rPr>
        <w:t>Terentyev</w:t>
      </w:r>
      <w:proofErr w:type="spellEnd"/>
      <w:r>
        <w:rPr>
          <w:rFonts w:ascii="Times New Roman" w:hAnsi="Times New Roman"/>
          <w:i/>
        </w:rPr>
        <w:t xml:space="preserve"> împotriva Rusiei</w:t>
      </w:r>
      <w:r>
        <w:rPr>
          <w:rFonts w:ascii="Times New Roman" w:hAnsi="Times New Roman"/>
        </w:rPr>
        <w:t>, nr. 10692/09, pct. 60, 28 august 2018) sau parchetul (</w:t>
      </w:r>
      <w:bookmarkStart w:id="16" w:name="_Hlk96021239"/>
      <w:proofErr w:type="spellStart"/>
      <w:r>
        <w:rPr>
          <w:rFonts w:ascii="Times New Roman" w:hAnsi="Times New Roman"/>
          <w:i/>
        </w:rPr>
        <w:t>Goryaynova</w:t>
      </w:r>
      <w:proofErr w:type="spellEnd"/>
      <w:r>
        <w:rPr>
          <w:rFonts w:ascii="Times New Roman" w:hAnsi="Times New Roman"/>
          <w:i/>
        </w:rPr>
        <w:t xml:space="preserve"> împotriva Ucrainei</w:t>
      </w:r>
      <w:r>
        <w:rPr>
          <w:rFonts w:ascii="Times New Roman" w:hAnsi="Times New Roman"/>
        </w:rPr>
        <w:t>, nr. 41752/09, pct. 56, 8 octombrie 2020</w:t>
      </w:r>
      <w:bookmarkEnd w:id="16"/>
      <w:r>
        <w:rPr>
          <w:rFonts w:ascii="Times New Roman" w:hAnsi="Times New Roman"/>
        </w:rPr>
        <w:t xml:space="preserve">). Punctul de vedere al majorității, restrângând protejarea reputației la instituțiile publice concurente în piață (pct. 44-46 din hotărâre), nu este în concordanță cu jurisprudența de mai sus. Nici nu este convingător, în opinia noastră, a se examina eligibilitatea membrilor „ușor de identificat” care aparțin unei autorități publice pentru protecția reputației și a intereselor lor individuale </w:t>
      </w:r>
      <w:r>
        <w:rPr>
          <w:rFonts w:ascii="Times New Roman" w:hAnsi="Times New Roman"/>
        </w:rPr>
        <w:lastRenderedPageBreak/>
        <w:t>doar pe baza „nivelului la care operează” aceste autorități (pct. 48 din hotărâre).</w:t>
      </w:r>
    </w:p>
    <w:p w14:paraId="4D5979A2" w14:textId="0FE9DB5E"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5</w:t>
      </w:r>
      <w:r w:rsidRPr="00C2426B">
        <w:rPr>
          <w:rFonts w:ascii="Times New Roman" w:eastAsia="Times New Roman" w:hAnsi="Times New Roman" w:cs="Times New Roman"/>
        </w:rPr>
        <w:fldChar w:fldCharType="end"/>
      </w:r>
      <w:r>
        <w:rPr>
          <w:rFonts w:ascii="Times New Roman" w:hAnsi="Times New Roman"/>
        </w:rPr>
        <w:t xml:space="preserve">.  Desigur, Curtea a recunoscut uneori că dreptul unei entități juridice la reputație (inclusiv sfera de aplicare a acestui drept) poate fi dezbătut și a subliniat o diferență între interesele privind reputația ale entității juridice (inclusiv ale unei autorități publice) și reputația unui individ. Aceasta nu aduce modificare constatării sale din altă cauză recentă că același scop legitim putea fi invocat cu privire la Consiliul Municipal al Moscovei, deși interesul acestuia de a-și proteja „reputația“ nu a atras în mod necesar același nivel al garanțiilor ca cel acordat pentru „a proteja reputația altora“ în sensul art. 10 § 2 (a se vedea </w:t>
      </w:r>
      <w:proofErr w:type="spellStart"/>
      <w:r>
        <w:rPr>
          <w:rFonts w:ascii="Times New Roman" w:hAnsi="Times New Roman"/>
          <w:i/>
        </w:rPr>
        <w:t>Margulev</w:t>
      </w:r>
      <w:proofErr w:type="spellEnd"/>
      <w:r>
        <w:rPr>
          <w:rFonts w:ascii="Times New Roman" w:hAnsi="Times New Roman"/>
          <w:i/>
        </w:rPr>
        <w:t xml:space="preserve"> împotriva Rusiei</w:t>
      </w:r>
      <w:r>
        <w:rPr>
          <w:rFonts w:ascii="Times New Roman" w:hAnsi="Times New Roman"/>
        </w:rPr>
        <w:t>, nr. 15449/09, pct. 45, 8 octombrie 2019).</w:t>
      </w:r>
    </w:p>
    <w:p w14:paraId="7C9C1FE1" w14:textId="79607404"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6</w:t>
      </w:r>
      <w:r w:rsidRPr="00C2426B">
        <w:rPr>
          <w:rFonts w:ascii="Times New Roman" w:eastAsia="Times New Roman" w:hAnsi="Times New Roman" w:cs="Times New Roman"/>
        </w:rPr>
        <w:fldChar w:fldCharType="end"/>
      </w:r>
      <w:r>
        <w:rPr>
          <w:rFonts w:ascii="Times New Roman" w:hAnsi="Times New Roman"/>
        </w:rPr>
        <w:t xml:space="preserve">.  Apreciem punctul din urmă ca fiind foarte relevant în speță, care privea și o serie de proceduri pentru calomnie, inițiate împotriva unui reclamant de o instituție publică similară, Administrația Regiunii </w:t>
      </w:r>
      <w:proofErr w:type="spellStart"/>
      <w:r>
        <w:rPr>
          <w:rFonts w:ascii="Times New Roman" w:hAnsi="Times New Roman"/>
        </w:rPr>
        <w:t>Volgograd</w:t>
      </w:r>
      <w:proofErr w:type="spellEnd"/>
      <w:r>
        <w:rPr>
          <w:rFonts w:ascii="Times New Roman" w:hAnsi="Times New Roman"/>
        </w:rPr>
        <w:t>. Interesul de a proteja consecvența jurisprudenței Curții ar fi trebuit, prin urmare, să determine Camera să urmărească abordarea consacrată, să accepte existența scopului legitim și să ia în considerare proporționalitatea ingerinței ținând seama de diferența de „nivel al garanțiilor” aplicabil diferitelor entități publice în funcție de statutul lor și de natura activităților lor.</w:t>
      </w:r>
    </w:p>
    <w:p w14:paraId="0C7FE763" w14:textId="11C2CD9C"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7</w:t>
      </w:r>
      <w:r w:rsidRPr="00C2426B">
        <w:rPr>
          <w:rFonts w:ascii="Times New Roman" w:eastAsia="Times New Roman" w:hAnsi="Times New Roman" w:cs="Times New Roman"/>
        </w:rPr>
        <w:fldChar w:fldCharType="end"/>
      </w:r>
      <w:r>
        <w:rPr>
          <w:rFonts w:ascii="Times New Roman" w:hAnsi="Times New Roman"/>
        </w:rPr>
        <w:t>.  Deși nu este exclus că procesele pentru calomnie pot avea ca scop efectul de descurajare asupra celor care critică activitatea autorităților, existența unui astfel de scop nelegitim nu poate fi prezumată, nici măcar considerată ca sigură, fără probe tangibile cu privire la acest efect. În orice caz, însăși stabilirea limitelor criticii acceptabile are nevoie să fie evaluată prin exercitarea echilibrului în baza testului proporționalității, în conformitate cu jurisprudența consacrată a Curții.</w:t>
      </w:r>
    </w:p>
    <w:p w14:paraId="21DC8321" w14:textId="77777777" w:rsidR="00CA23DE" w:rsidRPr="00C2426B" w:rsidRDefault="00CA23DE" w:rsidP="00C2426B">
      <w:pPr>
        <w:keepNext/>
        <w:keepLines/>
        <w:spacing w:before="100" w:beforeAutospacing="1" w:after="240"/>
        <w:ind w:left="510"/>
        <w:jc w:val="both"/>
        <w:outlineLvl w:val="2"/>
        <w:rPr>
          <w:rFonts w:ascii="Times New Roman" w:eastAsia="Times New Roman" w:hAnsi="Times New Roman" w:cs="Times New Roman"/>
          <w:b/>
          <w:bCs/>
          <w:szCs w:val="22"/>
        </w:rPr>
      </w:pPr>
      <w:r>
        <w:rPr>
          <w:rFonts w:ascii="Times New Roman" w:hAnsi="Times New Roman"/>
          <w:b/>
        </w:rPr>
        <w:t>Necesitatea ingerinței într-o societate democratică</w:t>
      </w:r>
    </w:p>
    <w:p w14:paraId="239F4B60" w14:textId="29B033E3"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8</w:t>
      </w:r>
      <w:r w:rsidRPr="00C2426B">
        <w:rPr>
          <w:rFonts w:ascii="Times New Roman" w:eastAsia="Times New Roman" w:hAnsi="Times New Roman" w:cs="Times New Roman"/>
        </w:rPr>
        <w:fldChar w:fldCharType="end"/>
      </w:r>
      <w:r>
        <w:rPr>
          <w:rFonts w:ascii="Times New Roman" w:hAnsi="Times New Roman"/>
        </w:rPr>
        <w:t xml:space="preserve">.  Publicarea aflată în centrul prezentei cauze a contribuit la o dezbatere de interes public și afirmațiile în litigiu au reprezentat judecata de valoare a domnului  S., care nu era lipsită de bază faptică. În asemenea circumstanțe, din perspectiva respectivei poziții a </w:t>
      </w:r>
      <w:proofErr w:type="spellStart"/>
      <w:r>
        <w:rPr>
          <w:rFonts w:ascii="Times New Roman" w:hAnsi="Times New Roman"/>
        </w:rPr>
        <w:t>petentei</w:t>
      </w:r>
      <w:proofErr w:type="spellEnd"/>
      <w:r>
        <w:rPr>
          <w:rFonts w:ascii="Times New Roman" w:hAnsi="Times New Roman"/>
        </w:rPr>
        <w:t xml:space="preserve"> ca autoritate publică și a societății reclamante ca un canal media, având în vedere că afirmațiile în litigiu priveau aspecte ale administrației publice și admițând că societatea reclamantă nu a făcut alegații privind un comportament ilegal, autoritățile naționale au o marjă de apreciere îngustă în evaluarea necesității ingerinței în exercitarea dreptului la libertatea de exprimare al societății reclamante.</w:t>
      </w:r>
    </w:p>
    <w:p w14:paraId="311B792B" w14:textId="1829656E"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9</w:t>
      </w:r>
      <w:r w:rsidRPr="00C2426B">
        <w:rPr>
          <w:rFonts w:ascii="Times New Roman" w:eastAsia="Times New Roman" w:hAnsi="Times New Roman" w:cs="Times New Roman"/>
        </w:rPr>
        <w:fldChar w:fldCharType="end"/>
      </w:r>
      <w:r>
        <w:rPr>
          <w:rFonts w:ascii="Times New Roman" w:hAnsi="Times New Roman"/>
        </w:rPr>
        <w:t>.  În cazul în care o autoritate publică (și nu funcționarii săi individuali) recurge la procesul pentru calomnie în legătură cu critica din mass-media, instanțelor naționale le revine sarcina de a examina pretențiile instituționale de calomnie pentru a oferi motive întemeiate care să poată demonstra în mod convingător că membrii mijloacelor de informare în masă au acționat cu rea-</w:t>
      </w:r>
      <w:r>
        <w:rPr>
          <w:rFonts w:ascii="Times New Roman" w:hAnsi="Times New Roman"/>
        </w:rPr>
        <w:lastRenderedPageBreak/>
        <w:t xml:space="preserve">credință sau cu nerespectarea flagrantă a principiilor jurnalismului responsabil atunci când au făcut presupusele afirmații calomnioase. Neconformarea va însemna încălcarea obligațiilor pozitive în temeiul art. 10 din Convenție care cere statelor să instituie un mediu favorabil participării la dezbateri publice a tuturor persoanelor vizate, acordând acestora posibilitatea să își exprime opiniile și ideile fără teamă (a se vedea </w:t>
      </w:r>
      <w:proofErr w:type="spellStart"/>
      <w:r>
        <w:rPr>
          <w:rFonts w:ascii="Times New Roman" w:hAnsi="Times New Roman"/>
          <w:i/>
        </w:rPr>
        <w:t>Uzeyir</w:t>
      </w:r>
      <w:proofErr w:type="spellEnd"/>
      <w:r>
        <w:rPr>
          <w:rFonts w:ascii="Times New Roman" w:hAnsi="Times New Roman"/>
          <w:i/>
        </w:rPr>
        <w:t xml:space="preserve"> </w:t>
      </w:r>
      <w:proofErr w:type="spellStart"/>
      <w:r>
        <w:rPr>
          <w:rFonts w:ascii="Times New Roman" w:hAnsi="Times New Roman"/>
          <w:i/>
        </w:rPr>
        <w:t>Jafarov</w:t>
      </w:r>
      <w:proofErr w:type="spellEnd"/>
      <w:r>
        <w:rPr>
          <w:rFonts w:ascii="Times New Roman" w:hAnsi="Times New Roman"/>
        </w:rPr>
        <w:t xml:space="preserve"> </w:t>
      </w:r>
      <w:r>
        <w:rPr>
          <w:rFonts w:ascii="Times New Roman" w:hAnsi="Times New Roman"/>
          <w:i/>
          <w:iCs/>
        </w:rPr>
        <w:t>împotriva Azerbaidjanului</w:t>
      </w:r>
      <w:r>
        <w:rPr>
          <w:rFonts w:ascii="Times New Roman" w:hAnsi="Times New Roman"/>
        </w:rPr>
        <w:t>, nr. 54204/08, pct. 68, 29 ianuarie 2015).</w:t>
      </w:r>
    </w:p>
    <w:p w14:paraId="0604318E" w14:textId="1FC466C0"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10</w:t>
      </w:r>
      <w:r w:rsidRPr="00C2426B">
        <w:rPr>
          <w:rFonts w:ascii="Times New Roman" w:eastAsia="Times New Roman" w:hAnsi="Times New Roman" w:cs="Times New Roman"/>
        </w:rPr>
        <w:fldChar w:fldCharType="end"/>
      </w:r>
      <w:r>
        <w:rPr>
          <w:rFonts w:ascii="Times New Roman" w:hAnsi="Times New Roman"/>
        </w:rPr>
        <w:t xml:space="preserve">.  Nu suntem convinși, cu toate acestea, că existența unei nevoi sociale imperioase pentru ingerința criticată a fost stabilită convingător de autoritățile interne în circumstanțele prezentei cauze. Într-adevăr, instanțele naționale nu au acordat nicio atenție poziției părților din procedurile pentru calomnie ca autoritate publică și canal media. Și nici nu au făcut distincția necesară între expunerea situației de fapt și judecata de valoare care transmitea critica față de Administrația Regiunii </w:t>
      </w:r>
      <w:proofErr w:type="spellStart"/>
      <w:r>
        <w:rPr>
          <w:rFonts w:ascii="Times New Roman" w:hAnsi="Times New Roman"/>
        </w:rPr>
        <w:t>Volgograd</w:t>
      </w:r>
      <w:proofErr w:type="spellEnd"/>
      <w:r>
        <w:rPr>
          <w:rFonts w:ascii="Times New Roman" w:hAnsi="Times New Roman"/>
        </w:rPr>
        <w:t xml:space="preserve">. Instanțele interne nu au aplicat astfel standardele prevăzute de art. 10 din Convenție, inclusiv cele reiterate în Hotărârea nr. 16 din 15 iunie 2010 a plenului </w:t>
      </w:r>
      <w:proofErr w:type="spellStart"/>
      <w:r>
        <w:rPr>
          <w:rFonts w:ascii="Times New Roman" w:hAnsi="Times New Roman"/>
        </w:rPr>
        <w:t>Curţii</w:t>
      </w:r>
      <w:proofErr w:type="spellEnd"/>
      <w:r>
        <w:rPr>
          <w:rFonts w:ascii="Times New Roman" w:hAnsi="Times New Roman"/>
        </w:rPr>
        <w:t xml:space="preserve"> Supreme a Rusiei (a se vedea pct. 21 din prezenta hotărâre).</w:t>
      </w:r>
    </w:p>
    <w:p w14:paraId="69EDBA46" w14:textId="33979910"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11</w:t>
      </w:r>
      <w:r w:rsidRPr="00C2426B">
        <w:rPr>
          <w:rFonts w:ascii="Times New Roman" w:eastAsia="Times New Roman" w:hAnsi="Times New Roman" w:cs="Times New Roman"/>
        </w:rPr>
        <w:fldChar w:fldCharType="end"/>
      </w:r>
      <w:r>
        <w:rPr>
          <w:rFonts w:ascii="Times New Roman" w:hAnsi="Times New Roman"/>
        </w:rPr>
        <w:t xml:space="preserve">.  Autoritățile, prin urmare, nu au demonstrat că a existat un raport rezonabil de proporționalitate între ingerința respectivă și scopul legitim urmărit (a se vedea, printre altele, </w:t>
      </w:r>
      <w:proofErr w:type="spellStart"/>
      <w:r>
        <w:rPr>
          <w:rFonts w:ascii="Times New Roman" w:hAnsi="Times New Roman"/>
          <w:i/>
        </w:rPr>
        <w:t>Romanenko</w:t>
      </w:r>
      <w:proofErr w:type="spellEnd"/>
      <w:r>
        <w:rPr>
          <w:rFonts w:ascii="Times New Roman" w:hAnsi="Times New Roman"/>
          <w:i/>
        </w:rPr>
        <w:t xml:space="preserve"> și alții împotriva Rusiei,</w:t>
      </w:r>
      <w:r>
        <w:rPr>
          <w:rFonts w:ascii="Times New Roman" w:hAnsi="Times New Roman"/>
        </w:rPr>
        <w:t xml:space="preserve"> nr. 11751/03, pct. 49, 8 octombrie 2009; </w:t>
      </w:r>
      <w:r>
        <w:rPr>
          <w:rFonts w:ascii="Times New Roman" w:hAnsi="Times New Roman"/>
          <w:i/>
        </w:rPr>
        <w:t>OOO </w:t>
      </w:r>
      <w:proofErr w:type="spellStart"/>
      <w:r>
        <w:rPr>
          <w:rFonts w:ascii="Times New Roman" w:hAnsi="Times New Roman"/>
          <w:i/>
        </w:rPr>
        <w:t>Izdatelskiy</w:t>
      </w:r>
      <w:proofErr w:type="spellEnd"/>
      <w:r>
        <w:rPr>
          <w:rFonts w:ascii="Times New Roman" w:hAnsi="Times New Roman"/>
          <w:i/>
        </w:rPr>
        <w:t xml:space="preserve"> </w:t>
      </w:r>
      <w:proofErr w:type="spellStart"/>
      <w:r>
        <w:rPr>
          <w:rFonts w:ascii="Times New Roman" w:hAnsi="Times New Roman"/>
          <w:i/>
        </w:rPr>
        <w:t>Tsentr</w:t>
      </w:r>
      <w:proofErr w:type="spellEnd"/>
      <w:r>
        <w:rPr>
          <w:rFonts w:ascii="Times New Roman" w:hAnsi="Times New Roman"/>
          <w:i/>
        </w:rPr>
        <w:t xml:space="preserve"> </w:t>
      </w:r>
      <w:proofErr w:type="spellStart"/>
      <w:r>
        <w:rPr>
          <w:rFonts w:ascii="Times New Roman" w:hAnsi="Times New Roman"/>
          <w:i/>
        </w:rPr>
        <w:t>Kvartirnyy</w:t>
      </w:r>
      <w:proofErr w:type="spellEnd"/>
      <w:r>
        <w:rPr>
          <w:rFonts w:ascii="Times New Roman" w:hAnsi="Times New Roman"/>
          <w:i/>
        </w:rPr>
        <w:t xml:space="preserve"> </w:t>
      </w:r>
      <w:proofErr w:type="spellStart"/>
      <w:r>
        <w:rPr>
          <w:rFonts w:ascii="Times New Roman" w:hAnsi="Times New Roman"/>
          <w:i/>
        </w:rPr>
        <w:t>Ryad</w:t>
      </w:r>
      <w:proofErr w:type="spellEnd"/>
      <w:r>
        <w:rPr>
          <w:rFonts w:ascii="Times New Roman" w:hAnsi="Times New Roman"/>
          <w:i/>
        </w:rPr>
        <w:t xml:space="preserve"> împotriva Rusiei</w:t>
      </w:r>
      <w:r>
        <w:rPr>
          <w:rFonts w:ascii="Times New Roman" w:hAnsi="Times New Roman"/>
        </w:rPr>
        <w:t xml:space="preserve">, nr. 39748/05, pct. 46, 25 aprilie 2017; </w:t>
      </w:r>
      <w:proofErr w:type="spellStart"/>
      <w:r>
        <w:rPr>
          <w:rFonts w:ascii="Times New Roman" w:hAnsi="Times New Roman"/>
          <w:i/>
        </w:rPr>
        <w:t>Cheltsova</w:t>
      </w:r>
      <w:proofErr w:type="spellEnd"/>
      <w:r>
        <w:rPr>
          <w:rFonts w:ascii="Times New Roman" w:hAnsi="Times New Roman"/>
          <w:i/>
        </w:rPr>
        <w:t xml:space="preserve"> împotriva Rusiei</w:t>
      </w:r>
      <w:r>
        <w:rPr>
          <w:rFonts w:ascii="Times New Roman" w:hAnsi="Times New Roman"/>
        </w:rPr>
        <w:t xml:space="preserve">, nr. 44294/06, pct. 100, 13 iunie 2017; </w:t>
      </w:r>
      <w:proofErr w:type="spellStart"/>
      <w:r>
        <w:rPr>
          <w:rFonts w:ascii="Times New Roman" w:hAnsi="Times New Roman"/>
          <w:i/>
        </w:rPr>
        <w:t>Skudayeva</w:t>
      </w:r>
      <w:proofErr w:type="spellEnd"/>
      <w:r>
        <w:rPr>
          <w:rFonts w:ascii="Times New Roman" w:hAnsi="Times New Roman"/>
          <w:i/>
        </w:rPr>
        <w:t xml:space="preserve"> împotriva Rusiei, </w:t>
      </w:r>
      <w:r>
        <w:rPr>
          <w:rFonts w:ascii="Times New Roman" w:hAnsi="Times New Roman"/>
        </w:rPr>
        <w:t xml:space="preserve">nr. 24014/07, pct. 39, 5 martie 2019; </w:t>
      </w:r>
      <w:proofErr w:type="spellStart"/>
      <w:r>
        <w:rPr>
          <w:rFonts w:ascii="Times New Roman" w:hAnsi="Times New Roman"/>
          <w:i/>
        </w:rPr>
        <w:t>Nadtoka</w:t>
      </w:r>
      <w:proofErr w:type="spellEnd"/>
      <w:r>
        <w:rPr>
          <w:rFonts w:ascii="Times New Roman" w:hAnsi="Times New Roman"/>
          <w:i/>
        </w:rPr>
        <w:t xml:space="preserve"> împotriva Rusiei (nr. 2)</w:t>
      </w:r>
      <w:r>
        <w:rPr>
          <w:rFonts w:ascii="Times New Roman" w:hAnsi="Times New Roman"/>
        </w:rPr>
        <w:t xml:space="preserve">, nr. 29097/08, pct. 50, 8 octombrie 2019; </w:t>
      </w:r>
      <w:proofErr w:type="spellStart"/>
      <w:r>
        <w:rPr>
          <w:rFonts w:ascii="Times New Roman" w:hAnsi="Times New Roman"/>
          <w:i/>
        </w:rPr>
        <w:t>Tolmachev</w:t>
      </w:r>
      <w:proofErr w:type="spellEnd"/>
      <w:r>
        <w:rPr>
          <w:rFonts w:ascii="Times New Roman" w:hAnsi="Times New Roman"/>
          <w:i/>
        </w:rPr>
        <w:t xml:space="preserve"> împotriva Rusiei</w:t>
      </w:r>
      <w:r>
        <w:rPr>
          <w:rFonts w:ascii="Times New Roman" w:hAnsi="Times New Roman"/>
        </w:rPr>
        <w:t xml:space="preserve">, nr. 42182/11, pct. 56, 2 iunie 2020; și </w:t>
      </w:r>
      <w:proofErr w:type="spellStart"/>
      <w:r>
        <w:rPr>
          <w:rFonts w:ascii="Times New Roman" w:hAnsi="Times New Roman"/>
          <w:i/>
        </w:rPr>
        <w:t>Timakov</w:t>
      </w:r>
      <w:proofErr w:type="spellEnd"/>
      <w:r>
        <w:rPr>
          <w:rFonts w:ascii="Times New Roman" w:hAnsi="Times New Roman"/>
          <w:i/>
        </w:rPr>
        <w:t xml:space="preserve"> și OOO ID </w:t>
      </w:r>
      <w:proofErr w:type="spellStart"/>
      <w:r>
        <w:rPr>
          <w:rFonts w:ascii="Times New Roman" w:hAnsi="Times New Roman"/>
          <w:i/>
        </w:rPr>
        <w:t>Rubezh</w:t>
      </w:r>
      <w:proofErr w:type="spellEnd"/>
      <w:r>
        <w:rPr>
          <w:rFonts w:ascii="Times New Roman" w:hAnsi="Times New Roman"/>
          <w:i/>
        </w:rPr>
        <w:t xml:space="preserve"> împotriva Rusiei</w:t>
      </w:r>
      <w:r>
        <w:rPr>
          <w:rFonts w:ascii="Times New Roman" w:hAnsi="Times New Roman"/>
        </w:rPr>
        <w:t xml:space="preserve">, nr. 46232/10 </w:t>
      </w:r>
      <w:proofErr w:type="spellStart"/>
      <w:r>
        <w:rPr>
          <w:rFonts w:ascii="Times New Roman" w:hAnsi="Times New Roman"/>
        </w:rPr>
        <w:t>şi</w:t>
      </w:r>
      <w:proofErr w:type="spellEnd"/>
      <w:r>
        <w:rPr>
          <w:rFonts w:ascii="Times New Roman" w:hAnsi="Times New Roman"/>
        </w:rPr>
        <w:t xml:space="preserve"> 74770/10, pct. 71, 8 septembrie 2020).</w:t>
      </w:r>
    </w:p>
    <w:p w14:paraId="600FF747" w14:textId="6B253DA0" w:rsidR="00CA23DE" w:rsidRPr="00C2426B" w:rsidRDefault="00CA23DE" w:rsidP="00C2426B">
      <w:pPr>
        <w:ind w:firstLine="284"/>
        <w:jc w:val="both"/>
        <w:rPr>
          <w:rFonts w:ascii="Times New Roman" w:eastAsia="Times New Roman" w:hAnsi="Times New Roman" w:cs="Times New Roman"/>
        </w:rPr>
      </w:pPr>
      <w:r w:rsidRPr="00C2426B">
        <w:rPr>
          <w:rFonts w:ascii="Times New Roman" w:eastAsia="Times New Roman" w:hAnsi="Times New Roman" w:cs="Times New Roman"/>
        </w:rPr>
        <w:fldChar w:fldCharType="begin"/>
      </w:r>
      <w:r w:rsidRPr="00C2426B">
        <w:rPr>
          <w:rFonts w:ascii="Times New Roman" w:eastAsia="Times New Roman" w:hAnsi="Times New Roman" w:cs="Times New Roman"/>
        </w:rPr>
        <w:instrText xml:space="preserve"> SEQ level0 \*arabic \* MERGEFORMAT </w:instrText>
      </w:r>
      <w:r w:rsidRPr="00C2426B">
        <w:rPr>
          <w:rFonts w:ascii="Times New Roman" w:eastAsia="Times New Roman" w:hAnsi="Times New Roman" w:cs="Times New Roman"/>
        </w:rPr>
        <w:fldChar w:fldCharType="separate"/>
      </w:r>
      <w:r w:rsidR="00C2426B" w:rsidRPr="00C2426B">
        <w:rPr>
          <w:rFonts w:ascii="Times New Roman" w:eastAsia="Times New Roman" w:hAnsi="Times New Roman" w:cs="Times New Roman"/>
        </w:rPr>
        <w:t>12</w:t>
      </w:r>
      <w:r w:rsidRPr="00C2426B">
        <w:rPr>
          <w:rFonts w:ascii="Times New Roman" w:eastAsia="Times New Roman" w:hAnsi="Times New Roman" w:cs="Times New Roman"/>
        </w:rPr>
        <w:fldChar w:fldCharType="end"/>
      </w:r>
      <w:r>
        <w:rPr>
          <w:rFonts w:ascii="Times New Roman" w:hAnsi="Times New Roman"/>
        </w:rPr>
        <w:t>.  În consecință, am concluzionat că a fost încălcat art. 10 din Convenție în prezenta cauză.</w:t>
      </w:r>
    </w:p>
    <w:p w14:paraId="0E17EFB1" w14:textId="2C067FD3" w:rsidR="006C24B8" w:rsidRPr="00C2426B" w:rsidRDefault="006C24B8" w:rsidP="00C2426B">
      <w:pPr>
        <w:pStyle w:val="JuPara"/>
      </w:pPr>
    </w:p>
    <w:sectPr w:rsidR="006C24B8" w:rsidRPr="00C2426B" w:rsidSect="00CE2E04">
      <w:headerReference w:type="even" r:id="rId21"/>
      <w:headerReference w:type="default" r:id="rId22"/>
      <w:footerReference w:type="even" r:id="rId23"/>
      <w:footerReference w:type="default" r:id="rId24"/>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295C" w14:textId="77777777" w:rsidR="00D33FCF" w:rsidRPr="00E67565" w:rsidRDefault="00D33FCF" w:rsidP="0098410D">
      <w:r w:rsidRPr="00E67565">
        <w:separator/>
      </w:r>
    </w:p>
  </w:endnote>
  <w:endnote w:type="continuationSeparator" w:id="0">
    <w:p w14:paraId="496A0AFF" w14:textId="77777777" w:rsidR="00D33FCF" w:rsidRPr="00E67565" w:rsidRDefault="00D33FCF"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34CB" w14:textId="77777777" w:rsidR="00D33FCF" w:rsidRDefault="00D33FCF">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9524" w14:textId="081C4EDC" w:rsidR="00D33FCF" w:rsidRPr="00150BFA" w:rsidRDefault="00D33FCF" w:rsidP="0020718E">
    <w:pPr>
      <w:jc w:val="center"/>
    </w:pPr>
    <w:r>
      <w:rPr>
        <w:noProof/>
        <w:lang w:val="en-US"/>
      </w:rPr>
      <w:drawing>
        <wp:inline distT="0" distB="0" distL="0" distR="0" wp14:anchorId="7C4372FC" wp14:editId="429F25EB">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144F7F2" w14:textId="6E7E8E0C" w:rsidR="0098410D" w:rsidRPr="00E67565" w:rsidRDefault="0098410D" w:rsidP="00AF12C5">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2E054" w14:textId="76718A1F" w:rsidR="00D33FCF" w:rsidRPr="00150BFA" w:rsidRDefault="00D33FCF" w:rsidP="0020718E">
    <w:pPr>
      <w:jc w:val="center"/>
    </w:pPr>
    <w:r>
      <w:rPr>
        <w:noProof/>
        <w:lang w:val="en-US"/>
      </w:rPr>
      <w:drawing>
        <wp:inline distT="0" distB="0" distL="0" distR="0" wp14:anchorId="5359E586" wp14:editId="3AC7181A">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7E687D5" w14:textId="02F46FCC" w:rsidR="009E7A6F" w:rsidRPr="00E67565" w:rsidRDefault="009E7A6F" w:rsidP="009E7A6F">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F249" w14:textId="3FA2D45F" w:rsidR="00182EBA" w:rsidRDefault="00D33FCF" w:rsidP="009A115C">
    <w:pPr>
      <w:pStyle w:val="JuHeader"/>
    </w:pPr>
    <w:r>
      <w:rPr>
        <w:rStyle w:val="PageNumber"/>
      </w:rPr>
      <w:fldChar w:fldCharType="begin"/>
    </w:r>
    <w:r>
      <w:rPr>
        <w:rStyle w:val="PageNumber"/>
      </w:rPr>
      <w:instrText xml:space="preserve"> PAGE </w:instrText>
    </w:r>
    <w:r>
      <w:rPr>
        <w:rStyle w:val="PageNumber"/>
      </w:rPr>
      <w:fldChar w:fldCharType="separate"/>
    </w:r>
    <w:r w:rsidR="00E640A4">
      <w:rPr>
        <w:rStyle w:val="PageNumber"/>
        <w:noProof/>
      </w:rPr>
      <w:t>1</w:t>
    </w:r>
    <w:r w:rsidR="00E640A4">
      <w:rPr>
        <w:rStyle w:val="PageNumber"/>
        <w:noProof/>
      </w:rPr>
      <w:t>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83B2" w14:textId="42B1ACE1" w:rsidR="00182EBA" w:rsidRPr="000B7195" w:rsidRDefault="00D33FCF" w:rsidP="007D3701">
    <w:pPr>
      <w:pStyle w:val="JuHeader"/>
    </w:pPr>
    <w:r>
      <w:fldChar w:fldCharType="begin"/>
    </w:r>
    <w:r>
      <w:instrText xml:space="preserve"> PAGE </w:instrText>
    </w:r>
    <w:r>
      <w:fldChar w:fldCharType="separate"/>
    </w:r>
    <w:r w:rsidR="00E640A4">
      <w:rPr>
        <w:noProof/>
      </w:rPr>
      <w:t>1</w:t>
    </w:r>
    <w:r w:rsidR="00E640A4">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04EB" w14:textId="52982577" w:rsidR="002A0F50" w:rsidRDefault="002A0F50" w:rsidP="009A115C">
    <w:pPr>
      <w:pStyle w:val="JuHeader"/>
    </w:pPr>
    <w:r>
      <w:rPr>
        <w:rStyle w:val="PageNumber"/>
      </w:rPr>
      <w:fldChar w:fldCharType="begin"/>
    </w:r>
    <w:r>
      <w:rPr>
        <w:rStyle w:val="PageNumber"/>
      </w:rPr>
      <w:instrText xml:space="preserve"> PAGE </w:instrText>
    </w:r>
    <w:r>
      <w:rPr>
        <w:rStyle w:val="PageNumber"/>
      </w:rPr>
      <w:fldChar w:fldCharType="separate"/>
    </w:r>
    <w:r w:rsidR="00E640A4">
      <w:rPr>
        <w:rStyle w:val="PageNumber"/>
        <w:noProof/>
      </w:rPr>
      <w:t>1</w:t>
    </w:r>
    <w:r w:rsidR="00E640A4">
      <w:rPr>
        <w:rStyle w:val="PageNumber"/>
        <w:noProof/>
      </w:rPr>
      <w:t>6</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A43C" w14:textId="53AB73B1" w:rsidR="002A0F50" w:rsidRPr="000B7195" w:rsidRDefault="002A0F50" w:rsidP="007D3701">
    <w:pPr>
      <w:pStyle w:val="JuHeader"/>
    </w:pPr>
    <w:r>
      <w:fldChar w:fldCharType="begin"/>
    </w:r>
    <w:r>
      <w:instrText xml:space="preserve"> PAGE </w:instrText>
    </w:r>
    <w:r>
      <w:fldChar w:fldCharType="separate"/>
    </w:r>
    <w:r w:rsidR="00E640A4">
      <w:rPr>
        <w:noProof/>
      </w:rPr>
      <w:t>1</w:t>
    </w:r>
    <w:r w:rsidR="00E640A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BACA0" w14:textId="77777777" w:rsidR="00D33FCF" w:rsidRPr="00E67565" w:rsidRDefault="00D33FCF" w:rsidP="0098410D">
      <w:r w:rsidRPr="00E67565">
        <w:separator/>
      </w:r>
    </w:p>
  </w:footnote>
  <w:footnote w:type="continuationSeparator" w:id="0">
    <w:p w14:paraId="61481641" w14:textId="77777777" w:rsidR="00D33FCF" w:rsidRPr="00E67565" w:rsidRDefault="00D33FCF"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C057" w14:textId="77777777" w:rsidR="00D33FCF" w:rsidRDefault="00D33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EAB2" w14:textId="63298AC0" w:rsidR="00D33FCF" w:rsidRPr="00A45145" w:rsidRDefault="00D33FCF" w:rsidP="00A45145">
    <w:pPr>
      <w:jc w:val="center"/>
    </w:pPr>
    <w:r>
      <w:rPr>
        <w:noProof/>
        <w:lang w:val="en-US"/>
      </w:rPr>
      <w:drawing>
        <wp:inline distT="0" distB="0" distL="0" distR="0" wp14:anchorId="5310185D" wp14:editId="2B83879F">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04A1479" w14:textId="6FF69E73" w:rsidR="0098410D" w:rsidRPr="00E67565" w:rsidRDefault="0098410D" w:rsidP="00B14793">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1E21" w14:textId="2640FA1D" w:rsidR="00D33FCF" w:rsidRPr="00A45145" w:rsidRDefault="00D33FCF" w:rsidP="00A45145">
    <w:pPr>
      <w:jc w:val="center"/>
    </w:pPr>
    <w:r>
      <w:rPr>
        <w:noProof/>
        <w:lang w:val="en-US"/>
      </w:rPr>
      <w:drawing>
        <wp:inline distT="0" distB="0" distL="0" distR="0" wp14:anchorId="514B124F" wp14:editId="480A4D1F">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BABADEF" w14:textId="7C927DDE" w:rsidR="0098410D" w:rsidRDefault="00E640A4" w:rsidP="00E640A4">
    <w:pPr>
      <w:jc w:val="right"/>
    </w:pPr>
    <w:r>
      <w:t>Tradus și revizuit de IER (</w:t>
    </w:r>
    <w:hyperlink r:id="rId2" w:history="1">
      <w:r w:rsidRPr="00AB178F">
        <w:rPr>
          <w:rStyle w:val="Hyperlink"/>
        </w:rPr>
        <w:t>http://ier.gov.ro/</w:t>
      </w:r>
    </w:hyperlink>
    <w:r>
      <w:t>)</w:t>
    </w:r>
  </w:p>
  <w:p w14:paraId="5C6E4723" w14:textId="77777777" w:rsidR="00E640A4" w:rsidRPr="00E67565" w:rsidRDefault="00E640A4" w:rsidP="00E640A4">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232B" w14:textId="1726B9B7" w:rsidR="00182EBA" w:rsidRPr="004D0EC7" w:rsidRDefault="00D33FCF" w:rsidP="004D0EC7">
    <w:pPr>
      <w:pStyle w:val="JuHeader"/>
    </w:pPr>
    <w:r>
      <w:t>HOTĂRÂREA OOO MEMO ÎMPOTRIVA RUSIEI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FF82" w14:textId="79AD32E4" w:rsidR="00182EBA" w:rsidRPr="00882CD5" w:rsidRDefault="00D33FCF" w:rsidP="007D3701">
    <w:pPr>
      <w:pStyle w:val="JuHeader"/>
    </w:pPr>
    <w:r>
      <w:t>HOTĂRÂREA OOO MEMO ÎMPOTRIVA RUSIEI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FE60" w14:textId="77777777" w:rsidR="002A0F50" w:rsidRPr="00882CD5" w:rsidRDefault="002A0F50" w:rsidP="002A0F50">
    <w:pPr>
      <w:pStyle w:val="JuHeader"/>
      <w:tabs>
        <w:tab w:val="center" w:pos="3685"/>
        <w:tab w:val="right" w:pos="7370"/>
      </w:tabs>
    </w:pPr>
    <w:r>
      <w:t>HOTĂRÂREA OOO MEMO ÎMPOTRIVA RUSIEI – OPINIE SEPARATĂ</w:t>
    </w:r>
  </w:p>
  <w:p w14:paraId="23733875" w14:textId="1649B420" w:rsidR="002A0F50" w:rsidRPr="002A0F50" w:rsidRDefault="002A0F50" w:rsidP="002A0F5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E828" w14:textId="00111D8D" w:rsidR="00CE2E04" w:rsidRPr="00882CD5" w:rsidRDefault="00CE2E04" w:rsidP="00CE2E04">
    <w:pPr>
      <w:pStyle w:val="JuHeader"/>
      <w:tabs>
        <w:tab w:val="center" w:pos="3685"/>
        <w:tab w:val="right" w:pos="7370"/>
      </w:tabs>
    </w:pPr>
    <w:r>
      <w:t>HOTĂRÂREA OOO MEMO ÎMPOTRIVA RUSIEI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C0A27ADA"/>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79133B"/>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953778313">
    <w:abstractNumId w:val="13"/>
  </w:num>
  <w:num w:numId="2" w16cid:durableId="246816078">
    <w:abstractNumId w:val="18"/>
  </w:num>
  <w:num w:numId="3" w16cid:durableId="1471442834">
    <w:abstractNumId w:val="20"/>
  </w:num>
  <w:num w:numId="4" w16cid:durableId="244612522">
    <w:abstractNumId w:val="15"/>
  </w:num>
  <w:num w:numId="5" w16cid:durableId="1236820764">
    <w:abstractNumId w:val="12"/>
  </w:num>
  <w:num w:numId="6" w16cid:durableId="844243552">
    <w:abstractNumId w:val="11"/>
  </w:num>
  <w:num w:numId="7" w16cid:durableId="1883248731">
    <w:abstractNumId w:val="16"/>
  </w:num>
  <w:num w:numId="8" w16cid:durableId="1836189001">
    <w:abstractNumId w:val="13"/>
  </w:num>
  <w:num w:numId="9" w16cid:durableId="1105997269">
    <w:abstractNumId w:val="17"/>
  </w:num>
  <w:num w:numId="10" w16cid:durableId="272134734">
    <w:abstractNumId w:val="16"/>
  </w:num>
  <w:num w:numId="11" w16cid:durableId="1367369814">
    <w:abstractNumId w:val="17"/>
  </w:num>
  <w:num w:numId="12" w16cid:durableId="947857421">
    <w:abstractNumId w:val="10"/>
  </w:num>
  <w:num w:numId="13" w16cid:durableId="1054694335">
    <w:abstractNumId w:val="9"/>
  </w:num>
  <w:num w:numId="14" w16cid:durableId="1032342088">
    <w:abstractNumId w:val="19"/>
  </w:num>
  <w:num w:numId="15" w16cid:durableId="898713680">
    <w:abstractNumId w:val="7"/>
  </w:num>
  <w:num w:numId="16" w16cid:durableId="2072927308">
    <w:abstractNumId w:val="6"/>
  </w:num>
  <w:num w:numId="17" w16cid:durableId="341014394">
    <w:abstractNumId w:val="5"/>
  </w:num>
  <w:num w:numId="18" w16cid:durableId="1632635310">
    <w:abstractNumId w:val="4"/>
  </w:num>
  <w:num w:numId="19" w16cid:durableId="1308320184">
    <w:abstractNumId w:val="8"/>
  </w:num>
  <w:num w:numId="20" w16cid:durableId="75175337">
    <w:abstractNumId w:val="3"/>
  </w:num>
  <w:num w:numId="21" w16cid:durableId="1117218416">
    <w:abstractNumId w:val="2"/>
  </w:num>
  <w:num w:numId="22" w16cid:durableId="1853957667">
    <w:abstractNumId w:val="1"/>
  </w:num>
  <w:num w:numId="23" w16cid:durableId="1398897378">
    <w:abstractNumId w:val="0"/>
  </w:num>
  <w:num w:numId="24" w16cid:durableId="179497967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384463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3481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D33FCF"/>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1F0D"/>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E9B"/>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0F50"/>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33BF"/>
    <w:rsid w:val="003B4941"/>
    <w:rsid w:val="003C5714"/>
    <w:rsid w:val="003C6B9F"/>
    <w:rsid w:val="003C6E2A"/>
    <w:rsid w:val="003C6E6C"/>
    <w:rsid w:val="003D0299"/>
    <w:rsid w:val="003E6D80"/>
    <w:rsid w:val="003F05FA"/>
    <w:rsid w:val="003F244A"/>
    <w:rsid w:val="003F2517"/>
    <w:rsid w:val="003F30B8"/>
    <w:rsid w:val="003F4C45"/>
    <w:rsid w:val="003F5F7B"/>
    <w:rsid w:val="003F7D64"/>
    <w:rsid w:val="0040433A"/>
    <w:rsid w:val="00410B44"/>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2E9C"/>
    <w:rsid w:val="00675AF2"/>
    <w:rsid w:val="00682BF2"/>
    <w:rsid w:val="0068573E"/>
    <w:rsid w:val="006859CE"/>
    <w:rsid w:val="00691270"/>
    <w:rsid w:val="00694BA8"/>
    <w:rsid w:val="006A037C"/>
    <w:rsid w:val="006A0C84"/>
    <w:rsid w:val="006A36F4"/>
    <w:rsid w:val="006A406F"/>
    <w:rsid w:val="006A5D3A"/>
    <w:rsid w:val="006B1942"/>
    <w:rsid w:val="006B1AC3"/>
    <w:rsid w:val="006C23D4"/>
    <w:rsid w:val="006C24B8"/>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29AD"/>
    <w:rsid w:val="007C419A"/>
    <w:rsid w:val="007C4CC8"/>
    <w:rsid w:val="007C5426"/>
    <w:rsid w:val="007C5798"/>
    <w:rsid w:val="007D1A55"/>
    <w:rsid w:val="007D1ECD"/>
    <w:rsid w:val="007D3701"/>
    <w:rsid w:val="007D4832"/>
    <w:rsid w:val="007E1819"/>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A2EB8"/>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0059"/>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27A22"/>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965A3"/>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426B"/>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23DE"/>
    <w:rsid w:val="00CA4BDA"/>
    <w:rsid w:val="00CB13E3"/>
    <w:rsid w:val="00CB1F66"/>
    <w:rsid w:val="00CB232C"/>
    <w:rsid w:val="00CB2951"/>
    <w:rsid w:val="00CB4277"/>
    <w:rsid w:val="00CC5067"/>
    <w:rsid w:val="00CD11D3"/>
    <w:rsid w:val="00CD282B"/>
    <w:rsid w:val="00CD447B"/>
    <w:rsid w:val="00CD4C35"/>
    <w:rsid w:val="00CD7369"/>
    <w:rsid w:val="00CE0B0E"/>
    <w:rsid w:val="00CE2E04"/>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3FCF"/>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77874"/>
    <w:rsid w:val="00D8008E"/>
    <w:rsid w:val="00D82C45"/>
    <w:rsid w:val="00D83FB1"/>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0A4"/>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1DF"/>
    <w:rsid w:val="00F56A6F"/>
    <w:rsid w:val="00F5709C"/>
    <w:rsid w:val="00F60B85"/>
    <w:rsid w:val="00F64EF1"/>
    <w:rsid w:val="00F67187"/>
    <w:rsid w:val="00F673E6"/>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3D0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9D0059"/>
    <w:rPr>
      <w:sz w:val="24"/>
      <w:szCs w:val="24"/>
    </w:rPr>
  </w:style>
  <w:style w:type="paragraph" w:styleId="Heading1">
    <w:name w:val="heading 1"/>
    <w:basedOn w:val="Normal"/>
    <w:next w:val="Normal"/>
    <w:link w:val="Heading1Char"/>
    <w:uiPriority w:val="98"/>
    <w:semiHidden/>
    <w:rsid w:val="009D005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9D005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9D005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9D005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9D005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9D005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9D005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9D005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9D005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9D0059"/>
    <w:rPr>
      <w:rFonts w:ascii="Tahoma" w:hAnsi="Tahoma" w:cs="Tahoma"/>
      <w:sz w:val="16"/>
      <w:szCs w:val="16"/>
    </w:rPr>
  </w:style>
  <w:style w:type="character" w:customStyle="1" w:styleId="BalloonTextChar">
    <w:name w:val="Balloon Text Char"/>
    <w:basedOn w:val="DefaultParagraphFont"/>
    <w:link w:val="BalloonText"/>
    <w:uiPriority w:val="98"/>
    <w:semiHidden/>
    <w:rsid w:val="009D0059"/>
    <w:rPr>
      <w:rFonts w:ascii="Tahoma" w:hAnsi="Tahoma" w:cs="Tahoma"/>
      <w:sz w:val="16"/>
      <w:szCs w:val="16"/>
      <w:lang w:val="ro-RO"/>
    </w:rPr>
  </w:style>
  <w:style w:type="character" w:styleId="BookTitle">
    <w:name w:val="Book Title"/>
    <w:uiPriority w:val="98"/>
    <w:semiHidden/>
    <w:qFormat/>
    <w:rsid w:val="009D0059"/>
    <w:rPr>
      <w:i/>
      <w:iCs/>
      <w:smallCaps/>
      <w:spacing w:val="5"/>
    </w:rPr>
  </w:style>
  <w:style w:type="paragraph" w:customStyle="1" w:styleId="JuHeader">
    <w:name w:val="Ju_Header"/>
    <w:aliases w:val="_Header"/>
    <w:basedOn w:val="Header"/>
    <w:uiPriority w:val="29"/>
    <w:qFormat/>
    <w:rsid w:val="009D0059"/>
    <w:pPr>
      <w:tabs>
        <w:tab w:val="clear" w:pos="4536"/>
        <w:tab w:val="clear" w:pos="9072"/>
      </w:tabs>
      <w:jc w:val="center"/>
    </w:pPr>
    <w:rPr>
      <w:sz w:val="18"/>
    </w:rPr>
  </w:style>
  <w:style w:type="paragraph" w:customStyle="1" w:styleId="NormalJustified">
    <w:name w:val="Normal_Justified"/>
    <w:basedOn w:val="Normal"/>
    <w:semiHidden/>
    <w:rsid w:val="009D0059"/>
    <w:pPr>
      <w:jc w:val="both"/>
    </w:pPr>
  </w:style>
  <w:style w:type="character" w:styleId="Strong">
    <w:name w:val="Strong"/>
    <w:uiPriority w:val="98"/>
    <w:semiHidden/>
    <w:qFormat/>
    <w:rsid w:val="009D0059"/>
    <w:rPr>
      <w:b/>
      <w:bCs/>
    </w:rPr>
  </w:style>
  <w:style w:type="paragraph" w:styleId="NoSpacing">
    <w:name w:val="No Spacing"/>
    <w:basedOn w:val="Normal"/>
    <w:link w:val="NoSpacingChar"/>
    <w:uiPriority w:val="98"/>
    <w:semiHidden/>
    <w:qFormat/>
    <w:rsid w:val="009D0059"/>
  </w:style>
  <w:style w:type="character" w:customStyle="1" w:styleId="NoSpacingChar">
    <w:name w:val="No Spacing Char"/>
    <w:basedOn w:val="DefaultParagraphFont"/>
    <w:link w:val="NoSpacing"/>
    <w:uiPriority w:val="98"/>
    <w:semiHidden/>
    <w:rsid w:val="009D0059"/>
    <w:rPr>
      <w:sz w:val="24"/>
      <w:szCs w:val="24"/>
      <w:lang w:val="ro-RO"/>
    </w:rPr>
  </w:style>
  <w:style w:type="paragraph" w:customStyle="1" w:styleId="JuQuot">
    <w:name w:val="Ju_Quot"/>
    <w:aliases w:val="_Quote"/>
    <w:basedOn w:val="NormalJustified"/>
    <w:uiPriority w:val="20"/>
    <w:qFormat/>
    <w:rsid w:val="009D0059"/>
    <w:pPr>
      <w:spacing w:before="120" w:after="120"/>
      <w:ind w:left="425" w:firstLine="142"/>
    </w:pPr>
    <w:rPr>
      <w:sz w:val="20"/>
    </w:rPr>
  </w:style>
  <w:style w:type="paragraph" w:customStyle="1" w:styleId="DummyStyle">
    <w:name w:val="Dummy_Style"/>
    <w:aliases w:val="_Dummy"/>
    <w:basedOn w:val="Normal"/>
    <w:semiHidden/>
    <w:qFormat/>
    <w:rsid w:val="009D0059"/>
    <w:rPr>
      <w:color w:val="00B050"/>
      <w:sz w:val="22"/>
    </w:rPr>
  </w:style>
  <w:style w:type="paragraph" w:customStyle="1" w:styleId="JuList">
    <w:name w:val="Ju_List"/>
    <w:aliases w:val="_List_1"/>
    <w:basedOn w:val="NormalJustified"/>
    <w:uiPriority w:val="23"/>
    <w:qFormat/>
    <w:rsid w:val="009D0059"/>
    <w:pPr>
      <w:numPr>
        <w:numId w:val="13"/>
      </w:numPr>
      <w:spacing w:before="280" w:after="60"/>
    </w:pPr>
  </w:style>
  <w:style w:type="paragraph" w:customStyle="1" w:styleId="JuLista">
    <w:name w:val="Ju_List_a"/>
    <w:aliases w:val="_List_2"/>
    <w:basedOn w:val="NormalJustified"/>
    <w:uiPriority w:val="23"/>
    <w:rsid w:val="009D0059"/>
    <w:pPr>
      <w:numPr>
        <w:ilvl w:val="1"/>
        <w:numId w:val="13"/>
      </w:numPr>
    </w:pPr>
  </w:style>
  <w:style w:type="paragraph" w:customStyle="1" w:styleId="JuListi">
    <w:name w:val="Ju_List_i"/>
    <w:aliases w:val="_List_3"/>
    <w:basedOn w:val="NormalJustified"/>
    <w:uiPriority w:val="23"/>
    <w:rsid w:val="009D0059"/>
    <w:pPr>
      <w:numPr>
        <w:ilvl w:val="2"/>
        <w:numId w:val="13"/>
      </w:numPr>
    </w:pPr>
  </w:style>
  <w:style w:type="paragraph" w:customStyle="1" w:styleId="JuHArticle">
    <w:name w:val="Ju_H_Article"/>
    <w:aliases w:val="_Title_Quote"/>
    <w:basedOn w:val="Normal"/>
    <w:next w:val="JuQuot"/>
    <w:uiPriority w:val="19"/>
    <w:qFormat/>
    <w:rsid w:val="009D0059"/>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9D0059"/>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9D0059"/>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9D0059"/>
    <w:pPr>
      <w:keepNext/>
      <w:keepLines/>
      <w:numPr>
        <w:numId w:val="1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9D0059"/>
    <w:pPr>
      <w:numPr>
        <w:numId w:val="7"/>
      </w:numPr>
    </w:pPr>
  </w:style>
  <w:style w:type="paragraph" w:customStyle="1" w:styleId="JuSigned">
    <w:name w:val="Ju_Signed"/>
    <w:aliases w:val="_Signature"/>
    <w:basedOn w:val="Normal"/>
    <w:next w:val="JuPara"/>
    <w:uiPriority w:val="31"/>
    <w:qFormat/>
    <w:rsid w:val="009D0059"/>
    <w:pPr>
      <w:tabs>
        <w:tab w:val="center" w:pos="1418"/>
        <w:tab w:val="center" w:pos="5954"/>
      </w:tabs>
      <w:spacing w:before="720"/>
    </w:pPr>
  </w:style>
  <w:style w:type="paragraph" w:styleId="Title">
    <w:name w:val="Title"/>
    <w:basedOn w:val="Normal"/>
    <w:next w:val="Normal"/>
    <w:link w:val="TitleChar"/>
    <w:uiPriority w:val="98"/>
    <w:semiHidden/>
    <w:qFormat/>
    <w:rsid w:val="009D005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9D0059"/>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9D0059"/>
    <w:pPr>
      <w:numPr>
        <w:numId w:val="1"/>
      </w:numPr>
    </w:pPr>
  </w:style>
  <w:style w:type="numbering" w:customStyle="1" w:styleId="ECHRA1StyleNumberedList">
    <w:name w:val="ECHR_A1_Style_Numbered_List"/>
    <w:basedOn w:val="NoList"/>
    <w:rsid w:val="009D0059"/>
    <w:pPr>
      <w:numPr>
        <w:numId w:val="9"/>
      </w:numPr>
    </w:pPr>
  </w:style>
  <w:style w:type="table" w:customStyle="1" w:styleId="ECHRTable2019">
    <w:name w:val="ECHR_Table_2019"/>
    <w:basedOn w:val="TableNormal"/>
    <w:uiPriority w:val="99"/>
    <w:rsid w:val="009D005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9D0059"/>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9D0059"/>
    <w:pPr>
      <w:keepNext/>
      <w:keepLines/>
      <w:numPr>
        <w:ilvl w:val="1"/>
        <w:numId w:val="1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D0059"/>
    <w:pPr>
      <w:keepNext/>
      <w:keepLines/>
      <w:numPr>
        <w:ilvl w:val="2"/>
        <w:numId w:val="1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D0059"/>
    <w:pPr>
      <w:keepNext/>
      <w:keepLines/>
      <w:numPr>
        <w:ilvl w:val="3"/>
        <w:numId w:val="12"/>
      </w:numPr>
      <w:spacing w:before="100" w:beforeAutospacing="1" w:after="120"/>
      <w:jc w:val="both"/>
    </w:pPr>
    <w:rPr>
      <w:b w:val="0"/>
      <w:color w:val="auto"/>
      <w:sz w:val="24"/>
    </w:rPr>
  </w:style>
  <w:style w:type="paragraph" w:styleId="Header">
    <w:name w:val="header"/>
    <w:basedOn w:val="Normal"/>
    <w:link w:val="HeaderChar"/>
    <w:uiPriority w:val="98"/>
    <w:semiHidden/>
    <w:rsid w:val="009D0059"/>
    <w:pPr>
      <w:tabs>
        <w:tab w:val="center" w:pos="4536"/>
        <w:tab w:val="right" w:pos="9072"/>
      </w:tabs>
    </w:pPr>
  </w:style>
  <w:style w:type="character" w:customStyle="1" w:styleId="HeaderChar">
    <w:name w:val="Header Char"/>
    <w:basedOn w:val="DefaultParagraphFont"/>
    <w:link w:val="Header"/>
    <w:uiPriority w:val="98"/>
    <w:semiHidden/>
    <w:rsid w:val="009D0059"/>
    <w:rPr>
      <w:sz w:val="24"/>
      <w:szCs w:val="24"/>
      <w:lang w:val="ro-RO"/>
    </w:rPr>
  </w:style>
  <w:style w:type="character" w:customStyle="1" w:styleId="Heading1Char">
    <w:name w:val="Heading 1 Char"/>
    <w:basedOn w:val="DefaultParagraphFont"/>
    <w:link w:val="Heading1"/>
    <w:uiPriority w:val="98"/>
    <w:semiHidden/>
    <w:rsid w:val="009D005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D0059"/>
    <w:pPr>
      <w:keepNext/>
      <w:keepLines/>
      <w:numPr>
        <w:ilvl w:val="4"/>
        <w:numId w:val="12"/>
      </w:numPr>
      <w:spacing w:before="100" w:beforeAutospacing="1" w:after="120"/>
      <w:jc w:val="both"/>
    </w:pPr>
    <w:rPr>
      <w:color w:val="auto"/>
      <w:sz w:val="20"/>
    </w:rPr>
  </w:style>
  <w:style w:type="paragraph" w:customStyle="1" w:styleId="JuHi">
    <w:name w:val="Ju_H_i"/>
    <w:aliases w:val="_Head_6"/>
    <w:basedOn w:val="Heading6"/>
    <w:next w:val="JuPara"/>
    <w:uiPriority w:val="17"/>
    <w:rsid w:val="009D0059"/>
    <w:pPr>
      <w:keepNext/>
      <w:keepLines/>
      <w:numPr>
        <w:ilvl w:val="5"/>
        <w:numId w:val="1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9D005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D0059"/>
    <w:pPr>
      <w:keepNext/>
      <w:keepLines/>
      <w:numPr>
        <w:ilvl w:val="6"/>
        <w:numId w:val="1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D0059"/>
    <w:pPr>
      <w:keepNext/>
      <w:keepLines/>
      <w:numPr>
        <w:ilvl w:val="7"/>
        <w:numId w:val="12"/>
      </w:numPr>
      <w:spacing w:before="100" w:beforeAutospacing="1" w:after="120"/>
      <w:jc w:val="both"/>
    </w:pPr>
    <w:rPr>
      <w:i/>
    </w:rPr>
  </w:style>
  <w:style w:type="character" w:customStyle="1" w:styleId="Heading3Char">
    <w:name w:val="Heading 3 Char"/>
    <w:basedOn w:val="DefaultParagraphFont"/>
    <w:link w:val="Heading3"/>
    <w:uiPriority w:val="98"/>
    <w:semiHidden/>
    <w:rsid w:val="009D005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9D0059"/>
    <w:pPr>
      <w:keepNext/>
      <w:keepLines/>
      <w:spacing w:before="240" w:after="240"/>
      <w:ind w:firstLine="284"/>
    </w:pPr>
  </w:style>
  <w:style w:type="paragraph" w:customStyle="1" w:styleId="JuJudges">
    <w:name w:val="Ju_Judges"/>
    <w:aliases w:val="_Judges"/>
    <w:basedOn w:val="Normal"/>
    <w:uiPriority w:val="32"/>
    <w:qFormat/>
    <w:rsid w:val="009D0059"/>
    <w:pPr>
      <w:tabs>
        <w:tab w:val="left" w:pos="567"/>
        <w:tab w:val="left" w:pos="1134"/>
      </w:tabs>
    </w:pPr>
  </w:style>
  <w:style w:type="character" w:customStyle="1" w:styleId="Heading4Char">
    <w:name w:val="Heading 4 Char"/>
    <w:basedOn w:val="DefaultParagraphFont"/>
    <w:link w:val="Heading4"/>
    <w:uiPriority w:val="98"/>
    <w:semiHidden/>
    <w:rsid w:val="009D0059"/>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9D0059"/>
    <w:pPr>
      <w:tabs>
        <w:tab w:val="center" w:pos="6407"/>
      </w:tabs>
      <w:spacing w:before="720"/>
      <w:jc w:val="right"/>
    </w:pPr>
  </w:style>
  <w:style w:type="character" w:customStyle="1" w:styleId="Heading5Char">
    <w:name w:val="Heading 5 Char"/>
    <w:basedOn w:val="DefaultParagraphFont"/>
    <w:link w:val="Heading5"/>
    <w:uiPriority w:val="98"/>
    <w:semiHidden/>
    <w:rsid w:val="009D0059"/>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9D0059"/>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9D0059"/>
    <w:rPr>
      <w:caps w:val="0"/>
      <w:smallCaps/>
    </w:rPr>
  </w:style>
  <w:style w:type="character" w:styleId="SubtleEmphasis">
    <w:name w:val="Subtle Emphasis"/>
    <w:uiPriority w:val="98"/>
    <w:semiHidden/>
    <w:qFormat/>
    <w:rsid w:val="009D0059"/>
    <w:rPr>
      <w:i/>
      <w:iCs/>
    </w:rPr>
  </w:style>
  <w:style w:type="table" w:customStyle="1" w:styleId="ECHRTable">
    <w:name w:val="ECHR_Table"/>
    <w:basedOn w:val="TableNormal"/>
    <w:rsid w:val="009D005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9D005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9D0059"/>
    <w:rPr>
      <w:b/>
      <w:bCs/>
      <w:i/>
      <w:iCs/>
      <w:spacing w:val="10"/>
      <w:bdr w:val="none" w:sz="0" w:space="0" w:color="auto"/>
      <w:shd w:val="clear" w:color="auto" w:fill="auto"/>
    </w:rPr>
  </w:style>
  <w:style w:type="paragraph" w:styleId="Footer0">
    <w:name w:val="footer"/>
    <w:basedOn w:val="Normal"/>
    <w:link w:val="FooterChar"/>
    <w:uiPriority w:val="98"/>
    <w:semiHidden/>
    <w:rsid w:val="009D0059"/>
    <w:pPr>
      <w:tabs>
        <w:tab w:val="center" w:pos="3686"/>
        <w:tab w:val="right" w:pos="7371"/>
      </w:tabs>
    </w:pPr>
  </w:style>
  <w:style w:type="character" w:customStyle="1" w:styleId="FooterChar">
    <w:name w:val="Footer Char"/>
    <w:basedOn w:val="DefaultParagraphFont"/>
    <w:link w:val="Footer0"/>
    <w:uiPriority w:val="98"/>
    <w:semiHidden/>
    <w:rsid w:val="009D0059"/>
    <w:rPr>
      <w:sz w:val="24"/>
      <w:szCs w:val="24"/>
      <w:lang w:val="ro-RO"/>
    </w:rPr>
  </w:style>
  <w:style w:type="character" w:styleId="FootnoteReference">
    <w:name w:val="footnote reference"/>
    <w:basedOn w:val="DefaultParagraphFont"/>
    <w:uiPriority w:val="98"/>
    <w:semiHidden/>
    <w:rsid w:val="009D0059"/>
    <w:rPr>
      <w:vertAlign w:val="superscript"/>
    </w:rPr>
  </w:style>
  <w:style w:type="paragraph" w:styleId="FootnoteText">
    <w:name w:val="footnote text"/>
    <w:basedOn w:val="NormalJustified"/>
    <w:link w:val="FootnoteTextChar"/>
    <w:uiPriority w:val="98"/>
    <w:semiHidden/>
    <w:rsid w:val="009D0059"/>
    <w:rPr>
      <w:sz w:val="20"/>
      <w:szCs w:val="20"/>
    </w:rPr>
  </w:style>
  <w:style w:type="character" w:customStyle="1" w:styleId="FootnoteTextChar">
    <w:name w:val="Footnote Text Char"/>
    <w:basedOn w:val="DefaultParagraphFont"/>
    <w:link w:val="FootnoteText"/>
    <w:uiPriority w:val="98"/>
    <w:semiHidden/>
    <w:rsid w:val="009D0059"/>
    <w:rPr>
      <w:sz w:val="20"/>
      <w:szCs w:val="20"/>
      <w:lang w:val="ro-RO"/>
    </w:rPr>
  </w:style>
  <w:style w:type="character" w:customStyle="1" w:styleId="Heading6Char">
    <w:name w:val="Heading 6 Char"/>
    <w:basedOn w:val="DefaultParagraphFont"/>
    <w:link w:val="Heading6"/>
    <w:uiPriority w:val="98"/>
    <w:semiHidden/>
    <w:rsid w:val="009D005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9D005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9D005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9D005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9D0059"/>
    <w:rPr>
      <w:color w:val="0072BC" w:themeColor="hyperlink"/>
      <w:u w:val="single"/>
    </w:rPr>
  </w:style>
  <w:style w:type="character" w:styleId="IntenseEmphasis">
    <w:name w:val="Intense Emphasis"/>
    <w:uiPriority w:val="98"/>
    <w:semiHidden/>
    <w:qFormat/>
    <w:rsid w:val="009D0059"/>
    <w:rPr>
      <w:b/>
      <w:bCs/>
    </w:rPr>
  </w:style>
  <w:style w:type="paragraph" w:styleId="IntenseQuote">
    <w:name w:val="Intense Quote"/>
    <w:basedOn w:val="Normal"/>
    <w:next w:val="Normal"/>
    <w:link w:val="IntenseQuoteChar"/>
    <w:uiPriority w:val="98"/>
    <w:semiHidden/>
    <w:qFormat/>
    <w:rsid w:val="009D005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9D0059"/>
    <w:rPr>
      <w:b/>
      <w:bCs/>
      <w:i/>
      <w:iCs/>
      <w:sz w:val="24"/>
      <w:szCs w:val="24"/>
      <w:lang w:val="ro-RO" w:bidi="en-US"/>
    </w:rPr>
  </w:style>
  <w:style w:type="character" w:styleId="IntenseReference">
    <w:name w:val="Intense Reference"/>
    <w:uiPriority w:val="98"/>
    <w:semiHidden/>
    <w:qFormat/>
    <w:rsid w:val="009D0059"/>
    <w:rPr>
      <w:smallCaps/>
      <w:spacing w:val="5"/>
      <w:u w:val="single"/>
    </w:rPr>
  </w:style>
  <w:style w:type="paragraph" w:styleId="ListParagraph">
    <w:name w:val="List Paragraph"/>
    <w:basedOn w:val="Normal"/>
    <w:uiPriority w:val="98"/>
    <w:semiHidden/>
    <w:qFormat/>
    <w:rsid w:val="009D0059"/>
    <w:pPr>
      <w:ind w:left="720"/>
      <w:contextualSpacing/>
    </w:pPr>
  </w:style>
  <w:style w:type="table" w:customStyle="1" w:styleId="LtrTableAddress">
    <w:name w:val="Ltr_Table_Address"/>
    <w:aliases w:val="ECHR_Ltr_Table_Address"/>
    <w:basedOn w:val="TableNormal"/>
    <w:uiPriority w:val="99"/>
    <w:rsid w:val="009D0059"/>
    <w:rPr>
      <w:sz w:val="24"/>
      <w:szCs w:val="24"/>
    </w:rPr>
    <w:tblPr>
      <w:tblInd w:w="5103" w:type="dxa"/>
    </w:tblPr>
  </w:style>
  <w:style w:type="paragraph" w:styleId="Quote">
    <w:name w:val="Quote"/>
    <w:basedOn w:val="Normal"/>
    <w:next w:val="Normal"/>
    <w:link w:val="QuoteChar"/>
    <w:uiPriority w:val="98"/>
    <w:semiHidden/>
    <w:qFormat/>
    <w:rsid w:val="009D0059"/>
    <w:pPr>
      <w:spacing w:before="200"/>
      <w:ind w:left="360" w:right="360"/>
    </w:pPr>
    <w:rPr>
      <w:i/>
      <w:iCs/>
      <w:lang w:bidi="en-US"/>
    </w:rPr>
  </w:style>
  <w:style w:type="character" w:customStyle="1" w:styleId="QuoteChar">
    <w:name w:val="Quote Char"/>
    <w:basedOn w:val="DefaultParagraphFont"/>
    <w:link w:val="Quote"/>
    <w:uiPriority w:val="98"/>
    <w:semiHidden/>
    <w:rsid w:val="009D0059"/>
    <w:rPr>
      <w:i/>
      <w:iCs/>
      <w:sz w:val="24"/>
      <w:szCs w:val="24"/>
      <w:lang w:val="ro-RO" w:bidi="en-US"/>
    </w:rPr>
  </w:style>
  <w:style w:type="character" w:styleId="SubtleReference">
    <w:name w:val="Subtle Reference"/>
    <w:uiPriority w:val="98"/>
    <w:semiHidden/>
    <w:qFormat/>
    <w:rsid w:val="009D0059"/>
    <w:rPr>
      <w:smallCaps/>
    </w:rPr>
  </w:style>
  <w:style w:type="table" w:styleId="TableGrid">
    <w:name w:val="Table Grid"/>
    <w:basedOn w:val="TableNormal"/>
    <w:uiPriority w:val="59"/>
    <w:semiHidden/>
    <w:rsid w:val="009D005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9D005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9D005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9D005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9D005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9D005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9D005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D005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D005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D005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9D005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9D005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9D005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9D005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9D005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9D005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9D0059"/>
    <w:pPr>
      <w:numPr>
        <w:numId w:val="4"/>
      </w:numPr>
    </w:pPr>
  </w:style>
  <w:style w:type="paragraph" w:customStyle="1" w:styleId="JuPara">
    <w:name w:val="Ju_Para"/>
    <w:aliases w:val="_Para"/>
    <w:basedOn w:val="NormalJustified"/>
    <w:link w:val="JuParaChar"/>
    <w:uiPriority w:val="4"/>
    <w:qFormat/>
    <w:rsid w:val="009D0059"/>
    <w:pPr>
      <w:ind w:firstLine="284"/>
    </w:pPr>
  </w:style>
  <w:style w:type="numbering" w:styleId="1ai">
    <w:name w:val="Outline List 1"/>
    <w:basedOn w:val="NoList"/>
    <w:uiPriority w:val="99"/>
    <w:semiHidden/>
    <w:unhideWhenUsed/>
    <w:rsid w:val="009D0059"/>
    <w:pPr>
      <w:numPr>
        <w:numId w:val="5"/>
      </w:numPr>
    </w:pPr>
  </w:style>
  <w:style w:type="table" w:customStyle="1" w:styleId="ECHRTableSimpleBox">
    <w:name w:val="ECHR_Table_Simple_Box"/>
    <w:basedOn w:val="TableNormal"/>
    <w:uiPriority w:val="99"/>
    <w:rsid w:val="009D005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9D005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D0059"/>
    <w:pPr>
      <w:numPr>
        <w:numId w:val="6"/>
      </w:numPr>
    </w:pPr>
  </w:style>
  <w:style w:type="table" w:customStyle="1" w:styleId="ECHRTableForInternalUse">
    <w:name w:val="ECHR_Table_For_Internal_Use"/>
    <w:basedOn w:val="TableNormal"/>
    <w:uiPriority w:val="99"/>
    <w:rsid w:val="009D005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D005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9D0059"/>
  </w:style>
  <w:style w:type="paragraph" w:styleId="BlockText">
    <w:name w:val="Block Text"/>
    <w:basedOn w:val="Normal"/>
    <w:uiPriority w:val="98"/>
    <w:semiHidden/>
    <w:rsid w:val="009D005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9D005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9D0059"/>
    <w:pPr>
      <w:spacing w:after="120"/>
    </w:pPr>
  </w:style>
  <w:style w:type="character" w:customStyle="1" w:styleId="BodyTextChar">
    <w:name w:val="Body Text Char"/>
    <w:basedOn w:val="DefaultParagraphFont"/>
    <w:link w:val="BodyText"/>
    <w:uiPriority w:val="98"/>
    <w:semiHidden/>
    <w:rsid w:val="009D0059"/>
    <w:rPr>
      <w:sz w:val="24"/>
      <w:szCs w:val="24"/>
      <w:lang w:val="ro-RO"/>
    </w:rPr>
  </w:style>
  <w:style w:type="table" w:customStyle="1" w:styleId="ECHRTableOddBanded">
    <w:name w:val="ECHR_Table_Odd_Banded"/>
    <w:basedOn w:val="TableNormal"/>
    <w:uiPriority w:val="99"/>
    <w:rsid w:val="009D005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9D0059"/>
    <w:pPr>
      <w:spacing w:after="120" w:line="480" w:lineRule="auto"/>
    </w:pPr>
  </w:style>
  <w:style w:type="table" w:customStyle="1" w:styleId="ECHRHeaderTableReduced">
    <w:name w:val="ECHR_Header_Table_Reduced"/>
    <w:basedOn w:val="TableNormal"/>
    <w:uiPriority w:val="99"/>
    <w:rsid w:val="009D005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9D0059"/>
    <w:pPr>
      <w:ind w:firstLine="284"/>
    </w:pPr>
    <w:rPr>
      <w:b/>
    </w:rPr>
  </w:style>
  <w:style w:type="character" w:styleId="PageNumber">
    <w:name w:val="page number"/>
    <w:uiPriority w:val="98"/>
    <w:semiHidden/>
    <w:rsid w:val="009D0059"/>
    <w:rPr>
      <w:sz w:val="18"/>
    </w:rPr>
  </w:style>
  <w:style w:type="paragraph" w:styleId="ListBullet">
    <w:name w:val="List Bullet"/>
    <w:basedOn w:val="Normal"/>
    <w:uiPriority w:val="98"/>
    <w:semiHidden/>
    <w:rsid w:val="009D0059"/>
    <w:pPr>
      <w:numPr>
        <w:numId w:val="14"/>
      </w:numPr>
    </w:pPr>
  </w:style>
  <w:style w:type="paragraph" w:styleId="ListBullet3">
    <w:name w:val="List Bullet 3"/>
    <w:basedOn w:val="Normal"/>
    <w:uiPriority w:val="98"/>
    <w:semiHidden/>
    <w:rsid w:val="009D0059"/>
    <w:pPr>
      <w:numPr>
        <w:numId w:val="16"/>
      </w:numPr>
      <w:contextualSpacing/>
    </w:pPr>
  </w:style>
  <w:style w:type="character" w:customStyle="1" w:styleId="BodyText2Char">
    <w:name w:val="Body Text 2 Char"/>
    <w:basedOn w:val="DefaultParagraphFont"/>
    <w:link w:val="BodyText2"/>
    <w:uiPriority w:val="98"/>
    <w:semiHidden/>
    <w:rsid w:val="009D0059"/>
    <w:rPr>
      <w:sz w:val="24"/>
      <w:szCs w:val="24"/>
      <w:lang w:val="ro-RO"/>
    </w:rPr>
  </w:style>
  <w:style w:type="paragraph" w:styleId="BodyText3">
    <w:name w:val="Body Text 3"/>
    <w:basedOn w:val="Normal"/>
    <w:link w:val="BodyText3Char"/>
    <w:uiPriority w:val="98"/>
    <w:semiHidden/>
    <w:rsid w:val="009D0059"/>
    <w:pPr>
      <w:spacing w:after="120"/>
    </w:pPr>
    <w:rPr>
      <w:sz w:val="16"/>
      <w:szCs w:val="16"/>
    </w:rPr>
  </w:style>
  <w:style w:type="character" w:customStyle="1" w:styleId="BodyText3Char">
    <w:name w:val="Body Text 3 Char"/>
    <w:basedOn w:val="DefaultParagraphFont"/>
    <w:link w:val="BodyText3"/>
    <w:uiPriority w:val="98"/>
    <w:semiHidden/>
    <w:rsid w:val="009D0059"/>
    <w:rPr>
      <w:sz w:val="16"/>
      <w:szCs w:val="16"/>
      <w:lang w:val="ro-RO"/>
    </w:rPr>
  </w:style>
  <w:style w:type="paragraph" w:styleId="BodyTextFirstIndent">
    <w:name w:val="Body Text First Indent"/>
    <w:basedOn w:val="BodyText"/>
    <w:link w:val="BodyTextFirstIndentChar"/>
    <w:uiPriority w:val="98"/>
    <w:semiHidden/>
    <w:rsid w:val="009D0059"/>
    <w:pPr>
      <w:spacing w:after="0"/>
      <w:ind w:firstLine="360"/>
    </w:pPr>
  </w:style>
  <w:style w:type="character" w:customStyle="1" w:styleId="BodyTextFirstIndentChar">
    <w:name w:val="Body Text First Indent Char"/>
    <w:basedOn w:val="BodyTextChar"/>
    <w:link w:val="BodyTextFirstIndent"/>
    <w:uiPriority w:val="98"/>
    <w:semiHidden/>
    <w:rsid w:val="009D0059"/>
    <w:rPr>
      <w:sz w:val="24"/>
      <w:szCs w:val="24"/>
      <w:lang w:val="ro-RO"/>
    </w:rPr>
  </w:style>
  <w:style w:type="paragraph" w:styleId="BodyTextIndent">
    <w:name w:val="Body Text Indent"/>
    <w:basedOn w:val="Normal"/>
    <w:link w:val="BodyTextIndentChar"/>
    <w:uiPriority w:val="98"/>
    <w:semiHidden/>
    <w:rsid w:val="009D0059"/>
    <w:pPr>
      <w:spacing w:after="120"/>
      <w:ind w:left="283"/>
    </w:pPr>
  </w:style>
  <w:style w:type="character" w:customStyle="1" w:styleId="BodyTextIndentChar">
    <w:name w:val="Body Text Indent Char"/>
    <w:basedOn w:val="DefaultParagraphFont"/>
    <w:link w:val="BodyTextIndent"/>
    <w:uiPriority w:val="98"/>
    <w:semiHidden/>
    <w:rsid w:val="009D0059"/>
    <w:rPr>
      <w:sz w:val="24"/>
      <w:szCs w:val="24"/>
      <w:lang w:val="ro-RO"/>
    </w:rPr>
  </w:style>
  <w:style w:type="paragraph" w:styleId="BodyTextFirstIndent2">
    <w:name w:val="Body Text First Indent 2"/>
    <w:basedOn w:val="BodyTextIndent"/>
    <w:link w:val="BodyTextFirstIndent2Char"/>
    <w:uiPriority w:val="98"/>
    <w:semiHidden/>
    <w:rsid w:val="009D0059"/>
    <w:pPr>
      <w:spacing w:after="0"/>
      <w:ind w:left="360" w:firstLine="360"/>
    </w:pPr>
  </w:style>
  <w:style w:type="character" w:customStyle="1" w:styleId="BodyTextFirstIndent2Char">
    <w:name w:val="Body Text First Indent 2 Char"/>
    <w:basedOn w:val="BodyTextIndentChar"/>
    <w:link w:val="BodyTextFirstIndent2"/>
    <w:uiPriority w:val="98"/>
    <w:semiHidden/>
    <w:rsid w:val="009D0059"/>
    <w:rPr>
      <w:sz w:val="24"/>
      <w:szCs w:val="24"/>
      <w:lang w:val="ro-RO"/>
    </w:rPr>
  </w:style>
  <w:style w:type="paragraph" w:styleId="BodyTextIndent2">
    <w:name w:val="Body Text Indent 2"/>
    <w:basedOn w:val="Normal"/>
    <w:link w:val="BodyTextIndent2Char"/>
    <w:uiPriority w:val="98"/>
    <w:semiHidden/>
    <w:rsid w:val="009D0059"/>
    <w:pPr>
      <w:spacing w:after="120" w:line="480" w:lineRule="auto"/>
      <w:ind w:left="283"/>
    </w:pPr>
  </w:style>
  <w:style w:type="character" w:customStyle="1" w:styleId="BodyTextIndent2Char">
    <w:name w:val="Body Text Indent 2 Char"/>
    <w:basedOn w:val="DefaultParagraphFont"/>
    <w:link w:val="BodyTextIndent2"/>
    <w:uiPriority w:val="98"/>
    <w:semiHidden/>
    <w:rsid w:val="009D0059"/>
    <w:rPr>
      <w:sz w:val="24"/>
      <w:szCs w:val="24"/>
      <w:lang w:val="ro-RO"/>
    </w:rPr>
  </w:style>
  <w:style w:type="paragraph" w:styleId="BodyTextIndent3">
    <w:name w:val="Body Text Indent 3"/>
    <w:basedOn w:val="Normal"/>
    <w:link w:val="BodyTextIndent3Char"/>
    <w:uiPriority w:val="98"/>
    <w:semiHidden/>
    <w:rsid w:val="009D005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9D0059"/>
    <w:rPr>
      <w:sz w:val="16"/>
      <w:szCs w:val="16"/>
      <w:lang w:val="ro-RO"/>
    </w:rPr>
  </w:style>
  <w:style w:type="paragraph" w:styleId="Caption">
    <w:name w:val="caption"/>
    <w:basedOn w:val="Normal"/>
    <w:next w:val="Normal"/>
    <w:uiPriority w:val="98"/>
    <w:semiHidden/>
    <w:qFormat/>
    <w:rsid w:val="009D0059"/>
    <w:pPr>
      <w:spacing w:after="200"/>
    </w:pPr>
    <w:rPr>
      <w:b/>
      <w:bCs/>
      <w:color w:val="0072BC" w:themeColor="accent1"/>
      <w:sz w:val="18"/>
      <w:szCs w:val="18"/>
    </w:rPr>
  </w:style>
  <w:style w:type="paragraph" w:styleId="Closing">
    <w:name w:val="Closing"/>
    <w:basedOn w:val="Normal"/>
    <w:link w:val="ClosingChar"/>
    <w:uiPriority w:val="98"/>
    <w:semiHidden/>
    <w:rsid w:val="009D0059"/>
    <w:pPr>
      <w:ind w:left="4252"/>
    </w:pPr>
  </w:style>
  <w:style w:type="character" w:customStyle="1" w:styleId="ClosingChar">
    <w:name w:val="Closing Char"/>
    <w:basedOn w:val="DefaultParagraphFont"/>
    <w:link w:val="Closing"/>
    <w:uiPriority w:val="98"/>
    <w:semiHidden/>
    <w:rsid w:val="009D0059"/>
    <w:rPr>
      <w:sz w:val="24"/>
      <w:szCs w:val="24"/>
      <w:lang w:val="ro-RO"/>
    </w:rPr>
  </w:style>
  <w:style w:type="table" w:styleId="ColorfulGrid">
    <w:name w:val="Colorful Grid"/>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D005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D005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D005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D005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D005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D005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D005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D005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D005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D005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D005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D005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D005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D005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D005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9D0059"/>
    <w:rPr>
      <w:sz w:val="16"/>
      <w:szCs w:val="16"/>
    </w:rPr>
  </w:style>
  <w:style w:type="paragraph" w:styleId="CommentText">
    <w:name w:val="annotation text"/>
    <w:basedOn w:val="Normal"/>
    <w:link w:val="CommentTextChar"/>
    <w:uiPriority w:val="98"/>
    <w:semiHidden/>
    <w:rsid w:val="009D0059"/>
    <w:rPr>
      <w:sz w:val="20"/>
      <w:szCs w:val="20"/>
    </w:rPr>
  </w:style>
  <w:style w:type="character" w:customStyle="1" w:styleId="CommentTextChar">
    <w:name w:val="Comment Text Char"/>
    <w:basedOn w:val="DefaultParagraphFont"/>
    <w:link w:val="CommentText"/>
    <w:uiPriority w:val="98"/>
    <w:semiHidden/>
    <w:rsid w:val="009D0059"/>
    <w:rPr>
      <w:sz w:val="20"/>
      <w:szCs w:val="20"/>
      <w:lang w:val="ro-RO"/>
    </w:rPr>
  </w:style>
  <w:style w:type="paragraph" w:styleId="CommentSubject">
    <w:name w:val="annotation subject"/>
    <w:basedOn w:val="CommentText"/>
    <w:next w:val="CommentText"/>
    <w:link w:val="CommentSubjectChar"/>
    <w:uiPriority w:val="98"/>
    <w:semiHidden/>
    <w:rsid w:val="009D0059"/>
    <w:rPr>
      <w:b/>
      <w:bCs/>
    </w:rPr>
  </w:style>
  <w:style w:type="character" w:customStyle="1" w:styleId="CommentSubjectChar">
    <w:name w:val="Comment Subject Char"/>
    <w:basedOn w:val="CommentTextChar"/>
    <w:link w:val="CommentSubject"/>
    <w:uiPriority w:val="98"/>
    <w:semiHidden/>
    <w:rsid w:val="009D0059"/>
    <w:rPr>
      <w:b/>
      <w:bCs/>
      <w:sz w:val="20"/>
      <w:szCs w:val="20"/>
      <w:lang w:val="ro-RO"/>
    </w:rPr>
  </w:style>
  <w:style w:type="table" w:styleId="DarkList">
    <w:name w:val="Dark List"/>
    <w:basedOn w:val="TableNormal"/>
    <w:uiPriority w:val="70"/>
    <w:semiHidden/>
    <w:rsid w:val="009D005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D005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D005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D005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D005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D005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D005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D0059"/>
  </w:style>
  <w:style w:type="character" w:customStyle="1" w:styleId="DateChar">
    <w:name w:val="Date Char"/>
    <w:basedOn w:val="DefaultParagraphFont"/>
    <w:link w:val="Date"/>
    <w:uiPriority w:val="98"/>
    <w:semiHidden/>
    <w:rsid w:val="009D0059"/>
    <w:rPr>
      <w:sz w:val="24"/>
      <w:szCs w:val="24"/>
      <w:lang w:val="ro-RO"/>
    </w:rPr>
  </w:style>
  <w:style w:type="paragraph" w:styleId="DocumentMap">
    <w:name w:val="Document Map"/>
    <w:basedOn w:val="Normal"/>
    <w:link w:val="DocumentMapChar"/>
    <w:uiPriority w:val="98"/>
    <w:semiHidden/>
    <w:rsid w:val="009D0059"/>
    <w:rPr>
      <w:rFonts w:ascii="Tahoma" w:hAnsi="Tahoma" w:cs="Tahoma"/>
      <w:sz w:val="16"/>
      <w:szCs w:val="16"/>
    </w:rPr>
  </w:style>
  <w:style w:type="character" w:customStyle="1" w:styleId="DocumentMapChar">
    <w:name w:val="Document Map Char"/>
    <w:basedOn w:val="DefaultParagraphFont"/>
    <w:link w:val="DocumentMap"/>
    <w:uiPriority w:val="98"/>
    <w:semiHidden/>
    <w:rsid w:val="009D0059"/>
    <w:rPr>
      <w:rFonts w:ascii="Tahoma" w:hAnsi="Tahoma" w:cs="Tahoma"/>
      <w:sz w:val="16"/>
      <w:szCs w:val="16"/>
      <w:lang w:val="ro-RO"/>
    </w:rPr>
  </w:style>
  <w:style w:type="paragraph" w:styleId="E-mailSignature">
    <w:name w:val="E-mail Signature"/>
    <w:basedOn w:val="Normal"/>
    <w:link w:val="E-mailSignatureChar"/>
    <w:uiPriority w:val="98"/>
    <w:semiHidden/>
    <w:rsid w:val="009D0059"/>
  </w:style>
  <w:style w:type="character" w:customStyle="1" w:styleId="E-mailSignatureChar">
    <w:name w:val="E-mail Signature Char"/>
    <w:basedOn w:val="DefaultParagraphFont"/>
    <w:link w:val="E-mailSignature"/>
    <w:uiPriority w:val="98"/>
    <w:semiHidden/>
    <w:rsid w:val="009D0059"/>
    <w:rPr>
      <w:sz w:val="24"/>
      <w:szCs w:val="24"/>
      <w:lang w:val="ro-RO"/>
    </w:rPr>
  </w:style>
  <w:style w:type="character" w:styleId="EndnoteReference">
    <w:name w:val="endnote reference"/>
    <w:basedOn w:val="DefaultParagraphFont"/>
    <w:uiPriority w:val="98"/>
    <w:semiHidden/>
    <w:rsid w:val="009D0059"/>
    <w:rPr>
      <w:vertAlign w:val="superscript"/>
    </w:rPr>
  </w:style>
  <w:style w:type="paragraph" w:styleId="EndnoteText">
    <w:name w:val="endnote text"/>
    <w:basedOn w:val="Normal"/>
    <w:link w:val="EndnoteTextChar"/>
    <w:uiPriority w:val="98"/>
    <w:semiHidden/>
    <w:rsid w:val="009D0059"/>
    <w:rPr>
      <w:sz w:val="20"/>
      <w:szCs w:val="20"/>
    </w:rPr>
  </w:style>
  <w:style w:type="character" w:customStyle="1" w:styleId="EndnoteTextChar">
    <w:name w:val="Endnote Text Char"/>
    <w:basedOn w:val="DefaultParagraphFont"/>
    <w:link w:val="EndnoteText"/>
    <w:uiPriority w:val="98"/>
    <w:semiHidden/>
    <w:rsid w:val="009D0059"/>
    <w:rPr>
      <w:sz w:val="20"/>
      <w:szCs w:val="20"/>
      <w:lang w:val="ro-RO"/>
    </w:rPr>
  </w:style>
  <w:style w:type="paragraph" w:styleId="EnvelopeAddress">
    <w:name w:val="envelope address"/>
    <w:basedOn w:val="Normal"/>
    <w:uiPriority w:val="98"/>
    <w:semiHidden/>
    <w:rsid w:val="009D005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9D005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9D0059"/>
    <w:rPr>
      <w:color w:val="7030A0" w:themeColor="followedHyperlink"/>
      <w:u w:val="single"/>
    </w:rPr>
  </w:style>
  <w:style w:type="character" w:styleId="HTMLAcronym">
    <w:name w:val="HTML Acronym"/>
    <w:basedOn w:val="DefaultParagraphFont"/>
    <w:uiPriority w:val="98"/>
    <w:semiHidden/>
    <w:rsid w:val="009D0059"/>
  </w:style>
  <w:style w:type="paragraph" w:styleId="HTMLAddress">
    <w:name w:val="HTML Address"/>
    <w:basedOn w:val="Normal"/>
    <w:link w:val="HTMLAddressChar"/>
    <w:uiPriority w:val="98"/>
    <w:semiHidden/>
    <w:rsid w:val="009D0059"/>
    <w:rPr>
      <w:i/>
      <w:iCs/>
    </w:rPr>
  </w:style>
  <w:style w:type="character" w:customStyle="1" w:styleId="HTMLAddressChar">
    <w:name w:val="HTML Address Char"/>
    <w:basedOn w:val="DefaultParagraphFont"/>
    <w:link w:val="HTMLAddress"/>
    <w:uiPriority w:val="98"/>
    <w:semiHidden/>
    <w:rsid w:val="009D0059"/>
    <w:rPr>
      <w:i/>
      <w:iCs/>
      <w:sz w:val="24"/>
      <w:szCs w:val="24"/>
      <w:lang w:val="ro-RO"/>
    </w:rPr>
  </w:style>
  <w:style w:type="character" w:styleId="HTMLCite">
    <w:name w:val="HTML Cite"/>
    <w:basedOn w:val="DefaultParagraphFont"/>
    <w:uiPriority w:val="98"/>
    <w:semiHidden/>
    <w:rsid w:val="009D0059"/>
    <w:rPr>
      <w:i/>
      <w:iCs/>
    </w:rPr>
  </w:style>
  <w:style w:type="character" w:styleId="HTMLCode">
    <w:name w:val="HTML Code"/>
    <w:basedOn w:val="DefaultParagraphFont"/>
    <w:uiPriority w:val="98"/>
    <w:semiHidden/>
    <w:rsid w:val="009D0059"/>
    <w:rPr>
      <w:rFonts w:ascii="Consolas" w:hAnsi="Consolas" w:cs="Consolas"/>
      <w:sz w:val="20"/>
      <w:szCs w:val="20"/>
    </w:rPr>
  </w:style>
  <w:style w:type="character" w:styleId="HTMLDefinition">
    <w:name w:val="HTML Definition"/>
    <w:basedOn w:val="DefaultParagraphFont"/>
    <w:uiPriority w:val="98"/>
    <w:semiHidden/>
    <w:rsid w:val="009D0059"/>
    <w:rPr>
      <w:i/>
      <w:iCs/>
    </w:rPr>
  </w:style>
  <w:style w:type="character" w:styleId="HTMLKeyboard">
    <w:name w:val="HTML Keyboard"/>
    <w:basedOn w:val="DefaultParagraphFont"/>
    <w:uiPriority w:val="98"/>
    <w:semiHidden/>
    <w:rsid w:val="009D0059"/>
    <w:rPr>
      <w:rFonts w:ascii="Consolas" w:hAnsi="Consolas" w:cs="Consolas"/>
      <w:sz w:val="20"/>
      <w:szCs w:val="20"/>
    </w:rPr>
  </w:style>
  <w:style w:type="paragraph" w:styleId="HTMLPreformatted">
    <w:name w:val="HTML Preformatted"/>
    <w:basedOn w:val="Normal"/>
    <w:link w:val="HTMLPreformattedChar"/>
    <w:uiPriority w:val="98"/>
    <w:semiHidden/>
    <w:rsid w:val="009D005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9D0059"/>
    <w:rPr>
      <w:rFonts w:ascii="Consolas" w:hAnsi="Consolas" w:cs="Consolas"/>
      <w:sz w:val="20"/>
      <w:szCs w:val="20"/>
      <w:lang w:val="ro-RO"/>
    </w:rPr>
  </w:style>
  <w:style w:type="character" w:styleId="HTMLSample">
    <w:name w:val="HTML Sample"/>
    <w:basedOn w:val="DefaultParagraphFont"/>
    <w:uiPriority w:val="98"/>
    <w:semiHidden/>
    <w:rsid w:val="009D0059"/>
    <w:rPr>
      <w:rFonts w:ascii="Consolas" w:hAnsi="Consolas" w:cs="Consolas"/>
      <w:sz w:val="24"/>
      <w:szCs w:val="24"/>
    </w:rPr>
  </w:style>
  <w:style w:type="character" w:styleId="HTMLTypewriter">
    <w:name w:val="HTML Typewriter"/>
    <w:basedOn w:val="DefaultParagraphFont"/>
    <w:uiPriority w:val="98"/>
    <w:semiHidden/>
    <w:rsid w:val="009D0059"/>
    <w:rPr>
      <w:rFonts w:ascii="Consolas" w:hAnsi="Consolas" w:cs="Consolas"/>
      <w:sz w:val="20"/>
      <w:szCs w:val="20"/>
    </w:rPr>
  </w:style>
  <w:style w:type="character" w:styleId="HTMLVariable">
    <w:name w:val="HTML Variable"/>
    <w:basedOn w:val="DefaultParagraphFont"/>
    <w:uiPriority w:val="98"/>
    <w:semiHidden/>
    <w:rsid w:val="009D0059"/>
    <w:rPr>
      <w:i/>
      <w:iCs/>
    </w:rPr>
  </w:style>
  <w:style w:type="paragraph" w:styleId="Index1">
    <w:name w:val="index 1"/>
    <w:basedOn w:val="Normal"/>
    <w:next w:val="Normal"/>
    <w:autoRedefine/>
    <w:uiPriority w:val="98"/>
    <w:semiHidden/>
    <w:rsid w:val="009D0059"/>
    <w:pPr>
      <w:ind w:left="240" w:hanging="240"/>
    </w:pPr>
  </w:style>
  <w:style w:type="paragraph" w:styleId="Index2">
    <w:name w:val="index 2"/>
    <w:basedOn w:val="Normal"/>
    <w:next w:val="Normal"/>
    <w:autoRedefine/>
    <w:uiPriority w:val="98"/>
    <w:semiHidden/>
    <w:rsid w:val="009D0059"/>
    <w:pPr>
      <w:ind w:left="480" w:hanging="240"/>
    </w:pPr>
  </w:style>
  <w:style w:type="paragraph" w:styleId="Index3">
    <w:name w:val="index 3"/>
    <w:basedOn w:val="Normal"/>
    <w:next w:val="Normal"/>
    <w:autoRedefine/>
    <w:uiPriority w:val="98"/>
    <w:semiHidden/>
    <w:rsid w:val="009D0059"/>
    <w:pPr>
      <w:ind w:left="720" w:hanging="240"/>
    </w:pPr>
  </w:style>
  <w:style w:type="paragraph" w:styleId="Index4">
    <w:name w:val="index 4"/>
    <w:basedOn w:val="Normal"/>
    <w:next w:val="Normal"/>
    <w:autoRedefine/>
    <w:uiPriority w:val="98"/>
    <w:semiHidden/>
    <w:rsid w:val="009D0059"/>
    <w:pPr>
      <w:ind w:left="960" w:hanging="240"/>
    </w:pPr>
  </w:style>
  <w:style w:type="paragraph" w:styleId="Index5">
    <w:name w:val="index 5"/>
    <w:basedOn w:val="Normal"/>
    <w:next w:val="Normal"/>
    <w:autoRedefine/>
    <w:uiPriority w:val="98"/>
    <w:semiHidden/>
    <w:rsid w:val="009D0059"/>
    <w:pPr>
      <w:ind w:left="1200" w:hanging="240"/>
    </w:pPr>
  </w:style>
  <w:style w:type="paragraph" w:styleId="Index6">
    <w:name w:val="index 6"/>
    <w:basedOn w:val="Normal"/>
    <w:next w:val="Normal"/>
    <w:autoRedefine/>
    <w:uiPriority w:val="98"/>
    <w:semiHidden/>
    <w:rsid w:val="009D0059"/>
    <w:pPr>
      <w:ind w:left="1440" w:hanging="240"/>
    </w:pPr>
  </w:style>
  <w:style w:type="paragraph" w:styleId="Index7">
    <w:name w:val="index 7"/>
    <w:basedOn w:val="Normal"/>
    <w:next w:val="Normal"/>
    <w:autoRedefine/>
    <w:uiPriority w:val="98"/>
    <w:semiHidden/>
    <w:rsid w:val="009D0059"/>
    <w:pPr>
      <w:ind w:left="1680" w:hanging="240"/>
    </w:pPr>
  </w:style>
  <w:style w:type="paragraph" w:styleId="Index8">
    <w:name w:val="index 8"/>
    <w:basedOn w:val="Normal"/>
    <w:next w:val="Normal"/>
    <w:autoRedefine/>
    <w:uiPriority w:val="98"/>
    <w:semiHidden/>
    <w:rsid w:val="009D0059"/>
    <w:pPr>
      <w:ind w:left="1920" w:hanging="240"/>
    </w:pPr>
  </w:style>
  <w:style w:type="paragraph" w:styleId="Index9">
    <w:name w:val="index 9"/>
    <w:basedOn w:val="Normal"/>
    <w:next w:val="Normal"/>
    <w:autoRedefine/>
    <w:uiPriority w:val="98"/>
    <w:semiHidden/>
    <w:rsid w:val="009D0059"/>
    <w:pPr>
      <w:ind w:left="2160" w:hanging="240"/>
    </w:pPr>
  </w:style>
  <w:style w:type="paragraph" w:styleId="IndexHeading">
    <w:name w:val="index heading"/>
    <w:basedOn w:val="Normal"/>
    <w:next w:val="Index1"/>
    <w:uiPriority w:val="98"/>
    <w:semiHidden/>
    <w:rsid w:val="009D0059"/>
    <w:rPr>
      <w:rFonts w:asciiTheme="majorHAnsi" w:eastAsiaTheme="majorEastAsia" w:hAnsiTheme="majorHAnsi" w:cstheme="majorBidi"/>
      <w:b/>
      <w:bCs/>
    </w:rPr>
  </w:style>
  <w:style w:type="table" w:styleId="LightGrid">
    <w:name w:val="Light Grid"/>
    <w:basedOn w:val="TableNormal"/>
    <w:uiPriority w:val="62"/>
    <w:semiHidden/>
    <w:rsid w:val="009D005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D005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D005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D005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D005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D005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D005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D005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D005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D005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D005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D005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D005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D005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D005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D005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D005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D005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D005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D005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D005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D0059"/>
  </w:style>
  <w:style w:type="paragraph" w:styleId="List">
    <w:name w:val="List"/>
    <w:basedOn w:val="Normal"/>
    <w:uiPriority w:val="98"/>
    <w:semiHidden/>
    <w:rsid w:val="009D0059"/>
    <w:pPr>
      <w:ind w:left="283" w:hanging="283"/>
      <w:contextualSpacing/>
    </w:pPr>
  </w:style>
  <w:style w:type="paragraph" w:styleId="List2">
    <w:name w:val="List 2"/>
    <w:basedOn w:val="Normal"/>
    <w:uiPriority w:val="98"/>
    <w:semiHidden/>
    <w:rsid w:val="009D0059"/>
    <w:pPr>
      <w:ind w:left="566" w:hanging="283"/>
      <w:contextualSpacing/>
    </w:pPr>
  </w:style>
  <w:style w:type="paragraph" w:styleId="List3">
    <w:name w:val="List 3"/>
    <w:basedOn w:val="Normal"/>
    <w:uiPriority w:val="98"/>
    <w:semiHidden/>
    <w:rsid w:val="009D0059"/>
    <w:pPr>
      <w:ind w:left="849" w:hanging="283"/>
      <w:contextualSpacing/>
    </w:pPr>
  </w:style>
  <w:style w:type="paragraph" w:styleId="List4">
    <w:name w:val="List 4"/>
    <w:basedOn w:val="Normal"/>
    <w:uiPriority w:val="98"/>
    <w:semiHidden/>
    <w:rsid w:val="009D0059"/>
    <w:pPr>
      <w:ind w:left="1132" w:hanging="283"/>
      <w:contextualSpacing/>
    </w:pPr>
  </w:style>
  <w:style w:type="paragraph" w:styleId="List5">
    <w:name w:val="List 5"/>
    <w:basedOn w:val="Normal"/>
    <w:uiPriority w:val="98"/>
    <w:semiHidden/>
    <w:rsid w:val="009D0059"/>
    <w:pPr>
      <w:ind w:left="1415" w:hanging="283"/>
      <w:contextualSpacing/>
    </w:pPr>
  </w:style>
  <w:style w:type="paragraph" w:styleId="ListBullet2">
    <w:name w:val="List Bullet 2"/>
    <w:basedOn w:val="Normal"/>
    <w:uiPriority w:val="98"/>
    <w:semiHidden/>
    <w:rsid w:val="009D0059"/>
    <w:pPr>
      <w:numPr>
        <w:numId w:val="15"/>
      </w:numPr>
      <w:contextualSpacing/>
    </w:pPr>
  </w:style>
  <w:style w:type="paragraph" w:styleId="ListBullet4">
    <w:name w:val="List Bullet 4"/>
    <w:basedOn w:val="Normal"/>
    <w:uiPriority w:val="98"/>
    <w:semiHidden/>
    <w:rsid w:val="009D0059"/>
    <w:pPr>
      <w:numPr>
        <w:numId w:val="17"/>
      </w:numPr>
      <w:contextualSpacing/>
    </w:pPr>
  </w:style>
  <w:style w:type="paragraph" w:styleId="ListBullet5">
    <w:name w:val="List Bullet 5"/>
    <w:basedOn w:val="Normal"/>
    <w:uiPriority w:val="98"/>
    <w:semiHidden/>
    <w:rsid w:val="009D0059"/>
    <w:pPr>
      <w:numPr>
        <w:numId w:val="18"/>
      </w:numPr>
      <w:contextualSpacing/>
    </w:pPr>
  </w:style>
  <w:style w:type="paragraph" w:styleId="ListContinue">
    <w:name w:val="List Continue"/>
    <w:basedOn w:val="Normal"/>
    <w:uiPriority w:val="98"/>
    <w:semiHidden/>
    <w:rsid w:val="009D0059"/>
    <w:pPr>
      <w:spacing w:after="120"/>
      <w:ind w:left="283"/>
      <w:contextualSpacing/>
    </w:pPr>
  </w:style>
  <w:style w:type="paragraph" w:styleId="ListContinue2">
    <w:name w:val="List Continue 2"/>
    <w:basedOn w:val="Normal"/>
    <w:uiPriority w:val="98"/>
    <w:semiHidden/>
    <w:rsid w:val="009D0059"/>
    <w:pPr>
      <w:spacing w:after="120"/>
      <w:ind w:left="566"/>
      <w:contextualSpacing/>
    </w:pPr>
  </w:style>
  <w:style w:type="paragraph" w:styleId="ListContinue3">
    <w:name w:val="List Continue 3"/>
    <w:basedOn w:val="Normal"/>
    <w:uiPriority w:val="98"/>
    <w:semiHidden/>
    <w:rsid w:val="009D0059"/>
    <w:pPr>
      <w:spacing w:after="120"/>
      <w:ind w:left="849"/>
      <w:contextualSpacing/>
    </w:pPr>
  </w:style>
  <w:style w:type="paragraph" w:styleId="ListContinue4">
    <w:name w:val="List Continue 4"/>
    <w:basedOn w:val="Normal"/>
    <w:uiPriority w:val="98"/>
    <w:semiHidden/>
    <w:rsid w:val="009D0059"/>
    <w:pPr>
      <w:spacing w:after="120"/>
      <w:ind w:left="1132"/>
      <w:contextualSpacing/>
    </w:pPr>
  </w:style>
  <w:style w:type="paragraph" w:styleId="ListContinue5">
    <w:name w:val="List Continue 5"/>
    <w:basedOn w:val="Normal"/>
    <w:uiPriority w:val="98"/>
    <w:semiHidden/>
    <w:rsid w:val="009D0059"/>
    <w:pPr>
      <w:spacing w:after="120"/>
      <w:ind w:left="1415"/>
      <w:contextualSpacing/>
    </w:pPr>
  </w:style>
  <w:style w:type="paragraph" w:styleId="ListNumber">
    <w:name w:val="List Number"/>
    <w:basedOn w:val="Normal"/>
    <w:uiPriority w:val="98"/>
    <w:semiHidden/>
    <w:rsid w:val="009D0059"/>
    <w:pPr>
      <w:numPr>
        <w:numId w:val="19"/>
      </w:numPr>
      <w:contextualSpacing/>
    </w:pPr>
  </w:style>
  <w:style w:type="paragraph" w:styleId="ListNumber2">
    <w:name w:val="List Number 2"/>
    <w:basedOn w:val="Normal"/>
    <w:uiPriority w:val="98"/>
    <w:semiHidden/>
    <w:rsid w:val="009D0059"/>
    <w:pPr>
      <w:numPr>
        <w:numId w:val="20"/>
      </w:numPr>
      <w:contextualSpacing/>
    </w:pPr>
  </w:style>
  <w:style w:type="paragraph" w:styleId="ListNumber3">
    <w:name w:val="List Number 3"/>
    <w:basedOn w:val="Normal"/>
    <w:uiPriority w:val="98"/>
    <w:semiHidden/>
    <w:rsid w:val="009D0059"/>
    <w:pPr>
      <w:numPr>
        <w:numId w:val="21"/>
      </w:numPr>
      <w:contextualSpacing/>
    </w:pPr>
  </w:style>
  <w:style w:type="paragraph" w:styleId="ListNumber4">
    <w:name w:val="List Number 4"/>
    <w:basedOn w:val="Normal"/>
    <w:uiPriority w:val="98"/>
    <w:semiHidden/>
    <w:rsid w:val="009D0059"/>
    <w:pPr>
      <w:numPr>
        <w:numId w:val="22"/>
      </w:numPr>
      <w:contextualSpacing/>
    </w:pPr>
  </w:style>
  <w:style w:type="paragraph" w:styleId="ListNumber5">
    <w:name w:val="List Number 5"/>
    <w:basedOn w:val="Normal"/>
    <w:uiPriority w:val="98"/>
    <w:semiHidden/>
    <w:rsid w:val="009D0059"/>
    <w:pPr>
      <w:numPr>
        <w:numId w:val="23"/>
      </w:numPr>
      <w:contextualSpacing/>
    </w:pPr>
  </w:style>
  <w:style w:type="paragraph" w:styleId="MacroText">
    <w:name w:val="macro"/>
    <w:link w:val="MacroTextChar"/>
    <w:uiPriority w:val="98"/>
    <w:semiHidden/>
    <w:rsid w:val="009D005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9D0059"/>
    <w:rPr>
      <w:rFonts w:ascii="Consolas" w:eastAsiaTheme="minorEastAsia" w:hAnsi="Consolas" w:cs="Consolas"/>
      <w:sz w:val="20"/>
      <w:szCs w:val="20"/>
    </w:rPr>
  </w:style>
  <w:style w:type="table" w:styleId="MediumGrid1">
    <w:name w:val="Medium Grid 1"/>
    <w:basedOn w:val="TableNormal"/>
    <w:uiPriority w:val="67"/>
    <w:semiHidden/>
    <w:rsid w:val="009D005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D005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D005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D005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D005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D005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D005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D005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D005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D005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D005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D005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D005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D005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D005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D005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D005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D005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D005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D005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D005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D005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D005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D005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9D005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9D005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9D0059"/>
    <w:rPr>
      <w:rFonts w:ascii="Times New Roman" w:hAnsi="Times New Roman" w:cs="Times New Roman"/>
    </w:rPr>
  </w:style>
  <w:style w:type="paragraph" w:styleId="NormalIndent">
    <w:name w:val="Normal Indent"/>
    <w:basedOn w:val="Normal"/>
    <w:uiPriority w:val="98"/>
    <w:semiHidden/>
    <w:rsid w:val="009D0059"/>
    <w:pPr>
      <w:ind w:left="720"/>
    </w:pPr>
  </w:style>
  <w:style w:type="paragraph" w:styleId="NoteHeading">
    <w:name w:val="Note Heading"/>
    <w:basedOn w:val="Normal"/>
    <w:next w:val="Normal"/>
    <w:link w:val="NoteHeadingChar"/>
    <w:uiPriority w:val="98"/>
    <w:semiHidden/>
    <w:rsid w:val="009D0059"/>
  </w:style>
  <w:style w:type="character" w:customStyle="1" w:styleId="NoteHeadingChar">
    <w:name w:val="Note Heading Char"/>
    <w:basedOn w:val="DefaultParagraphFont"/>
    <w:link w:val="NoteHeading"/>
    <w:uiPriority w:val="98"/>
    <w:semiHidden/>
    <w:rsid w:val="009D0059"/>
    <w:rPr>
      <w:sz w:val="24"/>
      <w:szCs w:val="24"/>
      <w:lang w:val="ro-RO"/>
    </w:rPr>
  </w:style>
  <w:style w:type="character" w:styleId="PlaceholderText">
    <w:name w:val="Placeholder Text"/>
    <w:basedOn w:val="DefaultParagraphFont"/>
    <w:uiPriority w:val="98"/>
    <w:semiHidden/>
    <w:rsid w:val="009D005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9D0059"/>
    <w:rPr>
      <w:rFonts w:ascii="Consolas" w:hAnsi="Consolas" w:cs="Consolas"/>
      <w:sz w:val="21"/>
      <w:szCs w:val="21"/>
    </w:rPr>
  </w:style>
  <w:style w:type="character" w:customStyle="1" w:styleId="PlainTextChar">
    <w:name w:val="Plain Text Char"/>
    <w:basedOn w:val="DefaultParagraphFont"/>
    <w:link w:val="PlainText"/>
    <w:uiPriority w:val="98"/>
    <w:semiHidden/>
    <w:rsid w:val="009D0059"/>
    <w:rPr>
      <w:rFonts w:ascii="Consolas" w:hAnsi="Consolas" w:cs="Consolas"/>
      <w:sz w:val="21"/>
      <w:szCs w:val="21"/>
      <w:lang w:val="ro-RO"/>
    </w:rPr>
  </w:style>
  <w:style w:type="paragraph" w:styleId="Salutation">
    <w:name w:val="Salutation"/>
    <w:basedOn w:val="Normal"/>
    <w:next w:val="Normal"/>
    <w:link w:val="SalutationChar"/>
    <w:uiPriority w:val="98"/>
    <w:semiHidden/>
    <w:rsid w:val="009D0059"/>
  </w:style>
  <w:style w:type="character" w:customStyle="1" w:styleId="SalutationChar">
    <w:name w:val="Salutation Char"/>
    <w:basedOn w:val="DefaultParagraphFont"/>
    <w:link w:val="Salutation"/>
    <w:uiPriority w:val="98"/>
    <w:semiHidden/>
    <w:rsid w:val="009D0059"/>
    <w:rPr>
      <w:sz w:val="24"/>
      <w:szCs w:val="24"/>
      <w:lang w:val="ro-RO"/>
    </w:rPr>
  </w:style>
  <w:style w:type="paragraph" w:styleId="Signature">
    <w:name w:val="Signature"/>
    <w:basedOn w:val="Normal"/>
    <w:link w:val="SignatureChar"/>
    <w:uiPriority w:val="98"/>
    <w:semiHidden/>
    <w:rsid w:val="009D0059"/>
    <w:pPr>
      <w:ind w:left="4252"/>
    </w:pPr>
  </w:style>
  <w:style w:type="character" w:customStyle="1" w:styleId="SignatureChar">
    <w:name w:val="Signature Char"/>
    <w:basedOn w:val="DefaultParagraphFont"/>
    <w:link w:val="Signature"/>
    <w:uiPriority w:val="98"/>
    <w:semiHidden/>
    <w:rsid w:val="009D0059"/>
    <w:rPr>
      <w:sz w:val="24"/>
      <w:szCs w:val="24"/>
      <w:lang w:val="ro-RO"/>
    </w:rPr>
  </w:style>
  <w:style w:type="table" w:styleId="Table3Deffects1">
    <w:name w:val="Table 3D effects 1"/>
    <w:basedOn w:val="TableNormal"/>
    <w:uiPriority w:val="99"/>
    <w:semiHidden/>
    <w:unhideWhenUsed/>
    <w:rsid w:val="009D005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05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05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05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05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05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05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05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05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05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05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05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05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05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05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05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05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05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05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05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05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05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05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05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05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05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05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05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05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05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05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05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05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D0059"/>
    <w:pPr>
      <w:ind w:left="240" w:hanging="240"/>
    </w:pPr>
  </w:style>
  <w:style w:type="paragraph" w:styleId="TableofFigures">
    <w:name w:val="table of figures"/>
    <w:basedOn w:val="Normal"/>
    <w:next w:val="Normal"/>
    <w:uiPriority w:val="98"/>
    <w:semiHidden/>
    <w:rsid w:val="009D0059"/>
  </w:style>
  <w:style w:type="table" w:styleId="TableProfessional">
    <w:name w:val="Table Professional"/>
    <w:basedOn w:val="TableNormal"/>
    <w:uiPriority w:val="99"/>
    <w:semiHidden/>
    <w:unhideWhenUsed/>
    <w:rsid w:val="009D005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05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05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05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05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05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05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05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05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05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9D005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9D005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9D0059"/>
    <w:pPr>
      <w:spacing w:after="100"/>
      <w:ind w:left="1680"/>
    </w:pPr>
  </w:style>
  <w:style w:type="paragraph" w:styleId="TOC9">
    <w:name w:val="toc 9"/>
    <w:basedOn w:val="Normal"/>
    <w:next w:val="Normal"/>
    <w:autoRedefine/>
    <w:uiPriority w:val="98"/>
    <w:semiHidden/>
    <w:rsid w:val="009D0059"/>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9D005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9D005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9D005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9D005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9D0059"/>
    <w:pPr>
      <w:numPr>
        <w:numId w:val="10"/>
      </w:numPr>
      <w:spacing w:before="60" w:after="60"/>
    </w:pPr>
  </w:style>
  <w:style w:type="paragraph" w:customStyle="1" w:styleId="ECHRBullet2">
    <w:name w:val="ECHR_Bullet_2"/>
    <w:aliases w:val="_Bul_2"/>
    <w:basedOn w:val="ECHRBullet1"/>
    <w:uiPriority w:val="23"/>
    <w:semiHidden/>
    <w:rsid w:val="009D0059"/>
    <w:pPr>
      <w:numPr>
        <w:ilvl w:val="1"/>
      </w:numPr>
    </w:pPr>
  </w:style>
  <w:style w:type="paragraph" w:customStyle="1" w:styleId="ECHRBullet3">
    <w:name w:val="ECHR_Bullet_3"/>
    <w:aliases w:val="_Bul_3"/>
    <w:basedOn w:val="ECHRBullet2"/>
    <w:uiPriority w:val="23"/>
    <w:semiHidden/>
    <w:rsid w:val="009D0059"/>
    <w:pPr>
      <w:numPr>
        <w:ilvl w:val="2"/>
      </w:numPr>
    </w:pPr>
  </w:style>
  <w:style w:type="paragraph" w:customStyle="1" w:styleId="ECHRBullet4">
    <w:name w:val="ECHR_Bullet_4"/>
    <w:aliases w:val="_Bul_4"/>
    <w:basedOn w:val="ECHRBullet3"/>
    <w:uiPriority w:val="23"/>
    <w:semiHidden/>
    <w:rsid w:val="009D0059"/>
    <w:pPr>
      <w:numPr>
        <w:ilvl w:val="3"/>
      </w:numPr>
    </w:pPr>
  </w:style>
  <w:style w:type="paragraph" w:customStyle="1" w:styleId="ECHRConfidential">
    <w:name w:val="ECHR_Confidential"/>
    <w:aliases w:val="_Confidential"/>
    <w:basedOn w:val="Normal"/>
    <w:next w:val="Normal"/>
    <w:uiPriority w:val="42"/>
    <w:semiHidden/>
    <w:qFormat/>
    <w:rsid w:val="009D0059"/>
    <w:pPr>
      <w:jc w:val="right"/>
    </w:pPr>
    <w:rPr>
      <w:color w:val="C00000"/>
      <w:sz w:val="20"/>
    </w:rPr>
  </w:style>
  <w:style w:type="paragraph" w:customStyle="1" w:styleId="ECHRDecisionBody">
    <w:name w:val="ECHR_Decision_Body"/>
    <w:aliases w:val="_Decision_Body"/>
    <w:basedOn w:val="NormalJustified"/>
    <w:uiPriority w:val="54"/>
    <w:semiHidden/>
    <w:rsid w:val="009D005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9D005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9D005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9D005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9D0059"/>
    <w:pPr>
      <w:jc w:val="right"/>
    </w:pPr>
    <w:rPr>
      <w:sz w:val="20"/>
    </w:rPr>
  </w:style>
  <w:style w:type="paragraph" w:customStyle="1" w:styleId="ECHRHeaderRefIt">
    <w:name w:val="ECHR_Header_Ref_It"/>
    <w:aliases w:val="_Ref_Ital"/>
    <w:basedOn w:val="Normal"/>
    <w:next w:val="ECHRHeaderDate"/>
    <w:uiPriority w:val="43"/>
    <w:semiHidden/>
    <w:qFormat/>
    <w:rsid w:val="009D0059"/>
    <w:pPr>
      <w:jc w:val="right"/>
    </w:pPr>
    <w:rPr>
      <w:i/>
      <w:sz w:val="20"/>
    </w:rPr>
  </w:style>
  <w:style w:type="paragraph" w:customStyle="1" w:styleId="ECHRHeading9">
    <w:name w:val="ECHR_Heading_9"/>
    <w:aliases w:val="_Head_9"/>
    <w:basedOn w:val="Heading9"/>
    <w:uiPriority w:val="17"/>
    <w:semiHidden/>
    <w:rsid w:val="009D0059"/>
    <w:pPr>
      <w:keepNext/>
      <w:keepLines/>
      <w:numPr>
        <w:ilvl w:val="8"/>
        <w:numId w:val="1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9D005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9D0059"/>
    <w:pPr>
      <w:numPr>
        <w:numId w:val="11"/>
      </w:numPr>
      <w:spacing w:before="60" w:after="60"/>
    </w:pPr>
  </w:style>
  <w:style w:type="paragraph" w:customStyle="1" w:styleId="ECHRNumberedList2">
    <w:name w:val="ECHR_Numbered_List_2"/>
    <w:aliases w:val="_Num_2"/>
    <w:basedOn w:val="ECHRNumberedList1"/>
    <w:uiPriority w:val="23"/>
    <w:semiHidden/>
    <w:rsid w:val="009D0059"/>
    <w:pPr>
      <w:numPr>
        <w:ilvl w:val="1"/>
      </w:numPr>
    </w:pPr>
  </w:style>
  <w:style w:type="paragraph" w:customStyle="1" w:styleId="ECHRNumberedList3">
    <w:name w:val="ECHR_Numbered_List_3"/>
    <w:aliases w:val="_Num_3"/>
    <w:basedOn w:val="ECHRNumberedList2"/>
    <w:uiPriority w:val="23"/>
    <w:semiHidden/>
    <w:rsid w:val="009D0059"/>
    <w:pPr>
      <w:numPr>
        <w:ilvl w:val="2"/>
      </w:numPr>
    </w:pPr>
  </w:style>
  <w:style w:type="paragraph" w:customStyle="1" w:styleId="ECHRParaHanging">
    <w:name w:val="ECHR_Para_Hanging"/>
    <w:aliases w:val="_Hanging"/>
    <w:basedOn w:val="NormalJustified"/>
    <w:uiPriority w:val="8"/>
    <w:semiHidden/>
    <w:qFormat/>
    <w:rsid w:val="009D0059"/>
    <w:pPr>
      <w:ind w:left="567" w:hanging="567"/>
    </w:pPr>
  </w:style>
  <w:style w:type="paragraph" w:customStyle="1" w:styleId="ECHRParaIndent">
    <w:name w:val="ECHR_Para_Indent"/>
    <w:aliases w:val="_Indent"/>
    <w:basedOn w:val="NormalJustified"/>
    <w:uiPriority w:val="7"/>
    <w:semiHidden/>
    <w:qFormat/>
    <w:rsid w:val="009D0059"/>
    <w:pPr>
      <w:spacing w:before="120" w:after="120"/>
      <w:ind w:left="284"/>
    </w:pPr>
  </w:style>
  <w:style w:type="character" w:customStyle="1" w:styleId="ECHRRed">
    <w:name w:val="ECHR_Red"/>
    <w:aliases w:val="_Red"/>
    <w:basedOn w:val="DefaultParagraphFont"/>
    <w:uiPriority w:val="15"/>
    <w:semiHidden/>
    <w:qFormat/>
    <w:rsid w:val="009D0059"/>
    <w:rPr>
      <w:color w:val="C00000" w:themeColor="accent2"/>
    </w:rPr>
  </w:style>
  <w:style w:type="paragraph" w:customStyle="1" w:styleId="DecList">
    <w:name w:val="Dec_List"/>
    <w:aliases w:val="_List"/>
    <w:basedOn w:val="JuList"/>
    <w:uiPriority w:val="22"/>
    <w:rsid w:val="009D0059"/>
    <w:pPr>
      <w:numPr>
        <w:numId w:val="0"/>
      </w:numPr>
      <w:ind w:left="284"/>
    </w:pPr>
  </w:style>
  <w:style w:type="table" w:customStyle="1" w:styleId="ECHRTable2">
    <w:name w:val="ECHR_Table_2"/>
    <w:basedOn w:val="TableNormal"/>
    <w:uiPriority w:val="99"/>
    <w:rsid w:val="009D005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9D005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9D005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9D005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9D005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9D005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9D005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9D005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9D0059"/>
    <w:pPr>
      <w:outlineLvl w:val="0"/>
    </w:pPr>
  </w:style>
  <w:style w:type="paragraph" w:customStyle="1" w:styleId="ECHRTitleTOC1">
    <w:name w:val="ECHR_Title_TOC_1"/>
    <w:aliases w:val="_Title_L_TOC"/>
    <w:basedOn w:val="ECHRTitle1"/>
    <w:next w:val="Normal"/>
    <w:uiPriority w:val="27"/>
    <w:semiHidden/>
    <w:qFormat/>
    <w:rsid w:val="009D0059"/>
    <w:pPr>
      <w:outlineLvl w:val="0"/>
    </w:pPr>
  </w:style>
  <w:style w:type="paragraph" w:customStyle="1" w:styleId="ECHRPlaceholder">
    <w:name w:val="ECHR_Placeholder"/>
    <w:aliases w:val="_Placeholder"/>
    <w:basedOn w:val="JuSigned"/>
    <w:uiPriority w:val="31"/>
    <w:rsid w:val="009D0059"/>
    <w:rPr>
      <w:color w:val="FFFFFF"/>
    </w:rPr>
  </w:style>
  <w:style w:type="paragraph" w:customStyle="1" w:styleId="ECHRSpacer">
    <w:name w:val="ECHR_Spacer"/>
    <w:aliases w:val="_Spacer"/>
    <w:basedOn w:val="Normal"/>
    <w:uiPriority w:val="45"/>
    <w:semiHidden/>
    <w:rsid w:val="009D0059"/>
    <w:rPr>
      <w:sz w:val="4"/>
    </w:rPr>
  </w:style>
  <w:style w:type="table" w:customStyle="1" w:styleId="ECHRTableGrey">
    <w:name w:val="ECHR_Table_Grey"/>
    <w:basedOn w:val="TableNormal"/>
    <w:uiPriority w:val="99"/>
    <w:rsid w:val="009D005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9D0059"/>
    <w:rPr>
      <w:color w:val="605E5C"/>
      <w:shd w:val="clear" w:color="auto" w:fill="E1DFDD"/>
    </w:rPr>
  </w:style>
  <w:style w:type="character" w:customStyle="1" w:styleId="JuParaChar">
    <w:name w:val="Ju_Para Char"/>
    <w:aliases w:val="_Para Char"/>
    <w:link w:val="JuPara"/>
    <w:uiPriority w:val="4"/>
    <w:rsid w:val="00D33FCF"/>
    <w:rPr>
      <w:sz w:val="24"/>
      <w:szCs w:val="24"/>
      <w:lang w:val="ro-RO"/>
    </w:rPr>
  </w:style>
  <w:style w:type="table" w:styleId="GridTable1Light">
    <w:name w:val="Grid Table 1 Light"/>
    <w:basedOn w:val="TableNormal"/>
    <w:uiPriority w:val="46"/>
    <w:semiHidden/>
    <w:rsid w:val="009D00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D005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D005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D005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D005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D005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D005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D005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D005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D005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D005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D005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D005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D005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D00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D00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D00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D00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D00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D00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D00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D00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D00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D00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D00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D00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D00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D00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D00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D00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D00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D00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D00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D00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D00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D00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D00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D00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D00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D00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D00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D00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D00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D0059"/>
    <w:rPr>
      <w:color w:val="2B579A"/>
      <w:shd w:val="clear" w:color="auto" w:fill="E1DFDD"/>
    </w:rPr>
  </w:style>
  <w:style w:type="table" w:styleId="ListTable1Light">
    <w:name w:val="List Table 1 Light"/>
    <w:basedOn w:val="TableNormal"/>
    <w:uiPriority w:val="46"/>
    <w:semiHidden/>
    <w:rsid w:val="009D005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D005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D005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D005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D005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D005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D005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D005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D005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D005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D005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D005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D005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D005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D005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D005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D005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D005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D005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D005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D005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D00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D00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D00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D00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D00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D00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D00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D005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D005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D005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D005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D005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D005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D005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D005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D005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D005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D005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D005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D005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D005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D005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D005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D005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D005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D005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D005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D005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D0059"/>
    <w:rPr>
      <w:color w:val="2B579A"/>
      <w:shd w:val="clear" w:color="auto" w:fill="E1DFDD"/>
    </w:rPr>
  </w:style>
  <w:style w:type="table" w:styleId="PlainTable1">
    <w:name w:val="Plain Table 1"/>
    <w:basedOn w:val="TableNormal"/>
    <w:uiPriority w:val="41"/>
    <w:semiHidden/>
    <w:rsid w:val="009D005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D00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D00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D00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D00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D0059"/>
    <w:rPr>
      <w:u w:val="dotted"/>
    </w:rPr>
  </w:style>
  <w:style w:type="character" w:customStyle="1" w:styleId="SmartLink1">
    <w:name w:val="SmartLink1"/>
    <w:basedOn w:val="DefaultParagraphFont"/>
    <w:uiPriority w:val="99"/>
    <w:semiHidden/>
    <w:unhideWhenUsed/>
    <w:rsid w:val="009D0059"/>
    <w:rPr>
      <w:color w:val="0000FF"/>
      <w:u w:val="single"/>
      <w:shd w:val="clear" w:color="auto" w:fill="F3F2F1"/>
    </w:rPr>
  </w:style>
  <w:style w:type="table" w:styleId="TableGridLight">
    <w:name w:val="Grid Table Light"/>
    <w:basedOn w:val="TableNormal"/>
    <w:uiPriority w:val="40"/>
    <w:semiHidden/>
    <w:rsid w:val="009D005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0">
    <w:name w:val="jupara"/>
    <w:basedOn w:val="Normal"/>
    <w:rsid w:val="003C6E6C"/>
    <w:pPr>
      <w:ind w:firstLine="284"/>
      <w:jc w:val="both"/>
    </w:pPr>
    <w:rPr>
      <w:rFonts w:ascii="Times New Roman" w:eastAsia="Times New Roman" w:hAnsi="Times New Roman" w:cs="Times New Roman"/>
      <w:lang w:eastAsia="en-GB"/>
    </w:rPr>
  </w:style>
  <w:style w:type="paragraph" w:customStyle="1" w:styleId="jucase0">
    <w:name w:val="jucase"/>
    <w:basedOn w:val="Normal"/>
    <w:rsid w:val="003C6E6C"/>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ier.gov.ro/" TargetMode="External"/><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95767-7B18-43E2-A001-237D4E3D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D40781-735F-474F-982C-052CA88D8E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8CA958-83D2-4DFB-AFFF-ABCB93A0CB22}">
  <ds:schemaRefs>
    <ds:schemaRef ds:uri="http://schemas.openxmlformats.org/officeDocument/2006/bibliography"/>
  </ds:schemaRefs>
</ds:datastoreItem>
</file>

<file path=customXml/itemProps4.xml><?xml version="1.0" encoding="utf-8"?>
<ds:datastoreItem xmlns:ds="http://schemas.openxmlformats.org/officeDocument/2006/customXml" ds:itemID="{ABAE9E82-D082-41B4-A39B-0653171A6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7103</Words>
  <Characters>41199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2023-02-13T11:09:00Z</dcterms:created>
  <dcterms:modified xsi:type="dcterms:W3CDTF">2023-05-26T06:11:00Z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2840/10</vt:lpwstr>
  </property>
  <property fmtid="{D5CDD505-2E9C-101B-9397-08002B2CF9AE}" pid="4" name="CASEID">
    <vt:lpwstr>616918</vt:lpwstr>
  </property>
  <property fmtid="{D5CDD505-2E9C-101B-9397-08002B2CF9AE}" pid="5" name="ContentTypeId">
    <vt:lpwstr>0x010100558EB02BDB9E204AB350EDD385B68E10</vt:lpwstr>
  </property>
</Properties>
</file>