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C4DFD" w:rsidRPr="00AA47E3" w:rsidRDefault="00EF26FF" w:rsidP="002E103F">
      <w:pPr>
        <w:spacing w:after="0" w:line="240" w:lineRule="auto"/>
        <w:jc w:val="center"/>
        <w:rPr>
          <w:b/>
          <w:bCs/>
          <w:lang w:val="ro-RO"/>
        </w:rPr>
      </w:pPr>
      <w:r w:rsidRPr="00AA47E3">
        <w:rPr>
          <w:b/>
          <w:bCs/>
          <w:lang w:val="ro-RO"/>
        </w:rPr>
        <w:t>SCRISOARE DESCHISĂ</w:t>
      </w:r>
    </w:p>
    <w:p w:rsidR="00AD6DAA" w:rsidRDefault="00AD6DAA" w:rsidP="002E103F">
      <w:pPr>
        <w:spacing w:after="0" w:line="240" w:lineRule="auto"/>
        <w:ind w:firstLine="720"/>
        <w:jc w:val="both"/>
        <w:rPr>
          <w:lang w:val="ro-RO"/>
        </w:rPr>
      </w:pPr>
    </w:p>
    <w:p w:rsidR="0068475D" w:rsidRDefault="0068475D" w:rsidP="00B463C7">
      <w:pPr>
        <w:spacing w:after="0" w:line="240" w:lineRule="auto"/>
        <w:ind w:firstLine="720"/>
        <w:jc w:val="both"/>
        <w:rPr>
          <w:lang w:val="ro-RO"/>
        </w:rPr>
      </w:pPr>
    </w:p>
    <w:p w:rsidR="00F55C84" w:rsidRDefault="00F55C84" w:rsidP="00F55C84">
      <w:pPr>
        <w:spacing w:after="0" w:line="240" w:lineRule="auto"/>
        <w:ind w:firstLine="720"/>
        <w:jc w:val="both"/>
        <w:rPr>
          <w:lang w:val="ro-RO"/>
        </w:rPr>
      </w:pPr>
      <w:r w:rsidRPr="008D249C">
        <w:rPr>
          <w:b/>
          <w:bCs/>
          <w:lang w:val="ro-RO"/>
        </w:rPr>
        <w:t>Președinții curților de apel</w:t>
      </w:r>
      <w:r w:rsidR="008D249C">
        <w:rPr>
          <w:b/>
          <w:bCs/>
          <w:i/>
          <w:iCs/>
          <w:lang w:val="ro-RO"/>
        </w:rPr>
        <w:t>,</w:t>
      </w:r>
      <w:r w:rsidR="006F4EE8">
        <w:rPr>
          <w:b/>
          <w:bCs/>
          <w:i/>
          <w:iCs/>
          <w:lang w:val="ro-RO"/>
        </w:rPr>
        <w:t xml:space="preserve"> </w:t>
      </w:r>
      <w:r>
        <w:rPr>
          <w:lang w:val="ro-RO"/>
        </w:rPr>
        <w:t xml:space="preserve">reuniți la Constanța în </w:t>
      </w:r>
      <w:r w:rsidR="0068475D" w:rsidRPr="0068475D">
        <w:rPr>
          <w:lang w:val="ro-RO"/>
        </w:rPr>
        <w:t xml:space="preserve">perioada 30 – 31 mai 2024, </w:t>
      </w:r>
      <w:r w:rsidRPr="008D249C">
        <w:rPr>
          <w:b/>
          <w:bCs/>
          <w:lang w:val="ro-RO"/>
        </w:rPr>
        <w:t>solicită ferm</w:t>
      </w:r>
      <w:r>
        <w:rPr>
          <w:lang w:val="ro-RO"/>
        </w:rPr>
        <w:t xml:space="preserve"> puterii executive și celei legislative </w:t>
      </w:r>
      <w:bookmarkStart w:id="0" w:name="_Hlk168040118"/>
      <w:r>
        <w:rPr>
          <w:lang w:val="ro-RO"/>
        </w:rPr>
        <w:t xml:space="preserve">să adopte de îndată măsurile necesare în vederea </w:t>
      </w:r>
      <w:r w:rsidRPr="008D249C">
        <w:rPr>
          <w:b/>
          <w:bCs/>
          <w:lang w:val="ro-RO"/>
        </w:rPr>
        <w:t xml:space="preserve">amânării </w:t>
      </w:r>
      <w:r w:rsidR="00846FE7" w:rsidRPr="008D249C">
        <w:rPr>
          <w:b/>
          <w:bCs/>
          <w:lang w:val="ro-RO"/>
        </w:rPr>
        <w:t>intrării</w:t>
      </w:r>
      <w:r w:rsidRPr="008D249C">
        <w:rPr>
          <w:b/>
          <w:bCs/>
          <w:lang w:val="ro-RO"/>
        </w:rPr>
        <w:t xml:space="preserve"> in vigoare</w:t>
      </w:r>
      <w:r>
        <w:rPr>
          <w:lang w:val="ro-RO"/>
        </w:rPr>
        <w:t xml:space="preserve"> a Legii</w:t>
      </w:r>
      <w:r w:rsidR="006F4EE8">
        <w:rPr>
          <w:lang w:val="ro-RO"/>
        </w:rPr>
        <w:t xml:space="preserve"> </w:t>
      </w:r>
      <w:r w:rsidR="00EC132E">
        <w:rPr>
          <w:lang w:val="ro-RO"/>
        </w:rPr>
        <w:t xml:space="preserve">nr. 11/2024 </w:t>
      </w:r>
      <w:r w:rsidR="00EC132E" w:rsidRPr="00173E55">
        <w:rPr>
          <w:i/>
          <w:iCs/>
          <w:lang w:val="ro-RO"/>
        </w:rPr>
        <w:t>privind statutul grefierilor și al altor categorii de personal care ocupă funcții de specialitate în cadrul instanțelor judecătorești, al parchetelor de pe lângă acestea și al Institutului Național de Expertize Criminalistice</w:t>
      </w:r>
      <w:r w:rsidR="00EC132E">
        <w:rPr>
          <w:i/>
          <w:iCs/>
          <w:lang w:val="ro-RO"/>
        </w:rPr>
        <w:t>,</w:t>
      </w:r>
      <w:r w:rsidR="00230B82">
        <w:rPr>
          <w:lang w:val="ro-RO"/>
        </w:rPr>
        <w:t xml:space="preserve"> reținând</w:t>
      </w:r>
      <w:r w:rsidR="005E0B50">
        <w:rPr>
          <w:lang w:val="ro-RO"/>
        </w:rPr>
        <w:t xml:space="preserve"> consecințele dezastruoase pe care aceasta le-ar genera în ceea ce </w:t>
      </w:r>
      <w:r w:rsidR="00846FE7">
        <w:rPr>
          <w:lang w:val="ro-RO"/>
        </w:rPr>
        <w:t>privește</w:t>
      </w:r>
      <w:r w:rsidR="005E0B50">
        <w:rPr>
          <w:lang w:val="ro-RO"/>
        </w:rPr>
        <w:t xml:space="preserve"> organizarea administrativă a </w:t>
      </w:r>
      <w:r w:rsidR="00846FE7">
        <w:rPr>
          <w:lang w:val="ro-RO"/>
        </w:rPr>
        <w:t>instanțelor</w:t>
      </w:r>
      <w:r w:rsidR="00EC132E">
        <w:rPr>
          <w:lang w:val="ro-RO"/>
        </w:rPr>
        <w:t>,</w:t>
      </w:r>
      <w:r w:rsidR="00230B82">
        <w:rPr>
          <w:lang w:val="ro-RO"/>
        </w:rPr>
        <w:t xml:space="preserve"> cu efecte</w:t>
      </w:r>
      <w:r w:rsidR="005E0B50">
        <w:rPr>
          <w:lang w:val="ro-RO"/>
        </w:rPr>
        <w:t xml:space="preserve"> directe asupra dreptului de acces la justiție al cetățenilor</w:t>
      </w:r>
      <w:r w:rsidR="00EC132E">
        <w:rPr>
          <w:lang w:val="ro-RO"/>
        </w:rPr>
        <w:t>.</w:t>
      </w:r>
    </w:p>
    <w:p w:rsidR="005E0B50" w:rsidRDefault="005E0B50" w:rsidP="00F55C84">
      <w:pPr>
        <w:spacing w:after="0" w:line="240" w:lineRule="auto"/>
        <w:ind w:firstLine="720"/>
        <w:jc w:val="both"/>
        <w:rPr>
          <w:lang w:val="ro-RO"/>
        </w:rPr>
      </w:pPr>
      <w:r>
        <w:rPr>
          <w:lang w:val="ro-RO"/>
        </w:rPr>
        <w:t>Solicitarea președinților de curți se alătură celor exprimate anterior</w:t>
      </w:r>
      <w:r w:rsidR="00EC132E">
        <w:rPr>
          <w:lang w:val="ro-RO"/>
        </w:rPr>
        <w:t>,</w:t>
      </w:r>
      <w:r w:rsidR="00BA191A">
        <w:rPr>
          <w:lang w:val="ro-RO"/>
        </w:rPr>
        <w:t xml:space="preserve"> </w:t>
      </w:r>
      <w:r w:rsidR="00846FE7">
        <w:rPr>
          <w:lang w:val="ro-RO"/>
        </w:rPr>
        <w:t>în același sens</w:t>
      </w:r>
      <w:r w:rsidR="00EC132E">
        <w:rPr>
          <w:lang w:val="ro-RO"/>
        </w:rPr>
        <w:t>,</w:t>
      </w:r>
      <w:r w:rsidR="00BA191A">
        <w:rPr>
          <w:lang w:val="ro-RO"/>
        </w:rPr>
        <w:t xml:space="preserve"> </w:t>
      </w:r>
      <w:r>
        <w:rPr>
          <w:lang w:val="ro-RO"/>
        </w:rPr>
        <w:t xml:space="preserve">de către președinții </w:t>
      </w:r>
      <w:r w:rsidR="00846FE7">
        <w:rPr>
          <w:lang w:val="ro-RO"/>
        </w:rPr>
        <w:t>tribunalelor</w:t>
      </w:r>
      <w:r>
        <w:rPr>
          <w:lang w:val="ro-RO"/>
        </w:rPr>
        <w:t xml:space="preserve"> și judecătoriilor</w:t>
      </w:r>
      <w:r w:rsidR="00230B82">
        <w:rPr>
          <w:lang w:val="ro-RO"/>
        </w:rPr>
        <w:t xml:space="preserve"> care au atras</w:t>
      </w:r>
      <w:r w:rsidR="00846FE7">
        <w:rPr>
          <w:lang w:val="ro-RO"/>
        </w:rPr>
        <w:t xml:space="preserve"> atenția, punctual și argumentat, cu privire la </w:t>
      </w:r>
      <w:r w:rsidR="00EC132E">
        <w:rPr>
          <w:lang w:val="ro-RO"/>
        </w:rPr>
        <w:t>deficiențele</w:t>
      </w:r>
      <w:r w:rsidR="00846FE7">
        <w:rPr>
          <w:lang w:val="ro-RO"/>
        </w:rPr>
        <w:t xml:space="preserve"> majore ale legii amintite</w:t>
      </w:r>
      <w:r w:rsidR="004064C0">
        <w:rPr>
          <w:lang w:val="ro-RO"/>
        </w:rPr>
        <w:t>.</w:t>
      </w:r>
    </w:p>
    <w:p w:rsidR="00AA47E3" w:rsidRDefault="00173E55" w:rsidP="002E103F">
      <w:pPr>
        <w:spacing w:after="0" w:line="240" w:lineRule="auto"/>
        <w:ind w:firstLine="720"/>
        <w:jc w:val="both"/>
        <w:rPr>
          <w:lang w:val="ro-RO"/>
        </w:rPr>
      </w:pPr>
      <w:r>
        <w:rPr>
          <w:lang w:val="ro-RO"/>
        </w:rPr>
        <w:t xml:space="preserve">A rezultat din </w:t>
      </w:r>
      <w:r w:rsidR="00AA47E3">
        <w:rPr>
          <w:lang w:val="ro-RO"/>
        </w:rPr>
        <w:t>discuții</w:t>
      </w:r>
      <w:r>
        <w:rPr>
          <w:lang w:val="ro-RO"/>
        </w:rPr>
        <w:t xml:space="preserve"> că preconizata intrare în vigoare a Legii nr. 11/2024 </w:t>
      </w:r>
      <w:r w:rsidRPr="00173E55">
        <w:rPr>
          <w:i/>
          <w:iCs/>
          <w:lang w:val="ro-RO"/>
        </w:rPr>
        <w:t>privind statutul grefierilor și al altor categorii de personal care ocupă funcții de specialitate în cadrul instanțelor judecătorești, al parchetelor de pe lângă acestea și al Institutului Național de Expertize Criminalistice</w:t>
      </w:r>
      <w:r>
        <w:rPr>
          <w:lang w:val="ro-RO"/>
        </w:rPr>
        <w:t xml:space="preserve"> generează îngrijorări profunde, prin imprecizia </w:t>
      </w:r>
      <w:r w:rsidR="00AA47E3">
        <w:rPr>
          <w:lang w:val="ro-RO"/>
        </w:rPr>
        <w:t>normelor juridice şi</w:t>
      </w:r>
      <w:r>
        <w:rPr>
          <w:lang w:val="ro-RO"/>
        </w:rPr>
        <w:t xml:space="preserve"> prin soluţiile legislative confuze şi contradictorii, care afectează caracterul clar şi previzibil pe care trebuie să îl aibă orice reglementare la nivel de lege, potrivit art. 1 </w:t>
      </w:r>
      <w:r w:rsidR="00B817E1">
        <w:rPr>
          <w:lang w:val="ro-RO"/>
        </w:rPr>
        <w:t xml:space="preserve">alin. (5) </w:t>
      </w:r>
      <w:r>
        <w:rPr>
          <w:lang w:val="ro-RO"/>
        </w:rPr>
        <w:t xml:space="preserve">din </w:t>
      </w:r>
      <w:r w:rsidR="00AA47E3">
        <w:rPr>
          <w:lang w:val="ro-RO"/>
        </w:rPr>
        <w:t>Constituția</w:t>
      </w:r>
      <w:r>
        <w:rPr>
          <w:lang w:val="ro-RO"/>
        </w:rPr>
        <w:t xml:space="preserve"> României</w:t>
      </w:r>
      <w:r w:rsidR="00230B82">
        <w:rPr>
          <w:lang w:val="ro-RO"/>
        </w:rPr>
        <w:t>, cu consecințe imediate</w:t>
      </w:r>
      <w:r w:rsidR="00AA47E3">
        <w:rPr>
          <w:lang w:val="ro-RO"/>
        </w:rPr>
        <w:t xml:space="preserve"> în efectuarea serviciului public pe care </w:t>
      </w:r>
      <w:r w:rsidR="00CF557B">
        <w:rPr>
          <w:lang w:val="ro-RO"/>
        </w:rPr>
        <w:t>instanțele</w:t>
      </w:r>
      <w:r w:rsidR="00AA47E3">
        <w:rPr>
          <w:lang w:val="ro-RO"/>
        </w:rPr>
        <w:t xml:space="preserve"> sunt obligate să îl asigure.</w:t>
      </w:r>
    </w:p>
    <w:p w:rsidR="00EF26FF" w:rsidRDefault="00AA47E3" w:rsidP="002E103F">
      <w:pPr>
        <w:spacing w:after="0" w:line="240" w:lineRule="auto"/>
        <w:ind w:firstLine="720"/>
        <w:jc w:val="both"/>
        <w:rPr>
          <w:lang w:val="ro-RO"/>
        </w:rPr>
      </w:pPr>
      <w:r>
        <w:rPr>
          <w:lang w:val="ro-RO"/>
        </w:rPr>
        <w:t>În concret, s</w:t>
      </w:r>
      <w:r w:rsidR="00173E55">
        <w:rPr>
          <w:lang w:val="ro-RO"/>
        </w:rPr>
        <w:t xml:space="preserve">-a reliefat imposibilitatea obiectivă de punere în aplicare a legii, cel puţin în ceea ce </w:t>
      </w:r>
      <w:r w:rsidR="004064C0">
        <w:rPr>
          <w:lang w:val="ro-RO"/>
        </w:rPr>
        <w:t xml:space="preserve">privește </w:t>
      </w:r>
      <w:r w:rsidR="006F4EE8">
        <w:rPr>
          <w:lang w:val="ro-RO"/>
        </w:rPr>
        <w:t xml:space="preserve"> </w:t>
      </w:r>
      <w:r w:rsidR="004064C0">
        <w:rPr>
          <w:lang w:val="ro-RO"/>
        </w:rPr>
        <w:t>soluțiile</w:t>
      </w:r>
      <w:r w:rsidR="00173E55">
        <w:rPr>
          <w:lang w:val="ro-RO"/>
        </w:rPr>
        <w:t xml:space="preserve"> legislative care sunt prezentate în anexa la prezenta scrisoare deschisă</w:t>
      </w:r>
      <w:r>
        <w:rPr>
          <w:lang w:val="ro-RO"/>
        </w:rPr>
        <w:t>.</w:t>
      </w:r>
    </w:p>
    <w:p w:rsidR="002E103F" w:rsidRDefault="00AA47E3" w:rsidP="002A7404">
      <w:pPr>
        <w:spacing w:after="0" w:line="240" w:lineRule="auto"/>
        <w:ind w:firstLine="720"/>
        <w:jc w:val="both"/>
        <w:rPr>
          <w:lang w:val="ro-RO"/>
        </w:rPr>
      </w:pPr>
      <w:r>
        <w:rPr>
          <w:lang w:val="ro-RO"/>
        </w:rPr>
        <w:t xml:space="preserve">În consecinţă, </w:t>
      </w:r>
      <w:r w:rsidR="00CB0B56">
        <w:rPr>
          <w:b/>
          <w:bCs/>
          <w:lang w:val="ro-RO"/>
        </w:rPr>
        <w:t>P</w:t>
      </w:r>
      <w:r w:rsidRPr="00164635">
        <w:rPr>
          <w:b/>
          <w:bCs/>
          <w:lang w:val="ro-RO"/>
        </w:rPr>
        <w:t xml:space="preserve">reședinții </w:t>
      </w:r>
      <w:r w:rsidR="00CB0B56">
        <w:rPr>
          <w:b/>
          <w:bCs/>
          <w:lang w:val="ro-RO"/>
        </w:rPr>
        <w:t>c</w:t>
      </w:r>
      <w:r w:rsidR="00DF2A35">
        <w:rPr>
          <w:b/>
          <w:bCs/>
          <w:lang w:val="ro-RO"/>
        </w:rPr>
        <w:t xml:space="preserve">urților de </w:t>
      </w:r>
      <w:r w:rsidR="00CB0B56">
        <w:rPr>
          <w:b/>
          <w:bCs/>
          <w:lang w:val="ro-RO"/>
        </w:rPr>
        <w:t>a</w:t>
      </w:r>
      <w:r w:rsidR="00DF2A35">
        <w:rPr>
          <w:b/>
          <w:bCs/>
          <w:lang w:val="ro-RO"/>
        </w:rPr>
        <w:t>pel</w:t>
      </w:r>
      <w:r w:rsidRPr="00164635">
        <w:rPr>
          <w:b/>
          <w:bCs/>
          <w:lang w:val="ro-RO"/>
        </w:rPr>
        <w:t xml:space="preserve"> solicită Consiliului Superior al Magistraturii, precum şi Ministerului Justiţiei</w:t>
      </w:r>
      <w:r w:rsidR="00916F64">
        <w:rPr>
          <w:b/>
          <w:bCs/>
          <w:lang w:val="ro-RO"/>
        </w:rPr>
        <w:t xml:space="preserve"> și Parlamentului</w:t>
      </w:r>
      <w:r w:rsidRPr="00164635">
        <w:rPr>
          <w:b/>
          <w:bCs/>
          <w:lang w:val="ro-RO"/>
        </w:rPr>
        <w:t>, să inițieze procedurile şi demersurile necesare pentru amânarea intrării în vigoare a Legii nr. 11/2024 până la corectarea acesteia şi armonizarea ei cu ansamblul actelor normative care reglementează funcționarea sistemului judiciar</w:t>
      </w:r>
      <w:r>
        <w:rPr>
          <w:lang w:val="ro-RO"/>
        </w:rPr>
        <w:t>.</w:t>
      </w:r>
    </w:p>
    <w:bookmarkEnd w:id="0"/>
    <w:p w:rsidR="00B42182" w:rsidRDefault="00B42182" w:rsidP="00A62451">
      <w:pPr>
        <w:spacing w:after="0" w:line="240" w:lineRule="auto"/>
        <w:jc w:val="both"/>
        <w:rPr>
          <w:lang w:val="ro-RO"/>
        </w:rPr>
      </w:pPr>
    </w:p>
    <w:p w:rsidR="00AD6DAA" w:rsidRDefault="00A62451" w:rsidP="00611CD3">
      <w:pPr>
        <w:spacing w:after="0" w:line="240" w:lineRule="auto"/>
        <w:ind w:firstLine="720"/>
        <w:jc w:val="both"/>
        <w:rPr>
          <w:lang w:val="ro-RO"/>
        </w:rPr>
      </w:pPr>
      <w:r w:rsidRPr="00611CD3">
        <w:rPr>
          <w:b/>
          <w:bCs/>
          <w:lang w:val="ro-RO"/>
        </w:rPr>
        <w:t xml:space="preserve">Semnează </w:t>
      </w:r>
      <w:r w:rsidR="00CF557B" w:rsidRPr="00611CD3">
        <w:rPr>
          <w:b/>
          <w:bCs/>
          <w:lang w:val="ro-RO"/>
        </w:rPr>
        <w:t>președinții</w:t>
      </w:r>
      <w:r w:rsidRPr="00611CD3">
        <w:rPr>
          <w:b/>
          <w:bCs/>
          <w:lang w:val="ro-RO"/>
        </w:rPr>
        <w:t xml:space="preserve"> următoarelor </w:t>
      </w:r>
      <w:r w:rsidR="00DF2A35">
        <w:rPr>
          <w:b/>
          <w:bCs/>
          <w:lang w:val="ro-RO"/>
        </w:rPr>
        <w:t>curți de apel</w:t>
      </w:r>
      <w:r w:rsidR="00735A12">
        <w:rPr>
          <w:lang w:val="ro-RO"/>
        </w:rPr>
        <w:t>:</w:t>
      </w:r>
    </w:p>
    <w:p w:rsidR="00DF2A35" w:rsidRDefault="00DF2A35" w:rsidP="00611CD3">
      <w:pPr>
        <w:spacing w:after="0" w:line="240" w:lineRule="auto"/>
        <w:ind w:firstLine="720"/>
        <w:jc w:val="both"/>
        <w:rPr>
          <w:lang w:val="ro-RO"/>
        </w:rPr>
      </w:pPr>
    </w:p>
    <w:tbl>
      <w:tblPr>
        <w:tblW w:w="0" w:type="auto"/>
        <w:tblLook w:val="04A0" w:firstRow="1" w:lastRow="0" w:firstColumn="1" w:lastColumn="0" w:noHBand="0" w:noVBand="1"/>
      </w:tblPr>
      <w:tblGrid>
        <w:gridCol w:w="3137"/>
        <w:gridCol w:w="3917"/>
        <w:gridCol w:w="2234"/>
      </w:tblGrid>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fr-FR"/>
              </w:rPr>
            </w:pPr>
            <w:r w:rsidRPr="00EC7675">
              <w:rPr>
                <w:rFonts w:eastAsia="Calibri" w:cstheme="minorHAnsi"/>
                <w:b/>
                <w:kern w:val="0"/>
                <w:sz w:val="24"/>
                <w:szCs w:val="24"/>
                <w:lang w:val="fr-FR"/>
              </w:rPr>
              <w:t>CURTEA DE APEL ALBA IULIA</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Oana Maria PETRAŞCU</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BACĂU</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Loredana Lenuţa ALBESCU</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BRAŞOV</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Daniela NICULEASA</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BUCUREŞTI</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Liana Nicoleta ARSENIE</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CLUJ</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Dana Cristina GÎRBOVAN</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CONSTANŢA</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Alina-Gabriela JURUBIŢĂ</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CRAIOVA</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Manuela Cristina BERCEANU</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GALAŢI</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Doru BENESCU</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lastRenderedPageBreak/>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IAŞI</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Diana-Mihaela Micu CHEPTENE</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ORADEA</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Florica ROMAN</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PITEŞTI</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Emilia Raluca TRANDAFIR</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PLOIEŞTI</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Paul Mihail FRĂŢILESCU</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SUCEAVA</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Titiana ILIEŞ</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CURTEA DE APEL TIMIŞOARA</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Maria Cristina DICA</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fr-FR"/>
              </w:rPr>
            </w:pPr>
            <w:r w:rsidRPr="00EC7675">
              <w:rPr>
                <w:rFonts w:eastAsia="Calibri" w:cstheme="minorHAnsi"/>
                <w:b/>
                <w:kern w:val="0"/>
                <w:sz w:val="24"/>
                <w:szCs w:val="24"/>
                <w:lang w:val="fr-FR"/>
              </w:rPr>
              <w:t>CURTEA DE APEL TÂRGU MUREŞ</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Ioana Delia LUCACI</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r w:rsidR="00EC7675" w:rsidRPr="00EC7675" w:rsidTr="00067919">
        <w:tc>
          <w:tcPr>
            <w:tcW w:w="3137" w:type="dxa"/>
            <w:shd w:val="clear" w:color="auto" w:fill="auto"/>
          </w:tcPr>
          <w:p w:rsidR="00EC7675" w:rsidRPr="00EC7675" w:rsidRDefault="00EC7675" w:rsidP="00EC7675">
            <w:pPr>
              <w:jc w:val="center"/>
              <w:rPr>
                <w:rFonts w:eastAsia="Calibri" w:cstheme="minorHAnsi"/>
                <w:b/>
                <w:kern w:val="0"/>
                <w:sz w:val="24"/>
                <w:szCs w:val="24"/>
                <w:lang w:val="fr-FR"/>
              </w:rPr>
            </w:pPr>
            <w:r w:rsidRPr="00EC7675">
              <w:rPr>
                <w:rFonts w:eastAsia="Calibri" w:cstheme="minorHAnsi"/>
                <w:b/>
                <w:kern w:val="0"/>
                <w:sz w:val="24"/>
                <w:szCs w:val="24"/>
                <w:lang w:val="fr-FR"/>
              </w:rPr>
              <w:t>CURTE MILITARĂ DE APEL BUCUREŞTI</w:t>
            </w:r>
          </w:p>
        </w:tc>
        <w:tc>
          <w:tcPr>
            <w:tcW w:w="3917" w:type="dxa"/>
            <w:shd w:val="clear" w:color="auto" w:fill="auto"/>
          </w:tcPr>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Petre Valentin BĂDIŢA</w:t>
            </w:r>
          </w:p>
          <w:p w:rsidR="00EC7675" w:rsidRPr="00EC7675" w:rsidRDefault="00EC7675" w:rsidP="00EC7675">
            <w:pPr>
              <w:jc w:val="center"/>
              <w:rPr>
                <w:rFonts w:eastAsia="Calibri" w:cstheme="minorHAnsi"/>
                <w:b/>
                <w:kern w:val="0"/>
                <w:sz w:val="24"/>
                <w:szCs w:val="24"/>
                <w:lang w:val="en-GB"/>
              </w:rPr>
            </w:pPr>
            <w:r w:rsidRPr="00EC7675">
              <w:rPr>
                <w:rFonts w:eastAsia="Calibri" w:cstheme="minorHAnsi"/>
                <w:b/>
                <w:kern w:val="0"/>
                <w:sz w:val="24"/>
                <w:szCs w:val="24"/>
                <w:lang w:val="en-GB"/>
              </w:rPr>
              <w:t>Preşedinte</w:t>
            </w:r>
          </w:p>
        </w:tc>
        <w:tc>
          <w:tcPr>
            <w:tcW w:w="2234" w:type="dxa"/>
          </w:tcPr>
          <w:p w:rsidR="00EC7675" w:rsidRPr="00EC7675" w:rsidRDefault="00EC7675" w:rsidP="00EC7675">
            <w:pPr>
              <w:jc w:val="center"/>
              <w:rPr>
                <w:rFonts w:eastAsia="Calibri" w:cstheme="minorHAnsi"/>
                <w:b/>
                <w:kern w:val="0"/>
                <w:sz w:val="24"/>
                <w:szCs w:val="24"/>
                <w:lang w:val="en-GB"/>
              </w:rPr>
            </w:pPr>
          </w:p>
        </w:tc>
      </w:tr>
    </w:tbl>
    <w:p w:rsidR="00EC7675" w:rsidRPr="00EC7675" w:rsidRDefault="00EC7675" w:rsidP="00EC7675">
      <w:pPr>
        <w:spacing w:after="0" w:line="240" w:lineRule="auto"/>
        <w:jc w:val="center"/>
        <w:rPr>
          <w:rFonts w:eastAsia="Calibri" w:cstheme="minorHAnsi"/>
          <w:b/>
          <w:kern w:val="0"/>
          <w:sz w:val="24"/>
          <w:szCs w:val="24"/>
          <w:lang w:val="ro-RO"/>
        </w:rPr>
      </w:pPr>
    </w:p>
    <w:p w:rsidR="00EC7675" w:rsidRPr="00EC7675" w:rsidRDefault="00EC7675" w:rsidP="00EC7675">
      <w:pPr>
        <w:spacing w:after="0" w:line="240" w:lineRule="auto"/>
        <w:jc w:val="center"/>
        <w:rPr>
          <w:rFonts w:eastAsia="Calibri" w:cstheme="minorHAnsi"/>
          <w:b/>
          <w:kern w:val="0"/>
          <w:sz w:val="24"/>
          <w:szCs w:val="24"/>
          <w:lang w:val="ro-RO"/>
        </w:rPr>
      </w:pPr>
    </w:p>
    <w:p w:rsidR="00C14C3C" w:rsidRDefault="00C14C3C" w:rsidP="00611CD3">
      <w:pPr>
        <w:spacing w:after="0" w:line="240" w:lineRule="auto"/>
        <w:ind w:firstLine="720"/>
        <w:jc w:val="both"/>
        <w:rPr>
          <w:lang w:val="ro-RO"/>
        </w:rPr>
      </w:pPr>
    </w:p>
    <w:tbl>
      <w:tblPr>
        <w:tblStyle w:val="TableGrid"/>
        <w:tblW w:w="10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420"/>
        <w:gridCol w:w="3572"/>
      </w:tblGrid>
      <w:tr w:rsidR="002A7404" w:rsidRPr="00DF2A35" w:rsidTr="00686B03">
        <w:tc>
          <w:tcPr>
            <w:tcW w:w="3330" w:type="dxa"/>
          </w:tcPr>
          <w:p w:rsidR="002A7404" w:rsidRPr="002A7404" w:rsidRDefault="002A7404" w:rsidP="00C14C3C">
            <w:pPr>
              <w:jc w:val="both"/>
              <w:rPr>
                <w:sz w:val="18"/>
                <w:szCs w:val="18"/>
                <w:lang w:val="ro-RO"/>
              </w:rPr>
            </w:pPr>
          </w:p>
        </w:tc>
        <w:tc>
          <w:tcPr>
            <w:tcW w:w="3420" w:type="dxa"/>
          </w:tcPr>
          <w:p w:rsidR="002A7404" w:rsidRPr="002A7404" w:rsidRDefault="002A7404" w:rsidP="00C14C3C">
            <w:pPr>
              <w:ind w:firstLine="12"/>
              <w:jc w:val="both"/>
              <w:rPr>
                <w:sz w:val="18"/>
                <w:szCs w:val="18"/>
                <w:lang w:val="ro-RO"/>
              </w:rPr>
            </w:pPr>
          </w:p>
        </w:tc>
        <w:tc>
          <w:tcPr>
            <w:tcW w:w="3572" w:type="dxa"/>
          </w:tcPr>
          <w:p w:rsidR="002A7404" w:rsidRPr="002A7404" w:rsidRDefault="002A7404" w:rsidP="000E6A85">
            <w:pPr>
              <w:jc w:val="both"/>
              <w:rPr>
                <w:sz w:val="18"/>
                <w:szCs w:val="18"/>
                <w:lang w:val="ro-RO"/>
              </w:rPr>
            </w:pPr>
          </w:p>
        </w:tc>
      </w:tr>
    </w:tbl>
    <w:p w:rsidR="00686B03" w:rsidRDefault="00686B03" w:rsidP="002A7404">
      <w:pPr>
        <w:tabs>
          <w:tab w:val="left" w:pos="709"/>
        </w:tabs>
        <w:spacing w:after="0" w:line="240" w:lineRule="auto"/>
        <w:jc w:val="right"/>
        <w:rPr>
          <w:rFonts w:ascii="Calibri" w:eastAsia="Times New Roman" w:hAnsi="Calibri" w:cs="Calibri"/>
          <w:b/>
          <w:bCs/>
          <w:kern w:val="0"/>
          <w:sz w:val="20"/>
          <w:szCs w:val="20"/>
          <w:lang w:val="ro-RO"/>
        </w:rPr>
      </w:pPr>
    </w:p>
    <w:p w:rsidR="00686B03" w:rsidRDefault="00686B03">
      <w:pPr>
        <w:rPr>
          <w:rFonts w:ascii="Calibri" w:eastAsia="Times New Roman" w:hAnsi="Calibri" w:cs="Calibri"/>
          <w:b/>
          <w:bCs/>
          <w:kern w:val="0"/>
          <w:sz w:val="20"/>
          <w:szCs w:val="20"/>
          <w:lang w:val="ro-RO"/>
        </w:rPr>
      </w:pPr>
      <w:r>
        <w:rPr>
          <w:rFonts w:ascii="Calibri" w:eastAsia="Times New Roman" w:hAnsi="Calibri" w:cs="Calibri"/>
          <w:b/>
          <w:bCs/>
          <w:kern w:val="0"/>
          <w:sz w:val="20"/>
          <w:szCs w:val="20"/>
          <w:lang w:val="ro-RO"/>
        </w:rPr>
        <w:br w:type="page"/>
      </w:r>
    </w:p>
    <w:p w:rsidR="002A7404" w:rsidRPr="00426155" w:rsidRDefault="00686B03" w:rsidP="002A7404">
      <w:pPr>
        <w:tabs>
          <w:tab w:val="left" w:pos="709"/>
        </w:tabs>
        <w:spacing w:after="0" w:line="240" w:lineRule="auto"/>
        <w:jc w:val="right"/>
        <w:rPr>
          <w:rFonts w:ascii="Calibri" w:eastAsia="Times New Roman" w:hAnsi="Calibri" w:cs="Calibri"/>
          <w:b/>
          <w:bCs/>
          <w:kern w:val="0"/>
          <w:sz w:val="20"/>
          <w:szCs w:val="20"/>
          <w:lang w:val="ro-RO"/>
        </w:rPr>
      </w:pPr>
      <w:r>
        <w:rPr>
          <w:rFonts w:ascii="Calibri" w:eastAsia="Times New Roman" w:hAnsi="Calibri" w:cs="Calibri"/>
          <w:b/>
          <w:bCs/>
          <w:kern w:val="0"/>
          <w:sz w:val="20"/>
          <w:szCs w:val="20"/>
          <w:lang w:val="ro-RO"/>
        </w:rPr>
        <w:lastRenderedPageBreak/>
        <w:t>Anexa la Sc</w:t>
      </w:r>
      <w:r w:rsidR="002A7404" w:rsidRPr="00426155">
        <w:rPr>
          <w:rFonts w:ascii="Calibri" w:eastAsia="Times New Roman" w:hAnsi="Calibri" w:cs="Calibri"/>
          <w:b/>
          <w:bCs/>
          <w:kern w:val="0"/>
          <w:sz w:val="20"/>
          <w:szCs w:val="20"/>
          <w:lang w:val="ro-RO"/>
        </w:rPr>
        <w:t xml:space="preserve">risoarea deschisă din </w:t>
      </w:r>
      <w:r w:rsidR="00BF12ED">
        <w:rPr>
          <w:rFonts w:ascii="Calibri" w:eastAsia="Times New Roman" w:hAnsi="Calibri" w:cs="Calibri"/>
          <w:b/>
          <w:bCs/>
          <w:kern w:val="0"/>
          <w:sz w:val="20"/>
          <w:szCs w:val="20"/>
          <w:lang w:val="ro-RO"/>
        </w:rPr>
        <w:t>30</w:t>
      </w:r>
      <w:r w:rsidR="002A7404" w:rsidRPr="00426155">
        <w:rPr>
          <w:rFonts w:ascii="Calibri" w:eastAsia="Times New Roman" w:hAnsi="Calibri" w:cs="Calibri"/>
          <w:b/>
          <w:bCs/>
          <w:kern w:val="0"/>
          <w:sz w:val="20"/>
          <w:szCs w:val="20"/>
          <w:lang w:val="ro-RO"/>
        </w:rPr>
        <w:t>.05.2024</w:t>
      </w:r>
    </w:p>
    <w:p w:rsidR="002A7404" w:rsidRDefault="002A7404" w:rsidP="002A7404">
      <w:pPr>
        <w:tabs>
          <w:tab w:val="left" w:pos="709"/>
        </w:tabs>
        <w:spacing w:after="0" w:line="240" w:lineRule="auto"/>
        <w:rPr>
          <w:rFonts w:ascii="Calibri" w:eastAsia="Times New Roman" w:hAnsi="Calibri" w:cs="Calibri"/>
          <w:kern w:val="0"/>
          <w:sz w:val="26"/>
          <w:szCs w:val="26"/>
          <w:lang w:val="ro-RO"/>
        </w:rPr>
      </w:pPr>
    </w:p>
    <w:p w:rsidR="002A7404" w:rsidRPr="00426155" w:rsidRDefault="002A7404" w:rsidP="002A7404">
      <w:pPr>
        <w:tabs>
          <w:tab w:val="left" w:pos="709"/>
        </w:tabs>
        <w:spacing w:after="0" w:line="240" w:lineRule="auto"/>
        <w:jc w:val="center"/>
        <w:rPr>
          <w:rFonts w:ascii="Calibri" w:eastAsia="Times New Roman" w:hAnsi="Calibri" w:cs="Calibri"/>
          <w:b/>
          <w:bCs/>
          <w:kern w:val="0"/>
          <w:sz w:val="24"/>
          <w:szCs w:val="24"/>
          <w:lang w:val="ro-RO"/>
        </w:rPr>
      </w:pPr>
    </w:p>
    <w:p w:rsidR="002A7404" w:rsidRPr="00426155" w:rsidRDefault="002A7404" w:rsidP="002A7404">
      <w:pPr>
        <w:tabs>
          <w:tab w:val="left" w:pos="709"/>
        </w:tabs>
        <w:spacing w:after="0" w:line="240" w:lineRule="auto"/>
        <w:jc w:val="center"/>
        <w:rPr>
          <w:rFonts w:ascii="Calibri" w:eastAsia="Times New Roman" w:hAnsi="Calibri" w:cs="Calibri"/>
          <w:b/>
          <w:bCs/>
          <w:kern w:val="0"/>
          <w:sz w:val="24"/>
          <w:szCs w:val="24"/>
          <w:lang w:val="ro-RO"/>
        </w:rPr>
      </w:pPr>
      <w:r w:rsidRPr="00426155">
        <w:rPr>
          <w:rFonts w:ascii="Calibri" w:eastAsia="Times New Roman" w:hAnsi="Calibri" w:cs="Calibri"/>
          <w:b/>
          <w:bCs/>
          <w:kern w:val="0"/>
          <w:sz w:val="24"/>
          <w:szCs w:val="24"/>
          <w:lang w:val="ro-RO"/>
        </w:rPr>
        <w:t xml:space="preserve">Exemple de norme care reliefează imposibilitatea obiectivă de punere în aplicare </w:t>
      </w:r>
      <w:r w:rsidR="009F1DFC">
        <w:rPr>
          <w:rFonts w:ascii="Calibri" w:eastAsia="Times New Roman" w:hAnsi="Calibri" w:cs="Calibri"/>
          <w:b/>
          <w:bCs/>
          <w:kern w:val="0"/>
          <w:sz w:val="24"/>
          <w:szCs w:val="24"/>
          <w:lang w:val="ro-RO"/>
        </w:rPr>
        <w:t xml:space="preserve">a </w:t>
      </w:r>
      <w:r w:rsidRPr="00426155">
        <w:rPr>
          <w:rFonts w:ascii="Calibri" w:eastAsia="Times New Roman" w:hAnsi="Calibri" w:cs="Calibri"/>
          <w:b/>
          <w:bCs/>
          <w:kern w:val="0"/>
          <w:sz w:val="24"/>
          <w:szCs w:val="24"/>
          <w:lang w:val="ro-RO"/>
        </w:rPr>
        <w:t xml:space="preserve">Legii nr. 11/2024 privind statutul grefierilor şi al altor categorii de personal care ocupă funcţii de specialitate în cadrul instanţelorjudecătoreşti, al parchetelor de pe lângă acestea şi al Institutului Naţional de Expertize Criminalistice </w:t>
      </w:r>
    </w:p>
    <w:p w:rsidR="002A7404" w:rsidRPr="00426155" w:rsidRDefault="002A7404" w:rsidP="002A7404">
      <w:pPr>
        <w:tabs>
          <w:tab w:val="left" w:pos="709"/>
        </w:tabs>
        <w:spacing w:after="0" w:line="240" w:lineRule="auto"/>
        <w:jc w:val="center"/>
        <w:rPr>
          <w:rFonts w:ascii="Calibri" w:eastAsia="Times New Roman" w:hAnsi="Calibri" w:cs="Calibri"/>
          <w:b/>
          <w:bCs/>
          <w:i/>
          <w:kern w:val="0"/>
          <w:sz w:val="24"/>
          <w:szCs w:val="24"/>
          <w:lang w:val="ro-RO"/>
        </w:rPr>
      </w:pPr>
    </w:p>
    <w:p w:rsidR="002A7404" w:rsidRPr="00426155" w:rsidRDefault="002A7404" w:rsidP="002A7404">
      <w:pPr>
        <w:tabs>
          <w:tab w:val="left" w:pos="1080"/>
        </w:tabs>
        <w:spacing w:after="0" w:line="240" w:lineRule="auto"/>
        <w:ind w:firstLine="720"/>
        <w:jc w:val="both"/>
        <w:rPr>
          <w:rFonts w:ascii="Calibri" w:eastAsia="Calibri" w:hAnsi="Calibri" w:cs="Times New Roman"/>
          <w:b/>
          <w:bCs/>
          <w:sz w:val="24"/>
          <w:szCs w:val="24"/>
          <w:lang w:val="ro-RO"/>
        </w:rPr>
      </w:pPr>
    </w:p>
    <w:p w:rsidR="002A7404" w:rsidRPr="00426155" w:rsidRDefault="002A7404" w:rsidP="002A7404">
      <w:pPr>
        <w:tabs>
          <w:tab w:val="left" w:pos="1080"/>
        </w:tabs>
        <w:spacing w:after="0" w:line="240" w:lineRule="auto"/>
        <w:ind w:firstLine="720"/>
        <w:jc w:val="both"/>
        <w:rPr>
          <w:rFonts w:ascii="Calibri" w:eastAsia="Calibri" w:hAnsi="Calibri" w:cs="Times New Roman"/>
          <w:b/>
          <w:bCs/>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b/>
          <w:bCs/>
          <w:sz w:val="24"/>
          <w:szCs w:val="24"/>
          <w:lang w:val="ro-RO"/>
        </w:rPr>
        <w:t>Reglementarea referitoare la atribuțiile grefierilor judiciari, grefierilor de ședință, grefierilor și ale specialiștilor IT are un caracter profund deficitar,</w:t>
      </w:r>
      <w:r w:rsidRPr="00426155">
        <w:rPr>
          <w:rFonts w:ascii="Calibri" w:eastAsia="Calibri" w:hAnsi="Calibri" w:cs="Times New Roman"/>
          <w:sz w:val="24"/>
          <w:szCs w:val="24"/>
          <w:lang w:val="ro-RO"/>
        </w:rPr>
        <w:t xml:space="preserve"> evidențiat:</w:t>
      </w:r>
    </w:p>
    <w:p w:rsidR="002A7404" w:rsidRPr="00426155" w:rsidRDefault="002A7404" w:rsidP="002A7404">
      <w:pPr>
        <w:pStyle w:val="ListParagraph"/>
        <w:numPr>
          <w:ilvl w:val="0"/>
          <w:numId w:val="1"/>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pe de o parte, de inexistența unor dispoziții de</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principiu care să statueze cu privire la aspectele esențiale vizând atribuțiile și conținutul funcțiilor de grefier de ședință, grefier și specialist IT, iar</w:t>
      </w:r>
    </w:p>
    <w:p w:rsidR="002A7404" w:rsidRPr="00426155" w:rsidRDefault="002A7404" w:rsidP="002A7404">
      <w:pPr>
        <w:pStyle w:val="ListParagraph"/>
        <w:numPr>
          <w:ilvl w:val="0"/>
          <w:numId w:val="1"/>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pe de altă parte, de faptul că mai multe dintre atribuțiile grefierului judiciar se suprapun cu cele ale asistentului judecătorului prevăzute prin Legea nr. 393/2023 privind statutul asistentului judecătorului, iar altele au o reglementare neclară.</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În același timp, modul necorespunzător în care sunt reglementate aceste atribuții face ca legea să conducă la dificultăți evidente de aplicare, susceptibile la rândul lor să genereze disfuncționalități în activitatea instanțelor și nemulțumiri inevitabile din partea personalului vizat.</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Totodată, și persoanele care exercită în prezent funcțiile de grefier documentarist, grefier statistician, grefier arhivar şi grefier registrator sunt expuse unei incertitudini nepermise, de vreme ce, potrivit art. 256 alin. (2) din Legea nr. 11/2024, aceste funcții vor fi desființate și transformate în funcții de grefier, fără ca legea să conțină nici cel mai mic indiciu cu privire la natura atribuțiilor pe care le-ar putea îndeplini un grefier sub imperiul noii reglementări.</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b/>
          <w:bCs/>
          <w:sz w:val="24"/>
          <w:szCs w:val="24"/>
          <w:lang w:val="ro-RO"/>
        </w:rPr>
        <w:t>Dispozițiile art. 258 din aceeași lege au un caracter neclar,</w:t>
      </w:r>
      <w:r w:rsidRPr="00426155">
        <w:rPr>
          <w:rFonts w:ascii="Calibri" w:eastAsia="Calibri" w:hAnsi="Calibri" w:cs="Times New Roman"/>
          <w:sz w:val="24"/>
          <w:szCs w:val="24"/>
          <w:lang w:val="ro-RO"/>
        </w:rPr>
        <w:t xml:space="preserve"> nerezultând dacă procentul de 10% se raportează la numărul total al posturilor din sistemul instanțelor judecătorești, la posturile de la fiecare instanță sau la totalul de posturi de la nivelul fiecărei curți de apel și al instanțelor din circumscripția acesteia.</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În același timp, nu se poate stabili care dintre cele două criterii („10% din numărul total al posturilor de grefier în cadrul instanţelorjudecătoreşti”, respectiv „1 grefier judiciar la 5 judecători în cadrul fiecărei instanţejudecătoreşti”) este prioritar în situația în care nu ar fi posibilă respectarea lor concomitentă.</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 xml:space="preserve">Totodată, trebuie avut în vedere și faptul că în lipsa unei majorări corespunzătoare a schemelor actuale de personal auxiliar de specialitate, transformarea a 10% din posturile existente de grefier în posturi de grefier judiciar va afecta major desfășurarea activității judiciare, în condițiile în care nici în prezent numărul grefierilor de ședință nu este suficient, fiind departe de raportul optim judecător – grefier de ședință. </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Tot neclare sunt și dispozițiile alin. (2) și (3) ale aceluiași articol, care folosesc sintagma „grefier”, fără a se preciza dacă se referă la funcția de grefier din reglementarea Legii nr. 567/2004 sau la funcția de grefier prevăzută în Legea nr. 11/2024, complet diferită de cea din reglementarea anterioară.</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Lipsa de capacitate organizatorică a Şcolii</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Naţionale de Grefieri pentru a face faţă noilor atribuţii de recrutare</w:t>
      </w:r>
      <w:r w:rsidR="008D249C">
        <w:rPr>
          <w:rFonts w:ascii="Calibri" w:eastAsia="Calibri" w:hAnsi="Calibri" w:cs="Times New Roman"/>
          <w:sz w:val="24"/>
          <w:szCs w:val="24"/>
          <w:lang w:val="ro-RO"/>
        </w:rPr>
        <w:t>/promovare</w:t>
      </w:r>
      <w:r w:rsidR="00404048">
        <w:rPr>
          <w:rFonts w:ascii="Calibri" w:eastAsia="Calibri" w:hAnsi="Calibri" w:cs="Times New Roman"/>
          <w:sz w:val="24"/>
          <w:szCs w:val="24"/>
          <w:lang w:val="ro-RO"/>
        </w:rPr>
        <w:t xml:space="preserve"> </w:t>
      </w:r>
      <w:r w:rsidR="00256DAA">
        <w:rPr>
          <w:rFonts w:ascii="Calibri" w:eastAsia="Calibri" w:hAnsi="Calibri" w:cs="Times New Roman"/>
          <w:sz w:val="24"/>
          <w:szCs w:val="24"/>
          <w:lang w:val="ro-RO"/>
        </w:rPr>
        <w:t xml:space="preserve">a </w:t>
      </w:r>
      <w:r w:rsidRPr="00426155">
        <w:rPr>
          <w:rFonts w:ascii="Calibri" w:eastAsia="Calibri" w:hAnsi="Calibri" w:cs="Times New Roman"/>
          <w:sz w:val="24"/>
          <w:szCs w:val="24"/>
          <w:lang w:val="ro-RO"/>
        </w:rPr>
        <w:t>grefierilor la nivel naţional.</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b/>
          <w:bCs/>
          <w:sz w:val="24"/>
          <w:szCs w:val="24"/>
          <w:lang w:val="ro-RO"/>
        </w:rPr>
        <w:lastRenderedPageBreak/>
        <w:t>Dispozițiile art. 257 alin. (3) din Legea nr. 11/2024</w:t>
      </w:r>
      <w:r w:rsidRPr="00426155">
        <w:rPr>
          <w:rFonts w:ascii="Calibri" w:eastAsia="Calibri" w:hAnsi="Calibri" w:cs="Times New Roman"/>
          <w:sz w:val="24"/>
          <w:szCs w:val="24"/>
          <w:lang w:val="ro-RO"/>
        </w:rPr>
        <w:t xml:space="preserve"> – care ar urma să fie aplicate de îndată după intrarea în vigoare a legii, în situația în care numărul grefierilor care solicită reîncadrarea pe noile funcţii de grefier de şedinţă este mai mare decât numărul de posturi prevăzute pentru aceste noi funcţii -</w:t>
      </w:r>
      <w:r w:rsidRPr="00426155">
        <w:rPr>
          <w:rFonts w:ascii="Calibri" w:eastAsia="Calibri" w:hAnsi="Calibri" w:cs="Times New Roman"/>
          <w:b/>
          <w:bCs/>
          <w:sz w:val="24"/>
          <w:szCs w:val="24"/>
          <w:lang w:val="ro-RO"/>
        </w:rPr>
        <w:t xml:space="preserve"> au o valoare pur declarativă, fără nicio aplicabilitate practică,</w:t>
      </w:r>
      <w:r w:rsidRPr="00426155">
        <w:rPr>
          <w:rFonts w:ascii="Calibri" w:eastAsia="Calibri" w:hAnsi="Calibri" w:cs="Times New Roman"/>
          <w:sz w:val="24"/>
          <w:szCs w:val="24"/>
          <w:lang w:val="ro-RO"/>
        </w:rPr>
        <w:t xml:space="preserve"> în condițiile în care legiuitorul a omis reglementarea unor aspecte esențiale referitoare la procedura și la probele concursului vizat de aceste dispoziții.</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b/>
          <w:bCs/>
          <w:sz w:val="24"/>
          <w:szCs w:val="24"/>
          <w:lang w:val="ro-RO"/>
        </w:rPr>
        <w:t>Reglementarea referitoare la ocuparea pe perioadă determinată a posturilor temporar vacante, cuprinsă în art. 58 din aceeași lege, este deficitară,</w:t>
      </w:r>
      <w:r w:rsidRPr="00426155">
        <w:rPr>
          <w:rFonts w:ascii="Calibri" w:eastAsia="Calibri" w:hAnsi="Calibri" w:cs="Times New Roman"/>
          <w:sz w:val="24"/>
          <w:szCs w:val="24"/>
          <w:lang w:val="ro-RO"/>
        </w:rPr>
        <w:t xml:space="preserve"> nefiind clar - în condițiile în care, pe de o parte, se face trimitere doar la art. 32 - 40 care prevăd procedura de concurs pentru selecția grefierilor, agenților procedurali și șoferilor, dar, pe de altă parte, se prevede aplicarea, fără nicio distincție, la toate categoriile de personal prevăzute la art. 2 alin. (1) din lege – dacă aceste dispoziții ar putea constitui temei și pentru organizarea unor concursuri la nivelul curților de apel pentru ocuparea posturilor temporar vacante de grefier judiciar și grefier de ședință. În mod similar se pune problema și în privința posibilității aplicării acestor dispoziții pentru ocuparea posturilor temporar vacante de specialist IT.</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 xml:space="preserve">În același timp, </w:t>
      </w:r>
      <w:r w:rsidRPr="00426155">
        <w:rPr>
          <w:rFonts w:ascii="Calibri" w:eastAsia="Calibri" w:hAnsi="Calibri" w:cs="Times New Roman"/>
          <w:b/>
          <w:bCs/>
          <w:sz w:val="24"/>
          <w:szCs w:val="24"/>
          <w:lang w:val="ro-RO"/>
        </w:rPr>
        <w:t>aceeași lege prevede, prin art. 259, o altă procedură pentru ocuparea posturilor vacante temporar,</w:t>
      </w:r>
      <w:r w:rsidRPr="00426155">
        <w:rPr>
          <w:rFonts w:ascii="Calibri" w:eastAsia="Calibri" w:hAnsi="Calibri" w:cs="Times New Roman"/>
          <w:sz w:val="24"/>
          <w:szCs w:val="24"/>
          <w:lang w:val="ro-RO"/>
        </w:rPr>
        <w:t xml:space="preserve"> dar de această dată pe durată nedeterminată, fără însă a fi stabilite criterii obiective și transparente pentru alegerea uneia dintre cele două modalități de ocupare a posturilor.</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b/>
          <w:bCs/>
          <w:sz w:val="24"/>
          <w:szCs w:val="24"/>
          <w:lang w:val="ro-RO"/>
        </w:rPr>
        <w:t>În Legea nr. 11/2024 nu se mai regăsește o reglementare similară celei din art. 36 din Legea nr. 567/2004</w:t>
      </w:r>
      <w:r w:rsidRPr="00426155">
        <w:rPr>
          <w:rFonts w:ascii="Calibri" w:eastAsia="Calibri" w:hAnsi="Calibri" w:cs="Times New Roman"/>
          <w:sz w:val="24"/>
          <w:szCs w:val="24"/>
          <w:lang w:val="ro-RO"/>
        </w:rPr>
        <w:t xml:space="preserve"> care permite ocuparea posturilor vacante de personal auxiliar de specialitate prin concurs organizat la nivelul curţilor de apel, parchetelor de pe lângă curţile de apel, Înaltei Curţi de Casaţie</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şi</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Justiţie,</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Parchetului de pe lângă Înalta Curte de Casaţie</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şi</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Justiţie</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şi</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Direcţiei</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Naţionale</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 xml:space="preserve">Anticorupţie. </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În condițiile în care reglementarea actuală a constituit de multe ori un instrument esențial pentru atenuarea deficitului de personal auxiliar cu care s-au confruntat instanțele judecătorești, este evident că omisiunea Legii nr. 11/2024 de a prevedea</w:t>
      </w:r>
      <w:r w:rsidR="00404048">
        <w:rPr>
          <w:rFonts w:ascii="Calibri" w:eastAsia="Calibri" w:hAnsi="Calibri" w:cs="Times New Roman"/>
          <w:sz w:val="24"/>
          <w:szCs w:val="24"/>
          <w:lang w:val="ro-RO"/>
        </w:rPr>
        <w:t xml:space="preserve"> </w:t>
      </w:r>
      <w:r w:rsidRPr="00426155">
        <w:rPr>
          <w:rFonts w:ascii="Calibri" w:eastAsia="Calibri" w:hAnsi="Calibri" w:cs="Times New Roman"/>
          <w:sz w:val="24"/>
          <w:szCs w:val="24"/>
          <w:lang w:val="ro-RO"/>
        </w:rPr>
        <w:t>posibilitatea ocupării posturilor vacante de grefier judiciar sau grefier de ședință și prin concursuri organizate de curțile de apel constituie un regres în reglementare.</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 xml:space="preserve">Deși în concepția legii gestionarea carierei categoriilor de personal vizate de aceasta se realizează de președintele curții de apel, </w:t>
      </w:r>
      <w:r w:rsidRPr="00426155">
        <w:rPr>
          <w:rFonts w:ascii="Calibri" w:eastAsia="Calibri" w:hAnsi="Calibri" w:cs="Times New Roman"/>
          <w:b/>
          <w:bCs/>
          <w:sz w:val="24"/>
          <w:szCs w:val="24"/>
          <w:lang w:val="ro-RO"/>
        </w:rPr>
        <w:t xml:space="preserve">în mod inexplicabil art. 157 alin. (1) din aceeași lege scoate măsura transferului din competența de dispoziție a președintelui curții de apel </w:t>
      </w:r>
      <w:r w:rsidRPr="00426155">
        <w:rPr>
          <w:rFonts w:ascii="Calibri" w:eastAsia="Calibri" w:hAnsi="Calibri" w:cs="Times New Roman"/>
          <w:sz w:val="24"/>
          <w:szCs w:val="24"/>
          <w:lang w:val="ro-RO"/>
        </w:rPr>
        <w:t xml:space="preserve">și o atribuie în competența președintelui instanţei de unde se transferă personalul. În același timp, tot acesta din urmă este abilitat de lege să-și avizeze propria măsură, fapt care este profund criticabil. </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b/>
          <w:bCs/>
          <w:sz w:val="24"/>
          <w:szCs w:val="24"/>
          <w:lang w:val="ro-RO"/>
        </w:rPr>
      </w:pPr>
      <w:r w:rsidRPr="00426155">
        <w:rPr>
          <w:rFonts w:ascii="Calibri" w:eastAsia="Calibri" w:hAnsi="Calibri" w:cs="Times New Roman"/>
          <w:b/>
          <w:bCs/>
          <w:sz w:val="24"/>
          <w:szCs w:val="24"/>
          <w:lang w:val="ro-RO"/>
        </w:rPr>
        <w:t xml:space="preserve">O altă problemă esențială, pentru care nu sunt prevăzute în prezent soluții concrete, vizează salarizarea categoriilor de personal prevăzute de noua lege. </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În primul rând, deși art. 264 din Legea nr. 11/2024 prevede că „nivelul de salarizare pentru funcțiile nou-înființate prin prezenta lege se stabilește prin Legea-cadru nr. 153/2017 privind salarizarea personalului plătit din fonduri publice, cu modificările şi completările ulterioare”, nu au fost realizate demersurile necesare pentru completarea legii-cadru referitoare la salarizarea personalului plătit din fonduri publice.</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r w:rsidRPr="00426155">
        <w:rPr>
          <w:rFonts w:ascii="Calibri" w:eastAsia="Calibri" w:hAnsi="Calibri" w:cs="Times New Roman"/>
          <w:sz w:val="24"/>
          <w:szCs w:val="24"/>
          <w:lang w:val="ro-RO"/>
        </w:rPr>
        <w:t xml:space="preserve">În al doilea rând, soluția prevăzută de art. 264 nu se corelează cu dispoziția prevăzută la art. 205 alin. (2) din Legea nr. 303/2022 privind statutul judecătorilor și procurorilor care face referire la legea specială privind salarizarea şi alte drepturi salariale în domeniul justiţiei. </w:t>
      </w:r>
    </w:p>
    <w:p w:rsidR="002A7404" w:rsidRPr="00426155" w:rsidRDefault="002A7404" w:rsidP="002A7404">
      <w:pPr>
        <w:tabs>
          <w:tab w:val="left" w:pos="1080"/>
        </w:tabs>
        <w:spacing w:after="0" w:line="240" w:lineRule="auto"/>
        <w:ind w:firstLine="720"/>
        <w:jc w:val="both"/>
        <w:rPr>
          <w:rFonts w:ascii="Calibri" w:eastAsia="Calibri" w:hAnsi="Calibri" w:cs="Times New Roman"/>
          <w:sz w:val="24"/>
          <w:szCs w:val="24"/>
          <w:lang w:val="ro-RO"/>
        </w:rPr>
      </w:pPr>
    </w:p>
    <w:p w:rsidR="002A7404" w:rsidRPr="00426155" w:rsidRDefault="002A7404" w:rsidP="002A7404">
      <w:pPr>
        <w:pStyle w:val="ListParagraph"/>
        <w:numPr>
          <w:ilvl w:val="0"/>
          <w:numId w:val="3"/>
        </w:numPr>
        <w:tabs>
          <w:tab w:val="left" w:pos="1080"/>
        </w:tabs>
        <w:spacing w:after="0" w:line="240" w:lineRule="auto"/>
        <w:ind w:left="0" w:firstLine="720"/>
        <w:jc w:val="both"/>
        <w:rPr>
          <w:rFonts w:ascii="Calibri" w:eastAsia="Calibri" w:hAnsi="Calibri" w:cs="Times New Roman"/>
          <w:b/>
          <w:bCs/>
          <w:sz w:val="24"/>
          <w:szCs w:val="24"/>
          <w:lang w:val="ro-RO"/>
        </w:rPr>
      </w:pPr>
      <w:r w:rsidRPr="00426155">
        <w:rPr>
          <w:rFonts w:ascii="Calibri" w:eastAsia="Calibri" w:hAnsi="Calibri" w:cs="Times New Roman"/>
          <w:b/>
          <w:bCs/>
          <w:sz w:val="24"/>
          <w:szCs w:val="24"/>
          <w:lang w:val="ro-RO"/>
        </w:rPr>
        <w:lastRenderedPageBreak/>
        <w:t>Alte reglementări din Legea nr. 11/2024, referitoare la derularea unor concursuri, au, de asemenea, un caracter deficitar, sens în care exemplificăm:</w:t>
      </w:r>
    </w:p>
    <w:p w:rsidR="002A7404" w:rsidRPr="00426155" w:rsidRDefault="002A7404" w:rsidP="002A7404">
      <w:pPr>
        <w:pStyle w:val="ListParagraph"/>
        <w:numPr>
          <w:ilvl w:val="0"/>
          <w:numId w:val="2"/>
        </w:numPr>
        <w:tabs>
          <w:tab w:val="left" w:pos="1080"/>
        </w:tabs>
        <w:spacing w:after="0" w:line="240" w:lineRule="auto"/>
        <w:ind w:left="0" w:firstLine="720"/>
        <w:jc w:val="both"/>
        <w:rPr>
          <w:rFonts w:ascii="Calibri" w:eastAsia="Calibri" w:hAnsi="Calibri" w:cs="Times New Roman"/>
          <w:b/>
          <w:bCs/>
          <w:sz w:val="24"/>
          <w:szCs w:val="24"/>
          <w:lang w:val="ro-RO"/>
        </w:rPr>
      </w:pPr>
      <w:r w:rsidRPr="00426155">
        <w:rPr>
          <w:rFonts w:ascii="Calibri" w:eastAsia="Calibri" w:hAnsi="Calibri" w:cs="Times New Roman"/>
          <w:b/>
          <w:bCs/>
          <w:sz w:val="24"/>
          <w:szCs w:val="24"/>
          <w:lang w:val="ro-RO"/>
        </w:rPr>
        <w:t>dispozițiile art. 7 lit. d), care sunt inaplicabile</w:t>
      </w:r>
      <w:r w:rsidRPr="00426155">
        <w:rPr>
          <w:rFonts w:ascii="Calibri" w:eastAsia="Calibri" w:hAnsi="Calibri" w:cs="Times New Roman"/>
          <w:sz w:val="24"/>
          <w:szCs w:val="24"/>
          <w:lang w:val="ro-RO"/>
        </w:rPr>
        <w:t xml:space="preserve"> întrucât finalitatea procedurii de evaluare este reprezentată de acordarea unui calificativ, iar nu de aplicarea unei sancțiuni disciplinare.</w:t>
      </w:r>
    </w:p>
    <w:p w:rsidR="002A7404" w:rsidRPr="00426155" w:rsidRDefault="002A7404" w:rsidP="002A7404">
      <w:pPr>
        <w:pStyle w:val="ListParagraph"/>
        <w:numPr>
          <w:ilvl w:val="0"/>
          <w:numId w:val="2"/>
        </w:numPr>
        <w:tabs>
          <w:tab w:val="left" w:pos="1080"/>
        </w:tabs>
        <w:spacing w:after="0" w:line="240" w:lineRule="auto"/>
        <w:ind w:left="0" w:firstLine="720"/>
        <w:jc w:val="both"/>
        <w:rPr>
          <w:rFonts w:ascii="Calibri" w:eastAsia="Calibri" w:hAnsi="Calibri" w:cs="Times New Roman"/>
          <w:b/>
          <w:bCs/>
          <w:sz w:val="24"/>
          <w:szCs w:val="24"/>
          <w:lang w:val="ro-RO"/>
        </w:rPr>
      </w:pPr>
      <w:r w:rsidRPr="00426155">
        <w:rPr>
          <w:rFonts w:ascii="Calibri" w:eastAsia="Calibri" w:hAnsi="Calibri" w:cs="Times New Roman"/>
          <w:b/>
          <w:bCs/>
          <w:sz w:val="24"/>
          <w:szCs w:val="24"/>
          <w:lang w:val="ro-RO"/>
        </w:rPr>
        <w:t>dispozițiile art. 38 alin. (1) care sunt confuze,</w:t>
      </w:r>
      <w:r w:rsidRPr="00426155">
        <w:rPr>
          <w:rFonts w:ascii="Calibri" w:eastAsia="Calibri" w:hAnsi="Calibri" w:cs="Times New Roman"/>
          <w:sz w:val="24"/>
          <w:szCs w:val="24"/>
          <w:lang w:val="ro-RO"/>
        </w:rPr>
        <w:t xml:space="preserve"> întrucât, deși privesc un concurs la care proba scrisă nu presupune mai multe discipline, prin modul în care sunt redactate par a acredita exact contrariul. În primul rând, textul face referire la „fiecare disciplină”, cu toate că nu există mai multe discipline, dar și la media notelor obținute la proba scrisă</w:t>
      </w:r>
      <w:r w:rsidR="00404048">
        <w:rPr>
          <w:rFonts w:ascii="Calibri" w:eastAsia="Calibri" w:hAnsi="Calibri" w:cs="Times New Roman"/>
          <w:sz w:val="24"/>
          <w:szCs w:val="24"/>
          <w:lang w:val="ro-RO"/>
        </w:rPr>
        <w:t>,</w:t>
      </w:r>
      <w:r w:rsidRPr="00426155">
        <w:rPr>
          <w:rFonts w:ascii="Calibri" w:eastAsia="Calibri" w:hAnsi="Calibri" w:cs="Times New Roman"/>
          <w:sz w:val="24"/>
          <w:szCs w:val="24"/>
          <w:lang w:val="ro-RO"/>
        </w:rPr>
        <w:t xml:space="preserve"> deși la acest concurs există o singură lucrare scrisă pentru care ar urma să se acorde, în mod firesc, o singură notă.  </w:t>
      </w:r>
    </w:p>
    <w:p w:rsidR="002A7404" w:rsidRPr="00426155" w:rsidRDefault="002A7404" w:rsidP="002A7404">
      <w:pPr>
        <w:pStyle w:val="ListParagraph"/>
        <w:numPr>
          <w:ilvl w:val="0"/>
          <w:numId w:val="2"/>
        </w:numPr>
        <w:tabs>
          <w:tab w:val="left" w:pos="1080"/>
        </w:tabs>
        <w:spacing w:after="0" w:line="240" w:lineRule="auto"/>
        <w:ind w:left="0" w:firstLine="720"/>
        <w:jc w:val="both"/>
        <w:rPr>
          <w:rFonts w:ascii="Calibri" w:eastAsia="Calibri" w:hAnsi="Calibri" w:cs="Times New Roman"/>
          <w:b/>
          <w:bCs/>
          <w:sz w:val="24"/>
          <w:szCs w:val="24"/>
          <w:lang w:val="ro-RO"/>
        </w:rPr>
      </w:pPr>
      <w:r w:rsidRPr="00426155">
        <w:rPr>
          <w:rFonts w:ascii="Calibri" w:eastAsia="Calibri" w:hAnsi="Calibri" w:cs="Times New Roman"/>
          <w:sz w:val="24"/>
          <w:szCs w:val="24"/>
          <w:lang w:val="ro-RO"/>
        </w:rPr>
        <w:t xml:space="preserve">mai multe dispoziții din Legea nr. 11/2024 prevăd că </w:t>
      </w:r>
      <w:r w:rsidRPr="00426155">
        <w:rPr>
          <w:rFonts w:ascii="Calibri" w:eastAsia="Calibri" w:hAnsi="Calibri" w:cs="Times New Roman"/>
          <w:b/>
          <w:bCs/>
          <w:sz w:val="24"/>
          <w:szCs w:val="24"/>
          <w:lang w:val="ro-RO"/>
        </w:rPr>
        <w:t>în comisiile de concurs pot fi numiți și reprezentanți ai organizațiilor profesionale sau sindicale reprezentative ale profesiei, în calitate de observatori.</w:t>
      </w:r>
      <w:r w:rsidRPr="00426155">
        <w:rPr>
          <w:rFonts w:ascii="Calibri" w:eastAsia="Calibri" w:hAnsi="Calibri" w:cs="Times New Roman"/>
          <w:sz w:val="24"/>
          <w:szCs w:val="24"/>
          <w:lang w:val="ro-RO"/>
        </w:rPr>
        <w:t xml:space="preserve"> În acest fel sunt generate riscuri inutile pentru asigurarea confidențialității subiectelor de concurs, fără ca acestea să fie justificate de vreun avantaj concret dedus dintr-o astfel de participare.</w:t>
      </w:r>
    </w:p>
    <w:p w:rsidR="00A62451" w:rsidRDefault="00A62451" w:rsidP="00A62451">
      <w:pPr>
        <w:spacing w:after="0" w:line="240" w:lineRule="auto"/>
        <w:jc w:val="both"/>
        <w:rPr>
          <w:lang w:val="ro-RO"/>
        </w:rPr>
      </w:pPr>
    </w:p>
    <w:sectPr w:rsidR="00A62451" w:rsidSect="00686B03">
      <w:pgSz w:w="12240" w:h="15840"/>
      <w:pgMar w:top="720" w:right="99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D67C89"/>
    <w:multiLevelType w:val="hybridMultilevel"/>
    <w:tmpl w:val="4CC0F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0F829EA"/>
    <w:multiLevelType w:val="hybridMultilevel"/>
    <w:tmpl w:val="00A89FB8"/>
    <w:lvl w:ilvl="0" w:tplc="7DC2E26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25D1EEC"/>
    <w:multiLevelType w:val="hybridMultilevel"/>
    <w:tmpl w:val="0C940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50182242">
    <w:abstractNumId w:val="0"/>
  </w:num>
  <w:num w:numId="2" w16cid:durableId="1769110511">
    <w:abstractNumId w:val="2"/>
  </w:num>
  <w:num w:numId="3" w16cid:durableId="988552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6FF"/>
    <w:rsid w:val="000574F6"/>
    <w:rsid w:val="00164635"/>
    <w:rsid w:val="00173E55"/>
    <w:rsid w:val="00196C9B"/>
    <w:rsid w:val="001F54BF"/>
    <w:rsid w:val="00230B82"/>
    <w:rsid w:val="00256DAA"/>
    <w:rsid w:val="00272F6B"/>
    <w:rsid w:val="002A7404"/>
    <w:rsid w:val="002E103F"/>
    <w:rsid w:val="00404048"/>
    <w:rsid w:val="004064C0"/>
    <w:rsid w:val="004470BC"/>
    <w:rsid w:val="00462EFD"/>
    <w:rsid w:val="004A22DF"/>
    <w:rsid w:val="004A7D17"/>
    <w:rsid w:val="004E6E84"/>
    <w:rsid w:val="004F434E"/>
    <w:rsid w:val="004F5973"/>
    <w:rsid w:val="00506C87"/>
    <w:rsid w:val="00540B09"/>
    <w:rsid w:val="005C2A33"/>
    <w:rsid w:val="005C4DFD"/>
    <w:rsid w:val="005C76ED"/>
    <w:rsid w:val="005E0B50"/>
    <w:rsid w:val="00611CD3"/>
    <w:rsid w:val="006576E9"/>
    <w:rsid w:val="006667DA"/>
    <w:rsid w:val="0067116C"/>
    <w:rsid w:val="0068475D"/>
    <w:rsid w:val="00686B03"/>
    <w:rsid w:val="006F4EE8"/>
    <w:rsid w:val="00735A12"/>
    <w:rsid w:val="007A6A43"/>
    <w:rsid w:val="00846FE7"/>
    <w:rsid w:val="00876171"/>
    <w:rsid w:val="008D249C"/>
    <w:rsid w:val="008E070C"/>
    <w:rsid w:val="0090622D"/>
    <w:rsid w:val="00916F64"/>
    <w:rsid w:val="009D3FBF"/>
    <w:rsid w:val="009F1DFC"/>
    <w:rsid w:val="00A62451"/>
    <w:rsid w:val="00A94077"/>
    <w:rsid w:val="00AA47E3"/>
    <w:rsid w:val="00AB5A6D"/>
    <w:rsid w:val="00AD6DAA"/>
    <w:rsid w:val="00B42182"/>
    <w:rsid w:val="00B463C7"/>
    <w:rsid w:val="00B817E1"/>
    <w:rsid w:val="00BA191A"/>
    <w:rsid w:val="00BF12ED"/>
    <w:rsid w:val="00C14C3C"/>
    <w:rsid w:val="00C4172E"/>
    <w:rsid w:val="00CB0B56"/>
    <w:rsid w:val="00CC14A1"/>
    <w:rsid w:val="00CD13B4"/>
    <w:rsid w:val="00CD549B"/>
    <w:rsid w:val="00CF557B"/>
    <w:rsid w:val="00D2633F"/>
    <w:rsid w:val="00D621AB"/>
    <w:rsid w:val="00D838DE"/>
    <w:rsid w:val="00DB738C"/>
    <w:rsid w:val="00DE1708"/>
    <w:rsid w:val="00DF2A35"/>
    <w:rsid w:val="00EA66D9"/>
    <w:rsid w:val="00EC0859"/>
    <w:rsid w:val="00EC132E"/>
    <w:rsid w:val="00EC7675"/>
    <w:rsid w:val="00EF26FF"/>
    <w:rsid w:val="00F55C84"/>
    <w:rsid w:val="00F6661E"/>
    <w:rsid w:val="00FA1B26"/>
    <w:rsid w:val="00FB1B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A7FD2"/>
  <w15:docId w15:val="{67E4DCE9-0E08-4299-AD99-9CAF7E5F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9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5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7404"/>
    <w:pPr>
      <w:ind w:left="720"/>
      <w:contextualSpacing/>
    </w:pPr>
  </w:style>
  <w:style w:type="paragraph" w:styleId="BalloonText">
    <w:name w:val="Balloon Text"/>
    <w:basedOn w:val="Normal"/>
    <w:link w:val="BalloonTextChar"/>
    <w:uiPriority w:val="99"/>
    <w:semiHidden/>
    <w:unhideWhenUsed/>
    <w:rsid w:val="006667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7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1732</Words>
  <Characters>9877</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claudiu dragusin</dc:creator>
  <cp:keywords/>
  <dc:description/>
  <cp:lastModifiedBy>Ioana, STANCIOI</cp:lastModifiedBy>
  <cp:revision>4</cp:revision>
  <cp:lastPrinted>2024-05-30T09:48:00Z</cp:lastPrinted>
  <dcterms:created xsi:type="dcterms:W3CDTF">2024-05-31T06:13:00Z</dcterms:created>
  <dcterms:modified xsi:type="dcterms:W3CDTF">2024-05-31T07:07:00Z</dcterms:modified>
</cp:coreProperties>
</file>