
<file path=[Content_Types].xml><?xml version="1.0" encoding="utf-8"?>
<Types xmlns="http://schemas.openxmlformats.org/package/2006/content-types">
  <Default Extension="bin" ContentType="application/vnd.ms-word.attachedToolbars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95272" w14:textId="1F3A3CA8" w:rsidR="00B100CA" w:rsidRPr="00B100CA" w:rsidRDefault="00B100CA" w:rsidP="00027E1D">
      <w:pPr>
        <w:pStyle w:val="Header"/>
        <w:widowControl w:val="0"/>
        <w:spacing w:before="720" w:after="240"/>
        <w:jc w:val="center"/>
        <w:rPr>
          <w:rFonts w:ascii="Calibri" w:hAnsi="Calibri" w:cs="Calibri"/>
          <w:bCs/>
          <w:color w:val="000000"/>
          <w:sz w:val="40"/>
          <w:szCs w:val="40"/>
        </w:rPr>
      </w:pPr>
      <w:bookmarkStart w:id="0" w:name="_Hlk65486701"/>
      <w:r w:rsidRPr="00B100CA">
        <w:rPr>
          <w:rFonts w:ascii="Calibri" w:hAnsi="Calibri" w:cs="Calibri"/>
          <w:bCs/>
          <w:color w:val="000000"/>
          <w:sz w:val="40"/>
          <w:szCs w:val="40"/>
        </w:rPr>
        <w:t>PROIECT</w:t>
      </w:r>
    </w:p>
    <w:p w14:paraId="10C66589" w14:textId="5F0D300D" w:rsidR="00027E1D" w:rsidRPr="00B100CA" w:rsidRDefault="00027E1D" w:rsidP="00027E1D">
      <w:pPr>
        <w:pStyle w:val="Header"/>
        <w:widowControl w:val="0"/>
        <w:spacing w:before="720" w:after="240"/>
        <w:jc w:val="center"/>
        <w:rPr>
          <w:rFonts w:ascii="Calibri" w:hAnsi="Calibri" w:cs="Calibri"/>
          <w:b/>
          <w:color w:val="000000"/>
          <w:sz w:val="40"/>
          <w:szCs w:val="40"/>
        </w:rPr>
      </w:pPr>
      <w:r w:rsidRPr="00B100CA">
        <w:rPr>
          <w:rFonts w:ascii="Calibri" w:hAnsi="Calibri" w:cs="Calibri"/>
          <w:b/>
          <w:color w:val="000000"/>
          <w:sz w:val="40"/>
          <w:szCs w:val="40"/>
        </w:rPr>
        <w:t>CONSILIUL SUPERIOR AL MAGISTRATURII</w:t>
      </w:r>
      <w:bookmarkEnd w:id="0"/>
    </w:p>
    <w:p w14:paraId="2631FEC1" w14:textId="77777777" w:rsidR="00027E1D" w:rsidRPr="00B100CA" w:rsidRDefault="00027E1D" w:rsidP="00027E1D">
      <w:pPr>
        <w:widowControl w:val="0"/>
        <w:spacing w:after="240"/>
        <w:jc w:val="center"/>
        <w:rPr>
          <w:rFonts w:ascii="Calibri" w:hAnsi="Calibri" w:cs="Calibri"/>
          <w:b/>
          <w:sz w:val="40"/>
          <w:szCs w:val="40"/>
        </w:rPr>
      </w:pPr>
      <w:r w:rsidRPr="00B100CA">
        <w:rPr>
          <w:rFonts w:ascii="Calibri" w:hAnsi="Calibri" w:cs="Calibri"/>
          <w:b/>
          <w:sz w:val="40"/>
          <w:szCs w:val="40"/>
        </w:rPr>
        <w:t>PLENUL</w:t>
      </w:r>
    </w:p>
    <w:p w14:paraId="6706FE9D" w14:textId="7216FABD" w:rsidR="00027E1D" w:rsidRPr="00B100CA" w:rsidRDefault="00027E1D" w:rsidP="00027E1D">
      <w:pPr>
        <w:widowControl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bookmarkStart w:id="1" w:name="numar_hot"/>
      <w:r w:rsidRPr="00B100CA">
        <w:rPr>
          <w:rFonts w:ascii="Calibri" w:hAnsi="Calibri" w:cs="Calibri"/>
          <w:b/>
          <w:bCs/>
          <w:sz w:val="32"/>
          <w:szCs w:val="32"/>
        </w:rPr>
        <w:t xml:space="preserve">HOTĂRÂREA nr. </w:t>
      </w:r>
      <w:bookmarkEnd w:id="1"/>
      <w:r w:rsidR="00B100CA" w:rsidRPr="00B100CA">
        <w:rPr>
          <w:rFonts w:ascii="Calibri" w:hAnsi="Calibri" w:cs="Calibri"/>
          <w:b/>
          <w:bCs/>
          <w:sz w:val="32"/>
          <w:szCs w:val="32"/>
        </w:rPr>
        <w:t>....</w:t>
      </w:r>
    </w:p>
    <w:p w14:paraId="1262B856" w14:textId="5A603B31" w:rsidR="00027E1D" w:rsidRPr="00B100CA" w:rsidRDefault="00027E1D" w:rsidP="00027E1D">
      <w:pPr>
        <w:widowControl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r w:rsidRPr="00B100CA">
        <w:rPr>
          <w:rFonts w:ascii="Calibri" w:hAnsi="Calibri" w:cs="Calibri"/>
          <w:b/>
          <w:bCs/>
          <w:sz w:val="32"/>
          <w:szCs w:val="32"/>
        </w:rPr>
        <w:t xml:space="preserve">din </w:t>
      </w:r>
      <w:r w:rsidR="00B100CA" w:rsidRPr="00B100CA">
        <w:rPr>
          <w:rFonts w:ascii="Calibri" w:hAnsi="Calibri" w:cs="Calibri"/>
          <w:b/>
          <w:bCs/>
          <w:sz w:val="32"/>
          <w:szCs w:val="32"/>
        </w:rPr>
        <w:t>..................</w:t>
      </w:r>
      <w:r w:rsidRPr="00B100CA">
        <w:rPr>
          <w:rFonts w:ascii="Calibri" w:hAnsi="Calibri" w:cs="Calibri"/>
          <w:b/>
          <w:bCs/>
          <w:sz w:val="32"/>
          <w:szCs w:val="32"/>
        </w:rPr>
        <w:t xml:space="preserve"> 2023</w:t>
      </w:r>
    </w:p>
    <w:p w14:paraId="704672E9" w14:textId="77777777" w:rsidR="00027E1D" w:rsidRPr="00B100CA" w:rsidRDefault="00027E1D" w:rsidP="00027E1D">
      <w:pPr>
        <w:widowControl w:val="0"/>
        <w:spacing w:after="240"/>
        <w:jc w:val="center"/>
        <w:rPr>
          <w:rFonts w:ascii="Calibri" w:hAnsi="Calibri" w:cs="Calibri"/>
          <w:bCs/>
          <w:sz w:val="32"/>
          <w:szCs w:val="32"/>
        </w:rPr>
      </w:pPr>
    </w:p>
    <w:p w14:paraId="59B35346" w14:textId="77777777" w:rsidR="00027E1D" w:rsidRPr="00B100CA" w:rsidRDefault="00027E1D" w:rsidP="00027E1D">
      <w:pPr>
        <w:widowControl w:val="0"/>
        <w:spacing w:after="240"/>
        <w:jc w:val="center"/>
        <w:rPr>
          <w:rFonts w:ascii="Calibri" w:hAnsi="Calibri" w:cs="Calibri"/>
          <w:bCs/>
          <w:sz w:val="32"/>
          <w:szCs w:val="32"/>
        </w:rPr>
      </w:pPr>
    </w:p>
    <w:p w14:paraId="4F8E7D5E" w14:textId="5EA8BE2A" w:rsidR="00027E1D" w:rsidRPr="00B100CA" w:rsidRDefault="00027E1D" w:rsidP="00027E1D">
      <w:pPr>
        <w:widowControl w:val="0"/>
        <w:spacing w:after="600" w:line="276" w:lineRule="auto"/>
        <w:jc w:val="center"/>
        <w:rPr>
          <w:rFonts w:ascii="Calibri" w:hAnsi="Calibri" w:cs="Calibri"/>
          <w:b/>
          <w:bCs/>
          <w:sz w:val="32"/>
          <w:szCs w:val="32"/>
        </w:rPr>
      </w:pPr>
      <w:bookmarkStart w:id="2" w:name="_Hlk152585067"/>
      <w:r w:rsidRPr="00B100CA">
        <w:rPr>
          <w:rFonts w:ascii="Calibri" w:hAnsi="Calibri" w:cs="Calibri"/>
          <w:b/>
          <w:bCs/>
          <w:sz w:val="32"/>
          <w:szCs w:val="32"/>
        </w:rPr>
        <w:t xml:space="preserve">pentru </w:t>
      </w:r>
      <w:r w:rsidR="00B100CA" w:rsidRPr="00B100CA">
        <w:rPr>
          <w:rFonts w:ascii="Calibri" w:hAnsi="Calibri" w:cs="Calibri"/>
          <w:b/>
          <w:bCs/>
          <w:sz w:val="32"/>
          <w:szCs w:val="32"/>
        </w:rPr>
        <w:t>modificarea</w:t>
      </w:r>
      <w:r w:rsidRPr="00B100CA"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9541B0">
        <w:rPr>
          <w:rFonts w:ascii="Calibri" w:hAnsi="Calibri" w:cs="Calibri"/>
          <w:b/>
          <w:bCs/>
          <w:sz w:val="32"/>
          <w:szCs w:val="32"/>
        </w:rPr>
        <w:t xml:space="preserve">și completarea </w:t>
      </w:r>
      <w:r w:rsidRPr="00B100CA">
        <w:rPr>
          <w:rFonts w:ascii="Calibri" w:hAnsi="Calibri" w:cs="Calibri"/>
          <w:b/>
          <w:bCs/>
          <w:sz w:val="32"/>
          <w:szCs w:val="32"/>
        </w:rPr>
        <w:t>Regulamentului de organizare și funcționare a Consiliului Superior al Magistraturii, aprobat prin Hotărârea Plenului Consiliului Superior al Magistraturii nr. 122/2023</w:t>
      </w:r>
    </w:p>
    <w:bookmarkEnd w:id="2"/>
    <w:p w14:paraId="286C704B" w14:textId="77777777" w:rsidR="00027E1D" w:rsidRPr="00B100CA" w:rsidRDefault="00027E1D" w:rsidP="00027E1D">
      <w:pPr>
        <w:widowControl w:val="0"/>
        <w:spacing w:line="276" w:lineRule="auto"/>
        <w:ind w:firstLine="709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B100CA">
        <w:rPr>
          <w:rFonts w:ascii="Calibri" w:hAnsi="Calibri" w:cs="Calibri"/>
          <w:bCs/>
          <w:color w:val="000000"/>
          <w:sz w:val="26"/>
          <w:szCs w:val="26"/>
        </w:rPr>
        <w:t xml:space="preserve">În temeiul </w:t>
      </w:r>
      <w:proofErr w:type="spellStart"/>
      <w:r w:rsidRPr="00B100CA">
        <w:rPr>
          <w:rFonts w:ascii="Calibri" w:hAnsi="Calibri" w:cs="Calibri"/>
          <w:bCs/>
          <w:color w:val="000000"/>
          <w:sz w:val="26"/>
          <w:szCs w:val="26"/>
        </w:rPr>
        <w:t>dispoziţiilor</w:t>
      </w:r>
      <w:proofErr w:type="spellEnd"/>
      <w:r w:rsidRPr="00B100CA">
        <w:rPr>
          <w:rFonts w:ascii="Calibri" w:hAnsi="Calibri" w:cs="Calibri"/>
          <w:bCs/>
          <w:color w:val="000000"/>
          <w:sz w:val="26"/>
          <w:szCs w:val="26"/>
        </w:rPr>
        <w:t xml:space="preserve"> art. 133 alin. (5) </w:t>
      </w:r>
      <w:proofErr w:type="spellStart"/>
      <w:r w:rsidRPr="00B100CA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B100CA">
        <w:rPr>
          <w:rFonts w:ascii="Calibri" w:hAnsi="Calibri" w:cs="Calibri"/>
          <w:bCs/>
          <w:color w:val="000000"/>
          <w:sz w:val="26"/>
          <w:szCs w:val="26"/>
        </w:rPr>
        <w:t xml:space="preserve"> (7) din </w:t>
      </w:r>
      <w:proofErr w:type="spellStart"/>
      <w:r w:rsidRPr="00B100CA">
        <w:rPr>
          <w:rFonts w:ascii="Calibri" w:hAnsi="Calibri" w:cs="Calibri"/>
          <w:bCs/>
          <w:color w:val="000000"/>
          <w:sz w:val="26"/>
          <w:szCs w:val="26"/>
        </w:rPr>
        <w:t>Constituţia</w:t>
      </w:r>
      <w:proofErr w:type="spellEnd"/>
      <w:r w:rsidRPr="00B100CA">
        <w:rPr>
          <w:rFonts w:ascii="Calibri" w:hAnsi="Calibri" w:cs="Calibri"/>
          <w:bCs/>
          <w:color w:val="000000"/>
          <w:sz w:val="26"/>
          <w:szCs w:val="26"/>
        </w:rPr>
        <w:t xml:space="preserve"> României, republicată, </w:t>
      </w:r>
      <w:proofErr w:type="spellStart"/>
      <w:r w:rsidRPr="00B100CA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B100CA">
        <w:rPr>
          <w:rFonts w:ascii="Calibri" w:hAnsi="Calibri" w:cs="Calibri"/>
          <w:bCs/>
          <w:color w:val="000000"/>
          <w:sz w:val="26"/>
          <w:szCs w:val="26"/>
        </w:rPr>
        <w:t xml:space="preserve"> ale art. 23 alin. (1) din Legea nr. 305/2022 privind Consiliul Superior al Magistraturii,</w:t>
      </w:r>
    </w:p>
    <w:p w14:paraId="631CAB5C" w14:textId="697BA89B" w:rsidR="00027E1D" w:rsidRPr="00B100CA" w:rsidRDefault="00027E1D" w:rsidP="00027E1D">
      <w:pPr>
        <w:widowControl w:val="0"/>
        <w:spacing w:line="276" w:lineRule="auto"/>
        <w:ind w:firstLine="709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B100CA">
        <w:rPr>
          <w:rFonts w:ascii="Calibri" w:hAnsi="Calibri" w:cs="Calibri"/>
          <w:bCs/>
          <w:color w:val="000000"/>
          <w:sz w:val="26"/>
          <w:szCs w:val="26"/>
        </w:rPr>
        <w:t xml:space="preserve">având în vedere </w:t>
      </w:r>
      <w:proofErr w:type="spellStart"/>
      <w:r w:rsidRPr="00B100CA">
        <w:rPr>
          <w:rFonts w:ascii="Calibri" w:hAnsi="Calibri" w:cs="Calibri"/>
          <w:bCs/>
          <w:color w:val="000000"/>
          <w:sz w:val="26"/>
          <w:szCs w:val="26"/>
        </w:rPr>
        <w:t>dispoziţiile</w:t>
      </w:r>
      <w:proofErr w:type="spellEnd"/>
      <w:r w:rsidRPr="00B100CA">
        <w:rPr>
          <w:rFonts w:ascii="Calibri" w:hAnsi="Calibri" w:cs="Calibri"/>
          <w:bCs/>
          <w:color w:val="000000"/>
          <w:sz w:val="26"/>
          <w:szCs w:val="26"/>
        </w:rPr>
        <w:t xml:space="preserve"> art. 39 alin. (1) din Legea nr. 305/2022, cu </w:t>
      </w:r>
      <w:r w:rsidR="00B100CA" w:rsidRPr="00B100CA">
        <w:rPr>
          <w:rFonts w:ascii="Calibri" w:hAnsi="Calibri" w:cs="Calibri"/>
          <w:bCs/>
          <w:color w:val="000000"/>
          <w:sz w:val="26"/>
          <w:szCs w:val="26"/>
        </w:rPr>
        <w:t>..........</w:t>
      </w:r>
      <w:r w:rsidRPr="00B100CA">
        <w:rPr>
          <w:rFonts w:ascii="Calibri" w:hAnsi="Calibri" w:cs="Calibri"/>
          <w:bCs/>
          <w:color w:val="000000"/>
          <w:sz w:val="26"/>
          <w:szCs w:val="26"/>
        </w:rPr>
        <w:t>voturilor membrilor prezenți,</w:t>
      </w:r>
    </w:p>
    <w:p w14:paraId="5DE6D883" w14:textId="77777777" w:rsidR="00027E1D" w:rsidRPr="00B100CA" w:rsidRDefault="00027E1D" w:rsidP="00027E1D">
      <w:pPr>
        <w:widowControl w:val="0"/>
        <w:spacing w:before="600" w:line="276" w:lineRule="auto"/>
        <w:jc w:val="center"/>
        <w:rPr>
          <w:rFonts w:ascii="Calibri" w:hAnsi="Calibri" w:cs="Calibri"/>
          <w:b/>
          <w:sz w:val="32"/>
          <w:szCs w:val="32"/>
        </w:rPr>
      </w:pPr>
      <w:r w:rsidRPr="00B100CA">
        <w:rPr>
          <w:rFonts w:ascii="Calibri" w:hAnsi="Calibri" w:cs="Calibri"/>
          <w:b/>
          <w:sz w:val="32"/>
          <w:szCs w:val="32"/>
        </w:rPr>
        <w:t>PLENUL</w:t>
      </w:r>
    </w:p>
    <w:p w14:paraId="7C0D0F99" w14:textId="77777777" w:rsidR="00027E1D" w:rsidRPr="00B100CA" w:rsidRDefault="00027E1D" w:rsidP="00027E1D">
      <w:pPr>
        <w:widowControl w:val="0"/>
        <w:spacing w:after="360" w:line="276" w:lineRule="auto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B100CA">
        <w:rPr>
          <w:rFonts w:ascii="Calibri" w:hAnsi="Calibri" w:cs="Calibri"/>
          <w:b/>
          <w:bCs/>
          <w:color w:val="000000"/>
          <w:sz w:val="32"/>
          <w:szCs w:val="32"/>
        </w:rPr>
        <w:t>CONSILIULUI SUPERIOR AL MAGISTRATURII</w:t>
      </w:r>
    </w:p>
    <w:p w14:paraId="1C1C6402" w14:textId="77777777" w:rsidR="00027E1D" w:rsidRPr="00B100CA" w:rsidRDefault="00027E1D" w:rsidP="00027E1D">
      <w:pPr>
        <w:widowControl w:val="0"/>
        <w:spacing w:after="600" w:line="276" w:lineRule="auto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B100CA">
        <w:rPr>
          <w:rFonts w:ascii="Calibri" w:hAnsi="Calibri" w:cs="Calibri"/>
          <w:b/>
          <w:bCs/>
          <w:color w:val="000000"/>
          <w:sz w:val="32"/>
          <w:szCs w:val="32"/>
        </w:rPr>
        <w:t>HOTĂRĂŞTE</w:t>
      </w:r>
    </w:p>
    <w:p w14:paraId="08356B49" w14:textId="2DB5CAFF" w:rsidR="00027E1D" w:rsidRPr="00B100CA" w:rsidRDefault="00027E1D" w:rsidP="00027E1D">
      <w:pPr>
        <w:pStyle w:val="NoSpacing"/>
        <w:spacing w:line="276" w:lineRule="auto"/>
        <w:ind w:firstLine="720"/>
        <w:jc w:val="both"/>
        <w:rPr>
          <w:rFonts w:asciiTheme="minorHAnsi" w:eastAsia="Calibri" w:hAnsiTheme="minorHAnsi" w:cstheme="minorHAnsi"/>
          <w:sz w:val="26"/>
          <w:szCs w:val="26"/>
          <w:lang w:eastAsia="en-US"/>
        </w:rPr>
      </w:pPr>
      <w:r w:rsidRPr="00B100CA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Art. 1 - </w:t>
      </w:r>
      <w:r w:rsidRPr="00B100CA">
        <w:rPr>
          <w:rFonts w:asciiTheme="minorHAnsi" w:hAnsiTheme="minorHAnsi" w:cstheme="minorHAnsi"/>
          <w:bCs/>
          <w:color w:val="000000"/>
          <w:sz w:val="26"/>
          <w:szCs w:val="26"/>
        </w:rPr>
        <w:t xml:space="preserve"> </w:t>
      </w:r>
      <w:r w:rsidRPr="00B100CA">
        <w:rPr>
          <w:rFonts w:asciiTheme="minorHAnsi" w:eastAsia="Calibri" w:hAnsiTheme="minorHAnsi" w:cstheme="minorHAnsi"/>
          <w:sz w:val="26"/>
          <w:szCs w:val="26"/>
          <w:lang w:eastAsia="en-US"/>
        </w:rPr>
        <w:t xml:space="preserve">Regulamentul de organizare </w:t>
      </w:r>
      <w:proofErr w:type="spellStart"/>
      <w:r w:rsidRPr="00B100CA">
        <w:rPr>
          <w:rFonts w:asciiTheme="minorHAnsi" w:eastAsia="Calibri" w:hAnsiTheme="minorHAnsi" w:cstheme="minorHAnsi"/>
          <w:sz w:val="26"/>
          <w:szCs w:val="26"/>
          <w:lang w:eastAsia="en-US"/>
        </w:rPr>
        <w:t>şi</w:t>
      </w:r>
      <w:proofErr w:type="spellEnd"/>
      <w:r w:rsidRPr="00B100CA">
        <w:rPr>
          <w:rFonts w:asciiTheme="minorHAnsi" w:eastAsia="Calibri" w:hAnsiTheme="minorHAnsi" w:cstheme="minorHAnsi"/>
          <w:sz w:val="26"/>
          <w:szCs w:val="26"/>
          <w:lang w:eastAsia="en-US"/>
        </w:rPr>
        <w:t xml:space="preserve"> </w:t>
      </w:r>
      <w:proofErr w:type="spellStart"/>
      <w:r w:rsidRPr="00B100CA">
        <w:rPr>
          <w:rFonts w:asciiTheme="minorHAnsi" w:eastAsia="Calibri" w:hAnsiTheme="minorHAnsi" w:cstheme="minorHAnsi"/>
          <w:sz w:val="26"/>
          <w:szCs w:val="26"/>
          <w:lang w:eastAsia="en-US"/>
        </w:rPr>
        <w:t>funcţionare</w:t>
      </w:r>
      <w:proofErr w:type="spellEnd"/>
      <w:r w:rsidRPr="00B100CA">
        <w:rPr>
          <w:rFonts w:asciiTheme="minorHAnsi" w:eastAsia="Calibri" w:hAnsiTheme="minorHAnsi" w:cstheme="minorHAnsi"/>
          <w:sz w:val="26"/>
          <w:szCs w:val="26"/>
          <w:lang w:eastAsia="en-US"/>
        </w:rPr>
        <w:t xml:space="preserve"> a Consiliului Superior al Magistraturii, aprobat prin Hotărârea Plenului Consiliului Superior al Magistraturii nr. 122/2023, publicată în </w:t>
      </w:r>
      <w:r w:rsidRPr="00B100CA">
        <w:rPr>
          <w:rFonts w:asciiTheme="minorHAnsi" w:eastAsia="Calibri" w:hAnsiTheme="minorHAnsi" w:cstheme="minorHAnsi"/>
          <w:sz w:val="26"/>
          <w:szCs w:val="26"/>
          <w:lang w:eastAsia="en-US"/>
        </w:rPr>
        <w:lastRenderedPageBreak/>
        <w:t xml:space="preserve">Monitorul Oficial al României, Partea I, nr. 640 și 640 bis din 13 iulie 2023, </w:t>
      </w:r>
      <w:r w:rsidR="00B100CA" w:rsidRPr="00B100CA">
        <w:rPr>
          <w:rFonts w:asciiTheme="minorHAnsi" w:eastAsia="Calibri" w:hAnsiTheme="minorHAnsi" w:cstheme="minorHAnsi"/>
          <w:sz w:val="26"/>
          <w:szCs w:val="26"/>
          <w:lang w:eastAsia="en-US"/>
        </w:rPr>
        <w:t xml:space="preserve">cu completările ulterioare, </w:t>
      </w:r>
      <w:r w:rsidRPr="00B100CA">
        <w:rPr>
          <w:rFonts w:asciiTheme="minorHAnsi" w:eastAsia="Calibri" w:hAnsiTheme="minorHAnsi" w:cstheme="minorHAnsi"/>
          <w:sz w:val="26"/>
          <w:szCs w:val="26"/>
          <w:lang w:eastAsia="en-US"/>
        </w:rPr>
        <w:t xml:space="preserve">se </w:t>
      </w:r>
      <w:r w:rsidR="00B100CA" w:rsidRPr="00B100CA">
        <w:rPr>
          <w:rFonts w:asciiTheme="minorHAnsi" w:eastAsia="Calibri" w:hAnsiTheme="minorHAnsi" w:cstheme="minorHAnsi"/>
          <w:sz w:val="26"/>
          <w:szCs w:val="26"/>
          <w:lang w:eastAsia="en-US"/>
        </w:rPr>
        <w:t>modifică</w:t>
      </w:r>
      <w:r w:rsidRPr="00B100CA">
        <w:rPr>
          <w:rFonts w:asciiTheme="minorHAnsi" w:eastAsia="Calibri" w:hAnsiTheme="minorHAnsi" w:cstheme="minorHAnsi"/>
          <w:sz w:val="26"/>
          <w:szCs w:val="26"/>
          <w:lang w:eastAsia="en-US"/>
        </w:rPr>
        <w:t xml:space="preserve"> </w:t>
      </w:r>
      <w:r w:rsidR="009541B0">
        <w:rPr>
          <w:rFonts w:asciiTheme="minorHAnsi" w:eastAsia="Calibri" w:hAnsiTheme="minorHAnsi" w:cstheme="minorHAnsi"/>
          <w:sz w:val="26"/>
          <w:szCs w:val="26"/>
          <w:lang w:eastAsia="en-US"/>
        </w:rPr>
        <w:t xml:space="preserve">și se completează </w:t>
      </w:r>
      <w:r w:rsidRPr="00B100CA">
        <w:rPr>
          <w:rFonts w:asciiTheme="minorHAnsi" w:eastAsia="Calibri" w:hAnsiTheme="minorHAnsi" w:cstheme="minorHAnsi"/>
          <w:sz w:val="26"/>
          <w:szCs w:val="26"/>
          <w:lang w:eastAsia="en-US"/>
        </w:rPr>
        <w:t>după cum urmează:</w:t>
      </w:r>
    </w:p>
    <w:p w14:paraId="2354C54B" w14:textId="77777777" w:rsidR="00B100CA" w:rsidRPr="00B100CA" w:rsidRDefault="00B100CA" w:rsidP="00B100CA">
      <w:pPr>
        <w:spacing w:line="276" w:lineRule="auto"/>
        <w:ind w:firstLine="36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</w:p>
    <w:p w14:paraId="062198CE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1. La articolul 8 alineatul (8), litera n) se modifică și va avea următorul cuprins:</w:t>
      </w:r>
    </w:p>
    <w:p w14:paraId="51EFC00C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„n) coordonează activitatea </w:t>
      </w: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Serviciului de informare publică, </w:t>
      </w:r>
      <w:proofErr w:type="spellStart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relaţii</w:t>
      </w:r>
      <w:proofErr w:type="spellEnd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 cu mass-media și protecția datelor cu caracter personal</w:t>
      </w: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;”</w:t>
      </w:r>
    </w:p>
    <w:p w14:paraId="75A76273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</w:p>
    <w:p w14:paraId="0203C363" w14:textId="10D0C493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2. La articolul 43, alineatele (7) și (8) se modifică și vor avea următorul cuprins:</w:t>
      </w:r>
    </w:p>
    <w:p w14:paraId="656B6875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„(7) Hotărârile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Secţiei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pentru judecători prin care s-a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soluţionat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acţiunea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disciplinară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cele prin care s-a dispus suspendarea din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funcţie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în temeiul art. 197 alin. (1) lit. f)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g) din Legea nr. 303/2022 se redactează de </w:t>
      </w: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Serviciul</w:t>
      </w: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grefa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secţiilor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, la momentul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pronunţării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.</w:t>
      </w:r>
    </w:p>
    <w:p w14:paraId="649332E3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(8) Hotărârile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Secţiei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pentru judecători prin care au fost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soluţionate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cererile de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încuviinţare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percheziţiei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,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reţinerii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, arestării preventive sau arestului la domiciliu, controlului judiciar sau controlului judiciar pe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cauţiune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se redactează de </w:t>
      </w: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Serviciul </w:t>
      </w: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grefa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secţiilor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în ziua în care au fost adoptate.”</w:t>
      </w:r>
    </w:p>
    <w:p w14:paraId="7E140BE6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</w:p>
    <w:p w14:paraId="621963CC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3. Articolul 44 se modifică și va avea următorul cuprins:</w:t>
      </w:r>
    </w:p>
    <w:p w14:paraId="03168306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„</w:t>
      </w: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Art. 44</w:t>
      </w: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- Cererile având ca obiect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încuviinţarea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percheziţiei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,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reţinerii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, arestului la domiciliu sau arestării preventive, controlului judiciar sau controlului judiciar pe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cauţiune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 judecătorilor se înregistrează într-un registru special nepublic,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ţinut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</w:t>
      </w: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Serviciul</w:t>
      </w: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grefa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secţiilor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, care va include: numărul curent, organul care a formulat cererea, termenul acordat pentru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soluţionarea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cererii, numărul hotărârii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soluţia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dispusă de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Secţia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pentru judecători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data comunicării acesteia către parchetul sau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instanţa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care a solicitat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încuviinţarea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, după caz.”</w:t>
      </w:r>
    </w:p>
    <w:p w14:paraId="11AD1E9A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</w:p>
    <w:p w14:paraId="397BADE0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4. La articolul 45, alineatul (2) se modifică și va avea următorul cuprins:</w:t>
      </w:r>
    </w:p>
    <w:p w14:paraId="58CA3022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„(2) Hotărârile prevăzute la alin. (1) se tehnoredactează de îndată de </w:t>
      </w: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Serviciul</w:t>
      </w: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grefa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secţiilor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se comunică organului care a formulat cererea. Aceste hotărâri nu se publică.”</w:t>
      </w:r>
    </w:p>
    <w:p w14:paraId="5FA5664F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</w:p>
    <w:p w14:paraId="6752DC5C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5. La articolul 46, alineatul (1) se modifică și va avea următorul cuprins:</w:t>
      </w:r>
    </w:p>
    <w:p w14:paraId="70DC9255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„Art. 46</w:t>
      </w: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- (1) Registrul prevăzut la art. 44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dosarele având ca obiect cereri de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încuviinţare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percheziţiei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,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reţinerii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, arestării preventive sau arestului la domiciliu, controlului judiciar sau controlului judiciar pe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cauţiune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al judecătorilor se arhivează de </w:t>
      </w: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Serviciul</w:t>
      </w: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grefa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secţiilor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.”</w:t>
      </w:r>
    </w:p>
    <w:p w14:paraId="58E6A9B5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</w:p>
    <w:p w14:paraId="24097513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6. La articolul 54, alineatul (10) se modifică și va avea următorul cuprins:</w:t>
      </w:r>
    </w:p>
    <w:p w14:paraId="19DD1818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lastRenderedPageBreak/>
        <w:t xml:space="preserve">„(10) În zilele stabilite pentru judecată, </w:t>
      </w: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Serviciul</w:t>
      </w: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grefa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secţiilor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pune la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dispoziţia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părţilor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dosarul cauzei, pentru studiu, cu cel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puţin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30 de minute înainte de începerea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şedinţei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.”</w:t>
      </w:r>
    </w:p>
    <w:p w14:paraId="51F2216A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</w:p>
    <w:p w14:paraId="50F8D166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7. La articolul 55</w:t>
      </w: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vertAlign w:val="superscript"/>
          <w:lang w:eastAsia="en-US"/>
          <w14:ligatures w14:val="standardContextual"/>
        </w:rPr>
        <w:t>1</w:t>
      </w: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, alineatul (2) se modifică și va avea următorul cuprins:</w:t>
      </w:r>
    </w:p>
    <w:p w14:paraId="7486137D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„(2)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Inspecţia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Judiciară informează, de îndată, Consiliul Superior al Magistraturii cu privire la începerea cercetării disciplinare prealabile sau, după caz, respingerea în mod definitiv a sesizării referitoare la cercetarea disciplinară a unui judecător. În cazul în care s-a exercitat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acţiunea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disciplinară, informarea privind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soluţionarea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în mod definitiv 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acţiunii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disciplinare se realizează de </w:t>
      </w: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Serviciul</w:t>
      </w: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grefa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secţiilor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. Informarea cuprinde elementele necesare pentru suspendarea sau, după caz, reluarea procedurii de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soluţionare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 cererii de acordare a pensiei de serviciu de către casele teritoriale de pensii, inclusiv datele de identificare a persoanei, temeiul de drept al măsurii, precum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data de la care se aplică.”</w:t>
      </w:r>
    </w:p>
    <w:p w14:paraId="56A68FA8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</w:p>
    <w:p w14:paraId="4EE1F393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8. La articolul 57, alineatul (1) se modifică și va avea următorul cuprins:</w:t>
      </w:r>
    </w:p>
    <w:p w14:paraId="4D4A3C8C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„Art. 57</w:t>
      </w: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- (1) Hotărârile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Secţiei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pentru judecători prin care s-a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soluţionat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acţiunea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disciplinară se redactează de către </w:t>
      </w: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Serviciul</w:t>
      </w: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grefa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secţiilor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, obligatoriu la momentul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pronunţării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,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se comunică, de îndată, în scris, judecătorului vizat, precum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Inspecţiei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Judiciare. Comunicarea hotărârilor este asigurată de Secretariatul general al Consiliului, prin intermediul </w:t>
      </w: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Serviciului</w:t>
      </w: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grefa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secţiilor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. Până la data comunicării hotărârii judecătorului vizat, aceasta nu produce efecte în ceea ce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priveşte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cariera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drepturile acestuia.”</w:t>
      </w:r>
    </w:p>
    <w:p w14:paraId="3401A126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</w:p>
    <w:p w14:paraId="3D9003EC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9. La articolul 58, alineatul (1) se modifică și va avea următorul cuprins:</w:t>
      </w:r>
    </w:p>
    <w:p w14:paraId="58F35BC2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„Art. 58</w:t>
      </w: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- (1) Hotărârile rămase definitive se comunică, prin grija </w:t>
      </w: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Serviciului</w:t>
      </w: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grefa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secţiilor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, judecătorului, precum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Direcţiei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resurse umane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organizare din cadrul Consiliului, în vederea luării măsurilor corespunzătoare, conform legii. Hotărârile definitive anonimizate se publică în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aplicaţia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EMAP.”</w:t>
      </w:r>
    </w:p>
    <w:p w14:paraId="0B141851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</w:p>
    <w:p w14:paraId="1CF5920D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10. La articolul 60, alineatele (4) și (6) se modifică și vor avea următorul cuprins:</w:t>
      </w:r>
    </w:p>
    <w:p w14:paraId="13F0C029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„(4) Hotărârea se redactează în termen de 20 de zile de la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pronunţare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, de către </w:t>
      </w: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Serviciul</w:t>
      </w: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grefa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secţiilor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,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se comunică de îndată judecătorului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Inspecţiei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Judiciare.</w:t>
      </w:r>
    </w:p>
    <w:p w14:paraId="1608AAA8" w14:textId="76FA0783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……………………………………………………………………………………………………………………………………</w:t>
      </w:r>
      <w:r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.....</w:t>
      </w:r>
    </w:p>
    <w:p w14:paraId="6587A6A0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(6) După ce hotărârea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secţiei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 rămas definitivă, </w:t>
      </w: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Serviciul </w:t>
      </w: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grefa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secţiilor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îi comunică, în scris, persoanei care a formulat sesizarea cu privire la conduita judecătorului modul în care a fost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soluţionată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sesizarea.”</w:t>
      </w:r>
    </w:p>
    <w:p w14:paraId="20103FCA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</w:p>
    <w:p w14:paraId="2A6BDEEF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lastRenderedPageBreak/>
        <w:t>11. La articolul 66, alineatul (1) se modifică și va avea următorul cuprins:</w:t>
      </w:r>
    </w:p>
    <w:p w14:paraId="0754334C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„Art. 66 </w:t>
      </w: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- (1) Hotărârile rămase definitive se comunică, prin grija </w:t>
      </w: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Serviciului </w:t>
      </w: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grefa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secţiilor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, procurorului, precum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Direcţiei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resurse umane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organizare din cadrul Consiliului, în vederea luării măsurilor corespunzătoare, conform legii. Hotărârile definitive anonimizate se publică în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aplicaţia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EMAP.”</w:t>
      </w:r>
    </w:p>
    <w:p w14:paraId="44408E20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</w:p>
    <w:p w14:paraId="7B993F35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12, La articolul 73, alineatul (2) se modifică și va avea următorul cuprins:</w:t>
      </w:r>
    </w:p>
    <w:p w14:paraId="411ACF70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„(2) Aparatul propriu al Consiliului este organizat în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direcţii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și servicii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este condus de un secretar general.”</w:t>
      </w:r>
    </w:p>
    <w:p w14:paraId="3C94C6D7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</w:p>
    <w:p w14:paraId="329D0710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13. La articolul 79, alineatul (1) se modifică și va avea următorul cuprins:</w:t>
      </w:r>
    </w:p>
    <w:p w14:paraId="4D24CC4D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„</w:t>
      </w: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Art. 79</w:t>
      </w: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- (1) Conducerea compartimentelor din cadrul aparatului propriu al Consiliului se asigură de directori, directori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adjuncţi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și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şefi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servicii, care organizează, coordonează, îndrumă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răspund de activitatea compartimentului pe care îl conduc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asigură buna colaborare cu alte compartimente. În cadrul aparatului propriu al Consiliului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funcţionează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judecători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procurori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detaşaţi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, personal de specialitate juridică asimilat judecătorilor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procurorilor,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funcţionari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publici, personal contractual, precum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personal auxiliar de specialitate din cadrul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instanţelor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parchetelor,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detaşat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.”</w:t>
      </w:r>
    </w:p>
    <w:p w14:paraId="17BE777F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</w:p>
    <w:p w14:paraId="00FB0E98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14. La articolul 83, alineatul (1) se modifică și va avea următorul cuprins:</w:t>
      </w:r>
    </w:p>
    <w:p w14:paraId="3A6B8D53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„</w:t>
      </w: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Art. 83</w:t>
      </w: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- (1) Din aparatul propriu al Consiliului fac parte:</w:t>
      </w:r>
    </w:p>
    <w:p w14:paraId="4B197428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1.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Direcţia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resurse umane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organizare, alcătuită din:</w:t>
      </w:r>
    </w:p>
    <w:p w14:paraId="2A8A0104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a) Serviciul resurse umane pentru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instanţele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judecătoreşti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;</w:t>
      </w:r>
    </w:p>
    <w:p w14:paraId="0B55D22B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b) Serviciul resurse umane pentru parchete;</w:t>
      </w:r>
    </w:p>
    <w:p w14:paraId="766C7BAF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c) Serviciul concursuri și formare profesională;</w:t>
      </w:r>
    </w:p>
    <w:p w14:paraId="3AD1CE07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d) Serviciul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experţi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jurişti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;</w:t>
      </w:r>
    </w:p>
    <w:p w14:paraId="1DD9BA49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2.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Direcţia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economică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administrativ, alcătuită din:</w:t>
      </w:r>
    </w:p>
    <w:p w14:paraId="44CC50E5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a) </w:t>
      </w: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Compartimentul salarizare și buget;</w:t>
      </w:r>
    </w:p>
    <w:p w14:paraId="6D483AE1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b)</w:t>
      </w: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 Serviciul financiar-contabil;</w:t>
      </w:r>
    </w:p>
    <w:p w14:paraId="0707B3D7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c)</w:t>
      </w: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 </w:t>
      </w: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Serviciul administrativ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aprovizionare;</w:t>
      </w:r>
    </w:p>
    <w:p w14:paraId="4D8AFA60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3.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Direcţia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legislaţie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, documentare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contencios, alcătuită din:</w:t>
      </w:r>
    </w:p>
    <w:p w14:paraId="67B40259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a) Serviciul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legislaţie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documentare;</w:t>
      </w:r>
    </w:p>
    <w:p w14:paraId="7FCB097D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b) Serviciul contencios;</w:t>
      </w:r>
    </w:p>
    <w:p w14:paraId="2B37F599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4.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Direcţia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afaceri europene,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relaţii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internaţionale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programe, alcătuită din:</w:t>
      </w:r>
    </w:p>
    <w:p w14:paraId="1CD5CBB8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a) Serviciul afaceri europene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relaţii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internaţionale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;</w:t>
      </w:r>
    </w:p>
    <w:p w14:paraId="50F52337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lastRenderedPageBreak/>
        <w:t xml:space="preserve">b) Serviciul programe europene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internaţionale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;</w:t>
      </w:r>
    </w:p>
    <w:p w14:paraId="6754D8DC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5. Serviciul sinteze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pregătirea lucrărilor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şedinţelor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Consiliului Superior al Magistraturii;</w:t>
      </w:r>
    </w:p>
    <w:p w14:paraId="3D104EA2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6. </w:t>
      </w: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Serviciul grefa </w:t>
      </w:r>
      <w:proofErr w:type="spellStart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secţiilor</w:t>
      </w:r>
      <w:proofErr w:type="spellEnd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;</w:t>
      </w:r>
    </w:p>
    <w:p w14:paraId="35A5671B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7. </w:t>
      </w: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Serviciul de </w:t>
      </w:r>
      <w:proofErr w:type="spellStart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relaţii</w:t>
      </w:r>
      <w:proofErr w:type="spellEnd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 cu publicul, registratură </w:t>
      </w:r>
      <w:proofErr w:type="spellStart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 arhivă;</w:t>
      </w:r>
    </w:p>
    <w:p w14:paraId="257150E0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8. Serviciul informatică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statistică judiciară, alcătuit din:</w:t>
      </w:r>
    </w:p>
    <w:p w14:paraId="07386198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a) Compartimentul statistică judiciară;</w:t>
      </w:r>
    </w:p>
    <w:p w14:paraId="1904AAE2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b) Compartimentul informatică;</w:t>
      </w:r>
    </w:p>
    <w:p w14:paraId="631C6F73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9. Compartimentul de audit public intern;</w:t>
      </w:r>
    </w:p>
    <w:p w14:paraId="54EC7654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10. Serviciul de informare publică, </w:t>
      </w:r>
      <w:proofErr w:type="spellStart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relaţii</w:t>
      </w:r>
      <w:proofErr w:type="spellEnd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 cu mass-media și protecția datelor cu caracter personal;</w:t>
      </w:r>
    </w:p>
    <w:p w14:paraId="0E844F68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11. Compartimentul de psihologie a personalului;</w:t>
      </w:r>
    </w:p>
    <w:p w14:paraId="04E708EC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12. Compartimentul de documente clasificate;</w:t>
      </w:r>
    </w:p>
    <w:p w14:paraId="2E4E0BCB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13. Serviciul </w:t>
      </w:r>
      <w:proofErr w:type="spellStart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achiziţii</w:t>
      </w:r>
      <w:proofErr w:type="spellEnd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 publice, protocol și secretariat;</w:t>
      </w:r>
    </w:p>
    <w:p w14:paraId="03273E38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14. Consilierii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Preşedintelui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.”</w:t>
      </w:r>
    </w:p>
    <w:p w14:paraId="138AAB29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</w:p>
    <w:p w14:paraId="49D4FBF1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15.  La articolul 84, alineatele (1) și (4) se modifică și vor avea următorul cuprins:</w:t>
      </w:r>
    </w:p>
    <w:p w14:paraId="0AD2384D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„Art. 84</w:t>
      </w: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- (1) În subordinea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preşedintelui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Consiliului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funcţionează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:</w:t>
      </w:r>
    </w:p>
    <w:p w14:paraId="3DC69D17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a) Compartimentul de audit public intern;</w:t>
      </w:r>
    </w:p>
    <w:p w14:paraId="07856143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b) Serviciul de informare publică, </w:t>
      </w:r>
      <w:proofErr w:type="spellStart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relaţii</w:t>
      </w:r>
      <w:proofErr w:type="spellEnd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 cu mass-media și protecția datelor cu caracter personal;</w:t>
      </w:r>
    </w:p>
    <w:p w14:paraId="22F0FC04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c) Compartimentul de psihologie a personalului.</w:t>
      </w:r>
    </w:p>
    <w:p w14:paraId="1200F388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………………………………………………………………………………………………………………………………………</w:t>
      </w:r>
    </w:p>
    <w:p w14:paraId="498B6639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(4) În subordinea ordonatorului principal de credite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funcţionează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Serviciul </w:t>
      </w:r>
      <w:proofErr w:type="spellStart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achiziţii</w:t>
      </w:r>
      <w:proofErr w:type="spellEnd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 publice, protocol și secretariat, </w:t>
      </w: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care constituie compartimentul specializat în atribuirea contractelor de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achiziţii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publice.”</w:t>
      </w:r>
    </w:p>
    <w:p w14:paraId="03DD6CEE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</w:p>
    <w:p w14:paraId="60A8A03B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16. Articolul 88 se modifică și va avea următorul cuprins:</w:t>
      </w:r>
    </w:p>
    <w:p w14:paraId="4017D2FF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„</w:t>
      </w: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Art. 88</w:t>
      </w: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– </w:t>
      </w: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(1)</w:t>
      </w: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Serviciul concursuri și formare profesională are următoarele </w:t>
      </w:r>
      <w:proofErr w:type="spellStart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atribuţii</w:t>
      </w:r>
      <w:proofErr w:type="spellEnd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 referitoare la concursurile și examenele care intră în </w:t>
      </w:r>
      <w:proofErr w:type="spellStart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competenţa</w:t>
      </w:r>
      <w:proofErr w:type="spellEnd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 Consiliului:</w:t>
      </w:r>
    </w:p>
    <w:p w14:paraId="6D065920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a) efectuează lucrările necesare pentru îndeplinirea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atribuţiilor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organizatorice ce revin Consiliului în legătură cu stabilirea numărului anual de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cursanţi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ai Institutului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Naţional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al Magistraturii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organizarea concursului de admitere la Institutul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Naţional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al Magistraturii;</w:t>
      </w:r>
    </w:p>
    <w:p w14:paraId="27960E52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b) efectuează lucrările necesare pentru îndeplinirea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atribuţiilor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organizatorice ce revin Consiliului în legătură cu organizarea concursului de admitere la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Şcoala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Naţională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Grefieri;</w:t>
      </w:r>
    </w:p>
    <w:p w14:paraId="42B036A2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lastRenderedPageBreak/>
        <w:t xml:space="preserve">c) efectuează lucrările necesare pentru îndeplinirea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atribuţiilor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ce revin Consiliului în legătură cu organizarea concursurilor de admitere în magistratură;</w:t>
      </w:r>
    </w:p>
    <w:p w14:paraId="7D2CAC54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d) efectuează verificări privind îndeplinirea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condiţiei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bună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reputaţie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către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candidaţii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declaraţi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admişi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la concursul de admitere la Institutul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Naţional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al Magistraturii, la concursul de admitere în magistratură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la concursul de admitere la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Şcoala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Naţională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Grefieri;</w:t>
      </w:r>
    </w:p>
    <w:p w14:paraId="35DC1DA9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e) efectuează lucrările necesare pentru îndeplinirea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atribuţiilor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ce revin Consiliului în legătură cu organizarea examenelor de capacitate ale judecătorilor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procurorilor stagiari, precum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ale personalului de specialitate juridică asimilat judecătorilor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procurorilor;</w:t>
      </w:r>
    </w:p>
    <w:p w14:paraId="586A9BB5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f) efectuează lucrările necesare pentru îndeplinirea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atribuţiilor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ce revin Consiliului în legătură cu organizarea concursurilor de promovare a judecătorilor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procurorilor în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funcţii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execuţie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;</w:t>
      </w:r>
    </w:p>
    <w:p w14:paraId="0CE45B41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g) efectuează lucrările necesare pentru îndeplinirea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atribuţiilor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ce revin Consiliului în legătură cu organizarea concursurilor sau examenelor pentru numirea în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funcţii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conducere a judecătorilor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procurorilor;</w:t>
      </w:r>
    </w:p>
    <w:p w14:paraId="2F8D80B1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h) efectuează lucrările necesare pentru îndeplinirea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atribuţiilor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ce revin Consiliului în legătură cu organizarea concursurilor de numire a inspectorului-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şef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, a inspectorului-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şef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adjunct, a directorilor de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inspecţie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 inspectorilor judiciari;</w:t>
      </w:r>
    </w:p>
    <w:p w14:paraId="628EC2FE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j) alte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atribuţii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vizând organizarea concursurilor ce intră în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competenţa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Consiliului, potrivit legii.</w:t>
      </w:r>
    </w:p>
    <w:p w14:paraId="19DB690F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(2) În domeniul formării profesionale, Serviciul concursuri și formare profesională îndeplinește următoarele </w:t>
      </w:r>
      <w:proofErr w:type="spellStart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atribuţii</w:t>
      </w:r>
      <w:proofErr w:type="spellEnd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:</w:t>
      </w:r>
    </w:p>
    <w:p w14:paraId="115A35AD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a) efectuează lucrările necesare pentru stabilirea numărului anual de auditori de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justiţie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ai Institutului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Naţional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al Magistraturii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 numărului de locuri pentru concursul de admitere la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Şcoala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Naţională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Grefieri;</w:t>
      </w:r>
    </w:p>
    <w:p w14:paraId="4CC9DD6D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b) realizează, împreună cu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reprezentanţii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Institutului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Naţional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al Magistraturii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ai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Şcolii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Naţionale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Grefieri, repartizarea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absolvenţilor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acestor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instituţii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pe posturile vacante disponibile;</w:t>
      </w:r>
    </w:p>
    <w:p w14:paraId="7740858C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c) efectuează repartizarea pe posturile de judecători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procurori a judecătorilor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procurorilor care au promovat examenul de capacitate organizat în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condiţiile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Legii nr. 192/2021 privind unele măsuri temporare referitoare la concursul de admitere la Institutul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Naţional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al Magistraturii, formarea profesională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iniţială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 judecătorilor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procurorilor, examenul de absolvire a Institutului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Naţional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al Magistraturii, stagiul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examenul de capacitate al judecătorilor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procurorilor stagiari, precum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la concursul de admitere în magistratură;</w:t>
      </w:r>
    </w:p>
    <w:p w14:paraId="01503BBB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d)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întocmeşte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lucrările privitoare la asigurarea bunei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desfăşurări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activităţii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formare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perfecţionare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profesională a judecătorilor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procurorilor, organizată de Institutul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Naţional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al Magistraturii;</w:t>
      </w:r>
    </w:p>
    <w:p w14:paraId="7E102FC0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lastRenderedPageBreak/>
        <w:t xml:space="preserve">e)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întocmeşte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lucrări pentru Plen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secţii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privitoare la activitatea de formare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iniţială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 auditorilor de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justiţie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, organizată de Institutul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Naţional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al Magistraturii;</w:t>
      </w:r>
    </w:p>
    <w:p w14:paraId="4E04C925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f) elaborează programul de stagiu al personalului stagiar asimilat judecătorilor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procurorilor din cadrul Consiliului Superior al Magistraturii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Institutului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Naţional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al Magistraturii;</w:t>
      </w:r>
    </w:p>
    <w:p w14:paraId="28A56124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g)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întocmeşte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lucrări pentru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secţii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cu privire la tematica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activităţilor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formare profesională continuă organizate în cadrul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curţilor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apel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parchetelor de pe lângă acestea, potrivit art. 85 alin. (1) din Legea nr. 303/2022;</w:t>
      </w:r>
    </w:p>
    <w:p w14:paraId="6B8C6D9A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h)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întocmeşte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lucrări pentru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secţii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cu privire la disciplinele cursurilor ce vor fi urmate de judecătorii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procurorii care au primit calificativul "Nesatisfăcător" sau care au primit la două evaluări consecutive calificativul "Satisfăcător";</w:t>
      </w:r>
    </w:p>
    <w:p w14:paraId="0555B0C0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i) efectuează lucrările vizând stabilirea tematicii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bibliografiei anuale pentru concursurile de ocupare a posturilor vacante de grefier la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instanţele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judecătoreşti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la parchetele de pe lângă acestea;</w:t>
      </w:r>
    </w:p>
    <w:p w14:paraId="436A5658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j)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întocmeşte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lucrări pentru Plen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secţii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privitoare la activitatea de formare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iniţială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 personalului auxiliar de specialitate, organizată de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Şcoala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Naţională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Grefieri;</w:t>
      </w:r>
    </w:p>
    <w:p w14:paraId="617F4855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k) efectuează lucrările privind exercitarea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atribuţiilor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Consiliului Superior al Magistraturii în domeniul evaluării profesionale a judecătorilor, procurorilor, inspectorilor judiciari cu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funcţii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execuţie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directorilor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direcţiilor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inspecţie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;</w:t>
      </w:r>
    </w:p>
    <w:p w14:paraId="6B06C0F7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l) efectuează lucrările în vederea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soluţionării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contestaţiilor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privind calificativele acordate judecătorilor, procurorilor, inspectorilor judiciari cu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funcţii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execuţie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directorilor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direcţiilor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inspecţie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către comisiile de evaluare 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activităţii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profesionale;</w:t>
      </w:r>
    </w:p>
    <w:p w14:paraId="7D25A6A2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m) efectuează lucrările privind desemnarea membrilor Consiliului în comisiile de evaluare, în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condiţiile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legii;</w:t>
      </w:r>
    </w:p>
    <w:p w14:paraId="28768C10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n)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întocmeşte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lucrările privind numirea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revocarea directorului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 directorilor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adjuncţi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ai Institutului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Naţional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al Magistraturii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ai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Şcolii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Naţionale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Grefieri;</w:t>
      </w:r>
    </w:p>
    <w:p w14:paraId="66E81B5A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o)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întocmeşte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lucrările privind desemnarea judecătorilor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 procurorilor care vor face parte din Consiliul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ştiinţific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al Institutului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Naţional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al Magistraturii, respectiv din Consiliul de conducere al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Şcolii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Naţionale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Grefieri;</w:t>
      </w:r>
    </w:p>
    <w:p w14:paraId="716E27DB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p) organizează, sub coordonarea secretarului general,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activităţile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formare profesională a personalului aparatului tehnic administrativ al Consiliului Superior al Magistraturii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al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instituţiilor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coordonate.</w:t>
      </w:r>
    </w:p>
    <w:p w14:paraId="29FBE66F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</w:p>
    <w:p w14:paraId="3FC3FD20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17. Articolul 89 se abrogă.</w:t>
      </w:r>
    </w:p>
    <w:p w14:paraId="5CD2956E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</w:p>
    <w:p w14:paraId="15BB90E1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18.   Articolul 92 se modifică și va avea următorul cuprins:</w:t>
      </w:r>
    </w:p>
    <w:p w14:paraId="57B1BB23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lastRenderedPageBreak/>
        <w:t>„Art. 92</w:t>
      </w: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- (1)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Direcţia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economică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administrativ exercită, prin </w:t>
      </w: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Compartimentul</w:t>
      </w: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salarizare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buget, în ceea ce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priveşte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salarizarea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drepturile de personal, următoarele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atribuţii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:</w:t>
      </w:r>
    </w:p>
    <w:p w14:paraId="58651EC8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a)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întocmeşte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statele de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funcţii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statele de personal pentru Consiliu, împreună cu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Direcţia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resurse umane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organizare;</w:t>
      </w:r>
    </w:p>
    <w:p w14:paraId="3A5ABC2B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b)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urmăreşte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, împreună cu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Direcţia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resurse umane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organizare, aplicarea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legislaţiei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în domeniul drepturilor de personal: salarii,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indemnizaţii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, sporuri, grade, trepte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altele, pentru Consiliu;</w:t>
      </w:r>
    </w:p>
    <w:p w14:paraId="45F18B79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c) avizează, împreună cu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Direcţia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resurse umane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organizare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cu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Direcţia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legislaţie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, documentare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contencios, încadrările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modificările de încadrări, echivalările de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funcţii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specialităţi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pentru Consiliu;</w:t>
      </w:r>
    </w:p>
    <w:p w14:paraId="5E80703B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d) elaborează, împreună cu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Direcţia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resurse umane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organizare, criteriile pentru acordarea premiilor trimestriale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anuale pe categorii de personal;</w:t>
      </w:r>
    </w:p>
    <w:p w14:paraId="005E6805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e) calculează drepturile de personal (salarii,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indemnizaţii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, concedii de odihnă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alte drepturi, cum ar fi premii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stimulente) pentru personalul din aparatul propriu al Consiliului;</w:t>
      </w:r>
    </w:p>
    <w:p w14:paraId="40C94076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f)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stabileşte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asigură efectuarea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plăţii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în termen 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obligaţiilor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faţă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bugetul de stat, bugetul asigurărilor sociale de stat, fondul pentru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şomaj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fondul asigurărilor sociale de sănătate;</w:t>
      </w:r>
    </w:p>
    <w:p w14:paraId="03BAD500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g) analizează proiectul de buget al Institutului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Naţional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al Magistraturii, al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Şcolii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Naţionale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Grefieri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al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Inspecţiei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Judiciare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formulează propuneri corespunzătoare;</w:t>
      </w:r>
    </w:p>
    <w:p w14:paraId="318A129B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h) fundamentează avizul conform al Consiliului pentru proiectele de buget ale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instanţelor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parchetelor, prin verificarea încadrării solicitărilor ordonatorilor secundari de credite în proiectele de buget ale ordonatorilor principali de credite, cu fundamentările corespunzătoare pe categorii de cheltuieli;</w:t>
      </w:r>
    </w:p>
    <w:p w14:paraId="18F8813A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i)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întocmeşte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lunar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situaţia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privind monitorizarea cheltuielilor de personal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finanţate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la bugetul de stat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din venituri proprii pentru Consiliu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unităţile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aflate în coordonare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o transmite, potrivit legii, Ministerului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Finanţelor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;</w:t>
      </w:r>
    </w:p>
    <w:p w14:paraId="10825B66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j)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întocmeşte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Declaraţia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informativă privind impozitul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reţinut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la sursă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câştigurile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/pierderile realizate, pe beneficiari de venit;</w:t>
      </w:r>
    </w:p>
    <w:p w14:paraId="73F91CE9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k)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întocmeşte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dările de seamă statistice lunare privind indicatorii de muncă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salarii pentru Consiliu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asigură transmiterea acestora, conform legii, la Institutul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Naţional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Statistică;</w:t>
      </w:r>
    </w:p>
    <w:p w14:paraId="36D71413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l) emite puncte de vedere în probleme de salarizare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drepturi de personal, la solicitarea compartimentelor din cadrul Consiliului;</w:t>
      </w:r>
    </w:p>
    <w:p w14:paraId="7429F970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m) asigură întocmirea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depunerea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Declaraţiei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privind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obligaţiile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plată 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contribuţiilor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sociale, impozitului pe venit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evidenţa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nominală a persoanelor asigurate;</w:t>
      </w:r>
    </w:p>
    <w:p w14:paraId="0953240B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n) exercită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atribuţii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specifice corelate cu programele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finanţate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din fonduri europene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internaţionale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, la solicitarea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Direcţiei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afaceri europene,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relaţii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internaţionale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programe.</w:t>
      </w:r>
    </w:p>
    <w:p w14:paraId="559A7244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lastRenderedPageBreak/>
        <w:t xml:space="preserve">(2) </w:t>
      </w: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Compartimentul</w:t>
      </w: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salarizare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buget are, în ceea ce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priveşte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bugetul, următoarele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atribuţii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:</w:t>
      </w:r>
    </w:p>
    <w:p w14:paraId="211E845B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a) angajează, alături de ordonatorul de credite, utilizarea creditelor bugetare în limita bugetului aprobat;</w:t>
      </w:r>
    </w:p>
    <w:p w14:paraId="2AC84EE2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b) fundamentează, pe baza propunerilor compartimentelor din cadrul Consiliului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ale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unităţilor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aflate în coordonare, necesarul anual de credite, elaborează proiectul de buget al Consiliului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se ocupă de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obţinerea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avizului consultativ al Ministerului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Finanţelor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;</w:t>
      </w:r>
    </w:p>
    <w:p w14:paraId="6186F3F0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c) asigură fondurile necesare pentru deplasările personalului Consiliului în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ţară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în străinătate,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ţine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evidenţa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operativă a acestora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verifică deconturile,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urmăreşte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încadrarea în cheltuielile aprobate prin buget.</w:t>
      </w:r>
    </w:p>
    <w:p w14:paraId="1149351A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(3) </w:t>
      </w: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Serviciul financiar-contabil</w:t>
      </w: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exercită următoarele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atribuţii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:</w:t>
      </w:r>
    </w:p>
    <w:p w14:paraId="4086E409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a) propune repartizarea indicatorilor financiari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urmăreşte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realizarea lor pe capitole bugetare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pe categorii de cheltuieli, potrivit legii;</w:t>
      </w:r>
    </w:p>
    <w:p w14:paraId="11E712F3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b) gestionează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utilizează veniturile proprii, aprobate potrivit legii;</w:t>
      </w:r>
    </w:p>
    <w:p w14:paraId="68CEBA68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c) organizează activitatea casieriei, în conformitate cu prevederile legale; ia măsuri pentru efectuarea tuturor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plăţilor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în numerar, precum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pentru efectuarea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operaţiunilor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curente cu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Direcţia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Trezorerie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Contabilitate Publică a Municipiului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Bucureşti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cu unitatea bancară competentă pentru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operaţiuni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plăţi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externe;</w:t>
      </w:r>
    </w:p>
    <w:p w14:paraId="5DD22895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d) asigură organizarea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evidenţei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contabile în cadrul Consiliului, îndrumă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coordonează această activitate la ordonatorii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terţiari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credite, centralizează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situaţiile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financiare trimestriale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anuale ale ordonatorilor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terţiari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credite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asigură transmiterea acestora la Ministerul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Finanţelor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la termenele stabilite potrivit reglementărilor legale;</w:t>
      </w:r>
    </w:p>
    <w:p w14:paraId="626BBF2F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e) organizează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efectuează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operaţiunile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prevăzute de lege privind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evidenţa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contabilă a patrimoniului aflat în gestiunea responsabilului de bunuri din cadrul Serviciului administrativ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aprovizionare;</w:t>
      </w:r>
    </w:p>
    <w:p w14:paraId="5A924CDB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f) înregistrează notele contabile,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ţine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evidenţa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conturilor sintetice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analitice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întocmeşte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balanţele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verificare lunare;</w:t>
      </w:r>
    </w:p>
    <w:p w14:paraId="399B6525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g) asigură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evidenţa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raportarea angajamentelor bugetare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legale;</w:t>
      </w:r>
    </w:p>
    <w:p w14:paraId="19841263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h)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întocmeşte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situaţia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trimestrială privind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execuţia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cheltuielilor bugetare angajate pentru aparatul propriu al Consiliului;</w:t>
      </w:r>
    </w:p>
    <w:p w14:paraId="7AC2208D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i) centralizează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situaţia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trimestrială privind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execuţia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bugetară aprobată ordonatorilor din subordine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asigură transmiterea acesteia la Ministerul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Finanţelor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;</w:t>
      </w:r>
    </w:p>
    <w:p w14:paraId="0467B118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j) </w:t>
      </w:r>
      <w:proofErr w:type="spellStart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urmăreşte</w:t>
      </w:r>
      <w:proofErr w:type="spellEnd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 angajarea, lichidarea, </w:t>
      </w:r>
      <w:proofErr w:type="spellStart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ordonanţarea</w:t>
      </w:r>
      <w:proofErr w:type="spellEnd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 plata cheltuielilor de personal pentru aparatul propriu al Consiliului, potrivit legii;</w:t>
      </w:r>
    </w:p>
    <w:p w14:paraId="1901A08A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lastRenderedPageBreak/>
        <w:t xml:space="preserve">k) exercită, potrivit legii, controlul financiar preventiv asupra tuturor </w:t>
      </w:r>
      <w:proofErr w:type="spellStart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operaţiunilor</w:t>
      </w:r>
      <w:proofErr w:type="spellEnd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 documentelor din care derivă drepturi sau </w:t>
      </w:r>
      <w:proofErr w:type="spellStart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obligaţii</w:t>
      </w:r>
      <w:proofErr w:type="spellEnd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 patrimoniale;</w:t>
      </w:r>
    </w:p>
    <w:p w14:paraId="6E789829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l) analizează </w:t>
      </w:r>
      <w:proofErr w:type="spellStart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 supune spre aprobare ordonatorului principal de credite propunerile cu persoanele desemnate de către ordonatorii </w:t>
      </w:r>
      <w:proofErr w:type="spellStart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terţiari</w:t>
      </w:r>
      <w:proofErr w:type="spellEnd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 de credite pentru acordarea vizei de control financiar preventiv propriu;</w:t>
      </w:r>
    </w:p>
    <w:p w14:paraId="2372486B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m) </w:t>
      </w:r>
      <w:proofErr w:type="spellStart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întocmeşte</w:t>
      </w:r>
      <w:proofErr w:type="spellEnd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situaţia</w:t>
      </w:r>
      <w:proofErr w:type="spellEnd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 centralizatoare a tuturor </w:t>
      </w:r>
      <w:proofErr w:type="spellStart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operaţiunilor</w:t>
      </w:r>
      <w:proofErr w:type="spellEnd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 supuse vizei de control financiar preventiv propriu la nivelul ordonatorilor </w:t>
      </w:r>
      <w:proofErr w:type="spellStart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terţiari</w:t>
      </w:r>
      <w:proofErr w:type="spellEnd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 de credite </w:t>
      </w:r>
      <w:proofErr w:type="spellStart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 asigură transmiterea trimestrială a acestora la Ministerul </w:t>
      </w:r>
      <w:proofErr w:type="spellStart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Finanţelor</w:t>
      </w:r>
      <w:proofErr w:type="spellEnd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.</w:t>
      </w:r>
    </w:p>
    <w:p w14:paraId="7250FD85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n) exercită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atribuţii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specifice corelate cu programele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finanţate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din fonduri europene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internaţionale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, la solicitarea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Direcţiei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afaceri europene,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relaţii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internaţionale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programe.”</w:t>
      </w:r>
    </w:p>
    <w:p w14:paraId="281AD08D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</w:p>
    <w:p w14:paraId="27BF872B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19. La articolul 97 alineatul (3), litera r) se modifică și va avea următorul cuprins:</w:t>
      </w:r>
    </w:p>
    <w:p w14:paraId="79B13D35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„r) ia măsuri pentru organizarea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activităţilor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internaţionale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sau cu caracter festiv ale Consiliului, cu sprijinul </w:t>
      </w: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Serviciului </w:t>
      </w:r>
      <w:proofErr w:type="spellStart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achiziţii</w:t>
      </w:r>
      <w:proofErr w:type="spellEnd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 publice, protocol și secretariat;”</w:t>
      </w:r>
    </w:p>
    <w:p w14:paraId="1F860A20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</w:p>
    <w:p w14:paraId="743F2871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20. La articolul 98, literele l) și m) se modifică și vor avea următorul cuprins:</w:t>
      </w:r>
    </w:p>
    <w:p w14:paraId="35FF6772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„l) pune la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dispoziţie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Compartimentului </w:t>
      </w: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informatică hotărârile în vederea publicării;</w:t>
      </w:r>
    </w:p>
    <w:p w14:paraId="22304593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m) colaborează cu </w:t>
      </w: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Compartimentul</w:t>
      </w: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informatică în vederea conceperii de programe care să permită exploatarea bazei de date privind activitatea Consiliului.”</w:t>
      </w:r>
    </w:p>
    <w:p w14:paraId="30E9E4FB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</w:p>
    <w:p w14:paraId="18023D17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21. Articolul 99 se modifică și va avea următorul cuprins:</w:t>
      </w:r>
    </w:p>
    <w:p w14:paraId="28EE4EE8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„</w:t>
      </w: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Art. 99</w:t>
      </w: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- (1) </w:t>
      </w: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Serviciul</w:t>
      </w: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grefa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secţiilor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are următoarele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atribuţii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:</w:t>
      </w:r>
    </w:p>
    <w:p w14:paraId="5955F2EC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a) asigură activitatea de secretariat al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şedinţelor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secţiilor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Consiliului în materie disciplinară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urmăreşte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soluţiile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pronunţate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în cauzele în care a fost exercitată calea de atac;</w:t>
      </w:r>
    </w:p>
    <w:p w14:paraId="51551D01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b) redactează hotărârile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secţiilor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Consiliului prin care s-a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soluţionat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acţiunea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disciplinară;</w:t>
      </w:r>
    </w:p>
    <w:p w14:paraId="49467DF6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c) comunică de îndată, în scris, judecătorului sau procurorului, precum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Inspecţiei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Judiciare hotărârile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secţiilor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Consiliului prin care s-a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soluţionat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acţiunea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disciplinară; ia măsuri, împreună cu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Direcţia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resurse umane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organizare, pentru punerea în executare a hotărârilor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judecătoreşti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în materie disciplinară, inclusiv pe baza comunicărilor făcute de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Inspecţia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Judiciară; transmite hotărârile definitive anonimizate în vederea publicării în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aplicaţia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EMAP;</w:t>
      </w:r>
    </w:p>
    <w:p w14:paraId="305B34F6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d) asigură, în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condiţii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confidenţialitate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, activitatea de secretariat al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şedinţelor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secţiilor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Consiliului în care se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soluţionează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cererile de avizare 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percheziţiei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,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reţinerii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, arestării preventive sau arestului la domiciliu, controlului judiciar sau controlului judiciar pe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cauţiune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cu privire la judecători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procurori;</w:t>
      </w:r>
    </w:p>
    <w:p w14:paraId="360B9F1A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lastRenderedPageBreak/>
        <w:t xml:space="preserve">e) redactează, în ziua în care au fost adoptate, hotărârile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secţiilor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Consiliului prin care sau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soluţionat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cererile prevăzute la lit. d);</w:t>
      </w:r>
    </w:p>
    <w:p w14:paraId="76E38B33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f) asigură activitatea de secretariat al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şedinţelor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secţiilor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Consiliului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redactează hotărârile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secţiilor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Consiliului prin care s-au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soluţionat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sesizările privind încălcarea normelor de conduită reglementate de Codul deontologic al judecătorilor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procurorilor;</w:t>
      </w:r>
    </w:p>
    <w:p w14:paraId="12600CCE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g) asigură activitatea de secretariat al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şedinţelor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secţiilor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Consiliului în materia sesizărilor având ca obiect suspendarea din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funcţie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 judecătorilor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procurorilor în temeiul art. 197 alin. (1) lit. f)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g) din Legea nr. 303/2022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redactează hotărârile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pronunţate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;</w:t>
      </w:r>
    </w:p>
    <w:p w14:paraId="09D7F642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h) redactează orice alte hotărâri sau lucrări repartizate de către secretarul general sau de către secretarul general adjunct;</w:t>
      </w:r>
    </w:p>
    <w:p w14:paraId="3D0EF707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i) formulează puncte de vedere cu privire la problemele juridice ivite în procedurile pentru care asigură activitatea de secretariat;</w:t>
      </w:r>
    </w:p>
    <w:p w14:paraId="0227921A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j)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întocmeşte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lucrările referitoare la radierea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sancţiunilor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disciplinare aplicate judecătorilor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procurorilor.</w:t>
      </w:r>
    </w:p>
    <w:p w14:paraId="431C98A8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(2) Pentru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evidenţierea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cauzelor în care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secţiile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au dispus suspendarea din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funcţie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 judecătorilor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procurorilor, </w:t>
      </w: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Serviciul</w:t>
      </w: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grefa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secţiilor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ţine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un registru cu următoarele rubrici: numărul curent, numele judecătorului/procurorului, titularul solicitării, temeiul suspendării,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soluţia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dispusă de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secţia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corespunzătoare a Consiliului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data comunicării acesteia, alte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menţiuni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.</w:t>
      </w:r>
    </w:p>
    <w:p w14:paraId="3B193B20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(3) </w:t>
      </w: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Serviciul</w:t>
      </w: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grefa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secţiilor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întocmeşte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păstrează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Registrul general, în care se trec, în ordinea înregistrării, toate sesizările privind încălcările Codului deontologic al judecătorilor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procurorilor.</w:t>
      </w:r>
    </w:p>
    <w:p w14:paraId="51FE2027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</w:p>
    <w:p w14:paraId="1D2456BB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22. Articolul 100 se modifică și va avea următorul cuprins:</w:t>
      </w:r>
    </w:p>
    <w:p w14:paraId="16200041" w14:textId="173C7030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„Art. 100 - Serviciul de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relaţii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cu publicul, registratură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arhivă exercită următoarele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atribuţii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:</w:t>
      </w:r>
    </w:p>
    <w:p w14:paraId="64B6798E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a)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primeşte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, înregistrează,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soluţionează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petiţiile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expediază răspunsurile către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petiţionari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;</w:t>
      </w:r>
    </w:p>
    <w:p w14:paraId="4762226A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b)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întocmeşte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raportul semestrial privind activitatea de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soluţionare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petiţiilor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;</w:t>
      </w:r>
    </w:p>
    <w:p w14:paraId="1ACF1094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c)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ţine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audienţe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colaborează cu celelalte compartimente în vederea rezolvării problemelor ridicate de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petenţi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.</w:t>
      </w:r>
    </w:p>
    <w:p w14:paraId="14BBCFF7" w14:textId="52FB1FF4" w:rsidR="00B100CA" w:rsidRPr="00B100CA" w:rsidRDefault="00597560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d</w:t>
      </w:r>
      <w:r w:rsidR="00B100CA"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) </w:t>
      </w:r>
      <w:proofErr w:type="spellStart"/>
      <w:r w:rsidR="00B100CA"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primeşte</w:t>
      </w:r>
      <w:proofErr w:type="spellEnd"/>
      <w:r w:rsidR="00B100CA"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, înregistrează </w:t>
      </w:r>
      <w:proofErr w:type="spellStart"/>
      <w:r w:rsidR="00B100CA"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="00B100CA"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distribuie </w:t>
      </w:r>
      <w:proofErr w:type="spellStart"/>
      <w:r w:rsidR="00B100CA"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corespondenţa</w:t>
      </w:r>
      <w:proofErr w:type="spellEnd"/>
      <w:r w:rsidR="00B100CA"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Consiliului;</w:t>
      </w:r>
    </w:p>
    <w:p w14:paraId="0425F42D" w14:textId="022D3EB8" w:rsidR="00B100CA" w:rsidRPr="00B100CA" w:rsidRDefault="00597560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e</w:t>
      </w:r>
      <w:r w:rsidR="00B100CA"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) preia arhiva de la compartimentele din aparatul propriu al Consiliului Superior al Magistraturii pe bază de proces-verbal;</w:t>
      </w:r>
    </w:p>
    <w:p w14:paraId="3F1513BA" w14:textId="509B40C6" w:rsidR="00B100CA" w:rsidRPr="00B100CA" w:rsidRDefault="00597560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f</w:t>
      </w:r>
      <w:r w:rsidR="00B100CA"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) gestionează arhiva preluată;</w:t>
      </w:r>
    </w:p>
    <w:p w14:paraId="26A294F2" w14:textId="735A32E6" w:rsidR="00B100CA" w:rsidRPr="00B100CA" w:rsidRDefault="00597560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g</w:t>
      </w:r>
      <w:r w:rsidR="00B100CA"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) </w:t>
      </w:r>
      <w:proofErr w:type="spellStart"/>
      <w:r w:rsidR="00B100CA"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ţine</w:t>
      </w:r>
      <w:proofErr w:type="spellEnd"/>
      <w:r w:rsidR="00B100CA"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registrul de </w:t>
      </w:r>
      <w:proofErr w:type="spellStart"/>
      <w:r w:rsidR="00B100CA"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evidenţă</w:t>
      </w:r>
      <w:proofErr w:type="spellEnd"/>
      <w:r w:rsidR="00B100CA"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curentă de intrare-</w:t>
      </w:r>
      <w:proofErr w:type="spellStart"/>
      <w:r w:rsidR="00B100CA"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ieşire</w:t>
      </w:r>
      <w:proofErr w:type="spellEnd"/>
      <w:r w:rsidR="00B100CA"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 documentelor depozitate în arhivă;</w:t>
      </w:r>
    </w:p>
    <w:p w14:paraId="4638E19A" w14:textId="799491D9" w:rsidR="00B100CA" w:rsidRPr="00B100CA" w:rsidRDefault="00597560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h</w:t>
      </w:r>
      <w:r w:rsidR="00B100CA"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) păstrează nomenclatorul arhivistic;</w:t>
      </w:r>
    </w:p>
    <w:p w14:paraId="0F33BB0C" w14:textId="1F8693F0" w:rsidR="00B100CA" w:rsidRPr="00B100CA" w:rsidRDefault="00597560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lastRenderedPageBreak/>
        <w:t>i</w:t>
      </w:r>
      <w:r w:rsidR="00B100CA"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) participă la </w:t>
      </w:r>
      <w:proofErr w:type="spellStart"/>
      <w:r w:rsidR="00B100CA"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selecţionarea</w:t>
      </w:r>
      <w:proofErr w:type="spellEnd"/>
      <w:r w:rsidR="00B100CA"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documentelor de arhivă </w:t>
      </w:r>
      <w:proofErr w:type="spellStart"/>
      <w:r w:rsidR="00B100CA"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="00B100CA"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="00B100CA"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ţine</w:t>
      </w:r>
      <w:proofErr w:type="spellEnd"/>
      <w:r w:rsidR="00B100CA"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="00B100CA"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evidenţa</w:t>
      </w:r>
      <w:proofErr w:type="spellEnd"/>
      <w:r w:rsidR="00B100CA"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lucrărilor de </w:t>
      </w:r>
      <w:proofErr w:type="spellStart"/>
      <w:r w:rsidR="00B100CA"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selecţionare</w:t>
      </w:r>
      <w:proofErr w:type="spellEnd"/>
      <w:r w:rsidR="00B100CA"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;</w:t>
      </w:r>
    </w:p>
    <w:p w14:paraId="4E9B76A1" w14:textId="7F03C41F" w:rsidR="00B100CA" w:rsidRPr="00B100CA" w:rsidRDefault="00597560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j</w:t>
      </w:r>
      <w:r w:rsidR="00B100CA"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) </w:t>
      </w:r>
      <w:proofErr w:type="spellStart"/>
      <w:r w:rsidR="00B100CA"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întocmeşte</w:t>
      </w:r>
      <w:proofErr w:type="spellEnd"/>
      <w:r w:rsidR="00B100CA"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="00B100CA"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corespondenţa</w:t>
      </w:r>
      <w:proofErr w:type="spellEnd"/>
      <w:r w:rsidR="00B100CA"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cu Arhivele </w:t>
      </w:r>
      <w:proofErr w:type="spellStart"/>
      <w:r w:rsidR="00B100CA"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Naţionale</w:t>
      </w:r>
      <w:proofErr w:type="spellEnd"/>
      <w:r w:rsidR="00B100CA"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="00B100CA"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="00B100CA"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="00B100CA"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ţine</w:t>
      </w:r>
      <w:proofErr w:type="spellEnd"/>
      <w:r w:rsidR="00B100CA"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="00B100CA"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evidenţa</w:t>
      </w:r>
      <w:proofErr w:type="spellEnd"/>
      <w:r w:rsidR="00B100CA"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acesteia.</w:t>
      </w:r>
    </w:p>
    <w:p w14:paraId="3D22CBF7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</w:p>
    <w:p w14:paraId="7AF79586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23.  La articolul 101, alineatul (1) se modifică și va avea următorul cuprins:</w:t>
      </w:r>
    </w:p>
    <w:p w14:paraId="07302ADF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„</w:t>
      </w: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Art. 101</w:t>
      </w: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- (1) Serviciul informatică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statistică judiciară exercită, prin</w:t>
      </w: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 Compartimentul</w:t>
      </w: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informatică, următoarele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atribuţii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:</w:t>
      </w:r>
    </w:p>
    <w:p w14:paraId="5DE963C8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a) participă la punerea în practică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la actualizarea strategiei de informatizare a sistemului judiciar, în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concordanţă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cu dezvoltarea tehnologiei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informaţiei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cu sarcinile care revin Consiliului, potrivit legii;</w:t>
      </w:r>
    </w:p>
    <w:p w14:paraId="5DA5E764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b) colaborează cu compartimentele din cadrul Consiliului pentru îndeplinirea sarcinilor ce îi revin;</w:t>
      </w:r>
    </w:p>
    <w:p w14:paraId="40AACB35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c) aplică tehnici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metode noi de exploatare, administrare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întreţinere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 produselor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serviciilor informatice, în vederea dezvoltării unui sistem informatic juridic eficient;</w:t>
      </w:r>
    </w:p>
    <w:p w14:paraId="73428EF6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d) elaborează norme, proceduri de utilizare,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protecţie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securitate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coordonează administrarea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exploatarea eficientă, sigură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securizată a produselor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serviciilor informatice;</w:t>
      </w:r>
    </w:p>
    <w:p w14:paraId="5B7363FC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e) proiectează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elaborează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specificaţiile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tehnice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propune spre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achiziţionare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aplicaţii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informatice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baze de date, implementează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coordonează exploatarea acestora în sistemul informatic al Consiliului;</w:t>
      </w:r>
    </w:p>
    <w:p w14:paraId="74CF94AF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f)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ţine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evidenţa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specifică a dotării cu produse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servicii informatice în cadrul Consiliului (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locaţie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, echipamente, utilizatori,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licenţe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, versiuni ale sistemelor de operare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ale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aplicaţiilor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informatice etc.);</w:t>
      </w:r>
    </w:p>
    <w:p w14:paraId="5A87EB1E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g) face propuneri în vederea stabilirii obiectivelor de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investiţii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privind produsele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serviciile informatice, în conformitate cu strategia de informatizare a sistemului judiciar;</w:t>
      </w:r>
    </w:p>
    <w:p w14:paraId="2B53CD52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h) participă la elaborarea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specificaţiilor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tehnice din cadrul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documentaţiei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achiziţie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la evaluarea tehnică a ofertelor în procedurile de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achiziţionare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produse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servicii informatice pentru sistemul informatic al Consiliului;</w:t>
      </w:r>
    </w:p>
    <w:p w14:paraId="48F87A16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i) participă la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recepţionarea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produselor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serviciilor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achiziţionate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la derularea contractelor de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achiziţie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 produselor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serviciilor informatice pentru sistemul informatic al Consiliului;</w:t>
      </w:r>
    </w:p>
    <w:p w14:paraId="7F7079C7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j) asigură legătura cu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unităţile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service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reprezintă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instituţia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în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relaţiile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cu acestea, atât pentru produsele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serviciile gestionate de Consiliu, cât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pentru produsele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serviciile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externalizate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(service pentru imprimante, faxuri, copiatoare, service pentru administrarea unor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aplicaţii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utilizate în cadrul Consiliului), pentru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menţinerea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în stare de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funcţionare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 produselor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serviciilor informatice din sistemul informatic al Consiliului;</w:t>
      </w:r>
    </w:p>
    <w:p w14:paraId="18FCB4B1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lastRenderedPageBreak/>
        <w:t xml:space="preserve">k) asigură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asistenţă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tehnică de specialitate pentru eficientizarea exploatării produselor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serviciilor informatice în cadrul Consiliului;</w:t>
      </w:r>
    </w:p>
    <w:p w14:paraId="31ACA545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l) intervine operativ, împreună cu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unităţile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service,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ţine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evidenţa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intervenţiilor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acestora pentru a asigura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funcţionarea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permanentă a produselor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serviciilor informatice din cadrul Consiliului;</w:t>
      </w:r>
    </w:p>
    <w:p w14:paraId="474D2008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m) asigură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asistenţa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tehnică pentru publicarea pe pagina de internet a Consiliului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în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aplicaţia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EMAP 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informaţiilor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 documentelor a căror publicare este prevăzută de lege sau de regulamente, inclusiv a celor vizând asigurarea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transparenţei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decizionale, elaborate de diverse compartimente ale Consiliului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aprobate spre publicare de conducerea Consiliului;</w:t>
      </w:r>
    </w:p>
    <w:p w14:paraId="74D2B62F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n) exercită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atribuţii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specifice corelate cu programele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finanţate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din fonduri europene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internaţionale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, la solicitarea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Direcţiei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afaceri europene,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relaţii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internaţionale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programe;</w:t>
      </w:r>
    </w:p>
    <w:p w14:paraId="52A41CC3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o)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desfăşoară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activităţi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privind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operaţionalizarea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Sistemului informatic unic de management (SMIS) al fondurilor comunitare;</w:t>
      </w:r>
    </w:p>
    <w:p w14:paraId="7CF0500F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p) realizează înregistrarea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şedinţelor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Plenului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ale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secţiilor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Consiliului Superior al Magistraturii, postarea acestora pe site, precum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arhivarea lor;</w:t>
      </w:r>
    </w:p>
    <w:p w14:paraId="2A3C4CE1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q) realizează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aplicaţii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informatice;</w:t>
      </w:r>
    </w:p>
    <w:p w14:paraId="665E3046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r) exercită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atribuţiile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prevăzute la art. 6 alin. (1) lit. d) din Legea nr. 176/2010, cu modificările ulterioare, în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privinţa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membrilor Consiliului, judecătorilor, procurorilor,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asistenţilor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judiciari, precum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 personalului din cadrul aparatului propriu;</w:t>
      </w:r>
    </w:p>
    <w:p w14:paraId="466ED3C8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s) elaborează note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puncte de vedere cu privire la produsele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serviciile informatice ori la alte probleme cu specific IT, în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concordanţă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cu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atribuţiile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ce-i revin potrivit regulamentului.”</w:t>
      </w:r>
    </w:p>
    <w:p w14:paraId="24BF7E25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</w:p>
    <w:p w14:paraId="615706CA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24. La articolul 104, alineatele (1) și (3) se modifică și vor avea următorul cuprins:</w:t>
      </w:r>
    </w:p>
    <w:p w14:paraId="62AC59CF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„</w:t>
      </w: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Art. 104</w:t>
      </w: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- (1) </w:t>
      </w: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Serviciul</w:t>
      </w: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informare publică,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relaţii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cu mass-media </w:t>
      </w: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și protecția datelor cu caracter personal</w:t>
      </w: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este organizat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funcţionează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potrivit prevederilor Legii nr. 304/2022, ale Legii nr. 303/2022, ale Legii nr. 544/2001 privind liberul acces la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informaţiile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interes public, cu modificările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completările ulterioare, ale Ghidului privind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relaţia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dintre sistemul judiciar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mass-media, aprobat prin Hotărârea Plenului Consiliului Superior al Magistraturii nr. 197/2019, precum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ale Regulamentului (UE) 2016/679 privind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protecţia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persoanelor fizice în ceea ce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priveşte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prelucrarea datelor cu caracter personal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privind libera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circulaţie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 acestor date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abrogare a Directivei 95/46/CE (Regulamentul general privind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protecţia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datelor).</w:t>
      </w:r>
    </w:p>
    <w:p w14:paraId="08FE3FA8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………………………………………………………………………………………………………………………………….</w:t>
      </w:r>
    </w:p>
    <w:p w14:paraId="1CDCC143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(3) </w:t>
      </w: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Serviciul</w:t>
      </w: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informare publică,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relaţii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cu mass-media </w:t>
      </w: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și protecția datelor cu caracter personal</w:t>
      </w: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este condus de un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şef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serviciu</w:t>
      </w: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, care este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purtătorul de cuvânt al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instituţiei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,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are următoarele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atribuţii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:</w:t>
      </w:r>
    </w:p>
    <w:p w14:paraId="5BEEE7C7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lastRenderedPageBreak/>
        <w:t xml:space="preserve">a) răspunde la sesizările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cererile formulate în baza Legii nr. 544/2001, cu modificările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completările ulterioare, în legătură cu propria activitate;</w:t>
      </w:r>
    </w:p>
    <w:p w14:paraId="773E9F39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b) informează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preşedintele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Consiliului cu privire la aspectele semnificative ce vizează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justiţia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, difuzate prin mass-media,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comunică presei punctele de vedere oficiale;</w:t>
      </w:r>
    </w:p>
    <w:p w14:paraId="386F370F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c)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îndeplineşte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, potrivit legii,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activităţile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informare publică;</w:t>
      </w:r>
    </w:p>
    <w:p w14:paraId="1D9FFCEA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d)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întocmeşte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actualizează anual Buletinul informativ privind liberul acces la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informaţiile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publice, potrivit legii;</w:t>
      </w:r>
    </w:p>
    <w:p w14:paraId="1DB654E8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e) realizează informarea publicului asupra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activităţii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Consiliului, publicarea pe site a acestor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informaţii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, actualizarea acestora, inclusiv prin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menţionarea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soluţiilor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instanţelor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judecătoreşti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referitoare la actele Consiliului,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răspunde presei în numele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instituţiei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, prin purtătorul de cuvânt;</w:t>
      </w:r>
    </w:p>
    <w:p w14:paraId="76E40F16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f) realizează informarea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documentarea cu privire la activitatea judiciară din care ar putea rezulta date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informaţii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interes public;</w:t>
      </w:r>
    </w:p>
    <w:p w14:paraId="2623B1C9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g) monitorizează articolele din presa centrală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, cu sprijinul birourilor de informare publică ale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instanţelor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parchetelor, pe cele din presa locală, cu privire la reflectarea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activităţii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Consiliului, 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instanţelor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sau parchetelor,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întocmeşte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zilnic revista presei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sinteza presei;</w:t>
      </w:r>
    </w:p>
    <w:p w14:paraId="426829FC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h) efectuează sau participă la elaborarea unor studii, evaluări, lucrări de sinteză privind reflectarea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activităţii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Consiliului în mass-media;</w:t>
      </w:r>
    </w:p>
    <w:p w14:paraId="311F8AB4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i) elaborează prognoze privind aspectele din activitatea Consiliului ce urmează să fie reflectate în mass-media;</w:t>
      </w:r>
    </w:p>
    <w:p w14:paraId="2218F349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j)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îndeplineşte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activităţile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comunicare ce decurg din exercitarea de către Consiliu a rolului de autoritate competentă pentru supravegherea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operaţiunilor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prelucrare a datelor cu caracter personal de către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instanţele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judecătoreşti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în exercitarea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atribuţiilor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lor judiciare;</w:t>
      </w:r>
    </w:p>
    <w:p w14:paraId="3239ED78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k) realizează orice alte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activităţi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relaţii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publice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comunicare prevăzute de Ghidul privind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relaţia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dintre sistemul judiciar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mass-media sau dispuse de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preşedintele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Consiliului.”</w:t>
      </w:r>
    </w:p>
    <w:p w14:paraId="7357E60A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</w:p>
    <w:p w14:paraId="0E20F87C" w14:textId="40F8DFED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25. La articolul 104, după alineatul (12) se introduc două noi al</w:t>
      </w:r>
      <w:r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i</w:t>
      </w: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neate, alineatele (13) și (14), care vor avea următorul cuprins:</w:t>
      </w:r>
    </w:p>
    <w:p w14:paraId="21E9616D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„(13) </w:t>
      </w: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Serviciul de informare publică, </w:t>
      </w:r>
      <w:proofErr w:type="spellStart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relaţii</w:t>
      </w:r>
      <w:proofErr w:type="spellEnd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 cu mass-media și protecția datelor cu caracter personal</w:t>
      </w: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întocmeşte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lucrările necesare pentru îndeplinirea rolului Consiliului de autoritate competentă să supravegheze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operaţiunile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prelucrare a datelor cu caracter personal de către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instanţele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judecătoreşti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în exercitarea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atribuţiilor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lor judiciare, după cum urmează:</w:t>
      </w:r>
    </w:p>
    <w:p w14:paraId="114B44CE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1.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atribuţii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prin care se asigură respectarea de către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instanţe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 normelor prevăzute de Regulamentul general privind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protecţia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datelor:</w:t>
      </w:r>
    </w:p>
    <w:p w14:paraId="0F9B3AC7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a) monitorizarea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asigurarea aplicării de către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instanţele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judecătoreşti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 Regulamentului general privind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protecţia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datelor;</w:t>
      </w:r>
    </w:p>
    <w:p w14:paraId="512A90A6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lastRenderedPageBreak/>
        <w:t xml:space="preserve">b) efectuarea de verificări la nivelul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instanţelor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judecătoreşti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privind aplicarea Regulamentului general privind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protecţia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datelor;</w:t>
      </w:r>
    </w:p>
    <w:p w14:paraId="68FC1E86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c) emiterea de avertizări în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atenţia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instanţelor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cu privire la posibilitatea ca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operaţiunile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prelucrare să încalce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dispoziţiile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Regulamentului general privind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protecţia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datelor;</w:t>
      </w:r>
    </w:p>
    <w:p w14:paraId="2B2BDBF0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d) emiterea de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dispoziţii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către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instanţe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pentru respectarea cererilor persoanei vizate de a-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exercita drepturile în temeiul Regulamentului general privind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protecţia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datelor;</w:t>
      </w:r>
    </w:p>
    <w:p w14:paraId="4CA1572F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e) emiterea de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dispoziţii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către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instanţe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pentru a asigura conformitatea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operaţiunilor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prelucrare cu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dispoziţiile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Regulamentului general privind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protecţia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datelor, specificând, după caz, modalitatea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termenul-limită pentru aceasta;</w:t>
      </w:r>
    </w:p>
    <w:p w14:paraId="649A8D79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f) obligarea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instanţelor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să informeze persoana vizată cu privire la o încălcare 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protecţiei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datelor cu caracter personal;</w:t>
      </w:r>
    </w:p>
    <w:p w14:paraId="18324E46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g) impunerea de limitări temporare sau definitive, inclusiv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interdicţii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asupra prelucrării, pentru anumite categorii de date;</w:t>
      </w:r>
    </w:p>
    <w:p w14:paraId="5CF19BCF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h) dispunerea rectificării sau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ştergerii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datelor cu caracter personal sau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restricţionarea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prelucrării, în temeiul art. 16, 17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18 din Regulamentul general privind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protecţia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datelor, precum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notificării acestor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acţiuni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destinatarilor cărora le-au fost divulgate datele cu caracter personal, în conformitate cu art. 17 alin. (2)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cu art. 19 din Regulamentul general privind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protecţia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datelor.</w:t>
      </w:r>
    </w:p>
    <w:p w14:paraId="3BF33FDF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2.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atribuţii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sensibilizare a membrilor sistemului judiciar cu privire la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obligaţiile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care le revin în temeiul Regulamentului general privind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protecţia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datelor:</w:t>
      </w:r>
    </w:p>
    <w:p w14:paraId="7DE62886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a) oferirea de consiliere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instanţelor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judecătoreşti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elaborarea de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instrucţiuni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cu privire la măsurile legislative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administrative referitoare la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protecţia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drepturilor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libertăţilor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persoanelor fizice în ceea ce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priveşte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prelucrarea;</w:t>
      </w:r>
    </w:p>
    <w:p w14:paraId="01AD86B5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b) cooperarea cu Autoritatea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Naţională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Supraveghere a Prelucrării Datelor cu Caracter Personal, pentru a asigura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coerenţa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aplicării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respectării Regulamentului general privind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protecţia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datelor de către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instanţele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judecătoreşti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.</w:t>
      </w:r>
    </w:p>
    <w:p w14:paraId="79158220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3.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atribuţii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privind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soluţionarea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plângerilor în legătură cu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operaţiunile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prelucrare a datelor:</w:t>
      </w:r>
    </w:p>
    <w:p w14:paraId="492E048E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Soluţionarea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plângerilor formulate de persoanele fizice care consideră că prelucrarea de către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instanţele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judecătoreşti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, în exercitarea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atribuţiilor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lor judiciare, a datelor cu caracter personal care le vizează încalcă Regulamentul general privind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protecţia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datelor, sens în care se pot formula recomandări sau se pot sesiza alte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autorităţi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competente, după caz.</w:t>
      </w:r>
    </w:p>
    <w:p w14:paraId="0571A0F8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4. orice alte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atribuţii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în domeniul supravegherii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operaţiunilor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prelucrare a datelor cu caracter personal de către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instanţe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în exercitarea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atribuţiilor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lor judiciare, prevăzute de lege sau de Regulamentul general privind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protecţia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datelor.</w:t>
      </w:r>
    </w:p>
    <w:p w14:paraId="7338F45A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lastRenderedPageBreak/>
        <w:t xml:space="preserve">(14) În cadrul </w:t>
      </w: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Serviciului de informare publică, </w:t>
      </w:r>
      <w:proofErr w:type="spellStart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relaţii</w:t>
      </w:r>
      <w:proofErr w:type="spellEnd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 cu mass-media și protecția datelor cu caracter personal</w:t>
      </w: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funcţionează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responsabilul cu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protecţia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datelor la nivelul Consiliului. Acesta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îndeplineşte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atribuţiile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prevăzute la art. 38 - 39 din Regulamentul general privind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protecţia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datelor, precum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orice alte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atribuţii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stabilite de conducerea Consiliului.”</w:t>
      </w:r>
    </w:p>
    <w:p w14:paraId="6B030B9E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</w:p>
    <w:p w14:paraId="6EE18E07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26. Articolul 107 se modifică și va avea următorul cuprins:</w:t>
      </w:r>
    </w:p>
    <w:p w14:paraId="5E129675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„</w:t>
      </w: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Art. 107</w:t>
      </w: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- (1) </w:t>
      </w: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Serviciul </w:t>
      </w:r>
      <w:proofErr w:type="spellStart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achiziţii</w:t>
      </w:r>
      <w:proofErr w:type="spellEnd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 publice, protocol și secretariat</w:t>
      </w: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are următoarele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atribuţii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:</w:t>
      </w:r>
    </w:p>
    <w:p w14:paraId="0A22E059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a) elaborează programul anual al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achiziţiilor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publice, pe baza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necesităţilor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priorităţilor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comunicate de celelalte compartimente din cadrul Consiliului;</w:t>
      </w:r>
    </w:p>
    <w:p w14:paraId="770561A3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b) verifică, înainte de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iniţiere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, dacă procedurile de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achiziţie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publică se regăsesc în programul anual al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achiziţiilor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publice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identifică fondurile necesare derulării contractelor de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achiziţie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publică;</w:t>
      </w:r>
    </w:p>
    <w:p w14:paraId="247FA9F8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c) elaborează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documentaţia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atribuire;</w:t>
      </w:r>
    </w:p>
    <w:p w14:paraId="50A85D65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d) transmite spre publicare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anunţurile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intenţie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participare sau, după caz,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invitaţiile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participare;</w:t>
      </w:r>
    </w:p>
    <w:p w14:paraId="6613BE69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e) asigură punerea la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dispoziţia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operatorilor economici 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documentaţiei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atribuire,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primeşte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solicitările de clarificări de la operatorii economici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transmite răspunsurile la acestea;</w:t>
      </w:r>
    </w:p>
    <w:p w14:paraId="1E7CB05E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f) deschide ofertele depuse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, după caz, alte documente care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însoţesc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oferta;</w:t>
      </w:r>
    </w:p>
    <w:p w14:paraId="3086C10B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g) verifică îndeplinirea criteriilor de calificare de către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ofertanţi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/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candidaţi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, în cazul în care acestea au fost solicitate prin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documentaţia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atribuire;</w:t>
      </w:r>
    </w:p>
    <w:p w14:paraId="3CA893FE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h) realizează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selecţia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/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preselecţia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candidaţilor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, dacă este cazul;</w:t>
      </w:r>
    </w:p>
    <w:p w14:paraId="2A425EAD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i) realizează dialogul cu operatorii economici, în cazul aplicării procedurii de dialog competitiv;</w:t>
      </w:r>
    </w:p>
    <w:p w14:paraId="4F36DFCC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j) realizează negocierile cu operatorii economici, în cazul aplicării procedurilor de negociere;</w:t>
      </w:r>
    </w:p>
    <w:p w14:paraId="073483DB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k) verifică propunerile tehnice prezentate de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ofertanţi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din punctul de vedere al modului în care acestea corespund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cerinţelor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minime din caietul de sarcini sau din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documentaţia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descriptivă;</w:t>
      </w:r>
    </w:p>
    <w:p w14:paraId="04B32DDF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l) verifică propunerile financiare prezentate de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ofertanţi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din punctul de vedere al încadrării în fondurile care pot fi disponibilizate pentru îndeplinirea contractului de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achiziţie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publică respectiv;</w:t>
      </w:r>
    </w:p>
    <w:p w14:paraId="68F37829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m)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stabileşte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ofertele inacceptabile sau neconforme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motivele care stau la baza încadrării ofertelor respective în această categorie;</w:t>
      </w:r>
    </w:p>
    <w:p w14:paraId="5F55A6EB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n)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stabileşte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ofertele admisibile;</w:t>
      </w:r>
    </w:p>
    <w:p w14:paraId="73F16008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lastRenderedPageBreak/>
        <w:t xml:space="preserve">o) aplică criteriul de atribuire, astfel cum a fost prevăzut în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documentaţia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atribuire,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stabileşte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oferta/ofertele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câştigătoare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sau, după caz, formulează propunerea de anulare a procedurii de atribuire în cazuri justificate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elaborează raportul procedurii de atribuire;</w:t>
      </w:r>
    </w:p>
    <w:p w14:paraId="0DFE0ADF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p) transmite către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ofertanţi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comunicarea privind rezultatul procedurii de atribuire;</w:t>
      </w:r>
    </w:p>
    <w:p w14:paraId="65F3B924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q) redactează contractul de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achiziţie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publică;</w:t>
      </w:r>
    </w:p>
    <w:p w14:paraId="521299C1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r) transmite spre publicare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anunţurile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atribuire;</w:t>
      </w:r>
    </w:p>
    <w:p w14:paraId="2EA16EBC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s) constituie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păstrează dosarul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achiziţiei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publice;</w:t>
      </w:r>
    </w:p>
    <w:p w14:paraId="0221F22D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)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îndeplineşte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lucrările legate de atribuirea contractelor de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achiziţie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publică exceptate de la aplicarea Legii nr. 98/2016 privind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achiziţiile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publice, cu modificările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completările ulterioare;</w:t>
      </w:r>
    </w:p>
    <w:p w14:paraId="6B544D96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t)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îndeplineşte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orice alte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atribuţii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conferite de Legea nr. 98/2016, cu modificările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completările ulterioare, precum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alte acte normative în domeniu;</w:t>
      </w:r>
    </w:p>
    <w:p w14:paraId="1C3157E7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ţ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)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urmăreşte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asigură realizarea în bune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condiţii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 deplasărilor membrilor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personalului Consiliului în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ţară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în străinătate;</w:t>
      </w:r>
    </w:p>
    <w:p w14:paraId="2C05EC65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u)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urmăreşte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asigură realizarea unor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condiţii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corespunzătoare pentru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delegaţiile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străine invitate de Consiliu, cu sprijinul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Direcţiei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afaceri europene,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relaţii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internaţionale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programe;</w:t>
      </w:r>
    </w:p>
    <w:p w14:paraId="7A4AB05C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v) asigură realizarea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activităţilor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protocol pentru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şedinţele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, întrunirile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alte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activităţi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lucru ale Consiliului;</w:t>
      </w:r>
    </w:p>
    <w:p w14:paraId="1E5CB92D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w) sprijină celelalte compartimente ale aparatului Consiliului în organizarea unor manifestări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internaţionale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interne;</w:t>
      </w:r>
    </w:p>
    <w:p w14:paraId="6638C1A5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x) răspunde de completarea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actualizarea formularelor de integritate aferente procedurilor de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achiziţie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publică, în conformitate cu prevederile Legii nr. 184/2016 privind instituirea unui mecanism de prevenire a conflictului de interese în procedura de atribuire a contractelor de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achiziţie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publică;</w:t>
      </w:r>
    </w:p>
    <w:p w14:paraId="2A69D007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y)</w:t>
      </w:r>
      <w:r w:rsidRPr="00B100CA">
        <w:rPr>
          <w:rFonts w:ascii="Calibri" w:eastAsia="Calibri" w:hAnsi="Calibri"/>
          <w:b/>
          <w:bCs/>
          <w:kern w:val="2"/>
          <w:sz w:val="22"/>
          <w:szCs w:val="22"/>
          <w:lang w:eastAsia="en-US"/>
          <w14:ligatures w14:val="standardContextual"/>
        </w:rPr>
        <w:t xml:space="preserve"> </w:t>
      </w: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asigură secretariatul pentru </w:t>
      </w:r>
      <w:proofErr w:type="spellStart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preşedintele</w:t>
      </w:r>
      <w:proofErr w:type="spellEnd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vicepreşedintele</w:t>
      </w:r>
      <w:proofErr w:type="spellEnd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 Consiliului;</w:t>
      </w:r>
    </w:p>
    <w:p w14:paraId="385E6466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z) asigură secretariatul pentru secretarul general </w:t>
      </w:r>
      <w:proofErr w:type="spellStart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 secretarul general adjunct.</w:t>
      </w:r>
    </w:p>
    <w:p w14:paraId="183E7E50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(2) Îndeplinirea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atribuţiilor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prevăzute la alin. (1) lit. f) - o) se realizează prin comisiile de evaluare a ofertelor. Comisiile de evaluare se nominalizează, de regulă, din cadrul </w:t>
      </w: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Serviciului </w:t>
      </w:r>
      <w:proofErr w:type="spellStart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achiziţii</w:t>
      </w:r>
      <w:proofErr w:type="spellEnd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 publice, protocol și secretariat</w:t>
      </w: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, la propunerea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şefului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</w:t>
      </w: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serviciu</w:t>
      </w: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, prin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dispoziţia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ordonatorului principal de credite.</w:t>
      </w:r>
    </w:p>
    <w:p w14:paraId="30809410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(3) Activitatea </w:t>
      </w: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Serviciului </w:t>
      </w:r>
      <w:proofErr w:type="spellStart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achiziţii</w:t>
      </w:r>
      <w:proofErr w:type="spellEnd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 publice, protocol și secretariat</w:t>
      </w: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este coordonată de </w:t>
      </w:r>
      <w:proofErr w:type="spellStart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şeful</w:t>
      </w:r>
      <w:proofErr w:type="spellEnd"/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 de serviciu,</w:t>
      </w: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care avizează toate lucrările elaborate în cadrul serviciului, cu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excepţia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celor întocmite în îndeplinirea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atribuţiilor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prevăzute la alin. (1) lit. f) - o). Celelalte compartimente ale Consiliului au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obligaţia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a sprijini activitatea acestui compartiment, în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funcţie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specificul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documentaţiei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atribuire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complexitatea problemelor care urmează să fie rezolvate în contextul aplicării procedurii de atribuire.”</w:t>
      </w:r>
    </w:p>
    <w:p w14:paraId="4FBCEADA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</w:p>
    <w:p w14:paraId="1D8A7A26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27. Articolul 108 se abrogă.</w:t>
      </w:r>
    </w:p>
    <w:p w14:paraId="647CCC2F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</w:p>
    <w:p w14:paraId="22B212C0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28. La articolul 127, alineatele (2) și (3) se modifică și vor avea următorul cuprins:</w:t>
      </w:r>
    </w:p>
    <w:p w14:paraId="248603E7" w14:textId="26B36369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„(2) Evaluarea directorilor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şefilor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servicii, cu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excepţia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celor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subordonaţi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direct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preşedintelui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sau Plenului, se face de secretarul general.</w:t>
      </w:r>
    </w:p>
    <w:p w14:paraId="44507894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(3) Evaluarea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şefilor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servicii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subordonaţi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direct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preşedintelui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sau Plenului se face de către </w:t>
      </w:r>
      <w:proofErr w:type="spellStart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preşedinte</w:t>
      </w:r>
      <w:proofErr w:type="spellEnd"/>
      <w:r w:rsidRPr="00B100CA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.”</w:t>
      </w:r>
    </w:p>
    <w:p w14:paraId="5E2EA06D" w14:textId="77777777" w:rsidR="00B100CA" w:rsidRP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</w:p>
    <w:p w14:paraId="7BC5630F" w14:textId="77777777" w:rsidR="00027E1D" w:rsidRPr="00B100CA" w:rsidRDefault="00027E1D" w:rsidP="00027E1D">
      <w:pPr>
        <w:pStyle w:val="NoSpacing"/>
        <w:spacing w:line="276" w:lineRule="auto"/>
        <w:jc w:val="both"/>
        <w:rPr>
          <w:rFonts w:asciiTheme="minorHAnsi" w:hAnsiTheme="minorHAnsi" w:cstheme="minorHAnsi"/>
          <w:b/>
          <w:bCs/>
          <w:color w:val="000000"/>
          <w:sz w:val="26"/>
          <w:szCs w:val="26"/>
        </w:rPr>
      </w:pPr>
    </w:p>
    <w:p w14:paraId="5E762BDC" w14:textId="77777777" w:rsidR="00027E1D" w:rsidRPr="00B100CA" w:rsidRDefault="00027E1D" w:rsidP="00027E1D">
      <w:pPr>
        <w:pStyle w:val="NoSpacing"/>
        <w:spacing w:line="276" w:lineRule="auto"/>
        <w:ind w:firstLine="708"/>
        <w:jc w:val="both"/>
        <w:rPr>
          <w:rFonts w:asciiTheme="minorHAnsi" w:hAnsiTheme="minorHAnsi" w:cstheme="minorHAnsi"/>
          <w:bCs/>
          <w:color w:val="000000"/>
          <w:sz w:val="26"/>
          <w:szCs w:val="26"/>
        </w:rPr>
      </w:pPr>
      <w:r w:rsidRPr="00B100CA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Art. 2 - </w:t>
      </w:r>
      <w:r w:rsidRPr="00B100CA">
        <w:rPr>
          <w:rFonts w:asciiTheme="minorHAnsi" w:hAnsiTheme="minorHAnsi" w:cstheme="minorHAnsi"/>
          <w:bCs/>
          <w:color w:val="000000"/>
          <w:sz w:val="26"/>
          <w:szCs w:val="26"/>
        </w:rPr>
        <w:t>Prezenta hotărâre se publică în Monitorul Oficial al României, Partea I.</w:t>
      </w:r>
    </w:p>
    <w:p w14:paraId="767D8909" w14:textId="2143B9B0" w:rsidR="00027E1D" w:rsidRPr="00B100CA" w:rsidRDefault="00027E1D" w:rsidP="00027E1D">
      <w:pPr>
        <w:widowControl w:val="0"/>
        <w:spacing w:before="600" w:after="360" w:line="276" w:lineRule="auto"/>
        <w:jc w:val="center"/>
        <w:rPr>
          <w:rFonts w:ascii="Calibri" w:hAnsi="Calibri" w:cs="Calibri"/>
          <w:b/>
          <w:bCs/>
          <w:sz w:val="26"/>
          <w:szCs w:val="26"/>
        </w:rPr>
      </w:pPr>
      <w:r w:rsidRPr="00B100CA">
        <w:rPr>
          <w:rFonts w:ascii="Calibri" w:hAnsi="Calibri" w:cs="Calibri"/>
          <w:b/>
          <w:bCs/>
          <w:color w:val="000000"/>
          <w:sz w:val="26"/>
          <w:szCs w:val="26"/>
        </w:rPr>
        <w:t xml:space="preserve">Dată în </w:t>
      </w:r>
      <w:proofErr w:type="spellStart"/>
      <w:r w:rsidRPr="00B100CA">
        <w:rPr>
          <w:rFonts w:ascii="Calibri" w:hAnsi="Calibri" w:cs="Calibri"/>
          <w:b/>
          <w:bCs/>
          <w:color w:val="000000"/>
          <w:sz w:val="26"/>
          <w:szCs w:val="26"/>
        </w:rPr>
        <w:t>Bucureşti</w:t>
      </w:r>
      <w:proofErr w:type="spellEnd"/>
      <w:r w:rsidRPr="00B100CA">
        <w:rPr>
          <w:rFonts w:ascii="Calibri" w:hAnsi="Calibri" w:cs="Calibri"/>
          <w:b/>
          <w:bCs/>
          <w:color w:val="000000"/>
          <w:sz w:val="26"/>
          <w:szCs w:val="26"/>
        </w:rPr>
        <w:t xml:space="preserve">, la data de </w:t>
      </w:r>
      <w:r w:rsidR="00B100CA" w:rsidRPr="00B100CA">
        <w:rPr>
          <w:rFonts w:ascii="Calibri" w:hAnsi="Calibri" w:cs="Calibri"/>
          <w:b/>
          <w:bCs/>
          <w:color w:val="000000"/>
          <w:sz w:val="26"/>
          <w:szCs w:val="26"/>
        </w:rPr>
        <w:t>....................</w:t>
      </w:r>
      <w:r w:rsidRPr="00B100CA">
        <w:rPr>
          <w:rFonts w:ascii="Calibri" w:hAnsi="Calibri" w:cs="Calibri"/>
          <w:b/>
          <w:bCs/>
          <w:color w:val="000000"/>
          <w:sz w:val="26"/>
          <w:szCs w:val="26"/>
        </w:rPr>
        <w:t xml:space="preserve"> </w:t>
      </w:r>
      <w:r w:rsidRPr="00B100CA">
        <w:rPr>
          <w:rFonts w:ascii="Calibri" w:hAnsi="Calibri" w:cs="Calibri"/>
          <w:b/>
          <w:bCs/>
          <w:sz w:val="26"/>
          <w:szCs w:val="26"/>
        </w:rPr>
        <w:t>2023</w:t>
      </w:r>
    </w:p>
    <w:p w14:paraId="48FF109C" w14:textId="77777777" w:rsidR="00027E1D" w:rsidRPr="00B100CA" w:rsidRDefault="00027E1D" w:rsidP="00027E1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bookmarkStart w:id="3" w:name="presedinte"/>
    </w:p>
    <w:p w14:paraId="7C2D11B3" w14:textId="77777777" w:rsidR="00027E1D" w:rsidRPr="00B100CA" w:rsidRDefault="00027E1D" w:rsidP="00027E1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r w:rsidRPr="00B100CA">
        <w:rPr>
          <w:rFonts w:ascii="Calibri" w:hAnsi="Calibri"/>
          <w:b/>
          <w:sz w:val="26"/>
          <w:szCs w:val="26"/>
          <w:lang w:eastAsia="en-US"/>
        </w:rPr>
        <w:t>Judecător Daniel GRĂDINARU</w:t>
      </w:r>
    </w:p>
    <w:p w14:paraId="680D08D8" w14:textId="77777777" w:rsidR="00027E1D" w:rsidRPr="00B100CA" w:rsidRDefault="00027E1D" w:rsidP="00027E1D">
      <w:pPr>
        <w:tabs>
          <w:tab w:val="left" w:pos="7153"/>
        </w:tabs>
        <w:spacing w:line="276" w:lineRule="auto"/>
        <w:jc w:val="center"/>
        <w:rPr>
          <w:rFonts w:ascii="Calibri" w:hAnsi="Calibri" w:cs="Calibri"/>
          <w:bCs/>
          <w:color w:val="000000"/>
          <w:sz w:val="26"/>
          <w:szCs w:val="26"/>
        </w:rPr>
      </w:pPr>
      <w:proofErr w:type="spellStart"/>
      <w:r w:rsidRPr="00B100CA">
        <w:rPr>
          <w:rFonts w:ascii="Calibri" w:hAnsi="Calibri"/>
          <w:b/>
          <w:bCs/>
          <w:sz w:val="26"/>
          <w:szCs w:val="26"/>
          <w:lang w:eastAsia="en-US"/>
        </w:rPr>
        <w:t>Preşedintele</w:t>
      </w:r>
      <w:proofErr w:type="spellEnd"/>
      <w:r w:rsidRPr="00B100CA">
        <w:rPr>
          <w:rFonts w:ascii="Calibri" w:hAnsi="Calibri"/>
          <w:b/>
          <w:bCs/>
          <w:sz w:val="26"/>
          <w:szCs w:val="26"/>
          <w:lang w:eastAsia="en-US"/>
        </w:rPr>
        <w:t xml:space="preserve"> Consiliului Superior al Magistraturii</w:t>
      </w:r>
      <w:bookmarkEnd w:id="3"/>
      <w:r w:rsidRPr="00B100CA">
        <w:rPr>
          <w:rFonts w:asciiTheme="minorHAnsi" w:hAnsiTheme="minorHAnsi"/>
          <w:b/>
          <w:sz w:val="26"/>
          <w:szCs w:val="26"/>
        </w:rPr>
        <w:t xml:space="preserve">    </w:t>
      </w:r>
    </w:p>
    <w:p w14:paraId="59B4AEC7" w14:textId="77777777" w:rsidR="00F77925" w:rsidRPr="00B100CA" w:rsidRDefault="00F77925" w:rsidP="00027E1D">
      <w:pPr>
        <w:spacing w:line="276" w:lineRule="auto"/>
        <w:jc w:val="center"/>
        <w:rPr>
          <w:rFonts w:asciiTheme="minorHAnsi" w:hAnsiTheme="minorHAnsi" w:cstheme="minorHAnsi"/>
          <w:b/>
          <w:sz w:val="26"/>
          <w:szCs w:val="26"/>
          <w:lang w:eastAsia="en-US"/>
        </w:rPr>
      </w:pPr>
    </w:p>
    <w:p w14:paraId="3ABC98B3" w14:textId="77777777" w:rsidR="00A232A2" w:rsidRPr="00B100CA" w:rsidRDefault="00A232A2" w:rsidP="00027E1D">
      <w:pPr>
        <w:spacing w:line="276" w:lineRule="auto"/>
        <w:jc w:val="center"/>
        <w:rPr>
          <w:rFonts w:asciiTheme="minorHAnsi" w:hAnsiTheme="minorHAnsi" w:cstheme="minorHAnsi"/>
          <w:b/>
          <w:sz w:val="26"/>
          <w:szCs w:val="26"/>
          <w:lang w:eastAsia="en-US"/>
        </w:rPr>
      </w:pPr>
    </w:p>
    <w:p w14:paraId="5B030568" w14:textId="77777777" w:rsidR="003F1962" w:rsidRPr="00B100CA" w:rsidRDefault="003F1962" w:rsidP="00A77AD0">
      <w:pPr>
        <w:widowControl w:val="0"/>
        <w:spacing w:after="360"/>
        <w:jc w:val="center"/>
        <w:rPr>
          <w:rFonts w:asciiTheme="minorHAnsi" w:hAnsiTheme="minorHAnsi" w:cstheme="minorHAnsi"/>
          <w:b/>
          <w:bCs/>
          <w:color w:val="000000"/>
          <w:sz w:val="26"/>
          <w:szCs w:val="26"/>
        </w:rPr>
      </w:pPr>
    </w:p>
    <w:sectPr w:rsidR="003F1962" w:rsidRPr="00B100CA" w:rsidSect="007B518E">
      <w:headerReference w:type="default" r:id="rId7"/>
      <w:footerReference w:type="default" r:id="rId8"/>
      <w:pgSz w:w="11906" w:h="16838" w:code="9"/>
      <w:pgMar w:top="432" w:right="850" w:bottom="562" w:left="850" w:header="547" w:footer="288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42ECC8" w14:textId="77777777" w:rsidR="00A92584" w:rsidRDefault="00A92584">
      <w:r>
        <w:separator/>
      </w:r>
    </w:p>
  </w:endnote>
  <w:endnote w:type="continuationSeparator" w:id="0">
    <w:p w14:paraId="58E4E8EA" w14:textId="77777777" w:rsidR="00A92584" w:rsidRDefault="00A925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56" w:type="dxa"/>
      <w:tblLayout w:type="fixed"/>
      <w:tblLook w:val="04A0" w:firstRow="1" w:lastRow="0" w:firstColumn="1" w:lastColumn="0" w:noHBand="0" w:noVBand="1"/>
    </w:tblPr>
    <w:tblGrid>
      <w:gridCol w:w="534"/>
      <w:gridCol w:w="2268"/>
      <w:gridCol w:w="708"/>
      <w:gridCol w:w="3402"/>
      <w:gridCol w:w="534"/>
      <w:gridCol w:w="1033"/>
      <w:gridCol w:w="1977"/>
    </w:tblGrid>
    <w:tr w:rsidR="00CC2E9C" w:rsidRPr="003F3275" w14:paraId="72C0BC70" w14:textId="77777777" w:rsidTr="009F2FED">
      <w:trPr>
        <w:trHeight w:val="699"/>
      </w:trPr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161A1AD7" w14:textId="77777777" w:rsidR="00CC2E9C" w:rsidRPr="000C21A7" w:rsidRDefault="00B15E67" w:rsidP="000C21A7">
          <w:pPr>
            <w:ind w:left="-91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1EF49EDF" wp14:editId="297F8251">
                <wp:extent cx="230505" cy="302260"/>
                <wp:effectExtent l="0" t="0" r="0" b="2540"/>
                <wp:docPr id="10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028457F7" w14:textId="77777777" w:rsidR="00CC2E9C" w:rsidRDefault="002F3FAD" w:rsidP="00CC2E9C">
          <w:pPr>
            <w:ind w:left="-91"/>
            <w:rPr>
              <w:rFonts w:ascii="Calibri" w:hAnsi="Calibri" w:cs="Calibri"/>
              <w:sz w:val="20"/>
            </w:rPr>
          </w:pPr>
          <w:r>
            <w:rPr>
              <w:rFonts w:ascii="Calibri" w:hAnsi="Calibri" w:cs="Calibri"/>
              <w:sz w:val="20"/>
            </w:rPr>
            <w:t>Tel: (+40)21-311.69.0</w:t>
          </w:r>
          <w:r w:rsidR="00CC2E9C" w:rsidRPr="000C21A7">
            <w:rPr>
              <w:rFonts w:ascii="Calibri" w:hAnsi="Calibri" w:cs="Calibri"/>
              <w:sz w:val="20"/>
            </w:rPr>
            <w:t>2</w:t>
          </w:r>
        </w:p>
        <w:p w14:paraId="2A2F5880" w14:textId="77777777" w:rsidR="00CC2E9C" w:rsidRPr="000C21A7" w:rsidRDefault="002F3FAD" w:rsidP="002F3FAD">
          <w:pPr>
            <w:ind w:left="-91"/>
            <w:rPr>
              <w:rFonts w:ascii="Calibri" w:hAnsi="Calibri" w:cs="Calibri"/>
              <w:sz w:val="20"/>
            </w:rPr>
          </w:pPr>
          <w:r>
            <w:rPr>
              <w:rFonts w:ascii="Calibri" w:hAnsi="Calibri" w:cs="Calibri"/>
              <w:sz w:val="20"/>
            </w:rPr>
            <w:t>Fax: (+40)21-311.69.01</w:t>
          </w:r>
        </w:p>
      </w:tc>
      <w:tc>
        <w:tcPr>
          <w:tcW w:w="70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75630210" w14:textId="77777777" w:rsidR="00CC2E9C" w:rsidRPr="000C21A7" w:rsidRDefault="00B15E67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1BB724D6" wp14:editId="5C0CDD30">
                <wp:extent cx="334010" cy="238760"/>
                <wp:effectExtent l="0" t="0" r="8890" b="8890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401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72530F4E" w14:textId="77777777" w:rsidR="00CC2E9C" w:rsidRDefault="00CC2E9C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Website: </w:t>
          </w:r>
          <w:r w:rsidRPr="007C6EDD">
            <w:rPr>
              <w:rFonts w:ascii="Calibri" w:hAnsi="Calibri" w:cs="Calibri"/>
              <w:sz w:val="20"/>
            </w:rPr>
            <w:t>www.csm1909.ro</w:t>
          </w:r>
        </w:p>
        <w:p w14:paraId="777F07F6" w14:textId="77777777" w:rsidR="00CC2E9C" w:rsidRPr="000C21A7" w:rsidRDefault="00CC2E9C" w:rsidP="002F3FAD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Email:</w:t>
          </w:r>
          <w:r w:rsidR="002F3FAD">
            <w:t xml:space="preserve"> </w:t>
          </w:r>
          <w:r w:rsidR="002F3FAD" w:rsidRPr="002F3FAD">
            <w:rPr>
              <w:rFonts w:ascii="Calibri" w:hAnsi="Calibri" w:cs="Calibri"/>
              <w:sz w:val="20"/>
            </w:rPr>
            <w:t>secretar_general</w:t>
          </w:r>
          <w:r w:rsidR="009F2FED" w:rsidRPr="007C6EDD">
            <w:rPr>
              <w:rFonts w:ascii="Calibri" w:hAnsi="Calibri" w:cs="Calibri"/>
              <w:sz w:val="20"/>
            </w:rPr>
            <w:t>@csm1909.ro</w:t>
          </w:r>
        </w:p>
      </w:tc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5F616678" w14:textId="77777777" w:rsidR="00CC2E9C" w:rsidRPr="000C21A7" w:rsidRDefault="00B15E67" w:rsidP="00733007">
          <w:pPr>
            <w:pStyle w:val="Footer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748E6429" wp14:editId="15A55E0D">
                <wp:extent cx="230505" cy="302260"/>
                <wp:effectExtent l="0" t="0" r="0" b="2540"/>
                <wp:docPr id="12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0" w:type="dxa"/>
          <w:gridSpan w:val="2"/>
          <w:tcBorders>
            <w:top w:val="single" w:sz="24" w:space="0" w:color="00519C"/>
          </w:tcBorders>
          <w:shd w:val="clear" w:color="auto" w:fill="auto"/>
          <w:vAlign w:val="bottom"/>
        </w:tcPr>
        <w:p w14:paraId="36A4FE68" w14:textId="77777777" w:rsidR="00CC2E9C" w:rsidRPr="000C21A7" w:rsidRDefault="00CC2E9C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Calea Plevnei nr. 141B, sector 6, cod poștal 060011</w:t>
          </w:r>
        </w:p>
      </w:tc>
    </w:tr>
    <w:tr w:rsidR="00733007" w:rsidRPr="003F3275" w14:paraId="74056206" w14:textId="77777777" w:rsidTr="00CC2E9C">
      <w:trPr>
        <w:trHeight w:val="313"/>
      </w:trPr>
      <w:tc>
        <w:tcPr>
          <w:tcW w:w="8479" w:type="dxa"/>
          <w:gridSpan w:val="6"/>
          <w:shd w:val="clear" w:color="auto" w:fill="auto"/>
          <w:vAlign w:val="center"/>
        </w:tcPr>
        <w:p w14:paraId="6709FAAA" w14:textId="77777777" w:rsidR="00733007" w:rsidRPr="000C21A7" w:rsidRDefault="00733007" w:rsidP="00733007">
          <w:pPr>
            <w:pStyle w:val="Footer"/>
            <w:rPr>
              <w:rFonts w:ascii="Calibri" w:hAnsi="Calibri" w:cs="Calibri"/>
              <w:i/>
              <w:szCs w:val="28"/>
            </w:rPr>
          </w:pPr>
          <w:r w:rsidRPr="000C21A7">
            <w:rPr>
              <w:rFonts w:ascii="Calibri" w:hAnsi="Calibri" w:cs="Calibri"/>
              <w:i/>
              <w:sz w:val="20"/>
            </w:rPr>
            <w:t xml:space="preserve">Număr de înregistrare în registrul de </w:t>
          </w:r>
          <w:proofErr w:type="spellStart"/>
          <w:r w:rsidRPr="000C21A7">
            <w:rPr>
              <w:rFonts w:ascii="Calibri" w:hAnsi="Calibri" w:cs="Calibri"/>
              <w:i/>
              <w:sz w:val="20"/>
            </w:rPr>
            <w:t>evidenţă</w:t>
          </w:r>
          <w:proofErr w:type="spellEnd"/>
          <w:r w:rsidRPr="000C21A7">
            <w:rPr>
              <w:rFonts w:ascii="Calibri" w:hAnsi="Calibri" w:cs="Calibri"/>
              <w:i/>
              <w:sz w:val="20"/>
            </w:rPr>
            <w:t xml:space="preserve"> a prelucrărilor de date cu caracter personal </w:t>
          </w:r>
          <w:r w:rsidRPr="000C21A7">
            <w:rPr>
              <w:rFonts w:ascii="Calibri" w:hAnsi="Calibri" w:cs="Calibri"/>
              <w:b/>
              <w:i/>
              <w:sz w:val="20"/>
            </w:rPr>
            <w:t>2359</w:t>
          </w:r>
        </w:p>
      </w:tc>
      <w:tc>
        <w:tcPr>
          <w:tcW w:w="1977" w:type="dxa"/>
          <w:shd w:val="clear" w:color="auto" w:fill="auto"/>
          <w:vAlign w:val="center"/>
        </w:tcPr>
        <w:p w14:paraId="04E22DD8" w14:textId="77777777" w:rsidR="00733007" w:rsidRPr="000C21A7" w:rsidRDefault="00733007" w:rsidP="000C21A7">
          <w:pPr>
            <w:pStyle w:val="Footer"/>
            <w:jc w:val="right"/>
            <w:rPr>
              <w:rFonts w:ascii="Calibri" w:hAnsi="Calibri" w:cs="Calibri"/>
              <w:noProof/>
            </w:rPr>
          </w:pPr>
          <w:r w:rsidRPr="000C21A7">
            <w:rPr>
              <w:rFonts w:ascii="Calibri" w:hAnsi="Calibri" w:cs="Calibri"/>
              <w:sz w:val="20"/>
            </w:rPr>
            <w:t xml:space="preserve">Pagina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PAGE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B17B5A">
            <w:rPr>
              <w:rFonts w:ascii="Calibri" w:hAnsi="Calibri" w:cs="Calibri"/>
              <w:b/>
              <w:bCs/>
              <w:noProof/>
              <w:sz w:val="20"/>
            </w:rPr>
            <w:t>2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  <w:r w:rsidRPr="000C21A7">
            <w:rPr>
              <w:rFonts w:ascii="Calibri" w:hAnsi="Calibri" w:cs="Calibri"/>
              <w:sz w:val="20"/>
            </w:rPr>
            <w:t xml:space="preserve"> din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NUMPAGES 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B17B5A">
            <w:rPr>
              <w:rFonts w:ascii="Calibri" w:hAnsi="Calibri" w:cs="Calibri"/>
              <w:b/>
              <w:bCs/>
              <w:noProof/>
              <w:sz w:val="20"/>
            </w:rPr>
            <w:t>2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</w:p>
      </w:tc>
    </w:tr>
  </w:tbl>
  <w:p w14:paraId="0D8E86FB" w14:textId="77777777" w:rsidR="00733007" w:rsidRPr="00733007" w:rsidRDefault="00733007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8DFE4F" w14:textId="77777777" w:rsidR="00A92584" w:rsidRDefault="00A92584">
      <w:r>
        <w:separator/>
      </w:r>
    </w:p>
  </w:footnote>
  <w:footnote w:type="continuationSeparator" w:id="0">
    <w:p w14:paraId="6F7C2005" w14:textId="77777777" w:rsidR="00A92584" w:rsidRDefault="00A925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bottom w:val="single" w:sz="24" w:space="0" w:color="00519B"/>
      </w:tblBorders>
      <w:tblLook w:val="04A0" w:firstRow="1" w:lastRow="0" w:firstColumn="1" w:lastColumn="0" w:noHBand="0" w:noVBand="1"/>
    </w:tblPr>
    <w:tblGrid>
      <w:gridCol w:w="10194"/>
    </w:tblGrid>
    <w:tr w:rsidR="00341391" w14:paraId="5FF136FB" w14:textId="77777777" w:rsidTr="006F3F37">
      <w:tc>
        <w:tcPr>
          <w:tcW w:w="10194" w:type="dxa"/>
          <w:shd w:val="clear" w:color="auto" w:fill="auto"/>
        </w:tcPr>
        <w:p w14:paraId="4713DC24" w14:textId="77777777" w:rsidR="00341391" w:rsidRDefault="00B15E67" w:rsidP="009F2FED">
          <w:pPr>
            <w:pStyle w:val="Header"/>
            <w:spacing w:after="100"/>
          </w:pPr>
          <w:bookmarkStart w:id="4" w:name="_Hlk65584873"/>
          <w:r w:rsidRPr="003C0C04">
            <w:rPr>
              <w:noProof/>
              <w:lang w:val="en-US" w:eastAsia="en-US"/>
            </w:rPr>
            <w:drawing>
              <wp:inline distT="0" distB="0" distL="0" distR="0" wp14:anchorId="678A493F" wp14:editId="3F28E561">
                <wp:extent cx="5899785" cy="1002030"/>
                <wp:effectExtent l="0" t="0" r="5715" b="7620"/>
                <wp:docPr id="9" name="Imagine 28" descr="O imagine care conține text&#10;&#10;Descriere generată autom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28" descr="O imagine care conține text&#10;&#10;Descriere generată automa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99785" cy="1002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4"/>
  </w:tbl>
  <w:p w14:paraId="43D71639" w14:textId="77777777" w:rsidR="00704967" w:rsidRPr="006F3F37" w:rsidRDefault="00704967" w:rsidP="00341391">
    <w:pPr>
      <w:pStyle w:val="Header"/>
      <w:rPr>
        <w:rFonts w:ascii="Calibri" w:hAnsi="Calibri" w:cs="Calibri"/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9"/>
  <w:displayHorizontalDrawingGridEvery w:val="2"/>
  <w:displayVerticalDrawingGridEvery w:val="2"/>
  <w:noPunctuationKerning/>
  <w:characterSpacingControl w:val="doNotCompress"/>
  <w:hdrShapeDefaults>
    <o:shapedefaults v:ext="edit" spidmax="2050" style="mso-position-horizontal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url" w:val="http://localhost:4099/DocumentUpload.aspx?id_document=1154000000303544&amp;id_departament=&amp;id_sesiune=&amp;id_user=&amp;id_institutie=&amp;actiune=modifica"/>
  </w:docVars>
  <w:rsids>
    <w:rsidRoot w:val="00254700"/>
    <w:rsid w:val="000200C6"/>
    <w:rsid w:val="00027E1D"/>
    <w:rsid w:val="00034C48"/>
    <w:rsid w:val="0005036D"/>
    <w:rsid w:val="00076384"/>
    <w:rsid w:val="00077AE3"/>
    <w:rsid w:val="00086252"/>
    <w:rsid w:val="000A4BA6"/>
    <w:rsid w:val="000B32A9"/>
    <w:rsid w:val="000C21A7"/>
    <w:rsid w:val="000C4CFE"/>
    <w:rsid w:val="000E38EF"/>
    <w:rsid w:val="000E6A10"/>
    <w:rsid w:val="0010577E"/>
    <w:rsid w:val="0011206E"/>
    <w:rsid w:val="00117BB1"/>
    <w:rsid w:val="001226B7"/>
    <w:rsid w:val="00135E9B"/>
    <w:rsid w:val="001511F8"/>
    <w:rsid w:val="00162153"/>
    <w:rsid w:val="00170BAA"/>
    <w:rsid w:val="001770F9"/>
    <w:rsid w:val="001C2A57"/>
    <w:rsid w:val="001C39EE"/>
    <w:rsid w:val="001C45E2"/>
    <w:rsid w:val="001C52C2"/>
    <w:rsid w:val="001C5963"/>
    <w:rsid w:val="001D64BC"/>
    <w:rsid w:val="001D7D53"/>
    <w:rsid w:val="001E23F6"/>
    <w:rsid w:val="001E5D38"/>
    <w:rsid w:val="00201AF5"/>
    <w:rsid w:val="00202B70"/>
    <w:rsid w:val="0020524A"/>
    <w:rsid w:val="0021564A"/>
    <w:rsid w:val="00225445"/>
    <w:rsid w:val="00234BF4"/>
    <w:rsid w:val="00236259"/>
    <w:rsid w:val="00242531"/>
    <w:rsid w:val="00250E88"/>
    <w:rsid w:val="00254697"/>
    <w:rsid w:val="00254700"/>
    <w:rsid w:val="00255AA1"/>
    <w:rsid w:val="00256750"/>
    <w:rsid w:val="002616E0"/>
    <w:rsid w:val="002672F2"/>
    <w:rsid w:val="00277BBE"/>
    <w:rsid w:val="002814B1"/>
    <w:rsid w:val="002969FC"/>
    <w:rsid w:val="002A34E7"/>
    <w:rsid w:val="002A665A"/>
    <w:rsid w:val="002B1563"/>
    <w:rsid w:val="002B2C81"/>
    <w:rsid w:val="002B4307"/>
    <w:rsid w:val="002C6249"/>
    <w:rsid w:val="002E51C8"/>
    <w:rsid w:val="002F38C9"/>
    <w:rsid w:val="002F3EDC"/>
    <w:rsid w:val="002F3FAD"/>
    <w:rsid w:val="002F45BF"/>
    <w:rsid w:val="0030623A"/>
    <w:rsid w:val="00313DAC"/>
    <w:rsid w:val="00334CCC"/>
    <w:rsid w:val="00341391"/>
    <w:rsid w:val="003465D5"/>
    <w:rsid w:val="003558AE"/>
    <w:rsid w:val="00364D70"/>
    <w:rsid w:val="00372EAE"/>
    <w:rsid w:val="00375396"/>
    <w:rsid w:val="003A03C3"/>
    <w:rsid w:val="003A22C6"/>
    <w:rsid w:val="003A2FE0"/>
    <w:rsid w:val="003A3A7E"/>
    <w:rsid w:val="003A5E31"/>
    <w:rsid w:val="003B2E88"/>
    <w:rsid w:val="003B7B5E"/>
    <w:rsid w:val="003C488F"/>
    <w:rsid w:val="003D0E0C"/>
    <w:rsid w:val="003D383D"/>
    <w:rsid w:val="003F1962"/>
    <w:rsid w:val="00415BBC"/>
    <w:rsid w:val="0044188F"/>
    <w:rsid w:val="00452FB5"/>
    <w:rsid w:val="004564CE"/>
    <w:rsid w:val="004573C6"/>
    <w:rsid w:val="00460814"/>
    <w:rsid w:val="00462AA6"/>
    <w:rsid w:val="00466290"/>
    <w:rsid w:val="00483D81"/>
    <w:rsid w:val="00486745"/>
    <w:rsid w:val="00492C51"/>
    <w:rsid w:val="00493090"/>
    <w:rsid w:val="00496F7E"/>
    <w:rsid w:val="004A0981"/>
    <w:rsid w:val="004A0FF8"/>
    <w:rsid w:val="004A1232"/>
    <w:rsid w:val="004A7BA5"/>
    <w:rsid w:val="004C2B49"/>
    <w:rsid w:val="004D2AF3"/>
    <w:rsid w:val="004E2A51"/>
    <w:rsid w:val="004E34BF"/>
    <w:rsid w:val="004F2DBA"/>
    <w:rsid w:val="004F6AA8"/>
    <w:rsid w:val="005003BE"/>
    <w:rsid w:val="0050322F"/>
    <w:rsid w:val="005117A7"/>
    <w:rsid w:val="00512CF5"/>
    <w:rsid w:val="005211F8"/>
    <w:rsid w:val="00522583"/>
    <w:rsid w:val="0053495D"/>
    <w:rsid w:val="00541A20"/>
    <w:rsid w:val="005531C5"/>
    <w:rsid w:val="00554599"/>
    <w:rsid w:val="005866C6"/>
    <w:rsid w:val="00597560"/>
    <w:rsid w:val="005A245D"/>
    <w:rsid w:val="005B350D"/>
    <w:rsid w:val="005C0363"/>
    <w:rsid w:val="005C688B"/>
    <w:rsid w:val="005C7597"/>
    <w:rsid w:val="005E51F1"/>
    <w:rsid w:val="00606727"/>
    <w:rsid w:val="006072C2"/>
    <w:rsid w:val="00623D66"/>
    <w:rsid w:val="006261AE"/>
    <w:rsid w:val="00632376"/>
    <w:rsid w:val="00633527"/>
    <w:rsid w:val="00640B48"/>
    <w:rsid w:val="00642DDF"/>
    <w:rsid w:val="0065509A"/>
    <w:rsid w:val="00661478"/>
    <w:rsid w:val="00697390"/>
    <w:rsid w:val="006B50FE"/>
    <w:rsid w:val="006B7D82"/>
    <w:rsid w:val="006C158B"/>
    <w:rsid w:val="006D1BC6"/>
    <w:rsid w:val="006D2A93"/>
    <w:rsid w:val="006E13DB"/>
    <w:rsid w:val="006E2B93"/>
    <w:rsid w:val="006E337F"/>
    <w:rsid w:val="006F3F37"/>
    <w:rsid w:val="006F76D2"/>
    <w:rsid w:val="00701985"/>
    <w:rsid w:val="00704967"/>
    <w:rsid w:val="00711538"/>
    <w:rsid w:val="00712C70"/>
    <w:rsid w:val="00733007"/>
    <w:rsid w:val="007632DC"/>
    <w:rsid w:val="0076349B"/>
    <w:rsid w:val="00770662"/>
    <w:rsid w:val="007756DB"/>
    <w:rsid w:val="007A3B3C"/>
    <w:rsid w:val="007A50AB"/>
    <w:rsid w:val="007B42F7"/>
    <w:rsid w:val="007B518E"/>
    <w:rsid w:val="007C1D7A"/>
    <w:rsid w:val="007C5FA6"/>
    <w:rsid w:val="007C6E88"/>
    <w:rsid w:val="007C6EDD"/>
    <w:rsid w:val="007D3762"/>
    <w:rsid w:val="007D70C6"/>
    <w:rsid w:val="007E0B22"/>
    <w:rsid w:val="0080744D"/>
    <w:rsid w:val="0082097A"/>
    <w:rsid w:val="0082225C"/>
    <w:rsid w:val="0082415D"/>
    <w:rsid w:val="00824CA8"/>
    <w:rsid w:val="008345F0"/>
    <w:rsid w:val="00840EBF"/>
    <w:rsid w:val="008418DF"/>
    <w:rsid w:val="00843B6C"/>
    <w:rsid w:val="00844B01"/>
    <w:rsid w:val="0084562D"/>
    <w:rsid w:val="00862E7F"/>
    <w:rsid w:val="00870457"/>
    <w:rsid w:val="00885ADC"/>
    <w:rsid w:val="00897E1F"/>
    <w:rsid w:val="008A2198"/>
    <w:rsid w:val="008B237B"/>
    <w:rsid w:val="008C468D"/>
    <w:rsid w:val="008C7144"/>
    <w:rsid w:val="008D2A53"/>
    <w:rsid w:val="008D5044"/>
    <w:rsid w:val="008E35B4"/>
    <w:rsid w:val="008E52E4"/>
    <w:rsid w:val="008E6E74"/>
    <w:rsid w:val="009047F1"/>
    <w:rsid w:val="009055AC"/>
    <w:rsid w:val="00907AC2"/>
    <w:rsid w:val="0091000D"/>
    <w:rsid w:val="00911118"/>
    <w:rsid w:val="009135D7"/>
    <w:rsid w:val="009149AB"/>
    <w:rsid w:val="009177EA"/>
    <w:rsid w:val="009268D7"/>
    <w:rsid w:val="00933664"/>
    <w:rsid w:val="00933C9F"/>
    <w:rsid w:val="00942596"/>
    <w:rsid w:val="00947306"/>
    <w:rsid w:val="0095128A"/>
    <w:rsid w:val="009541B0"/>
    <w:rsid w:val="009558B4"/>
    <w:rsid w:val="00955B4A"/>
    <w:rsid w:val="009600D8"/>
    <w:rsid w:val="009641A9"/>
    <w:rsid w:val="00973783"/>
    <w:rsid w:val="009746C0"/>
    <w:rsid w:val="009860F6"/>
    <w:rsid w:val="00987A0F"/>
    <w:rsid w:val="00997AD2"/>
    <w:rsid w:val="009A7519"/>
    <w:rsid w:val="009C0C1E"/>
    <w:rsid w:val="009C5F3A"/>
    <w:rsid w:val="009C65A6"/>
    <w:rsid w:val="009E0694"/>
    <w:rsid w:val="009E2538"/>
    <w:rsid w:val="009E77FD"/>
    <w:rsid w:val="009F0C3C"/>
    <w:rsid w:val="009F2FED"/>
    <w:rsid w:val="009F7899"/>
    <w:rsid w:val="00A033D7"/>
    <w:rsid w:val="00A232A2"/>
    <w:rsid w:val="00A2605E"/>
    <w:rsid w:val="00A311EA"/>
    <w:rsid w:val="00A70F8D"/>
    <w:rsid w:val="00A748C3"/>
    <w:rsid w:val="00A7593F"/>
    <w:rsid w:val="00A77AD0"/>
    <w:rsid w:val="00A858C6"/>
    <w:rsid w:val="00A870B9"/>
    <w:rsid w:val="00A92584"/>
    <w:rsid w:val="00A97D2D"/>
    <w:rsid w:val="00AB5077"/>
    <w:rsid w:val="00AC1D94"/>
    <w:rsid w:val="00AD3986"/>
    <w:rsid w:val="00AD439A"/>
    <w:rsid w:val="00AD5363"/>
    <w:rsid w:val="00AE23E8"/>
    <w:rsid w:val="00AF60A0"/>
    <w:rsid w:val="00B02F92"/>
    <w:rsid w:val="00B100CA"/>
    <w:rsid w:val="00B15E67"/>
    <w:rsid w:val="00B163DC"/>
    <w:rsid w:val="00B17B5A"/>
    <w:rsid w:val="00B26B5A"/>
    <w:rsid w:val="00B40AF4"/>
    <w:rsid w:val="00B44135"/>
    <w:rsid w:val="00B52D25"/>
    <w:rsid w:val="00B54C58"/>
    <w:rsid w:val="00B61F43"/>
    <w:rsid w:val="00B62AF0"/>
    <w:rsid w:val="00B713F7"/>
    <w:rsid w:val="00B737F5"/>
    <w:rsid w:val="00B77C36"/>
    <w:rsid w:val="00B83D49"/>
    <w:rsid w:val="00B86936"/>
    <w:rsid w:val="00B91815"/>
    <w:rsid w:val="00BA043D"/>
    <w:rsid w:val="00BA1E1A"/>
    <w:rsid w:val="00BA356A"/>
    <w:rsid w:val="00BA5145"/>
    <w:rsid w:val="00BB0A27"/>
    <w:rsid w:val="00BC3257"/>
    <w:rsid w:val="00BE4D86"/>
    <w:rsid w:val="00BF1E07"/>
    <w:rsid w:val="00C04DB4"/>
    <w:rsid w:val="00C13E0C"/>
    <w:rsid w:val="00C15DD9"/>
    <w:rsid w:val="00C24025"/>
    <w:rsid w:val="00C416D9"/>
    <w:rsid w:val="00C417ED"/>
    <w:rsid w:val="00C4773D"/>
    <w:rsid w:val="00C479C7"/>
    <w:rsid w:val="00C77720"/>
    <w:rsid w:val="00C80A7F"/>
    <w:rsid w:val="00C87E3D"/>
    <w:rsid w:val="00C9107B"/>
    <w:rsid w:val="00C9485A"/>
    <w:rsid w:val="00CA5F39"/>
    <w:rsid w:val="00CB781A"/>
    <w:rsid w:val="00CC2E9C"/>
    <w:rsid w:val="00CC3839"/>
    <w:rsid w:val="00CC5EA7"/>
    <w:rsid w:val="00CD4787"/>
    <w:rsid w:val="00CD4B2A"/>
    <w:rsid w:val="00CD6E6B"/>
    <w:rsid w:val="00D1078D"/>
    <w:rsid w:val="00D162EF"/>
    <w:rsid w:val="00D22CE2"/>
    <w:rsid w:val="00D370D3"/>
    <w:rsid w:val="00D461DE"/>
    <w:rsid w:val="00D81A98"/>
    <w:rsid w:val="00D86334"/>
    <w:rsid w:val="00DB4B63"/>
    <w:rsid w:val="00DB70E5"/>
    <w:rsid w:val="00DE3401"/>
    <w:rsid w:val="00DE7676"/>
    <w:rsid w:val="00DF1566"/>
    <w:rsid w:val="00DF1D73"/>
    <w:rsid w:val="00DF3DE6"/>
    <w:rsid w:val="00DF4732"/>
    <w:rsid w:val="00DF5D5D"/>
    <w:rsid w:val="00E030BD"/>
    <w:rsid w:val="00E03A10"/>
    <w:rsid w:val="00E11A14"/>
    <w:rsid w:val="00E25680"/>
    <w:rsid w:val="00E26C50"/>
    <w:rsid w:val="00E426BA"/>
    <w:rsid w:val="00E5774B"/>
    <w:rsid w:val="00E61418"/>
    <w:rsid w:val="00E7721D"/>
    <w:rsid w:val="00E77B8A"/>
    <w:rsid w:val="00E944C5"/>
    <w:rsid w:val="00E9499E"/>
    <w:rsid w:val="00EA5A26"/>
    <w:rsid w:val="00EA75C4"/>
    <w:rsid w:val="00EA7A41"/>
    <w:rsid w:val="00EB0712"/>
    <w:rsid w:val="00EB1992"/>
    <w:rsid w:val="00EB343F"/>
    <w:rsid w:val="00ED651C"/>
    <w:rsid w:val="00EF093A"/>
    <w:rsid w:val="00EF6DED"/>
    <w:rsid w:val="00F02F8F"/>
    <w:rsid w:val="00F15656"/>
    <w:rsid w:val="00F300F1"/>
    <w:rsid w:val="00F33B1F"/>
    <w:rsid w:val="00F35C6B"/>
    <w:rsid w:val="00F36C71"/>
    <w:rsid w:val="00F42297"/>
    <w:rsid w:val="00F42A7C"/>
    <w:rsid w:val="00F51C7E"/>
    <w:rsid w:val="00F640D5"/>
    <w:rsid w:val="00F6680F"/>
    <w:rsid w:val="00F675C5"/>
    <w:rsid w:val="00F73BE0"/>
    <w:rsid w:val="00F7403A"/>
    <w:rsid w:val="00F77925"/>
    <w:rsid w:val="00F93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margin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548983B7"/>
  <w15:chartTrackingRefBased/>
  <w15:docId w15:val="{0E426624-A105-41FA-A394-0404A52F3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8"/>
      <w:szCs w:val="24"/>
      <w:lang w:val="ro-RO" w:eastAsia="ro-RO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Cs w:val="15"/>
      <w:lang w:val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Garamond" w:hAnsi="Garamond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Garamond" w:hAnsi="Garamond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firstLine="1416"/>
    </w:pPr>
    <w:rPr>
      <w:szCs w:val="26"/>
    </w:rPr>
  </w:style>
  <w:style w:type="paragraph" w:styleId="Header">
    <w:name w:val="header"/>
    <w:basedOn w:val="Normal"/>
    <w:link w:val="HeaderChar"/>
    <w:rsid w:val="002C624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2C6249"/>
    <w:pPr>
      <w:tabs>
        <w:tab w:val="center" w:pos="4536"/>
        <w:tab w:val="right" w:pos="9072"/>
      </w:tabs>
    </w:pPr>
  </w:style>
  <w:style w:type="paragraph" w:customStyle="1" w:styleId="CaracterCaracter">
    <w:name w:val="Caracter Caracter"/>
    <w:basedOn w:val="Normal"/>
    <w:rsid w:val="00B44135"/>
    <w:rPr>
      <w:sz w:val="20"/>
      <w:szCs w:val="20"/>
      <w:lang w:val="pl-PL" w:eastAsia="pl-PL"/>
    </w:rPr>
  </w:style>
  <w:style w:type="table" w:styleId="TableGrid">
    <w:name w:val="Table Grid"/>
    <w:basedOn w:val="TableNormal"/>
    <w:uiPriority w:val="39"/>
    <w:rsid w:val="00B441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885ADC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885ADC"/>
    <w:rPr>
      <w:sz w:val="28"/>
      <w:szCs w:val="24"/>
      <w:lang w:val="ro-RO" w:eastAsia="ro-RO"/>
    </w:rPr>
  </w:style>
  <w:style w:type="character" w:customStyle="1" w:styleId="HeaderChar">
    <w:name w:val="Header Char"/>
    <w:link w:val="Header"/>
    <w:rsid w:val="00704967"/>
    <w:rPr>
      <w:sz w:val="28"/>
      <w:szCs w:val="24"/>
      <w:lang w:val="ro-RO" w:eastAsia="ro-RO"/>
    </w:rPr>
  </w:style>
  <w:style w:type="character" w:customStyle="1" w:styleId="UnresolvedMention1">
    <w:name w:val="Unresolved Mention1"/>
    <w:uiPriority w:val="99"/>
    <w:semiHidden/>
    <w:unhideWhenUsed/>
    <w:rsid w:val="009F2FE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rsid w:val="009135D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135D7"/>
    <w:rPr>
      <w:rFonts w:ascii="Segoe UI" w:hAnsi="Segoe UI" w:cs="Segoe UI"/>
      <w:sz w:val="18"/>
      <w:szCs w:val="18"/>
      <w:lang w:val="ro-RO" w:eastAsia="ro-RO"/>
    </w:rPr>
  </w:style>
  <w:style w:type="paragraph" w:styleId="NoSpacing">
    <w:name w:val="No Spacing"/>
    <w:uiPriority w:val="1"/>
    <w:qFormat/>
    <w:rsid w:val="00027E1D"/>
    <w:rPr>
      <w:sz w:val="28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0"/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6246</Words>
  <Characters>35604</Characters>
  <Application>Microsoft Office Word</Application>
  <DocSecurity>0</DocSecurity>
  <Lines>296</Lines>
  <Paragraphs>83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Numar dosar</vt:lpstr>
      <vt:lpstr>Numar dosar</vt:lpstr>
    </vt:vector>
  </TitlesOfParts>
  <Company>indaco</Company>
  <LinksUpToDate>false</LinksUpToDate>
  <CharactersWithSpaces>41767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Numar dosar</dc:title>
  <dc:subject/>
  <dc:creator>valy</dc:creator>
  <cp:keywords/>
  <dc:description/>
  <cp:lastModifiedBy>Diana, GAVRILITA</cp:lastModifiedBy>
  <cp:revision>18</cp:revision>
  <cp:lastPrinted>2023-12-05T07:42:00Z</cp:lastPrinted>
  <dcterms:created xsi:type="dcterms:W3CDTF">2022-08-17T13:43:00Z</dcterms:created>
  <dcterms:modified xsi:type="dcterms:W3CDTF">2023-12-05T07:42:00Z</dcterms:modified>
</cp:coreProperties>
</file>