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312" w:rsidRPr="004D7448" w:rsidRDefault="005C0312" w:rsidP="004D7448">
      <w:pPr>
        <w:jc w:val="center"/>
        <w:rPr>
          <w:rFonts w:ascii="Times New Roman" w:hAnsi="Times New Roman" w:cs="Times New Roman"/>
          <w:noProof/>
        </w:rPr>
      </w:pPr>
    </w:p>
    <w:p w:rsidR="0098410D" w:rsidRPr="004D7448" w:rsidRDefault="0098410D" w:rsidP="004D7448">
      <w:pPr>
        <w:jc w:val="center"/>
      </w:pPr>
    </w:p>
    <w:p w:rsidR="006F6FD6" w:rsidRDefault="006F6FD6" w:rsidP="004D7448">
      <w:pPr>
        <w:pStyle w:val="DecHTitle"/>
      </w:pPr>
      <w:r>
        <w:t>CURTEA EUROPEANĂ A DREPTURILOR OMULUI</w:t>
      </w:r>
    </w:p>
    <w:p w:rsidR="0098410D" w:rsidRPr="004D7448" w:rsidRDefault="00845FC6" w:rsidP="004D7448">
      <w:pPr>
        <w:pStyle w:val="DecHTitle"/>
      </w:pPr>
      <w:r>
        <w:t>SECȚIA A PATRA</w:t>
      </w:r>
    </w:p>
    <w:p w:rsidR="008E6217" w:rsidRPr="004D7448" w:rsidRDefault="00845FC6" w:rsidP="004D7448">
      <w:pPr>
        <w:pStyle w:val="JuTitle"/>
      </w:pPr>
      <w:r>
        <w:rPr>
          <w:color w:val="000000" w:themeColor="text1"/>
        </w:rPr>
        <w:t xml:space="preserve">CAUZA </w:t>
      </w:r>
      <w:r>
        <w:t>I.M.P. ÎMPOTRIVA ROMÂNIEI</w:t>
      </w:r>
      <w:bookmarkStart w:id="0" w:name="_GoBack"/>
      <w:bookmarkEnd w:id="0"/>
    </w:p>
    <w:p w:rsidR="00D74888" w:rsidRPr="004D7448" w:rsidRDefault="00845FC6" w:rsidP="004D7448">
      <w:pPr>
        <w:pStyle w:val="ECHRCoverTitle4"/>
      </w:pPr>
      <w:r>
        <w:t>(Cererea nr. 29634/22)</w:t>
      </w:r>
    </w:p>
    <w:p w:rsidR="0098410D" w:rsidRPr="004D7448" w:rsidRDefault="0098410D" w:rsidP="004D7448">
      <w:pPr>
        <w:pStyle w:val="DecHCase"/>
      </w:pPr>
    </w:p>
    <w:p w:rsidR="00B64BCA" w:rsidRPr="004D7448" w:rsidRDefault="00B64BCA" w:rsidP="004D7448">
      <w:pPr>
        <w:pStyle w:val="DecHCase"/>
      </w:pPr>
    </w:p>
    <w:p w:rsidR="00B64BCA" w:rsidRPr="004D7448" w:rsidRDefault="00B64BCA" w:rsidP="004D7448">
      <w:pPr>
        <w:pStyle w:val="DecHCase"/>
      </w:pPr>
    </w:p>
    <w:p w:rsidR="0098410D" w:rsidRPr="004D7448" w:rsidRDefault="0098410D" w:rsidP="004D7448">
      <w:pPr>
        <w:pStyle w:val="DecHCase"/>
      </w:pPr>
    </w:p>
    <w:p w:rsidR="00AC4CD4" w:rsidRPr="004D7448" w:rsidRDefault="00AC4CD4" w:rsidP="004D7448">
      <w:pPr>
        <w:pStyle w:val="DecHCase"/>
      </w:pPr>
    </w:p>
    <w:p w:rsidR="0098410D" w:rsidRPr="004D7448" w:rsidRDefault="0098410D" w:rsidP="004D7448">
      <w:pPr>
        <w:pStyle w:val="DecHCase"/>
      </w:pPr>
    </w:p>
    <w:p w:rsidR="0098410D" w:rsidRPr="004D7448" w:rsidRDefault="00845FC6" w:rsidP="004D7448">
      <w:pPr>
        <w:pStyle w:val="DecHCase"/>
      </w:pPr>
      <w:r>
        <w:t>HOTĂRÂRE</w:t>
      </w:r>
      <w:r>
        <w:br/>
      </w:r>
    </w:p>
    <w:p w:rsidR="0098410D" w:rsidRPr="004D7448" w:rsidRDefault="00845FC6" w:rsidP="004D7448">
      <w:pPr>
        <w:pStyle w:val="DecHCase"/>
      </w:pPr>
      <w:r>
        <w:t>STRASBOURG</w:t>
      </w:r>
    </w:p>
    <w:p w:rsidR="0098410D" w:rsidRPr="004D7448" w:rsidRDefault="00845FC6" w:rsidP="004D7448">
      <w:pPr>
        <w:pStyle w:val="DecHCase"/>
      </w:pPr>
      <w:r>
        <w:rPr>
          <w:rFonts w:ascii="Times New Roman" w:hAnsi="Times New Roman"/>
        </w:rPr>
        <w:t>9 iulie 2024</w:t>
      </w:r>
    </w:p>
    <w:p w:rsidR="00AC4CD4" w:rsidRPr="004D7448" w:rsidRDefault="00AC4CD4" w:rsidP="004D7448">
      <w:pPr>
        <w:pStyle w:val="JuPara"/>
        <w:ind w:firstLine="0"/>
      </w:pPr>
    </w:p>
    <w:p w:rsidR="002422B6" w:rsidRPr="004D7448" w:rsidRDefault="00845FC6" w:rsidP="004D7448">
      <w:pPr>
        <w:rPr>
          <w:i/>
          <w:sz w:val="22"/>
        </w:rPr>
      </w:pPr>
      <w:r>
        <w:rPr>
          <w:i/>
          <w:sz w:val="22"/>
        </w:rPr>
        <w:t>Prezenta hotărâre este definitivă, dar poate suferi modificări de formă.</w:t>
      </w:r>
    </w:p>
    <w:p w:rsidR="0098410D" w:rsidRPr="004D7448" w:rsidRDefault="0098410D" w:rsidP="004D7448">
      <w:pPr>
        <w:sectPr w:rsidR="0098410D" w:rsidRPr="004D7448" w:rsidSect="00D66471">
          <w:headerReference w:type="default" r:id="rId8"/>
          <w:footerReference w:type="default" r:id="rId9"/>
          <w:headerReference w:type="first" r:id="rId10"/>
          <w:footerReference w:type="first" r:id="rId11"/>
          <w:footnotePr>
            <w:numRestart w:val="eachSect"/>
          </w:footnotePr>
          <w:endnotePr>
            <w:numFmt w:val="decimal"/>
          </w:endnotePr>
          <w:pgSz w:w="11906" w:h="16838" w:code="9"/>
          <w:pgMar w:top="2274" w:right="2274" w:bottom="2274" w:left="2274" w:header="1701" w:footer="720" w:gutter="0"/>
          <w:pgNumType w:start="1"/>
          <w:cols w:space="720"/>
          <w:noEndnote/>
          <w:titlePg/>
        </w:sectPr>
      </w:pPr>
    </w:p>
    <w:p w:rsidR="0098410D" w:rsidRPr="004D7448" w:rsidRDefault="00845FC6" w:rsidP="004D7448">
      <w:pPr>
        <w:pStyle w:val="JuCase"/>
      </w:pPr>
      <w:r>
        <w:lastRenderedPageBreak/>
        <w:t>În cauza I.M.P. împotriva României,</w:t>
      </w:r>
    </w:p>
    <w:p w:rsidR="009F4C8F" w:rsidRPr="004D7448" w:rsidRDefault="00845FC6" w:rsidP="004D7448">
      <w:pPr>
        <w:pStyle w:val="JuPara"/>
      </w:pPr>
      <w:r>
        <w:t>Curtea Europeană a Drepturilor Omului (Secția a patra), reunită într-o cameră compusă din:</w:t>
      </w:r>
    </w:p>
    <w:p w:rsidR="00A92625" w:rsidRPr="004D7448" w:rsidRDefault="00845FC6" w:rsidP="004D7448">
      <w:pPr>
        <w:pStyle w:val="JuJudges"/>
      </w:pPr>
      <w:r>
        <w:tab/>
        <w:t>Tim Eicke</w:t>
      </w:r>
      <w:r>
        <w:rPr>
          <w:i/>
        </w:rPr>
        <w:t>, președinte</w:t>
      </w:r>
      <w:r>
        <w:t>,</w:t>
      </w:r>
      <w:r>
        <w:br/>
      </w:r>
      <w:r>
        <w:tab/>
        <w:t>Armen Harutiunian,</w:t>
      </w:r>
      <w:r>
        <w:br/>
      </w:r>
      <w:r>
        <w:tab/>
        <w:t>Ana Maria Guerra Martins</w:t>
      </w:r>
      <w:r>
        <w:rPr>
          <w:i/>
        </w:rPr>
        <w:t>, judecători</w:t>
      </w:r>
      <w:r>
        <w:t>,</w:t>
      </w:r>
      <w:r>
        <w:br/>
        <w:t xml:space="preserve">și Simeon Petrovski, </w:t>
      </w:r>
      <w:r>
        <w:rPr>
          <w:i/>
          <w:iCs/>
        </w:rPr>
        <w:t>grefier adjunct de secție</w:t>
      </w:r>
      <w:r>
        <w:rPr>
          <w:i/>
        </w:rPr>
        <w:t>,</w:t>
      </w:r>
    </w:p>
    <w:p w:rsidR="005C0312" w:rsidRPr="004D7448" w:rsidRDefault="00845FC6" w:rsidP="004D7448">
      <w:pPr>
        <w:pStyle w:val="JuPara"/>
      </w:pPr>
      <w:r>
        <w:t>Având în vedere:</w:t>
      </w:r>
    </w:p>
    <w:p w:rsidR="005C0312" w:rsidRPr="004D7448" w:rsidRDefault="00845FC6" w:rsidP="004D7448">
      <w:pPr>
        <w:pStyle w:val="JuPara"/>
      </w:pPr>
      <w:r>
        <w:t>cererea (nr. 29634/22) îndreptată împotriva României, prin care un resortisant al acestui stat, doamna I.M.P. („reclamanta”), a sesizat Curtea, la 6 iunie 2022, în temeiul art. 34 din Convenția pentru apărarea drepturilor omului și a libertăților fundamentale („Convenția”); reclamanta s-a născut în 1943, locuiește în Baia Mare și a fost reprezentată de doamna Ş.R. Ban, avocat în Baia Mare;</w:t>
      </w:r>
    </w:p>
    <w:p w:rsidR="005C0312" w:rsidRPr="004D7448" w:rsidRDefault="00845FC6" w:rsidP="004D7448">
      <w:pPr>
        <w:pStyle w:val="JuPara"/>
      </w:pPr>
      <w:r>
        <w:t>decizia de a comunica Guvernului României („Guvernul”), reprezentat de agentul guvernamental, doamna O.F. Ezer, din cadrul Ministerului Afacerilor Externe, capetele de cerere privind lipsa unei evaluări complete de către instanțele interne a handicapului și a afecțiunilor reclamantei și pretinsa discriminare în exercitarea drepturilor sale în temeiul Convenției în legătură cu vârsta și starea de sănătate, contrar art. 14 din Convenție coroborat cu art. 8,  și de a declara inadmisibile celelalte capete de cerere;</w:t>
      </w:r>
    </w:p>
    <w:p w:rsidR="005C0312" w:rsidRPr="004D7448" w:rsidRDefault="00845FC6" w:rsidP="004D7448">
      <w:pPr>
        <w:pStyle w:val="JuPara"/>
      </w:pPr>
      <w:r>
        <w:t>decizia de a nu divulga numele reclamantei;</w:t>
      </w:r>
    </w:p>
    <w:p w:rsidR="005C0312" w:rsidRPr="004D7448" w:rsidRDefault="00845FC6" w:rsidP="004D7448">
      <w:pPr>
        <w:pStyle w:val="JuPara"/>
      </w:pPr>
      <w:r>
        <w:t>decizia de a examina cererea cu prioritate (art. 41 din Regulamentul Curții);</w:t>
      </w:r>
    </w:p>
    <w:p w:rsidR="005C0312" w:rsidRPr="004D7448" w:rsidRDefault="00845FC6" w:rsidP="004D7448">
      <w:pPr>
        <w:pStyle w:val="JuPara"/>
      </w:pPr>
      <w:r>
        <w:t>observațiile părților;</w:t>
      </w:r>
    </w:p>
    <w:p w:rsidR="005C0312" w:rsidRPr="004D7448" w:rsidRDefault="00845FC6" w:rsidP="004D7448">
      <w:pPr>
        <w:pStyle w:val="JuPara"/>
      </w:pPr>
      <w:r>
        <w:t>decizia de a respinge excepția Guvernului privind examinarea cererii de către un comitet;</w:t>
      </w:r>
    </w:p>
    <w:p w:rsidR="009F4C8F" w:rsidRPr="004D7448" w:rsidRDefault="00845FC6" w:rsidP="004D7448">
      <w:pPr>
        <w:pStyle w:val="JuPara"/>
      </w:pPr>
      <w:r>
        <w:t>după ce a deliberat în camera de consiliu, la 18 iunie 2024,</w:t>
      </w:r>
    </w:p>
    <w:p w:rsidR="009F4C8F" w:rsidRPr="004D7448" w:rsidRDefault="00845FC6" w:rsidP="004D7448">
      <w:pPr>
        <w:pStyle w:val="JuPara"/>
      </w:pPr>
      <w:r>
        <w:t>pronunță prezenta hotărâre, adoptată la aceeași dată:</w:t>
      </w:r>
    </w:p>
    <w:p w:rsidR="005C0312" w:rsidRPr="004D7448" w:rsidRDefault="00845FC6" w:rsidP="004D7448">
      <w:pPr>
        <w:pStyle w:val="JuHHead"/>
        <w:numPr>
          <w:ilvl w:val="0"/>
          <w:numId w:val="0"/>
        </w:numPr>
      </w:pPr>
      <w:r>
        <w:t>OBIECTUL CAUZEI</w:t>
      </w:r>
    </w:p>
    <w:p w:rsidR="005C0312" w:rsidRPr="004D7448" w:rsidRDefault="0035509B" w:rsidP="004D7448">
      <w:pPr>
        <w:pStyle w:val="JuPara"/>
      </w:pPr>
      <w:r>
        <w:fldChar w:fldCharType="begin"/>
      </w:r>
      <w:r>
        <w:instrText xml:space="preserve"> SEQ level0 \*arabic </w:instrText>
      </w:r>
      <w:r>
        <w:fldChar w:fldCharType="separate"/>
      </w:r>
      <w:r>
        <w:rPr>
          <w:noProof/>
        </w:rPr>
        <w:t>1</w:t>
      </w:r>
      <w:r>
        <w:rPr>
          <w:noProof/>
        </w:rPr>
        <w:fldChar w:fldCharType="end"/>
      </w:r>
      <w:r w:rsidR="00845FC6">
        <w:t>.  Cererea privește, în special, capătul de cerere în temeiul art. 8 din Convenție, potrivit căruia autoritățile naționale au apreciat greșit severitatea handicapului său, privând‑o astfel de posibilitatea de a beneficia de un asistent personal, ceea ce a dus la reducerea drastică a autonomiei sale personale.</w:t>
      </w:r>
    </w:p>
    <w:p w:rsidR="005C0312" w:rsidRPr="004D7448" w:rsidRDefault="00F44E99" w:rsidP="004D7448">
      <w:pPr>
        <w:pStyle w:val="JuPara"/>
      </w:pPr>
      <w:fldSimple w:instr=" SEQ level0 \*arabic \* MERGEFORMAT ">
        <w:bookmarkStart w:id="1" w:name="paragraph00002"/>
        <w:r w:rsidR="0035509B">
          <w:rPr>
            <w:noProof/>
          </w:rPr>
          <w:t>2</w:t>
        </w:r>
        <w:bookmarkEnd w:id="1"/>
      </w:fldSimple>
      <w:r w:rsidR="00845FC6">
        <w:t>.  Reclamanta este o văduvă pensionară în vârstă de 80 de ani. Potrivit mai multor rapoarte medicale, inclusiv unuia din 30 septembrie 2020, pe care Comisia de Evaluare a Persoanelor Adulte cu Handicap Maramureș (denumită în continuare „Comisia Maramureș”) și instanțele judecătorești s-au bazat în cadrul procedurilor interne contestate (</w:t>
      </w:r>
      <w:r w:rsidR="00845FC6">
        <w:rPr>
          <w:i/>
          <w:iCs/>
        </w:rPr>
        <w:t>infra</w:t>
      </w:r>
      <w:r w:rsidR="00845FC6">
        <w:t xml:space="preserve">, pct. </w:t>
      </w:r>
      <w:r w:rsidR="00845FC6" w:rsidRPr="004D7448">
        <w:fldChar w:fldCharType="begin"/>
      </w:r>
      <w:r w:rsidR="00845FC6" w:rsidRPr="004D7448">
        <w:instrText xml:space="preserve"> REF paragraph00004 \h  \* CharFormat </w:instrText>
      </w:r>
      <w:r w:rsidR="00845FC6" w:rsidRPr="004D7448">
        <w:fldChar w:fldCharType="separate"/>
      </w:r>
      <w:r w:rsidR="0035509B">
        <w:t>5</w:t>
      </w:r>
      <w:r w:rsidR="00845FC6" w:rsidRPr="004D7448">
        <w:fldChar w:fldCharType="end"/>
      </w:r>
      <w:r w:rsidR="00845FC6">
        <w:t>-</w:t>
      </w:r>
      <w:r w:rsidR="00845FC6" w:rsidRPr="004D7448">
        <w:fldChar w:fldCharType="begin"/>
      </w:r>
      <w:r w:rsidR="00845FC6" w:rsidRPr="004D7448">
        <w:instrText xml:space="preserve"> REF paragraph00006 \h  \* CharFormat </w:instrText>
      </w:r>
      <w:r w:rsidR="00845FC6" w:rsidRPr="004D7448">
        <w:fldChar w:fldCharType="separate"/>
      </w:r>
      <w:r w:rsidR="0035509B">
        <w:t>7</w:t>
      </w:r>
      <w:r w:rsidR="00845FC6" w:rsidRPr="004D7448">
        <w:fldChar w:fldCharType="end"/>
      </w:r>
      <w:r w:rsidR="00845FC6">
        <w:t>), aceasta are „demență Alzheimer cu disfuncții cognitive severe”. Raportul de evaluare psihologică de la aceeași dată a stabilit pentru reclamantă scorul MMSE</w:t>
      </w:r>
      <w:r w:rsidR="00845FC6">
        <w:rPr>
          <w:rStyle w:val="FootnoteReference"/>
        </w:rPr>
        <w:footnoteReference w:id="1"/>
      </w:r>
      <w:r w:rsidR="00845FC6">
        <w:t xml:space="preserve"> 9 și scorul GAFS</w:t>
      </w:r>
      <w:r w:rsidR="00845FC6">
        <w:rPr>
          <w:rStyle w:val="FootnoteReference"/>
        </w:rPr>
        <w:footnoteReference w:id="2"/>
      </w:r>
      <w:r w:rsidR="00845FC6">
        <w:t xml:space="preserve"> 25-28: aceleași scoruri pe care le-a primit în evaluarea medicală anterioară din 2019. Conform anchetei sociale și rapoartelor psihologice </w:t>
      </w:r>
      <w:r w:rsidR="005948E9">
        <w:t>privind-o</w:t>
      </w:r>
      <w:r w:rsidR="00845FC6">
        <w:t xml:space="preserve"> </w:t>
      </w:r>
      <w:r w:rsidR="005948E9">
        <w:t>pe</w:t>
      </w:r>
      <w:r w:rsidR="00845FC6">
        <w:t xml:space="preserve"> reclamantă din 2019 și 2020, aceasta are o capacitate de conversație extrem de redusă, dificultăți de concentrare, hipomnezie în ceea ce privește rememorarea unor date/evenimente recente, disfuncție executivă severă însoțită de incapacitatea de a planifica sau de a evalua riscurile, precum și o judecată afectată. Necesită sprijin constant, inclusiv pentru activități simple, cum ar fi îmbrăcatul sau gătitul. Este cu totul incapabilă să iasă în afara domiciliului fără a fi ajutată.</w:t>
      </w:r>
    </w:p>
    <w:p w:rsidR="005C0312" w:rsidRPr="004D7448" w:rsidRDefault="00F44E99" w:rsidP="004D7448">
      <w:pPr>
        <w:pStyle w:val="JuPara"/>
      </w:pPr>
      <w:fldSimple w:instr=" SEQ level0 \*arabic \* MERGEFORMAT ">
        <w:bookmarkStart w:id="2" w:name="paragraph00003"/>
        <w:r w:rsidR="0035509B">
          <w:rPr>
            <w:noProof/>
          </w:rPr>
          <w:t>3</w:t>
        </w:r>
        <w:bookmarkEnd w:id="2"/>
      </w:fldSimple>
      <w:r w:rsidR="00845FC6">
        <w:t>.  Începând cu 2019, reclamanta locuiește într-un centru privat de binefacere pentru persoane în vârstă, având nevoie de atenție și sprijin constante. Contractul încheiat de către reclamantă și fiica sa cu centrul privat deținut de o biserică locală (și anume Episcopia Ortodoxă Română a Maramureșului și Sătmarului) obliga la plata lunară de către reclamantă și fiica sa a serviciilor prevăzute în cadrul acestuia, care nu includeau un asistent personal.</w:t>
      </w:r>
    </w:p>
    <w:p w:rsidR="005C0312" w:rsidRPr="004D7448" w:rsidRDefault="004D7448" w:rsidP="004D7448">
      <w:pPr>
        <w:pStyle w:val="JuPara"/>
      </w:pPr>
      <w:r w:rsidRPr="004D7448">
        <w:fldChar w:fldCharType="begin"/>
      </w:r>
      <w:r w:rsidR="00845FC6">
        <w:instrText xml:space="preserve"> SEQ level0 \*arabic \* MERGEFORMAT </w:instrText>
      </w:r>
      <w:r w:rsidRPr="004D7448">
        <w:fldChar w:fldCharType="separate"/>
      </w:r>
      <w:r w:rsidR="0035509B">
        <w:rPr>
          <w:noProof/>
        </w:rPr>
        <w:t>4</w:t>
      </w:r>
      <w:r w:rsidRPr="004D7448">
        <w:fldChar w:fldCharType="end"/>
      </w:r>
      <w:r>
        <w:t xml:space="preserve">.  La 15 decembrie 2020, după analizarea rapoartelor de expertiză menționate supra la pct. </w:t>
      </w:r>
      <w:r w:rsidR="00845FC6" w:rsidRPr="004D7448">
        <w:fldChar w:fldCharType="begin"/>
      </w:r>
      <w:r w:rsidR="00845FC6" w:rsidRPr="004D7448">
        <w:instrText xml:space="preserve"> REF paragraph00002 \h  \* CharFormat </w:instrText>
      </w:r>
      <w:r w:rsidR="00845FC6" w:rsidRPr="004D7448">
        <w:fldChar w:fldCharType="separate"/>
      </w:r>
      <w:r w:rsidR="0035509B">
        <w:t>2</w:t>
      </w:r>
      <w:r w:rsidR="00845FC6" w:rsidRPr="004D7448">
        <w:fldChar w:fldCharType="end"/>
      </w:r>
      <w:r>
        <w:t>, Comisia Maramureș a emis un „certificat de încadrare în grad și tip de handicap” care dovedește că reclamanta are un „handicap grav”.</w:t>
      </w:r>
    </w:p>
    <w:p w:rsidR="005C0312" w:rsidRPr="004D7448" w:rsidRDefault="00F44E99" w:rsidP="004D7448">
      <w:pPr>
        <w:pStyle w:val="JuPara"/>
      </w:pPr>
      <w:fldSimple w:instr=" SEQ level0 \*arabic \* MERGEFORMAT ">
        <w:bookmarkStart w:id="3" w:name="paragraph00004"/>
        <w:r w:rsidR="0035509B">
          <w:rPr>
            <w:noProof/>
          </w:rPr>
          <w:t>5</w:t>
        </w:r>
        <w:bookmarkEnd w:id="3"/>
      </w:fldSimple>
      <w:r w:rsidR="00845FC6">
        <w:t>.  La 29 ianuarie 2021 reclamanta a solicitat anularea respectivului certificat și emiterea unuia nou care să ateste că avea un „handicap grav care necesita un asistent personal”. A susținut că handicapul său nu era nici ușor, nici reversibil, întrucât solicita îngrijire și supraveghere constante 24 de ore, deoarece starea sa de sănătate se deteriora în fiecare zi. În plus, reclamanta s-a plâns că încadrarea a fost făcută exclusiv pe baza documentelor medicale, în mare parte datând din 2019, mai degrabă decât în baza unei evaluări directe recente.</w:t>
      </w:r>
    </w:p>
    <w:p w:rsidR="005C0312" w:rsidRPr="004D7448" w:rsidRDefault="00F44E99" w:rsidP="004D7448">
      <w:pPr>
        <w:pStyle w:val="JuPara"/>
      </w:pPr>
      <w:fldSimple w:instr=" SEQ level0 \*arabic \* MERGEFORMAT ">
        <w:r w:rsidR="0035509B">
          <w:rPr>
            <w:noProof/>
          </w:rPr>
          <w:t>6</w:t>
        </w:r>
      </w:fldSimple>
      <w:r w:rsidR="00845FC6">
        <w:t xml:space="preserve">.  Prin hotărârea din 12 decembrie 2021, Tribunalul Maramureș a respins cererea reclamantei reținând că, în conformitate cu art. 85 alin. (3) din Legea nr. 448/2006 privind protecția și promovarea drepturilor persoanelor cu handicap, Comisia Maramureș era organul autorizat să evalueze tipul și gravitatea handicapului reclamantei. Evaluarea trebuia făcută în conformitate cu Ordinul </w:t>
      </w:r>
      <w:r w:rsidR="005948E9">
        <w:t xml:space="preserve">ministrului muncii, familiei și egalității de șanse </w:t>
      </w:r>
      <w:r w:rsidR="00845FC6">
        <w:t>nr. 762 din 31 august 2007, în care erau prevăzute criteriile relevante.</w:t>
      </w:r>
    </w:p>
    <w:p w:rsidR="005C0312" w:rsidRPr="004D7448" w:rsidRDefault="00F44E99" w:rsidP="004D7448">
      <w:pPr>
        <w:pStyle w:val="JuPara"/>
      </w:pPr>
      <w:fldSimple w:instr=" SEQ level0 \*arabic \* MERGEFORMAT ">
        <w:bookmarkStart w:id="4" w:name="paragraph00006"/>
        <w:r w:rsidR="0035509B">
          <w:rPr>
            <w:noProof/>
          </w:rPr>
          <w:t>7</w:t>
        </w:r>
        <w:bookmarkEnd w:id="4"/>
      </w:fldSimple>
      <w:r w:rsidR="00845FC6">
        <w:t>.  Reclamanta a formulat recurs împotriva acestei hotărâri și a invocat argumente legate de situația sa generală, atât medicală, cât și socială, făcând trimitere la evidențele medicale care atestau „deteriorarea gravă” a stării sale și solicitând instanței de recurs să dispună o nouă evaluare socio-psiho-medicală. Prin decizia din 17 februarie 2022, Curtea de Apel Cluj a respins recursul reclamantei. A reținut că în raportul medical din 30 septembrie 2020 (</w:t>
      </w:r>
      <w:r w:rsidR="00845FC6">
        <w:rPr>
          <w:i/>
          <w:iCs/>
        </w:rPr>
        <w:t>supra</w:t>
      </w:r>
      <w:r w:rsidR="00845FC6">
        <w:t xml:space="preserve">, pct. </w:t>
      </w:r>
      <w:r w:rsidR="00845FC6" w:rsidRPr="004D7448">
        <w:fldChar w:fldCharType="begin"/>
      </w:r>
      <w:r w:rsidR="00845FC6" w:rsidRPr="004D7448">
        <w:instrText xml:space="preserve"> REF paragraph00002 \h  \* CharFormat </w:instrText>
      </w:r>
      <w:r w:rsidR="00845FC6" w:rsidRPr="004D7448">
        <w:fldChar w:fldCharType="separate"/>
      </w:r>
      <w:r w:rsidR="0035509B">
        <w:t>2</w:t>
      </w:r>
      <w:r w:rsidR="00845FC6" w:rsidRPr="004D7448">
        <w:fldChar w:fldCharType="end"/>
      </w:r>
      <w:r w:rsidR="00845FC6">
        <w:t>) se afirma că reclamanta este o persoană cu deteriorare cognitivă severă care fusese evaluată și că acesteia îi fuseseră acordate „scoruri psihologice de încadrare”. Bazându-se pe aceste rezultate și pe criteriile conținute în Ordinul ministrului nr. 762/2007, raportul stabilea că reclamanta suferea de un „handicap grav” și nu de un „handicap grav care necesita un asistent personal”. Curtea de apel a reținut că, în conformitate cu ordinul ministrului, scorul GAFS ar fi trebuit să fie mai mic de 20 pentru ca reclamanta să aibă dreptul la un asistent personal. Părțile relevante ale deciziei sunt redactate după cum urmează:</w:t>
      </w:r>
    </w:p>
    <w:p w:rsidR="005C0312" w:rsidRPr="004D7448" w:rsidRDefault="00845FC6" w:rsidP="004D7448">
      <w:pPr>
        <w:pStyle w:val="JuQuot"/>
      </w:pPr>
      <w:r>
        <w:t>„În acest sens, nu sunt întemeiate nici criticile referitoare la greșita încadrare în grad de handicap ca urmare a faptului că recurenta-reclamantă necesită sprijin pentru realizarea activităților cotidiene, o astfel de afectare și dependență în efectuarea activităților zilnice fiind specifică gradului grav de handicap grav, fără să presupună însă acordarea asistentului personal în lipsa îndeplinirii cerințelor impuse de Ordinul nr. 762/2007.”</w:t>
      </w:r>
    </w:p>
    <w:p w:rsidR="005C0312" w:rsidRPr="004D7448" w:rsidRDefault="00F44E99" w:rsidP="004D7448">
      <w:pPr>
        <w:pStyle w:val="JuPara"/>
      </w:pPr>
      <w:fldSimple w:instr=" SEQ level0 \*arabic \* MERGEFORMAT ">
        <w:r w:rsidR="0035509B">
          <w:rPr>
            <w:noProof/>
          </w:rPr>
          <w:t>8</w:t>
        </w:r>
      </w:fldSimple>
      <w:r w:rsidR="00845FC6">
        <w:t>.  Conform celui mai recent raport medical, datat 26 septembrie 2023, starea de sănătate a reclamantei s-a deteriorat în mod semnificativ, având ca rezultat scorurile următoare: MMSE - 2 și GAFS 9-10.</w:t>
      </w:r>
    </w:p>
    <w:p w:rsidR="005C0312" w:rsidRPr="004D7448" w:rsidRDefault="00F44E99" w:rsidP="004D7448">
      <w:pPr>
        <w:pStyle w:val="JuPara"/>
      </w:pPr>
      <w:fldSimple w:instr=" SEQ level0 \*arabic \* MERGEFORMAT ">
        <w:r w:rsidR="0035509B">
          <w:rPr>
            <w:noProof/>
          </w:rPr>
          <w:t>9</w:t>
        </w:r>
      </w:fldSimple>
      <w:r w:rsidR="00845FC6">
        <w:t>.  Reclamanta s-a plâns în temeiul art. 8 din Convenție considerat separat și, în esență, coroborat cu art. 14 din Convenție, că instanțele naționale nu au efectuat o evaluare completă a dizabilității și a condiției sale medicale.</w:t>
      </w:r>
    </w:p>
    <w:p w:rsidR="005C0312" w:rsidRPr="004D7448" w:rsidRDefault="00845FC6" w:rsidP="004D7448">
      <w:pPr>
        <w:pStyle w:val="JuHHead"/>
      </w:pPr>
      <w:r>
        <w:t>MOTIVAREA CURȚII</w:t>
      </w:r>
    </w:p>
    <w:p w:rsidR="005C0312" w:rsidRPr="004D7448" w:rsidRDefault="00845FC6" w:rsidP="004D7448">
      <w:pPr>
        <w:pStyle w:val="JuHIRoman"/>
        <w:ind w:left="397" w:hanging="397"/>
      </w:pPr>
      <w:r>
        <w:t>CU PRIVIRE LA PRETINSA ÎNCĂLCARE A ART. 8 DIN CONVENȚIE</w:t>
      </w:r>
    </w:p>
    <w:p w:rsidR="005C0312" w:rsidRPr="004D7448" w:rsidRDefault="0035509B" w:rsidP="004D7448">
      <w:pPr>
        <w:pStyle w:val="JuPara"/>
      </w:pPr>
      <w:r>
        <w:fldChar w:fldCharType="begin"/>
      </w:r>
      <w:r>
        <w:instrText xml:space="preserve"> SEQ level0 \*arabic </w:instrText>
      </w:r>
      <w:r>
        <w:fldChar w:fldCharType="separate"/>
      </w:r>
      <w:r>
        <w:rPr>
          <w:noProof/>
        </w:rPr>
        <w:t>10</w:t>
      </w:r>
      <w:r>
        <w:rPr>
          <w:noProof/>
        </w:rPr>
        <w:fldChar w:fldCharType="end"/>
      </w:r>
      <w:r w:rsidR="00845FC6">
        <w:t>.  Curtea constată că acest capăt de cerere nu este în mod vădit nefondat în sensul art. 35 § 3 lit. a) din Convenție și nu prezintă niciun alt motiv de inadmisibilitate. Prin urmare, trebuie să fie declarat admisibil.</w:t>
      </w:r>
    </w:p>
    <w:p w:rsidR="005C0312" w:rsidRPr="004D7448" w:rsidRDefault="0035509B" w:rsidP="004D7448">
      <w:pPr>
        <w:pStyle w:val="JuPara"/>
      </w:pPr>
      <w:r>
        <w:fldChar w:fldCharType="begin"/>
      </w:r>
      <w:r>
        <w:instrText xml:space="preserve"> SEQ level0 \*arabic </w:instrText>
      </w:r>
      <w:r>
        <w:fldChar w:fldCharType="separate"/>
      </w:r>
      <w:r>
        <w:rPr>
          <w:noProof/>
        </w:rPr>
        <w:t>11</w:t>
      </w:r>
      <w:r>
        <w:rPr>
          <w:noProof/>
        </w:rPr>
        <w:fldChar w:fldCharType="end"/>
      </w:r>
      <w:r w:rsidR="00845FC6">
        <w:t xml:space="preserve">.  Principiile generale privind obligațiile pozitive ce revin statului </w:t>
      </w:r>
      <w:bookmarkStart w:id="5" w:name="_cl41356"/>
      <w:r w:rsidR="00845FC6">
        <w:t xml:space="preserve">pentru a garanta dreptul la respectarea vieții private în contextul refuzului de a-i acorda unui reclamant dreptul la asistența adecvată necesară pentru afecțiunea sau pentru dizabilitatea sa au fost rezumate în </w:t>
      </w:r>
      <w:r w:rsidR="00845FC6">
        <w:rPr>
          <w:i/>
        </w:rPr>
        <w:t>Jivan împotriva Românie</w:t>
      </w:r>
      <w:bookmarkEnd w:id="5"/>
      <w:r w:rsidR="00845FC6">
        <w:rPr>
          <w:i/>
        </w:rPr>
        <w:t>i</w:t>
      </w:r>
      <w:r w:rsidR="00845FC6">
        <w:t xml:space="preserve"> (nr. 62250/19, pct. 40-42, 8 februarie 2022).</w:t>
      </w:r>
    </w:p>
    <w:p w:rsidR="005C0312" w:rsidRPr="004D7448" w:rsidRDefault="00F44E99" w:rsidP="004D7448">
      <w:pPr>
        <w:pStyle w:val="JuPara"/>
      </w:pPr>
      <w:fldSimple w:instr=" SEQ level0 \*arabic \* MERGEFORMAT ">
        <w:r w:rsidR="0035509B">
          <w:rPr>
            <w:noProof/>
          </w:rPr>
          <w:t>12</w:t>
        </w:r>
      </w:fldSimple>
      <w:r w:rsidR="00845FC6">
        <w:t xml:space="preserve">.  După cum a subliniat Curtea în </w:t>
      </w:r>
      <w:r w:rsidR="00845FC6">
        <w:rPr>
          <w:i/>
        </w:rPr>
        <w:t>Jivan</w:t>
      </w:r>
      <w:r w:rsidR="00845FC6">
        <w:t xml:space="preserve"> (citată anterior, pct. 43), Legea nr. 448/2006 prevede protecția persoanelor cu handicap în lumina principiilor directoare consacrate de această lege, inclusiv libertatea de alegere, incluziunea socială și respectarea nevoilor specifice ale persoanelor. Nivelul de protecție acordat se bazează pe o evaluare complexă și personalizată prin care se stabilește gradul de handicap al unei persoane. Această evaluare trebuie să se bazeze nu numai pe date medicale, ci și pe alți indicatori ai gradului de autonomie al persoanei în cauză (sau ai lipsei autonomiei acesteia) analizați în funcție de condițiile sale de viață.</w:t>
      </w:r>
    </w:p>
    <w:p w:rsidR="005C0312" w:rsidRPr="004D7448" w:rsidRDefault="00845FC6" w:rsidP="004D7448">
      <w:pPr>
        <w:pStyle w:val="JuPara"/>
      </w:pPr>
      <w:r w:rsidRPr="004D7448">
        <w:rPr>
          <w:rFonts w:ascii="Times New Roman" w:hAnsi="Times New Roman" w:cs="Times New Roman"/>
          <w:color w:val="000000"/>
        </w:rPr>
        <w:fldChar w:fldCharType="begin"/>
      </w:r>
      <w:r w:rsidRPr="004D7448">
        <w:rPr>
          <w:rFonts w:ascii="Times New Roman" w:hAnsi="Times New Roman" w:cs="Times New Roman"/>
          <w:color w:val="000000"/>
        </w:rPr>
        <w:instrText xml:space="preserve"> SEQ level0 \*arabic \* MERGEFORMAT </w:instrText>
      </w:r>
      <w:r w:rsidRPr="004D7448">
        <w:rPr>
          <w:rFonts w:ascii="Times New Roman" w:hAnsi="Times New Roman" w:cs="Times New Roman"/>
          <w:color w:val="000000"/>
        </w:rPr>
        <w:fldChar w:fldCharType="separate"/>
      </w:r>
      <w:r w:rsidR="0035509B">
        <w:rPr>
          <w:rFonts w:ascii="Times New Roman" w:hAnsi="Times New Roman" w:cs="Times New Roman"/>
          <w:noProof/>
          <w:color w:val="000000"/>
        </w:rPr>
        <w:t>13</w:t>
      </w:r>
      <w:r w:rsidRPr="004D7448">
        <w:rPr>
          <w:rFonts w:ascii="Times New Roman" w:hAnsi="Times New Roman" w:cs="Times New Roman"/>
          <w:color w:val="000000"/>
        </w:rPr>
        <w:fldChar w:fldCharType="end"/>
      </w:r>
      <w:r>
        <w:rPr>
          <w:rFonts w:ascii="Times New Roman" w:hAnsi="Times New Roman"/>
          <w:color w:val="000000"/>
        </w:rPr>
        <w:t>.  </w:t>
      </w:r>
      <w:r>
        <w:t>În speță</w:t>
      </w:r>
      <w:r>
        <w:rPr>
          <w:rFonts w:ascii="Times New Roman" w:hAnsi="Times New Roman"/>
          <w:color w:val="000000"/>
        </w:rPr>
        <w:t>, autoritățile competente au constatat că reclamanta avea o disfuncție executivă severă și totodată incapacitatea de a planifica sau de a evalua riscurile și o deteriorare a judecății și, de asemenea, că necesita sprijin constant, inclusiv pentru activități simple, cum ar fi îmbrăcatul sau gătitul, precum și pentru a ieși din casă (</w:t>
      </w:r>
      <w:r>
        <w:rPr>
          <w:rFonts w:ascii="Times New Roman" w:hAnsi="Times New Roman"/>
          <w:i/>
          <w:iCs/>
          <w:color w:val="000000"/>
        </w:rPr>
        <w:t>supra</w:t>
      </w:r>
      <w:r>
        <w:rPr>
          <w:rFonts w:ascii="Times New Roman" w:hAnsi="Times New Roman"/>
          <w:color w:val="000000"/>
        </w:rPr>
        <w:t xml:space="preserve">, pct. </w:t>
      </w:r>
      <w:r w:rsidRPr="004D7448">
        <w:rPr>
          <w:rFonts w:ascii="Times New Roman" w:hAnsi="Times New Roman" w:cs="Times New Roman"/>
          <w:color w:val="000000"/>
        </w:rPr>
        <w:fldChar w:fldCharType="begin"/>
      </w:r>
      <w:r w:rsidRPr="004D7448">
        <w:rPr>
          <w:rFonts w:ascii="Times New Roman" w:hAnsi="Times New Roman" w:cs="Times New Roman"/>
          <w:color w:val="000000"/>
        </w:rPr>
        <w:instrText xml:space="preserve"> REF paragraph00002 \h  \* CharFormat </w:instrText>
      </w:r>
      <w:r w:rsidRPr="004D7448">
        <w:rPr>
          <w:rFonts w:ascii="Times New Roman" w:hAnsi="Times New Roman" w:cs="Times New Roman"/>
          <w:color w:val="000000"/>
        </w:rPr>
      </w:r>
      <w:r w:rsidRPr="004D7448">
        <w:rPr>
          <w:rFonts w:ascii="Times New Roman" w:hAnsi="Times New Roman" w:cs="Times New Roman"/>
          <w:color w:val="000000"/>
        </w:rPr>
        <w:fldChar w:fldCharType="separate"/>
      </w:r>
      <w:r w:rsidR="0035509B" w:rsidRPr="0035509B">
        <w:rPr>
          <w:rFonts w:ascii="Times New Roman" w:hAnsi="Times New Roman" w:cs="Times New Roman"/>
          <w:color w:val="000000"/>
        </w:rPr>
        <w:t>2</w:t>
      </w:r>
      <w:r w:rsidRPr="004D7448">
        <w:rPr>
          <w:rFonts w:ascii="Times New Roman" w:hAnsi="Times New Roman" w:cs="Times New Roman"/>
          <w:color w:val="000000"/>
        </w:rPr>
        <w:fldChar w:fldCharType="end"/>
      </w:r>
      <w:r>
        <w:t>). În consecință, Comisia Maramureș, care avea la dosar aceste rapoarte, a emis un certificat care stabilea că reclamanta avea un handicap grav, dar nu unul care necesita un asistent personal (</w:t>
      </w:r>
      <w:r>
        <w:rPr>
          <w:i/>
          <w:iCs/>
        </w:rPr>
        <w:t>supra</w:t>
      </w:r>
      <w:r>
        <w:t>, pct. </w:t>
      </w:r>
      <w:r w:rsidRPr="004D7448">
        <w:fldChar w:fldCharType="begin"/>
      </w:r>
      <w:r w:rsidRPr="004D7448">
        <w:instrText xml:space="preserve"> REF paragraph00003 \h  \* CharFormat </w:instrText>
      </w:r>
      <w:r w:rsidRPr="004D7448">
        <w:fldChar w:fldCharType="separate"/>
      </w:r>
      <w:r w:rsidR="0035509B">
        <w:t>3</w:t>
      </w:r>
      <w:r w:rsidRPr="004D7448">
        <w:fldChar w:fldCharType="end"/>
      </w:r>
      <w:r>
        <w:t>-</w:t>
      </w:r>
      <w:r w:rsidRPr="004D7448">
        <w:fldChar w:fldCharType="begin"/>
      </w:r>
      <w:r w:rsidRPr="004D7448">
        <w:instrText xml:space="preserve"> REF paragraph00004 \h  \* CharFormat </w:instrText>
      </w:r>
      <w:r w:rsidRPr="004D7448">
        <w:fldChar w:fldCharType="separate"/>
      </w:r>
      <w:r w:rsidR="0035509B">
        <w:t>5</w:t>
      </w:r>
      <w:r w:rsidRPr="004D7448">
        <w:fldChar w:fldCharType="end"/>
      </w:r>
      <w:r>
        <w:t>). Această apreciere a fost împărtășită și de Curtea de Apel Cluj, instanța națională care a examinat definitiv fondul cauzei (</w:t>
      </w:r>
      <w:r>
        <w:rPr>
          <w:i/>
          <w:iCs/>
        </w:rPr>
        <w:t>supra</w:t>
      </w:r>
      <w:r>
        <w:t xml:space="preserve">, pct. </w:t>
      </w:r>
      <w:r w:rsidRPr="004D7448">
        <w:fldChar w:fldCharType="begin"/>
      </w:r>
      <w:r w:rsidRPr="004D7448">
        <w:instrText xml:space="preserve"> REF paragraph00006 \h  \* CharFormat </w:instrText>
      </w:r>
      <w:r w:rsidRPr="004D7448">
        <w:fldChar w:fldCharType="separate"/>
      </w:r>
      <w:r w:rsidR="0035509B">
        <w:t>7</w:t>
      </w:r>
      <w:r w:rsidRPr="004D7448">
        <w:fldChar w:fldCharType="end"/>
      </w:r>
      <w:r>
        <w:t>). Curtea nu poate decât să observe că aceste constatări contrastează evident cu situația deosebită a reclamantei, așa cum este explicată în detaliu, în special, în raportul din 30 septembrie 2020 (</w:t>
      </w:r>
      <w:r>
        <w:rPr>
          <w:i/>
          <w:iCs/>
        </w:rPr>
        <w:t>supra</w:t>
      </w:r>
      <w:r>
        <w:t xml:space="preserve">, pct. </w:t>
      </w:r>
      <w:r w:rsidRPr="004D7448">
        <w:fldChar w:fldCharType="begin"/>
      </w:r>
      <w:r w:rsidRPr="004D7448">
        <w:instrText xml:space="preserve"> REF paragraph00002 \h  \* CharFormat </w:instrText>
      </w:r>
      <w:r w:rsidRPr="004D7448">
        <w:fldChar w:fldCharType="separate"/>
      </w:r>
      <w:r w:rsidR="0035509B">
        <w:t>2</w:t>
      </w:r>
      <w:r w:rsidRPr="004D7448">
        <w:fldChar w:fldCharType="end"/>
      </w:r>
      <w:r>
        <w:t xml:space="preserve"> și </w:t>
      </w:r>
      <w:r w:rsidRPr="004D7448">
        <w:fldChar w:fldCharType="begin"/>
      </w:r>
      <w:r w:rsidRPr="004D7448">
        <w:instrText xml:space="preserve"> REF paragraph00006 \h  \* CharFormat </w:instrText>
      </w:r>
      <w:r w:rsidRPr="004D7448">
        <w:fldChar w:fldCharType="separate"/>
      </w:r>
      <w:r w:rsidR="0035509B">
        <w:t>7</w:t>
      </w:r>
      <w:r w:rsidRPr="004D7448">
        <w:fldChar w:fldCharType="end"/>
      </w:r>
      <w:r>
        <w:t>).</w:t>
      </w:r>
    </w:p>
    <w:p w:rsidR="005C0312" w:rsidRPr="004D7448" w:rsidRDefault="00F44E99" w:rsidP="004D7448">
      <w:pPr>
        <w:pStyle w:val="JuPara"/>
      </w:pPr>
      <w:fldSimple w:instr=" SEQ level0 \*arabic \* MERGEFORMAT ">
        <w:r w:rsidR="0035509B">
          <w:rPr>
            <w:noProof/>
          </w:rPr>
          <w:t>14</w:t>
        </w:r>
      </w:fldSimple>
      <w:r w:rsidR="00845FC6">
        <w:t>.  Deși are o competență limitată cu privire la  interpretarea și aplicarea legislației naționale, Curtea nu poate decât să observe că atât Comisia Maramureș, cât și instanțele naționale și-au concentrat evaluarea pe cerințele ordinului ministrului în legătură cu scorul GAFS al reclamantei în urma evaluării psihologice din 2020, rezumându-se doar la a recunoaște gradul său ridicat de dependență și capacitatea limitată de a îndeplini sarcinile de zi cu zi. În plângerile sale în fața autorităților, reclamanta a invocat argumente referitoare la situația sa mai generală, atât medicală, cât și socială (</w:t>
      </w:r>
      <w:r w:rsidR="00845FC6">
        <w:rPr>
          <w:i/>
          <w:iCs/>
        </w:rPr>
        <w:t>supra</w:t>
      </w:r>
      <w:r w:rsidR="00845FC6">
        <w:t xml:space="preserve">, pct. </w:t>
      </w:r>
      <w:r w:rsidR="00845FC6" w:rsidRPr="004D7448">
        <w:fldChar w:fldCharType="begin"/>
      </w:r>
      <w:r w:rsidR="00845FC6" w:rsidRPr="004D7448">
        <w:instrText xml:space="preserve"> REF paragraph00004 \h  \* CharFormat </w:instrText>
      </w:r>
      <w:r w:rsidR="00845FC6" w:rsidRPr="004D7448">
        <w:fldChar w:fldCharType="separate"/>
      </w:r>
      <w:r w:rsidR="0035509B">
        <w:t>5</w:t>
      </w:r>
      <w:r w:rsidR="00845FC6" w:rsidRPr="004D7448">
        <w:fldChar w:fldCharType="end"/>
      </w:r>
      <w:r w:rsidR="00845FC6">
        <w:t xml:space="preserve"> și </w:t>
      </w:r>
      <w:r w:rsidR="00845FC6" w:rsidRPr="004D7448">
        <w:fldChar w:fldCharType="begin"/>
      </w:r>
      <w:r w:rsidR="00845FC6" w:rsidRPr="004D7448">
        <w:instrText xml:space="preserve"> REF paragraph00006 \h  \* CharFormat </w:instrText>
      </w:r>
      <w:r w:rsidR="00845FC6" w:rsidRPr="004D7448">
        <w:fldChar w:fldCharType="separate"/>
      </w:r>
      <w:r w:rsidR="0035509B">
        <w:t>7</w:t>
      </w:r>
      <w:r w:rsidR="00845FC6" w:rsidRPr="004D7448">
        <w:fldChar w:fldCharType="end"/>
      </w:r>
      <w:r w:rsidR="00845FC6">
        <w:t xml:space="preserve">). În opinia Curții, aceste argumente au fost specifice, relevante și importante, iar Guvernul nu a susținut contrariul. Cu toate acestea, nici Comisia, atunci când a emis certificatul, nici instanța de </w:t>
      </w:r>
      <w:r w:rsidR="00BD72DD">
        <w:t>recurs</w:t>
      </w:r>
      <w:r w:rsidR="00845FC6">
        <w:t xml:space="preserve">, în decizia din 17 februarie 2022, nu le-au luat cu adevărat în considerare (a se vedea </w:t>
      </w:r>
      <w:r w:rsidR="00845FC6">
        <w:rPr>
          <w:i/>
        </w:rPr>
        <w:t>Jivan</w:t>
      </w:r>
      <w:r w:rsidR="00845FC6">
        <w:t>, citată anterior, pct. 48).</w:t>
      </w:r>
    </w:p>
    <w:p w:rsidR="005C0312" w:rsidRPr="004D7448" w:rsidRDefault="00F44E99" w:rsidP="004D7448">
      <w:pPr>
        <w:pStyle w:val="JuPara"/>
      </w:pPr>
      <w:fldSimple w:instr=" SEQ level0 \*arabic \* MERGEFORMAT ">
        <w:r w:rsidR="0035509B">
          <w:rPr>
            <w:noProof/>
          </w:rPr>
          <w:t>15</w:t>
        </w:r>
      </w:fldSimple>
      <w:r w:rsidR="00845FC6">
        <w:t>.  În special, dreptul reclamantei la autonomie și la respectarea demnității sale nu pare să fi fost luat în considerare în cadrul evaluărilor interne în cauză. În plus, autoritățile nu au ținut seama de vârsta reclamantei. Nimic din deciziile criticate nu explică discrepanța evidentă dintre situația specială a reclamantei caracterizată prin lipsa autonomiei și constatarea că starea sa de sănătate nu reprezenta „un handicap grav care necesita un asistent personal” în temeiul Ordinului nr. 762/2007. Ca urmare a acestor decizii, reclamanta a fost lăsată să se descurce singură pe cheltuiala sa (</w:t>
      </w:r>
      <w:r w:rsidR="00845FC6">
        <w:rPr>
          <w:i/>
          <w:iCs/>
        </w:rPr>
        <w:t>supra</w:t>
      </w:r>
      <w:r w:rsidR="00845FC6">
        <w:t xml:space="preserve">, pct. </w:t>
      </w:r>
      <w:r w:rsidR="00845FC6" w:rsidRPr="004D7448">
        <w:fldChar w:fldCharType="begin"/>
      </w:r>
      <w:r w:rsidR="00845FC6" w:rsidRPr="004D7448">
        <w:instrText xml:space="preserve"> REF paragraph00003 \h  \* CharFormat </w:instrText>
      </w:r>
      <w:r w:rsidR="00845FC6" w:rsidRPr="004D7448">
        <w:fldChar w:fldCharType="separate"/>
      </w:r>
      <w:r w:rsidR="0035509B">
        <w:t>3</w:t>
      </w:r>
      <w:r w:rsidR="00845FC6" w:rsidRPr="004D7448">
        <w:fldChar w:fldCharType="end"/>
      </w:r>
      <w:r w:rsidR="00845FC6">
        <w:t xml:space="preserve">), iar autoritățile nu au propus nicio modalitate practică alternativă pentru a-i asigura sprijinul constant de care avea nevoie (a se vedea </w:t>
      </w:r>
      <w:r w:rsidR="00845FC6">
        <w:rPr>
          <w:i/>
        </w:rPr>
        <w:t>Jivan</w:t>
      </w:r>
      <w:r w:rsidR="00845FC6">
        <w:t>, citată anterior, pct. 49).</w:t>
      </w:r>
    </w:p>
    <w:p w:rsidR="005C0312" w:rsidRPr="004D7448" w:rsidRDefault="00F44E99" w:rsidP="004D7448">
      <w:pPr>
        <w:pStyle w:val="JuPara"/>
      </w:pPr>
      <w:fldSimple w:instr=" SEQ level0 \*arabic \* MERGEFORMAT ">
        <w:r w:rsidR="0035509B">
          <w:rPr>
            <w:noProof/>
          </w:rPr>
          <w:t>16</w:t>
        </w:r>
      </w:fldSimple>
      <w:r w:rsidR="00845FC6">
        <w:t>.  Având în vedere toate considerentele precedente și în pofida rolului său subsidiar și a marjei de apreciere acordate statului pârât, Curtea consideră că autoritățile interne nu au făcut ceea ce era rezonabil în circumstanțele cauzei pentru a-i garanta reclamantei, o persoană în vârstă cu handicap, protecția efectivă a dreptului la respectarea vieții sale private.</w:t>
      </w:r>
    </w:p>
    <w:p w:rsidR="005C0312" w:rsidRPr="004D7448" w:rsidRDefault="0035509B" w:rsidP="004D7448">
      <w:pPr>
        <w:pStyle w:val="JuPara"/>
      </w:pPr>
      <w:r>
        <w:fldChar w:fldCharType="begin"/>
      </w:r>
      <w:r>
        <w:instrText xml:space="preserve"> SEQ level0 \*arabic </w:instrText>
      </w:r>
      <w:r>
        <w:fldChar w:fldCharType="separate"/>
      </w:r>
      <w:r>
        <w:rPr>
          <w:noProof/>
        </w:rPr>
        <w:t>17</w:t>
      </w:r>
      <w:r>
        <w:rPr>
          <w:noProof/>
        </w:rPr>
        <w:fldChar w:fldCharType="end"/>
      </w:r>
      <w:r w:rsidR="00845FC6">
        <w:t>.  În consecință, a fost încălcat art. 8 din Convenție.</w:t>
      </w:r>
    </w:p>
    <w:p w:rsidR="005C0312" w:rsidRPr="004D7448" w:rsidRDefault="00845FC6" w:rsidP="004D7448">
      <w:pPr>
        <w:pStyle w:val="JuHIRoman"/>
        <w:tabs>
          <w:tab w:val="left" w:pos="567"/>
          <w:tab w:val="left" w:pos="680"/>
        </w:tabs>
        <w:ind w:left="397" w:hanging="397"/>
      </w:pPr>
      <w:r>
        <w:t>ALTE CAPETE DE CERERE</w:t>
      </w:r>
    </w:p>
    <w:p w:rsidR="005C0312" w:rsidRPr="004D7448" w:rsidRDefault="0035509B" w:rsidP="004D7448">
      <w:pPr>
        <w:pStyle w:val="JuPara"/>
      </w:pPr>
      <w:r>
        <w:fldChar w:fldCharType="begin"/>
      </w:r>
      <w:r>
        <w:instrText xml:space="preserve"> SEQ level0 \*arabic </w:instrText>
      </w:r>
      <w:r>
        <w:fldChar w:fldCharType="separate"/>
      </w:r>
      <w:r>
        <w:rPr>
          <w:noProof/>
        </w:rPr>
        <w:t>18</w:t>
      </w:r>
      <w:r>
        <w:rPr>
          <w:noProof/>
        </w:rPr>
        <w:fldChar w:fldCharType="end"/>
      </w:r>
      <w:r w:rsidR="00845FC6">
        <w:t xml:space="preserve">.  Reclamanta s-a plâns, de asemenea, în temeiul art. 14 coroborat cu art. 8 din Convenție. Având în vedere faptele cauzei, susținerile părților și constatările sale de mai sus, Curtea consideră că a examinat principalele probleme juridice ridicate de speță și că nu este necesar să examineze celelalte capete de cerere [a se vedea </w:t>
      </w:r>
      <w:r w:rsidR="00845FC6">
        <w:rPr>
          <w:i/>
          <w:iCs/>
        </w:rPr>
        <w:t>Centrul de Resurse Juridice în numele lui Valentin Câmpeanu împotriva României</w:t>
      </w:r>
      <w:r w:rsidR="00845FC6">
        <w:t xml:space="preserve"> (MC), nr. 47848/08, pct. 156, CEDO 2014].</w:t>
      </w:r>
    </w:p>
    <w:p w:rsidR="005C0312" w:rsidRPr="004D7448" w:rsidRDefault="00845FC6" w:rsidP="004D7448">
      <w:pPr>
        <w:pStyle w:val="JuHHead"/>
      </w:pPr>
      <w:r>
        <w:rPr>
          <w:caps w:val="0"/>
        </w:rPr>
        <w:t>CU PRIVIRE LA APLICAREA ART. 41 DIN CONVENȚIE</w:t>
      </w:r>
    </w:p>
    <w:p w:rsidR="005C0312" w:rsidRPr="004D7448" w:rsidRDefault="0035509B" w:rsidP="004D7448">
      <w:pPr>
        <w:pStyle w:val="JuPara"/>
      </w:pPr>
      <w:r>
        <w:fldChar w:fldCharType="begin"/>
      </w:r>
      <w:r>
        <w:instrText xml:space="preserve"> SEQ level0 \*arabic </w:instrText>
      </w:r>
      <w:r>
        <w:fldChar w:fldCharType="separate"/>
      </w:r>
      <w:r>
        <w:rPr>
          <w:noProof/>
        </w:rPr>
        <w:t>19</w:t>
      </w:r>
      <w:r>
        <w:rPr>
          <w:noProof/>
        </w:rPr>
        <w:fldChar w:fldCharType="end"/>
      </w:r>
      <w:r w:rsidR="00845FC6">
        <w:t>.  Reclamanta a solicitat 53 000 de lei românești [RON – aproximativ 10 850 euro (EUR)] cu titlu de despăgubire pentru prejudiciul material, reprezentând suma de care ar fi beneficiat din 2019 până în 2023 dacă ar fi fost încadrată cu un handicap grav care necesita un asistent personal. Reclamanta a mai solicitat 40 000 EUR pentru prejudiciul moral.</w:t>
      </w:r>
    </w:p>
    <w:p w:rsidR="005C0312" w:rsidRPr="004D7448" w:rsidRDefault="00F44E99" w:rsidP="004D7448">
      <w:pPr>
        <w:pStyle w:val="JuPara"/>
      </w:pPr>
      <w:fldSimple w:instr=" SEQ level0 \*arabic \* MERGEFORMAT ">
        <w:r w:rsidR="0035509B">
          <w:rPr>
            <w:noProof/>
          </w:rPr>
          <w:t>20</w:t>
        </w:r>
      </w:fldSimple>
      <w:r w:rsidR="00845FC6">
        <w:t>.  Reclamanta a solicitat, de asemenea, 3 700 RON pentru cheltuielile de judecată efectuate în fața instanțelor interne și 5 280 RON pentru cele efectuate în fața Curții.</w:t>
      </w:r>
    </w:p>
    <w:p w:rsidR="005C0312" w:rsidRPr="004D7448" w:rsidRDefault="0035509B" w:rsidP="004D7448">
      <w:pPr>
        <w:pStyle w:val="JuPara"/>
      </w:pPr>
      <w:r>
        <w:fldChar w:fldCharType="begin"/>
      </w:r>
      <w:r>
        <w:instrText xml:space="preserve"> SEQ level0 \*arabic </w:instrText>
      </w:r>
      <w:r>
        <w:fldChar w:fldCharType="separate"/>
      </w:r>
      <w:r>
        <w:rPr>
          <w:noProof/>
        </w:rPr>
        <w:t>21</w:t>
      </w:r>
      <w:r>
        <w:rPr>
          <w:noProof/>
        </w:rPr>
        <w:fldChar w:fldCharType="end"/>
      </w:r>
      <w:r w:rsidR="00845FC6">
        <w:t xml:space="preserve">.  Guvernul a susținut că suma acordată de Curte cu titlu de prejudiciu moral ar trebui să fie în concordanță cu jurisprudența Curții. De asemenea, a făcut referire la cauza </w:t>
      </w:r>
      <w:r w:rsidR="00845FC6">
        <w:rPr>
          <w:i/>
        </w:rPr>
        <w:t>Jivan</w:t>
      </w:r>
      <w:r w:rsidR="00845FC6">
        <w:t xml:space="preserve"> (citată anterior) în această privință.</w:t>
      </w:r>
    </w:p>
    <w:p w:rsidR="005C0312" w:rsidRPr="004D7448" w:rsidRDefault="00F44E99" w:rsidP="004D7448">
      <w:pPr>
        <w:pStyle w:val="JuPara"/>
      </w:pPr>
      <w:fldSimple w:instr=" SEQ level0 \*arabic \* MERGEFORMAT ">
        <w:r w:rsidR="0035509B">
          <w:rPr>
            <w:noProof/>
          </w:rPr>
          <w:t>22</w:t>
        </w:r>
      </w:fldSimple>
      <w:r w:rsidR="00845FC6">
        <w:t>.  Având în vedere natura încălcării constatate și pronunțându-se în echitate, Curtea acordă reclamantei 10 000 EUR cu titlu de despăgubire pentru prejudiciul material și pentru prejudiciul moral, plus orice sumă ce poate fi datorată cu titlu de impozit.</w:t>
      </w:r>
    </w:p>
    <w:p w:rsidR="005C0312" w:rsidRPr="004D7448" w:rsidRDefault="0035509B" w:rsidP="004D7448">
      <w:pPr>
        <w:pStyle w:val="JuPara"/>
      </w:pPr>
      <w:r>
        <w:fldChar w:fldCharType="begin"/>
      </w:r>
      <w:r>
        <w:instrText xml:space="preserve"> SEQ level0 \*arabic </w:instrText>
      </w:r>
      <w:r>
        <w:fldChar w:fldCharType="separate"/>
      </w:r>
      <w:r>
        <w:rPr>
          <w:noProof/>
        </w:rPr>
        <w:t>23</w:t>
      </w:r>
      <w:r>
        <w:rPr>
          <w:noProof/>
        </w:rPr>
        <w:fldChar w:fldCharType="end"/>
      </w:r>
      <w:r w:rsidR="00845FC6">
        <w:t>.  Ținând seama de documentele de care dispune, Curtea consideră că este rezonabil să acorde 1 800 EUR pentru toate cheltuielile de judecată, plus orice sumă care poate fi datorată de reclamantă cu titlu de impozit.</w:t>
      </w:r>
    </w:p>
    <w:p w:rsidR="005C0312" w:rsidRPr="004D7448" w:rsidRDefault="00845FC6" w:rsidP="004D7448">
      <w:pPr>
        <w:pStyle w:val="JuHHead"/>
      </w:pPr>
      <w:r>
        <w:t>PENTRU ACESTE MOTIVE, CURTEA, ÎN UNANIMITATE,</w:t>
      </w:r>
    </w:p>
    <w:p w:rsidR="005C0312" w:rsidRPr="004D7448" w:rsidRDefault="00845FC6" w:rsidP="004D7448">
      <w:pPr>
        <w:pStyle w:val="JuList"/>
        <w:numPr>
          <w:ilvl w:val="0"/>
          <w:numId w:val="2"/>
        </w:numPr>
      </w:pPr>
      <w:r>
        <w:rPr>
          <w:i/>
          <w:iCs/>
        </w:rPr>
        <w:t>Declară</w:t>
      </w:r>
      <w:r>
        <w:t xml:space="preserve"> cererea admisibilă;</w:t>
      </w:r>
    </w:p>
    <w:p w:rsidR="005C0312" w:rsidRPr="004D7448" w:rsidRDefault="00845FC6" w:rsidP="004D7448">
      <w:pPr>
        <w:pStyle w:val="JuList"/>
        <w:numPr>
          <w:ilvl w:val="0"/>
          <w:numId w:val="2"/>
        </w:numPr>
      </w:pPr>
      <w:r>
        <w:rPr>
          <w:i/>
        </w:rPr>
        <w:t>Hotărăște</w:t>
      </w:r>
      <w:r>
        <w:t xml:space="preserve"> că a fost încălcat art. 8 din Convenție;</w:t>
      </w:r>
    </w:p>
    <w:p w:rsidR="005C0312" w:rsidRPr="004D7448" w:rsidRDefault="00845FC6" w:rsidP="004D7448">
      <w:pPr>
        <w:pStyle w:val="JuList"/>
        <w:numPr>
          <w:ilvl w:val="0"/>
          <w:numId w:val="2"/>
        </w:numPr>
      </w:pPr>
      <w:r>
        <w:rPr>
          <w:i/>
        </w:rPr>
        <w:t>Hotărăște</w:t>
      </w:r>
      <w:r>
        <w:t xml:space="preserve"> că nu este necesar să examineze admisibilitatea și temeinicia capătului de cerere formulat în temeiul art. 14 din Convenție, coroborat cu art. </w:t>
      </w:r>
      <w:r>
        <w:rPr>
          <w:rFonts w:ascii="Times New Roman" w:hAnsi="Times New Roman"/>
          <w:color w:val="000000"/>
        </w:rPr>
        <w:t>8 din Convenție;</w:t>
      </w:r>
    </w:p>
    <w:p w:rsidR="005C0312" w:rsidRPr="004D7448" w:rsidRDefault="00845FC6" w:rsidP="004D7448">
      <w:pPr>
        <w:pStyle w:val="JuList"/>
        <w:keepNext/>
        <w:keepLines/>
        <w:numPr>
          <w:ilvl w:val="0"/>
          <w:numId w:val="2"/>
        </w:numPr>
      </w:pPr>
      <w:r>
        <w:rPr>
          <w:i/>
        </w:rPr>
        <w:t>Hotărăște</w:t>
      </w:r>
    </w:p>
    <w:p w:rsidR="005C0312" w:rsidRPr="004D7448" w:rsidRDefault="00845FC6" w:rsidP="004D7448">
      <w:pPr>
        <w:pStyle w:val="JuLista"/>
        <w:numPr>
          <w:ilvl w:val="1"/>
          <w:numId w:val="1"/>
        </w:numPr>
      </w:pPr>
      <w:r>
        <w:t>că statul pârât trebuie să plătească reclamantului, în termen de trei luni (de la data rămânerii definitive a hotărârii), următoarele sume, care trebuie convertite în moneda națională a statului pârât la rata de schimb aplicabilă la data plății:</w:t>
      </w:r>
    </w:p>
    <w:p w:rsidR="005C0312" w:rsidRPr="004D7448" w:rsidRDefault="00845FC6" w:rsidP="004D7448">
      <w:pPr>
        <w:pStyle w:val="JuListi"/>
        <w:numPr>
          <w:ilvl w:val="2"/>
          <w:numId w:val="1"/>
        </w:numPr>
      </w:pPr>
      <w:r>
        <w:t>10 000 EUR (zece mii de euro), cu titlu de despăgubire pentru prejudiciul material și prejudiciul moral, plus orice sumă ce poate fi datorată cu titlu de impozit;</w:t>
      </w:r>
    </w:p>
    <w:p w:rsidR="005C0312" w:rsidRPr="004D7448" w:rsidRDefault="00845FC6" w:rsidP="004D7448">
      <w:pPr>
        <w:pStyle w:val="JuListi"/>
        <w:numPr>
          <w:ilvl w:val="2"/>
          <w:numId w:val="1"/>
        </w:numPr>
      </w:pPr>
      <w:r>
        <w:t>1 800 EUR (una mie opt sute de euro), pentru cheltuielile de judecată, plus orice sumă ce poate fi datorată de reclamantă cu titlu de impozit;</w:t>
      </w:r>
    </w:p>
    <w:p w:rsidR="005C0312" w:rsidRPr="004D7448" w:rsidRDefault="00845FC6" w:rsidP="004D7448">
      <w:pPr>
        <w:pStyle w:val="JuLista"/>
        <w:numPr>
          <w:ilvl w:val="1"/>
          <w:numId w:val="1"/>
        </w:numPr>
      </w:pPr>
      <w:r>
        <w:t>că, de la împlinirea termenului menționat și până la efectuarea plății, aceste sume trebuie majorată cu o dobândă simplă, la o rată egală cu rata dobânzii facilității de împrumut marginal practicată de Banca Centrală Europeană, aplicabilă pe parcursul acestei perioade și majorată cu trei puncte procentuale;</w:t>
      </w:r>
    </w:p>
    <w:p w:rsidR="004D0EC7" w:rsidRPr="004D7448" w:rsidRDefault="00845FC6" w:rsidP="004D7448">
      <w:pPr>
        <w:pStyle w:val="JuList"/>
      </w:pPr>
      <w:r>
        <w:rPr>
          <w:i/>
        </w:rPr>
        <w:t>Respinge</w:t>
      </w:r>
      <w:r>
        <w:t xml:space="preserve"> cererea de acordare a unei reparații echitabile pentru celelalte capete de cerere.</w:t>
      </w:r>
    </w:p>
    <w:p w:rsidR="008E3A08" w:rsidRPr="004D7448" w:rsidRDefault="00845FC6" w:rsidP="004D7448">
      <w:pPr>
        <w:pStyle w:val="JuParaLast"/>
      </w:pPr>
      <w:r>
        <w:t>Redactată în limba engleză și comunicată în scris la 9 iulie 2024, în conformitate cu art. 77 § 2 și 3 din Regulamentul Curții.</w:t>
      </w:r>
    </w:p>
    <w:p w:rsidR="007E79A4" w:rsidRPr="004D7448" w:rsidRDefault="00845FC6" w:rsidP="004D7448">
      <w:pPr>
        <w:pStyle w:val="ECHRPlaceholder"/>
        <w:rPr>
          <w:szCs w:val="22"/>
        </w:rPr>
      </w:pPr>
      <w:r>
        <w:tab/>
      </w:r>
    </w:p>
    <w:p w:rsidR="00182EBA" w:rsidRPr="00EF2E7D" w:rsidRDefault="00845FC6" w:rsidP="004D7448">
      <w:pPr>
        <w:pStyle w:val="JuSigned"/>
      </w:pPr>
      <w:r>
        <w:tab/>
        <w:t>Simeon Petrovski</w:t>
      </w:r>
      <w:r>
        <w:tab/>
        <w:t>Tim Eicke</w:t>
      </w:r>
      <w:r>
        <w:br/>
      </w:r>
      <w:r>
        <w:tab/>
        <w:t>Grefier adjunct</w:t>
      </w:r>
      <w:r>
        <w:tab/>
        <w:t>Președinte</w:t>
      </w:r>
    </w:p>
    <w:sectPr w:rsidR="00182EBA" w:rsidRPr="00EF2E7D" w:rsidSect="007D3701">
      <w:headerReference w:type="even" r:id="rId12"/>
      <w:headerReference w:type="default" r:id="rId13"/>
      <w:footerReference w:type="even" r:id="rId14"/>
      <w:footerReference w:type="default" r:id="rId15"/>
      <w:footnotePr>
        <w:numRestart w:val="eachSect"/>
      </w:footnotePr>
      <w:pgSz w:w="11906" w:h="16838" w:code="9"/>
      <w:pgMar w:top="2274" w:right="2274" w:bottom="2274" w:left="2274" w:header="1701"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E99" w:rsidRDefault="00F44E99">
      <w:r>
        <w:separator/>
      </w:r>
    </w:p>
  </w:endnote>
  <w:endnote w:type="continuationSeparator" w:id="0">
    <w:p w:rsidR="00F44E99" w:rsidRDefault="00F44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410D" w:rsidRPr="005C0312" w:rsidRDefault="00845FC6" w:rsidP="00AF12C5">
    <w:pPr>
      <w:pStyle w:val="Footer0"/>
      <w:jc w:val="center"/>
      <w:rPr>
        <w:sz w:val="4"/>
        <w:szCs w:val="4"/>
      </w:rPr>
    </w:pPr>
    <w:r>
      <w:rPr>
        <w:b/>
      </w:rPr>
      <w:t>Error! Not a valid filename.</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7A6F" w:rsidRPr="000336CA" w:rsidRDefault="00845FC6" w:rsidP="000336CA">
    <w:pPr>
      <w:pStyle w:val="Footer0"/>
      <w:jc w:val="center"/>
    </w:pPr>
    <w:r>
      <w:rPr>
        <w:noProof/>
        <w:lang w:eastAsia="ro-RO"/>
      </w:rPr>
      <w:drawing>
        <wp:inline distT="0" distB="0" distL="0" distR="0">
          <wp:extent cx="771525" cy="619125"/>
          <wp:effectExtent l="0" t="0" r="9525" b="9525"/>
          <wp:docPr id="21" name="Picture 21"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Default="00845FC6" w:rsidP="009A115C">
    <w:pPr>
      <w:pStyle w:val="JuHeader"/>
    </w:pPr>
    <w:r>
      <w:fldChar w:fldCharType="begin"/>
    </w:r>
    <w:r>
      <w:instrText xml:space="preserve"> PAGE  \* MERGEFORMAT </w:instrText>
    </w:r>
    <w:r>
      <w:fldChar w:fldCharType="separate"/>
    </w:r>
    <w:r w:rsidR="0035509B">
      <w:rPr>
        <w:noProof/>
      </w:rPr>
      <w:t>4</w:t>
    </w:r>
    <w: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0B7195" w:rsidRDefault="00845FC6" w:rsidP="007D3701">
    <w:pPr>
      <w:pStyle w:val="JuHeader"/>
    </w:pPr>
    <w:r>
      <w:fldChar w:fldCharType="begin"/>
    </w:r>
    <w:r>
      <w:instrText xml:space="preserve"> PAGE  \* MERGEFORMAT </w:instrText>
    </w:r>
    <w:r>
      <w:fldChar w:fldCharType="separate"/>
    </w:r>
    <w:r w:rsidR="0035509B">
      <w:rPr>
        <w:noProof/>
      </w:rPr>
      <w:t>5</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E99" w:rsidRPr="005C0312" w:rsidRDefault="00F44E99" w:rsidP="0098410D">
      <w:r w:rsidRPr="005C0312">
        <w:separator/>
      </w:r>
    </w:p>
  </w:footnote>
  <w:footnote w:type="continuationSeparator" w:id="0">
    <w:p w:rsidR="00F44E99" w:rsidRPr="005C0312" w:rsidRDefault="00F44E99" w:rsidP="0098410D">
      <w:r w:rsidRPr="005C0312">
        <w:continuationSeparator/>
      </w:r>
    </w:p>
  </w:footnote>
  <w:footnote w:id="1">
    <w:p w:rsidR="005C0312" w:rsidRPr="005C0312" w:rsidRDefault="00845FC6" w:rsidP="005C0312">
      <w:pPr>
        <w:pStyle w:val="FootnoteText"/>
      </w:pPr>
      <w:r>
        <w:rPr>
          <w:rStyle w:val="FootnoteReference"/>
        </w:rPr>
        <w:footnoteRef/>
      </w:r>
      <w:r>
        <w:rPr>
          <w:rStyle w:val="FootnoteReference"/>
        </w:rPr>
        <w:t xml:space="preserve"> </w:t>
      </w:r>
      <w:r>
        <w:t>Se pare că acronimul folosit în documentele interne este pentru „Mini-Mental State Examination” [„Examinarea minimă a stării mentale”].</w:t>
      </w:r>
    </w:p>
  </w:footnote>
  <w:footnote w:id="2">
    <w:p w:rsidR="005C0312" w:rsidRPr="005C0312" w:rsidRDefault="00845FC6" w:rsidP="005C0312">
      <w:pPr>
        <w:pStyle w:val="FootnoteText"/>
      </w:pPr>
      <w:r>
        <w:rPr>
          <w:rStyle w:val="FootnoteReference"/>
        </w:rPr>
        <w:footnoteRef/>
      </w:r>
      <w:r>
        <w:rPr>
          <w:rStyle w:val="FootnoteReference"/>
        </w:rPr>
        <w:t xml:space="preserve"> </w:t>
      </w:r>
      <w:r>
        <w:t>De asemenea, se pare că acronimul folosit în documentele interne este pentru „Global Assessment of Functioning Scale” [„Evaluarea complexă a persoanelor cu handicap”], care se folosește pentru a evalua gravitatea afecțiunii psihice. Măsoară cât de mult simptomele unei persoane îi afectează viața de zi cu zi pe o scală de la 0 la 100.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0312" w:rsidRPr="00A45145" w:rsidRDefault="00845FC6" w:rsidP="00A45145">
    <w:pPr>
      <w:jc w:val="center"/>
    </w:pPr>
    <w:r>
      <w:rPr>
        <w:noProof/>
        <w:lang w:eastAsia="ro-RO"/>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98410D" w:rsidRPr="005C0312" w:rsidRDefault="0098410D" w:rsidP="00B14793">
    <w:pPr>
      <w:jc w:val="center"/>
      <w:rPr>
        <w:sz w:val="4"/>
        <w:szCs w:val="4"/>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691" w:rsidRDefault="00232691" w:rsidP="00232691">
    <w:pPr>
      <w:jc w:val="right"/>
      <w:rPr>
        <w:noProof/>
        <w:sz w:val="20"/>
        <w:szCs w:val="20"/>
        <w:lang w:eastAsia="ro-RO"/>
      </w:rPr>
    </w:pPr>
    <w:r w:rsidRPr="00232691">
      <w:rPr>
        <w:noProof/>
        <w:sz w:val="20"/>
        <w:szCs w:val="20"/>
        <w:lang w:eastAsia="ro-RO"/>
      </w:rPr>
      <w:t>Tradus și revizuit de IER (</w:t>
    </w:r>
    <w:hyperlink r:id="rId1" w:history="1">
      <w:r w:rsidRPr="00232691">
        <w:rPr>
          <w:rStyle w:val="Hyperlink"/>
          <w:noProof/>
          <w:sz w:val="20"/>
          <w:szCs w:val="20"/>
          <w:lang w:eastAsia="ro-RO"/>
        </w:rPr>
        <w:t>http://ier.gov.ro/</w:t>
      </w:r>
    </w:hyperlink>
    <w:r w:rsidRPr="00232691">
      <w:rPr>
        <w:noProof/>
        <w:sz w:val="20"/>
        <w:szCs w:val="20"/>
        <w:lang w:eastAsia="ro-RO"/>
      </w:rPr>
      <w:t>)</w:t>
    </w:r>
  </w:p>
  <w:p w:rsidR="00232691" w:rsidRPr="00232691" w:rsidRDefault="00232691" w:rsidP="00232691">
    <w:pPr>
      <w:jc w:val="right"/>
      <w:rPr>
        <w:noProof/>
        <w:sz w:val="20"/>
        <w:szCs w:val="20"/>
        <w:lang w:eastAsia="ro-RO"/>
      </w:rPr>
    </w:pPr>
  </w:p>
  <w:p w:rsidR="005C0312" w:rsidRPr="00A45145" w:rsidRDefault="00845FC6" w:rsidP="00A45145">
    <w:pPr>
      <w:jc w:val="center"/>
    </w:pPr>
    <w:r>
      <w:rPr>
        <w:noProof/>
        <w:lang w:eastAsia="ro-RO"/>
      </w:rPr>
      <w:drawing>
        <wp:inline distT="0" distB="0" distL="0" distR="0">
          <wp:extent cx="2962275" cy="1219200"/>
          <wp:effectExtent l="0" t="0" r="9525" b="0"/>
          <wp:docPr id="40" name="Picture 4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4D0EC7" w:rsidRDefault="00845FC6" w:rsidP="004D0EC7">
    <w:pPr>
      <w:pStyle w:val="JuHeader"/>
    </w:pPr>
    <w:r>
      <w:t>HOTĂRÂREA I.M.P. ÎMPOTRIVA ROMÂNIEI</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2EBA" w:rsidRPr="00882CD5" w:rsidRDefault="00845FC6" w:rsidP="007D3701">
    <w:pPr>
      <w:pStyle w:val="JuHeader"/>
    </w:pPr>
    <w:r>
      <w:t>HOTĂRÂREA I.M.P. ÎMPOTRIVA ROMÂNIEI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FFFFFF" w:themeColor="background1"/>
      </w:rPr>
    </w:lvl>
    <w:lvl w:ilvl="1">
      <w:start w:val="1"/>
      <w:numFmt w:val="bullet"/>
      <w:pStyle w:val="ECHRBullet2"/>
      <w:lvlText w:val=""/>
      <w:lvlJc w:val="left"/>
      <w:pPr>
        <w:tabs>
          <w:tab w:val="num" w:pos="1134"/>
        </w:tabs>
        <w:ind w:left="1135" w:hanging="284"/>
      </w:pPr>
      <w:rPr>
        <w:rFonts w:ascii="Wingdings" w:hAnsi="Wingdings" w:hint="default"/>
        <w:color w:val="FFFFFF"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FFFFFF"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67FD1241"/>
    <w:multiLevelType w:val="hybridMultilevel"/>
    <w:tmpl w:val="F6D86CC2"/>
    <w:lvl w:ilvl="0" w:tplc="8B140EFC">
      <w:start w:val="1"/>
      <w:numFmt w:val="bullet"/>
      <w:pStyle w:val="ListBullet"/>
      <w:lvlText w:val=""/>
      <w:lvlJc w:val="left"/>
      <w:pPr>
        <w:tabs>
          <w:tab w:val="num" w:pos="851"/>
        </w:tabs>
        <w:ind w:left="568" w:firstLine="0"/>
      </w:pPr>
      <w:rPr>
        <w:rFonts w:ascii="Wingdings" w:hAnsi="Wingdings" w:hint="default"/>
        <w:color w:val="808080"/>
        <w:sz w:val="16"/>
      </w:rPr>
    </w:lvl>
    <w:lvl w:ilvl="1" w:tplc="5DDE6CAE" w:tentative="1">
      <w:start w:val="1"/>
      <w:numFmt w:val="bullet"/>
      <w:lvlText w:val="o"/>
      <w:lvlJc w:val="left"/>
      <w:pPr>
        <w:tabs>
          <w:tab w:val="num" w:pos="1724"/>
        </w:tabs>
        <w:ind w:left="1724" w:hanging="360"/>
      </w:pPr>
      <w:rPr>
        <w:rFonts w:ascii="Courier New" w:hAnsi="Courier New" w:cs="Courier New" w:hint="default"/>
      </w:rPr>
    </w:lvl>
    <w:lvl w:ilvl="2" w:tplc="DDAEFC98" w:tentative="1">
      <w:start w:val="1"/>
      <w:numFmt w:val="bullet"/>
      <w:lvlText w:val=""/>
      <w:lvlJc w:val="left"/>
      <w:pPr>
        <w:tabs>
          <w:tab w:val="num" w:pos="2444"/>
        </w:tabs>
        <w:ind w:left="2444" w:hanging="360"/>
      </w:pPr>
      <w:rPr>
        <w:rFonts w:ascii="Wingdings" w:hAnsi="Wingdings" w:hint="default"/>
      </w:rPr>
    </w:lvl>
    <w:lvl w:ilvl="3" w:tplc="F1F29292" w:tentative="1">
      <w:start w:val="1"/>
      <w:numFmt w:val="bullet"/>
      <w:lvlText w:val=""/>
      <w:lvlJc w:val="left"/>
      <w:pPr>
        <w:tabs>
          <w:tab w:val="num" w:pos="3164"/>
        </w:tabs>
        <w:ind w:left="3164" w:hanging="360"/>
      </w:pPr>
      <w:rPr>
        <w:rFonts w:ascii="Symbol" w:hAnsi="Symbol" w:hint="default"/>
      </w:rPr>
    </w:lvl>
    <w:lvl w:ilvl="4" w:tplc="8FF4ECD4" w:tentative="1">
      <w:start w:val="1"/>
      <w:numFmt w:val="bullet"/>
      <w:lvlText w:val="o"/>
      <w:lvlJc w:val="left"/>
      <w:pPr>
        <w:tabs>
          <w:tab w:val="num" w:pos="3884"/>
        </w:tabs>
        <w:ind w:left="3884" w:hanging="360"/>
      </w:pPr>
      <w:rPr>
        <w:rFonts w:ascii="Courier New" w:hAnsi="Courier New" w:cs="Courier New" w:hint="default"/>
      </w:rPr>
    </w:lvl>
    <w:lvl w:ilvl="5" w:tplc="260C1A08" w:tentative="1">
      <w:start w:val="1"/>
      <w:numFmt w:val="bullet"/>
      <w:lvlText w:val=""/>
      <w:lvlJc w:val="left"/>
      <w:pPr>
        <w:tabs>
          <w:tab w:val="num" w:pos="4604"/>
        </w:tabs>
        <w:ind w:left="4604" w:hanging="360"/>
      </w:pPr>
      <w:rPr>
        <w:rFonts w:ascii="Wingdings" w:hAnsi="Wingdings" w:hint="default"/>
      </w:rPr>
    </w:lvl>
    <w:lvl w:ilvl="6" w:tplc="186E7FCA" w:tentative="1">
      <w:start w:val="1"/>
      <w:numFmt w:val="bullet"/>
      <w:lvlText w:val=""/>
      <w:lvlJc w:val="left"/>
      <w:pPr>
        <w:tabs>
          <w:tab w:val="num" w:pos="5324"/>
        </w:tabs>
        <w:ind w:left="5324" w:hanging="360"/>
      </w:pPr>
      <w:rPr>
        <w:rFonts w:ascii="Symbol" w:hAnsi="Symbol" w:hint="default"/>
      </w:rPr>
    </w:lvl>
    <w:lvl w:ilvl="7" w:tplc="D604D058" w:tentative="1">
      <w:start w:val="1"/>
      <w:numFmt w:val="bullet"/>
      <w:lvlText w:val="o"/>
      <w:lvlJc w:val="left"/>
      <w:pPr>
        <w:tabs>
          <w:tab w:val="num" w:pos="6044"/>
        </w:tabs>
        <w:ind w:left="6044" w:hanging="360"/>
      </w:pPr>
      <w:rPr>
        <w:rFonts w:ascii="Courier New" w:hAnsi="Courier New" w:cs="Courier New" w:hint="default"/>
      </w:rPr>
    </w:lvl>
    <w:lvl w:ilvl="8" w:tplc="38186790" w:tentative="1">
      <w:start w:val="1"/>
      <w:numFmt w:val="bullet"/>
      <w:lvlText w:val=""/>
      <w:lvlJc w:val="left"/>
      <w:pPr>
        <w:tabs>
          <w:tab w:val="num" w:pos="6764"/>
        </w:tabs>
        <w:ind w:left="6764" w:hanging="360"/>
      </w:pPr>
      <w:rPr>
        <w:rFonts w:ascii="Wingdings" w:hAnsi="Wingdings" w:hint="default"/>
      </w:rPr>
    </w:lvl>
  </w:abstractNum>
  <w:num w:numId="1">
    <w:abstractNumId w:val="13"/>
  </w:num>
  <w:num w:numId="2">
    <w:abstractNumId w:val="9"/>
  </w:num>
  <w:num w:numId="3">
    <w:abstractNumId w:val="14"/>
  </w:num>
  <w:num w:numId="4">
    <w:abstractNumId w:val="12"/>
  </w:num>
  <w:num w:numId="5">
    <w:abstractNumId w:val="11"/>
  </w:num>
  <w:num w:numId="6">
    <w:abstractNumId w:val="17"/>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5"/>
  </w:num>
  <w:num w:numId="17">
    <w:abstractNumId w:val="13"/>
  </w:num>
  <w:num w:numId="18">
    <w:abstractNumId w:val="16"/>
  </w:num>
  <w:num w:numId="19">
    <w:abstractNumId w:val="15"/>
  </w:num>
  <w:num w:numId="20">
    <w:abstractNumId w:val="16"/>
  </w:num>
  <w:num w:numId="21">
    <w:abstractNumId w:val="10"/>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1"/>
    <w:docVar w:name="NBEMMDOC" w:val="0"/>
    <w:docVar w:name="Plural" w:val="0"/>
    <w:docVar w:name="SignForeName" w:val="0"/>
    <w:docVar w:name="SndCaseNumber" w:val="Error!Nodocumentvariablesupplied."/>
  </w:docVars>
  <w:rsids>
    <w:rsidRoot w:val="005C0312"/>
    <w:rsid w:val="000041F8"/>
    <w:rsid w:val="000042A8"/>
    <w:rsid w:val="00004308"/>
    <w:rsid w:val="00005BF0"/>
    <w:rsid w:val="0000617D"/>
    <w:rsid w:val="00007154"/>
    <w:rsid w:val="000103AE"/>
    <w:rsid w:val="00011D69"/>
    <w:rsid w:val="00012AD3"/>
    <w:rsid w:val="00015C2D"/>
    <w:rsid w:val="00015F00"/>
    <w:rsid w:val="00022C1D"/>
    <w:rsid w:val="0002592F"/>
    <w:rsid w:val="00031428"/>
    <w:rsid w:val="000336CA"/>
    <w:rsid w:val="00034987"/>
    <w:rsid w:val="00041560"/>
    <w:rsid w:val="000602DF"/>
    <w:rsid w:val="00061B05"/>
    <w:rsid w:val="000632D5"/>
    <w:rsid w:val="000644EE"/>
    <w:rsid w:val="000712E3"/>
    <w:rsid w:val="0007780A"/>
    <w:rsid w:val="00083631"/>
    <w:rsid w:val="00085457"/>
    <w:rsid w:val="000925AD"/>
    <w:rsid w:val="00096FE1"/>
    <w:rsid w:val="00097A62"/>
    <w:rsid w:val="000A24EB"/>
    <w:rsid w:val="000B686A"/>
    <w:rsid w:val="000B6923"/>
    <w:rsid w:val="000B7195"/>
    <w:rsid w:val="000C5F3C"/>
    <w:rsid w:val="000C6DCC"/>
    <w:rsid w:val="000D47AA"/>
    <w:rsid w:val="000D721F"/>
    <w:rsid w:val="000E069B"/>
    <w:rsid w:val="000E0E82"/>
    <w:rsid w:val="000E1DC5"/>
    <w:rsid w:val="000E223F"/>
    <w:rsid w:val="000E46B8"/>
    <w:rsid w:val="000E7D45"/>
    <w:rsid w:val="000F52F4"/>
    <w:rsid w:val="000F7851"/>
    <w:rsid w:val="00101505"/>
    <w:rsid w:val="00104E23"/>
    <w:rsid w:val="00110DA8"/>
    <w:rsid w:val="00111B0C"/>
    <w:rsid w:val="00120D6C"/>
    <w:rsid w:val="001257EC"/>
    <w:rsid w:val="00133D33"/>
    <w:rsid w:val="00134B6A"/>
    <w:rsid w:val="00134D64"/>
    <w:rsid w:val="00135A30"/>
    <w:rsid w:val="0013612C"/>
    <w:rsid w:val="00137FF6"/>
    <w:rsid w:val="00141650"/>
    <w:rsid w:val="001561B6"/>
    <w:rsid w:val="00162A12"/>
    <w:rsid w:val="00166530"/>
    <w:rsid w:val="00170027"/>
    <w:rsid w:val="00182EBA"/>
    <w:rsid w:val="001832BD"/>
    <w:rsid w:val="001943B5"/>
    <w:rsid w:val="00195134"/>
    <w:rsid w:val="001A020C"/>
    <w:rsid w:val="001A145B"/>
    <w:rsid w:val="001A3E09"/>
    <w:rsid w:val="001A674C"/>
    <w:rsid w:val="001B3B24"/>
    <w:rsid w:val="001C055B"/>
    <w:rsid w:val="001C0F98"/>
    <w:rsid w:val="001C2A42"/>
    <w:rsid w:val="001D63ED"/>
    <w:rsid w:val="001D7348"/>
    <w:rsid w:val="001E035B"/>
    <w:rsid w:val="001E0961"/>
    <w:rsid w:val="001E3EAE"/>
    <w:rsid w:val="001E6857"/>
    <w:rsid w:val="001E6F32"/>
    <w:rsid w:val="001F2145"/>
    <w:rsid w:val="001F6262"/>
    <w:rsid w:val="001F67B0"/>
    <w:rsid w:val="001F7B3D"/>
    <w:rsid w:val="00202752"/>
    <w:rsid w:val="0020335A"/>
    <w:rsid w:val="002052BC"/>
    <w:rsid w:val="00205F9F"/>
    <w:rsid w:val="00210338"/>
    <w:rsid w:val="002115FC"/>
    <w:rsid w:val="0021423C"/>
    <w:rsid w:val="00226C89"/>
    <w:rsid w:val="00230D00"/>
    <w:rsid w:val="00231DF7"/>
    <w:rsid w:val="00231FD1"/>
    <w:rsid w:val="00232691"/>
    <w:rsid w:val="002339E0"/>
    <w:rsid w:val="00233CF8"/>
    <w:rsid w:val="0023575D"/>
    <w:rsid w:val="00237148"/>
    <w:rsid w:val="0024222D"/>
    <w:rsid w:val="002422B6"/>
    <w:rsid w:val="00244B0E"/>
    <w:rsid w:val="00244F6C"/>
    <w:rsid w:val="00246B89"/>
    <w:rsid w:val="00252C4E"/>
    <w:rsid w:val="002532C5"/>
    <w:rsid w:val="00254DF2"/>
    <w:rsid w:val="00260C03"/>
    <w:rsid w:val="0026439A"/>
    <w:rsid w:val="0026540E"/>
    <w:rsid w:val="00275123"/>
    <w:rsid w:val="00281B7C"/>
    <w:rsid w:val="00282240"/>
    <w:rsid w:val="00282BD8"/>
    <w:rsid w:val="00287AD5"/>
    <w:rsid w:val="002934D0"/>
    <w:rsid w:val="00293676"/>
    <w:rsid w:val="00293BD9"/>
    <w:rsid w:val="002948AD"/>
    <w:rsid w:val="002A01CC"/>
    <w:rsid w:val="002A613A"/>
    <w:rsid w:val="002A61B1"/>
    <w:rsid w:val="002A663C"/>
    <w:rsid w:val="002B444B"/>
    <w:rsid w:val="002B5887"/>
    <w:rsid w:val="002B5B43"/>
    <w:rsid w:val="002C0E27"/>
    <w:rsid w:val="002C3040"/>
    <w:rsid w:val="002C4433"/>
    <w:rsid w:val="002C5ADD"/>
    <w:rsid w:val="002C7826"/>
    <w:rsid w:val="002D022D"/>
    <w:rsid w:val="002D24BB"/>
    <w:rsid w:val="002D2FA7"/>
    <w:rsid w:val="002D47BA"/>
    <w:rsid w:val="002D77B9"/>
    <w:rsid w:val="002E46DA"/>
    <w:rsid w:val="002E7764"/>
    <w:rsid w:val="002F2AF7"/>
    <w:rsid w:val="002F69C4"/>
    <w:rsid w:val="002F7D9E"/>
    <w:rsid w:val="002F7E1C"/>
    <w:rsid w:val="00301A75"/>
    <w:rsid w:val="00302F70"/>
    <w:rsid w:val="0030336F"/>
    <w:rsid w:val="0030375E"/>
    <w:rsid w:val="00312A30"/>
    <w:rsid w:val="003201D8"/>
    <w:rsid w:val="00320F72"/>
    <w:rsid w:val="0032463E"/>
    <w:rsid w:val="00326224"/>
    <w:rsid w:val="00337EE4"/>
    <w:rsid w:val="00340FFD"/>
    <w:rsid w:val="00345C41"/>
    <w:rsid w:val="003506B1"/>
    <w:rsid w:val="0035509B"/>
    <w:rsid w:val="00355877"/>
    <w:rsid w:val="00356AC7"/>
    <w:rsid w:val="003609FA"/>
    <w:rsid w:val="003710C8"/>
    <w:rsid w:val="003750BE"/>
    <w:rsid w:val="00385A36"/>
    <w:rsid w:val="00385F3D"/>
    <w:rsid w:val="0038740C"/>
    <w:rsid w:val="00387B9D"/>
    <w:rsid w:val="00387C70"/>
    <w:rsid w:val="00390294"/>
    <w:rsid w:val="0039364F"/>
    <w:rsid w:val="00396686"/>
    <w:rsid w:val="0039778E"/>
    <w:rsid w:val="003B4941"/>
    <w:rsid w:val="003C5714"/>
    <w:rsid w:val="003C6B9F"/>
    <w:rsid w:val="003C6E2A"/>
    <w:rsid w:val="003D0299"/>
    <w:rsid w:val="003E6D80"/>
    <w:rsid w:val="003E7BCC"/>
    <w:rsid w:val="003F05FA"/>
    <w:rsid w:val="003F244A"/>
    <w:rsid w:val="003F2517"/>
    <w:rsid w:val="003F30B8"/>
    <w:rsid w:val="003F4C45"/>
    <w:rsid w:val="003F5F7B"/>
    <w:rsid w:val="003F7D64"/>
    <w:rsid w:val="0040433A"/>
    <w:rsid w:val="00414300"/>
    <w:rsid w:val="00414F27"/>
    <w:rsid w:val="00420703"/>
    <w:rsid w:val="00425C67"/>
    <w:rsid w:val="00427E7A"/>
    <w:rsid w:val="004355AC"/>
    <w:rsid w:val="00436C49"/>
    <w:rsid w:val="00443D98"/>
    <w:rsid w:val="00445366"/>
    <w:rsid w:val="00447F5B"/>
    <w:rsid w:val="00461DB0"/>
    <w:rsid w:val="00463926"/>
    <w:rsid w:val="00464AB7"/>
    <w:rsid w:val="00464C9A"/>
    <w:rsid w:val="00474F3D"/>
    <w:rsid w:val="00477E3A"/>
    <w:rsid w:val="00483E5F"/>
    <w:rsid w:val="00485FF9"/>
    <w:rsid w:val="0049049B"/>
    <w:rsid w:val="004907F0"/>
    <w:rsid w:val="0049140B"/>
    <w:rsid w:val="004923A5"/>
    <w:rsid w:val="0049310E"/>
    <w:rsid w:val="004950E2"/>
    <w:rsid w:val="00496BFB"/>
    <w:rsid w:val="004A15C7"/>
    <w:rsid w:val="004A3201"/>
    <w:rsid w:val="004A7044"/>
    <w:rsid w:val="004B013B"/>
    <w:rsid w:val="004B112B"/>
    <w:rsid w:val="004B444E"/>
    <w:rsid w:val="004C01E4"/>
    <w:rsid w:val="004C086C"/>
    <w:rsid w:val="004C1F56"/>
    <w:rsid w:val="004C27BC"/>
    <w:rsid w:val="004C6621"/>
    <w:rsid w:val="004D0EC7"/>
    <w:rsid w:val="004D15F3"/>
    <w:rsid w:val="004D3B3D"/>
    <w:rsid w:val="004D4EF1"/>
    <w:rsid w:val="004D5311"/>
    <w:rsid w:val="004D5DCC"/>
    <w:rsid w:val="004D7448"/>
    <w:rsid w:val="004D7E45"/>
    <w:rsid w:val="004F10AF"/>
    <w:rsid w:val="004F11A4"/>
    <w:rsid w:val="004F2389"/>
    <w:rsid w:val="004F304D"/>
    <w:rsid w:val="004F4290"/>
    <w:rsid w:val="004F61BE"/>
    <w:rsid w:val="004F66B1"/>
    <w:rsid w:val="00505F69"/>
    <w:rsid w:val="00511C07"/>
    <w:rsid w:val="005125CB"/>
    <w:rsid w:val="00512EC4"/>
    <w:rsid w:val="0051725A"/>
    <w:rsid w:val="005173A6"/>
    <w:rsid w:val="00517BB8"/>
    <w:rsid w:val="00520354"/>
    <w:rsid w:val="00520BAA"/>
    <w:rsid w:val="005217D8"/>
    <w:rsid w:val="00525208"/>
    <w:rsid w:val="005257A5"/>
    <w:rsid w:val="005264C0"/>
    <w:rsid w:val="00526A8A"/>
    <w:rsid w:val="00527FB1"/>
    <w:rsid w:val="00530FE6"/>
    <w:rsid w:val="00531DF2"/>
    <w:rsid w:val="0053315C"/>
    <w:rsid w:val="00537476"/>
    <w:rsid w:val="005442EE"/>
    <w:rsid w:val="00545DA6"/>
    <w:rsid w:val="00547353"/>
    <w:rsid w:val="005474E7"/>
    <w:rsid w:val="005512A3"/>
    <w:rsid w:val="005578CE"/>
    <w:rsid w:val="00562781"/>
    <w:rsid w:val="00562B6C"/>
    <w:rsid w:val="0057271C"/>
    <w:rsid w:val="00572845"/>
    <w:rsid w:val="005879A2"/>
    <w:rsid w:val="00592772"/>
    <w:rsid w:val="005948E9"/>
    <w:rsid w:val="0059574A"/>
    <w:rsid w:val="005A1B9B"/>
    <w:rsid w:val="005A2221"/>
    <w:rsid w:val="005A2E79"/>
    <w:rsid w:val="005A6751"/>
    <w:rsid w:val="005B092E"/>
    <w:rsid w:val="005B152C"/>
    <w:rsid w:val="005B1EE0"/>
    <w:rsid w:val="005B2B24"/>
    <w:rsid w:val="005B4425"/>
    <w:rsid w:val="005B4B94"/>
    <w:rsid w:val="005C0312"/>
    <w:rsid w:val="005C2C62"/>
    <w:rsid w:val="005C3EE8"/>
    <w:rsid w:val="005D2F2A"/>
    <w:rsid w:val="005D34F9"/>
    <w:rsid w:val="005D4190"/>
    <w:rsid w:val="005D67A3"/>
    <w:rsid w:val="005E2988"/>
    <w:rsid w:val="005E3085"/>
    <w:rsid w:val="005F0EB3"/>
    <w:rsid w:val="005F51E1"/>
    <w:rsid w:val="00611C80"/>
    <w:rsid w:val="00620692"/>
    <w:rsid w:val="006242CA"/>
    <w:rsid w:val="00627507"/>
    <w:rsid w:val="00633717"/>
    <w:rsid w:val="006344E1"/>
    <w:rsid w:val="006423A9"/>
    <w:rsid w:val="00643524"/>
    <w:rsid w:val="0064393B"/>
    <w:rsid w:val="00645CF2"/>
    <w:rsid w:val="0064754D"/>
    <w:rsid w:val="006545C4"/>
    <w:rsid w:val="00661971"/>
    <w:rsid w:val="00661CE8"/>
    <w:rsid w:val="006623D9"/>
    <w:rsid w:val="006642A5"/>
    <w:rsid w:val="0066550C"/>
    <w:rsid w:val="00665BD2"/>
    <w:rsid w:val="006716F2"/>
    <w:rsid w:val="00675AF2"/>
    <w:rsid w:val="00682BF2"/>
    <w:rsid w:val="0068573E"/>
    <w:rsid w:val="006859CE"/>
    <w:rsid w:val="00691270"/>
    <w:rsid w:val="00694BA8"/>
    <w:rsid w:val="006A037C"/>
    <w:rsid w:val="006A0C84"/>
    <w:rsid w:val="006A36F4"/>
    <w:rsid w:val="006A406F"/>
    <w:rsid w:val="006A4E97"/>
    <w:rsid w:val="006A5D3A"/>
    <w:rsid w:val="006B1942"/>
    <w:rsid w:val="006C23D4"/>
    <w:rsid w:val="006C7BB0"/>
    <w:rsid w:val="006D3237"/>
    <w:rsid w:val="006E2E37"/>
    <w:rsid w:val="006E3CF1"/>
    <w:rsid w:val="006E68A3"/>
    <w:rsid w:val="006E7E80"/>
    <w:rsid w:val="006F1C2D"/>
    <w:rsid w:val="006F48CA"/>
    <w:rsid w:val="006F64DD"/>
    <w:rsid w:val="006F6FD6"/>
    <w:rsid w:val="006F712D"/>
    <w:rsid w:val="00715127"/>
    <w:rsid w:val="00715E8E"/>
    <w:rsid w:val="00723580"/>
    <w:rsid w:val="00723755"/>
    <w:rsid w:val="0073136C"/>
    <w:rsid w:val="00731F0F"/>
    <w:rsid w:val="00733250"/>
    <w:rsid w:val="00741404"/>
    <w:rsid w:val="007449E5"/>
    <w:rsid w:val="0074750E"/>
    <w:rsid w:val="00747FF0"/>
    <w:rsid w:val="00751066"/>
    <w:rsid w:val="0075566E"/>
    <w:rsid w:val="00763602"/>
    <w:rsid w:val="00764D4E"/>
    <w:rsid w:val="00765A1F"/>
    <w:rsid w:val="00775B6D"/>
    <w:rsid w:val="00776D68"/>
    <w:rsid w:val="00781140"/>
    <w:rsid w:val="0078323E"/>
    <w:rsid w:val="007849C2"/>
    <w:rsid w:val="007850EE"/>
    <w:rsid w:val="00785B95"/>
    <w:rsid w:val="00790E96"/>
    <w:rsid w:val="007926FD"/>
    <w:rsid w:val="00793366"/>
    <w:rsid w:val="0079666C"/>
    <w:rsid w:val="007A716F"/>
    <w:rsid w:val="007B270A"/>
    <w:rsid w:val="007B4182"/>
    <w:rsid w:val="007C0695"/>
    <w:rsid w:val="007C419A"/>
    <w:rsid w:val="007C4CC8"/>
    <w:rsid w:val="007C5426"/>
    <w:rsid w:val="007C5798"/>
    <w:rsid w:val="007D1ECD"/>
    <w:rsid w:val="007D3701"/>
    <w:rsid w:val="007D4832"/>
    <w:rsid w:val="007E21B2"/>
    <w:rsid w:val="007E2C4E"/>
    <w:rsid w:val="007E2C8C"/>
    <w:rsid w:val="007E51BA"/>
    <w:rsid w:val="007E73D7"/>
    <w:rsid w:val="007E79A4"/>
    <w:rsid w:val="007F1905"/>
    <w:rsid w:val="007F27E4"/>
    <w:rsid w:val="007F3437"/>
    <w:rsid w:val="00802C64"/>
    <w:rsid w:val="00805E52"/>
    <w:rsid w:val="008061D0"/>
    <w:rsid w:val="00810B38"/>
    <w:rsid w:val="008204C7"/>
    <w:rsid w:val="00820992"/>
    <w:rsid w:val="00823602"/>
    <w:rsid w:val="008255F5"/>
    <w:rsid w:val="00826890"/>
    <w:rsid w:val="0083014E"/>
    <w:rsid w:val="0083214A"/>
    <w:rsid w:val="00834220"/>
    <w:rsid w:val="00845723"/>
    <w:rsid w:val="00845FC6"/>
    <w:rsid w:val="008519E7"/>
    <w:rsid w:val="00851EF9"/>
    <w:rsid w:val="008577FD"/>
    <w:rsid w:val="00860B03"/>
    <w:rsid w:val="0086497A"/>
    <w:rsid w:val="0086538E"/>
    <w:rsid w:val="00867066"/>
    <w:rsid w:val="008713A1"/>
    <w:rsid w:val="00872584"/>
    <w:rsid w:val="008754AB"/>
    <w:rsid w:val="0088060C"/>
    <w:rsid w:val="00882CD5"/>
    <w:rsid w:val="00883151"/>
    <w:rsid w:val="00893576"/>
    <w:rsid w:val="00893E73"/>
    <w:rsid w:val="008B02DC"/>
    <w:rsid w:val="008B092C"/>
    <w:rsid w:val="008B57CE"/>
    <w:rsid w:val="008C26DE"/>
    <w:rsid w:val="008D1668"/>
    <w:rsid w:val="008D2225"/>
    <w:rsid w:val="008D4752"/>
    <w:rsid w:val="008D5A13"/>
    <w:rsid w:val="008E271C"/>
    <w:rsid w:val="008E3A08"/>
    <w:rsid w:val="008E418E"/>
    <w:rsid w:val="008E5BC6"/>
    <w:rsid w:val="008E6217"/>
    <w:rsid w:val="008E6A25"/>
    <w:rsid w:val="008F2465"/>
    <w:rsid w:val="008F2554"/>
    <w:rsid w:val="008F3AEC"/>
    <w:rsid w:val="008F4D80"/>
    <w:rsid w:val="008F5193"/>
    <w:rsid w:val="008F6B36"/>
    <w:rsid w:val="009013A7"/>
    <w:rsid w:val="009017FB"/>
    <w:rsid w:val="009017FC"/>
    <w:rsid w:val="0090506B"/>
    <w:rsid w:val="009050C9"/>
    <w:rsid w:val="009066FC"/>
    <w:rsid w:val="009140A3"/>
    <w:rsid w:val="009144A2"/>
    <w:rsid w:val="0091510C"/>
    <w:rsid w:val="009259AC"/>
    <w:rsid w:val="00926F38"/>
    <w:rsid w:val="00927BEB"/>
    <w:rsid w:val="009333DC"/>
    <w:rsid w:val="00934301"/>
    <w:rsid w:val="00936CD1"/>
    <w:rsid w:val="0094131C"/>
    <w:rsid w:val="00941747"/>
    <w:rsid w:val="00941EFB"/>
    <w:rsid w:val="00947AFB"/>
    <w:rsid w:val="00951AA3"/>
    <w:rsid w:val="00951D7D"/>
    <w:rsid w:val="00956D0C"/>
    <w:rsid w:val="009630C7"/>
    <w:rsid w:val="00972B55"/>
    <w:rsid w:val="009743B7"/>
    <w:rsid w:val="0098228B"/>
    <w:rsid w:val="009828DA"/>
    <w:rsid w:val="0098410D"/>
    <w:rsid w:val="00985BAB"/>
    <w:rsid w:val="00986B3C"/>
    <w:rsid w:val="009A115C"/>
    <w:rsid w:val="009A7FC1"/>
    <w:rsid w:val="009B1606"/>
    <w:rsid w:val="009B1B5F"/>
    <w:rsid w:val="009B6673"/>
    <w:rsid w:val="009C191B"/>
    <w:rsid w:val="009C2BD6"/>
    <w:rsid w:val="009D57AA"/>
    <w:rsid w:val="009E1F32"/>
    <w:rsid w:val="009E2CC2"/>
    <w:rsid w:val="009E47A2"/>
    <w:rsid w:val="009E776C"/>
    <w:rsid w:val="009E7A6F"/>
    <w:rsid w:val="009F4C8F"/>
    <w:rsid w:val="00A02972"/>
    <w:rsid w:val="00A05588"/>
    <w:rsid w:val="00A15601"/>
    <w:rsid w:val="00A1726E"/>
    <w:rsid w:val="00A204CF"/>
    <w:rsid w:val="00A21D2B"/>
    <w:rsid w:val="00A22745"/>
    <w:rsid w:val="00A23D49"/>
    <w:rsid w:val="00A27004"/>
    <w:rsid w:val="00A308CE"/>
    <w:rsid w:val="00A30C29"/>
    <w:rsid w:val="00A34DD6"/>
    <w:rsid w:val="00A35683"/>
    <w:rsid w:val="00A36819"/>
    <w:rsid w:val="00A36989"/>
    <w:rsid w:val="00A41D86"/>
    <w:rsid w:val="00A43628"/>
    <w:rsid w:val="00A45145"/>
    <w:rsid w:val="00A51D0F"/>
    <w:rsid w:val="00A54192"/>
    <w:rsid w:val="00A57147"/>
    <w:rsid w:val="00A6035E"/>
    <w:rsid w:val="00A6144C"/>
    <w:rsid w:val="00A66617"/>
    <w:rsid w:val="00A671F8"/>
    <w:rsid w:val="00A673A4"/>
    <w:rsid w:val="00A724AE"/>
    <w:rsid w:val="00A73329"/>
    <w:rsid w:val="00A82359"/>
    <w:rsid w:val="00A865D2"/>
    <w:rsid w:val="00A87C10"/>
    <w:rsid w:val="00A90BCD"/>
    <w:rsid w:val="00A92625"/>
    <w:rsid w:val="00A94C20"/>
    <w:rsid w:val="00A95D81"/>
    <w:rsid w:val="00AA1B09"/>
    <w:rsid w:val="00AA227F"/>
    <w:rsid w:val="00AA3BC7"/>
    <w:rsid w:val="00AA754A"/>
    <w:rsid w:val="00AB099E"/>
    <w:rsid w:val="00AB4328"/>
    <w:rsid w:val="00AC38DE"/>
    <w:rsid w:val="00AC4CD4"/>
    <w:rsid w:val="00AE0A2E"/>
    <w:rsid w:val="00AE354C"/>
    <w:rsid w:val="00AF12C5"/>
    <w:rsid w:val="00AF4B07"/>
    <w:rsid w:val="00AF6186"/>
    <w:rsid w:val="00AF7A3A"/>
    <w:rsid w:val="00B02587"/>
    <w:rsid w:val="00B049D1"/>
    <w:rsid w:val="00B14793"/>
    <w:rsid w:val="00B153A0"/>
    <w:rsid w:val="00B160DB"/>
    <w:rsid w:val="00B20836"/>
    <w:rsid w:val="00B235BB"/>
    <w:rsid w:val="00B27A44"/>
    <w:rsid w:val="00B30BBF"/>
    <w:rsid w:val="00B33C03"/>
    <w:rsid w:val="00B4421F"/>
    <w:rsid w:val="00B44E56"/>
    <w:rsid w:val="00B45917"/>
    <w:rsid w:val="00B46543"/>
    <w:rsid w:val="00B47D33"/>
    <w:rsid w:val="00B52BE0"/>
    <w:rsid w:val="00B54133"/>
    <w:rsid w:val="00B55A8D"/>
    <w:rsid w:val="00B64BCA"/>
    <w:rsid w:val="00B701ED"/>
    <w:rsid w:val="00B748F7"/>
    <w:rsid w:val="00B8086C"/>
    <w:rsid w:val="00B81C58"/>
    <w:rsid w:val="00B861B4"/>
    <w:rsid w:val="00B86DFE"/>
    <w:rsid w:val="00B90990"/>
    <w:rsid w:val="00B922FF"/>
    <w:rsid w:val="00B9281E"/>
    <w:rsid w:val="00B93925"/>
    <w:rsid w:val="00B95187"/>
    <w:rsid w:val="00BA2D55"/>
    <w:rsid w:val="00BA71B1"/>
    <w:rsid w:val="00BB0637"/>
    <w:rsid w:val="00BB345F"/>
    <w:rsid w:val="00BB68EA"/>
    <w:rsid w:val="00BC0B99"/>
    <w:rsid w:val="00BC1C27"/>
    <w:rsid w:val="00BC56A7"/>
    <w:rsid w:val="00BC6BBF"/>
    <w:rsid w:val="00BD1572"/>
    <w:rsid w:val="00BD72DD"/>
    <w:rsid w:val="00BE14E3"/>
    <w:rsid w:val="00BE3774"/>
    <w:rsid w:val="00BE41E5"/>
    <w:rsid w:val="00BE4CE2"/>
    <w:rsid w:val="00BF118F"/>
    <w:rsid w:val="00BF4109"/>
    <w:rsid w:val="00BF4CC3"/>
    <w:rsid w:val="00C054C7"/>
    <w:rsid w:val="00C057B5"/>
    <w:rsid w:val="00C07D0E"/>
    <w:rsid w:val="00C115C3"/>
    <w:rsid w:val="00C15547"/>
    <w:rsid w:val="00C1672D"/>
    <w:rsid w:val="00C22687"/>
    <w:rsid w:val="00C26A92"/>
    <w:rsid w:val="00C26B1C"/>
    <w:rsid w:val="00C32E4D"/>
    <w:rsid w:val="00C333A0"/>
    <w:rsid w:val="00C36A81"/>
    <w:rsid w:val="00C41974"/>
    <w:rsid w:val="00C44A2C"/>
    <w:rsid w:val="00C44F09"/>
    <w:rsid w:val="00C477F7"/>
    <w:rsid w:val="00C509A6"/>
    <w:rsid w:val="00C53F4A"/>
    <w:rsid w:val="00C54125"/>
    <w:rsid w:val="00C55B54"/>
    <w:rsid w:val="00C6098E"/>
    <w:rsid w:val="00C6152C"/>
    <w:rsid w:val="00C71424"/>
    <w:rsid w:val="00C74810"/>
    <w:rsid w:val="00C90D68"/>
    <w:rsid w:val="00C939FE"/>
    <w:rsid w:val="00CA4BDA"/>
    <w:rsid w:val="00CB13E3"/>
    <w:rsid w:val="00CB1F66"/>
    <w:rsid w:val="00CB232C"/>
    <w:rsid w:val="00CB2951"/>
    <w:rsid w:val="00CB4277"/>
    <w:rsid w:val="00CC5067"/>
    <w:rsid w:val="00CD11D3"/>
    <w:rsid w:val="00CD282B"/>
    <w:rsid w:val="00CD447B"/>
    <w:rsid w:val="00CD4C35"/>
    <w:rsid w:val="00CD7369"/>
    <w:rsid w:val="00CE0B0E"/>
    <w:rsid w:val="00CE3831"/>
    <w:rsid w:val="00CF2397"/>
    <w:rsid w:val="00D00ABB"/>
    <w:rsid w:val="00D02EEC"/>
    <w:rsid w:val="00D03551"/>
    <w:rsid w:val="00D04315"/>
    <w:rsid w:val="00D06A63"/>
    <w:rsid w:val="00D07E0E"/>
    <w:rsid w:val="00D10CD6"/>
    <w:rsid w:val="00D11478"/>
    <w:rsid w:val="00D15ED0"/>
    <w:rsid w:val="00D164BF"/>
    <w:rsid w:val="00D21B3E"/>
    <w:rsid w:val="00D21FED"/>
    <w:rsid w:val="00D23048"/>
    <w:rsid w:val="00D24251"/>
    <w:rsid w:val="00D26E72"/>
    <w:rsid w:val="00D343E2"/>
    <w:rsid w:val="00D361A2"/>
    <w:rsid w:val="00D37272"/>
    <w:rsid w:val="00D44C2E"/>
    <w:rsid w:val="00D45414"/>
    <w:rsid w:val="00D50A0A"/>
    <w:rsid w:val="00D53548"/>
    <w:rsid w:val="00D5576B"/>
    <w:rsid w:val="00D566BD"/>
    <w:rsid w:val="00D57A4D"/>
    <w:rsid w:val="00D60AA7"/>
    <w:rsid w:val="00D6435F"/>
    <w:rsid w:val="00D66471"/>
    <w:rsid w:val="00D669D4"/>
    <w:rsid w:val="00D70641"/>
    <w:rsid w:val="00D74888"/>
    <w:rsid w:val="00D7488B"/>
    <w:rsid w:val="00D75E28"/>
    <w:rsid w:val="00D772C2"/>
    <w:rsid w:val="00D8008E"/>
    <w:rsid w:val="00D82C45"/>
    <w:rsid w:val="00D908A8"/>
    <w:rsid w:val="00D977B6"/>
    <w:rsid w:val="00DA1223"/>
    <w:rsid w:val="00DA4A31"/>
    <w:rsid w:val="00DA7B04"/>
    <w:rsid w:val="00DB36C2"/>
    <w:rsid w:val="00DC00A8"/>
    <w:rsid w:val="00DC169B"/>
    <w:rsid w:val="00DC2AB9"/>
    <w:rsid w:val="00DC63F0"/>
    <w:rsid w:val="00DD37EA"/>
    <w:rsid w:val="00DD6EE5"/>
    <w:rsid w:val="00DE386C"/>
    <w:rsid w:val="00DE4D35"/>
    <w:rsid w:val="00DF098B"/>
    <w:rsid w:val="00DF11C4"/>
    <w:rsid w:val="00DF210C"/>
    <w:rsid w:val="00DF4B6A"/>
    <w:rsid w:val="00E004C0"/>
    <w:rsid w:val="00E02C09"/>
    <w:rsid w:val="00E04D59"/>
    <w:rsid w:val="00E07DA1"/>
    <w:rsid w:val="00E123CB"/>
    <w:rsid w:val="00E13B09"/>
    <w:rsid w:val="00E20E13"/>
    <w:rsid w:val="00E21DBC"/>
    <w:rsid w:val="00E275D7"/>
    <w:rsid w:val="00E27DBE"/>
    <w:rsid w:val="00E32AB1"/>
    <w:rsid w:val="00E36C71"/>
    <w:rsid w:val="00E40404"/>
    <w:rsid w:val="00E4126A"/>
    <w:rsid w:val="00E42A06"/>
    <w:rsid w:val="00E459C6"/>
    <w:rsid w:val="00E47589"/>
    <w:rsid w:val="00E557AA"/>
    <w:rsid w:val="00E63EC7"/>
    <w:rsid w:val="00E64915"/>
    <w:rsid w:val="00E64D3A"/>
    <w:rsid w:val="00E661D4"/>
    <w:rsid w:val="00E67565"/>
    <w:rsid w:val="00E70091"/>
    <w:rsid w:val="00E70D2E"/>
    <w:rsid w:val="00E720F5"/>
    <w:rsid w:val="00E744E0"/>
    <w:rsid w:val="00E76D47"/>
    <w:rsid w:val="00E827BC"/>
    <w:rsid w:val="00E849F7"/>
    <w:rsid w:val="00E90302"/>
    <w:rsid w:val="00E91D05"/>
    <w:rsid w:val="00E9262D"/>
    <w:rsid w:val="00E94245"/>
    <w:rsid w:val="00E95C1E"/>
    <w:rsid w:val="00E97396"/>
    <w:rsid w:val="00EA185E"/>
    <w:rsid w:val="00EA592A"/>
    <w:rsid w:val="00EB14E4"/>
    <w:rsid w:val="00EB32A5"/>
    <w:rsid w:val="00EB34ED"/>
    <w:rsid w:val="00EB447C"/>
    <w:rsid w:val="00EB7BE0"/>
    <w:rsid w:val="00EC315E"/>
    <w:rsid w:val="00ED077C"/>
    <w:rsid w:val="00ED10A9"/>
    <w:rsid w:val="00ED1190"/>
    <w:rsid w:val="00ED34AC"/>
    <w:rsid w:val="00ED6544"/>
    <w:rsid w:val="00EE0277"/>
    <w:rsid w:val="00EE2899"/>
    <w:rsid w:val="00EE3E00"/>
    <w:rsid w:val="00EE5DD2"/>
    <w:rsid w:val="00EF2E7D"/>
    <w:rsid w:val="00EF36C5"/>
    <w:rsid w:val="00EF3DB4"/>
    <w:rsid w:val="00F00A79"/>
    <w:rsid w:val="00F00D13"/>
    <w:rsid w:val="00F00E86"/>
    <w:rsid w:val="00F07C1E"/>
    <w:rsid w:val="00F105DB"/>
    <w:rsid w:val="00F132BC"/>
    <w:rsid w:val="00F13D80"/>
    <w:rsid w:val="00F15B4D"/>
    <w:rsid w:val="00F16A7C"/>
    <w:rsid w:val="00F16AAA"/>
    <w:rsid w:val="00F1709C"/>
    <w:rsid w:val="00F21161"/>
    <w:rsid w:val="00F218EF"/>
    <w:rsid w:val="00F21BC7"/>
    <w:rsid w:val="00F266A2"/>
    <w:rsid w:val="00F32269"/>
    <w:rsid w:val="00F35B7A"/>
    <w:rsid w:val="00F44E99"/>
    <w:rsid w:val="00F56A6F"/>
    <w:rsid w:val="00F5709C"/>
    <w:rsid w:val="00F60B85"/>
    <w:rsid w:val="00F64EF1"/>
    <w:rsid w:val="00F72498"/>
    <w:rsid w:val="00F72B14"/>
    <w:rsid w:val="00F7349B"/>
    <w:rsid w:val="00F8765F"/>
    <w:rsid w:val="00F90767"/>
    <w:rsid w:val="00F9263C"/>
    <w:rsid w:val="00FA1637"/>
    <w:rsid w:val="00FA685B"/>
    <w:rsid w:val="00FB0C01"/>
    <w:rsid w:val="00FB5934"/>
    <w:rsid w:val="00FC18F2"/>
    <w:rsid w:val="00FC2A17"/>
    <w:rsid w:val="00FC38CF"/>
    <w:rsid w:val="00FC39E5"/>
    <w:rsid w:val="00FC3A78"/>
    <w:rsid w:val="00FD1005"/>
    <w:rsid w:val="00FD1F7F"/>
    <w:rsid w:val="00FD6C75"/>
    <w:rsid w:val="00FD7972"/>
    <w:rsid w:val="00FE0401"/>
    <w:rsid w:val="00FE71B3"/>
    <w:rsid w:val="00FF42C5"/>
    <w:rsid w:val="00FF7FF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92F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4D7448"/>
    <w:rPr>
      <w:sz w:val="24"/>
      <w:szCs w:val="24"/>
    </w:rPr>
  </w:style>
  <w:style w:type="paragraph" w:styleId="Heading1">
    <w:name w:val="heading 1"/>
    <w:basedOn w:val="Normal"/>
    <w:next w:val="Normal"/>
    <w:link w:val="Heading1Char"/>
    <w:uiPriority w:val="98"/>
    <w:semiHidden/>
    <w:rsid w:val="004D7448"/>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4D7448"/>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4D7448"/>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4D7448"/>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4D7448"/>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4D7448"/>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4D7448"/>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4D7448"/>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4D7448"/>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4D7448"/>
    <w:rPr>
      <w:rFonts w:ascii="Tahoma" w:hAnsi="Tahoma" w:cs="Tahoma"/>
      <w:sz w:val="16"/>
      <w:szCs w:val="16"/>
    </w:rPr>
  </w:style>
  <w:style w:type="character" w:customStyle="1" w:styleId="BalloonTextChar">
    <w:name w:val="Balloon Text Char"/>
    <w:basedOn w:val="DefaultParagraphFont"/>
    <w:link w:val="BalloonText"/>
    <w:uiPriority w:val="98"/>
    <w:semiHidden/>
    <w:rsid w:val="004D7448"/>
    <w:rPr>
      <w:rFonts w:ascii="Tahoma" w:hAnsi="Tahoma" w:cs="Tahoma"/>
      <w:sz w:val="16"/>
      <w:szCs w:val="16"/>
      <w:lang w:val="ro-RO"/>
    </w:rPr>
  </w:style>
  <w:style w:type="character" w:styleId="BookTitle">
    <w:name w:val="Book Title"/>
    <w:uiPriority w:val="98"/>
    <w:semiHidden/>
    <w:qFormat/>
    <w:rsid w:val="004D7448"/>
    <w:rPr>
      <w:i/>
      <w:iCs/>
      <w:smallCaps/>
      <w:spacing w:val="5"/>
    </w:rPr>
  </w:style>
  <w:style w:type="paragraph" w:customStyle="1" w:styleId="JuHeader">
    <w:name w:val="Ju_Header"/>
    <w:aliases w:val="_Header"/>
    <w:basedOn w:val="Header"/>
    <w:uiPriority w:val="29"/>
    <w:qFormat/>
    <w:rsid w:val="004D7448"/>
    <w:pPr>
      <w:tabs>
        <w:tab w:val="clear" w:pos="4536"/>
        <w:tab w:val="clear" w:pos="9072"/>
      </w:tabs>
      <w:jc w:val="center"/>
    </w:pPr>
    <w:rPr>
      <w:sz w:val="18"/>
    </w:rPr>
  </w:style>
  <w:style w:type="paragraph" w:customStyle="1" w:styleId="NormalJustified">
    <w:name w:val="Normal_Justified"/>
    <w:basedOn w:val="Normal"/>
    <w:semiHidden/>
    <w:rsid w:val="004D7448"/>
    <w:pPr>
      <w:jc w:val="both"/>
    </w:pPr>
  </w:style>
  <w:style w:type="character" w:styleId="Strong">
    <w:name w:val="Strong"/>
    <w:uiPriority w:val="98"/>
    <w:semiHidden/>
    <w:qFormat/>
    <w:rsid w:val="004D7448"/>
    <w:rPr>
      <w:b/>
      <w:bCs/>
    </w:rPr>
  </w:style>
  <w:style w:type="paragraph" w:styleId="NoSpacing">
    <w:name w:val="No Spacing"/>
    <w:basedOn w:val="Normal"/>
    <w:link w:val="NoSpacingChar"/>
    <w:uiPriority w:val="98"/>
    <w:semiHidden/>
    <w:qFormat/>
    <w:rsid w:val="004D7448"/>
  </w:style>
  <w:style w:type="character" w:customStyle="1" w:styleId="NoSpacingChar">
    <w:name w:val="No Spacing Char"/>
    <w:basedOn w:val="DefaultParagraphFont"/>
    <w:link w:val="NoSpacing"/>
    <w:uiPriority w:val="98"/>
    <w:semiHidden/>
    <w:rsid w:val="004D7448"/>
    <w:rPr>
      <w:sz w:val="24"/>
      <w:szCs w:val="24"/>
      <w:lang w:val="ro-RO"/>
    </w:rPr>
  </w:style>
  <w:style w:type="paragraph" w:customStyle="1" w:styleId="JuQuot">
    <w:name w:val="Ju_Quot"/>
    <w:aliases w:val="_Quote"/>
    <w:basedOn w:val="NormalJustified"/>
    <w:uiPriority w:val="20"/>
    <w:qFormat/>
    <w:rsid w:val="004D7448"/>
    <w:pPr>
      <w:spacing w:before="120" w:after="120"/>
      <w:ind w:left="425" w:firstLine="142"/>
    </w:pPr>
    <w:rPr>
      <w:sz w:val="20"/>
    </w:rPr>
  </w:style>
  <w:style w:type="paragraph" w:customStyle="1" w:styleId="DummyStyle">
    <w:name w:val="Dummy_Style"/>
    <w:aliases w:val="_Dummy"/>
    <w:basedOn w:val="Normal"/>
    <w:semiHidden/>
    <w:qFormat/>
    <w:rsid w:val="004D7448"/>
    <w:rPr>
      <w:color w:val="00B050"/>
      <w:sz w:val="22"/>
    </w:rPr>
  </w:style>
  <w:style w:type="paragraph" w:customStyle="1" w:styleId="JuList">
    <w:name w:val="Ju_List"/>
    <w:aliases w:val="_List_1"/>
    <w:basedOn w:val="NormalJustified"/>
    <w:uiPriority w:val="23"/>
    <w:qFormat/>
    <w:rsid w:val="004D7448"/>
    <w:pPr>
      <w:numPr>
        <w:numId w:val="22"/>
      </w:numPr>
      <w:spacing w:before="280" w:after="60"/>
    </w:pPr>
  </w:style>
  <w:style w:type="paragraph" w:customStyle="1" w:styleId="JuLista">
    <w:name w:val="Ju_List_a"/>
    <w:aliases w:val="_List_2"/>
    <w:basedOn w:val="NormalJustified"/>
    <w:uiPriority w:val="23"/>
    <w:rsid w:val="004D7448"/>
    <w:pPr>
      <w:numPr>
        <w:ilvl w:val="1"/>
        <w:numId w:val="22"/>
      </w:numPr>
    </w:pPr>
  </w:style>
  <w:style w:type="paragraph" w:customStyle="1" w:styleId="JuListi">
    <w:name w:val="Ju_List_i"/>
    <w:aliases w:val="_List_3"/>
    <w:basedOn w:val="NormalJustified"/>
    <w:uiPriority w:val="23"/>
    <w:rsid w:val="004D7448"/>
    <w:pPr>
      <w:numPr>
        <w:ilvl w:val="2"/>
        <w:numId w:val="22"/>
      </w:numPr>
    </w:pPr>
  </w:style>
  <w:style w:type="paragraph" w:customStyle="1" w:styleId="JuHArticle">
    <w:name w:val="Ju_H_Article"/>
    <w:aliases w:val="_Title_Quote"/>
    <w:basedOn w:val="Normal"/>
    <w:next w:val="JuQuot"/>
    <w:uiPriority w:val="19"/>
    <w:qFormat/>
    <w:rsid w:val="004D7448"/>
    <w:pPr>
      <w:keepNext/>
      <w:spacing w:before="100" w:beforeAutospacing="1" w:after="120"/>
      <w:contextualSpacing/>
      <w:jc w:val="center"/>
    </w:pPr>
    <w:rPr>
      <w:b/>
      <w:sz w:val="20"/>
    </w:rPr>
  </w:style>
  <w:style w:type="paragraph" w:customStyle="1" w:styleId="DecHTitle">
    <w:name w:val="Dec_H_Title"/>
    <w:aliases w:val="_Title_1"/>
    <w:basedOn w:val="JuPara"/>
    <w:next w:val="JuPara"/>
    <w:uiPriority w:val="38"/>
    <w:qFormat/>
    <w:rsid w:val="004D7448"/>
    <w:pPr>
      <w:keepNext/>
      <w:keepLines/>
      <w:spacing w:after="240"/>
      <w:ind w:firstLine="0"/>
      <w:jc w:val="center"/>
      <w:outlineLvl w:val="0"/>
    </w:pPr>
    <w:rPr>
      <w:rFonts w:asciiTheme="majorHAnsi" w:hAnsiTheme="majorHAnsi"/>
      <w:sz w:val="28"/>
    </w:rPr>
  </w:style>
  <w:style w:type="paragraph" w:customStyle="1" w:styleId="ECHRCoverTitle4">
    <w:name w:val="ECHR_Cover_Title_4"/>
    <w:aliases w:val="_Title_4"/>
    <w:basedOn w:val="JuPara"/>
    <w:next w:val="JuPara"/>
    <w:uiPriority w:val="38"/>
    <w:qFormat/>
    <w:rsid w:val="004D7448"/>
    <w:pPr>
      <w:keepNext/>
      <w:keepLines/>
      <w:tabs>
        <w:tab w:val="right" w:pos="7938"/>
      </w:tabs>
      <w:ind w:firstLine="0"/>
      <w:jc w:val="center"/>
    </w:pPr>
    <w:rPr>
      <w:i/>
    </w:rPr>
  </w:style>
  <w:style w:type="paragraph" w:customStyle="1" w:styleId="JuHHead">
    <w:name w:val="Ju_H_Head"/>
    <w:aliases w:val="_Head_1"/>
    <w:basedOn w:val="Heading1"/>
    <w:next w:val="JuPara"/>
    <w:uiPriority w:val="17"/>
    <w:qFormat/>
    <w:rsid w:val="004D7448"/>
    <w:pPr>
      <w:keepNext/>
      <w:keepLines/>
      <w:numPr>
        <w:numId w:val="21"/>
      </w:numPr>
      <w:spacing w:before="100" w:beforeAutospacing="1" w:after="240"/>
      <w:contextualSpacing w:val="0"/>
      <w:jc w:val="both"/>
    </w:pPr>
    <w:rPr>
      <w:b w:val="0"/>
      <w:caps/>
      <w:color w:val="auto"/>
    </w:rPr>
  </w:style>
  <w:style w:type="numbering" w:customStyle="1" w:styleId="ECHRA1StyleBulletedSquare">
    <w:name w:val="ECHR_A1_Style_Bulleted_Square"/>
    <w:basedOn w:val="NoList"/>
    <w:rsid w:val="004D7448"/>
    <w:pPr>
      <w:numPr>
        <w:numId w:val="16"/>
      </w:numPr>
    </w:pPr>
  </w:style>
  <w:style w:type="paragraph" w:customStyle="1" w:styleId="JuSigned">
    <w:name w:val="Ju_Signed"/>
    <w:aliases w:val="_Signature"/>
    <w:basedOn w:val="Normal"/>
    <w:next w:val="JuPara"/>
    <w:uiPriority w:val="31"/>
    <w:qFormat/>
    <w:rsid w:val="004D7448"/>
    <w:pPr>
      <w:tabs>
        <w:tab w:val="center" w:pos="1418"/>
        <w:tab w:val="center" w:pos="5954"/>
      </w:tabs>
      <w:spacing w:before="720"/>
    </w:pPr>
  </w:style>
  <w:style w:type="paragraph" w:styleId="Title">
    <w:name w:val="Title"/>
    <w:basedOn w:val="Normal"/>
    <w:next w:val="Normal"/>
    <w:link w:val="TitleChar"/>
    <w:uiPriority w:val="98"/>
    <w:semiHidden/>
    <w:qFormat/>
    <w:rsid w:val="004D7448"/>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4D7448"/>
    <w:rPr>
      <w:rFonts w:asciiTheme="majorHAnsi" w:eastAsiaTheme="majorEastAsia" w:hAnsiTheme="majorHAnsi" w:cstheme="majorBidi"/>
      <w:spacing w:val="5"/>
      <w:sz w:val="52"/>
      <w:szCs w:val="52"/>
      <w:lang w:val="ro-RO" w:bidi="en-US"/>
    </w:rPr>
  </w:style>
  <w:style w:type="numbering" w:customStyle="1" w:styleId="ECHRA1StyleList">
    <w:name w:val="ECHR_A1_Style_List"/>
    <w:basedOn w:val="NoList"/>
    <w:uiPriority w:val="99"/>
    <w:rsid w:val="004D7448"/>
    <w:pPr>
      <w:numPr>
        <w:numId w:val="1"/>
      </w:numPr>
    </w:pPr>
  </w:style>
  <w:style w:type="numbering" w:customStyle="1" w:styleId="ECHRA1StyleNumberedList">
    <w:name w:val="ECHR_A1_Style_Numbered_List"/>
    <w:basedOn w:val="NoList"/>
    <w:rsid w:val="004D7448"/>
    <w:pPr>
      <w:numPr>
        <w:numId w:val="18"/>
      </w:numPr>
    </w:pPr>
  </w:style>
  <w:style w:type="table" w:customStyle="1" w:styleId="ECHRTable2019">
    <w:name w:val="ECHR_Table_2019"/>
    <w:basedOn w:val="TableNormal"/>
    <w:uiPriority w:val="99"/>
    <w:rsid w:val="004D7448"/>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auto"/>
        <w:sz w:val="22"/>
      </w:rPr>
      <w:tblPr/>
      <w:tcPr>
        <w:shd w:val="clear" w:color="auto" w:fill="DDDDDD" w:themeFill="accent3" w:themeFillTint="3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EFEFEF" w:themeFill="text2" w:themeFillTint="33"/>
      </w:tcPr>
    </w:tblStylePr>
    <w:tblStylePr w:type="band2Horz">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l2br w:val="nil"/>
          <w:tr2bl w:val="nil"/>
        </w:tcBorders>
        <w:shd w:val="clear" w:color="auto" w:fill="EFEFEF" w:themeFill="text2" w:themeFillTint="33"/>
      </w:tcPr>
    </w:tblStylePr>
  </w:style>
  <w:style w:type="paragraph" w:customStyle="1" w:styleId="Footer">
    <w:name w:val="_Footer"/>
    <w:aliases w:val="Footer_"/>
    <w:basedOn w:val="Footer0"/>
    <w:uiPriority w:val="57"/>
    <w:semiHidden/>
    <w:rsid w:val="007D3701"/>
    <w:rPr>
      <w:sz w:val="8"/>
    </w:rPr>
  </w:style>
  <w:style w:type="paragraph" w:customStyle="1" w:styleId="JuCourt">
    <w:name w:val="Ju_Court"/>
    <w:aliases w:val="_Court_Names"/>
    <w:basedOn w:val="Normal"/>
    <w:next w:val="Normal"/>
    <w:uiPriority w:val="32"/>
    <w:qFormat/>
    <w:rsid w:val="004D7448"/>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4D7448"/>
    <w:pPr>
      <w:keepNext/>
      <w:keepLines/>
      <w:numPr>
        <w:ilvl w:val="1"/>
        <w:numId w:val="21"/>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4D7448"/>
    <w:pPr>
      <w:keepNext/>
      <w:keepLines/>
      <w:numPr>
        <w:ilvl w:val="2"/>
        <w:numId w:val="21"/>
      </w:numPr>
      <w:spacing w:before="100" w:beforeAutospacing="1" w:after="240" w:line="240" w:lineRule="auto"/>
      <w:jc w:val="both"/>
    </w:pPr>
    <w:rPr>
      <w:color w:val="auto"/>
      <w:sz w:val="24"/>
    </w:rPr>
  </w:style>
  <w:style w:type="paragraph" w:customStyle="1" w:styleId="JuH1">
    <w:name w:val="Ju_H_1."/>
    <w:aliases w:val="_Head_4"/>
    <w:basedOn w:val="Heading4"/>
    <w:next w:val="JuPara"/>
    <w:uiPriority w:val="17"/>
    <w:rsid w:val="004D7448"/>
    <w:pPr>
      <w:keepNext/>
      <w:keepLines/>
      <w:numPr>
        <w:ilvl w:val="3"/>
        <w:numId w:val="21"/>
      </w:numPr>
      <w:spacing w:before="100" w:beforeAutospacing="1" w:after="120"/>
      <w:jc w:val="both"/>
    </w:pPr>
    <w:rPr>
      <w:b w:val="0"/>
      <w:color w:val="auto"/>
      <w:sz w:val="24"/>
    </w:rPr>
  </w:style>
  <w:style w:type="paragraph" w:styleId="Header">
    <w:name w:val="header"/>
    <w:basedOn w:val="Normal"/>
    <w:link w:val="HeaderChar"/>
    <w:uiPriority w:val="98"/>
    <w:semiHidden/>
    <w:rsid w:val="004D7448"/>
    <w:pPr>
      <w:tabs>
        <w:tab w:val="center" w:pos="4536"/>
        <w:tab w:val="right" w:pos="9072"/>
      </w:tabs>
    </w:pPr>
  </w:style>
  <w:style w:type="character" w:customStyle="1" w:styleId="HeaderChar">
    <w:name w:val="Header Char"/>
    <w:basedOn w:val="DefaultParagraphFont"/>
    <w:link w:val="Header"/>
    <w:uiPriority w:val="98"/>
    <w:semiHidden/>
    <w:rsid w:val="004D7448"/>
    <w:rPr>
      <w:sz w:val="24"/>
      <w:szCs w:val="24"/>
      <w:lang w:val="ro-RO"/>
    </w:rPr>
  </w:style>
  <w:style w:type="character" w:customStyle="1" w:styleId="Heading1Char">
    <w:name w:val="Heading 1 Char"/>
    <w:basedOn w:val="DefaultParagraphFont"/>
    <w:link w:val="Heading1"/>
    <w:uiPriority w:val="98"/>
    <w:semiHidden/>
    <w:rsid w:val="004D7448"/>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JuPara"/>
    <w:uiPriority w:val="17"/>
    <w:rsid w:val="004D7448"/>
    <w:pPr>
      <w:keepNext/>
      <w:keepLines/>
      <w:numPr>
        <w:ilvl w:val="4"/>
        <w:numId w:val="21"/>
      </w:numPr>
      <w:spacing w:before="100" w:beforeAutospacing="1" w:after="120"/>
      <w:jc w:val="both"/>
    </w:pPr>
    <w:rPr>
      <w:color w:val="auto"/>
      <w:sz w:val="20"/>
    </w:rPr>
  </w:style>
  <w:style w:type="paragraph" w:customStyle="1" w:styleId="JuHi">
    <w:name w:val="Ju_H_i"/>
    <w:aliases w:val="_Head_6"/>
    <w:basedOn w:val="Heading6"/>
    <w:next w:val="JuPara"/>
    <w:uiPriority w:val="17"/>
    <w:rsid w:val="004D7448"/>
    <w:pPr>
      <w:keepNext/>
      <w:keepLines/>
      <w:numPr>
        <w:ilvl w:val="5"/>
        <w:numId w:val="21"/>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4D7448"/>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JuPara"/>
    <w:uiPriority w:val="17"/>
    <w:rsid w:val="004D7448"/>
    <w:pPr>
      <w:keepNext/>
      <w:keepLines/>
      <w:numPr>
        <w:ilvl w:val="6"/>
        <w:numId w:val="21"/>
      </w:numPr>
      <w:tabs>
        <w:tab w:val="left" w:pos="1361"/>
      </w:tabs>
      <w:spacing w:before="100" w:beforeAutospacing="1" w:after="120"/>
      <w:jc w:val="both"/>
    </w:pPr>
    <w:rPr>
      <w:i w:val="0"/>
      <w:sz w:val="20"/>
    </w:rPr>
  </w:style>
  <w:style w:type="paragraph" w:customStyle="1" w:styleId="JuH">
    <w:name w:val="Ju_H_–"/>
    <w:aliases w:val="_Head_8"/>
    <w:basedOn w:val="Heading8"/>
    <w:next w:val="JuPara"/>
    <w:uiPriority w:val="17"/>
    <w:rsid w:val="004D7448"/>
    <w:pPr>
      <w:keepNext/>
      <w:keepLines/>
      <w:numPr>
        <w:ilvl w:val="7"/>
        <w:numId w:val="21"/>
      </w:numPr>
      <w:spacing w:before="100" w:beforeAutospacing="1" w:after="120"/>
      <w:jc w:val="both"/>
    </w:pPr>
    <w:rPr>
      <w:i/>
    </w:rPr>
  </w:style>
  <w:style w:type="character" w:customStyle="1" w:styleId="Heading3Char">
    <w:name w:val="Heading 3 Char"/>
    <w:basedOn w:val="DefaultParagraphFont"/>
    <w:link w:val="Heading3"/>
    <w:uiPriority w:val="98"/>
    <w:semiHidden/>
    <w:rsid w:val="004D7448"/>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4D7448"/>
    <w:pPr>
      <w:keepNext/>
      <w:keepLines/>
      <w:spacing w:before="240" w:after="240"/>
      <w:ind w:firstLine="284"/>
    </w:pPr>
  </w:style>
  <w:style w:type="paragraph" w:customStyle="1" w:styleId="JuJudges">
    <w:name w:val="Ju_Judges"/>
    <w:aliases w:val="_Judges"/>
    <w:basedOn w:val="Normal"/>
    <w:uiPriority w:val="32"/>
    <w:qFormat/>
    <w:rsid w:val="004D7448"/>
    <w:pPr>
      <w:tabs>
        <w:tab w:val="left" w:pos="567"/>
        <w:tab w:val="left" w:pos="1134"/>
      </w:tabs>
    </w:pPr>
  </w:style>
  <w:style w:type="character" w:customStyle="1" w:styleId="Heading4Char">
    <w:name w:val="Heading 4 Char"/>
    <w:basedOn w:val="DefaultParagraphFont"/>
    <w:link w:val="Heading4"/>
    <w:uiPriority w:val="98"/>
    <w:semiHidden/>
    <w:rsid w:val="004D7448"/>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4D7448"/>
    <w:pPr>
      <w:tabs>
        <w:tab w:val="center" w:pos="6407"/>
      </w:tabs>
      <w:spacing w:before="720"/>
      <w:jc w:val="right"/>
    </w:pPr>
  </w:style>
  <w:style w:type="character" w:customStyle="1" w:styleId="Heading5Char">
    <w:name w:val="Heading 5 Char"/>
    <w:basedOn w:val="DefaultParagraphFont"/>
    <w:link w:val="Heading5"/>
    <w:uiPriority w:val="98"/>
    <w:semiHidden/>
    <w:rsid w:val="004D7448"/>
    <w:rPr>
      <w:rFonts w:asciiTheme="majorHAnsi" w:eastAsiaTheme="majorEastAsia" w:hAnsiTheme="majorHAnsi" w:cstheme="majorBidi"/>
      <w:b/>
      <w:bCs/>
      <w:color w:val="808080"/>
      <w:lang w:val="ro-RO"/>
    </w:rPr>
  </w:style>
  <w:style w:type="character" w:customStyle="1" w:styleId="JuITMark">
    <w:name w:val="Ju_ITMark"/>
    <w:aliases w:val="_ITMark"/>
    <w:basedOn w:val="DefaultParagraphFont"/>
    <w:uiPriority w:val="54"/>
    <w:qFormat/>
    <w:rsid w:val="004D7448"/>
    <w:rPr>
      <w:vanish w:val="0"/>
      <w:color w:val="auto"/>
      <w:sz w:val="14"/>
      <w:bdr w:val="none" w:sz="0" w:space="0" w:color="auto"/>
      <w:shd w:val="clear" w:color="auto" w:fill="FFFFFF" w:themeFill="background1" w:themeFillTint="33"/>
    </w:rPr>
  </w:style>
  <w:style w:type="character" w:customStyle="1" w:styleId="JUNAMES">
    <w:name w:val="JU_NAMES"/>
    <w:aliases w:val="_Ju_Names"/>
    <w:uiPriority w:val="33"/>
    <w:qFormat/>
    <w:rsid w:val="004D7448"/>
    <w:rPr>
      <w:caps w:val="0"/>
      <w:smallCaps/>
    </w:rPr>
  </w:style>
  <w:style w:type="character" w:styleId="SubtleEmphasis">
    <w:name w:val="Subtle Emphasis"/>
    <w:uiPriority w:val="98"/>
    <w:semiHidden/>
    <w:qFormat/>
    <w:rsid w:val="004D7448"/>
    <w:rPr>
      <w:i/>
      <w:iCs/>
    </w:rPr>
  </w:style>
  <w:style w:type="table" w:customStyle="1" w:styleId="ECHRTable">
    <w:name w:val="ECHR_Table"/>
    <w:basedOn w:val="TableNormal"/>
    <w:rsid w:val="004D7448"/>
    <w:rPr>
      <w:rFonts w:eastAsia="Times New Roman" w:cs="Times New Roman"/>
      <w:sz w:val="20"/>
      <w:szCs w:val="20"/>
    </w:rPr>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D7448"/>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95959" w:themeColor="accent3"/>
      </w:rPr>
    </w:tblStylePr>
  </w:style>
  <w:style w:type="character" w:styleId="Emphasis">
    <w:name w:val="Emphasis"/>
    <w:uiPriority w:val="98"/>
    <w:semiHidden/>
    <w:qFormat/>
    <w:rsid w:val="004D7448"/>
    <w:rPr>
      <w:b/>
      <w:bCs/>
      <w:i/>
      <w:iCs/>
      <w:spacing w:val="10"/>
      <w:bdr w:val="none" w:sz="0" w:space="0" w:color="auto"/>
      <w:shd w:val="clear" w:color="auto" w:fill="auto"/>
    </w:rPr>
  </w:style>
  <w:style w:type="paragraph" w:styleId="Footer0">
    <w:name w:val="footer"/>
    <w:basedOn w:val="Normal"/>
    <w:link w:val="FooterChar"/>
    <w:uiPriority w:val="98"/>
    <w:semiHidden/>
    <w:rsid w:val="004D7448"/>
    <w:pPr>
      <w:tabs>
        <w:tab w:val="center" w:pos="3686"/>
        <w:tab w:val="right" w:pos="7371"/>
      </w:tabs>
    </w:pPr>
  </w:style>
  <w:style w:type="character" w:customStyle="1" w:styleId="FooterChar">
    <w:name w:val="Footer Char"/>
    <w:basedOn w:val="DefaultParagraphFont"/>
    <w:link w:val="Footer0"/>
    <w:uiPriority w:val="98"/>
    <w:semiHidden/>
    <w:rsid w:val="004D7448"/>
    <w:rPr>
      <w:sz w:val="24"/>
      <w:szCs w:val="24"/>
      <w:lang w:val="ro-RO"/>
    </w:rPr>
  </w:style>
  <w:style w:type="character" w:styleId="FootnoteReference">
    <w:name w:val="footnote reference"/>
    <w:basedOn w:val="DefaultParagraphFont"/>
    <w:uiPriority w:val="98"/>
    <w:semiHidden/>
    <w:rsid w:val="004D7448"/>
    <w:rPr>
      <w:vertAlign w:val="superscript"/>
    </w:rPr>
  </w:style>
  <w:style w:type="paragraph" w:styleId="FootnoteText">
    <w:name w:val="footnote text"/>
    <w:basedOn w:val="NormalJustified"/>
    <w:link w:val="FootnoteTextChar"/>
    <w:uiPriority w:val="98"/>
    <w:semiHidden/>
    <w:rsid w:val="004D7448"/>
    <w:rPr>
      <w:sz w:val="20"/>
      <w:szCs w:val="20"/>
    </w:rPr>
  </w:style>
  <w:style w:type="character" w:customStyle="1" w:styleId="FootnoteTextChar">
    <w:name w:val="Footnote Text Char"/>
    <w:basedOn w:val="DefaultParagraphFont"/>
    <w:link w:val="FootnoteText"/>
    <w:uiPriority w:val="98"/>
    <w:semiHidden/>
    <w:rsid w:val="004D7448"/>
    <w:rPr>
      <w:sz w:val="20"/>
      <w:szCs w:val="20"/>
      <w:lang w:val="ro-RO"/>
    </w:rPr>
  </w:style>
  <w:style w:type="character" w:customStyle="1" w:styleId="Heading6Char">
    <w:name w:val="Heading 6 Char"/>
    <w:basedOn w:val="DefaultParagraphFont"/>
    <w:link w:val="Heading6"/>
    <w:uiPriority w:val="98"/>
    <w:semiHidden/>
    <w:rsid w:val="004D7448"/>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4D7448"/>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4D7448"/>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4D7448"/>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semiHidden/>
    <w:rsid w:val="004D7448"/>
    <w:rPr>
      <w:color w:val="0072BC" w:themeColor="hyperlink"/>
      <w:u w:val="single"/>
    </w:rPr>
  </w:style>
  <w:style w:type="character" w:styleId="IntenseEmphasis">
    <w:name w:val="Intense Emphasis"/>
    <w:uiPriority w:val="98"/>
    <w:semiHidden/>
    <w:qFormat/>
    <w:rsid w:val="004D7448"/>
    <w:rPr>
      <w:b/>
      <w:bCs/>
    </w:rPr>
  </w:style>
  <w:style w:type="paragraph" w:styleId="IntenseQuote">
    <w:name w:val="Intense Quote"/>
    <w:basedOn w:val="Normal"/>
    <w:next w:val="Normal"/>
    <w:link w:val="IntenseQuoteChar"/>
    <w:uiPriority w:val="98"/>
    <w:semiHidden/>
    <w:qFormat/>
    <w:rsid w:val="004D7448"/>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4D7448"/>
    <w:rPr>
      <w:b/>
      <w:bCs/>
      <w:i/>
      <w:iCs/>
      <w:sz w:val="24"/>
      <w:szCs w:val="24"/>
      <w:lang w:val="ro-RO" w:bidi="en-US"/>
    </w:rPr>
  </w:style>
  <w:style w:type="character" w:styleId="IntenseReference">
    <w:name w:val="Intense Reference"/>
    <w:uiPriority w:val="98"/>
    <w:semiHidden/>
    <w:qFormat/>
    <w:rsid w:val="004D7448"/>
    <w:rPr>
      <w:smallCaps/>
      <w:spacing w:val="5"/>
      <w:u w:val="single"/>
    </w:rPr>
  </w:style>
  <w:style w:type="paragraph" w:styleId="ListParagraph">
    <w:name w:val="List Paragraph"/>
    <w:basedOn w:val="Normal"/>
    <w:uiPriority w:val="98"/>
    <w:semiHidden/>
    <w:qFormat/>
    <w:rsid w:val="004D7448"/>
    <w:pPr>
      <w:ind w:left="720"/>
      <w:contextualSpacing/>
    </w:pPr>
  </w:style>
  <w:style w:type="table" w:customStyle="1" w:styleId="LtrTableAddress">
    <w:name w:val="Ltr_Table_Address"/>
    <w:aliases w:val="ECHR_Ltr_Table_Address"/>
    <w:basedOn w:val="TableNormal"/>
    <w:uiPriority w:val="99"/>
    <w:rsid w:val="004D7448"/>
    <w:rPr>
      <w:sz w:val="24"/>
      <w:szCs w:val="24"/>
    </w:rPr>
    <w:tblPr>
      <w:tblInd w:w="5103" w:type="dxa"/>
    </w:tblPr>
  </w:style>
  <w:style w:type="paragraph" w:styleId="Quote">
    <w:name w:val="Quote"/>
    <w:basedOn w:val="Normal"/>
    <w:next w:val="Normal"/>
    <w:link w:val="QuoteChar"/>
    <w:uiPriority w:val="98"/>
    <w:semiHidden/>
    <w:qFormat/>
    <w:rsid w:val="004D7448"/>
    <w:pPr>
      <w:spacing w:before="200"/>
      <w:ind w:left="360" w:right="360"/>
    </w:pPr>
    <w:rPr>
      <w:i/>
      <w:iCs/>
      <w:lang w:bidi="en-US"/>
    </w:rPr>
  </w:style>
  <w:style w:type="character" w:customStyle="1" w:styleId="QuoteChar">
    <w:name w:val="Quote Char"/>
    <w:basedOn w:val="DefaultParagraphFont"/>
    <w:link w:val="Quote"/>
    <w:uiPriority w:val="98"/>
    <w:semiHidden/>
    <w:rsid w:val="004D7448"/>
    <w:rPr>
      <w:i/>
      <w:iCs/>
      <w:sz w:val="24"/>
      <w:szCs w:val="24"/>
      <w:lang w:val="ro-RO" w:bidi="en-US"/>
    </w:rPr>
  </w:style>
  <w:style w:type="character" w:styleId="SubtleReference">
    <w:name w:val="Subtle Reference"/>
    <w:uiPriority w:val="98"/>
    <w:semiHidden/>
    <w:qFormat/>
    <w:rsid w:val="004D7448"/>
    <w:rPr>
      <w:smallCaps/>
    </w:rPr>
  </w:style>
  <w:style w:type="table" w:styleId="TableGrid">
    <w:name w:val="Table Grid"/>
    <w:basedOn w:val="TableNormal"/>
    <w:uiPriority w:val="59"/>
    <w:semiHidden/>
    <w:rsid w:val="004D7448"/>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4D7448"/>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4D7448"/>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4D7448"/>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4D7448"/>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4D7448"/>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4D7448"/>
    <w:pPr>
      <w:keepNext/>
      <w:keepLines/>
      <w:spacing w:before="240"/>
      <w:contextualSpacing/>
      <w:jc w:val="center"/>
    </w:pPr>
    <w:rPr>
      <w:rFonts w:asciiTheme="majorHAnsi" w:hAnsiTheme="majorHAnsi"/>
      <w:b/>
      <w:color w:val="424242" w:themeColor="accent3" w:themeShade="BF"/>
      <w:sz w:val="28"/>
    </w:rPr>
  </w:style>
  <w:style w:type="table" w:customStyle="1" w:styleId="UGTable">
    <w:name w:val="UG_Table"/>
    <w:aliases w:val="ECHR_UG_Table"/>
    <w:basedOn w:val="TableNormal"/>
    <w:uiPriority w:val="99"/>
    <w:rsid w:val="004D7448"/>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4D7448"/>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4D7448"/>
    <w:rPr>
      <w:color w:val="000000" w:themeColor="text1"/>
      <w:sz w:val="18"/>
      <w:szCs w:val="24"/>
    </w:rPr>
    <w:tblPr>
      <w:tblBorders>
        <w:top w:val="single" w:sz="8" w:space="0" w:color="9B9B9B" w:themeColor="accent3" w:themeTint="99"/>
        <w:left w:val="single" w:sz="8" w:space="0" w:color="9B9B9B" w:themeColor="accent3" w:themeTint="99"/>
        <w:bottom w:val="single" w:sz="8" w:space="0" w:color="9B9B9B" w:themeColor="accent3" w:themeTint="99"/>
        <w:right w:val="single" w:sz="8" w:space="0" w:color="9B9B9B" w:themeColor="accent3" w:themeTint="99"/>
        <w:insideH w:val="single" w:sz="8" w:space="0" w:color="9B9B9B" w:themeColor="accent3" w:themeTint="99"/>
        <w:insideV w:val="single" w:sz="8" w:space="0" w:color="9B9B9B"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4D7448"/>
    <w:rPr>
      <w:color w:val="000000" w:themeColor="text1"/>
      <w:sz w:val="24"/>
      <w:szCs w:val="24"/>
    </w:rPr>
    <w:tblPr>
      <w:tblInd w:w="-680" w:type="dxa"/>
      <w:tblBorders>
        <w:insideH w:val="single" w:sz="4" w:space="0" w:color="B0B0B0" w:themeColor="text2"/>
        <w:insideV w:val="single" w:sz="4" w:space="0" w:color="B0B0B0" w:themeColor="text2"/>
      </w:tblBorders>
      <w:tblCellMar>
        <w:top w:w="142" w:type="dxa"/>
        <w:bottom w:w="142" w:type="dxa"/>
      </w:tblCellMar>
    </w:tblPr>
    <w:trPr>
      <w:cantSplit/>
    </w:trPr>
  </w:style>
  <w:style w:type="table" w:customStyle="1" w:styleId="ECHRTableMemo">
    <w:name w:val="ECHR_Table_Memo"/>
    <w:basedOn w:val="TableNormal"/>
    <w:uiPriority w:val="99"/>
    <w:rsid w:val="004D7448"/>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838383" w:themeColor="text2" w:themeShade="BF"/>
          <w:right w:val="nil"/>
          <w:insideH w:val="nil"/>
          <w:insideV w:val="nil"/>
          <w:tl2br w:val="nil"/>
          <w:tr2bl w:val="nil"/>
        </w:tcBorders>
      </w:tcPr>
    </w:tblStylePr>
  </w:style>
  <w:style w:type="table" w:customStyle="1" w:styleId="ECHRDNTable">
    <w:name w:val="ECHR_DN_Table"/>
    <w:basedOn w:val="TableNormal"/>
    <w:uiPriority w:val="99"/>
    <w:rsid w:val="004D7448"/>
    <w:rPr>
      <w:sz w:val="24"/>
      <w:szCs w:val="24"/>
    </w:rPr>
    <w:tblPr>
      <w:jc w:val="center"/>
      <w:tblBorders>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nil"/>
          <w:right w:val="single" w:sz="4" w:space="0" w:color="838383"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4D7448"/>
    <w:pPr>
      <w:keepNext/>
      <w:keepLines/>
      <w:spacing w:before="240"/>
      <w:contextualSpacing/>
      <w:jc w:val="center"/>
    </w:pPr>
    <w:rPr>
      <w:rFonts w:asciiTheme="majorHAnsi" w:eastAsiaTheme="majorEastAsia" w:hAnsiTheme="majorHAnsi" w:cstheme="majorBidi"/>
      <w:b/>
      <w:bCs/>
      <w:color w:val="424242" w:themeColor="accent3" w:themeShade="BF"/>
      <w:sz w:val="28"/>
    </w:rPr>
  </w:style>
  <w:style w:type="paragraph" w:styleId="Subtitle">
    <w:name w:val="Subtitle"/>
    <w:basedOn w:val="Normal"/>
    <w:next w:val="Normal"/>
    <w:link w:val="SubtitleChar"/>
    <w:uiPriority w:val="98"/>
    <w:semiHidden/>
    <w:qFormat/>
    <w:rsid w:val="004D7448"/>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4D7448"/>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4D7448"/>
    <w:pPr>
      <w:numPr>
        <w:numId w:val="3"/>
      </w:numPr>
    </w:pPr>
  </w:style>
  <w:style w:type="paragraph" w:customStyle="1" w:styleId="JuPara">
    <w:name w:val="Ju_Para"/>
    <w:aliases w:val="_Para"/>
    <w:basedOn w:val="NormalJustified"/>
    <w:link w:val="JuParaChar"/>
    <w:uiPriority w:val="4"/>
    <w:qFormat/>
    <w:rsid w:val="004D7448"/>
    <w:pPr>
      <w:ind w:firstLine="284"/>
    </w:pPr>
  </w:style>
  <w:style w:type="numbering" w:styleId="1ai">
    <w:name w:val="Outline List 1"/>
    <w:basedOn w:val="NoList"/>
    <w:uiPriority w:val="99"/>
    <w:semiHidden/>
    <w:unhideWhenUsed/>
    <w:rsid w:val="004D7448"/>
    <w:pPr>
      <w:numPr>
        <w:numId w:val="4"/>
      </w:numPr>
    </w:pPr>
  </w:style>
  <w:style w:type="table" w:customStyle="1" w:styleId="ECHRTableSimpleBox">
    <w:name w:val="ECHR_Table_Simple_Box"/>
    <w:basedOn w:val="TableNormal"/>
    <w:uiPriority w:val="99"/>
    <w:rsid w:val="004D7448"/>
    <w:rPr>
      <w:sz w:val="24"/>
      <w:szCs w:val="24"/>
    </w:rPr>
    <w:tblPr>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tblBorders>
      <w:tblCellMar>
        <w:top w:w="113" w:type="dxa"/>
        <w:bottom w:w="113" w:type="dxa"/>
      </w:tblCellMar>
    </w:tblPr>
  </w:style>
  <w:style w:type="table" w:customStyle="1" w:styleId="ECHRTableNoLines">
    <w:name w:val="ECHR_Table_No_Lines"/>
    <w:basedOn w:val="TableNormal"/>
    <w:uiPriority w:val="99"/>
    <w:rsid w:val="004D7448"/>
    <w:rPr>
      <w:sz w:val="24"/>
      <w:szCs w:val="24"/>
    </w:rPr>
    <w:tblPr>
      <w:tblCellMar>
        <w:top w:w="85" w:type="dxa"/>
        <w:left w:w="142" w:type="dxa"/>
        <w:bottom w:w="28" w:type="dxa"/>
        <w:right w:w="142" w:type="dxa"/>
      </w:tblCellMar>
    </w:tblPr>
    <w:tblStylePr w:type="firstRow">
      <w:rPr>
        <w:rFonts w:asciiTheme="majorHAnsi" w:hAnsiTheme="majorHAnsi"/>
        <w:b/>
        <w:i w:val="0"/>
        <w:color w:val="424242" w:themeColor="accent3" w:themeShade="BF"/>
        <w:sz w:val="24"/>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tcPr>
    </w:tblStylePr>
  </w:style>
  <w:style w:type="numbering" w:styleId="ArticleSection">
    <w:name w:val="Outline List 3"/>
    <w:basedOn w:val="NoList"/>
    <w:uiPriority w:val="99"/>
    <w:semiHidden/>
    <w:unhideWhenUsed/>
    <w:rsid w:val="004D7448"/>
    <w:pPr>
      <w:numPr>
        <w:numId w:val="5"/>
      </w:numPr>
    </w:pPr>
  </w:style>
  <w:style w:type="table" w:customStyle="1" w:styleId="ECHRTableForInternalUse">
    <w:name w:val="ECHR_Table_For_Internal_Use"/>
    <w:basedOn w:val="TableNormal"/>
    <w:uiPriority w:val="99"/>
    <w:rsid w:val="004D7448"/>
    <w:rPr>
      <w:color w:val="585858"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tblStylePr w:type="band1Vert">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l2br w:val="nil"/>
          <w:tr2bl w:val="nil"/>
        </w:tcBorders>
      </w:tcPr>
    </w:tblStylePr>
  </w:style>
  <w:style w:type="table" w:customStyle="1" w:styleId="ECHRListTable">
    <w:name w:val="ECHR_List_Table"/>
    <w:basedOn w:val="TableNormal"/>
    <w:uiPriority w:val="99"/>
    <w:rsid w:val="004D7448"/>
    <w:rPr>
      <w:sz w:val="24"/>
      <w:szCs w:val="24"/>
    </w:rPr>
    <w:tblPr>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b/>
        <w:color w:val="424242" w:themeColor="accent3" w:themeShade="BF"/>
      </w:rPr>
      <w:tblPr/>
      <w:trPr>
        <w:tblHeader/>
      </w:tr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4D7448"/>
  </w:style>
  <w:style w:type="paragraph" w:styleId="BlockText">
    <w:name w:val="Block Text"/>
    <w:basedOn w:val="Normal"/>
    <w:uiPriority w:val="98"/>
    <w:semiHidden/>
    <w:rsid w:val="004D7448"/>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4D7448"/>
    <w:rPr>
      <w:sz w:val="24"/>
      <w:szCs w:val="24"/>
    </w:rPr>
    <w:tblPr>
      <w:tblInd w:w="-1474" w:type="dxa"/>
      <w:tblBorders>
        <w:bottom w:val="single" w:sz="6" w:space="0" w:color="838383"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4D7448"/>
    <w:pPr>
      <w:spacing w:after="120"/>
    </w:pPr>
  </w:style>
  <w:style w:type="character" w:customStyle="1" w:styleId="BodyTextChar">
    <w:name w:val="Body Text Char"/>
    <w:basedOn w:val="DefaultParagraphFont"/>
    <w:link w:val="BodyText"/>
    <w:uiPriority w:val="98"/>
    <w:semiHidden/>
    <w:rsid w:val="004D7448"/>
    <w:rPr>
      <w:sz w:val="24"/>
      <w:szCs w:val="24"/>
      <w:lang w:val="ro-RO"/>
    </w:rPr>
  </w:style>
  <w:style w:type="table" w:customStyle="1" w:styleId="ECHRTableOddBanded">
    <w:name w:val="ECHR_Table_Odd_Banded"/>
    <w:basedOn w:val="TableNormal"/>
    <w:uiPriority w:val="99"/>
    <w:rsid w:val="004D7448"/>
    <w:tblPr>
      <w:tblStyleRowBandSize w:val="1"/>
      <w:tblStyleColBandSize w:val="1"/>
      <w:tbl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single" w:sz="4" w:space="0" w:color="838383" w:themeColor="text2" w:themeShade="BF"/>
        <w:insideV w:val="single" w:sz="4" w:space="0" w:color="838383" w:themeColor="text2" w:themeShade="BF"/>
      </w:tblBorders>
      <w:tblCellMar>
        <w:top w:w="28" w:type="dxa"/>
        <w:bottom w:w="28" w:type="dxa"/>
      </w:tblCellMar>
    </w:tblPr>
    <w:tblStylePr w:type="firstRow">
      <w:rPr>
        <w:rFonts w:asciiTheme="majorHAnsi" w:hAnsiTheme="majorHAnsi"/>
        <w:b/>
        <w:i w:val="0"/>
        <w:color w:val="424242" w:themeColor="accent3" w:themeShade="BF"/>
        <w:sz w:val="22"/>
      </w:rPr>
      <w:tblPr/>
      <w:tcPr>
        <w:tcBorders>
          <w:top w:val="single" w:sz="4" w:space="0" w:color="838383" w:themeColor="text2" w:themeShade="BF"/>
          <w:left w:val="single" w:sz="4" w:space="0" w:color="838383" w:themeColor="text2" w:themeShade="BF"/>
          <w:bottom w:val="single" w:sz="4" w:space="0" w:color="838383" w:themeColor="text2" w:themeShade="BF"/>
          <w:right w:val="single" w:sz="4" w:space="0" w:color="838383" w:themeColor="text2" w:themeShade="BF"/>
          <w:insideH w:val="nil"/>
          <w:insideV w:val="single" w:sz="4" w:space="0" w:color="838383"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4D7448"/>
    <w:pPr>
      <w:spacing w:after="120" w:line="480" w:lineRule="auto"/>
    </w:pPr>
  </w:style>
  <w:style w:type="table" w:customStyle="1" w:styleId="ECHRHeaderTableReduced">
    <w:name w:val="ECHR_Header_Table_Reduced"/>
    <w:basedOn w:val="TableNormal"/>
    <w:uiPriority w:val="99"/>
    <w:rsid w:val="004D7448"/>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838383" w:themeColor="text2" w:themeShade="BF"/>
          <w:right w:val="nil"/>
          <w:insideH w:val="nil"/>
          <w:insideV w:val="nil"/>
          <w:tl2br w:val="nil"/>
          <w:tr2bl w:val="nil"/>
        </w:tcBorders>
      </w:tcPr>
    </w:tblStylePr>
    <w:tblStylePr w:type="lastRow">
      <w:pPr>
        <w:jc w:val="right"/>
      </w:pPr>
      <w:tblPr/>
      <w:tcPr>
        <w:tcBorders>
          <w:top w:val="single" w:sz="6" w:space="0" w:color="838383"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Justified"/>
    <w:next w:val="JuPara"/>
    <w:uiPriority w:val="32"/>
    <w:rsid w:val="004D7448"/>
    <w:pPr>
      <w:ind w:firstLine="284"/>
    </w:pPr>
    <w:rPr>
      <w:b/>
    </w:rPr>
  </w:style>
  <w:style w:type="character" w:styleId="PageNumber">
    <w:name w:val="page number"/>
    <w:uiPriority w:val="98"/>
    <w:semiHidden/>
    <w:rsid w:val="004D7448"/>
    <w:rPr>
      <w:sz w:val="18"/>
    </w:rPr>
  </w:style>
  <w:style w:type="paragraph" w:styleId="ListBullet">
    <w:name w:val="List Bullet"/>
    <w:basedOn w:val="Normal"/>
    <w:uiPriority w:val="98"/>
    <w:semiHidden/>
    <w:rsid w:val="004D7448"/>
    <w:pPr>
      <w:numPr>
        <w:numId w:val="6"/>
      </w:numPr>
    </w:pPr>
  </w:style>
  <w:style w:type="paragraph" w:styleId="ListBullet3">
    <w:name w:val="List Bullet 3"/>
    <w:basedOn w:val="Normal"/>
    <w:uiPriority w:val="98"/>
    <w:semiHidden/>
    <w:rsid w:val="004D7448"/>
    <w:pPr>
      <w:numPr>
        <w:numId w:val="8"/>
      </w:numPr>
      <w:contextualSpacing/>
    </w:pPr>
  </w:style>
  <w:style w:type="character" w:customStyle="1" w:styleId="BodyText2Char">
    <w:name w:val="Body Text 2 Char"/>
    <w:basedOn w:val="DefaultParagraphFont"/>
    <w:link w:val="BodyText2"/>
    <w:uiPriority w:val="98"/>
    <w:semiHidden/>
    <w:rsid w:val="004D7448"/>
    <w:rPr>
      <w:sz w:val="24"/>
      <w:szCs w:val="24"/>
      <w:lang w:val="ro-RO"/>
    </w:rPr>
  </w:style>
  <w:style w:type="paragraph" w:styleId="BodyText3">
    <w:name w:val="Body Text 3"/>
    <w:basedOn w:val="Normal"/>
    <w:link w:val="BodyText3Char"/>
    <w:uiPriority w:val="98"/>
    <w:semiHidden/>
    <w:rsid w:val="004D7448"/>
    <w:pPr>
      <w:spacing w:after="120"/>
    </w:pPr>
    <w:rPr>
      <w:sz w:val="16"/>
      <w:szCs w:val="16"/>
    </w:rPr>
  </w:style>
  <w:style w:type="character" w:customStyle="1" w:styleId="BodyText3Char">
    <w:name w:val="Body Text 3 Char"/>
    <w:basedOn w:val="DefaultParagraphFont"/>
    <w:link w:val="BodyText3"/>
    <w:uiPriority w:val="98"/>
    <w:semiHidden/>
    <w:rsid w:val="004D7448"/>
    <w:rPr>
      <w:sz w:val="16"/>
      <w:szCs w:val="16"/>
      <w:lang w:val="ro-RO"/>
    </w:rPr>
  </w:style>
  <w:style w:type="paragraph" w:styleId="BodyTextFirstIndent">
    <w:name w:val="Body Text First Indent"/>
    <w:basedOn w:val="BodyText"/>
    <w:link w:val="BodyTextFirstIndentChar"/>
    <w:uiPriority w:val="98"/>
    <w:semiHidden/>
    <w:rsid w:val="004D7448"/>
    <w:pPr>
      <w:spacing w:after="0"/>
      <w:ind w:firstLine="360"/>
    </w:pPr>
  </w:style>
  <w:style w:type="character" w:customStyle="1" w:styleId="BodyTextFirstIndentChar">
    <w:name w:val="Body Text First Indent Char"/>
    <w:basedOn w:val="BodyTextChar"/>
    <w:link w:val="BodyTextFirstIndent"/>
    <w:uiPriority w:val="98"/>
    <w:semiHidden/>
    <w:rsid w:val="004D7448"/>
    <w:rPr>
      <w:sz w:val="24"/>
      <w:szCs w:val="24"/>
      <w:lang w:val="ro-RO"/>
    </w:rPr>
  </w:style>
  <w:style w:type="paragraph" w:styleId="BodyTextIndent">
    <w:name w:val="Body Text Indent"/>
    <w:basedOn w:val="Normal"/>
    <w:link w:val="BodyTextIndentChar"/>
    <w:uiPriority w:val="98"/>
    <w:semiHidden/>
    <w:rsid w:val="004D7448"/>
    <w:pPr>
      <w:spacing w:after="120"/>
      <w:ind w:left="283"/>
    </w:pPr>
  </w:style>
  <w:style w:type="character" w:customStyle="1" w:styleId="BodyTextIndentChar">
    <w:name w:val="Body Text Indent Char"/>
    <w:basedOn w:val="DefaultParagraphFont"/>
    <w:link w:val="BodyTextIndent"/>
    <w:uiPriority w:val="98"/>
    <w:semiHidden/>
    <w:rsid w:val="004D7448"/>
    <w:rPr>
      <w:sz w:val="24"/>
      <w:szCs w:val="24"/>
      <w:lang w:val="ro-RO"/>
    </w:rPr>
  </w:style>
  <w:style w:type="paragraph" w:styleId="BodyTextFirstIndent2">
    <w:name w:val="Body Text First Indent 2"/>
    <w:basedOn w:val="BodyTextIndent"/>
    <w:link w:val="BodyTextFirstIndent2Char"/>
    <w:uiPriority w:val="98"/>
    <w:semiHidden/>
    <w:rsid w:val="004D7448"/>
    <w:pPr>
      <w:spacing w:after="0"/>
      <w:ind w:left="360" w:firstLine="360"/>
    </w:pPr>
  </w:style>
  <w:style w:type="character" w:customStyle="1" w:styleId="BodyTextFirstIndent2Char">
    <w:name w:val="Body Text First Indent 2 Char"/>
    <w:basedOn w:val="BodyTextIndentChar"/>
    <w:link w:val="BodyTextFirstIndent2"/>
    <w:uiPriority w:val="98"/>
    <w:semiHidden/>
    <w:rsid w:val="004D7448"/>
    <w:rPr>
      <w:sz w:val="24"/>
      <w:szCs w:val="24"/>
      <w:lang w:val="ro-RO"/>
    </w:rPr>
  </w:style>
  <w:style w:type="paragraph" w:styleId="BodyTextIndent2">
    <w:name w:val="Body Text Indent 2"/>
    <w:basedOn w:val="Normal"/>
    <w:link w:val="BodyTextIndent2Char"/>
    <w:uiPriority w:val="98"/>
    <w:semiHidden/>
    <w:rsid w:val="004D7448"/>
    <w:pPr>
      <w:spacing w:after="120" w:line="480" w:lineRule="auto"/>
      <w:ind w:left="283"/>
    </w:pPr>
  </w:style>
  <w:style w:type="character" w:customStyle="1" w:styleId="BodyTextIndent2Char">
    <w:name w:val="Body Text Indent 2 Char"/>
    <w:basedOn w:val="DefaultParagraphFont"/>
    <w:link w:val="BodyTextIndent2"/>
    <w:uiPriority w:val="98"/>
    <w:semiHidden/>
    <w:rsid w:val="004D7448"/>
    <w:rPr>
      <w:sz w:val="24"/>
      <w:szCs w:val="24"/>
      <w:lang w:val="ro-RO"/>
    </w:rPr>
  </w:style>
  <w:style w:type="paragraph" w:styleId="BodyTextIndent3">
    <w:name w:val="Body Text Indent 3"/>
    <w:basedOn w:val="Normal"/>
    <w:link w:val="BodyTextIndent3Char"/>
    <w:uiPriority w:val="98"/>
    <w:semiHidden/>
    <w:rsid w:val="004D7448"/>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4D7448"/>
    <w:rPr>
      <w:sz w:val="16"/>
      <w:szCs w:val="16"/>
      <w:lang w:val="ro-RO"/>
    </w:rPr>
  </w:style>
  <w:style w:type="paragraph" w:styleId="Caption">
    <w:name w:val="caption"/>
    <w:basedOn w:val="Normal"/>
    <w:next w:val="Normal"/>
    <w:uiPriority w:val="98"/>
    <w:semiHidden/>
    <w:qFormat/>
    <w:rsid w:val="004D7448"/>
    <w:pPr>
      <w:spacing w:after="200"/>
    </w:pPr>
    <w:rPr>
      <w:b/>
      <w:bCs/>
      <w:color w:val="0072BC" w:themeColor="accent1"/>
      <w:sz w:val="18"/>
      <w:szCs w:val="18"/>
    </w:rPr>
  </w:style>
  <w:style w:type="paragraph" w:styleId="Closing">
    <w:name w:val="Closing"/>
    <w:basedOn w:val="Normal"/>
    <w:link w:val="ClosingChar"/>
    <w:uiPriority w:val="98"/>
    <w:semiHidden/>
    <w:rsid w:val="004D7448"/>
    <w:pPr>
      <w:ind w:left="4252"/>
    </w:pPr>
  </w:style>
  <w:style w:type="character" w:customStyle="1" w:styleId="ClosingChar">
    <w:name w:val="Closing Char"/>
    <w:basedOn w:val="DefaultParagraphFont"/>
    <w:link w:val="Closing"/>
    <w:uiPriority w:val="98"/>
    <w:semiHidden/>
    <w:rsid w:val="004D7448"/>
    <w:rPr>
      <w:sz w:val="24"/>
      <w:szCs w:val="24"/>
      <w:lang w:val="ro-RO"/>
    </w:rPr>
  </w:style>
  <w:style w:type="table" w:styleId="ColorfulGrid">
    <w:name w:val="Colorful Grid"/>
    <w:basedOn w:val="TableNormal"/>
    <w:uiPriority w:val="73"/>
    <w:semiHidden/>
    <w:rsid w:val="004D7448"/>
    <w:rPr>
      <w:color w:val="000000" w:themeColor="text1"/>
      <w:sz w:val="24"/>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4D7448"/>
    <w:rPr>
      <w:color w:val="000000" w:themeColor="text1"/>
      <w:sz w:val="24"/>
      <w:szCs w:val="24"/>
    </w:rPr>
    <w:tblPr>
      <w:tblStyleRowBandSize w:val="1"/>
      <w:tblStyleColBandSize w:val="1"/>
      <w:tblBorders>
        <w:insideH w:val="single" w:sz="4" w:space="0" w:color="FFFFFF"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FFFFFF" w:themeColor="background1"/>
      </w:rPr>
      <w:tblPr/>
      <w:tcPr>
        <w:shd w:val="clear" w:color="auto" w:fill="00548C" w:themeFill="accent1" w:themeFillShade="BF"/>
      </w:tcPr>
    </w:tblStylePr>
    <w:tblStylePr w:type="lastCol">
      <w:rPr>
        <w:color w:val="FFFFFF"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4D7448"/>
    <w:rPr>
      <w:color w:val="000000" w:themeColor="text1"/>
      <w:sz w:val="24"/>
      <w:szCs w:val="24"/>
    </w:rPr>
    <w:tblPr>
      <w:tblStyleRowBandSize w:val="1"/>
      <w:tblStyleColBandSize w:val="1"/>
      <w:tblBorders>
        <w:insideH w:val="single" w:sz="4" w:space="0" w:color="FFFFFF"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FFFFFF" w:themeColor="background1"/>
      </w:rPr>
      <w:tblPr/>
      <w:tcPr>
        <w:shd w:val="clear" w:color="auto" w:fill="8F0000" w:themeFill="accent2" w:themeFillShade="BF"/>
      </w:tcPr>
    </w:tblStylePr>
    <w:tblStylePr w:type="lastCol">
      <w:rPr>
        <w:color w:val="FFFFFF"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4D7448"/>
    <w:rPr>
      <w:color w:val="000000" w:themeColor="text1"/>
      <w:sz w:val="24"/>
      <w:szCs w:val="24"/>
    </w:rPr>
    <w:tblPr>
      <w:tblStyleRowBandSize w:val="1"/>
      <w:tblStyleColBandSize w:val="1"/>
      <w:tblBorders>
        <w:insideH w:val="single" w:sz="4" w:space="0" w:color="FFFFFF" w:themeColor="background1"/>
      </w:tblBorders>
    </w:tblPr>
    <w:tcPr>
      <w:shd w:val="clear" w:color="auto" w:fill="DDDDDD" w:themeFill="accent3" w:themeFillTint="33"/>
    </w:tcPr>
    <w:tblStylePr w:type="firstRow">
      <w:rPr>
        <w:b/>
        <w:bCs/>
      </w:rPr>
      <w:tblPr/>
      <w:tcPr>
        <w:shd w:val="clear" w:color="auto" w:fill="BCBCBC" w:themeFill="accent3" w:themeFillTint="66"/>
      </w:tcPr>
    </w:tblStylePr>
    <w:tblStylePr w:type="lastRow">
      <w:rPr>
        <w:b/>
        <w:bCs/>
        <w:color w:val="000000" w:themeColor="text1"/>
      </w:rPr>
      <w:tblPr/>
      <w:tcPr>
        <w:shd w:val="clear" w:color="auto" w:fill="BCBCBC" w:themeFill="accent3" w:themeFillTint="66"/>
      </w:tcPr>
    </w:tblStylePr>
    <w:tblStylePr w:type="firstCol">
      <w:rPr>
        <w:color w:val="FFFFFF" w:themeColor="background1"/>
      </w:rPr>
      <w:tblPr/>
      <w:tcPr>
        <w:shd w:val="clear" w:color="auto" w:fill="424242" w:themeFill="accent3" w:themeFillShade="BF"/>
      </w:tcPr>
    </w:tblStylePr>
    <w:tblStylePr w:type="lastCol">
      <w:rPr>
        <w:color w:val="FFFFFF" w:themeColor="background1"/>
      </w:rPr>
      <w:tblPr/>
      <w:tcPr>
        <w:shd w:val="clear" w:color="auto" w:fill="424242" w:themeFill="accent3" w:themeFillShade="BF"/>
      </w:tc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ColorfulGrid-Accent4">
    <w:name w:val="Colorful Grid Accent 4"/>
    <w:basedOn w:val="TableNormal"/>
    <w:uiPriority w:val="73"/>
    <w:semiHidden/>
    <w:rsid w:val="004D7448"/>
    <w:rPr>
      <w:color w:val="000000" w:themeColor="text1"/>
      <w:sz w:val="24"/>
      <w:szCs w:val="24"/>
    </w:rPr>
    <w:tblPr>
      <w:tblStyleRowBandSize w:val="1"/>
      <w:tblStyleColBandSize w:val="1"/>
      <w:tblBorders>
        <w:insideH w:val="single" w:sz="4" w:space="0" w:color="FFFFFF"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FFFFFF" w:themeColor="background1"/>
      </w:rPr>
      <w:tblPr/>
      <w:tcPr>
        <w:shd w:val="clear" w:color="auto" w:fill="707070" w:themeFill="accent4" w:themeFillShade="BF"/>
      </w:tcPr>
    </w:tblStylePr>
    <w:tblStylePr w:type="lastCol">
      <w:rPr>
        <w:color w:val="FFFFFF"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4D7448"/>
    <w:rPr>
      <w:color w:val="000000" w:themeColor="text1"/>
      <w:sz w:val="24"/>
      <w:szCs w:val="24"/>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4D7448"/>
    <w:rPr>
      <w:color w:val="000000" w:themeColor="text1"/>
      <w:sz w:val="24"/>
      <w:szCs w:val="24"/>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4D7448"/>
    <w:rPr>
      <w:color w:val="000000" w:themeColor="text1"/>
      <w:sz w:val="24"/>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4D7448"/>
    <w:rPr>
      <w:color w:val="000000" w:themeColor="text1"/>
      <w:sz w:val="24"/>
      <w:szCs w:val="24"/>
    </w:rPr>
    <w:tblPr>
      <w:tblStyleRowBandSize w:val="1"/>
      <w:tblStyleColBandSize w:val="1"/>
    </w:tblPr>
    <w:tcPr>
      <w:shd w:val="clear" w:color="auto" w:fill="DFF2FF" w:themeFill="accent1"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4D7448"/>
    <w:rPr>
      <w:color w:val="000000" w:themeColor="text1"/>
      <w:sz w:val="24"/>
      <w:szCs w:val="24"/>
    </w:rPr>
    <w:tblPr>
      <w:tblStyleRowBandSize w:val="1"/>
      <w:tblStyleColBandSize w:val="1"/>
    </w:tblPr>
    <w:tcPr>
      <w:shd w:val="clear" w:color="auto" w:fill="FFDFDF" w:themeFill="accent2" w:themeFillTint="19"/>
    </w:tcPr>
    <w:tblStylePr w:type="firstRow">
      <w:rPr>
        <w:b/>
        <w:bCs/>
        <w:color w:val="FFFFFF" w:themeColor="background1"/>
      </w:rPr>
      <w:tblPr/>
      <w:tcPr>
        <w:tcBorders>
          <w:bottom w:val="single" w:sz="12" w:space="0" w:color="FFFFFF"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4D7448"/>
    <w:rPr>
      <w:color w:val="000000" w:themeColor="text1"/>
      <w:sz w:val="24"/>
      <w:szCs w:val="24"/>
    </w:rPr>
    <w:tblPr>
      <w:tblStyleRowBandSize w:val="1"/>
      <w:tblStyleColBandSize w:val="1"/>
    </w:tblPr>
    <w:tcPr>
      <w:shd w:val="clear" w:color="auto" w:fill="EEEEEE" w:themeFill="accent3" w:themeFillTint="19"/>
    </w:tcPr>
    <w:tblStylePr w:type="firstRow">
      <w:rPr>
        <w:b/>
        <w:bCs/>
        <w:color w:val="FFFFFF" w:themeColor="background1"/>
      </w:rPr>
      <w:tblPr/>
      <w:tcPr>
        <w:tcBorders>
          <w:bottom w:val="single" w:sz="12" w:space="0" w:color="FFFFFF"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5D5" w:themeFill="accent3" w:themeFillTint="3F"/>
      </w:tcPr>
    </w:tblStylePr>
    <w:tblStylePr w:type="band1Horz">
      <w:tblPr/>
      <w:tcPr>
        <w:shd w:val="clear" w:color="auto" w:fill="DDDDDD" w:themeFill="accent3" w:themeFillTint="33"/>
      </w:tcPr>
    </w:tblStylePr>
  </w:style>
  <w:style w:type="table" w:styleId="ColorfulList-Accent4">
    <w:name w:val="Colorful List Accent 4"/>
    <w:basedOn w:val="TableNormal"/>
    <w:uiPriority w:val="72"/>
    <w:semiHidden/>
    <w:rsid w:val="004D7448"/>
    <w:rPr>
      <w:color w:val="000000" w:themeColor="text1"/>
      <w:sz w:val="24"/>
      <w:szCs w:val="24"/>
    </w:rPr>
    <w:tblPr>
      <w:tblStyleRowBandSize w:val="1"/>
      <w:tblStyleColBandSize w:val="1"/>
    </w:tblPr>
    <w:tcPr>
      <w:shd w:val="clear" w:color="auto" w:fill="F4F4F4" w:themeFill="accent4" w:themeFillTint="19"/>
    </w:tcPr>
    <w:tblStylePr w:type="firstRow">
      <w:rPr>
        <w:b/>
        <w:bCs/>
        <w:color w:val="FFFFFF" w:themeColor="background1"/>
      </w:rPr>
      <w:tblPr/>
      <w:tcPr>
        <w:tcBorders>
          <w:bottom w:val="single" w:sz="12" w:space="0" w:color="FFFFFF" w:themeColor="background1"/>
        </w:tcBorders>
        <w:shd w:val="clear" w:color="auto" w:fill="474747" w:themeFill="accent3" w:themeFillShade="CC"/>
      </w:tcPr>
    </w:tblStylePr>
    <w:tblStylePr w:type="lastRow">
      <w:rPr>
        <w:b/>
        <w:bCs/>
        <w:color w:val="47474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4D7448"/>
    <w:rPr>
      <w:color w:val="000000" w:themeColor="text1"/>
      <w:sz w:val="24"/>
      <w:szCs w:val="24"/>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4D7448"/>
    <w:rPr>
      <w:color w:val="000000" w:themeColor="text1"/>
      <w:sz w:val="24"/>
      <w:szCs w:val="24"/>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4D7448"/>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4D7448"/>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FFFFFF" w:themeColor="background1"/>
        <w:insideV w:val="single" w:sz="4" w:space="0" w:color="FFFFFF"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470" w:themeFill="accent1" w:themeFillShade="99"/>
      </w:tcPr>
    </w:tblStylePr>
    <w:tblStylePr w:type="firstCol">
      <w:rPr>
        <w:color w:val="FFFFFF"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4D7448"/>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FFFFFF" w:themeColor="background1"/>
        <w:insideV w:val="single" w:sz="4" w:space="0" w:color="FFFFFF"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2" w:themeFillShade="99"/>
      </w:tcPr>
    </w:tblStylePr>
    <w:tblStylePr w:type="firstCol">
      <w:rPr>
        <w:color w:val="FFFFFF"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4D7448"/>
    <w:rPr>
      <w:color w:val="000000" w:themeColor="text1"/>
      <w:sz w:val="24"/>
      <w:szCs w:val="24"/>
    </w:rPr>
    <w:tblPr>
      <w:tblStyleRowBandSize w:val="1"/>
      <w:tblStyleColBandSize w:val="1"/>
      <w:tblBorders>
        <w:top w:val="single" w:sz="24" w:space="0" w:color="969696" w:themeColor="accent4"/>
        <w:left w:val="single" w:sz="4" w:space="0" w:color="595959" w:themeColor="accent3"/>
        <w:bottom w:val="single" w:sz="4" w:space="0" w:color="595959" w:themeColor="accent3"/>
        <w:right w:val="single" w:sz="4" w:space="0" w:color="595959" w:themeColor="accent3"/>
        <w:insideH w:val="single" w:sz="4" w:space="0" w:color="FFFFFF" w:themeColor="background1"/>
        <w:insideV w:val="single" w:sz="4" w:space="0" w:color="FFFFFF" w:themeColor="background1"/>
      </w:tblBorders>
    </w:tblPr>
    <w:tcPr>
      <w:shd w:val="clear" w:color="auto" w:fill="EEEEEE"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3535" w:themeFill="accent3" w:themeFillShade="99"/>
      </w:tcPr>
    </w:tblStylePr>
    <w:tblStylePr w:type="firstCol">
      <w:rPr>
        <w:color w:val="FFFFFF" w:themeColor="background1"/>
      </w:rPr>
      <w:tblPr/>
      <w:tcPr>
        <w:tcBorders>
          <w:top w:val="nil"/>
          <w:left w:val="nil"/>
          <w:bottom w:val="nil"/>
          <w:right w:val="nil"/>
          <w:insideH w:val="single" w:sz="4" w:space="0" w:color="353535" w:themeColor="accent3" w:themeShade="99"/>
          <w:insideV w:val="nil"/>
        </w:tcBorders>
        <w:shd w:val="clear" w:color="auto" w:fill="35353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53535" w:themeFill="accent3" w:themeFillShade="99"/>
      </w:tcPr>
    </w:tblStylePr>
    <w:tblStylePr w:type="band1Vert">
      <w:tblPr/>
      <w:tcPr>
        <w:shd w:val="clear" w:color="auto" w:fill="BCBCBC" w:themeFill="accent3" w:themeFillTint="66"/>
      </w:tcPr>
    </w:tblStylePr>
    <w:tblStylePr w:type="band1Horz">
      <w:tblPr/>
      <w:tcPr>
        <w:shd w:val="clear" w:color="auto" w:fill="ACACAC" w:themeFill="accent3" w:themeFillTint="7F"/>
      </w:tcPr>
    </w:tblStylePr>
  </w:style>
  <w:style w:type="table" w:styleId="ColorfulShading-Accent4">
    <w:name w:val="Colorful Shading Accent 4"/>
    <w:basedOn w:val="TableNormal"/>
    <w:uiPriority w:val="71"/>
    <w:semiHidden/>
    <w:rsid w:val="004D7448"/>
    <w:rPr>
      <w:color w:val="000000" w:themeColor="text1"/>
      <w:sz w:val="24"/>
      <w:szCs w:val="24"/>
    </w:rPr>
    <w:tblPr>
      <w:tblStyleRowBandSize w:val="1"/>
      <w:tblStyleColBandSize w:val="1"/>
      <w:tblBorders>
        <w:top w:val="single" w:sz="24" w:space="0" w:color="595959" w:themeColor="accent3"/>
        <w:left w:val="single" w:sz="4" w:space="0" w:color="969696" w:themeColor="accent4"/>
        <w:bottom w:val="single" w:sz="4" w:space="0" w:color="969696" w:themeColor="accent4"/>
        <w:right w:val="single" w:sz="4" w:space="0" w:color="969696" w:themeColor="accent4"/>
        <w:insideH w:val="single" w:sz="4" w:space="0" w:color="FFFFFF" w:themeColor="background1"/>
        <w:insideV w:val="single" w:sz="4" w:space="0" w:color="FFFFFF" w:themeColor="background1"/>
      </w:tblBorders>
    </w:tblPr>
    <w:tcPr>
      <w:shd w:val="clear" w:color="auto" w:fill="F4F4F4" w:themeFill="accent4" w:themeFillTint="19"/>
    </w:tcPr>
    <w:tblStylePr w:type="firstRow">
      <w:rPr>
        <w:b/>
        <w:bCs/>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4" w:themeFillShade="99"/>
      </w:tcPr>
    </w:tblStylePr>
    <w:tblStylePr w:type="firstCol">
      <w:rPr>
        <w:color w:val="FFFFFF"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4D7448"/>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4D7448"/>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4D7448"/>
    <w:rPr>
      <w:sz w:val="16"/>
      <w:szCs w:val="16"/>
    </w:rPr>
  </w:style>
  <w:style w:type="paragraph" w:styleId="CommentText">
    <w:name w:val="annotation text"/>
    <w:basedOn w:val="Normal"/>
    <w:link w:val="CommentTextChar"/>
    <w:uiPriority w:val="98"/>
    <w:semiHidden/>
    <w:rsid w:val="004D7448"/>
    <w:rPr>
      <w:sz w:val="20"/>
      <w:szCs w:val="20"/>
    </w:rPr>
  </w:style>
  <w:style w:type="character" w:customStyle="1" w:styleId="CommentTextChar">
    <w:name w:val="Comment Text Char"/>
    <w:basedOn w:val="DefaultParagraphFont"/>
    <w:link w:val="CommentText"/>
    <w:uiPriority w:val="98"/>
    <w:semiHidden/>
    <w:rsid w:val="004D7448"/>
    <w:rPr>
      <w:sz w:val="20"/>
      <w:szCs w:val="20"/>
      <w:lang w:val="ro-RO"/>
    </w:rPr>
  </w:style>
  <w:style w:type="paragraph" w:styleId="CommentSubject">
    <w:name w:val="annotation subject"/>
    <w:basedOn w:val="CommentText"/>
    <w:next w:val="CommentText"/>
    <w:link w:val="CommentSubjectChar"/>
    <w:uiPriority w:val="98"/>
    <w:semiHidden/>
    <w:rsid w:val="004D7448"/>
    <w:rPr>
      <w:b/>
      <w:bCs/>
    </w:rPr>
  </w:style>
  <w:style w:type="character" w:customStyle="1" w:styleId="CommentSubjectChar">
    <w:name w:val="Comment Subject Char"/>
    <w:basedOn w:val="CommentTextChar"/>
    <w:link w:val="CommentSubject"/>
    <w:uiPriority w:val="98"/>
    <w:semiHidden/>
    <w:rsid w:val="004D7448"/>
    <w:rPr>
      <w:b/>
      <w:bCs/>
      <w:sz w:val="20"/>
      <w:szCs w:val="20"/>
      <w:lang w:val="ro-RO"/>
    </w:rPr>
  </w:style>
  <w:style w:type="table" w:styleId="DarkList">
    <w:name w:val="Dark List"/>
    <w:basedOn w:val="TableNormal"/>
    <w:uiPriority w:val="70"/>
    <w:semiHidden/>
    <w:rsid w:val="004D7448"/>
    <w:rPr>
      <w:color w:val="FFFFFF"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4D7448"/>
    <w:rPr>
      <w:color w:val="FFFFFF"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548C"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4D7448"/>
    <w:rPr>
      <w:color w:val="FFFFFF"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4D7448"/>
    <w:rPr>
      <w:color w:val="FFFFFF" w:themeColor="background1"/>
      <w:sz w:val="24"/>
      <w:szCs w:val="24"/>
    </w:rPr>
    <w:tblPr>
      <w:tblStyleRowBandSize w:val="1"/>
      <w:tblStyleColBandSize w:val="1"/>
    </w:tblPr>
    <w:tcPr>
      <w:shd w:val="clear" w:color="auto" w:fill="5959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C2C2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2424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24242" w:themeFill="accent3" w:themeFillShade="BF"/>
      </w:tcPr>
    </w:tblStylePr>
    <w:tblStylePr w:type="band1Vert">
      <w:tblPr/>
      <w:tcPr>
        <w:tcBorders>
          <w:top w:val="nil"/>
          <w:left w:val="nil"/>
          <w:bottom w:val="nil"/>
          <w:right w:val="nil"/>
          <w:insideH w:val="nil"/>
          <w:insideV w:val="nil"/>
        </w:tcBorders>
        <w:shd w:val="clear" w:color="auto" w:fill="424242" w:themeFill="accent3" w:themeFillShade="BF"/>
      </w:tcPr>
    </w:tblStylePr>
    <w:tblStylePr w:type="band1Horz">
      <w:tblPr/>
      <w:tcPr>
        <w:tcBorders>
          <w:top w:val="nil"/>
          <w:left w:val="nil"/>
          <w:bottom w:val="nil"/>
          <w:right w:val="nil"/>
          <w:insideH w:val="nil"/>
          <w:insideV w:val="nil"/>
        </w:tcBorders>
        <w:shd w:val="clear" w:color="auto" w:fill="424242" w:themeFill="accent3" w:themeFillShade="BF"/>
      </w:tcPr>
    </w:tblStylePr>
  </w:style>
  <w:style w:type="table" w:styleId="DarkList-Accent4">
    <w:name w:val="Dark List Accent 4"/>
    <w:basedOn w:val="TableNormal"/>
    <w:uiPriority w:val="70"/>
    <w:semiHidden/>
    <w:rsid w:val="004D7448"/>
    <w:rPr>
      <w:color w:val="FFFFFF"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4D7448"/>
    <w:rPr>
      <w:color w:val="FFFFFF"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4D7448"/>
    <w:rPr>
      <w:color w:val="FFFFFF"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4D7448"/>
  </w:style>
  <w:style w:type="character" w:customStyle="1" w:styleId="DateChar">
    <w:name w:val="Date Char"/>
    <w:basedOn w:val="DefaultParagraphFont"/>
    <w:link w:val="Date"/>
    <w:uiPriority w:val="98"/>
    <w:semiHidden/>
    <w:rsid w:val="004D7448"/>
    <w:rPr>
      <w:sz w:val="24"/>
      <w:szCs w:val="24"/>
      <w:lang w:val="ro-RO"/>
    </w:rPr>
  </w:style>
  <w:style w:type="paragraph" w:styleId="DocumentMap">
    <w:name w:val="Document Map"/>
    <w:basedOn w:val="Normal"/>
    <w:link w:val="DocumentMapChar"/>
    <w:uiPriority w:val="98"/>
    <w:semiHidden/>
    <w:rsid w:val="004D7448"/>
    <w:rPr>
      <w:rFonts w:ascii="Tahoma" w:hAnsi="Tahoma" w:cs="Tahoma"/>
      <w:sz w:val="16"/>
      <w:szCs w:val="16"/>
    </w:rPr>
  </w:style>
  <w:style w:type="character" w:customStyle="1" w:styleId="DocumentMapChar">
    <w:name w:val="Document Map Char"/>
    <w:basedOn w:val="DefaultParagraphFont"/>
    <w:link w:val="DocumentMap"/>
    <w:uiPriority w:val="98"/>
    <w:semiHidden/>
    <w:rsid w:val="004D7448"/>
    <w:rPr>
      <w:rFonts w:ascii="Tahoma" w:hAnsi="Tahoma" w:cs="Tahoma"/>
      <w:sz w:val="16"/>
      <w:szCs w:val="16"/>
      <w:lang w:val="ro-RO"/>
    </w:rPr>
  </w:style>
  <w:style w:type="paragraph" w:styleId="E-mailSignature">
    <w:name w:val="E-mail Signature"/>
    <w:basedOn w:val="Normal"/>
    <w:link w:val="E-mailSignatureChar"/>
    <w:uiPriority w:val="98"/>
    <w:semiHidden/>
    <w:rsid w:val="004D7448"/>
  </w:style>
  <w:style w:type="character" w:customStyle="1" w:styleId="E-mailSignatureChar">
    <w:name w:val="E-mail Signature Char"/>
    <w:basedOn w:val="DefaultParagraphFont"/>
    <w:link w:val="E-mailSignature"/>
    <w:uiPriority w:val="98"/>
    <w:semiHidden/>
    <w:rsid w:val="004D7448"/>
    <w:rPr>
      <w:sz w:val="24"/>
      <w:szCs w:val="24"/>
      <w:lang w:val="ro-RO"/>
    </w:rPr>
  </w:style>
  <w:style w:type="character" w:styleId="EndnoteReference">
    <w:name w:val="endnote reference"/>
    <w:basedOn w:val="DefaultParagraphFont"/>
    <w:uiPriority w:val="98"/>
    <w:semiHidden/>
    <w:rsid w:val="004D7448"/>
    <w:rPr>
      <w:vertAlign w:val="superscript"/>
    </w:rPr>
  </w:style>
  <w:style w:type="paragraph" w:styleId="EndnoteText">
    <w:name w:val="endnote text"/>
    <w:basedOn w:val="Normal"/>
    <w:link w:val="EndnoteTextChar"/>
    <w:uiPriority w:val="98"/>
    <w:semiHidden/>
    <w:rsid w:val="004D7448"/>
    <w:rPr>
      <w:sz w:val="20"/>
      <w:szCs w:val="20"/>
    </w:rPr>
  </w:style>
  <w:style w:type="character" w:customStyle="1" w:styleId="EndnoteTextChar">
    <w:name w:val="Endnote Text Char"/>
    <w:basedOn w:val="DefaultParagraphFont"/>
    <w:link w:val="EndnoteText"/>
    <w:uiPriority w:val="98"/>
    <w:semiHidden/>
    <w:rsid w:val="004D7448"/>
    <w:rPr>
      <w:sz w:val="20"/>
      <w:szCs w:val="20"/>
      <w:lang w:val="ro-RO"/>
    </w:rPr>
  </w:style>
  <w:style w:type="paragraph" w:styleId="EnvelopeAddress">
    <w:name w:val="envelope address"/>
    <w:basedOn w:val="Normal"/>
    <w:uiPriority w:val="98"/>
    <w:semiHidden/>
    <w:rsid w:val="004D7448"/>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4D7448"/>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4D7448"/>
    <w:rPr>
      <w:color w:val="7030A0" w:themeColor="followedHyperlink"/>
      <w:u w:val="single"/>
    </w:rPr>
  </w:style>
  <w:style w:type="character" w:styleId="HTMLAcronym">
    <w:name w:val="HTML Acronym"/>
    <w:basedOn w:val="DefaultParagraphFont"/>
    <w:uiPriority w:val="98"/>
    <w:semiHidden/>
    <w:rsid w:val="004D7448"/>
  </w:style>
  <w:style w:type="paragraph" w:styleId="HTMLAddress">
    <w:name w:val="HTML Address"/>
    <w:basedOn w:val="Normal"/>
    <w:link w:val="HTMLAddressChar"/>
    <w:uiPriority w:val="98"/>
    <w:semiHidden/>
    <w:rsid w:val="004D7448"/>
    <w:rPr>
      <w:i/>
      <w:iCs/>
    </w:rPr>
  </w:style>
  <w:style w:type="character" w:customStyle="1" w:styleId="HTMLAddressChar">
    <w:name w:val="HTML Address Char"/>
    <w:basedOn w:val="DefaultParagraphFont"/>
    <w:link w:val="HTMLAddress"/>
    <w:uiPriority w:val="98"/>
    <w:semiHidden/>
    <w:rsid w:val="004D7448"/>
    <w:rPr>
      <w:i/>
      <w:iCs/>
      <w:sz w:val="24"/>
      <w:szCs w:val="24"/>
      <w:lang w:val="ro-RO"/>
    </w:rPr>
  </w:style>
  <w:style w:type="character" w:styleId="HTMLCite">
    <w:name w:val="HTML Cite"/>
    <w:basedOn w:val="DefaultParagraphFont"/>
    <w:uiPriority w:val="98"/>
    <w:semiHidden/>
    <w:rsid w:val="004D7448"/>
    <w:rPr>
      <w:i/>
      <w:iCs/>
    </w:rPr>
  </w:style>
  <w:style w:type="character" w:styleId="HTMLCode">
    <w:name w:val="HTML Code"/>
    <w:basedOn w:val="DefaultParagraphFont"/>
    <w:uiPriority w:val="98"/>
    <w:semiHidden/>
    <w:rsid w:val="004D7448"/>
    <w:rPr>
      <w:rFonts w:ascii="Consolas" w:hAnsi="Consolas" w:cs="Consolas"/>
      <w:sz w:val="20"/>
      <w:szCs w:val="20"/>
    </w:rPr>
  </w:style>
  <w:style w:type="character" w:styleId="HTMLDefinition">
    <w:name w:val="HTML Definition"/>
    <w:basedOn w:val="DefaultParagraphFont"/>
    <w:uiPriority w:val="98"/>
    <w:semiHidden/>
    <w:rsid w:val="004D7448"/>
    <w:rPr>
      <w:i/>
      <w:iCs/>
    </w:rPr>
  </w:style>
  <w:style w:type="character" w:styleId="HTMLKeyboard">
    <w:name w:val="HTML Keyboard"/>
    <w:basedOn w:val="DefaultParagraphFont"/>
    <w:uiPriority w:val="98"/>
    <w:semiHidden/>
    <w:rsid w:val="004D7448"/>
    <w:rPr>
      <w:rFonts w:ascii="Consolas" w:hAnsi="Consolas" w:cs="Consolas"/>
      <w:sz w:val="20"/>
      <w:szCs w:val="20"/>
    </w:rPr>
  </w:style>
  <w:style w:type="paragraph" w:styleId="HTMLPreformatted">
    <w:name w:val="HTML Preformatted"/>
    <w:basedOn w:val="Normal"/>
    <w:link w:val="HTMLPreformattedChar"/>
    <w:uiPriority w:val="98"/>
    <w:semiHidden/>
    <w:rsid w:val="004D7448"/>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4D7448"/>
    <w:rPr>
      <w:rFonts w:ascii="Consolas" w:hAnsi="Consolas" w:cs="Consolas"/>
      <w:sz w:val="20"/>
      <w:szCs w:val="20"/>
      <w:lang w:val="ro-RO"/>
    </w:rPr>
  </w:style>
  <w:style w:type="character" w:styleId="HTMLSample">
    <w:name w:val="HTML Sample"/>
    <w:basedOn w:val="DefaultParagraphFont"/>
    <w:uiPriority w:val="98"/>
    <w:semiHidden/>
    <w:rsid w:val="004D7448"/>
    <w:rPr>
      <w:rFonts w:ascii="Consolas" w:hAnsi="Consolas" w:cs="Consolas"/>
      <w:sz w:val="24"/>
      <w:szCs w:val="24"/>
    </w:rPr>
  </w:style>
  <w:style w:type="character" w:styleId="HTMLTypewriter">
    <w:name w:val="HTML Typewriter"/>
    <w:basedOn w:val="DefaultParagraphFont"/>
    <w:uiPriority w:val="98"/>
    <w:semiHidden/>
    <w:rsid w:val="004D7448"/>
    <w:rPr>
      <w:rFonts w:ascii="Consolas" w:hAnsi="Consolas" w:cs="Consolas"/>
      <w:sz w:val="20"/>
      <w:szCs w:val="20"/>
    </w:rPr>
  </w:style>
  <w:style w:type="character" w:styleId="HTMLVariable">
    <w:name w:val="HTML Variable"/>
    <w:basedOn w:val="DefaultParagraphFont"/>
    <w:uiPriority w:val="98"/>
    <w:semiHidden/>
    <w:rsid w:val="004D7448"/>
    <w:rPr>
      <w:i/>
      <w:iCs/>
    </w:rPr>
  </w:style>
  <w:style w:type="paragraph" w:styleId="Index1">
    <w:name w:val="index 1"/>
    <w:basedOn w:val="Normal"/>
    <w:next w:val="Normal"/>
    <w:autoRedefine/>
    <w:uiPriority w:val="98"/>
    <w:semiHidden/>
    <w:rsid w:val="004D7448"/>
    <w:pPr>
      <w:ind w:left="240" w:hanging="240"/>
    </w:pPr>
  </w:style>
  <w:style w:type="paragraph" w:styleId="Index2">
    <w:name w:val="index 2"/>
    <w:basedOn w:val="Normal"/>
    <w:next w:val="Normal"/>
    <w:autoRedefine/>
    <w:uiPriority w:val="98"/>
    <w:semiHidden/>
    <w:rsid w:val="004D7448"/>
    <w:pPr>
      <w:ind w:left="480" w:hanging="240"/>
    </w:pPr>
  </w:style>
  <w:style w:type="paragraph" w:styleId="Index3">
    <w:name w:val="index 3"/>
    <w:basedOn w:val="Normal"/>
    <w:next w:val="Normal"/>
    <w:autoRedefine/>
    <w:uiPriority w:val="98"/>
    <w:semiHidden/>
    <w:rsid w:val="004D7448"/>
    <w:pPr>
      <w:ind w:left="720" w:hanging="240"/>
    </w:pPr>
  </w:style>
  <w:style w:type="paragraph" w:styleId="Index4">
    <w:name w:val="index 4"/>
    <w:basedOn w:val="Normal"/>
    <w:next w:val="Normal"/>
    <w:autoRedefine/>
    <w:uiPriority w:val="98"/>
    <w:semiHidden/>
    <w:rsid w:val="004D7448"/>
    <w:pPr>
      <w:ind w:left="960" w:hanging="240"/>
    </w:pPr>
  </w:style>
  <w:style w:type="paragraph" w:styleId="Index5">
    <w:name w:val="index 5"/>
    <w:basedOn w:val="Normal"/>
    <w:next w:val="Normal"/>
    <w:autoRedefine/>
    <w:uiPriority w:val="98"/>
    <w:semiHidden/>
    <w:rsid w:val="004D7448"/>
    <w:pPr>
      <w:ind w:left="1200" w:hanging="240"/>
    </w:pPr>
  </w:style>
  <w:style w:type="paragraph" w:styleId="Index6">
    <w:name w:val="index 6"/>
    <w:basedOn w:val="Normal"/>
    <w:next w:val="Normal"/>
    <w:autoRedefine/>
    <w:uiPriority w:val="98"/>
    <w:semiHidden/>
    <w:rsid w:val="004D7448"/>
    <w:pPr>
      <w:ind w:left="1440" w:hanging="240"/>
    </w:pPr>
  </w:style>
  <w:style w:type="paragraph" w:styleId="Index7">
    <w:name w:val="index 7"/>
    <w:basedOn w:val="Normal"/>
    <w:next w:val="Normal"/>
    <w:autoRedefine/>
    <w:uiPriority w:val="98"/>
    <w:semiHidden/>
    <w:rsid w:val="004D7448"/>
    <w:pPr>
      <w:ind w:left="1680" w:hanging="240"/>
    </w:pPr>
  </w:style>
  <w:style w:type="paragraph" w:styleId="Index8">
    <w:name w:val="index 8"/>
    <w:basedOn w:val="Normal"/>
    <w:next w:val="Normal"/>
    <w:autoRedefine/>
    <w:uiPriority w:val="98"/>
    <w:semiHidden/>
    <w:rsid w:val="004D7448"/>
    <w:pPr>
      <w:ind w:left="1920" w:hanging="240"/>
    </w:pPr>
  </w:style>
  <w:style w:type="paragraph" w:styleId="Index9">
    <w:name w:val="index 9"/>
    <w:basedOn w:val="Normal"/>
    <w:next w:val="Normal"/>
    <w:autoRedefine/>
    <w:uiPriority w:val="98"/>
    <w:semiHidden/>
    <w:rsid w:val="004D7448"/>
    <w:pPr>
      <w:ind w:left="2160" w:hanging="240"/>
    </w:pPr>
  </w:style>
  <w:style w:type="paragraph" w:styleId="IndexHeading">
    <w:name w:val="index heading"/>
    <w:basedOn w:val="Normal"/>
    <w:next w:val="Index1"/>
    <w:uiPriority w:val="98"/>
    <w:semiHidden/>
    <w:rsid w:val="004D7448"/>
    <w:rPr>
      <w:rFonts w:asciiTheme="majorHAnsi" w:eastAsiaTheme="majorEastAsia" w:hAnsiTheme="majorHAnsi" w:cstheme="majorBidi"/>
      <w:b/>
      <w:bCs/>
    </w:rPr>
  </w:style>
  <w:style w:type="table" w:styleId="LightGrid">
    <w:name w:val="Light Grid"/>
    <w:basedOn w:val="TableNormal"/>
    <w:uiPriority w:val="62"/>
    <w:semiHidden/>
    <w:rsid w:val="004D744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4D744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4D744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4D7448"/>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18" w:space="0" w:color="595959" w:themeColor="accent3"/>
          <w:right w:val="single" w:sz="8" w:space="0" w:color="595959" w:themeColor="accent3"/>
          <w:insideH w:val="nil"/>
          <w:insideV w:val="single" w:sz="8" w:space="0" w:color="5959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insideH w:val="nil"/>
          <w:insideV w:val="single" w:sz="8" w:space="0" w:color="5959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shd w:val="clear" w:color="auto" w:fill="D5D5D5" w:themeFill="accent3" w:themeFillTint="3F"/>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shd w:val="clear" w:color="auto" w:fill="D5D5D5" w:themeFill="accent3" w:themeFillTint="3F"/>
      </w:tcPr>
    </w:tblStylePr>
    <w:tblStylePr w:type="band2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insideV w:val="single" w:sz="8" w:space="0" w:color="595959" w:themeColor="accent3"/>
        </w:tcBorders>
      </w:tcPr>
    </w:tblStylePr>
  </w:style>
  <w:style w:type="table" w:styleId="LightGrid-Accent4">
    <w:name w:val="Light Grid Accent 4"/>
    <w:basedOn w:val="TableNormal"/>
    <w:uiPriority w:val="62"/>
    <w:semiHidden/>
    <w:rsid w:val="004D744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4D744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4D744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4D7448"/>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4D7448"/>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FFFFFF"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4D7448"/>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FFFFFF"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4D7448"/>
    <w:rPr>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pPr>
        <w:spacing w:before="0" w:after="0" w:line="240" w:lineRule="auto"/>
      </w:pPr>
      <w:rPr>
        <w:b/>
        <w:bCs/>
        <w:color w:val="FFFFFF" w:themeColor="background1"/>
      </w:rPr>
      <w:tblPr/>
      <w:tcPr>
        <w:shd w:val="clear" w:color="auto" w:fill="595959" w:themeFill="accent3"/>
      </w:tcPr>
    </w:tblStylePr>
    <w:tblStylePr w:type="lastRow">
      <w:pPr>
        <w:spacing w:before="0" w:after="0" w:line="240" w:lineRule="auto"/>
      </w:pPr>
      <w:rPr>
        <w:b/>
        <w:bCs/>
      </w:rPr>
      <w:tblPr/>
      <w:tcPr>
        <w:tcBorders>
          <w:top w:val="double" w:sz="6" w:space="0" w:color="595959" w:themeColor="accent3"/>
          <w:left w:val="single" w:sz="8" w:space="0" w:color="595959" w:themeColor="accent3"/>
          <w:bottom w:val="single" w:sz="8" w:space="0" w:color="595959" w:themeColor="accent3"/>
          <w:right w:val="single" w:sz="8" w:space="0" w:color="595959" w:themeColor="accent3"/>
        </w:tcBorders>
      </w:tcPr>
    </w:tblStylePr>
    <w:tblStylePr w:type="firstCol">
      <w:rPr>
        <w:b/>
        <w:bCs/>
      </w:rPr>
    </w:tblStylePr>
    <w:tblStylePr w:type="lastCol">
      <w:rPr>
        <w:b/>
        <w:bCs/>
      </w:rPr>
    </w:tblStylePr>
    <w:tblStylePr w:type="band1Vert">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tblStylePr w:type="band1Horz">
      <w:tblPr/>
      <w:tcPr>
        <w:tcBorders>
          <w:top w:val="single" w:sz="8" w:space="0" w:color="595959" w:themeColor="accent3"/>
          <w:left w:val="single" w:sz="8" w:space="0" w:color="595959" w:themeColor="accent3"/>
          <w:bottom w:val="single" w:sz="8" w:space="0" w:color="595959" w:themeColor="accent3"/>
          <w:right w:val="single" w:sz="8" w:space="0" w:color="595959" w:themeColor="accent3"/>
        </w:tcBorders>
      </w:tcPr>
    </w:tblStylePr>
  </w:style>
  <w:style w:type="table" w:styleId="LightList-Accent4">
    <w:name w:val="Light List Accent 4"/>
    <w:basedOn w:val="TableNormal"/>
    <w:uiPriority w:val="61"/>
    <w:semiHidden/>
    <w:rsid w:val="004D7448"/>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FFFFFF"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4D7448"/>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4D7448"/>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4D7448"/>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4D7448"/>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4D7448"/>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4D7448"/>
    <w:rPr>
      <w:color w:val="424242" w:themeColor="accent3" w:themeShade="BF"/>
      <w:sz w:val="24"/>
      <w:szCs w:val="24"/>
    </w:rPr>
    <w:tblPr>
      <w:tblStyleRowBandSize w:val="1"/>
      <w:tblStyleColBandSize w:val="1"/>
      <w:tblBorders>
        <w:top w:val="single" w:sz="8" w:space="0" w:color="595959" w:themeColor="accent3"/>
        <w:bottom w:val="single" w:sz="8" w:space="0" w:color="595959" w:themeColor="accent3"/>
      </w:tblBorders>
    </w:tblPr>
    <w:tblStylePr w:type="fir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lastRow">
      <w:pPr>
        <w:spacing w:before="0" w:after="0" w:line="240" w:lineRule="auto"/>
      </w:pPr>
      <w:rPr>
        <w:b/>
        <w:bCs/>
      </w:rPr>
      <w:tblPr/>
      <w:tcPr>
        <w:tcBorders>
          <w:top w:val="single" w:sz="8" w:space="0" w:color="595959" w:themeColor="accent3"/>
          <w:left w:val="nil"/>
          <w:bottom w:val="single" w:sz="8" w:space="0" w:color="5959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left w:val="nil"/>
          <w:right w:val="nil"/>
          <w:insideH w:val="nil"/>
          <w:insideV w:val="nil"/>
        </w:tcBorders>
        <w:shd w:val="clear" w:color="auto" w:fill="D5D5D5" w:themeFill="accent3" w:themeFillTint="3F"/>
      </w:tcPr>
    </w:tblStylePr>
  </w:style>
  <w:style w:type="table" w:styleId="LightShading-Accent4">
    <w:name w:val="Light Shading Accent 4"/>
    <w:basedOn w:val="TableNormal"/>
    <w:uiPriority w:val="60"/>
    <w:semiHidden/>
    <w:rsid w:val="004D7448"/>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4D7448"/>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4D7448"/>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4D7448"/>
  </w:style>
  <w:style w:type="paragraph" w:styleId="List">
    <w:name w:val="List"/>
    <w:basedOn w:val="Normal"/>
    <w:uiPriority w:val="98"/>
    <w:semiHidden/>
    <w:rsid w:val="004D7448"/>
    <w:pPr>
      <w:ind w:left="283" w:hanging="283"/>
      <w:contextualSpacing/>
    </w:pPr>
  </w:style>
  <w:style w:type="paragraph" w:styleId="List2">
    <w:name w:val="List 2"/>
    <w:basedOn w:val="Normal"/>
    <w:uiPriority w:val="98"/>
    <w:semiHidden/>
    <w:rsid w:val="004D7448"/>
    <w:pPr>
      <w:ind w:left="566" w:hanging="283"/>
      <w:contextualSpacing/>
    </w:pPr>
  </w:style>
  <w:style w:type="paragraph" w:styleId="List3">
    <w:name w:val="List 3"/>
    <w:basedOn w:val="Normal"/>
    <w:uiPriority w:val="98"/>
    <w:semiHidden/>
    <w:rsid w:val="004D7448"/>
    <w:pPr>
      <w:ind w:left="849" w:hanging="283"/>
      <w:contextualSpacing/>
    </w:pPr>
  </w:style>
  <w:style w:type="paragraph" w:styleId="List4">
    <w:name w:val="List 4"/>
    <w:basedOn w:val="Normal"/>
    <w:uiPriority w:val="98"/>
    <w:semiHidden/>
    <w:rsid w:val="004D7448"/>
    <w:pPr>
      <w:ind w:left="1132" w:hanging="283"/>
      <w:contextualSpacing/>
    </w:pPr>
  </w:style>
  <w:style w:type="paragraph" w:styleId="List5">
    <w:name w:val="List 5"/>
    <w:basedOn w:val="Normal"/>
    <w:uiPriority w:val="98"/>
    <w:semiHidden/>
    <w:rsid w:val="004D7448"/>
    <w:pPr>
      <w:ind w:left="1415" w:hanging="283"/>
      <w:contextualSpacing/>
    </w:pPr>
  </w:style>
  <w:style w:type="paragraph" w:styleId="ListBullet2">
    <w:name w:val="List Bullet 2"/>
    <w:basedOn w:val="Normal"/>
    <w:uiPriority w:val="98"/>
    <w:semiHidden/>
    <w:rsid w:val="004D7448"/>
    <w:pPr>
      <w:numPr>
        <w:numId w:val="7"/>
      </w:numPr>
      <w:contextualSpacing/>
    </w:pPr>
  </w:style>
  <w:style w:type="paragraph" w:styleId="ListBullet4">
    <w:name w:val="List Bullet 4"/>
    <w:basedOn w:val="Normal"/>
    <w:uiPriority w:val="98"/>
    <w:semiHidden/>
    <w:rsid w:val="004D7448"/>
    <w:pPr>
      <w:numPr>
        <w:numId w:val="9"/>
      </w:numPr>
      <w:contextualSpacing/>
    </w:pPr>
  </w:style>
  <w:style w:type="paragraph" w:styleId="ListBullet5">
    <w:name w:val="List Bullet 5"/>
    <w:basedOn w:val="Normal"/>
    <w:uiPriority w:val="98"/>
    <w:semiHidden/>
    <w:rsid w:val="004D7448"/>
    <w:pPr>
      <w:numPr>
        <w:numId w:val="10"/>
      </w:numPr>
      <w:contextualSpacing/>
    </w:pPr>
  </w:style>
  <w:style w:type="paragraph" w:styleId="ListContinue">
    <w:name w:val="List Continue"/>
    <w:basedOn w:val="Normal"/>
    <w:uiPriority w:val="98"/>
    <w:semiHidden/>
    <w:rsid w:val="004D7448"/>
    <w:pPr>
      <w:spacing w:after="120"/>
      <w:ind w:left="283"/>
      <w:contextualSpacing/>
    </w:pPr>
  </w:style>
  <w:style w:type="paragraph" w:styleId="ListContinue2">
    <w:name w:val="List Continue 2"/>
    <w:basedOn w:val="Normal"/>
    <w:uiPriority w:val="98"/>
    <w:semiHidden/>
    <w:rsid w:val="004D7448"/>
    <w:pPr>
      <w:spacing w:after="120"/>
      <w:ind w:left="566"/>
      <w:contextualSpacing/>
    </w:pPr>
  </w:style>
  <w:style w:type="paragraph" w:styleId="ListContinue3">
    <w:name w:val="List Continue 3"/>
    <w:basedOn w:val="Normal"/>
    <w:uiPriority w:val="98"/>
    <w:semiHidden/>
    <w:rsid w:val="004D7448"/>
    <w:pPr>
      <w:spacing w:after="120"/>
      <w:ind w:left="849"/>
      <w:contextualSpacing/>
    </w:pPr>
  </w:style>
  <w:style w:type="paragraph" w:styleId="ListContinue4">
    <w:name w:val="List Continue 4"/>
    <w:basedOn w:val="Normal"/>
    <w:uiPriority w:val="98"/>
    <w:semiHidden/>
    <w:rsid w:val="004D7448"/>
    <w:pPr>
      <w:spacing w:after="120"/>
      <w:ind w:left="1132"/>
      <w:contextualSpacing/>
    </w:pPr>
  </w:style>
  <w:style w:type="paragraph" w:styleId="ListContinue5">
    <w:name w:val="List Continue 5"/>
    <w:basedOn w:val="Normal"/>
    <w:uiPriority w:val="98"/>
    <w:semiHidden/>
    <w:rsid w:val="004D7448"/>
    <w:pPr>
      <w:spacing w:after="120"/>
      <w:ind w:left="1415"/>
      <w:contextualSpacing/>
    </w:pPr>
  </w:style>
  <w:style w:type="paragraph" w:styleId="ListNumber">
    <w:name w:val="List Number"/>
    <w:basedOn w:val="Normal"/>
    <w:uiPriority w:val="98"/>
    <w:semiHidden/>
    <w:rsid w:val="004D7448"/>
    <w:pPr>
      <w:numPr>
        <w:numId w:val="11"/>
      </w:numPr>
      <w:contextualSpacing/>
    </w:pPr>
  </w:style>
  <w:style w:type="paragraph" w:styleId="ListNumber2">
    <w:name w:val="List Number 2"/>
    <w:basedOn w:val="Normal"/>
    <w:uiPriority w:val="98"/>
    <w:semiHidden/>
    <w:rsid w:val="004D7448"/>
    <w:pPr>
      <w:numPr>
        <w:numId w:val="12"/>
      </w:numPr>
      <w:contextualSpacing/>
    </w:pPr>
  </w:style>
  <w:style w:type="paragraph" w:styleId="ListNumber3">
    <w:name w:val="List Number 3"/>
    <w:basedOn w:val="Normal"/>
    <w:uiPriority w:val="98"/>
    <w:semiHidden/>
    <w:rsid w:val="004D7448"/>
    <w:pPr>
      <w:numPr>
        <w:numId w:val="13"/>
      </w:numPr>
      <w:contextualSpacing/>
    </w:pPr>
  </w:style>
  <w:style w:type="paragraph" w:styleId="ListNumber4">
    <w:name w:val="List Number 4"/>
    <w:basedOn w:val="Normal"/>
    <w:uiPriority w:val="98"/>
    <w:semiHidden/>
    <w:rsid w:val="004D7448"/>
    <w:pPr>
      <w:numPr>
        <w:numId w:val="14"/>
      </w:numPr>
      <w:contextualSpacing/>
    </w:pPr>
  </w:style>
  <w:style w:type="paragraph" w:styleId="ListNumber5">
    <w:name w:val="List Number 5"/>
    <w:basedOn w:val="Normal"/>
    <w:uiPriority w:val="98"/>
    <w:semiHidden/>
    <w:rsid w:val="004D7448"/>
    <w:pPr>
      <w:numPr>
        <w:numId w:val="15"/>
      </w:numPr>
      <w:contextualSpacing/>
    </w:pPr>
  </w:style>
  <w:style w:type="paragraph" w:styleId="MacroText">
    <w:name w:val="macro"/>
    <w:link w:val="MacroTextChar"/>
    <w:uiPriority w:val="98"/>
    <w:semiHidden/>
    <w:rsid w:val="004D7448"/>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4D7448"/>
    <w:rPr>
      <w:rFonts w:ascii="Consolas" w:eastAsiaTheme="minorEastAsia" w:hAnsi="Consolas" w:cs="Consolas"/>
      <w:sz w:val="20"/>
      <w:szCs w:val="20"/>
    </w:rPr>
  </w:style>
  <w:style w:type="table" w:styleId="MediumGrid1">
    <w:name w:val="Medium Grid 1"/>
    <w:basedOn w:val="TableNormal"/>
    <w:uiPriority w:val="67"/>
    <w:semiHidden/>
    <w:rsid w:val="004D744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4D744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4D744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4D7448"/>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insideV w:val="single" w:sz="8" w:space="0" w:color="828282" w:themeColor="accent3" w:themeTint="BF"/>
      </w:tblBorders>
    </w:tblPr>
    <w:tcPr>
      <w:shd w:val="clear" w:color="auto" w:fill="D5D5D5" w:themeFill="accent3" w:themeFillTint="3F"/>
    </w:tcPr>
    <w:tblStylePr w:type="firstRow">
      <w:rPr>
        <w:b/>
        <w:bCs/>
      </w:rPr>
    </w:tblStylePr>
    <w:tblStylePr w:type="lastRow">
      <w:rPr>
        <w:b/>
        <w:bCs/>
      </w:rPr>
      <w:tblPr/>
      <w:tcPr>
        <w:tcBorders>
          <w:top w:val="single" w:sz="18" w:space="0" w:color="828282" w:themeColor="accent3" w:themeTint="BF"/>
        </w:tcBorders>
      </w:tcPr>
    </w:tblStylePr>
    <w:tblStylePr w:type="firstCol">
      <w:rPr>
        <w:b/>
        <w:bCs/>
      </w:rPr>
    </w:tblStylePr>
    <w:tblStylePr w:type="lastCol">
      <w:rPr>
        <w:b/>
        <w:bCs/>
      </w:rPr>
    </w:tblStylePr>
    <w:tblStylePr w:type="band1Vert">
      <w:tblPr/>
      <w:tcPr>
        <w:shd w:val="clear" w:color="auto" w:fill="ACACAC" w:themeFill="accent3" w:themeFillTint="7F"/>
      </w:tcPr>
    </w:tblStylePr>
    <w:tblStylePr w:type="band1Horz">
      <w:tblPr/>
      <w:tcPr>
        <w:shd w:val="clear" w:color="auto" w:fill="ACACAC" w:themeFill="accent3" w:themeFillTint="7F"/>
      </w:tcPr>
    </w:tblStylePr>
  </w:style>
  <w:style w:type="table" w:styleId="MediumGrid1-Accent4">
    <w:name w:val="Medium Grid 1 Accent 4"/>
    <w:basedOn w:val="TableNormal"/>
    <w:uiPriority w:val="67"/>
    <w:semiHidden/>
    <w:rsid w:val="004D744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4D744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4D744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4D744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4D744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4D744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4D7448"/>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insideH w:val="single" w:sz="8" w:space="0" w:color="595959" w:themeColor="accent3"/>
        <w:insideV w:val="single" w:sz="8" w:space="0" w:color="595959" w:themeColor="accent3"/>
      </w:tblBorders>
    </w:tblPr>
    <w:tcPr>
      <w:shd w:val="clear" w:color="auto" w:fill="D5D5D5" w:themeFill="accent3" w:themeFillTint="3F"/>
    </w:tcPr>
    <w:tblStylePr w:type="firstRow">
      <w:rPr>
        <w:b/>
        <w:bCs/>
        <w:color w:val="000000" w:themeColor="text1"/>
      </w:rPr>
      <w:tblPr/>
      <w:tcPr>
        <w:shd w:val="clear" w:color="auto" w:fill="EEEE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DDDD" w:themeFill="accent3" w:themeFillTint="33"/>
      </w:tcPr>
    </w:tblStylePr>
    <w:tblStylePr w:type="band1Vert">
      <w:tblPr/>
      <w:tcPr>
        <w:shd w:val="clear" w:color="auto" w:fill="ACACAC" w:themeFill="accent3" w:themeFillTint="7F"/>
      </w:tcPr>
    </w:tblStylePr>
    <w:tblStylePr w:type="band1Horz">
      <w:tblPr/>
      <w:tcPr>
        <w:tcBorders>
          <w:insideH w:val="single" w:sz="6" w:space="0" w:color="595959" w:themeColor="accent3"/>
          <w:insideV w:val="single" w:sz="6" w:space="0" w:color="595959" w:themeColor="accent3"/>
        </w:tcBorders>
        <w:shd w:val="clear" w:color="auto" w:fill="ACAC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4D744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4D744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4D744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4D744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4D744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FDF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72BC"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72BC"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72BC"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EBF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EBFFF" w:themeFill="accent1" w:themeFillTint="7F"/>
      </w:tcPr>
    </w:tblStylePr>
  </w:style>
  <w:style w:type="table" w:styleId="MediumGrid3-Accent2">
    <w:name w:val="Medium Grid 3 Accent 2"/>
    <w:basedOn w:val="TableNormal"/>
    <w:uiPriority w:val="69"/>
    <w:semiHidden/>
    <w:rsid w:val="004D744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2" w:themeFillTint="7F"/>
      </w:tcPr>
    </w:tblStylePr>
  </w:style>
  <w:style w:type="table" w:styleId="MediumGrid3-Accent3">
    <w:name w:val="Medium Grid 3 Accent 3"/>
    <w:basedOn w:val="TableNormal"/>
    <w:uiPriority w:val="69"/>
    <w:semiHidden/>
    <w:rsid w:val="004D744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5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959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959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959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CAC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CACAC" w:themeFill="accent3" w:themeFillTint="7F"/>
      </w:tcPr>
    </w:tblStylePr>
  </w:style>
  <w:style w:type="table" w:styleId="MediumGrid3-Accent4">
    <w:name w:val="Medium Grid 3 Accent 4"/>
    <w:basedOn w:val="TableNormal"/>
    <w:uiPriority w:val="69"/>
    <w:semiHidden/>
    <w:rsid w:val="004D744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4" w:themeFillTint="7F"/>
      </w:tcPr>
    </w:tblStylePr>
  </w:style>
  <w:style w:type="table" w:styleId="MediumGrid3-Accent5">
    <w:name w:val="Medium Grid 3 Accent 5"/>
    <w:basedOn w:val="TableNormal"/>
    <w:uiPriority w:val="69"/>
    <w:semiHidden/>
    <w:rsid w:val="004D744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rsid w:val="004D7448"/>
    <w:rPr>
      <w:sz w:val="24"/>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rsid w:val="004D7448"/>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0B0B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4D7448"/>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B0B0B0"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4D7448"/>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B0B0B0"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4D7448"/>
    <w:rPr>
      <w:color w:val="000000" w:themeColor="text1"/>
      <w:sz w:val="24"/>
      <w:szCs w:val="24"/>
    </w:rPr>
    <w:tblPr>
      <w:tblStyleRowBandSize w:val="1"/>
      <w:tblStyleColBandSize w:val="1"/>
      <w:tblBorders>
        <w:top w:val="single" w:sz="8" w:space="0" w:color="595959" w:themeColor="accent3"/>
        <w:bottom w:val="single" w:sz="8" w:space="0" w:color="595959" w:themeColor="accent3"/>
      </w:tblBorders>
    </w:tblPr>
    <w:tblStylePr w:type="firstRow">
      <w:rPr>
        <w:rFonts w:asciiTheme="majorHAnsi" w:eastAsiaTheme="majorEastAsia" w:hAnsiTheme="majorHAnsi" w:cstheme="majorBidi"/>
      </w:rPr>
      <w:tblPr/>
      <w:tcPr>
        <w:tcBorders>
          <w:top w:val="nil"/>
          <w:bottom w:val="single" w:sz="8" w:space="0" w:color="595959" w:themeColor="accent3"/>
        </w:tcBorders>
      </w:tcPr>
    </w:tblStylePr>
    <w:tblStylePr w:type="lastRow">
      <w:rPr>
        <w:b/>
        <w:bCs/>
        <w:color w:val="B0B0B0" w:themeColor="text2"/>
      </w:rPr>
      <w:tblPr/>
      <w:tcPr>
        <w:tcBorders>
          <w:top w:val="single" w:sz="8" w:space="0" w:color="595959" w:themeColor="accent3"/>
          <w:bottom w:val="single" w:sz="8" w:space="0" w:color="595959" w:themeColor="accent3"/>
        </w:tcBorders>
      </w:tcPr>
    </w:tblStylePr>
    <w:tblStylePr w:type="firstCol">
      <w:rPr>
        <w:b/>
        <w:bCs/>
      </w:rPr>
    </w:tblStylePr>
    <w:tblStylePr w:type="lastCol">
      <w:rPr>
        <w:b/>
        <w:bCs/>
      </w:rPr>
      <w:tblPr/>
      <w:tcPr>
        <w:tcBorders>
          <w:top w:val="single" w:sz="8" w:space="0" w:color="595959" w:themeColor="accent3"/>
          <w:bottom w:val="single" w:sz="8" w:space="0" w:color="595959" w:themeColor="accent3"/>
        </w:tcBorders>
      </w:tcPr>
    </w:tblStylePr>
    <w:tblStylePr w:type="band1Vert">
      <w:tblPr/>
      <w:tcPr>
        <w:shd w:val="clear" w:color="auto" w:fill="D5D5D5" w:themeFill="accent3" w:themeFillTint="3F"/>
      </w:tcPr>
    </w:tblStylePr>
    <w:tblStylePr w:type="band1Horz">
      <w:tblPr/>
      <w:tcPr>
        <w:shd w:val="clear" w:color="auto" w:fill="D5D5D5" w:themeFill="accent3" w:themeFillTint="3F"/>
      </w:tcPr>
    </w:tblStylePr>
  </w:style>
  <w:style w:type="table" w:styleId="MediumList1-Accent4">
    <w:name w:val="Medium List 1 Accent 4"/>
    <w:basedOn w:val="TableNormal"/>
    <w:uiPriority w:val="65"/>
    <w:semiHidden/>
    <w:rsid w:val="004D7448"/>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B0B0B0"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4D7448"/>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B0B0B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4D7448"/>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B0B0B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4D7448"/>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4D7448"/>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FFFFFF" w:themeFill="background1"/>
      </w:tcPr>
    </w:tblStylePr>
    <w:tblStylePr w:type="lastRow">
      <w:tblPr/>
      <w:tcPr>
        <w:tcBorders>
          <w:top w:val="single" w:sz="8" w:space="0" w:color="0072BC"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72BC" w:themeColor="accent1"/>
          <w:insideH w:val="nil"/>
          <w:insideV w:val="nil"/>
        </w:tcBorders>
        <w:shd w:val="clear" w:color="auto" w:fill="FFFFFF" w:themeFill="background1"/>
      </w:tcPr>
    </w:tblStylePr>
    <w:tblStylePr w:type="lastCol">
      <w:tblPr/>
      <w:tcPr>
        <w:tcBorders>
          <w:top w:val="nil"/>
          <w:left w:val="single" w:sz="8" w:space="0" w:color="0072BC"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4D7448"/>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FFFFFF" w:themeFill="background1"/>
      </w:tcPr>
    </w:tblStylePr>
    <w:tblStylePr w:type="lastRow">
      <w:tblPr/>
      <w:tcPr>
        <w:tcBorders>
          <w:top w:val="single" w:sz="8" w:space="0" w:color="C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2"/>
          <w:insideH w:val="nil"/>
          <w:insideV w:val="nil"/>
        </w:tcBorders>
        <w:shd w:val="clear" w:color="auto" w:fill="FFFFFF" w:themeFill="background1"/>
      </w:tcPr>
    </w:tblStylePr>
    <w:tblStylePr w:type="lastCol">
      <w:tblPr/>
      <w:tcPr>
        <w:tcBorders>
          <w:top w:val="nil"/>
          <w:left w:val="single" w:sz="8" w:space="0" w:color="C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4D7448"/>
    <w:rPr>
      <w:rFonts w:asciiTheme="majorHAnsi" w:eastAsiaTheme="majorEastAsia" w:hAnsiTheme="majorHAnsi" w:cstheme="majorBidi"/>
      <w:color w:val="000000" w:themeColor="text1"/>
      <w:sz w:val="24"/>
      <w:szCs w:val="24"/>
    </w:rPr>
    <w:tblPr>
      <w:tblStyleRowBandSize w:val="1"/>
      <w:tblStyleColBandSize w:val="1"/>
      <w:tblBorders>
        <w:top w:val="single" w:sz="8" w:space="0" w:color="595959" w:themeColor="accent3"/>
        <w:left w:val="single" w:sz="8" w:space="0" w:color="595959" w:themeColor="accent3"/>
        <w:bottom w:val="single" w:sz="8" w:space="0" w:color="595959" w:themeColor="accent3"/>
        <w:right w:val="single" w:sz="8" w:space="0" w:color="595959" w:themeColor="accent3"/>
      </w:tblBorders>
    </w:tblPr>
    <w:tblStylePr w:type="firstRow">
      <w:rPr>
        <w:sz w:val="24"/>
        <w:szCs w:val="24"/>
      </w:rPr>
      <w:tblPr/>
      <w:tcPr>
        <w:tcBorders>
          <w:top w:val="nil"/>
          <w:left w:val="nil"/>
          <w:bottom w:val="single" w:sz="24" w:space="0" w:color="595959" w:themeColor="accent3"/>
          <w:right w:val="nil"/>
          <w:insideH w:val="nil"/>
          <w:insideV w:val="nil"/>
        </w:tcBorders>
        <w:shd w:val="clear" w:color="auto" w:fill="FFFFFF" w:themeFill="background1"/>
      </w:tcPr>
    </w:tblStylePr>
    <w:tblStylePr w:type="lastRow">
      <w:tblPr/>
      <w:tcPr>
        <w:tcBorders>
          <w:top w:val="single" w:sz="8" w:space="0" w:color="5959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95959" w:themeColor="accent3"/>
          <w:insideH w:val="nil"/>
          <w:insideV w:val="nil"/>
        </w:tcBorders>
        <w:shd w:val="clear" w:color="auto" w:fill="FFFFFF" w:themeFill="background1"/>
      </w:tcPr>
    </w:tblStylePr>
    <w:tblStylePr w:type="lastCol">
      <w:tblPr/>
      <w:tcPr>
        <w:tcBorders>
          <w:top w:val="nil"/>
          <w:left w:val="single" w:sz="8" w:space="0" w:color="5959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5D5" w:themeFill="accent3" w:themeFillTint="3F"/>
      </w:tcPr>
    </w:tblStylePr>
    <w:tblStylePr w:type="band1Horz">
      <w:tblPr/>
      <w:tcPr>
        <w:tcBorders>
          <w:top w:val="nil"/>
          <w:bottom w:val="nil"/>
          <w:insideH w:val="nil"/>
          <w:insideV w:val="nil"/>
        </w:tcBorders>
        <w:shd w:val="clear" w:color="auto" w:fill="D5D5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4D7448"/>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FFFFFF" w:themeFill="background1"/>
      </w:tcPr>
    </w:tblStylePr>
    <w:tblStylePr w:type="lastRow">
      <w:tblPr/>
      <w:tcPr>
        <w:tcBorders>
          <w:top w:val="single" w:sz="8" w:space="0" w:color="96969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4"/>
          <w:insideH w:val="nil"/>
          <w:insideV w:val="nil"/>
        </w:tcBorders>
        <w:shd w:val="clear" w:color="auto" w:fill="FFFFFF" w:themeFill="background1"/>
      </w:tcPr>
    </w:tblStylePr>
    <w:tblStylePr w:type="lastCol">
      <w:tblPr/>
      <w:tcPr>
        <w:tcBorders>
          <w:top w:val="nil"/>
          <w:left w:val="single" w:sz="8" w:space="0" w:color="96969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4D7448"/>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4D7448"/>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4D7448"/>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4D7448"/>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FFFFFF"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4D7448"/>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FFFFFF"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4D7448"/>
    <w:rPr>
      <w:sz w:val="24"/>
      <w:szCs w:val="24"/>
    </w:rPr>
    <w:tblPr>
      <w:tblStyleRowBandSize w:val="1"/>
      <w:tblStyleColBandSize w:val="1"/>
      <w:tbl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single" w:sz="8" w:space="0" w:color="828282" w:themeColor="accent3" w:themeTint="BF"/>
      </w:tblBorders>
    </w:tblPr>
    <w:tblStylePr w:type="firstRow">
      <w:pPr>
        <w:spacing w:before="0" w:after="0" w:line="240" w:lineRule="auto"/>
      </w:pPr>
      <w:rPr>
        <w:b/>
        <w:bCs/>
        <w:color w:val="FFFFFF" w:themeColor="background1"/>
      </w:rPr>
      <w:tblPr/>
      <w:tcPr>
        <w:tcBorders>
          <w:top w:val="single" w:sz="8"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shd w:val="clear" w:color="auto" w:fill="595959" w:themeFill="accent3"/>
      </w:tcPr>
    </w:tblStylePr>
    <w:tblStylePr w:type="lastRow">
      <w:pPr>
        <w:spacing w:before="0" w:after="0" w:line="240" w:lineRule="auto"/>
      </w:pPr>
      <w:rPr>
        <w:b/>
        <w:bCs/>
      </w:rPr>
      <w:tblPr/>
      <w:tcPr>
        <w:tcBorders>
          <w:top w:val="double" w:sz="6" w:space="0" w:color="828282" w:themeColor="accent3" w:themeTint="BF"/>
          <w:left w:val="single" w:sz="8" w:space="0" w:color="828282" w:themeColor="accent3" w:themeTint="BF"/>
          <w:bottom w:val="single" w:sz="8" w:space="0" w:color="828282" w:themeColor="accent3" w:themeTint="BF"/>
          <w:right w:val="single" w:sz="8" w:space="0" w:color="8282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5D5" w:themeFill="accent3" w:themeFillTint="3F"/>
      </w:tcPr>
    </w:tblStylePr>
    <w:tblStylePr w:type="band1Horz">
      <w:tblPr/>
      <w:tcPr>
        <w:tcBorders>
          <w:insideH w:val="nil"/>
          <w:insideV w:val="nil"/>
        </w:tcBorders>
        <w:shd w:val="clear" w:color="auto" w:fill="D5D5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4D7448"/>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FFFFFF"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4D7448"/>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4D7448"/>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4D74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4D74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FFFFFF"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4D74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FFFFFF"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4D74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959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95959" w:themeFill="accent3"/>
      </w:tcPr>
    </w:tblStylePr>
    <w:tblStylePr w:type="lastCol">
      <w:rPr>
        <w:b/>
        <w:bCs/>
        <w:color w:val="FFFFFF" w:themeColor="background1"/>
      </w:rPr>
      <w:tblPr/>
      <w:tcPr>
        <w:tcBorders>
          <w:left w:val="nil"/>
          <w:right w:val="nil"/>
          <w:insideH w:val="nil"/>
          <w:insideV w:val="nil"/>
        </w:tcBorders>
        <w:shd w:val="clear" w:color="auto" w:fill="5959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4D74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FFFFFF"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4D74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4D7448"/>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4D744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4D7448"/>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4D7448"/>
    <w:rPr>
      <w:rFonts w:ascii="Times New Roman" w:hAnsi="Times New Roman" w:cs="Times New Roman"/>
    </w:rPr>
  </w:style>
  <w:style w:type="paragraph" w:styleId="NormalIndent">
    <w:name w:val="Normal Indent"/>
    <w:basedOn w:val="Normal"/>
    <w:uiPriority w:val="98"/>
    <w:semiHidden/>
    <w:rsid w:val="004D7448"/>
    <w:pPr>
      <w:ind w:left="720"/>
    </w:pPr>
  </w:style>
  <w:style w:type="paragraph" w:styleId="NoteHeading">
    <w:name w:val="Note Heading"/>
    <w:basedOn w:val="Normal"/>
    <w:next w:val="Normal"/>
    <w:link w:val="NoteHeadingChar"/>
    <w:uiPriority w:val="98"/>
    <w:semiHidden/>
    <w:rsid w:val="004D7448"/>
  </w:style>
  <w:style w:type="character" w:customStyle="1" w:styleId="NoteHeadingChar">
    <w:name w:val="Note Heading Char"/>
    <w:basedOn w:val="DefaultParagraphFont"/>
    <w:link w:val="NoteHeading"/>
    <w:uiPriority w:val="98"/>
    <w:semiHidden/>
    <w:rsid w:val="004D7448"/>
    <w:rPr>
      <w:sz w:val="24"/>
      <w:szCs w:val="24"/>
      <w:lang w:val="ro-RO"/>
    </w:rPr>
  </w:style>
  <w:style w:type="character" w:styleId="PlaceholderText">
    <w:name w:val="Placeholder Text"/>
    <w:basedOn w:val="DefaultParagraphFont"/>
    <w:uiPriority w:val="98"/>
    <w:semiHidden/>
    <w:rsid w:val="004D7448"/>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4D7448"/>
    <w:rPr>
      <w:rFonts w:ascii="Consolas" w:hAnsi="Consolas" w:cs="Consolas"/>
      <w:sz w:val="21"/>
      <w:szCs w:val="21"/>
    </w:rPr>
  </w:style>
  <w:style w:type="character" w:customStyle="1" w:styleId="PlainTextChar">
    <w:name w:val="Plain Text Char"/>
    <w:basedOn w:val="DefaultParagraphFont"/>
    <w:link w:val="PlainText"/>
    <w:uiPriority w:val="98"/>
    <w:semiHidden/>
    <w:rsid w:val="004D7448"/>
    <w:rPr>
      <w:rFonts w:ascii="Consolas" w:hAnsi="Consolas" w:cs="Consolas"/>
      <w:sz w:val="21"/>
      <w:szCs w:val="21"/>
      <w:lang w:val="ro-RO"/>
    </w:rPr>
  </w:style>
  <w:style w:type="paragraph" w:styleId="Salutation">
    <w:name w:val="Salutation"/>
    <w:basedOn w:val="Normal"/>
    <w:next w:val="Normal"/>
    <w:link w:val="SalutationChar"/>
    <w:uiPriority w:val="98"/>
    <w:semiHidden/>
    <w:rsid w:val="004D7448"/>
  </w:style>
  <w:style w:type="character" w:customStyle="1" w:styleId="SalutationChar">
    <w:name w:val="Salutation Char"/>
    <w:basedOn w:val="DefaultParagraphFont"/>
    <w:link w:val="Salutation"/>
    <w:uiPriority w:val="98"/>
    <w:semiHidden/>
    <w:rsid w:val="004D7448"/>
    <w:rPr>
      <w:sz w:val="24"/>
      <w:szCs w:val="24"/>
      <w:lang w:val="ro-RO"/>
    </w:rPr>
  </w:style>
  <w:style w:type="paragraph" w:styleId="Signature">
    <w:name w:val="Signature"/>
    <w:basedOn w:val="Normal"/>
    <w:link w:val="SignatureChar"/>
    <w:uiPriority w:val="98"/>
    <w:semiHidden/>
    <w:rsid w:val="004D7448"/>
    <w:pPr>
      <w:ind w:left="4252"/>
    </w:pPr>
  </w:style>
  <w:style w:type="character" w:customStyle="1" w:styleId="SignatureChar">
    <w:name w:val="Signature Char"/>
    <w:basedOn w:val="DefaultParagraphFont"/>
    <w:link w:val="Signature"/>
    <w:uiPriority w:val="98"/>
    <w:semiHidden/>
    <w:rsid w:val="004D7448"/>
    <w:rPr>
      <w:sz w:val="24"/>
      <w:szCs w:val="24"/>
      <w:lang w:val="ro-RO"/>
    </w:rPr>
  </w:style>
  <w:style w:type="table" w:styleId="Table3Deffects1">
    <w:name w:val="Table 3D effects 1"/>
    <w:basedOn w:val="TableNormal"/>
    <w:uiPriority w:val="99"/>
    <w:semiHidden/>
    <w:unhideWhenUsed/>
    <w:rsid w:val="004D7448"/>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7448"/>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7448"/>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7448"/>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7448"/>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7448"/>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7448"/>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7448"/>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7448"/>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7448"/>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7448"/>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7448"/>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7448"/>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7448"/>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7448"/>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7448"/>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7448"/>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744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7448"/>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7448"/>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7448"/>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744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7448"/>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7448"/>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7448"/>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7448"/>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7448"/>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7448"/>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7448"/>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744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744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7448"/>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7448"/>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4D7448"/>
    <w:pPr>
      <w:ind w:left="240" w:hanging="240"/>
    </w:pPr>
  </w:style>
  <w:style w:type="paragraph" w:styleId="TableofFigures">
    <w:name w:val="table of figures"/>
    <w:basedOn w:val="Normal"/>
    <w:next w:val="Normal"/>
    <w:uiPriority w:val="98"/>
    <w:semiHidden/>
    <w:rsid w:val="004D7448"/>
  </w:style>
  <w:style w:type="table" w:styleId="TableProfessional">
    <w:name w:val="Table Professional"/>
    <w:basedOn w:val="TableNormal"/>
    <w:uiPriority w:val="99"/>
    <w:semiHidden/>
    <w:unhideWhenUsed/>
    <w:rsid w:val="004D7448"/>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7448"/>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7448"/>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7448"/>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7448"/>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7448"/>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7448"/>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7448"/>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7448"/>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7448"/>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4D7448"/>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4D7448"/>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4D7448"/>
    <w:pPr>
      <w:spacing w:after="100"/>
      <w:ind w:left="1680"/>
    </w:pPr>
  </w:style>
  <w:style w:type="paragraph" w:styleId="TOC9">
    <w:name w:val="toc 9"/>
    <w:basedOn w:val="Normal"/>
    <w:next w:val="Normal"/>
    <w:autoRedefine/>
    <w:uiPriority w:val="98"/>
    <w:semiHidden/>
    <w:rsid w:val="004D7448"/>
    <w:pPr>
      <w:spacing w:after="100"/>
      <w:ind w:left="1920"/>
    </w:pPr>
  </w:style>
  <w:style w:type="paragraph" w:customStyle="1" w:styleId="ECHRFooter">
    <w:name w:val="ECHR_Footer"/>
    <w:aliases w:val="Footer_ECHR"/>
    <w:basedOn w:val="Footer0"/>
    <w:uiPriority w:val="57"/>
    <w:semiHidden/>
    <w:rsid w:val="0064393B"/>
    <w:rPr>
      <w:sz w:val="8"/>
    </w:rPr>
  </w:style>
  <w:style w:type="paragraph" w:customStyle="1" w:styleId="ECHRFooterLine">
    <w:name w:val="ECHR_Footer_Line"/>
    <w:aliases w:val="_Footer_Line"/>
    <w:basedOn w:val="Normal"/>
    <w:next w:val="Normal"/>
    <w:uiPriority w:val="30"/>
    <w:semiHidden/>
    <w:rsid w:val="004D7448"/>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4D7448"/>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4D7448"/>
    <w:pPr>
      <w:keepNext/>
      <w:keepLines/>
      <w:spacing w:before="1320" w:after="280"/>
      <w:contextualSpacing/>
      <w:jc w:val="center"/>
    </w:pPr>
    <w:rPr>
      <w:b/>
    </w:rPr>
  </w:style>
  <w:style w:type="paragraph" w:customStyle="1" w:styleId="ECHRHeaderLandscape">
    <w:name w:val="ECHR_Header_Landscape"/>
    <w:aliases w:val="_Header_Landscape"/>
    <w:basedOn w:val="JuHeader"/>
    <w:uiPriority w:val="29"/>
    <w:semiHidden/>
    <w:rsid w:val="004D7448"/>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4D7448"/>
    <w:pPr>
      <w:numPr>
        <w:numId w:val="19"/>
      </w:numPr>
      <w:spacing w:before="60" w:after="60"/>
    </w:pPr>
  </w:style>
  <w:style w:type="paragraph" w:customStyle="1" w:styleId="ECHRBullet2">
    <w:name w:val="ECHR_Bullet_2"/>
    <w:aliases w:val="_Bul_2"/>
    <w:basedOn w:val="ECHRBullet1"/>
    <w:uiPriority w:val="23"/>
    <w:semiHidden/>
    <w:rsid w:val="004D7448"/>
    <w:pPr>
      <w:numPr>
        <w:ilvl w:val="1"/>
      </w:numPr>
    </w:pPr>
  </w:style>
  <w:style w:type="paragraph" w:customStyle="1" w:styleId="ECHRBullet3">
    <w:name w:val="ECHR_Bullet_3"/>
    <w:aliases w:val="_Bul_3"/>
    <w:basedOn w:val="ECHRBullet2"/>
    <w:uiPriority w:val="23"/>
    <w:semiHidden/>
    <w:rsid w:val="004D7448"/>
    <w:pPr>
      <w:numPr>
        <w:ilvl w:val="2"/>
      </w:numPr>
    </w:pPr>
  </w:style>
  <w:style w:type="paragraph" w:customStyle="1" w:styleId="ECHRBullet4">
    <w:name w:val="ECHR_Bullet_4"/>
    <w:aliases w:val="_Bul_4"/>
    <w:basedOn w:val="ECHRBullet3"/>
    <w:uiPriority w:val="23"/>
    <w:semiHidden/>
    <w:rsid w:val="004D7448"/>
    <w:pPr>
      <w:numPr>
        <w:ilvl w:val="3"/>
      </w:numPr>
    </w:pPr>
  </w:style>
  <w:style w:type="paragraph" w:customStyle="1" w:styleId="ECHRConfidential">
    <w:name w:val="ECHR_Confidential"/>
    <w:aliases w:val="_Confidential"/>
    <w:basedOn w:val="Normal"/>
    <w:next w:val="Normal"/>
    <w:uiPriority w:val="42"/>
    <w:semiHidden/>
    <w:qFormat/>
    <w:rsid w:val="004D7448"/>
    <w:pPr>
      <w:jc w:val="right"/>
    </w:pPr>
    <w:rPr>
      <w:color w:val="C00000"/>
      <w:sz w:val="20"/>
    </w:rPr>
  </w:style>
  <w:style w:type="paragraph" w:customStyle="1" w:styleId="ECHRDecisionBody">
    <w:name w:val="ECHR_Decision_Body"/>
    <w:aliases w:val="_Decision_Body"/>
    <w:basedOn w:val="NormalJustified"/>
    <w:uiPriority w:val="54"/>
    <w:semiHidden/>
    <w:rsid w:val="004D7448"/>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4D7448"/>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4D7448"/>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4D7448"/>
    <w:pPr>
      <w:pBdr>
        <w:top w:val="single" w:sz="8" w:space="1" w:color="7F7F7F" w:themeColor="text1" w:themeTint="80"/>
      </w:pBdr>
      <w:tabs>
        <w:tab w:val="center" w:pos="6146"/>
        <w:tab w:val="right" w:pos="12293"/>
      </w:tabs>
      <w:ind w:left="-1474" w:right="-1474"/>
    </w:pPr>
    <w:rPr>
      <w:color w:val="424242" w:themeColor="accent3" w:themeShade="BF"/>
      <w:sz w:val="22"/>
    </w:rPr>
  </w:style>
  <w:style w:type="paragraph" w:customStyle="1" w:styleId="ECHRHeaderDate">
    <w:name w:val="ECHR_Header_Date"/>
    <w:aliases w:val="_Ref_Date"/>
    <w:basedOn w:val="Normal"/>
    <w:uiPriority w:val="44"/>
    <w:semiHidden/>
    <w:qFormat/>
    <w:rsid w:val="004D7448"/>
    <w:pPr>
      <w:jc w:val="right"/>
    </w:pPr>
    <w:rPr>
      <w:sz w:val="20"/>
    </w:rPr>
  </w:style>
  <w:style w:type="paragraph" w:customStyle="1" w:styleId="ECHRHeaderRefIt">
    <w:name w:val="ECHR_Header_Ref_It"/>
    <w:aliases w:val="_Ref_Ital"/>
    <w:basedOn w:val="Normal"/>
    <w:next w:val="ECHRHeaderDate"/>
    <w:uiPriority w:val="43"/>
    <w:semiHidden/>
    <w:qFormat/>
    <w:rsid w:val="004D7448"/>
    <w:pPr>
      <w:jc w:val="right"/>
    </w:pPr>
    <w:rPr>
      <w:i/>
      <w:sz w:val="20"/>
    </w:rPr>
  </w:style>
  <w:style w:type="paragraph" w:customStyle="1" w:styleId="ECHRHeading9">
    <w:name w:val="ECHR_Heading_9"/>
    <w:aliases w:val="_Head_9"/>
    <w:basedOn w:val="Heading9"/>
    <w:uiPriority w:val="17"/>
    <w:semiHidden/>
    <w:rsid w:val="004D7448"/>
    <w:pPr>
      <w:keepNext/>
      <w:keepLines/>
      <w:numPr>
        <w:ilvl w:val="8"/>
        <w:numId w:val="21"/>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4D7448"/>
    <w:pPr>
      <w:pBdr>
        <w:bottom w:val="single" w:sz="12" w:space="1" w:color="838383"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4D7448"/>
    <w:pPr>
      <w:numPr>
        <w:numId w:val="20"/>
      </w:numPr>
      <w:spacing w:before="60" w:after="60"/>
    </w:pPr>
  </w:style>
  <w:style w:type="paragraph" w:customStyle="1" w:styleId="ECHRNumberedList2">
    <w:name w:val="ECHR_Numbered_List_2"/>
    <w:aliases w:val="_Num_2"/>
    <w:basedOn w:val="ECHRNumberedList1"/>
    <w:uiPriority w:val="23"/>
    <w:semiHidden/>
    <w:rsid w:val="004D7448"/>
    <w:pPr>
      <w:numPr>
        <w:ilvl w:val="1"/>
      </w:numPr>
    </w:pPr>
  </w:style>
  <w:style w:type="paragraph" w:customStyle="1" w:styleId="ECHRNumberedList3">
    <w:name w:val="ECHR_Numbered_List_3"/>
    <w:aliases w:val="_Num_3"/>
    <w:basedOn w:val="ECHRNumberedList2"/>
    <w:uiPriority w:val="23"/>
    <w:semiHidden/>
    <w:rsid w:val="004D7448"/>
    <w:pPr>
      <w:numPr>
        <w:ilvl w:val="2"/>
      </w:numPr>
    </w:pPr>
  </w:style>
  <w:style w:type="paragraph" w:customStyle="1" w:styleId="ECHRParaHanging">
    <w:name w:val="ECHR_Para_Hanging"/>
    <w:aliases w:val="_Hanging"/>
    <w:basedOn w:val="NormalJustified"/>
    <w:uiPriority w:val="8"/>
    <w:semiHidden/>
    <w:qFormat/>
    <w:rsid w:val="004D7448"/>
    <w:pPr>
      <w:ind w:left="567" w:hanging="567"/>
    </w:pPr>
  </w:style>
  <w:style w:type="paragraph" w:customStyle="1" w:styleId="ECHRParaIndent">
    <w:name w:val="ECHR_Para_Indent"/>
    <w:aliases w:val="_Indent"/>
    <w:basedOn w:val="NormalJustified"/>
    <w:uiPriority w:val="7"/>
    <w:semiHidden/>
    <w:qFormat/>
    <w:rsid w:val="004D7448"/>
    <w:pPr>
      <w:spacing w:before="120" w:after="120"/>
      <w:ind w:left="284"/>
    </w:pPr>
  </w:style>
  <w:style w:type="character" w:customStyle="1" w:styleId="ECHRRed">
    <w:name w:val="ECHR_Red"/>
    <w:aliases w:val="_Red"/>
    <w:basedOn w:val="DefaultParagraphFont"/>
    <w:uiPriority w:val="15"/>
    <w:semiHidden/>
    <w:qFormat/>
    <w:rsid w:val="004D7448"/>
    <w:rPr>
      <w:color w:val="C00000" w:themeColor="accent2"/>
    </w:rPr>
  </w:style>
  <w:style w:type="paragraph" w:customStyle="1" w:styleId="DecList">
    <w:name w:val="Dec_List"/>
    <w:aliases w:val="_List"/>
    <w:basedOn w:val="JuList"/>
    <w:uiPriority w:val="22"/>
    <w:rsid w:val="004D7448"/>
    <w:pPr>
      <w:numPr>
        <w:numId w:val="0"/>
      </w:numPr>
      <w:ind w:left="284"/>
    </w:pPr>
  </w:style>
  <w:style w:type="table" w:customStyle="1" w:styleId="ECHRTable2">
    <w:name w:val="ECHR_Table_2"/>
    <w:basedOn w:val="TableNormal"/>
    <w:uiPriority w:val="99"/>
    <w:rsid w:val="004D7448"/>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4D7448"/>
    <w:rPr>
      <w:sz w:val="24"/>
      <w:szCs w:val="24"/>
    </w:rPr>
    <w:tblPr>
      <w:tblStyleRowBandSize w:val="1"/>
      <w:tblStyleColBandSize w:val="1"/>
      <w:jc w:val="center"/>
      <w:tbl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595959"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single" w:sz="4" w:space="0" w:color="595959" w:themeColor="accent3"/>
          <w:insideV w:val="single" w:sz="4" w:space="0" w:color="F8F8F8" w:themeColor="background2"/>
          <w:tl2br w:val="nil"/>
          <w:tr2bl w:val="nil"/>
        </w:tcBorders>
        <w:shd w:val="clear" w:color="auto" w:fill="595959" w:themeFill="accent3"/>
      </w:tcPr>
    </w:tblStylePr>
    <w:tblStylePr w:type="lastRow">
      <w:rPr>
        <w:b/>
        <w:i w:val="0"/>
      </w:rPr>
      <w:tblPr/>
      <w:tcPr>
        <w:tcBorders>
          <w:top w:val="single" w:sz="8" w:space="0" w:color="595959" w:themeColor="accent3"/>
          <w:left w:val="single" w:sz="4" w:space="0" w:color="595959" w:themeColor="accent3"/>
          <w:bottom w:val="single" w:sz="8" w:space="0" w:color="595959" w:themeColor="accent3"/>
          <w:right w:val="single" w:sz="4" w:space="0" w:color="595959" w:themeColor="accent3"/>
          <w:insideH w:val="nil"/>
          <w:insideV w:val="single" w:sz="4" w:space="0" w:color="595959"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lastCol">
      <w:rPr>
        <w:b/>
        <w:i w:val="0"/>
      </w:rPr>
    </w:tblStylePr>
    <w:tblStylePr w:type="band2Vert">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l2br w:val="nil"/>
          <w:tr2bl w:val="nil"/>
        </w:tcBorders>
        <w:shd w:val="clear" w:color="auto" w:fill="DFDFDF"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DFDFDF" w:themeFill="text2" w:themeFillTint="66"/>
      </w:tcPr>
    </w:tblStylePr>
  </w:style>
  <w:style w:type="paragraph" w:customStyle="1" w:styleId="ECHRTitle1">
    <w:name w:val="ECHR_Title_1"/>
    <w:aliases w:val="_Title_L_1"/>
    <w:basedOn w:val="Normal"/>
    <w:next w:val="Normal"/>
    <w:uiPriority w:val="28"/>
    <w:semiHidden/>
    <w:qFormat/>
    <w:rsid w:val="004D7448"/>
    <w:pPr>
      <w:keepNext/>
      <w:keepLines/>
      <w:spacing w:before="240"/>
      <w:contextualSpacing/>
    </w:pPr>
    <w:rPr>
      <w:rFonts w:asciiTheme="majorHAnsi" w:hAnsiTheme="majorHAnsi"/>
      <w:b/>
      <w:color w:val="2C2C2C" w:themeColor="accent3" w:themeShade="80"/>
      <w:sz w:val="32"/>
    </w:rPr>
  </w:style>
  <w:style w:type="paragraph" w:customStyle="1" w:styleId="ECHRTitle2">
    <w:name w:val="ECHR_Title_2"/>
    <w:aliases w:val="_Title_L_2"/>
    <w:basedOn w:val="Normal"/>
    <w:next w:val="Normal"/>
    <w:uiPriority w:val="28"/>
    <w:semiHidden/>
    <w:qFormat/>
    <w:rsid w:val="004D7448"/>
    <w:pPr>
      <w:keepNext/>
      <w:keepLines/>
      <w:spacing w:before="240"/>
      <w:contextualSpacing/>
    </w:pPr>
    <w:rPr>
      <w:rFonts w:asciiTheme="majorHAnsi" w:hAnsiTheme="majorHAnsi"/>
      <w:b/>
      <w:color w:val="424242" w:themeColor="accent3" w:themeShade="BF"/>
      <w:sz w:val="28"/>
    </w:rPr>
  </w:style>
  <w:style w:type="paragraph" w:customStyle="1" w:styleId="ECHRTitle3">
    <w:name w:val="ECHR_Title_3"/>
    <w:aliases w:val="_Title_L_3"/>
    <w:basedOn w:val="Normal"/>
    <w:next w:val="Normal"/>
    <w:uiPriority w:val="28"/>
    <w:semiHidden/>
    <w:qFormat/>
    <w:rsid w:val="004D7448"/>
    <w:pPr>
      <w:keepNext/>
      <w:keepLines/>
      <w:spacing w:before="240"/>
      <w:contextualSpacing/>
    </w:pPr>
    <w:rPr>
      <w:rFonts w:asciiTheme="majorHAnsi" w:hAnsiTheme="majorHAnsi"/>
      <w:b/>
      <w:color w:val="424242" w:themeColor="accent3" w:themeShade="BF"/>
    </w:rPr>
  </w:style>
  <w:style w:type="paragraph" w:customStyle="1" w:styleId="ECHRTitleCentre1">
    <w:name w:val="ECHR_Title_Centre_1"/>
    <w:aliases w:val="_Title_C_1"/>
    <w:basedOn w:val="Normal"/>
    <w:next w:val="Normal"/>
    <w:uiPriority w:val="26"/>
    <w:semiHidden/>
    <w:qFormat/>
    <w:rsid w:val="004D7448"/>
    <w:pPr>
      <w:keepNext/>
      <w:keepLines/>
      <w:spacing w:before="240"/>
      <w:contextualSpacing/>
      <w:jc w:val="center"/>
    </w:pPr>
    <w:rPr>
      <w:rFonts w:asciiTheme="majorHAnsi" w:hAnsiTheme="majorHAnsi"/>
      <w:b/>
      <w:color w:val="2C2C2C" w:themeColor="accent3" w:themeShade="80"/>
      <w:sz w:val="32"/>
    </w:rPr>
  </w:style>
  <w:style w:type="paragraph" w:customStyle="1" w:styleId="ECHRTitleCentre2">
    <w:name w:val="ECHR_Title_Centre_2"/>
    <w:aliases w:val="_Title_C_2"/>
    <w:basedOn w:val="Normal"/>
    <w:next w:val="Normal"/>
    <w:uiPriority w:val="26"/>
    <w:semiHidden/>
    <w:qFormat/>
    <w:rsid w:val="004D7448"/>
    <w:pPr>
      <w:keepNext/>
      <w:keepLines/>
      <w:spacing w:before="240"/>
      <w:contextualSpacing/>
      <w:jc w:val="center"/>
    </w:pPr>
    <w:rPr>
      <w:rFonts w:asciiTheme="majorHAnsi" w:hAnsiTheme="majorHAnsi"/>
      <w:b/>
      <w:color w:val="424242" w:themeColor="accent3" w:themeShade="BF"/>
      <w:sz w:val="28"/>
    </w:rPr>
  </w:style>
  <w:style w:type="paragraph" w:customStyle="1" w:styleId="ECHRTitleCentre3">
    <w:name w:val="ECHR_Title_Centre_3"/>
    <w:aliases w:val="_Title_C_3"/>
    <w:basedOn w:val="Normal"/>
    <w:next w:val="Normal"/>
    <w:uiPriority w:val="26"/>
    <w:semiHidden/>
    <w:qFormat/>
    <w:rsid w:val="004D7448"/>
    <w:pPr>
      <w:keepNext/>
      <w:keepLines/>
      <w:spacing w:before="240"/>
      <w:contextualSpacing/>
      <w:jc w:val="center"/>
    </w:pPr>
    <w:rPr>
      <w:rFonts w:asciiTheme="majorHAnsi" w:hAnsiTheme="majorHAnsi"/>
      <w:b/>
      <w:color w:val="424242" w:themeColor="accent3" w:themeShade="BF"/>
    </w:rPr>
  </w:style>
  <w:style w:type="paragraph" w:customStyle="1" w:styleId="ECHRTitleCentreTOC1">
    <w:name w:val="ECHR_Title_Centre_TOC_1"/>
    <w:aliases w:val="_Title_C_TOC"/>
    <w:basedOn w:val="ECHRTitleCentre1"/>
    <w:next w:val="Normal"/>
    <w:uiPriority w:val="25"/>
    <w:semiHidden/>
    <w:qFormat/>
    <w:rsid w:val="004D7448"/>
    <w:pPr>
      <w:outlineLvl w:val="0"/>
    </w:pPr>
  </w:style>
  <w:style w:type="paragraph" w:customStyle="1" w:styleId="ECHRTitleTOC1">
    <w:name w:val="ECHR_Title_TOC_1"/>
    <w:aliases w:val="_Title_L_TOC"/>
    <w:basedOn w:val="ECHRTitle1"/>
    <w:next w:val="Normal"/>
    <w:uiPriority w:val="27"/>
    <w:semiHidden/>
    <w:qFormat/>
    <w:rsid w:val="004D7448"/>
    <w:pPr>
      <w:outlineLvl w:val="0"/>
    </w:pPr>
  </w:style>
  <w:style w:type="paragraph" w:customStyle="1" w:styleId="ECHRPlaceholder">
    <w:name w:val="ECHR_Placeholder"/>
    <w:aliases w:val="_Placeholder"/>
    <w:basedOn w:val="JuSigned"/>
    <w:uiPriority w:val="31"/>
    <w:rsid w:val="004D7448"/>
    <w:rPr>
      <w:color w:val="FFFFFF"/>
    </w:rPr>
  </w:style>
  <w:style w:type="paragraph" w:customStyle="1" w:styleId="ECHRSpacer">
    <w:name w:val="ECHR_Spacer"/>
    <w:aliases w:val="_Spacer"/>
    <w:basedOn w:val="Normal"/>
    <w:uiPriority w:val="45"/>
    <w:semiHidden/>
    <w:rsid w:val="004D7448"/>
    <w:rPr>
      <w:sz w:val="4"/>
    </w:rPr>
  </w:style>
  <w:style w:type="table" w:customStyle="1" w:styleId="ECHRTableGrey">
    <w:name w:val="ECHR_Table_Grey"/>
    <w:basedOn w:val="TableNormal"/>
    <w:uiPriority w:val="99"/>
    <w:rsid w:val="004D7448"/>
    <w:pPr>
      <w:tabs>
        <w:tab w:val="left" w:pos="397"/>
      </w:tabs>
    </w:pPr>
    <w:tblPr>
      <w:jc w:val="center"/>
      <w:tblBorders>
        <w:top w:val="single" w:sz="4" w:space="0" w:color="585858" w:themeColor="text2" w:themeShade="80"/>
        <w:left w:val="single" w:sz="4" w:space="0" w:color="585858" w:themeColor="text2" w:themeShade="80"/>
        <w:bottom w:val="single" w:sz="4" w:space="0" w:color="585858" w:themeColor="text2" w:themeShade="80"/>
        <w:right w:val="single" w:sz="4" w:space="0" w:color="585858"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1">
    <w:name w:val="Unresolved Mention1"/>
    <w:basedOn w:val="DefaultParagraphFont"/>
    <w:uiPriority w:val="99"/>
    <w:semiHidden/>
    <w:unhideWhenUsed/>
    <w:rsid w:val="004D7448"/>
    <w:rPr>
      <w:color w:val="605E5C"/>
      <w:shd w:val="clear" w:color="auto" w:fill="E1DFDD"/>
    </w:rPr>
  </w:style>
  <w:style w:type="character" w:customStyle="1" w:styleId="JuParaChar">
    <w:name w:val="Ju_Para Char"/>
    <w:aliases w:val="_Para Char"/>
    <w:link w:val="JuPara"/>
    <w:uiPriority w:val="4"/>
    <w:rsid w:val="005C0312"/>
    <w:rPr>
      <w:sz w:val="24"/>
      <w:szCs w:val="24"/>
      <w:lang w:val="ro-RO"/>
    </w:rPr>
  </w:style>
  <w:style w:type="table" w:styleId="GridTable1Light">
    <w:name w:val="Grid Table 1 Light"/>
    <w:basedOn w:val="TableNormal"/>
    <w:uiPriority w:val="46"/>
    <w:semiHidden/>
    <w:rsid w:val="0064754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64754D"/>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64754D"/>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64754D"/>
    <w:tblPr>
      <w:tblStyleRowBandSize w:val="1"/>
      <w:tblStyleColBandSize w:val="1"/>
      <w:tblBorders>
        <w:top w:val="single" w:sz="4" w:space="0" w:color="BCBCBC" w:themeColor="accent3" w:themeTint="66"/>
        <w:left w:val="single" w:sz="4" w:space="0" w:color="BCBCBC" w:themeColor="accent3" w:themeTint="66"/>
        <w:bottom w:val="single" w:sz="4" w:space="0" w:color="BCBCBC" w:themeColor="accent3" w:themeTint="66"/>
        <w:right w:val="single" w:sz="4" w:space="0" w:color="BCBCBC" w:themeColor="accent3" w:themeTint="66"/>
        <w:insideH w:val="single" w:sz="4" w:space="0" w:color="BCBCBC" w:themeColor="accent3" w:themeTint="66"/>
        <w:insideV w:val="single" w:sz="4" w:space="0" w:color="BCBCBC" w:themeColor="accent3" w:themeTint="66"/>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2" w:space="0" w:color="9B9B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64754D"/>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64754D"/>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64754D"/>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64754D"/>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64754D"/>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FFFFFF" w:themeFill="background1"/>
      </w:tcPr>
    </w:tblStylePr>
    <w:tblStylePr w:type="lastRow">
      <w:rPr>
        <w:b/>
        <w:bCs/>
      </w:rPr>
      <w:tblPr/>
      <w:tcPr>
        <w:tcBorders>
          <w:top w:val="double" w:sz="2" w:space="0" w:color="3DB2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64754D"/>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FFFFFF" w:themeFill="background1"/>
      </w:tcPr>
    </w:tblStylePr>
    <w:tblStylePr w:type="lastRow">
      <w:rPr>
        <w:b/>
        <w:bCs/>
      </w:rPr>
      <w:tblPr/>
      <w:tcPr>
        <w:tcBorders>
          <w:top w:val="double" w:sz="2" w:space="0" w:color="FF404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64754D"/>
    <w:tblPr>
      <w:tblStyleRowBandSize w:val="1"/>
      <w:tblStyleColBandSize w:val="1"/>
      <w:tblBorders>
        <w:top w:val="single" w:sz="2" w:space="0" w:color="9B9B9B" w:themeColor="accent3" w:themeTint="99"/>
        <w:bottom w:val="single" w:sz="2" w:space="0" w:color="9B9B9B" w:themeColor="accent3" w:themeTint="99"/>
        <w:insideH w:val="single" w:sz="2" w:space="0" w:color="9B9B9B" w:themeColor="accent3" w:themeTint="99"/>
        <w:insideV w:val="single" w:sz="2" w:space="0" w:color="9B9B9B" w:themeColor="accent3" w:themeTint="99"/>
      </w:tblBorders>
    </w:tblPr>
    <w:tblStylePr w:type="firstRow">
      <w:rPr>
        <w:b/>
        <w:bCs/>
      </w:rPr>
      <w:tblPr/>
      <w:tcPr>
        <w:tcBorders>
          <w:top w:val="nil"/>
          <w:bottom w:val="single" w:sz="12" w:space="0" w:color="9B9B9B" w:themeColor="accent3" w:themeTint="99"/>
          <w:insideH w:val="nil"/>
          <w:insideV w:val="nil"/>
        </w:tcBorders>
        <w:shd w:val="clear" w:color="auto" w:fill="FFFFFF" w:themeFill="background1"/>
      </w:tcPr>
    </w:tblStylePr>
    <w:tblStylePr w:type="lastRow">
      <w:rPr>
        <w:b/>
        <w:bCs/>
      </w:rPr>
      <w:tblPr/>
      <w:tcPr>
        <w:tcBorders>
          <w:top w:val="double" w:sz="2" w:space="0" w:color="9B9B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2-Accent4">
    <w:name w:val="Grid Table 2 Accent 4"/>
    <w:basedOn w:val="TableNormal"/>
    <w:uiPriority w:val="47"/>
    <w:semiHidden/>
    <w:rsid w:val="0064754D"/>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FFFFFF" w:themeFill="background1"/>
      </w:tcPr>
    </w:tblStylePr>
    <w:tblStylePr w:type="lastRow">
      <w:rPr>
        <w:b/>
        <w:bCs/>
      </w:rPr>
      <w:tblPr/>
      <w:tcPr>
        <w:tcBorders>
          <w:top w:val="double" w:sz="2" w:space="0" w:color="C0C0C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64754D"/>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64754D"/>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64754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64754D"/>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64754D"/>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64754D"/>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3-Accent4">
    <w:name w:val="Grid Table 3 Accent 4"/>
    <w:basedOn w:val="TableNormal"/>
    <w:uiPriority w:val="48"/>
    <w:semiHidden/>
    <w:rsid w:val="0064754D"/>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64754D"/>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64754D"/>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64754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64754D"/>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64754D"/>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64754D"/>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insideV w:val="nil"/>
        </w:tcBorders>
        <w:shd w:val="clear" w:color="auto" w:fill="595959" w:themeFill="accent3"/>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4-Accent4">
    <w:name w:val="Grid Table 4 Accent 4"/>
    <w:basedOn w:val="TableNormal"/>
    <w:uiPriority w:val="49"/>
    <w:semiHidden/>
    <w:rsid w:val="0064754D"/>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64754D"/>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64754D"/>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6475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6475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EE5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2B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2B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2B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6475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BFB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6475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DD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959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959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959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95959" w:themeFill="accent3"/>
      </w:tcPr>
    </w:tblStylePr>
    <w:tblStylePr w:type="band1Vert">
      <w:tblPr/>
      <w:tcPr>
        <w:shd w:val="clear" w:color="auto" w:fill="BCBCBC" w:themeFill="accent3" w:themeFillTint="66"/>
      </w:tcPr>
    </w:tblStylePr>
    <w:tblStylePr w:type="band1Horz">
      <w:tblPr/>
      <w:tcPr>
        <w:shd w:val="clear" w:color="auto" w:fill="BCBCBC" w:themeFill="accent3" w:themeFillTint="66"/>
      </w:tcPr>
    </w:tblStylePr>
  </w:style>
  <w:style w:type="table" w:styleId="GridTable5Dark-Accent4">
    <w:name w:val="Grid Table 5 Dark Accent 4"/>
    <w:basedOn w:val="TableNormal"/>
    <w:uiPriority w:val="50"/>
    <w:semiHidden/>
    <w:rsid w:val="006475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6475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64754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64754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64754D"/>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64754D"/>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64754D"/>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bottom w:val="single" w:sz="12" w:space="0" w:color="9B9B9B" w:themeColor="accent3" w:themeTint="99"/>
        </w:tcBorders>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GridTable6Colorful-Accent4">
    <w:name w:val="Grid Table 6 Colorful Accent 4"/>
    <w:basedOn w:val="TableNormal"/>
    <w:uiPriority w:val="51"/>
    <w:semiHidden/>
    <w:rsid w:val="0064754D"/>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64754D"/>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64754D"/>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64754D"/>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64754D"/>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64754D"/>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64754D"/>
    <w:rPr>
      <w:color w:val="424242" w:themeColor="accent3" w:themeShade="BF"/>
    </w:rPr>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insideV w:val="single" w:sz="4" w:space="0" w:color="9B9B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bottom w:val="single" w:sz="4" w:space="0" w:color="9B9B9B" w:themeColor="accent3" w:themeTint="99"/>
        </w:tcBorders>
      </w:tcPr>
    </w:tblStylePr>
    <w:tblStylePr w:type="nwCell">
      <w:tblPr/>
      <w:tcPr>
        <w:tcBorders>
          <w:bottom w:val="single" w:sz="4" w:space="0" w:color="9B9B9B" w:themeColor="accent3" w:themeTint="99"/>
        </w:tcBorders>
      </w:tcPr>
    </w:tblStylePr>
    <w:tblStylePr w:type="seCell">
      <w:tblPr/>
      <w:tcPr>
        <w:tcBorders>
          <w:top w:val="single" w:sz="4" w:space="0" w:color="9B9B9B" w:themeColor="accent3" w:themeTint="99"/>
        </w:tcBorders>
      </w:tcPr>
    </w:tblStylePr>
    <w:tblStylePr w:type="swCell">
      <w:tblPr/>
      <w:tcPr>
        <w:tcBorders>
          <w:top w:val="single" w:sz="4" w:space="0" w:color="9B9B9B" w:themeColor="accent3" w:themeTint="99"/>
        </w:tcBorders>
      </w:tcPr>
    </w:tblStylePr>
  </w:style>
  <w:style w:type="table" w:styleId="GridTable7Colorful-Accent4">
    <w:name w:val="Grid Table 7 Colorful Accent 4"/>
    <w:basedOn w:val="TableNormal"/>
    <w:uiPriority w:val="52"/>
    <w:semiHidden/>
    <w:rsid w:val="0064754D"/>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64754D"/>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64754D"/>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64754D"/>
    <w:rPr>
      <w:color w:val="2B579A"/>
      <w:shd w:val="clear" w:color="auto" w:fill="E1DFDD"/>
    </w:rPr>
  </w:style>
  <w:style w:type="table" w:styleId="ListTable1Light">
    <w:name w:val="List Table 1 Light"/>
    <w:basedOn w:val="TableNormal"/>
    <w:uiPriority w:val="46"/>
    <w:semiHidden/>
    <w:rsid w:val="0064754D"/>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64754D"/>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64754D"/>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64754D"/>
    <w:tblPr>
      <w:tblStyleRowBandSize w:val="1"/>
      <w:tblStyleColBandSize w:val="1"/>
    </w:tblPr>
    <w:tblStylePr w:type="firstRow">
      <w:rPr>
        <w:b/>
        <w:bCs/>
      </w:rPr>
      <w:tblPr/>
      <w:tcPr>
        <w:tcBorders>
          <w:bottom w:val="single" w:sz="4" w:space="0" w:color="9B9B9B" w:themeColor="accent3" w:themeTint="99"/>
        </w:tcBorders>
      </w:tcPr>
    </w:tblStylePr>
    <w:tblStylePr w:type="lastRow">
      <w:rPr>
        <w:b/>
        <w:bCs/>
      </w:rPr>
      <w:tblPr/>
      <w:tcPr>
        <w:tcBorders>
          <w:top w:val="sing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1Light-Accent4">
    <w:name w:val="List Table 1 Light Accent 4"/>
    <w:basedOn w:val="TableNormal"/>
    <w:uiPriority w:val="46"/>
    <w:semiHidden/>
    <w:rsid w:val="0064754D"/>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64754D"/>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64754D"/>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64754D"/>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64754D"/>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64754D"/>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64754D"/>
    <w:tblPr>
      <w:tblStyleRowBandSize w:val="1"/>
      <w:tblStyleColBandSize w:val="1"/>
      <w:tblBorders>
        <w:top w:val="single" w:sz="4" w:space="0" w:color="9B9B9B" w:themeColor="accent3" w:themeTint="99"/>
        <w:bottom w:val="single" w:sz="4" w:space="0" w:color="9B9B9B" w:themeColor="accent3" w:themeTint="99"/>
        <w:insideH w:val="single" w:sz="4" w:space="0" w:color="9B9B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2-Accent4">
    <w:name w:val="List Table 2 Accent 4"/>
    <w:basedOn w:val="TableNormal"/>
    <w:uiPriority w:val="47"/>
    <w:semiHidden/>
    <w:rsid w:val="0064754D"/>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64754D"/>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64754D"/>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64754D"/>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64754D"/>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FFFFFF"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64754D"/>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FFFFFF"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64754D"/>
    <w:tblPr>
      <w:tblStyleRowBandSize w:val="1"/>
      <w:tblStyleColBandSize w:val="1"/>
      <w:tblBorders>
        <w:top w:val="single" w:sz="4" w:space="0" w:color="595959" w:themeColor="accent3"/>
        <w:left w:val="single" w:sz="4" w:space="0" w:color="595959" w:themeColor="accent3"/>
        <w:bottom w:val="single" w:sz="4" w:space="0" w:color="595959" w:themeColor="accent3"/>
        <w:right w:val="single" w:sz="4" w:space="0" w:color="595959" w:themeColor="accent3"/>
      </w:tblBorders>
    </w:tblPr>
    <w:tblStylePr w:type="firstRow">
      <w:rPr>
        <w:b/>
        <w:bCs/>
        <w:color w:val="FFFFFF" w:themeColor="background1"/>
      </w:rPr>
      <w:tblPr/>
      <w:tcPr>
        <w:shd w:val="clear" w:color="auto" w:fill="595959" w:themeFill="accent3"/>
      </w:tcPr>
    </w:tblStylePr>
    <w:tblStylePr w:type="lastRow">
      <w:rPr>
        <w:b/>
        <w:bCs/>
      </w:rPr>
      <w:tblPr/>
      <w:tcPr>
        <w:tcBorders>
          <w:top w:val="double" w:sz="4" w:space="0" w:color="5959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95959" w:themeColor="accent3"/>
          <w:right w:val="single" w:sz="4" w:space="0" w:color="595959" w:themeColor="accent3"/>
        </w:tcBorders>
      </w:tcPr>
    </w:tblStylePr>
    <w:tblStylePr w:type="band1Horz">
      <w:tblPr/>
      <w:tcPr>
        <w:tcBorders>
          <w:top w:val="single" w:sz="4" w:space="0" w:color="595959" w:themeColor="accent3"/>
          <w:bottom w:val="single" w:sz="4" w:space="0" w:color="5959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95959" w:themeColor="accent3"/>
          <w:left w:val="nil"/>
        </w:tcBorders>
      </w:tcPr>
    </w:tblStylePr>
    <w:tblStylePr w:type="swCell">
      <w:tblPr/>
      <w:tcPr>
        <w:tcBorders>
          <w:top w:val="double" w:sz="4" w:space="0" w:color="595959" w:themeColor="accent3"/>
          <w:right w:val="nil"/>
        </w:tcBorders>
      </w:tcPr>
    </w:tblStylePr>
  </w:style>
  <w:style w:type="table" w:styleId="ListTable3-Accent4">
    <w:name w:val="List Table 3 Accent 4"/>
    <w:basedOn w:val="TableNormal"/>
    <w:uiPriority w:val="48"/>
    <w:semiHidden/>
    <w:rsid w:val="0064754D"/>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FFFFFF"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64754D"/>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64754D"/>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64754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64754D"/>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FFFFFF"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64754D"/>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FFFFFF"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64754D"/>
    <w:tblPr>
      <w:tblStyleRowBandSize w:val="1"/>
      <w:tblStyleColBandSize w:val="1"/>
      <w:tblBorders>
        <w:top w:val="single" w:sz="4" w:space="0" w:color="9B9B9B" w:themeColor="accent3" w:themeTint="99"/>
        <w:left w:val="single" w:sz="4" w:space="0" w:color="9B9B9B" w:themeColor="accent3" w:themeTint="99"/>
        <w:bottom w:val="single" w:sz="4" w:space="0" w:color="9B9B9B" w:themeColor="accent3" w:themeTint="99"/>
        <w:right w:val="single" w:sz="4" w:space="0" w:color="9B9B9B" w:themeColor="accent3" w:themeTint="99"/>
        <w:insideH w:val="single" w:sz="4" w:space="0" w:color="9B9B9B" w:themeColor="accent3" w:themeTint="99"/>
      </w:tblBorders>
    </w:tblPr>
    <w:tblStylePr w:type="firstRow">
      <w:rPr>
        <w:b/>
        <w:bCs/>
        <w:color w:val="FFFFFF" w:themeColor="background1"/>
      </w:rPr>
      <w:tblPr/>
      <w:tcPr>
        <w:tcBorders>
          <w:top w:val="single" w:sz="4" w:space="0" w:color="595959" w:themeColor="accent3"/>
          <w:left w:val="single" w:sz="4" w:space="0" w:color="595959" w:themeColor="accent3"/>
          <w:bottom w:val="single" w:sz="4" w:space="0" w:color="595959" w:themeColor="accent3"/>
          <w:right w:val="single" w:sz="4" w:space="0" w:color="595959" w:themeColor="accent3"/>
          <w:insideH w:val="nil"/>
        </w:tcBorders>
        <w:shd w:val="clear" w:color="auto" w:fill="595959" w:themeFill="accent3"/>
      </w:tcPr>
    </w:tblStylePr>
    <w:tblStylePr w:type="lastRow">
      <w:rPr>
        <w:b/>
        <w:bCs/>
      </w:rPr>
      <w:tblPr/>
      <w:tcPr>
        <w:tcBorders>
          <w:top w:val="double" w:sz="4" w:space="0" w:color="9B9B9B" w:themeColor="accent3" w:themeTint="99"/>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4-Accent4">
    <w:name w:val="List Table 4 Accent 4"/>
    <w:basedOn w:val="TableNormal"/>
    <w:uiPriority w:val="49"/>
    <w:semiHidden/>
    <w:rsid w:val="0064754D"/>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FFFFFF"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64754D"/>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64754D"/>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64754D"/>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64754D"/>
    <w:rPr>
      <w:color w:val="FFFFFF"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64754D"/>
    <w:rPr>
      <w:color w:val="FFFFFF"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64754D"/>
    <w:rPr>
      <w:color w:val="FFFFFF" w:themeColor="background1"/>
    </w:rPr>
    <w:tblPr>
      <w:tblStyleRowBandSize w:val="1"/>
      <w:tblStyleColBandSize w:val="1"/>
      <w:tblBorders>
        <w:top w:val="single" w:sz="24" w:space="0" w:color="595959" w:themeColor="accent3"/>
        <w:left w:val="single" w:sz="24" w:space="0" w:color="595959" w:themeColor="accent3"/>
        <w:bottom w:val="single" w:sz="24" w:space="0" w:color="595959" w:themeColor="accent3"/>
        <w:right w:val="single" w:sz="24" w:space="0" w:color="595959" w:themeColor="accent3"/>
      </w:tblBorders>
    </w:tblPr>
    <w:tcPr>
      <w:shd w:val="clear" w:color="auto" w:fill="5959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64754D"/>
    <w:rPr>
      <w:color w:val="FFFFFF"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64754D"/>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64754D"/>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64754D"/>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64754D"/>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64754D"/>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64754D"/>
    <w:rPr>
      <w:color w:val="424242" w:themeColor="accent3" w:themeShade="BF"/>
    </w:rPr>
    <w:tblPr>
      <w:tblStyleRowBandSize w:val="1"/>
      <w:tblStyleColBandSize w:val="1"/>
      <w:tblBorders>
        <w:top w:val="single" w:sz="4" w:space="0" w:color="595959" w:themeColor="accent3"/>
        <w:bottom w:val="single" w:sz="4" w:space="0" w:color="595959" w:themeColor="accent3"/>
      </w:tblBorders>
    </w:tblPr>
    <w:tblStylePr w:type="firstRow">
      <w:rPr>
        <w:b/>
        <w:bCs/>
      </w:rPr>
      <w:tblPr/>
      <w:tcPr>
        <w:tcBorders>
          <w:bottom w:val="single" w:sz="4" w:space="0" w:color="595959" w:themeColor="accent3"/>
        </w:tcBorders>
      </w:tcPr>
    </w:tblStylePr>
    <w:tblStylePr w:type="lastRow">
      <w:rPr>
        <w:b/>
        <w:bCs/>
      </w:rPr>
      <w:tblPr/>
      <w:tcPr>
        <w:tcBorders>
          <w:top w:val="double" w:sz="4" w:space="0" w:color="595959" w:themeColor="accent3"/>
        </w:tcBorders>
      </w:tcPr>
    </w:tblStylePr>
    <w:tblStylePr w:type="firstCol">
      <w:rPr>
        <w:b/>
        <w:bCs/>
      </w:rPr>
    </w:tblStylePr>
    <w:tblStylePr w:type="lastCol">
      <w:rPr>
        <w:b/>
        <w:bCs/>
      </w:rPr>
    </w:tblStylePr>
    <w:tblStylePr w:type="band1Vert">
      <w:tblPr/>
      <w:tcPr>
        <w:shd w:val="clear" w:color="auto" w:fill="DDDDDD" w:themeFill="accent3" w:themeFillTint="33"/>
      </w:tcPr>
    </w:tblStylePr>
    <w:tblStylePr w:type="band1Horz">
      <w:tblPr/>
      <w:tcPr>
        <w:shd w:val="clear" w:color="auto" w:fill="DDDDDD" w:themeFill="accent3" w:themeFillTint="33"/>
      </w:tcPr>
    </w:tblStylePr>
  </w:style>
  <w:style w:type="table" w:styleId="ListTable6Colorful-Accent4">
    <w:name w:val="List Table 6 Colorful Accent 4"/>
    <w:basedOn w:val="TableNormal"/>
    <w:uiPriority w:val="51"/>
    <w:semiHidden/>
    <w:rsid w:val="0064754D"/>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64754D"/>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64754D"/>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64754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64754D"/>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FFFFFF"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64754D"/>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FFFFFF"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64754D"/>
    <w:rPr>
      <w:color w:val="42424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9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9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9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959" w:themeColor="accent3"/>
        </w:tcBorders>
        <w:shd w:val="clear" w:color="auto" w:fill="FFFFFF" w:themeFill="background1"/>
      </w:tcPr>
    </w:tblStylePr>
    <w:tblStylePr w:type="band1Vert">
      <w:tblPr/>
      <w:tcPr>
        <w:shd w:val="clear" w:color="auto" w:fill="DDDDDD" w:themeFill="accent3" w:themeFillTint="33"/>
      </w:tcPr>
    </w:tblStylePr>
    <w:tblStylePr w:type="band1Horz">
      <w:tblPr/>
      <w:tcPr>
        <w:shd w:val="clear" w:color="auto" w:fill="DDDD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64754D"/>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FFFFFF"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64754D"/>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64754D"/>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64754D"/>
    <w:rPr>
      <w:color w:val="2B579A"/>
      <w:shd w:val="clear" w:color="auto" w:fill="E1DFDD"/>
    </w:rPr>
  </w:style>
  <w:style w:type="table" w:styleId="PlainTable1">
    <w:name w:val="Plain Table 1"/>
    <w:basedOn w:val="TableNormal"/>
    <w:uiPriority w:val="41"/>
    <w:semiHidden/>
    <w:rsid w:val="0064754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64754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64754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64754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64754D"/>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64754D"/>
    <w:rPr>
      <w:u w:val="dotted"/>
    </w:rPr>
  </w:style>
  <w:style w:type="character" w:customStyle="1" w:styleId="SmartLink">
    <w:name w:val="Smart Link"/>
    <w:basedOn w:val="DefaultParagraphFont"/>
    <w:uiPriority w:val="99"/>
    <w:semiHidden/>
    <w:unhideWhenUsed/>
    <w:rsid w:val="0064754D"/>
    <w:rPr>
      <w:color w:val="0000FF"/>
      <w:u w:val="single"/>
      <w:shd w:val="clear" w:color="auto" w:fill="F3F2F1"/>
    </w:rPr>
  </w:style>
  <w:style w:type="table" w:styleId="TableGridLight">
    <w:name w:val="Grid Table Light"/>
    <w:basedOn w:val="TableNormal"/>
    <w:uiPriority w:val="40"/>
    <w:semiHidden/>
    <w:rsid w:val="006475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_New">
      <a:dk1>
        <a:sysClr val="windowText" lastClr="000000"/>
      </a:dk1>
      <a:lt1>
        <a:srgbClr val="FFFFFF"/>
      </a:lt1>
      <a:dk2>
        <a:srgbClr val="B0B0B0"/>
      </a:dk2>
      <a:lt2>
        <a:srgbClr val="F8F8F8"/>
      </a:lt2>
      <a:accent1>
        <a:srgbClr val="0072BC"/>
      </a:accent1>
      <a:accent2>
        <a:srgbClr val="C00000"/>
      </a:accent2>
      <a:accent3>
        <a:srgbClr val="595959"/>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02FE47-9B11-4A4D-A479-ACFFAFA65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2341</Words>
  <Characters>13582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ECHR</vt:lpstr>
    </vt:vector>
  </TitlesOfParts>
  <Company/>
  <LinksUpToDate>false</LinksUpToDate>
  <CharactersWithSpaces>15892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 impotriva Romaniei</dc:title>
  <dc:subject>JUD</dc:subject>
  <dc:creator/>
  <cp:lastModifiedBy/>
  <cp:revision>1</cp:revision>
  <dcterms:created xsi:type="dcterms:W3CDTF">2024-09-25T14:01:00Z</dcterms:created>
  <dcterms:modified xsi:type="dcterms:W3CDTF">2024-10-08T11:07:00Z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1760933</vt:lpwstr>
  </property>
  <property fmtid="{D5CDD505-2E9C-101B-9397-08002B2CF9AE}" pid="3" name="cstLanguage">
    <vt:i4>2057</vt:i4>
  </property>
  <property fmtid="{D5CDD505-2E9C-101B-9397-08002B2CF9AE}" pid="4" name="RegisteredNo">
    <vt:lpwstr>29634/22</vt:lpwstr>
  </property>
</Properties>
</file>