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F4496" w14:textId="1FA1509F" w:rsidR="00B539E1" w:rsidRPr="003B3332" w:rsidRDefault="005A57A4" w:rsidP="00B539E1">
      <w:pPr>
        <w:pStyle w:val="ECHRCoverTitle1"/>
      </w:pPr>
      <w:bookmarkStart w:id="0" w:name="_GoBack"/>
      <w:bookmarkEnd w:id="0"/>
      <w:r w:rsidRPr="003B3332">
        <w:t xml:space="preserve">Ghid privind art. 3 </w:t>
      </w:r>
      <w:r w:rsidRPr="003B3332">
        <w:br/>
        <w:t xml:space="preserve">din Convenția europeană </w:t>
      </w:r>
      <w:r w:rsidRPr="003B3332">
        <w:br/>
        <w:t>a drepturilor omului</w:t>
      </w:r>
    </w:p>
    <w:p w14:paraId="51A6F141" w14:textId="77777777" w:rsidR="00E255CC" w:rsidRPr="003B3332" w:rsidRDefault="00B46E90" w:rsidP="00875585">
      <w:pPr>
        <w:pStyle w:val="ECHRCoverTitle2"/>
      </w:pPr>
      <w:r w:rsidRPr="003B3332">
        <w:t>Interzicerea torturii</w:t>
      </w:r>
    </w:p>
    <w:p w14:paraId="504216FD" w14:textId="77777777" w:rsidR="00D66E75" w:rsidRPr="003B3332" w:rsidRDefault="004D5FB6" w:rsidP="00D97A4F">
      <w:pPr>
        <w:pStyle w:val="ECHRCoverTitle3"/>
      </w:pPr>
      <w:r w:rsidRPr="003B3332">
        <w:t>Actualizat la 31 august 2024</w:t>
      </w:r>
    </w:p>
    <w:p w14:paraId="3F1E2060" w14:textId="7E8505F2" w:rsidR="00CC6510" w:rsidRPr="003B3332" w:rsidRDefault="00CC6510"/>
    <w:p w14:paraId="2D80D008" w14:textId="77777777" w:rsidR="00CC6510" w:rsidRPr="003B3332" w:rsidRDefault="00CC6510"/>
    <w:p w14:paraId="04A8E324" w14:textId="77777777" w:rsidR="00CC6510" w:rsidRPr="003B3332" w:rsidRDefault="00CC6510"/>
    <w:p w14:paraId="549E75F5" w14:textId="77777777" w:rsidR="00CC6510" w:rsidRPr="003B3332" w:rsidRDefault="00CC6510"/>
    <w:p w14:paraId="0F9B7A2B" w14:textId="67A1A3C0" w:rsidR="00CC6510" w:rsidRPr="003B3332" w:rsidRDefault="00CC6510"/>
    <w:p w14:paraId="3F13F071" w14:textId="7AFBE3E8" w:rsidR="00CC6510" w:rsidRPr="003B3332" w:rsidRDefault="00CC6510"/>
    <w:p w14:paraId="2C6338B6" w14:textId="77777777" w:rsidR="00CC6510" w:rsidRPr="003B3332" w:rsidRDefault="00CC6510"/>
    <w:p w14:paraId="5BA1897B" w14:textId="77777777" w:rsidR="00CC6510" w:rsidRPr="003B3332" w:rsidRDefault="00CC6510"/>
    <w:p w14:paraId="08271CD3" w14:textId="77777777" w:rsidR="00CC6510" w:rsidRPr="003B3332" w:rsidRDefault="00CC6510"/>
    <w:p w14:paraId="3A7BD55B" w14:textId="77777777" w:rsidR="00CC6510" w:rsidRPr="003B3332" w:rsidRDefault="00CC6510"/>
    <w:p w14:paraId="2566AA15" w14:textId="77777777" w:rsidR="00CC6510" w:rsidRPr="003B3332" w:rsidRDefault="00CC6510"/>
    <w:p w14:paraId="4A6AFDDE" w14:textId="77777777" w:rsidR="00CC6510" w:rsidRPr="003B3332" w:rsidRDefault="00CC6510"/>
    <w:p w14:paraId="0043A1EA" w14:textId="77777777" w:rsidR="00CC6510" w:rsidRPr="003B3332" w:rsidRDefault="00CC6510"/>
    <w:p w14:paraId="76D47249" w14:textId="3DA74754" w:rsidR="00E255CC" w:rsidRPr="003B3332" w:rsidRDefault="00CC6510" w:rsidP="00CC6510">
      <w:pPr>
        <w:jc w:val="center"/>
      </w:pPr>
      <w:r w:rsidRPr="003B3332">
        <w:t>Întocmit de Grefă. Nu obligă Curtea.</w:t>
      </w:r>
      <w:r w:rsidRPr="003B3332">
        <w:br w:type="page"/>
      </w:r>
    </w:p>
    <w:p w14:paraId="4F314ECF" w14:textId="77777777" w:rsidR="00312B28" w:rsidRPr="003B3332" w:rsidRDefault="00312B28" w:rsidP="00312B28">
      <w:pPr>
        <w:pStyle w:val="ECHRParaSpaced"/>
      </w:pPr>
    </w:p>
    <w:p w14:paraId="31A93171" w14:textId="77777777" w:rsidR="00312B28" w:rsidRPr="003B3332" w:rsidRDefault="00312B28" w:rsidP="00312B28">
      <w:pPr>
        <w:pStyle w:val="ECHRParaSpaced"/>
      </w:pPr>
    </w:p>
    <w:p w14:paraId="42DA9883" w14:textId="77777777" w:rsidR="00312B28" w:rsidRPr="003B3332" w:rsidRDefault="00312B28" w:rsidP="00312B28">
      <w:pPr>
        <w:pStyle w:val="ECHRParaSpaced"/>
      </w:pPr>
    </w:p>
    <w:p w14:paraId="5719B8F9" w14:textId="77777777" w:rsidR="00312B28" w:rsidRPr="003B3332" w:rsidRDefault="00312B28" w:rsidP="00312B28">
      <w:pPr>
        <w:pStyle w:val="ECHRParaSpaced"/>
      </w:pPr>
    </w:p>
    <w:p w14:paraId="10DA0B11" w14:textId="77777777" w:rsidR="00312B28" w:rsidRPr="003B3332" w:rsidRDefault="00312B28" w:rsidP="00312B28">
      <w:pPr>
        <w:pStyle w:val="ECHRParaSpaced"/>
      </w:pPr>
    </w:p>
    <w:p w14:paraId="17E74027" w14:textId="77777777" w:rsidR="00312B28" w:rsidRPr="003B3332" w:rsidRDefault="00312B28" w:rsidP="00312B28">
      <w:pPr>
        <w:pStyle w:val="ECHRParaSpaced"/>
      </w:pPr>
    </w:p>
    <w:p w14:paraId="1D94DBC1" w14:textId="77777777" w:rsidR="00312B28" w:rsidRPr="003B3332" w:rsidRDefault="00312B28" w:rsidP="00312B28">
      <w:pPr>
        <w:pStyle w:val="ECHRParaSpaced"/>
      </w:pPr>
    </w:p>
    <w:p w14:paraId="72BF4ECE" w14:textId="1406F784" w:rsidR="00312B28" w:rsidRPr="003B3332" w:rsidRDefault="00312B28" w:rsidP="00312B28">
      <w:pPr>
        <w:pStyle w:val="ECHRParaSpaced"/>
      </w:pPr>
    </w:p>
    <w:p w14:paraId="6A524AA8" w14:textId="720708B6" w:rsidR="00CC6510" w:rsidRPr="003B3332" w:rsidRDefault="00CC6510" w:rsidP="00312B28">
      <w:pPr>
        <w:pStyle w:val="ECHRParaSpaced"/>
      </w:pPr>
    </w:p>
    <w:p w14:paraId="53BF0600" w14:textId="62561B78" w:rsidR="00CC6510" w:rsidRPr="003B3332" w:rsidRDefault="00CC6510" w:rsidP="00312B28">
      <w:pPr>
        <w:pStyle w:val="ECHRParaSpaced"/>
      </w:pPr>
    </w:p>
    <w:p w14:paraId="74F2D3BC" w14:textId="77777777" w:rsidR="00312B28" w:rsidRPr="003B3332" w:rsidRDefault="00312B28" w:rsidP="00312B28">
      <w:pPr>
        <w:pStyle w:val="ECHRParaSpaced"/>
      </w:pPr>
    </w:p>
    <w:p w14:paraId="1BF77393" w14:textId="77777777" w:rsidR="00312B28" w:rsidRPr="003B3332" w:rsidRDefault="00312B28" w:rsidP="00312B28">
      <w:pPr>
        <w:pStyle w:val="ECHRParaSpaced"/>
      </w:pPr>
    </w:p>
    <w:p w14:paraId="43A3A4C8" w14:textId="77777777" w:rsidR="00312B28" w:rsidRPr="003B3332" w:rsidRDefault="00312B28" w:rsidP="00312B28">
      <w:pPr>
        <w:pStyle w:val="ECHRParaSpaced"/>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480" w:firstRow="0" w:lastRow="0" w:firstColumn="1" w:lastColumn="0" w:noHBand="0" w:noVBand="1"/>
      </w:tblPr>
      <w:tblGrid>
        <w:gridCol w:w="9027"/>
      </w:tblGrid>
      <w:tr w:rsidR="00CC6510" w:rsidRPr="003B3332" w14:paraId="57BAB3CE" w14:textId="77777777" w:rsidTr="00591CAE">
        <w:tc>
          <w:tcPr>
            <w:tcW w:w="9243" w:type="dxa"/>
            <w:shd w:val="clear" w:color="auto" w:fill="F3F3F3" w:themeFill="text2" w:themeFillTint="33"/>
          </w:tcPr>
          <w:p w14:paraId="7F411CEF" w14:textId="26F6836D" w:rsidR="00B26F3F" w:rsidRPr="003B3332" w:rsidRDefault="00CC6510" w:rsidP="00B26F3F">
            <w:pPr>
              <w:pStyle w:val="ECHRParaSpaced"/>
              <w:rPr>
                <w:sz w:val="20"/>
                <w:szCs w:val="20"/>
              </w:rPr>
            </w:pPr>
            <w:r w:rsidRPr="003B3332">
              <w:t>Invităm editorii sau organizațiile care doresc să traducă și/sau să reproducă integral sau parțial acest ghid, în format tipărit sau electronic, să completeze formularul de contact</w:t>
            </w:r>
            <w:r w:rsidRPr="003B3332">
              <w:rPr>
                <w:color w:val="272833"/>
                <w:shd w:val="clear" w:color="auto" w:fill="F7F8F9"/>
              </w:rPr>
              <w:t xml:space="preserve">: </w:t>
            </w:r>
            <w:hyperlink r:id="rId8" w:tgtFrame="_blank" w:history="1">
              <w:r w:rsidRPr="003B3332">
                <w:rPr>
                  <w:rStyle w:val="Hyperlink"/>
                  <w:shd w:val="clear" w:color="auto" w:fill="F7F8F9"/>
                </w:rPr>
                <w:t>cerere de reproducere sau republicare a unei traduceri</w:t>
              </w:r>
            </w:hyperlink>
            <w:r w:rsidRPr="003B3332">
              <w:t>, pentru a se informa cu privire la procedura de autorizare.</w:t>
            </w:r>
          </w:p>
          <w:p w14:paraId="4CEA6893" w14:textId="5A1CB068" w:rsidR="00CC6510" w:rsidRPr="003B3332" w:rsidRDefault="00B26F3F" w:rsidP="00B26F3F">
            <w:pPr>
              <w:pStyle w:val="ECHRParaSpaced"/>
              <w:rPr>
                <w:sz w:val="20"/>
                <w:szCs w:val="20"/>
              </w:rPr>
            </w:pPr>
            <w:r w:rsidRPr="003B3332">
              <w:t>Pentru informații privind traducerile în curs de realizare ale ghidurilor privind jurisprudența, vă rugăm consultați lista</w:t>
            </w:r>
            <w:r w:rsidRPr="003B3332">
              <w:rPr>
                <w:sz w:val="20"/>
              </w:rPr>
              <w:t xml:space="preserve"> </w:t>
            </w:r>
            <w:hyperlink r:id="rId9" w:history="1">
              <w:r w:rsidRPr="003B3332">
                <w:rPr>
                  <w:rStyle w:val="Hyperlink"/>
                  <w:sz w:val="20"/>
                </w:rPr>
                <w:t>Traduceri în curs</w:t>
              </w:r>
            </w:hyperlink>
            <w:r w:rsidRPr="003B3332">
              <w:rPr>
                <w:sz w:val="20"/>
              </w:rPr>
              <w:t>.</w:t>
            </w:r>
          </w:p>
        </w:tc>
      </w:tr>
    </w:tbl>
    <w:p w14:paraId="77F556FB" w14:textId="77777777" w:rsidR="00312B28" w:rsidRPr="003B3332" w:rsidRDefault="00312B28" w:rsidP="00312B28">
      <w:pPr>
        <w:pStyle w:val="ECHRParaSpaced"/>
      </w:pPr>
    </w:p>
    <w:p w14:paraId="1A16E295" w14:textId="77777777" w:rsidR="00312B28" w:rsidRPr="003B3332" w:rsidRDefault="00312B28" w:rsidP="00312B28">
      <w:pPr>
        <w:pStyle w:val="ECHRParaSpaced"/>
      </w:pPr>
    </w:p>
    <w:p w14:paraId="55825A0A" w14:textId="4D1C5F41" w:rsidR="00312B28" w:rsidRPr="003B3332" w:rsidRDefault="00312B28" w:rsidP="00312B28">
      <w:pPr>
        <w:pStyle w:val="ECHRParaSpaced"/>
      </w:pPr>
    </w:p>
    <w:p w14:paraId="547F2697" w14:textId="2CF850DD" w:rsidR="00CC6510" w:rsidRPr="003B3332" w:rsidRDefault="00CC6510" w:rsidP="00312B28">
      <w:pPr>
        <w:pStyle w:val="ECHRParaSpaced"/>
      </w:pPr>
    </w:p>
    <w:p w14:paraId="4D42F83D" w14:textId="1D3A20B7" w:rsidR="00CC6510" w:rsidRPr="003B3332" w:rsidRDefault="00CC6510" w:rsidP="00312B28">
      <w:pPr>
        <w:pStyle w:val="ECHRParaSpaced"/>
      </w:pPr>
    </w:p>
    <w:p w14:paraId="5A05DD2D" w14:textId="2E02F93D" w:rsidR="00CC6510" w:rsidRPr="003B3332" w:rsidRDefault="00CC6510" w:rsidP="00312B28">
      <w:pPr>
        <w:pStyle w:val="ECHRParaSpaced"/>
      </w:pPr>
    </w:p>
    <w:p w14:paraId="43207699" w14:textId="4F729277" w:rsidR="00CC6510" w:rsidRPr="003B3332" w:rsidRDefault="00CC6510" w:rsidP="00312B28">
      <w:pPr>
        <w:pStyle w:val="ECHRParaSpaced"/>
      </w:pPr>
    </w:p>
    <w:p w14:paraId="177285D4" w14:textId="77777777" w:rsidR="00312B28" w:rsidRPr="003B3332" w:rsidRDefault="00312B28" w:rsidP="00312B28">
      <w:pPr>
        <w:pStyle w:val="ECHRParaSpaced"/>
      </w:pPr>
    </w:p>
    <w:p w14:paraId="1F84D70E" w14:textId="77777777" w:rsidR="00312B28" w:rsidRPr="003B3332" w:rsidRDefault="00312B28" w:rsidP="00312B28">
      <w:pPr>
        <w:pStyle w:val="ECHRParaSpaced"/>
      </w:pPr>
    </w:p>
    <w:p w14:paraId="02A60128" w14:textId="134B7B94" w:rsidR="00CC6510" w:rsidRPr="003B3332" w:rsidRDefault="00CC6510" w:rsidP="00CC6510">
      <w:pPr>
        <w:pStyle w:val="ECHRCoverTitle4"/>
        <w:rPr>
          <w:bCs/>
        </w:rPr>
      </w:pPr>
      <w:r w:rsidRPr="003B3332">
        <w:t>Textul original al acestui ghid este redactat în limba engleză. Este actualizat periodic, data cea mai recentă fiind 31 august 2024. Poate suferi modificări de formă.</w:t>
      </w:r>
    </w:p>
    <w:p w14:paraId="6ACFA609" w14:textId="3AEA772F" w:rsidR="0024694E" w:rsidRPr="003B3332" w:rsidRDefault="00312B28" w:rsidP="00C169E2">
      <w:pPr>
        <w:pStyle w:val="ECHRCoverTitle4"/>
      </w:pPr>
      <w:r w:rsidRPr="003B3332">
        <w:t xml:space="preserve">Documentul pot fi descărcat de la adresa </w:t>
      </w:r>
      <w:hyperlink r:id="rId10" w:tgtFrame="_blank" w:history="1">
        <w:r w:rsidRPr="003B3332">
          <w:rPr>
            <w:rStyle w:val="Hyperlink"/>
          </w:rPr>
          <w:t>https://ks.echr.coe.int</w:t>
        </w:r>
      </w:hyperlink>
      <w:r w:rsidRPr="003B3332">
        <w:t xml:space="preserve">. Pentru informații noi despre publicații, vă rugăm să vizitați contul de Twitter al Curții </w:t>
      </w:r>
      <w:hyperlink r:id="rId11" w:history="1">
        <w:r w:rsidRPr="003B3332">
          <w:rPr>
            <w:rStyle w:val="Hyperlink"/>
          </w:rPr>
          <w:t>&lt; https:/twitter.com/ echrpublication</w:t>
        </w:r>
      </w:hyperlink>
      <w:r w:rsidRPr="003B3332">
        <w:t>&gt;.</w:t>
      </w:r>
    </w:p>
    <w:p w14:paraId="6220BA78" w14:textId="77777777" w:rsidR="0052442B" w:rsidRPr="003B3332" w:rsidRDefault="0052442B" w:rsidP="0052442B">
      <w:pPr>
        <w:pStyle w:val="ECHRCoverTitle4"/>
      </w:pPr>
      <w:r w:rsidRPr="003B3332">
        <w:t>Prezenta traducere este publicată cu acordul Consiliului Europei și al Curții Europene a Drepturilor Omului și reprezintă responsabilitatea exclusivă a Institutului European din România.</w:t>
      </w:r>
    </w:p>
    <w:p w14:paraId="1185085A" w14:textId="29F20ABA" w:rsidR="00FD6887" w:rsidRPr="003B3332" w:rsidRDefault="008C2816" w:rsidP="00C169E2">
      <w:pPr>
        <w:pStyle w:val="ECHRCoverTitle4"/>
      </w:pPr>
      <w:r w:rsidRPr="003B3332">
        <w:t>© Consiliul Europei/Curtea Europeană a Drepturilor Omului, 2024</w:t>
      </w:r>
      <w:r w:rsidRPr="003B3332">
        <w:br w:type="page"/>
      </w:r>
    </w:p>
    <w:sdt>
      <w:sdtPr>
        <w:rPr>
          <w:rFonts w:asciiTheme="minorHAnsi" w:hAnsiTheme="minorHAnsi"/>
          <w:b w:val="0"/>
          <w:color w:val="auto"/>
          <w:sz w:val="22"/>
        </w:rPr>
        <w:id w:val="-1845230482"/>
        <w:docPartObj>
          <w:docPartGallery w:val="Table of Contents"/>
          <w:docPartUnique/>
        </w:docPartObj>
      </w:sdtPr>
      <w:sdtEndPr>
        <w:rPr>
          <w:bCs/>
        </w:rPr>
      </w:sdtEndPr>
      <w:sdtContent>
        <w:p w14:paraId="45B09190" w14:textId="77777777" w:rsidR="002F666B" w:rsidRPr="003B3332" w:rsidRDefault="004720E0">
          <w:pPr>
            <w:pStyle w:val="TOCHeading"/>
          </w:pPr>
          <w:r w:rsidRPr="003B3332">
            <w:t>Cuprins</w:t>
          </w:r>
        </w:p>
        <w:p w14:paraId="081BF7BF" w14:textId="6C84F8E6" w:rsidR="00EC3308" w:rsidRPr="003B3332" w:rsidRDefault="002F666B">
          <w:pPr>
            <w:pStyle w:val="TOC1"/>
            <w:tabs>
              <w:tab w:val="right" w:leader="dot" w:pos="9017"/>
            </w:tabs>
            <w:rPr>
              <w:rFonts w:eastAsiaTheme="minorEastAsia"/>
              <w:b w:val="0"/>
              <w:noProof/>
              <w:color w:val="auto"/>
              <w:sz w:val="22"/>
            </w:rPr>
          </w:pPr>
          <w:r w:rsidRPr="003B3332">
            <w:rPr>
              <w:b w:val="0"/>
            </w:rPr>
            <w:fldChar w:fldCharType="begin"/>
          </w:r>
          <w:r w:rsidRPr="003B3332">
            <w:instrText xml:space="preserve"> TOC \o "1-7" \h \z \u </w:instrText>
          </w:r>
          <w:r w:rsidRPr="003B3332">
            <w:rPr>
              <w:b w:val="0"/>
            </w:rPr>
            <w:fldChar w:fldCharType="separate"/>
          </w:r>
          <w:hyperlink w:anchor="_Toc180674886" w:history="1">
            <w:r w:rsidR="00EC3308" w:rsidRPr="003B3332">
              <w:rPr>
                <w:rStyle w:val="Hyperlink"/>
                <w:rFonts w:asciiTheme="majorHAnsi" w:hAnsiTheme="majorHAnsi"/>
                <w:noProof/>
              </w:rPr>
              <w:t>În atenția cititorilor</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_Toc180674886 \h </w:instrText>
            </w:r>
            <w:r w:rsidR="00EC3308" w:rsidRPr="003B3332">
              <w:rPr>
                <w:noProof/>
                <w:webHidden/>
              </w:rPr>
            </w:r>
            <w:r w:rsidR="00EC3308" w:rsidRPr="003B3332">
              <w:rPr>
                <w:noProof/>
                <w:webHidden/>
              </w:rPr>
              <w:fldChar w:fldCharType="separate"/>
            </w:r>
            <w:r w:rsidR="000862FF">
              <w:rPr>
                <w:noProof/>
                <w:webHidden/>
              </w:rPr>
              <w:t>5</w:t>
            </w:r>
            <w:r w:rsidR="00EC3308" w:rsidRPr="003B3332">
              <w:rPr>
                <w:noProof/>
                <w:webHidden/>
              </w:rPr>
              <w:fldChar w:fldCharType="end"/>
            </w:r>
          </w:hyperlink>
        </w:p>
        <w:p w14:paraId="33FBFEE1" w14:textId="69FC0BFC" w:rsidR="00EC3308" w:rsidRPr="003B3332" w:rsidRDefault="004713AB">
          <w:pPr>
            <w:pStyle w:val="TOC1"/>
            <w:tabs>
              <w:tab w:val="right" w:leader="dot" w:pos="9017"/>
            </w:tabs>
            <w:rPr>
              <w:rFonts w:eastAsiaTheme="minorEastAsia"/>
              <w:b w:val="0"/>
              <w:noProof/>
              <w:color w:val="auto"/>
              <w:sz w:val="22"/>
            </w:rPr>
          </w:pPr>
          <w:hyperlink w:anchor="_Toc180674887" w:history="1">
            <w:r w:rsidR="00EC3308" w:rsidRPr="003B3332">
              <w:rPr>
                <w:rStyle w:val="Hyperlink"/>
                <w:noProof/>
              </w:rPr>
              <w:t>I.   Considerații generale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_Toc180674887 \h </w:instrText>
            </w:r>
            <w:r w:rsidR="00EC3308" w:rsidRPr="003B3332">
              <w:rPr>
                <w:noProof/>
                <w:webHidden/>
              </w:rPr>
            </w:r>
            <w:r w:rsidR="00EC3308" w:rsidRPr="003B3332">
              <w:rPr>
                <w:noProof/>
                <w:webHidden/>
              </w:rPr>
              <w:fldChar w:fldCharType="separate"/>
            </w:r>
            <w:r w:rsidR="000862FF">
              <w:rPr>
                <w:noProof/>
                <w:webHidden/>
              </w:rPr>
              <w:t>7</w:t>
            </w:r>
            <w:r w:rsidR="00EC3308" w:rsidRPr="003B3332">
              <w:rPr>
                <w:noProof/>
                <w:webHidden/>
              </w:rPr>
              <w:fldChar w:fldCharType="end"/>
            </w:r>
          </w:hyperlink>
        </w:p>
        <w:p w14:paraId="656DC2D2" w14:textId="058D318E" w:rsidR="00EC3308" w:rsidRPr="003B3332" w:rsidRDefault="004713AB">
          <w:pPr>
            <w:pStyle w:val="TOC2"/>
            <w:tabs>
              <w:tab w:val="right" w:leader="dot" w:pos="9017"/>
            </w:tabs>
            <w:rPr>
              <w:rFonts w:eastAsiaTheme="minorEastAsia"/>
              <w:noProof/>
            </w:rPr>
          </w:pPr>
          <w:hyperlink w:anchor="_Toc180674888" w:history="1">
            <w:r w:rsidR="00EC3308" w:rsidRPr="003B3332">
              <w:rPr>
                <w:rStyle w:val="Hyperlink"/>
                <w:noProof/>
                <w14:scene3d>
                  <w14:camera w14:prst="orthographicFront"/>
                  <w14:lightRig w14:rig="threePt" w14:dir="t">
                    <w14:rot w14:lat="0" w14:lon="0" w14:rev="0"/>
                  </w14:lightRig>
                </w14:scene3d>
              </w:rPr>
              <w:t>A.  </w:t>
            </w:r>
            <w:r w:rsidR="00EC3308" w:rsidRPr="003B3332">
              <w:rPr>
                <w:rStyle w:val="Hyperlink"/>
                <w:noProof/>
              </w:rPr>
              <w:t xml:space="preserve"> Interpretarea art. 3</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_Toc180674888 \h </w:instrText>
            </w:r>
            <w:r w:rsidR="00EC3308" w:rsidRPr="003B3332">
              <w:rPr>
                <w:noProof/>
                <w:webHidden/>
              </w:rPr>
            </w:r>
            <w:r w:rsidR="00EC3308" w:rsidRPr="003B3332">
              <w:rPr>
                <w:noProof/>
                <w:webHidden/>
              </w:rPr>
              <w:fldChar w:fldCharType="separate"/>
            </w:r>
            <w:r w:rsidR="000862FF">
              <w:rPr>
                <w:noProof/>
                <w:webHidden/>
              </w:rPr>
              <w:t>7</w:t>
            </w:r>
            <w:r w:rsidR="00EC3308" w:rsidRPr="003B3332">
              <w:rPr>
                <w:noProof/>
                <w:webHidden/>
              </w:rPr>
              <w:fldChar w:fldCharType="end"/>
            </w:r>
          </w:hyperlink>
        </w:p>
        <w:p w14:paraId="3ED7DE43" w14:textId="2A3EB926" w:rsidR="00EC3308" w:rsidRPr="003B3332" w:rsidRDefault="004713AB">
          <w:pPr>
            <w:pStyle w:val="TOC2"/>
            <w:tabs>
              <w:tab w:val="right" w:leader="dot" w:pos="9017"/>
            </w:tabs>
            <w:rPr>
              <w:rFonts w:eastAsiaTheme="minorEastAsia"/>
              <w:noProof/>
            </w:rPr>
          </w:pPr>
          <w:hyperlink w:anchor="_Toc180674889" w:history="1">
            <w:r w:rsidR="00EC3308" w:rsidRPr="003B3332">
              <w:rPr>
                <w:rStyle w:val="Hyperlink"/>
                <w:noProof/>
                <w14:scene3d>
                  <w14:camera w14:prst="orthographicFront"/>
                  <w14:lightRig w14:rig="threePt" w14:dir="t">
                    <w14:rot w14:lat="0" w14:lon="0" w14:rev="0"/>
                  </w14:lightRig>
                </w14:scene3d>
              </w:rPr>
              <w:t>B.  </w:t>
            </w:r>
            <w:r w:rsidR="00EC3308" w:rsidRPr="003B3332">
              <w:rPr>
                <w:rStyle w:val="Hyperlink"/>
                <w:noProof/>
              </w:rPr>
              <w:t xml:space="preserve"> Obligațiile statului în temeiul art. 3</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_Toc180674889 \h </w:instrText>
            </w:r>
            <w:r w:rsidR="00EC3308" w:rsidRPr="003B3332">
              <w:rPr>
                <w:noProof/>
                <w:webHidden/>
              </w:rPr>
            </w:r>
            <w:r w:rsidR="00EC3308" w:rsidRPr="003B3332">
              <w:rPr>
                <w:noProof/>
                <w:webHidden/>
              </w:rPr>
              <w:fldChar w:fldCharType="separate"/>
            </w:r>
            <w:r w:rsidR="000862FF">
              <w:rPr>
                <w:noProof/>
                <w:webHidden/>
              </w:rPr>
              <w:t>7</w:t>
            </w:r>
            <w:r w:rsidR="00EC3308" w:rsidRPr="003B3332">
              <w:rPr>
                <w:noProof/>
                <w:webHidden/>
              </w:rPr>
              <w:fldChar w:fldCharType="end"/>
            </w:r>
          </w:hyperlink>
        </w:p>
        <w:p w14:paraId="7A76805C" w14:textId="30C2FDD9" w:rsidR="00EC3308" w:rsidRPr="003B3332" w:rsidRDefault="004713AB">
          <w:pPr>
            <w:pStyle w:val="TOC2"/>
            <w:tabs>
              <w:tab w:val="right" w:leader="dot" w:pos="9017"/>
            </w:tabs>
            <w:rPr>
              <w:rFonts w:eastAsiaTheme="minorEastAsia"/>
              <w:noProof/>
            </w:rPr>
          </w:pPr>
          <w:hyperlink w:anchor="_Toc180674890" w:history="1">
            <w:r w:rsidR="00EC3308" w:rsidRPr="003B3332">
              <w:rPr>
                <w:rStyle w:val="Hyperlink"/>
                <w:noProof/>
                <w14:scene3d>
                  <w14:camera w14:prst="orthographicFront"/>
                  <w14:lightRig w14:rig="threePt" w14:dir="t">
                    <w14:rot w14:lat="0" w14:lon="0" w14:rev="0"/>
                  </w14:lightRig>
                </w14:scene3d>
              </w:rPr>
              <w:t>C.  </w:t>
            </w:r>
            <w:r w:rsidR="00EC3308" w:rsidRPr="003B3332">
              <w:rPr>
                <w:rStyle w:val="Hyperlink"/>
                <w:noProof/>
              </w:rPr>
              <w:t xml:space="preserve"> Sfera de aplicare a art. 3</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_Toc180674890 \h </w:instrText>
            </w:r>
            <w:r w:rsidR="00EC3308" w:rsidRPr="003B3332">
              <w:rPr>
                <w:noProof/>
                <w:webHidden/>
              </w:rPr>
            </w:r>
            <w:r w:rsidR="00EC3308" w:rsidRPr="003B3332">
              <w:rPr>
                <w:noProof/>
                <w:webHidden/>
              </w:rPr>
              <w:fldChar w:fldCharType="separate"/>
            </w:r>
            <w:r w:rsidR="000862FF">
              <w:rPr>
                <w:noProof/>
                <w:webHidden/>
              </w:rPr>
              <w:t>7</w:t>
            </w:r>
            <w:r w:rsidR="00EC3308" w:rsidRPr="003B3332">
              <w:rPr>
                <w:noProof/>
                <w:webHidden/>
              </w:rPr>
              <w:fldChar w:fldCharType="end"/>
            </w:r>
          </w:hyperlink>
        </w:p>
        <w:p w14:paraId="2F274953" w14:textId="383DBA3C" w:rsidR="00EC3308" w:rsidRPr="003B3332" w:rsidRDefault="004713AB">
          <w:pPr>
            <w:pStyle w:val="TOC2"/>
            <w:tabs>
              <w:tab w:val="right" w:leader="dot" w:pos="9017"/>
            </w:tabs>
            <w:rPr>
              <w:rFonts w:eastAsiaTheme="minorEastAsia"/>
              <w:noProof/>
            </w:rPr>
          </w:pPr>
          <w:hyperlink w:anchor="_Toc180674891" w:history="1">
            <w:r w:rsidR="00EC3308" w:rsidRPr="003B3332">
              <w:rPr>
                <w:rStyle w:val="Hyperlink"/>
                <w:noProof/>
                <w14:scene3d>
                  <w14:camera w14:prst="orthographicFront"/>
                  <w14:lightRig w14:rig="threePt" w14:dir="t">
                    <w14:rot w14:lat="0" w14:lon="0" w14:rev="0"/>
                  </w14:lightRig>
                </w14:scene3d>
              </w:rPr>
              <w:t>D.  </w:t>
            </w:r>
            <w:r w:rsidR="00EC3308" w:rsidRPr="003B3332">
              <w:rPr>
                <w:rStyle w:val="Hyperlink"/>
                <w:noProof/>
              </w:rPr>
              <w:t xml:space="preserve"> Tipuri de tratamente sau pedepse interzise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_Toc180674891 \h </w:instrText>
            </w:r>
            <w:r w:rsidR="00EC3308" w:rsidRPr="003B3332">
              <w:rPr>
                <w:noProof/>
                <w:webHidden/>
              </w:rPr>
            </w:r>
            <w:r w:rsidR="00EC3308" w:rsidRPr="003B3332">
              <w:rPr>
                <w:noProof/>
                <w:webHidden/>
              </w:rPr>
              <w:fldChar w:fldCharType="separate"/>
            </w:r>
            <w:r w:rsidR="000862FF">
              <w:rPr>
                <w:noProof/>
                <w:webHidden/>
              </w:rPr>
              <w:t>8</w:t>
            </w:r>
            <w:r w:rsidR="00EC3308" w:rsidRPr="003B3332">
              <w:rPr>
                <w:noProof/>
                <w:webHidden/>
              </w:rPr>
              <w:fldChar w:fldCharType="end"/>
            </w:r>
          </w:hyperlink>
        </w:p>
        <w:p w14:paraId="1134D164" w14:textId="2E579FF4" w:rsidR="00EC3308" w:rsidRPr="003B3332" w:rsidRDefault="004713AB">
          <w:pPr>
            <w:pStyle w:val="TOC3"/>
            <w:tabs>
              <w:tab w:val="right" w:leader="dot" w:pos="9017"/>
            </w:tabs>
            <w:rPr>
              <w:rFonts w:eastAsiaTheme="minorEastAsia"/>
              <w:noProof/>
            </w:rPr>
          </w:pPr>
          <w:hyperlink w:anchor="_Toc180674892" w:history="1">
            <w:r w:rsidR="00EC3308" w:rsidRPr="003B3332">
              <w:rPr>
                <w:rStyle w:val="Hyperlink"/>
                <w:noProof/>
                <w14:scene3d>
                  <w14:camera w14:prst="orthographicFront"/>
                  <w14:lightRig w14:rig="threePt" w14:dir="t">
                    <w14:rot w14:lat="0" w14:lon="0" w14:rev="0"/>
                  </w14:lightRig>
                </w14:scene3d>
              </w:rPr>
              <w:t>1.  </w:t>
            </w:r>
            <w:r w:rsidR="00EC3308" w:rsidRPr="003B3332">
              <w:rPr>
                <w:rStyle w:val="Hyperlink"/>
                <w:noProof/>
              </w:rPr>
              <w:t xml:space="preserve"> Tortura</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_Toc180674892 \h </w:instrText>
            </w:r>
            <w:r w:rsidR="00EC3308" w:rsidRPr="003B3332">
              <w:rPr>
                <w:noProof/>
                <w:webHidden/>
              </w:rPr>
            </w:r>
            <w:r w:rsidR="00EC3308" w:rsidRPr="003B3332">
              <w:rPr>
                <w:noProof/>
                <w:webHidden/>
              </w:rPr>
              <w:fldChar w:fldCharType="separate"/>
            </w:r>
            <w:r w:rsidR="000862FF">
              <w:rPr>
                <w:noProof/>
                <w:webHidden/>
              </w:rPr>
              <w:t>8</w:t>
            </w:r>
            <w:r w:rsidR="00EC3308" w:rsidRPr="003B3332">
              <w:rPr>
                <w:noProof/>
                <w:webHidden/>
              </w:rPr>
              <w:fldChar w:fldCharType="end"/>
            </w:r>
          </w:hyperlink>
        </w:p>
        <w:p w14:paraId="3251B3CF" w14:textId="01F5A7CA" w:rsidR="00EC3308" w:rsidRPr="003B3332" w:rsidRDefault="004713AB">
          <w:pPr>
            <w:pStyle w:val="TOC3"/>
            <w:tabs>
              <w:tab w:val="right" w:leader="dot" w:pos="9017"/>
            </w:tabs>
            <w:rPr>
              <w:rFonts w:eastAsiaTheme="minorEastAsia"/>
              <w:noProof/>
            </w:rPr>
          </w:pPr>
          <w:hyperlink w:anchor="_Toc180674893" w:history="1">
            <w:r w:rsidR="00EC3308" w:rsidRPr="003B3332">
              <w:rPr>
                <w:rStyle w:val="Hyperlink"/>
                <w:noProof/>
                <w14:scene3d>
                  <w14:camera w14:prst="orthographicFront"/>
                  <w14:lightRig w14:rig="threePt" w14:dir="t">
                    <w14:rot w14:lat="0" w14:lon="0" w14:rev="0"/>
                  </w14:lightRig>
                </w14:scene3d>
              </w:rPr>
              <w:t>2.  </w:t>
            </w:r>
            <w:r w:rsidR="00EC3308" w:rsidRPr="003B3332">
              <w:rPr>
                <w:rStyle w:val="Hyperlink"/>
                <w:noProof/>
              </w:rPr>
              <w:t xml:space="preserve"> Tratamente sau pedepse degradante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_Toc180674893 \h </w:instrText>
            </w:r>
            <w:r w:rsidR="00EC3308" w:rsidRPr="003B3332">
              <w:rPr>
                <w:noProof/>
                <w:webHidden/>
              </w:rPr>
            </w:r>
            <w:r w:rsidR="00EC3308" w:rsidRPr="003B3332">
              <w:rPr>
                <w:noProof/>
                <w:webHidden/>
              </w:rPr>
              <w:fldChar w:fldCharType="separate"/>
            </w:r>
            <w:r w:rsidR="000862FF">
              <w:rPr>
                <w:noProof/>
                <w:webHidden/>
              </w:rPr>
              <w:t>10</w:t>
            </w:r>
            <w:r w:rsidR="00EC3308" w:rsidRPr="003B3332">
              <w:rPr>
                <w:noProof/>
                <w:webHidden/>
              </w:rPr>
              <w:fldChar w:fldCharType="end"/>
            </w:r>
          </w:hyperlink>
        </w:p>
        <w:p w14:paraId="036BD4CF" w14:textId="57359E15" w:rsidR="00EC3308" w:rsidRPr="003B3332" w:rsidRDefault="004713AB">
          <w:pPr>
            <w:pStyle w:val="TOC3"/>
            <w:tabs>
              <w:tab w:val="right" w:leader="dot" w:pos="9017"/>
            </w:tabs>
            <w:rPr>
              <w:rFonts w:eastAsiaTheme="minorEastAsia"/>
              <w:noProof/>
            </w:rPr>
          </w:pPr>
          <w:hyperlink w:anchor="_Toc180674894" w:history="1">
            <w:r w:rsidR="00EC3308" w:rsidRPr="003B3332">
              <w:rPr>
                <w:rStyle w:val="Hyperlink"/>
                <w:noProof/>
                <w14:scene3d>
                  <w14:camera w14:prst="orthographicFront"/>
                  <w14:lightRig w14:rig="threePt" w14:dir="t">
                    <w14:rot w14:lat="0" w14:lon="0" w14:rev="0"/>
                  </w14:lightRig>
                </w14:scene3d>
              </w:rPr>
              <w:t>3.  </w:t>
            </w:r>
            <w:r w:rsidR="00EC3308" w:rsidRPr="003B3332">
              <w:rPr>
                <w:rStyle w:val="Hyperlink"/>
                <w:noProof/>
              </w:rPr>
              <w:t xml:space="preserve"> Tratamente sau pedepse degradante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_Toc180674894 \h </w:instrText>
            </w:r>
            <w:r w:rsidR="00EC3308" w:rsidRPr="003B3332">
              <w:rPr>
                <w:noProof/>
                <w:webHidden/>
              </w:rPr>
            </w:r>
            <w:r w:rsidR="00EC3308" w:rsidRPr="003B3332">
              <w:rPr>
                <w:noProof/>
                <w:webHidden/>
              </w:rPr>
              <w:fldChar w:fldCharType="separate"/>
            </w:r>
            <w:r w:rsidR="000862FF">
              <w:rPr>
                <w:noProof/>
                <w:webHidden/>
              </w:rPr>
              <w:t>10</w:t>
            </w:r>
            <w:r w:rsidR="00EC3308" w:rsidRPr="003B3332">
              <w:rPr>
                <w:noProof/>
                <w:webHidden/>
              </w:rPr>
              <w:fldChar w:fldCharType="end"/>
            </w:r>
          </w:hyperlink>
        </w:p>
        <w:p w14:paraId="5ACFBD0C" w14:textId="40FD58F7" w:rsidR="00EC3308" w:rsidRPr="003B3332" w:rsidRDefault="004713AB">
          <w:pPr>
            <w:pStyle w:val="TOC2"/>
            <w:tabs>
              <w:tab w:val="right" w:leader="dot" w:pos="9017"/>
            </w:tabs>
            <w:rPr>
              <w:rFonts w:eastAsiaTheme="minorEastAsia"/>
              <w:noProof/>
            </w:rPr>
          </w:pPr>
          <w:hyperlink w:anchor="_Toc180674895" w:history="1">
            <w:r w:rsidR="00EC3308" w:rsidRPr="003B3332">
              <w:rPr>
                <w:rStyle w:val="Hyperlink"/>
                <w:noProof/>
                <w14:scene3d>
                  <w14:camera w14:prst="orthographicFront"/>
                  <w14:lightRig w14:rig="threePt" w14:dir="t">
                    <w14:rot w14:lat="0" w14:lon="0" w14:rev="0"/>
                  </w14:lightRig>
                </w14:scene3d>
              </w:rPr>
              <w:t>E.  </w:t>
            </w:r>
            <w:r w:rsidR="00EC3308" w:rsidRPr="003B3332">
              <w:rPr>
                <w:rStyle w:val="Hyperlink"/>
                <w:noProof/>
              </w:rPr>
              <w:t xml:space="preserve"> Cu privire la relația dintre art. 2 și 8 din Convenție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_Toc180674895 \h </w:instrText>
            </w:r>
            <w:r w:rsidR="00EC3308" w:rsidRPr="003B3332">
              <w:rPr>
                <w:noProof/>
                <w:webHidden/>
              </w:rPr>
            </w:r>
            <w:r w:rsidR="00EC3308" w:rsidRPr="003B3332">
              <w:rPr>
                <w:noProof/>
                <w:webHidden/>
              </w:rPr>
              <w:fldChar w:fldCharType="separate"/>
            </w:r>
            <w:r w:rsidR="000862FF">
              <w:rPr>
                <w:noProof/>
                <w:webHidden/>
              </w:rPr>
              <w:t>12</w:t>
            </w:r>
            <w:r w:rsidR="00EC3308" w:rsidRPr="003B3332">
              <w:rPr>
                <w:noProof/>
                <w:webHidden/>
              </w:rPr>
              <w:fldChar w:fldCharType="end"/>
            </w:r>
          </w:hyperlink>
        </w:p>
        <w:p w14:paraId="6E9469DF" w14:textId="198BCF43" w:rsidR="00EC3308" w:rsidRPr="003B3332" w:rsidRDefault="004713AB">
          <w:pPr>
            <w:pStyle w:val="TOC1"/>
            <w:tabs>
              <w:tab w:val="right" w:leader="dot" w:pos="9017"/>
            </w:tabs>
            <w:rPr>
              <w:rFonts w:eastAsiaTheme="minorEastAsia"/>
              <w:b w:val="0"/>
              <w:noProof/>
              <w:color w:val="auto"/>
              <w:sz w:val="22"/>
            </w:rPr>
          </w:pPr>
          <w:hyperlink w:anchor="_Toc180674896" w:history="1">
            <w:r w:rsidR="00EC3308" w:rsidRPr="003B3332">
              <w:rPr>
                <w:rStyle w:val="Hyperlink"/>
                <w:noProof/>
              </w:rPr>
              <w:t>II.   Interzicerea torturii, a tratamentelor sau a pedepselor inumane ori degradante, cauzate sau facilitate de agenți ai statului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_Toc180674896 \h </w:instrText>
            </w:r>
            <w:r w:rsidR="00EC3308" w:rsidRPr="003B3332">
              <w:rPr>
                <w:noProof/>
                <w:webHidden/>
              </w:rPr>
            </w:r>
            <w:r w:rsidR="00EC3308" w:rsidRPr="003B3332">
              <w:rPr>
                <w:noProof/>
                <w:webHidden/>
              </w:rPr>
              <w:fldChar w:fldCharType="separate"/>
            </w:r>
            <w:r w:rsidR="000862FF">
              <w:rPr>
                <w:noProof/>
                <w:webHidden/>
              </w:rPr>
              <w:t>14</w:t>
            </w:r>
            <w:r w:rsidR="00EC3308" w:rsidRPr="003B3332">
              <w:rPr>
                <w:noProof/>
                <w:webHidden/>
              </w:rPr>
              <w:fldChar w:fldCharType="end"/>
            </w:r>
          </w:hyperlink>
        </w:p>
        <w:p w14:paraId="4EAE7B29" w14:textId="0954BC44" w:rsidR="00EC3308" w:rsidRPr="003B3332" w:rsidRDefault="004713AB">
          <w:pPr>
            <w:pStyle w:val="TOC2"/>
            <w:tabs>
              <w:tab w:val="right" w:leader="dot" w:pos="9017"/>
            </w:tabs>
            <w:rPr>
              <w:rFonts w:eastAsiaTheme="minorEastAsia"/>
              <w:noProof/>
            </w:rPr>
          </w:pPr>
          <w:hyperlink w:anchor="_Toc180674897" w:history="1">
            <w:r w:rsidR="00EC3308" w:rsidRPr="003B3332">
              <w:rPr>
                <w:rStyle w:val="Hyperlink"/>
                <w:noProof/>
                <w14:scene3d>
                  <w14:camera w14:prst="orthographicFront"/>
                  <w14:lightRig w14:rig="threePt" w14:dir="t">
                    <w14:rot w14:lat="0" w14:lon="0" w14:rev="0"/>
                  </w14:lightRig>
                </w14:scene3d>
              </w:rPr>
              <w:t>A.  </w:t>
            </w:r>
            <w:r w:rsidR="00EC3308" w:rsidRPr="003B3332">
              <w:rPr>
                <w:rStyle w:val="Hyperlink"/>
                <w:noProof/>
              </w:rPr>
              <w:t xml:space="preserve"> Observații preliminare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_Toc180674897 \h </w:instrText>
            </w:r>
            <w:r w:rsidR="00EC3308" w:rsidRPr="003B3332">
              <w:rPr>
                <w:noProof/>
                <w:webHidden/>
              </w:rPr>
            </w:r>
            <w:r w:rsidR="00EC3308" w:rsidRPr="003B3332">
              <w:rPr>
                <w:noProof/>
                <w:webHidden/>
              </w:rPr>
              <w:fldChar w:fldCharType="separate"/>
            </w:r>
            <w:r w:rsidR="000862FF">
              <w:rPr>
                <w:noProof/>
                <w:webHidden/>
              </w:rPr>
              <w:t>14</w:t>
            </w:r>
            <w:r w:rsidR="00EC3308" w:rsidRPr="003B3332">
              <w:rPr>
                <w:noProof/>
                <w:webHidden/>
              </w:rPr>
              <w:fldChar w:fldCharType="end"/>
            </w:r>
          </w:hyperlink>
        </w:p>
        <w:p w14:paraId="16B7A425" w14:textId="7FA13A18" w:rsidR="00EC3308" w:rsidRPr="003B3332" w:rsidRDefault="004713AB">
          <w:pPr>
            <w:pStyle w:val="TOC2"/>
            <w:tabs>
              <w:tab w:val="right" w:leader="dot" w:pos="9017"/>
            </w:tabs>
            <w:rPr>
              <w:rFonts w:eastAsiaTheme="minorEastAsia"/>
              <w:noProof/>
            </w:rPr>
          </w:pPr>
          <w:hyperlink w:anchor="_Toc180674898" w:history="1">
            <w:r w:rsidR="00EC3308" w:rsidRPr="003B3332">
              <w:rPr>
                <w:rStyle w:val="Hyperlink"/>
                <w:noProof/>
                <w14:scene3d>
                  <w14:camera w14:prst="orthographicFront"/>
                  <w14:lightRig w14:rig="threePt" w14:dir="t">
                    <w14:rot w14:lat="0" w14:lon="0" w14:rev="0"/>
                  </w14:lightRig>
                </w14:scene3d>
              </w:rPr>
              <w:t>B.  </w:t>
            </w:r>
            <w:r w:rsidR="00EC3308" w:rsidRPr="003B3332">
              <w:rPr>
                <w:rStyle w:val="Hyperlink"/>
                <w:noProof/>
              </w:rPr>
              <w:t xml:space="preserve"> Aprecierea probelor</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_Toc180674898 \h </w:instrText>
            </w:r>
            <w:r w:rsidR="00EC3308" w:rsidRPr="003B3332">
              <w:rPr>
                <w:noProof/>
                <w:webHidden/>
              </w:rPr>
            </w:r>
            <w:r w:rsidR="00EC3308" w:rsidRPr="003B3332">
              <w:rPr>
                <w:noProof/>
                <w:webHidden/>
              </w:rPr>
              <w:fldChar w:fldCharType="separate"/>
            </w:r>
            <w:r w:rsidR="000862FF">
              <w:rPr>
                <w:noProof/>
                <w:webHidden/>
              </w:rPr>
              <w:t>14</w:t>
            </w:r>
            <w:r w:rsidR="00EC3308" w:rsidRPr="003B3332">
              <w:rPr>
                <w:noProof/>
                <w:webHidden/>
              </w:rPr>
              <w:fldChar w:fldCharType="end"/>
            </w:r>
          </w:hyperlink>
        </w:p>
        <w:p w14:paraId="1E20E786" w14:textId="68F0DFC2" w:rsidR="00EC3308" w:rsidRPr="003B3332" w:rsidRDefault="004713AB">
          <w:pPr>
            <w:pStyle w:val="TOC3"/>
            <w:tabs>
              <w:tab w:val="right" w:leader="dot" w:pos="9017"/>
            </w:tabs>
            <w:rPr>
              <w:rFonts w:eastAsiaTheme="minorEastAsia"/>
              <w:noProof/>
            </w:rPr>
          </w:pPr>
          <w:hyperlink w:anchor="_Toc180674899" w:history="1">
            <w:r w:rsidR="00EC3308" w:rsidRPr="003B3332">
              <w:rPr>
                <w:rStyle w:val="Hyperlink"/>
                <w:noProof/>
                <w14:scene3d>
                  <w14:camera w14:prst="orthographicFront"/>
                  <w14:lightRig w14:rig="threePt" w14:dir="t">
                    <w14:rot w14:lat="0" w14:lon="0" w14:rev="0"/>
                  </w14:lightRig>
                </w14:scene3d>
              </w:rPr>
              <w:t>1.  </w:t>
            </w:r>
            <w:r w:rsidR="00EC3308" w:rsidRPr="003B3332">
              <w:rPr>
                <w:rStyle w:val="Hyperlink"/>
                <w:noProof/>
              </w:rPr>
              <w:t xml:space="preserve"> Principiul probei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_Toc180674899 \h </w:instrText>
            </w:r>
            <w:r w:rsidR="00EC3308" w:rsidRPr="003B3332">
              <w:rPr>
                <w:noProof/>
                <w:webHidden/>
              </w:rPr>
            </w:r>
            <w:r w:rsidR="00EC3308" w:rsidRPr="003B3332">
              <w:rPr>
                <w:noProof/>
                <w:webHidden/>
              </w:rPr>
              <w:fldChar w:fldCharType="separate"/>
            </w:r>
            <w:r w:rsidR="000862FF">
              <w:rPr>
                <w:noProof/>
                <w:webHidden/>
              </w:rPr>
              <w:t>14</w:t>
            </w:r>
            <w:r w:rsidR="00EC3308" w:rsidRPr="003B3332">
              <w:rPr>
                <w:noProof/>
                <w:webHidden/>
              </w:rPr>
              <w:fldChar w:fldCharType="end"/>
            </w:r>
          </w:hyperlink>
        </w:p>
        <w:p w14:paraId="6F5ECF7A" w14:textId="525C2BB4" w:rsidR="00EC3308" w:rsidRPr="003B3332" w:rsidRDefault="004713AB">
          <w:pPr>
            <w:pStyle w:val="TOC3"/>
            <w:tabs>
              <w:tab w:val="right" w:leader="dot" w:pos="9017"/>
            </w:tabs>
            <w:rPr>
              <w:rFonts w:eastAsiaTheme="minorEastAsia"/>
              <w:noProof/>
            </w:rPr>
          </w:pPr>
          <w:hyperlink w:anchor="_Toc180674900" w:history="1">
            <w:r w:rsidR="00EC3308" w:rsidRPr="003B3332">
              <w:rPr>
                <w:rStyle w:val="Hyperlink"/>
                <w:noProof/>
                <w14:scene3d>
                  <w14:camera w14:prst="orthographicFront"/>
                  <w14:lightRig w14:rig="threePt" w14:dir="t">
                    <w14:rot w14:lat="0" w14:lon="0" w14:rev="0"/>
                  </w14:lightRig>
                </w14:scene3d>
              </w:rPr>
              <w:t>2.  </w:t>
            </w:r>
            <w:r w:rsidR="00EC3308" w:rsidRPr="003B3332">
              <w:rPr>
                <w:rStyle w:val="Hyperlink"/>
                <w:noProof/>
              </w:rPr>
              <w:t xml:space="preserve"> Sarcina probei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_Toc180674900 \h </w:instrText>
            </w:r>
            <w:r w:rsidR="00EC3308" w:rsidRPr="003B3332">
              <w:rPr>
                <w:noProof/>
                <w:webHidden/>
              </w:rPr>
            </w:r>
            <w:r w:rsidR="00EC3308" w:rsidRPr="003B3332">
              <w:rPr>
                <w:noProof/>
                <w:webHidden/>
              </w:rPr>
              <w:fldChar w:fldCharType="separate"/>
            </w:r>
            <w:r w:rsidR="000862FF">
              <w:rPr>
                <w:noProof/>
                <w:webHidden/>
              </w:rPr>
              <w:t>15</w:t>
            </w:r>
            <w:r w:rsidR="00EC3308" w:rsidRPr="003B3332">
              <w:rPr>
                <w:noProof/>
                <w:webHidden/>
              </w:rPr>
              <w:fldChar w:fldCharType="end"/>
            </w:r>
          </w:hyperlink>
        </w:p>
        <w:p w14:paraId="234A6652" w14:textId="2BF95EBF" w:rsidR="00EC3308" w:rsidRPr="003B3332" w:rsidRDefault="004713AB">
          <w:pPr>
            <w:pStyle w:val="TOC2"/>
            <w:tabs>
              <w:tab w:val="right" w:leader="dot" w:pos="9017"/>
            </w:tabs>
            <w:rPr>
              <w:rFonts w:eastAsiaTheme="minorEastAsia"/>
              <w:noProof/>
            </w:rPr>
          </w:pPr>
          <w:hyperlink w:anchor="_Toc180674901" w:history="1">
            <w:r w:rsidR="00EC3308" w:rsidRPr="003B3332">
              <w:rPr>
                <w:rStyle w:val="Hyperlink"/>
                <w:noProof/>
                <w14:scene3d>
                  <w14:camera w14:prst="orthographicFront"/>
                  <w14:lightRig w14:rig="threePt" w14:dir="t">
                    <w14:rot w14:lat="0" w14:lon="0" w14:rev="0"/>
                  </w14:lightRig>
                </w14:scene3d>
              </w:rPr>
              <w:t>C.  </w:t>
            </w:r>
            <w:r w:rsidR="00EC3308" w:rsidRPr="003B3332">
              <w:rPr>
                <w:rStyle w:val="Hyperlink"/>
                <w:noProof/>
              </w:rPr>
              <w:t xml:space="preserve"> Uzul de forță din partea agenților statului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_Toc180674901 \h </w:instrText>
            </w:r>
            <w:r w:rsidR="00EC3308" w:rsidRPr="003B3332">
              <w:rPr>
                <w:noProof/>
                <w:webHidden/>
              </w:rPr>
            </w:r>
            <w:r w:rsidR="00EC3308" w:rsidRPr="003B3332">
              <w:rPr>
                <w:noProof/>
                <w:webHidden/>
              </w:rPr>
              <w:fldChar w:fldCharType="separate"/>
            </w:r>
            <w:r w:rsidR="000862FF">
              <w:rPr>
                <w:noProof/>
                <w:webHidden/>
              </w:rPr>
              <w:t>15</w:t>
            </w:r>
            <w:r w:rsidR="00EC3308" w:rsidRPr="003B3332">
              <w:rPr>
                <w:noProof/>
                <w:webHidden/>
              </w:rPr>
              <w:fldChar w:fldCharType="end"/>
            </w:r>
          </w:hyperlink>
        </w:p>
        <w:p w14:paraId="784419F3" w14:textId="62535C80" w:rsidR="00EC3308" w:rsidRPr="003B3332" w:rsidRDefault="004713AB">
          <w:pPr>
            <w:pStyle w:val="TOC3"/>
            <w:tabs>
              <w:tab w:val="right" w:leader="dot" w:pos="9017"/>
            </w:tabs>
            <w:rPr>
              <w:rFonts w:eastAsiaTheme="minorEastAsia"/>
              <w:noProof/>
            </w:rPr>
          </w:pPr>
          <w:hyperlink w:anchor="_Toc180674902" w:history="1">
            <w:r w:rsidR="00EC3308" w:rsidRPr="003B3332">
              <w:rPr>
                <w:rStyle w:val="Hyperlink"/>
                <w:noProof/>
                <w14:scene3d>
                  <w14:camera w14:prst="orthographicFront"/>
                  <w14:lightRig w14:rig="threePt" w14:dir="t">
                    <w14:rot w14:lat="0" w14:lon="0" w14:rev="0"/>
                  </w14:lightRig>
                </w14:scene3d>
              </w:rPr>
              <w:t>1.  </w:t>
            </w:r>
            <w:r w:rsidR="00EC3308" w:rsidRPr="003B3332">
              <w:rPr>
                <w:rStyle w:val="Hyperlink"/>
                <w:noProof/>
              </w:rPr>
              <w:t xml:space="preserve"> Considerații generale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_Toc180674902 \h </w:instrText>
            </w:r>
            <w:r w:rsidR="00EC3308" w:rsidRPr="003B3332">
              <w:rPr>
                <w:noProof/>
                <w:webHidden/>
              </w:rPr>
            </w:r>
            <w:r w:rsidR="00EC3308" w:rsidRPr="003B3332">
              <w:rPr>
                <w:noProof/>
                <w:webHidden/>
              </w:rPr>
              <w:fldChar w:fldCharType="separate"/>
            </w:r>
            <w:r w:rsidR="000862FF">
              <w:rPr>
                <w:noProof/>
                <w:webHidden/>
              </w:rPr>
              <w:t>15</w:t>
            </w:r>
            <w:r w:rsidR="00EC3308" w:rsidRPr="003B3332">
              <w:rPr>
                <w:noProof/>
                <w:webHidden/>
              </w:rPr>
              <w:fldChar w:fldCharType="end"/>
            </w:r>
          </w:hyperlink>
        </w:p>
        <w:p w14:paraId="67A46806" w14:textId="1E70840C" w:rsidR="00EC3308" w:rsidRPr="003B3332" w:rsidRDefault="004713AB">
          <w:pPr>
            <w:pStyle w:val="TOC3"/>
            <w:tabs>
              <w:tab w:val="right" w:leader="dot" w:pos="9017"/>
            </w:tabs>
            <w:rPr>
              <w:rFonts w:eastAsiaTheme="minorEastAsia"/>
              <w:noProof/>
            </w:rPr>
          </w:pPr>
          <w:hyperlink w:anchor="_Toc180674903" w:history="1">
            <w:r w:rsidR="00EC3308" w:rsidRPr="003B3332">
              <w:rPr>
                <w:rStyle w:val="Hyperlink"/>
                <w:noProof/>
                <w14:scene3d>
                  <w14:camera w14:prst="orthographicFront"/>
                  <w14:lightRig w14:rig="threePt" w14:dir="t">
                    <w14:rot w14:lat="0" w14:lon="0" w14:rev="0"/>
                  </w14:lightRig>
                </w14:scene3d>
              </w:rPr>
              <w:t>2.  </w:t>
            </w:r>
            <w:r w:rsidR="00EC3308" w:rsidRPr="003B3332">
              <w:rPr>
                <w:rStyle w:val="Hyperlink"/>
                <w:noProof/>
              </w:rPr>
              <w:t xml:space="preserve"> Folosirea mijloacelor sau a măsurilor specifice de constrângere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_Toc180674903 \h </w:instrText>
            </w:r>
            <w:r w:rsidR="00EC3308" w:rsidRPr="003B3332">
              <w:rPr>
                <w:noProof/>
                <w:webHidden/>
              </w:rPr>
            </w:r>
            <w:r w:rsidR="00EC3308" w:rsidRPr="003B3332">
              <w:rPr>
                <w:noProof/>
                <w:webHidden/>
              </w:rPr>
              <w:fldChar w:fldCharType="separate"/>
            </w:r>
            <w:r w:rsidR="000862FF">
              <w:rPr>
                <w:noProof/>
                <w:webHidden/>
              </w:rPr>
              <w:t>16</w:t>
            </w:r>
            <w:r w:rsidR="00EC3308" w:rsidRPr="003B3332">
              <w:rPr>
                <w:noProof/>
                <w:webHidden/>
              </w:rPr>
              <w:fldChar w:fldCharType="end"/>
            </w:r>
          </w:hyperlink>
        </w:p>
        <w:p w14:paraId="2937ABFC" w14:textId="0E9FF62B" w:rsidR="00EC3308" w:rsidRPr="003B3332" w:rsidRDefault="004713AB">
          <w:pPr>
            <w:pStyle w:val="TOC2"/>
            <w:tabs>
              <w:tab w:val="right" w:leader="dot" w:pos="9017"/>
            </w:tabs>
            <w:rPr>
              <w:rFonts w:eastAsiaTheme="minorEastAsia"/>
              <w:noProof/>
            </w:rPr>
          </w:pPr>
          <w:hyperlink w:anchor="_Toc180674904" w:history="1">
            <w:r w:rsidR="00EC3308" w:rsidRPr="003B3332">
              <w:rPr>
                <w:rStyle w:val="Hyperlink"/>
                <w:noProof/>
                <w14:scene3d>
                  <w14:camera w14:prst="orthographicFront"/>
                  <w14:lightRig w14:rig="threePt" w14:dir="t">
                    <w14:rot w14:lat="0" w14:lon="0" w14:rev="0"/>
                  </w14:lightRig>
                </w14:scene3d>
              </w:rPr>
              <w:t>D.  </w:t>
            </w:r>
            <w:r w:rsidR="00EC3308" w:rsidRPr="003B3332">
              <w:rPr>
                <w:rStyle w:val="Hyperlink"/>
                <w:noProof/>
              </w:rPr>
              <w:t xml:space="preserve"> Percheziția corporală sau intimă</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_Toc180674904 \h </w:instrText>
            </w:r>
            <w:r w:rsidR="00EC3308" w:rsidRPr="003B3332">
              <w:rPr>
                <w:noProof/>
                <w:webHidden/>
              </w:rPr>
            </w:r>
            <w:r w:rsidR="00EC3308" w:rsidRPr="003B3332">
              <w:rPr>
                <w:noProof/>
                <w:webHidden/>
              </w:rPr>
              <w:fldChar w:fldCharType="separate"/>
            </w:r>
            <w:r w:rsidR="000862FF">
              <w:rPr>
                <w:noProof/>
                <w:webHidden/>
              </w:rPr>
              <w:t>17</w:t>
            </w:r>
            <w:r w:rsidR="00EC3308" w:rsidRPr="003B3332">
              <w:rPr>
                <w:noProof/>
                <w:webHidden/>
              </w:rPr>
              <w:fldChar w:fldCharType="end"/>
            </w:r>
          </w:hyperlink>
        </w:p>
        <w:p w14:paraId="57CDBB69" w14:textId="6A1D40B2" w:rsidR="00EC3308" w:rsidRPr="003B3332" w:rsidRDefault="004713AB">
          <w:pPr>
            <w:pStyle w:val="TOC2"/>
            <w:tabs>
              <w:tab w:val="right" w:leader="dot" w:pos="9017"/>
            </w:tabs>
            <w:rPr>
              <w:rFonts w:eastAsiaTheme="minorEastAsia"/>
              <w:noProof/>
            </w:rPr>
          </w:pPr>
          <w:hyperlink w:anchor="_Toc180674905" w:history="1">
            <w:r w:rsidR="00EC3308" w:rsidRPr="003B3332">
              <w:rPr>
                <w:rStyle w:val="Hyperlink"/>
                <w:noProof/>
                <w14:scene3d>
                  <w14:camera w14:prst="orthographicFront"/>
                  <w14:lightRig w14:rig="threePt" w14:dir="t">
                    <w14:rot w14:lat="0" w14:lon="0" w14:rev="0"/>
                  </w14:lightRig>
                </w14:scene3d>
              </w:rPr>
              <w:t>E.  </w:t>
            </w:r>
            <w:r w:rsidR="00EC3308" w:rsidRPr="003B3332">
              <w:rPr>
                <w:rStyle w:val="Hyperlink"/>
                <w:noProof/>
              </w:rPr>
              <w:t xml:space="preserve"> Serviciul militar</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_Toc180674905 \h </w:instrText>
            </w:r>
            <w:r w:rsidR="00EC3308" w:rsidRPr="003B3332">
              <w:rPr>
                <w:noProof/>
                <w:webHidden/>
              </w:rPr>
            </w:r>
            <w:r w:rsidR="00EC3308" w:rsidRPr="003B3332">
              <w:rPr>
                <w:noProof/>
                <w:webHidden/>
              </w:rPr>
              <w:fldChar w:fldCharType="separate"/>
            </w:r>
            <w:r w:rsidR="000862FF">
              <w:rPr>
                <w:noProof/>
                <w:webHidden/>
              </w:rPr>
              <w:t>17</w:t>
            </w:r>
            <w:r w:rsidR="00EC3308" w:rsidRPr="003B3332">
              <w:rPr>
                <w:noProof/>
                <w:webHidden/>
              </w:rPr>
              <w:fldChar w:fldCharType="end"/>
            </w:r>
          </w:hyperlink>
        </w:p>
        <w:p w14:paraId="0A9B9552" w14:textId="02BBF054" w:rsidR="00EC3308" w:rsidRPr="003B3332" w:rsidRDefault="004713AB">
          <w:pPr>
            <w:pStyle w:val="TOC2"/>
            <w:tabs>
              <w:tab w:val="right" w:leader="dot" w:pos="9017"/>
            </w:tabs>
            <w:rPr>
              <w:rFonts w:eastAsiaTheme="minorEastAsia"/>
              <w:noProof/>
            </w:rPr>
          </w:pPr>
          <w:hyperlink w:anchor="_Toc180674906" w:history="1">
            <w:r w:rsidR="00EC3308" w:rsidRPr="003B3332">
              <w:rPr>
                <w:rStyle w:val="Hyperlink"/>
                <w:noProof/>
                <w14:scene3d>
                  <w14:camera w14:prst="orthographicFront"/>
                  <w14:lightRig w14:rig="threePt" w14:dir="t">
                    <w14:rot w14:lat="0" w14:lon="0" w14:rev="0"/>
                  </w14:lightRig>
                </w14:scene3d>
              </w:rPr>
              <w:t>F.  </w:t>
            </w:r>
            <w:r w:rsidR="00EC3308" w:rsidRPr="003B3332">
              <w:rPr>
                <w:rStyle w:val="Hyperlink"/>
                <w:noProof/>
              </w:rPr>
              <w:t xml:space="preserve"> Condițiile de detenție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_Toc180674906 \h </w:instrText>
            </w:r>
            <w:r w:rsidR="00EC3308" w:rsidRPr="003B3332">
              <w:rPr>
                <w:noProof/>
                <w:webHidden/>
              </w:rPr>
            </w:r>
            <w:r w:rsidR="00EC3308" w:rsidRPr="003B3332">
              <w:rPr>
                <w:noProof/>
                <w:webHidden/>
              </w:rPr>
              <w:fldChar w:fldCharType="separate"/>
            </w:r>
            <w:r w:rsidR="000862FF">
              <w:rPr>
                <w:noProof/>
                <w:webHidden/>
              </w:rPr>
              <w:t>18</w:t>
            </w:r>
            <w:r w:rsidR="00EC3308" w:rsidRPr="003B3332">
              <w:rPr>
                <w:noProof/>
                <w:webHidden/>
              </w:rPr>
              <w:fldChar w:fldCharType="end"/>
            </w:r>
          </w:hyperlink>
        </w:p>
        <w:p w14:paraId="0DBC2D07" w14:textId="29795CA4" w:rsidR="00EC3308" w:rsidRPr="003B3332" w:rsidRDefault="004713AB">
          <w:pPr>
            <w:pStyle w:val="TOC2"/>
            <w:tabs>
              <w:tab w:val="right" w:leader="dot" w:pos="9017"/>
            </w:tabs>
            <w:rPr>
              <w:rFonts w:eastAsiaTheme="minorEastAsia"/>
              <w:noProof/>
            </w:rPr>
          </w:pPr>
          <w:hyperlink w:anchor="_Toc180674907" w:history="1">
            <w:r w:rsidR="00EC3308" w:rsidRPr="003B3332">
              <w:rPr>
                <w:rStyle w:val="Hyperlink"/>
                <w:noProof/>
                <w14:scene3d>
                  <w14:camera w14:prst="orthographicFront"/>
                  <w14:lightRig w14:rig="threePt" w14:dir="t">
                    <w14:rot w14:lat="0" w14:lon="0" w14:rev="0"/>
                  </w14:lightRig>
                </w14:scene3d>
              </w:rPr>
              <w:t>G.  </w:t>
            </w:r>
            <w:r w:rsidR="00EC3308" w:rsidRPr="003B3332">
              <w:rPr>
                <w:rStyle w:val="Hyperlink"/>
                <w:noProof/>
              </w:rPr>
              <w:t xml:space="preserve"> Tratamentul medical în timpul detenției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_Toc180674907 \h </w:instrText>
            </w:r>
            <w:r w:rsidR="00EC3308" w:rsidRPr="003B3332">
              <w:rPr>
                <w:noProof/>
                <w:webHidden/>
              </w:rPr>
            </w:r>
            <w:r w:rsidR="00EC3308" w:rsidRPr="003B3332">
              <w:rPr>
                <w:noProof/>
                <w:webHidden/>
              </w:rPr>
              <w:fldChar w:fldCharType="separate"/>
            </w:r>
            <w:r w:rsidR="000862FF">
              <w:rPr>
                <w:noProof/>
                <w:webHidden/>
              </w:rPr>
              <w:t>18</w:t>
            </w:r>
            <w:r w:rsidR="00EC3308" w:rsidRPr="003B3332">
              <w:rPr>
                <w:noProof/>
                <w:webHidden/>
              </w:rPr>
              <w:fldChar w:fldCharType="end"/>
            </w:r>
          </w:hyperlink>
        </w:p>
        <w:p w14:paraId="07182EE7" w14:textId="4F2A9CCE" w:rsidR="00EC3308" w:rsidRPr="003B3332" w:rsidRDefault="004713AB">
          <w:pPr>
            <w:pStyle w:val="TOC2"/>
            <w:tabs>
              <w:tab w:val="right" w:leader="dot" w:pos="9017"/>
            </w:tabs>
            <w:rPr>
              <w:rFonts w:eastAsiaTheme="minorEastAsia"/>
              <w:noProof/>
            </w:rPr>
          </w:pPr>
          <w:hyperlink w:anchor="_Toc180674908" w:history="1">
            <w:r w:rsidR="00EC3308" w:rsidRPr="003B3332">
              <w:rPr>
                <w:rStyle w:val="Hyperlink"/>
                <w:noProof/>
                <w14:scene3d>
                  <w14:camera w14:prst="orthographicFront"/>
                  <w14:lightRig w14:rig="threePt" w14:dir="t">
                    <w14:rot w14:lat="0" w14:lon="0" w14:rev="0"/>
                  </w14:lightRig>
                </w14:scene3d>
              </w:rPr>
              <w:t>H.  </w:t>
            </w:r>
            <w:r w:rsidR="00EC3308" w:rsidRPr="003B3332">
              <w:rPr>
                <w:rStyle w:val="Hyperlink"/>
                <w:noProof/>
              </w:rPr>
              <w:t xml:space="preserve"> Suferința rudelor victimei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_Toc180674908 \h </w:instrText>
            </w:r>
            <w:r w:rsidR="00EC3308" w:rsidRPr="003B3332">
              <w:rPr>
                <w:noProof/>
                <w:webHidden/>
              </w:rPr>
            </w:r>
            <w:r w:rsidR="00EC3308" w:rsidRPr="003B3332">
              <w:rPr>
                <w:noProof/>
                <w:webHidden/>
              </w:rPr>
              <w:fldChar w:fldCharType="separate"/>
            </w:r>
            <w:r w:rsidR="000862FF">
              <w:rPr>
                <w:noProof/>
                <w:webHidden/>
              </w:rPr>
              <w:t>19</w:t>
            </w:r>
            <w:r w:rsidR="00EC3308" w:rsidRPr="003B3332">
              <w:rPr>
                <w:noProof/>
                <w:webHidden/>
              </w:rPr>
              <w:fldChar w:fldCharType="end"/>
            </w:r>
          </w:hyperlink>
        </w:p>
        <w:p w14:paraId="45CC00BA" w14:textId="7C576BB8" w:rsidR="00EC3308" w:rsidRPr="003B3332" w:rsidRDefault="004713AB">
          <w:pPr>
            <w:pStyle w:val="TOC3"/>
            <w:tabs>
              <w:tab w:val="right" w:leader="dot" w:pos="9017"/>
            </w:tabs>
            <w:rPr>
              <w:rFonts w:eastAsiaTheme="minorEastAsia"/>
              <w:noProof/>
            </w:rPr>
          </w:pPr>
          <w:hyperlink w:anchor="_Toc180674909" w:history="1">
            <w:r w:rsidR="00EC3308" w:rsidRPr="003B3332">
              <w:rPr>
                <w:rStyle w:val="Hyperlink"/>
                <w:noProof/>
                <w14:scene3d>
                  <w14:camera w14:prst="orthographicFront"/>
                  <w14:lightRig w14:rig="threePt" w14:dir="t">
                    <w14:rot w14:lat="0" w14:lon="0" w14:rev="0"/>
                  </w14:lightRig>
                </w14:scene3d>
              </w:rPr>
              <w:t>1.  </w:t>
            </w:r>
            <w:r w:rsidR="00EC3308" w:rsidRPr="003B3332">
              <w:rPr>
                <w:rStyle w:val="Hyperlink"/>
                <w:noProof/>
              </w:rPr>
              <w:t xml:space="preserve"> Observații preliminare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_Toc180674909 \h </w:instrText>
            </w:r>
            <w:r w:rsidR="00EC3308" w:rsidRPr="003B3332">
              <w:rPr>
                <w:noProof/>
                <w:webHidden/>
              </w:rPr>
            </w:r>
            <w:r w:rsidR="00EC3308" w:rsidRPr="003B3332">
              <w:rPr>
                <w:noProof/>
                <w:webHidden/>
              </w:rPr>
              <w:fldChar w:fldCharType="separate"/>
            </w:r>
            <w:r w:rsidR="000862FF">
              <w:rPr>
                <w:noProof/>
                <w:webHidden/>
              </w:rPr>
              <w:t>19</w:t>
            </w:r>
            <w:r w:rsidR="00EC3308" w:rsidRPr="003B3332">
              <w:rPr>
                <w:noProof/>
                <w:webHidden/>
              </w:rPr>
              <w:fldChar w:fldCharType="end"/>
            </w:r>
          </w:hyperlink>
        </w:p>
        <w:p w14:paraId="3E44AAE0" w14:textId="7CE157E1" w:rsidR="00EC3308" w:rsidRPr="003B3332" w:rsidRDefault="004713AB">
          <w:pPr>
            <w:pStyle w:val="TOC3"/>
            <w:tabs>
              <w:tab w:val="right" w:leader="dot" w:pos="9017"/>
            </w:tabs>
            <w:rPr>
              <w:rFonts w:eastAsiaTheme="minorEastAsia"/>
              <w:noProof/>
            </w:rPr>
          </w:pPr>
          <w:hyperlink w:anchor="_Toc180674910" w:history="1">
            <w:r w:rsidR="00EC3308" w:rsidRPr="003B3332">
              <w:rPr>
                <w:rStyle w:val="Hyperlink"/>
                <w:noProof/>
                <w14:scene3d>
                  <w14:camera w14:prst="orthographicFront"/>
                  <w14:lightRig w14:rig="threePt" w14:dir="t">
                    <w14:rot w14:lat="0" w14:lon="0" w14:rev="0"/>
                  </w14:lightRig>
                </w14:scene3d>
              </w:rPr>
              <w:t>2.  </w:t>
            </w:r>
            <w:r w:rsidR="00EC3308" w:rsidRPr="003B3332">
              <w:rPr>
                <w:rStyle w:val="Hyperlink"/>
                <w:noProof/>
              </w:rPr>
              <w:t xml:space="preserve"> Rudele persoanelor dispărute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_Toc180674910 \h </w:instrText>
            </w:r>
            <w:r w:rsidR="00EC3308" w:rsidRPr="003B3332">
              <w:rPr>
                <w:noProof/>
                <w:webHidden/>
              </w:rPr>
            </w:r>
            <w:r w:rsidR="00EC3308" w:rsidRPr="003B3332">
              <w:rPr>
                <w:noProof/>
                <w:webHidden/>
              </w:rPr>
              <w:fldChar w:fldCharType="separate"/>
            </w:r>
            <w:r w:rsidR="000862FF">
              <w:rPr>
                <w:noProof/>
                <w:webHidden/>
              </w:rPr>
              <w:t>19</w:t>
            </w:r>
            <w:r w:rsidR="00EC3308" w:rsidRPr="003B3332">
              <w:rPr>
                <w:noProof/>
                <w:webHidden/>
              </w:rPr>
              <w:fldChar w:fldCharType="end"/>
            </w:r>
          </w:hyperlink>
        </w:p>
        <w:p w14:paraId="6B5C1BE7" w14:textId="3F1106FD" w:rsidR="00EC3308" w:rsidRPr="003B3332" w:rsidRDefault="004713AB">
          <w:pPr>
            <w:pStyle w:val="TOC3"/>
            <w:tabs>
              <w:tab w:val="right" w:leader="dot" w:pos="9017"/>
            </w:tabs>
            <w:rPr>
              <w:rFonts w:eastAsiaTheme="minorEastAsia"/>
              <w:noProof/>
            </w:rPr>
          </w:pPr>
          <w:hyperlink w:anchor="_Toc180674911" w:history="1">
            <w:r w:rsidR="00EC3308" w:rsidRPr="003B3332">
              <w:rPr>
                <w:rStyle w:val="Hyperlink"/>
                <w:noProof/>
                <w14:scene3d>
                  <w14:camera w14:prst="orthographicFront"/>
                  <w14:lightRig w14:rig="threePt" w14:dir="t">
                    <w14:rot w14:lat="0" w14:lon="0" w14:rev="0"/>
                  </w14:lightRig>
                </w14:scene3d>
              </w:rPr>
              <w:t>3.  </w:t>
            </w:r>
            <w:r w:rsidR="00EC3308" w:rsidRPr="003B3332">
              <w:rPr>
                <w:rStyle w:val="Hyperlink"/>
                <w:noProof/>
              </w:rPr>
              <w:t xml:space="preserve"> Decese confirmate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_Toc180674911 \h </w:instrText>
            </w:r>
            <w:r w:rsidR="00EC3308" w:rsidRPr="003B3332">
              <w:rPr>
                <w:noProof/>
                <w:webHidden/>
              </w:rPr>
            </w:r>
            <w:r w:rsidR="00EC3308" w:rsidRPr="003B3332">
              <w:rPr>
                <w:noProof/>
                <w:webHidden/>
              </w:rPr>
              <w:fldChar w:fldCharType="separate"/>
            </w:r>
            <w:r w:rsidR="000862FF">
              <w:rPr>
                <w:noProof/>
                <w:webHidden/>
              </w:rPr>
              <w:t>20</w:t>
            </w:r>
            <w:r w:rsidR="00EC3308" w:rsidRPr="003B3332">
              <w:rPr>
                <w:noProof/>
                <w:webHidden/>
              </w:rPr>
              <w:fldChar w:fldCharType="end"/>
            </w:r>
          </w:hyperlink>
        </w:p>
        <w:p w14:paraId="47A76687" w14:textId="14722EC5" w:rsidR="00EC3308" w:rsidRPr="003B3332" w:rsidRDefault="004713AB">
          <w:pPr>
            <w:pStyle w:val="TOC3"/>
            <w:tabs>
              <w:tab w:val="right" w:leader="dot" w:pos="9017"/>
            </w:tabs>
            <w:rPr>
              <w:rFonts w:eastAsiaTheme="minorEastAsia"/>
              <w:noProof/>
            </w:rPr>
          </w:pPr>
          <w:hyperlink w:anchor="_Toc180674912" w:history="1">
            <w:r w:rsidR="00EC3308" w:rsidRPr="003B3332">
              <w:rPr>
                <w:rStyle w:val="Hyperlink"/>
                <w:noProof/>
                <w14:scene3d>
                  <w14:camera w14:prst="orthographicFront"/>
                  <w14:lightRig w14:rig="threePt" w14:dir="t">
                    <w14:rot w14:lat="0" w14:lon="0" w14:rev="0"/>
                  </w14:lightRig>
                </w14:scene3d>
              </w:rPr>
              <w:t>4.  </w:t>
            </w:r>
            <w:r w:rsidR="00EC3308" w:rsidRPr="003B3332">
              <w:rPr>
                <w:rStyle w:val="Hyperlink"/>
                <w:noProof/>
              </w:rPr>
              <w:t xml:space="preserve"> Rele tratamente aplicate cadavrelor</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_Toc180674912 \h </w:instrText>
            </w:r>
            <w:r w:rsidR="00EC3308" w:rsidRPr="003B3332">
              <w:rPr>
                <w:noProof/>
                <w:webHidden/>
              </w:rPr>
            </w:r>
            <w:r w:rsidR="00EC3308" w:rsidRPr="003B3332">
              <w:rPr>
                <w:noProof/>
                <w:webHidden/>
              </w:rPr>
              <w:fldChar w:fldCharType="separate"/>
            </w:r>
            <w:r w:rsidR="000862FF">
              <w:rPr>
                <w:noProof/>
                <w:webHidden/>
              </w:rPr>
              <w:t>20</w:t>
            </w:r>
            <w:r w:rsidR="00EC3308" w:rsidRPr="003B3332">
              <w:rPr>
                <w:noProof/>
                <w:webHidden/>
              </w:rPr>
              <w:fldChar w:fldCharType="end"/>
            </w:r>
          </w:hyperlink>
        </w:p>
        <w:p w14:paraId="7C151B63" w14:textId="6CCFE420" w:rsidR="00EC3308" w:rsidRPr="003B3332" w:rsidRDefault="004713AB">
          <w:pPr>
            <w:pStyle w:val="TOC3"/>
            <w:tabs>
              <w:tab w:val="right" w:leader="dot" w:pos="9017"/>
            </w:tabs>
            <w:rPr>
              <w:rFonts w:eastAsiaTheme="minorEastAsia"/>
              <w:noProof/>
            </w:rPr>
          </w:pPr>
          <w:hyperlink w:anchor="_Toc180674913" w:history="1">
            <w:r w:rsidR="00EC3308" w:rsidRPr="003B3332">
              <w:rPr>
                <w:rStyle w:val="Hyperlink"/>
                <w:noProof/>
                <w14:scene3d>
                  <w14:camera w14:prst="orthographicFront"/>
                  <w14:lightRig w14:rig="threePt" w14:dir="t">
                    <w14:rot w14:lat="0" w14:lon="0" w14:rev="0"/>
                  </w14:lightRig>
                </w14:scene3d>
              </w:rPr>
              <w:t>5.  </w:t>
            </w:r>
            <w:r w:rsidR="00EC3308" w:rsidRPr="003B3332">
              <w:rPr>
                <w:rStyle w:val="Hyperlink"/>
                <w:noProof/>
              </w:rPr>
              <w:t xml:space="preserve"> Altele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_Toc180674913 \h </w:instrText>
            </w:r>
            <w:r w:rsidR="00EC3308" w:rsidRPr="003B3332">
              <w:rPr>
                <w:noProof/>
                <w:webHidden/>
              </w:rPr>
            </w:r>
            <w:r w:rsidR="00EC3308" w:rsidRPr="003B3332">
              <w:rPr>
                <w:noProof/>
                <w:webHidden/>
              </w:rPr>
              <w:fldChar w:fldCharType="separate"/>
            </w:r>
            <w:r w:rsidR="000862FF">
              <w:rPr>
                <w:noProof/>
                <w:webHidden/>
              </w:rPr>
              <w:t>20</w:t>
            </w:r>
            <w:r w:rsidR="00EC3308" w:rsidRPr="003B3332">
              <w:rPr>
                <w:noProof/>
                <w:webHidden/>
              </w:rPr>
              <w:fldChar w:fldCharType="end"/>
            </w:r>
          </w:hyperlink>
        </w:p>
        <w:p w14:paraId="50C896B5" w14:textId="1B30DB51" w:rsidR="00EC3308" w:rsidRPr="003B3332" w:rsidRDefault="004713AB">
          <w:pPr>
            <w:pStyle w:val="TOC2"/>
            <w:tabs>
              <w:tab w:val="right" w:leader="dot" w:pos="9017"/>
            </w:tabs>
            <w:rPr>
              <w:rFonts w:eastAsiaTheme="minorEastAsia"/>
              <w:noProof/>
            </w:rPr>
          </w:pPr>
          <w:hyperlink w:anchor="_Toc180674914" w:history="1">
            <w:r w:rsidR="00EC3308" w:rsidRPr="003B3332">
              <w:rPr>
                <w:rStyle w:val="Hyperlink"/>
                <w:noProof/>
                <w14:scene3d>
                  <w14:camera w14:prst="orthographicFront"/>
                  <w14:lightRig w14:rig="threePt" w14:dir="t">
                    <w14:rot w14:lat="0" w14:lon="0" w14:rev="0"/>
                  </w14:lightRig>
                </w14:scene3d>
              </w:rPr>
              <w:t>I.  </w:t>
            </w:r>
            <w:r w:rsidR="00EC3308" w:rsidRPr="003B3332">
              <w:rPr>
                <w:rStyle w:val="Hyperlink"/>
                <w:noProof/>
              </w:rPr>
              <w:t xml:space="preserve"> Condamnarea și aplicarea pedepsei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_Toc180674914 \h </w:instrText>
            </w:r>
            <w:r w:rsidR="00EC3308" w:rsidRPr="003B3332">
              <w:rPr>
                <w:noProof/>
                <w:webHidden/>
              </w:rPr>
            </w:r>
            <w:r w:rsidR="00EC3308" w:rsidRPr="003B3332">
              <w:rPr>
                <w:noProof/>
                <w:webHidden/>
              </w:rPr>
              <w:fldChar w:fldCharType="separate"/>
            </w:r>
            <w:r w:rsidR="000862FF">
              <w:rPr>
                <w:noProof/>
                <w:webHidden/>
              </w:rPr>
              <w:t>21</w:t>
            </w:r>
            <w:r w:rsidR="00EC3308" w:rsidRPr="003B3332">
              <w:rPr>
                <w:noProof/>
                <w:webHidden/>
              </w:rPr>
              <w:fldChar w:fldCharType="end"/>
            </w:r>
          </w:hyperlink>
        </w:p>
        <w:p w14:paraId="3A4A6D67" w14:textId="75AA8211" w:rsidR="00EC3308" w:rsidRPr="003B3332" w:rsidRDefault="004713AB">
          <w:pPr>
            <w:pStyle w:val="TOC3"/>
            <w:tabs>
              <w:tab w:val="right" w:leader="dot" w:pos="9017"/>
            </w:tabs>
            <w:rPr>
              <w:rFonts w:eastAsiaTheme="minorEastAsia"/>
              <w:noProof/>
            </w:rPr>
          </w:pPr>
          <w:hyperlink w:anchor="_Toc180674915" w:history="1">
            <w:r w:rsidR="00EC3308" w:rsidRPr="003B3332">
              <w:rPr>
                <w:rStyle w:val="Hyperlink"/>
                <w:noProof/>
                <w14:scene3d>
                  <w14:camera w14:prst="orthographicFront"/>
                  <w14:lightRig w14:rig="threePt" w14:dir="t">
                    <w14:rot w14:lat="0" w14:lon="0" w14:rev="0"/>
                  </w14:lightRig>
                </w14:scene3d>
              </w:rPr>
              <w:t>1.  </w:t>
            </w:r>
            <w:r w:rsidR="00EC3308" w:rsidRPr="003B3332">
              <w:rPr>
                <w:rStyle w:val="Hyperlink"/>
                <w:noProof/>
              </w:rPr>
              <w:t xml:space="preserve"> Vârsta răspunderii penale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_Toc180674915 \h </w:instrText>
            </w:r>
            <w:r w:rsidR="00EC3308" w:rsidRPr="003B3332">
              <w:rPr>
                <w:noProof/>
                <w:webHidden/>
              </w:rPr>
            </w:r>
            <w:r w:rsidR="00EC3308" w:rsidRPr="003B3332">
              <w:rPr>
                <w:noProof/>
                <w:webHidden/>
              </w:rPr>
              <w:fldChar w:fldCharType="separate"/>
            </w:r>
            <w:r w:rsidR="000862FF">
              <w:rPr>
                <w:noProof/>
                <w:webHidden/>
              </w:rPr>
              <w:t>21</w:t>
            </w:r>
            <w:r w:rsidR="00EC3308" w:rsidRPr="003B3332">
              <w:rPr>
                <w:noProof/>
                <w:webHidden/>
              </w:rPr>
              <w:fldChar w:fldCharType="end"/>
            </w:r>
          </w:hyperlink>
        </w:p>
        <w:p w14:paraId="5453E57A" w14:textId="7F4CA109" w:rsidR="00EC3308" w:rsidRPr="003B3332" w:rsidRDefault="004713AB">
          <w:pPr>
            <w:pStyle w:val="TOC3"/>
            <w:tabs>
              <w:tab w:val="right" w:leader="dot" w:pos="9017"/>
            </w:tabs>
            <w:rPr>
              <w:rFonts w:eastAsiaTheme="minorEastAsia"/>
              <w:noProof/>
            </w:rPr>
          </w:pPr>
          <w:hyperlink w:anchor="_Toc180674916" w:history="1">
            <w:r w:rsidR="00EC3308" w:rsidRPr="003B3332">
              <w:rPr>
                <w:rStyle w:val="Hyperlink"/>
                <w:noProof/>
                <w14:scene3d>
                  <w14:camera w14:prst="orthographicFront"/>
                  <w14:lightRig w14:rig="threePt" w14:dir="t">
                    <w14:rot w14:lat="0" w14:lon="0" w14:rev="0"/>
                  </w14:lightRig>
                </w14:scene3d>
              </w:rPr>
              <w:t>2.  </w:t>
            </w:r>
            <w:r w:rsidR="00EC3308" w:rsidRPr="003B3332">
              <w:rPr>
                <w:rStyle w:val="Hyperlink"/>
                <w:noProof/>
              </w:rPr>
              <w:t xml:space="preserve"> Pedepse extrem de disproporționate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_Toc180674916 \h </w:instrText>
            </w:r>
            <w:r w:rsidR="00EC3308" w:rsidRPr="003B3332">
              <w:rPr>
                <w:noProof/>
                <w:webHidden/>
              </w:rPr>
            </w:r>
            <w:r w:rsidR="00EC3308" w:rsidRPr="003B3332">
              <w:rPr>
                <w:noProof/>
                <w:webHidden/>
              </w:rPr>
              <w:fldChar w:fldCharType="separate"/>
            </w:r>
            <w:r w:rsidR="000862FF">
              <w:rPr>
                <w:noProof/>
                <w:webHidden/>
              </w:rPr>
              <w:t>21</w:t>
            </w:r>
            <w:r w:rsidR="00EC3308" w:rsidRPr="003B3332">
              <w:rPr>
                <w:noProof/>
                <w:webHidden/>
              </w:rPr>
              <w:fldChar w:fldCharType="end"/>
            </w:r>
          </w:hyperlink>
        </w:p>
        <w:p w14:paraId="31976A17" w14:textId="367007AC" w:rsidR="00EC3308" w:rsidRPr="003B3332" w:rsidRDefault="004713AB">
          <w:pPr>
            <w:pStyle w:val="TOC3"/>
            <w:tabs>
              <w:tab w:val="right" w:leader="dot" w:pos="9017"/>
            </w:tabs>
            <w:rPr>
              <w:rFonts w:eastAsiaTheme="minorEastAsia"/>
              <w:noProof/>
            </w:rPr>
          </w:pPr>
          <w:hyperlink w:anchor="_Toc180674917" w:history="1">
            <w:r w:rsidR="00EC3308" w:rsidRPr="003B3332">
              <w:rPr>
                <w:rStyle w:val="Hyperlink"/>
                <w:noProof/>
                <w14:scene3d>
                  <w14:camera w14:prst="orthographicFront"/>
                  <w14:lightRig w14:rig="threePt" w14:dir="t">
                    <w14:rot w14:lat="0" w14:lon="0" w14:rev="0"/>
                  </w14:lightRig>
                </w14:scene3d>
              </w:rPr>
              <w:t>3.  </w:t>
            </w:r>
            <w:r w:rsidR="00EC3308" w:rsidRPr="003B3332">
              <w:rPr>
                <w:rStyle w:val="Hyperlink"/>
                <w:noProof/>
              </w:rPr>
              <w:t xml:space="preserve"> Pedeapsa cu moartea</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_Toc180674917 \h </w:instrText>
            </w:r>
            <w:r w:rsidR="00EC3308" w:rsidRPr="003B3332">
              <w:rPr>
                <w:noProof/>
                <w:webHidden/>
              </w:rPr>
            </w:r>
            <w:r w:rsidR="00EC3308" w:rsidRPr="003B3332">
              <w:rPr>
                <w:noProof/>
                <w:webHidden/>
              </w:rPr>
              <w:fldChar w:fldCharType="separate"/>
            </w:r>
            <w:r w:rsidR="000862FF">
              <w:rPr>
                <w:noProof/>
                <w:webHidden/>
              </w:rPr>
              <w:t>22</w:t>
            </w:r>
            <w:r w:rsidR="00EC3308" w:rsidRPr="003B3332">
              <w:rPr>
                <w:noProof/>
                <w:webHidden/>
              </w:rPr>
              <w:fldChar w:fldCharType="end"/>
            </w:r>
          </w:hyperlink>
        </w:p>
        <w:p w14:paraId="18CDB5FF" w14:textId="5E611393" w:rsidR="00EC3308" w:rsidRPr="003B3332" w:rsidRDefault="004713AB">
          <w:pPr>
            <w:pStyle w:val="TOC3"/>
            <w:tabs>
              <w:tab w:val="right" w:leader="dot" w:pos="9017"/>
            </w:tabs>
            <w:rPr>
              <w:rFonts w:eastAsiaTheme="minorEastAsia"/>
              <w:noProof/>
            </w:rPr>
          </w:pPr>
          <w:hyperlink w:anchor="_Toc180674918" w:history="1">
            <w:r w:rsidR="00EC3308" w:rsidRPr="003B3332">
              <w:rPr>
                <w:rStyle w:val="Hyperlink"/>
                <w:noProof/>
                <w14:scene3d>
                  <w14:camera w14:prst="orthographicFront"/>
                  <w14:lightRig w14:rig="threePt" w14:dir="t">
                    <w14:rot w14:lat="0" w14:lon="0" w14:rev="0"/>
                  </w14:lightRig>
                </w14:scene3d>
              </w:rPr>
              <w:t>4.  </w:t>
            </w:r>
            <w:r w:rsidR="00EC3308" w:rsidRPr="003B3332">
              <w:rPr>
                <w:rStyle w:val="Hyperlink"/>
                <w:noProof/>
              </w:rPr>
              <w:t xml:space="preserve"> Detențiunea pe viață</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_Toc180674918 \h </w:instrText>
            </w:r>
            <w:r w:rsidR="00EC3308" w:rsidRPr="003B3332">
              <w:rPr>
                <w:noProof/>
                <w:webHidden/>
              </w:rPr>
            </w:r>
            <w:r w:rsidR="00EC3308" w:rsidRPr="003B3332">
              <w:rPr>
                <w:noProof/>
                <w:webHidden/>
              </w:rPr>
              <w:fldChar w:fldCharType="separate"/>
            </w:r>
            <w:r w:rsidR="000862FF">
              <w:rPr>
                <w:noProof/>
                <w:webHidden/>
              </w:rPr>
              <w:t>22</w:t>
            </w:r>
            <w:r w:rsidR="00EC3308" w:rsidRPr="003B3332">
              <w:rPr>
                <w:noProof/>
                <w:webHidden/>
              </w:rPr>
              <w:fldChar w:fldCharType="end"/>
            </w:r>
          </w:hyperlink>
        </w:p>
        <w:p w14:paraId="26CBAF9C" w14:textId="19A595D3" w:rsidR="00EC3308" w:rsidRPr="003B3332" w:rsidRDefault="004713AB">
          <w:pPr>
            <w:pStyle w:val="TOC2"/>
            <w:tabs>
              <w:tab w:val="right" w:leader="dot" w:pos="9017"/>
            </w:tabs>
            <w:rPr>
              <w:rFonts w:eastAsiaTheme="minorEastAsia"/>
              <w:noProof/>
            </w:rPr>
          </w:pPr>
          <w:hyperlink w:anchor="_Toc180674919" w:history="1">
            <w:r w:rsidR="00EC3308" w:rsidRPr="003B3332">
              <w:rPr>
                <w:rStyle w:val="Hyperlink"/>
                <w:noProof/>
                <w14:scene3d>
                  <w14:camera w14:prst="orthographicFront"/>
                  <w14:lightRig w14:rig="threePt" w14:dir="t">
                    <w14:rot w14:lat="0" w14:lon="0" w14:rev="0"/>
                  </w14:lightRig>
                </w14:scene3d>
              </w:rPr>
              <w:t>J.  </w:t>
            </w:r>
            <w:r w:rsidR="00EC3308" w:rsidRPr="003B3332">
              <w:rPr>
                <w:rStyle w:val="Hyperlink"/>
                <w:noProof/>
              </w:rPr>
              <w:t xml:space="preserve"> Extrădarea și expulzarea</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_Toc180674919 \h </w:instrText>
            </w:r>
            <w:r w:rsidR="00EC3308" w:rsidRPr="003B3332">
              <w:rPr>
                <w:noProof/>
                <w:webHidden/>
              </w:rPr>
            </w:r>
            <w:r w:rsidR="00EC3308" w:rsidRPr="003B3332">
              <w:rPr>
                <w:noProof/>
                <w:webHidden/>
              </w:rPr>
              <w:fldChar w:fldCharType="separate"/>
            </w:r>
            <w:r w:rsidR="000862FF">
              <w:rPr>
                <w:noProof/>
                <w:webHidden/>
              </w:rPr>
              <w:t>23</w:t>
            </w:r>
            <w:r w:rsidR="00EC3308" w:rsidRPr="003B3332">
              <w:rPr>
                <w:noProof/>
                <w:webHidden/>
              </w:rPr>
              <w:fldChar w:fldCharType="end"/>
            </w:r>
          </w:hyperlink>
        </w:p>
        <w:p w14:paraId="6F1CC172" w14:textId="1F6B1BD9" w:rsidR="00EC3308" w:rsidRPr="003B3332" w:rsidRDefault="004713AB">
          <w:pPr>
            <w:pStyle w:val="TOC2"/>
            <w:tabs>
              <w:tab w:val="right" w:leader="dot" w:pos="9017"/>
            </w:tabs>
            <w:rPr>
              <w:rFonts w:eastAsiaTheme="minorEastAsia"/>
              <w:noProof/>
            </w:rPr>
          </w:pPr>
          <w:hyperlink w:anchor="_Toc180674920" w:history="1">
            <w:r w:rsidR="00EC3308" w:rsidRPr="003B3332">
              <w:rPr>
                <w:rStyle w:val="Hyperlink"/>
                <w:noProof/>
                <w14:scene3d>
                  <w14:camera w14:prst="orthographicFront"/>
                  <w14:lightRig w14:rig="threePt" w14:dir="t">
                    <w14:rot w14:lat="0" w14:lon="0" w14:rev="0"/>
                  </w14:lightRig>
                </w14:scene3d>
              </w:rPr>
              <w:t>K.  </w:t>
            </w:r>
            <w:r w:rsidR="00EC3308" w:rsidRPr="003B3332">
              <w:rPr>
                <w:rStyle w:val="Hyperlink"/>
                <w:noProof/>
              </w:rPr>
              <w:t xml:space="preserve"> Intervenții medicale forțate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_Toc180674920 \h </w:instrText>
            </w:r>
            <w:r w:rsidR="00EC3308" w:rsidRPr="003B3332">
              <w:rPr>
                <w:noProof/>
                <w:webHidden/>
              </w:rPr>
            </w:r>
            <w:r w:rsidR="00EC3308" w:rsidRPr="003B3332">
              <w:rPr>
                <w:noProof/>
                <w:webHidden/>
              </w:rPr>
              <w:fldChar w:fldCharType="separate"/>
            </w:r>
            <w:r w:rsidR="000862FF">
              <w:rPr>
                <w:noProof/>
                <w:webHidden/>
              </w:rPr>
              <w:t>24</w:t>
            </w:r>
            <w:r w:rsidR="00EC3308" w:rsidRPr="003B3332">
              <w:rPr>
                <w:noProof/>
                <w:webHidden/>
              </w:rPr>
              <w:fldChar w:fldCharType="end"/>
            </w:r>
          </w:hyperlink>
        </w:p>
        <w:p w14:paraId="3D362115" w14:textId="1472B827" w:rsidR="00EC3308" w:rsidRPr="003B3332" w:rsidRDefault="004713AB">
          <w:pPr>
            <w:pStyle w:val="TOC4"/>
            <w:rPr>
              <w:rFonts w:eastAsiaTheme="minorEastAsia"/>
              <w:noProof/>
            </w:rPr>
          </w:pPr>
          <w:hyperlink w:anchor="_Toc180674921" w:history="1">
            <w:r w:rsidR="00EC3308" w:rsidRPr="003B3332">
              <w:rPr>
                <w:rStyle w:val="Hyperlink"/>
                <w:noProof/>
              </w:rPr>
              <w:t>a.   Principii generale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_Toc180674921 \h </w:instrText>
            </w:r>
            <w:r w:rsidR="00EC3308" w:rsidRPr="003B3332">
              <w:rPr>
                <w:noProof/>
                <w:webHidden/>
              </w:rPr>
            </w:r>
            <w:r w:rsidR="00EC3308" w:rsidRPr="003B3332">
              <w:rPr>
                <w:noProof/>
                <w:webHidden/>
              </w:rPr>
              <w:fldChar w:fldCharType="separate"/>
            </w:r>
            <w:r w:rsidR="000862FF">
              <w:rPr>
                <w:noProof/>
                <w:webHidden/>
              </w:rPr>
              <w:t>24</w:t>
            </w:r>
            <w:r w:rsidR="00EC3308" w:rsidRPr="003B3332">
              <w:rPr>
                <w:noProof/>
                <w:webHidden/>
              </w:rPr>
              <w:fldChar w:fldCharType="end"/>
            </w:r>
          </w:hyperlink>
        </w:p>
        <w:p w14:paraId="60A00768" w14:textId="383250D7" w:rsidR="00EC3308" w:rsidRPr="003B3332" w:rsidRDefault="004713AB">
          <w:pPr>
            <w:pStyle w:val="TOC4"/>
            <w:rPr>
              <w:rFonts w:eastAsiaTheme="minorEastAsia"/>
              <w:noProof/>
            </w:rPr>
          </w:pPr>
          <w:hyperlink w:anchor="_Toc180674922" w:history="1">
            <w:r w:rsidR="00EC3308" w:rsidRPr="003B3332">
              <w:rPr>
                <w:rStyle w:val="Hyperlink"/>
                <w:noProof/>
              </w:rPr>
              <w:t>b.   Alimentarea forțată</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_Toc180674922 \h </w:instrText>
            </w:r>
            <w:r w:rsidR="00EC3308" w:rsidRPr="003B3332">
              <w:rPr>
                <w:noProof/>
                <w:webHidden/>
              </w:rPr>
            </w:r>
            <w:r w:rsidR="00EC3308" w:rsidRPr="003B3332">
              <w:rPr>
                <w:noProof/>
                <w:webHidden/>
              </w:rPr>
              <w:fldChar w:fldCharType="separate"/>
            </w:r>
            <w:r w:rsidR="000862FF">
              <w:rPr>
                <w:noProof/>
                <w:webHidden/>
              </w:rPr>
              <w:t>24</w:t>
            </w:r>
            <w:r w:rsidR="00EC3308" w:rsidRPr="003B3332">
              <w:rPr>
                <w:noProof/>
                <w:webHidden/>
              </w:rPr>
              <w:fldChar w:fldCharType="end"/>
            </w:r>
          </w:hyperlink>
        </w:p>
        <w:p w14:paraId="76490662" w14:textId="1E879F85" w:rsidR="00EC3308" w:rsidRPr="003B3332" w:rsidRDefault="004713AB">
          <w:pPr>
            <w:pStyle w:val="TOC4"/>
            <w:rPr>
              <w:rFonts w:eastAsiaTheme="minorEastAsia"/>
              <w:noProof/>
            </w:rPr>
          </w:pPr>
          <w:hyperlink w:anchor="_Toc180674923" w:history="1">
            <w:r w:rsidR="00EC3308" w:rsidRPr="003B3332">
              <w:rPr>
                <w:rStyle w:val="Hyperlink"/>
                <w:noProof/>
              </w:rPr>
              <w:t>c.   Tratamentul psihiatric forțat</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_Toc180674923 \h </w:instrText>
            </w:r>
            <w:r w:rsidR="00EC3308" w:rsidRPr="003B3332">
              <w:rPr>
                <w:noProof/>
                <w:webHidden/>
              </w:rPr>
            </w:r>
            <w:r w:rsidR="00EC3308" w:rsidRPr="003B3332">
              <w:rPr>
                <w:noProof/>
                <w:webHidden/>
              </w:rPr>
              <w:fldChar w:fldCharType="separate"/>
            </w:r>
            <w:r w:rsidR="000862FF">
              <w:rPr>
                <w:noProof/>
                <w:webHidden/>
              </w:rPr>
              <w:t>24</w:t>
            </w:r>
            <w:r w:rsidR="00EC3308" w:rsidRPr="003B3332">
              <w:rPr>
                <w:noProof/>
                <w:webHidden/>
              </w:rPr>
              <w:fldChar w:fldCharType="end"/>
            </w:r>
          </w:hyperlink>
        </w:p>
        <w:p w14:paraId="6A86C321" w14:textId="0C0360CB" w:rsidR="00EC3308" w:rsidRPr="003B3332" w:rsidRDefault="004713AB">
          <w:pPr>
            <w:pStyle w:val="TOC4"/>
            <w:rPr>
              <w:rFonts w:eastAsiaTheme="minorEastAsia"/>
              <w:noProof/>
            </w:rPr>
          </w:pPr>
          <w:hyperlink w:anchor="_Toc180674924" w:history="1">
            <w:r w:rsidR="00EC3308" w:rsidRPr="003B3332">
              <w:rPr>
                <w:rStyle w:val="Hyperlink"/>
                <w:noProof/>
              </w:rPr>
              <w:t>d.   Sterilizarea nevoluntară și avortul forțat</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_Toc180674924 \h </w:instrText>
            </w:r>
            <w:r w:rsidR="00EC3308" w:rsidRPr="003B3332">
              <w:rPr>
                <w:noProof/>
                <w:webHidden/>
              </w:rPr>
            </w:r>
            <w:r w:rsidR="00EC3308" w:rsidRPr="003B3332">
              <w:rPr>
                <w:noProof/>
                <w:webHidden/>
              </w:rPr>
              <w:fldChar w:fldCharType="separate"/>
            </w:r>
            <w:r w:rsidR="000862FF">
              <w:rPr>
                <w:noProof/>
                <w:webHidden/>
              </w:rPr>
              <w:t>25</w:t>
            </w:r>
            <w:r w:rsidR="00EC3308" w:rsidRPr="003B3332">
              <w:rPr>
                <w:noProof/>
                <w:webHidden/>
              </w:rPr>
              <w:fldChar w:fldCharType="end"/>
            </w:r>
          </w:hyperlink>
        </w:p>
        <w:p w14:paraId="4EF8A79F" w14:textId="704F97CD" w:rsidR="00EC3308" w:rsidRPr="003B3332" w:rsidRDefault="004713AB">
          <w:pPr>
            <w:pStyle w:val="TOC4"/>
            <w:rPr>
              <w:rFonts w:eastAsiaTheme="minorEastAsia"/>
              <w:noProof/>
            </w:rPr>
          </w:pPr>
          <w:hyperlink w:anchor="_Toc180674925" w:history="1">
            <w:r w:rsidR="00EC3308" w:rsidRPr="003B3332">
              <w:rPr>
                <w:rStyle w:val="Hyperlink"/>
                <w:noProof/>
              </w:rPr>
              <w:t>e.   Prelevarea drogurilor și a altor probe din corpul unei persoane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_Toc180674925 \h </w:instrText>
            </w:r>
            <w:r w:rsidR="00EC3308" w:rsidRPr="003B3332">
              <w:rPr>
                <w:noProof/>
                <w:webHidden/>
              </w:rPr>
            </w:r>
            <w:r w:rsidR="00EC3308" w:rsidRPr="003B3332">
              <w:rPr>
                <w:noProof/>
                <w:webHidden/>
              </w:rPr>
              <w:fldChar w:fldCharType="separate"/>
            </w:r>
            <w:r w:rsidR="000862FF">
              <w:rPr>
                <w:noProof/>
                <w:webHidden/>
              </w:rPr>
              <w:t>26</w:t>
            </w:r>
            <w:r w:rsidR="00EC3308" w:rsidRPr="003B3332">
              <w:rPr>
                <w:noProof/>
                <w:webHidden/>
              </w:rPr>
              <w:fldChar w:fldCharType="end"/>
            </w:r>
          </w:hyperlink>
        </w:p>
        <w:p w14:paraId="34436869" w14:textId="11FD9DD7" w:rsidR="00EC3308" w:rsidRPr="003B3332" w:rsidRDefault="004713AB">
          <w:pPr>
            <w:pStyle w:val="TOC1"/>
            <w:tabs>
              <w:tab w:val="right" w:leader="dot" w:pos="9017"/>
            </w:tabs>
            <w:rPr>
              <w:rFonts w:eastAsiaTheme="minorEastAsia"/>
              <w:b w:val="0"/>
              <w:noProof/>
              <w:color w:val="auto"/>
              <w:sz w:val="22"/>
            </w:rPr>
          </w:pPr>
          <w:hyperlink w:anchor="_Toc180674926" w:history="1">
            <w:r w:rsidR="00EC3308" w:rsidRPr="003B3332">
              <w:rPr>
                <w:rStyle w:val="Hyperlink"/>
                <w:noProof/>
              </w:rPr>
              <w:t>III.   Protecția împotriva torturii, a tratamentelor sau a pedepselor inumane ori degradante, cauzate de actori nestatali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_Toc180674926 \h </w:instrText>
            </w:r>
            <w:r w:rsidR="00EC3308" w:rsidRPr="003B3332">
              <w:rPr>
                <w:noProof/>
                <w:webHidden/>
              </w:rPr>
            </w:r>
            <w:r w:rsidR="00EC3308" w:rsidRPr="003B3332">
              <w:rPr>
                <w:noProof/>
                <w:webHidden/>
              </w:rPr>
              <w:fldChar w:fldCharType="separate"/>
            </w:r>
            <w:r w:rsidR="000862FF">
              <w:rPr>
                <w:noProof/>
                <w:webHidden/>
              </w:rPr>
              <w:t>27</w:t>
            </w:r>
            <w:r w:rsidR="00EC3308" w:rsidRPr="003B3332">
              <w:rPr>
                <w:noProof/>
                <w:webHidden/>
              </w:rPr>
              <w:fldChar w:fldCharType="end"/>
            </w:r>
          </w:hyperlink>
        </w:p>
        <w:p w14:paraId="19096255" w14:textId="23CA7C0A" w:rsidR="00EC3308" w:rsidRPr="003B3332" w:rsidRDefault="004713AB">
          <w:pPr>
            <w:pStyle w:val="TOC2"/>
            <w:tabs>
              <w:tab w:val="right" w:leader="dot" w:pos="9017"/>
            </w:tabs>
            <w:rPr>
              <w:rFonts w:eastAsiaTheme="minorEastAsia"/>
              <w:noProof/>
            </w:rPr>
          </w:pPr>
          <w:hyperlink w:anchor="_Toc180674927" w:history="1">
            <w:r w:rsidR="00EC3308" w:rsidRPr="003B3332">
              <w:rPr>
                <w:rStyle w:val="Hyperlink"/>
                <w:noProof/>
                <w14:scene3d>
                  <w14:camera w14:prst="orthographicFront"/>
                  <w14:lightRig w14:rig="threePt" w14:dir="t">
                    <w14:rot w14:lat="0" w14:lon="0" w14:rev="0"/>
                  </w14:lightRig>
                </w14:scene3d>
              </w:rPr>
              <w:t>A.  </w:t>
            </w:r>
            <w:r w:rsidR="00EC3308" w:rsidRPr="003B3332">
              <w:rPr>
                <w:rStyle w:val="Hyperlink"/>
                <w:noProof/>
              </w:rPr>
              <w:t xml:space="preserve"> Domeniul de aplicare al obligațiilor pozitive ale statului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_Toc180674927 \h </w:instrText>
            </w:r>
            <w:r w:rsidR="00EC3308" w:rsidRPr="003B3332">
              <w:rPr>
                <w:noProof/>
                <w:webHidden/>
              </w:rPr>
            </w:r>
            <w:r w:rsidR="00EC3308" w:rsidRPr="003B3332">
              <w:rPr>
                <w:noProof/>
                <w:webHidden/>
              </w:rPr>
              <w:fldChar w:fldCharType="separate"/>
            </w:r>
            <w:r w:rsidR="000862FF">
              <w:rPr>
                <w:noProof/>
                <w:webHidden/>
              </w:rPr>
              <w:t>27</w:t>
            </w:r>
            <w:r w:rsidR="00EC3308" w:rsidRPr="003B3332">
              <w:rPr>
                <w:noProof/>
                <w:webHidden/>
              </w:rPr>
              <w:fldChar w:fldCharType="end"/>
            </w:r>
          </w:hyperlink>
        </w:p>
        <w:p w14:paraId="180E16B8" w14:textId="27193DEC" w:rsidR="00EC3308" w:rsidRPr="003B3332" w:rsidRDefault="004713AB">
          <w:pPr>
            <w:pStyle w:val="TOC2"/>
            <w:tabs>
              <w:tab w:val="right" w:leader="dot" w:pos="9017"/>
            </w:tabs>
            <w:rPr>
              <w:rFonts w:eastAsiaTheme="minorEastAsia"/>
              <w:noProof/>
            </w:rPr>
          </w:pPr>
          <w:hyperlink w:anchor="_Toc180674928" w:history="1">
            <w:r w:rsidR="00EC3308" w:rsidRPr="003B3332">
              <w:rPr>
                <w:rStyle w:val="Hyperlink"/>
                <w:noProof/>
                <w14:scene3d>
                  <w14:camera w14:prst="orthographicFront"/>
                  <w14:lightRig w14:rig="threePt" w14:dir="t">
                    <w14:rot w14:lat="0" w14:lon="0" w14:rev="0"/>
                  </w14:lightRig>
                </w14:scene3d>
              </w:rPr>
              <w:t>B.  </w:t>
            </w:r>
            <w:r w:rsidR="00EC3308" w:rsidRPr="003B3332">
              <w:rPr>
                <w:rStyle w:val="Hyperlink"/>
                <w:noProof/>
              </w:rPr>
              <w:t xml:space="preserve"> Natura obligațiilor pozitive ale statului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_Toc180674928 \h </w:instrText>
            </w:r>
            <w:r w:rsidR="00EC3308" w:rsidRPr="003B3332">
              <w:rPr>
                <w:noProof/>
                <w:webHidden/>
              </w:rPr>
            </w:r>
            <w:r w:rsidR="00EC3308" w:rsidRPr="003B3332">
              <w:rPr>
                <w:noProof/>
                <w:webHidden/>
              </w:rPr>
              <w:fldChar w:fldCharType="separate"/>
            </w:r>
            <w:r w:rsidR="000862FF">
              <w:rPr>
                <w:noProof/>
                <w:webHidden/>
              </w:rPr>
              <w:t>28</w:t>
            </w:r>
            <w:r w:rsidR="00EC3308" w:rsidRPr="003B3332">
              <w:rPr>
                <w:noProof/>
                <w:webHidden/>
              </w:rPr>
              <w:fldChar w:fldCharType="end"/>
            </w:r>
          </w:hyperlink>
        </w:p>
        <w:p w14:paraId="6F8A6164" w14:textId="793AF522" w:rsidR="00EC3308" w:rsidRPr="003B3332" w:rsidRDefault="004713AB">
          <w:pPr>
            <w:pStyle w:val="TOC3"/>
            <w:tabs>
              <w:tab w:val="right" w:leader="dot" w:pos="9017"/>
            </w:tabs>
            <w:rPr>
              <w:rFonts w:eastAsiaTheme="minorEastAsia"/>
              <w:noProof/>
            </w:rPr>
          </w:pPr>
          <w:hyperlink w:anchor="_Toc180674929" w:history="1">
            <w:r w:rsidR="00EC3308" w:rsidRPr="003B3332">
              <w:rPr>
                <w:rStyle w:val="Hyperlink"/>
                <w:noProof/>
                <w14:scene3d>
                  <w14:camera w14:prst="orthographicFront"/>
                  <w14:lightRig w14:rig="threePt" w14:dir="t">
                    <w14:rot w14:lat="0" w14:lon="0" w14:rev="0"/>
                  </w14:lightRig>
                </w14:scene3d>
              </w:rPr>
              <w:t>1.  </w:t>
            </w:r>
            <w:r w:rsidR="00EC3308" w:rsidRPr="003B3332">
              <w:rPr>
                <w:rStyle w:val="Hyperlink"/>
                <w:noProof/>
              </w:rPr>
              <w:t xml:space="preserve"> Datoria de a institui un cadru legislativ și administrativ adecvat</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_Toc180674929 \h </w:instrText>
            </w:r>
            <w:r w:rsidR="00EC3308" w:rsidRPr="003B3332">
              <w:rPr>
                <w:noProof/>
                <w:webHidden/>
              </w:rPr>
            </w:r>
            <w:r w:rsidR="00EC3308" w:rsidRPr="003B3332">
              <w:rPr>
                <w:noProof/>
                <w:webHidden/>
              </w:rPr>
              <w:fldChar w:fldCharType="separate"/>
            </w:r>
            <w:r w:rsidR="000862FF">
              <w:rPr>
                <w:noProof/>
                <w:webHidden/>
              </w:rPr>
              <w:t>28</w:t>
            </w:r>
            <w:r w:rsidR="00EC3308" w:rsidRPr="003B3332">
              <w:rPr>
                <w:noProof/>
                <w:webHidden/>
              </w:rPr>
              <w:fldChar w:fldCharType="end"/>
            </w:r>
          </w:hyperlink>
        </w:p>
        <w:p w14:paraId="2AC71D49" w14:textId="2327FA79" w:rsidR="00EC3308" w:rsidRPr="003B3332" w:rsidRDefault="004713AB">
          <w:pPr>
            <w:pStyle w:val="TOC3"/>
            <w:tabs>
              <w:tab w:val="right" w:leader="dot" w:pos="9017"/>
            </w:tabs>
            <w:rPr>
              <w:rFonts w:eastAsiaTheme="minorEastAsia"/>
              <w:noProof/>
            </w:rPr>
          </w:pPr>
          <w:hyperlink w:anchor="_Toc180674930" w:history="1">
            <w:r w:rsidR="00EC3308" w:rsidRPr="003B3332">
              <w:rPr>
                <w:rStyle w:val="Hyperlink"/>
                <w:noProof/>
                <w14:scene3d>
                  <w14:camera w14:prst="orthographicFront"/>
                  <w14:lightRig w14:rig="threePt" w14:dir="t">
                    <w14:rot w14:lat="0" w14:lon="0" w14:rev="0"/>
                  </w14:lightRig>
                </w14:scene3d>
              </w:rPr>
              <w:t>2.  </w:t>
            </w:r>
            <w:r w:rsidR="00EC3308" w:rsidRPr="003B3332">
              <w:rPr>
                <w:rStyle w:val="Hyperlink"/>
                <w:noProof/>
              </w:rPr>
              <w:t xml:space="preserve"> Datoria de a lua măsuri operative preventive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_Toc180674930 \h </w:instrText>
            </w:r>
            <w:r w:rsidR="00EC3308" w:rsidRPr="003B3332">
              <w:rPr>
                <w:noProof/>
                <w:webHidden/>
              </w:rPr>
            </w:r>
            <w:r w:rsidR="00EC3308" w:rsidRPr="003B3332">
              <w:rPr>
                <w:noProof/>
                <w:webHidden/>
              </w:rPr>
              <w:fldChar w:fldCharType="separate"/>
            </w:r>
            <w:r w:rsidR="000862FF">
              <w:rPr>
                <w:noProof/>
                <w:webHidden/>
              </w:rPr>
              <w:t>28</w:t>
            </w:r>
            <w:r w:rsidR="00EC3308" w:rsidRPr="003B3332">
              <w:rPr>
                <w:noProof/>
                <w:webHidden/>
              </w:rPr>
              <w:fldChar w:fldCharType="end"/>
            </w:r>
          </w:hyperlink>
        </w:p>
        <w:p w14:paraId="33BB38FC" w14:textId="30119A66" w:rsidR="00EC3308" w:rsidRPr="003B3332" w:rsidRDefault="004713AB">
          <w:pPr>
            <w:pStyle w:val="TOC2"/>
            <w:tabs>
              <w:tab w:val="right" w:leader="dot" w:pos="9017"/>
            </w:tabs>
            <w:rPr>
              <w:rFonts w:eastAsiaTheme="minorEastAsia"/>
              <w:noProof/>
            </w:rPr>
          </w:pPr>
          <w:hyperlink w:anchor="_Toc180674931" w:history="1">
            <w:r w:rsidR="00EC3308" w:rsidRPr="003B3332">
              <w:rPr>
                <w:rStyle w:val="Hyperlink"/>
                <w:noProof/>
                <w14:scene3d>
                  <w14:camera w14:prst="orthographicFront"/>
                  <w14:lightRig w14:rig="threePt" w14:dir="t">
                    <w14:rot w14:lat="0" w14:lon="0" w14:rev="0"/>
                  </w14:lightRig>
                </w14:scene3d>
              </w:rPr>
              <w:t>C.  </w:t>
            </w:r>
            <w:r w:rsidR="00EC3308" w:rsidRPr="003B3332">
              <w:rPr>
                <w:rStyle w:val="Hyperlink"/>
                <w:noProof/>
              </w:rPr>
              <w:t xml:space="preserve"> Câteva ilustrări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_Toc180674931 \h </w:instrText>
            </w:r>
            <w:r w:rsidR="00EC3308" w:rsidRPr="003B3332">
              <w:rPr>
                <w:noProof/>
                <w:webHidden/>
              </w:rPr>
            </w:r>
            <w:r w:rsidR="00EC3308" w:rsidRPr="003B3332">
              <w:rPr>
                <w:noProof/>
                <w:webHidden/>
              </w:rPr>
              <w:fldChar w:fldCharType="separate"/>
            </w:r>
            <w:r w:rsidR="000862FF">
              <w:rPr>
                <w:noProof/>
                <w:webHidden/>
              </w:rPr>
              <w:t>29</w:t>
            </w:r>
            <w:r w:rsidR="00EC3308" w:rsidRPr="003B3332">
              <w:rPr>
                <w:noProof/>
                <w:webHidden/>
              </w:rPr>
              <w:fldChar w:fldCharType="end"/>
            </w:r>
          </w:hyperlink>
        </w:p>
        <w:p w14:paraId="3085EF9E" w14:textId="4198E227" w:rsidR="00EC3308" w:rsidRPr="003B3332" w:rsidRDefault="004713AB">
          <w:pPr>
            <w:pStyle w:val="TOC1"/>
            <w:tabs>
              <w:tab w:val="right" w:leader="dot" w:pos="9017"/>
            </w:tabs>
            <w:rPr>
              <w:rFonts w:eastAsiaTheme="minorEastAsia"/>
              <w:b w:val="0"/>
              <w:noProof/>
              <w:color w:val="auto"/>
              <w:sz w:val="22"/>
            </w:rPr>
          </w:pPr>
          <w:hyperlink w:anchor="_Toc180674932" w:history="1">
            <w:r w:rsidR="00EC3308" w:rsidRPr="003B3332">
              <w:rPr>
                <w:rStyle w:val="Hyperlink"/>
                <w:noProof/>
              </w:rPr>
              <w:t>IV.   Obligația de a ancheta susținerile referitoare la tortură, tratamente sau pedepse degradante inumane ori degradante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_Toc180674932 \h </w:instrText>
            </w:r>
            <w:r w:rsidR="00EC3308" w:rsidRPr="003B3332">
              <w:rPr>
                <w:noProof/>
                <w:webHidden/>
              </w:rPr>
            </w:r>
            <w:r w:rsidR="00EC3308" w:rsidRPr="003B3332">
              <w:rPr>
                <w:noProof/>
                <w:webHidden/>
              </w:rPr>
              <w:fldChar w:fldCharType="separate"/>
            </w:r>
            <w:r w:rsidR="000862FF">
              <w:rPr>
                <w:noProof/>
                <w:webHidden/>
              </w:rPr>
              <w:t>30</w:t>
            </w:r>
            <w:r w:rsidR="00EC3308" w:rsidRPr="003B3332">
              <w:rPr>
                <w:noProof/>
                <w:webHidden/>
              </w:rPr>
              <w:fldChar w:fldCharType="end"/>
            </w:r>
          </w:hyperlink>
        </w:p>
        <w:p w14:paraId="1D465299" w14:textId="332A714A" w:rsidR="00EC3308" w:rsidRPr="003B3332" w:rsidRDefault="004713AB">
          <w:pPr>
            <w:pStyle w:val="TOC2"/>
            <w:tabs>
              <w:tab w:val="right" w:leader="dot" w:pos="9017"/>
            </w:tabs>
            <w:rPr>
              <w:rFonts w:eastAsiaTheme="minorEastAsia"/>
              <w:noProof/>
            </w:rPr>
          </w:pPr>
          <w:hyperlink w:anchor="_Toc180674933" w:history="1">
            <w:r w:rsidR="00EC3308" w:rsidRPr="003B3332">
              <w:rPr>
                <w:rStyle w:val="Hyperlink"/>
                <w:noProof/>
                <w14:scene3d>
                  <w14:camera w14:prst="orthographicFront"/>
                  <w14:lightRig w14:rig="threePt" w14:dir="t">
                    <w14:rot w14:lat="0" w14:lon="0" w14:rev="0"/>
                  </w14:lightRig>
                </w14:scene3d>
              </w:rPr>
              <w:t>A.  </w:t>
            </w:r>
            <w:r w:rsidR="00EC3308" w:rsidRPr="003B3332">
              <w:rPr>
                <w:rStyle w:val="Hyperlink"/>
                <w:noProof/>
              </w:rPr>
              <w:t xml:space="preserve"> Cu privire la obligațiile procedurale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_Toc180674933 \h </w:instrText>
            </w:r>
            <w:r w:rsidR="00EC3308" w:rsidRPr="003B3332">
              <w:rPr>
                <w:noProof/>
                <w:webHidden/>
              </w:rPr>
            </w:r>
            <w:r w:rsidR="00EC3308" w:rsidRPr="003B3332">
              <w:rPr>
                <w:noProof/>
                <w:webHidden/>
              </w:rPr>
              <w:fldChar w:fldCharType="separate"/>
            </w:r>
            <w:r w:rsidR="000862FF">
              <w:rPr>
                <w:noProof/>
                <w:webHidden/>
              </w:rPr>
              <w:t>30</w:t>
            </w:r>
            <w:r w:rsidR="00EC3308" w:rsidRPr="003B3332">
              <w:rPr>
                <w:noProof/>
                <w:webHidden/>
              </w:rPr>
              <w:fldChar w:fldCharType="end"/>
            </w:r>
          </w:hyperlink>
        </w:p>
        <w:p w14:paraId="2DDB7506" w14:textId="513D53C0" w:rsidR="00EC3308" w:rsidRPr="003B3332" w:rsidRDefault="004713AB">
          <w:pPr>
            <w:pStyle w:val="TOC2"/>
            <w:tabs>
              <w:tab w:val="right" w:leader="dot" w:pos="9017"/>
            </w:tabs>
            <w:rPr>
              <w:rFonts w:eastAsiaTheme="minorEastAsia"/>
              <w:noProof/>
            </w:rPr>
          </w:pPr>
          <w:hyperlink w:anchor="_Toc180674934" w:history="1">
            <w:r w:rsidR="00EC3308" w:rsidRPr="003B3332">
              <w:rPr>
                <w:rStyle w:val="Hyperlink"/>
                <w:noProof/>
                <w14:scene3d>
                  <w14:camera w14:prst="orthographicFront"/>
                  <w14:lightRig w14:rig="threePt" w14:dir="t">
                    <w14:rot w14:lat="0" w14:lon="0" w14:rev="0"/>
                  </w14:lightRig>
                </w14:scene3d>
              </w:rPr>
              <w:t>B.  </w:t>
            </w:r>
            <w:r w:rsidR="00EC3308" w:rsidRPr="003B3332">
              <w:rPr>
                <w:rStyle w:val="Hyperlink"/>
                <w:noProof/>
              </w:rPr>
              <w:t xml:space="preserve"> Scopul cercetării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_Toc180674934 \h </w:instrText>
            </w:r>
            <w:r w:rsidR="00EC3308" w:rsidRPr="003B3332">
              <w:rPr>
                <w:noProof/>
                <w:webHidden/>
              </w:rPr>
            </w:r>
            <w:r w:rsidR="00EC3308" w:rsidRPr="003B3332">
              <w:rPr>
                <w:noProof/>
                <w:webHidden/>
              </w:rPr>
              <w:fldChar w:fldCharType="separate"/>
            </w:r>
            <w:r w:rsidR="000862FF">
              <w:rPr>
                <w:noProof/>
                <w:webHidden/>
              </w:rPr>
              <w:t>31</w:t>
            </w:r>
            <w:r w:rsidR="00EC3308" w:rsidRPr="003B3332">
              <w:rPr>
                <w:noProof/>
                <w:webHidden/>
              </w:rPr>
              <w:fldChar w:fldCharType="end"/>
            </w:r>
          </w:hyperlink>
        </w:p>
        <w:p w14:paraId="57253EEB" w14:textId="229CE84A" w:rsidR="00EC3308" w:rsidRPr="003B3332" w:rsidRDefault="004713AB">
          <w:pPr>
            <w:pStyle w:val="TOC2"/>
            <w:tabs>
              <w:tab w:val="right" w:leader="dot" w:pos="9017"/>
            </w:tabs>
            <w:rPr>
              <w:rFonts w:eastAsiaTheme="minorEastAsia"/>
              <w:noProof/>
            </w:rPr>
          </w:pPr>
          <w:hyperlink w:anchor="_Toc180674935" w:history="1">
            <w:r w:rsidR="00EC3308" w:rsidRPr="003B3332">
              <w:rPr>
                <w:rStyle w:val="Hyperlink"/>
                <w:noProof/>
                <w14:scene3d>
                  <w14:camera w14:prst="orthographicFront"/>
                  <w14:lightRig w14:rig="threePt" w14:dir="t">
                    <w14:rot w14:lat="0" w14:lon="0" w14:rev="0"/>
                  </w14:lightRig>
                </w14:scene3d>
              </w:rPr>
              <w:t>C.  </w:t>
            </w:r>
            <w:r w:rsidR="00EC3308" w:rsidRPr="003B3332">
              <w:rPr>
                <w:rStyle w:val="Hyperlink"/>
                <w:noProof/>
              </w:rPr>
              <w:t xml:space="preserve"> Natura și gradul examinării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_Toc180674935 \h </w:instrText>
            </w:r>
            <w:r w:rsidR="00EC3308" w:rsidRPr="003B3332">
              <w:rPr>
                <w:noProof/>
                <w:webHidden/>
              </w:rPr>
            </w:r>
            <w:r w:rsidR="00EC3308" w:rsidRPr="003B3332">
              <w:rPr>
                <w:noProof/>
                <w:webHidden/>
              </w:rPr>
              <w:fldChar w:fldCharType="separate"/>
            </w:r>
            <w:r w:rsidR="000862FF">
              <w:rPr>
                <w:noProof/>
                <w:webHidden/>
              </w:rPr>
              <w:t>31</w:t>
            </w:r>
            <w:r w:rsidR="00EC3308" w:rsidRPr="003B3332">
              <w:rPr>
                <w:noProof/>
                <w:webHidden/>
              </w:rPr>
              <w:fldChar w:fldCharType="end"/>
            </w:r>
          </w:hyperlink>
        </w:p>
        <w:p w14:paraId="4AEBB21C" w14:textId="19B34863" w:rsidR="00EC3308" w:rsidRPr="003B3332" w:rsidRDefault="004713AB">
          <w:pPr>
            <w:pStyle w:val="TOC2"/>
            <w:tabs>
              <w:tab w:val="right" w:leader="dot" w:pos="9017"/>
            </w:tabs>
            <w:rPr>
              <w:rFonts w:eastAsiaTheme="minorEastAsia"/>
              <w:noProof/>
            </w:rPr>
          </w:pPr>
          <w:hyperlink w:anchor="_Toc180674936" w:history="1">
            <w:r w:rsidR="00EC3308" w:rsidRPr="003B3332">
              <w:rPr>
                <w:rStyle w:val="Hyperlink"/>
                <w:noProof/>
                <w14:scene3d>
                  <w14:camera w14:prst="orthographicFront"/>
                  <w14:lightRig w14:rig="threePt" w14:dir="t">
                    <w14:rot w14:lat="0" w14:lon="0" w14:rev="0"/>
                  </w14:lightRig>
                </w14:scene3d>
              </w:rPr>
              <w:t>D.  </w:t>
            </w:r>
            <w:r w:rsidR="00EC3308" w:rsidRPr="003B3332">
              <w:rPr>
                <w:rStyle w:val="Hyperlink"/>
                <w:noProof/>
              </w:rPr>
              <w:t xml:space="preserve"> Standardele cercetării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_Toc180674936 \h </w:instrText>
            </w:r>
            <w:r w:rsidR="00EC3308" w:rsidRPr="003B3332">
              <w:rPr>
                <w:noProof/>
                <w:webHidden/>
              </w:rPr>
            </w:r>
            <w:r w:rsidR="00EC3308" w:rsidRPr="003B3332">
              <w:rPr>
                <w:noProof/>
                <w:webHidden/>
              </w:rPr>
              <w:fldChar w:fldCharType="separate"/>
            </w:r>
            <w:r w:rsidR="000862FF">
              <w:rPr>
                <w:noProof/>
                <w:webHidden/>
              </w:rPr>
              <w:t>31</w:t>
            </w:r>
            <w:r w:rsidR="00EC3308" w:rsidRPr="003B3332">
              <w:rPr>
                <w:noProof/>
                <w:webHidden/>
              </w:rPr>
              <w:fldChar w:fldCharType="end"/>
            </w:r>
          </w:hyperlink>
        </w:p>
        <w:p w14:paraId="4F1CB5DC" w14:textId="4D2F0469" w:rsidR="00EC3308" w:rsidRPr="003B3332" w:rsidRDefault="004713AB">
          <w:pPr>
            <w:pStyle w:val="TOC3"/>
            <w:tabs>
              <w:tab w:val="right" w:leader="dot" w:pos="9017"/>
            </w:tabs>
            <w:rPr>
              <w:rFonts w:eastAsiaTheme="minorEastAsia"/>
              <w:noProof/>
            </w:rPr>
          </w:pPr>
          <w:hyperlink w:anchor="_Toc180674937" w:history="1">
            <w:r w:rsidR="00EC3308" w:rsidRPr="003B3332">
              <w:rPr>
                <w:rStyle w:val="Hyperlink"/>
                <w:noProof/>
                <w14:scene3d>
                  <w14:camera w14:prst="orthographicFront"/>
                  <w14:lightRig w14:rig="threePt" w14:dir="t">
                    <w14:rot w14:lat="0" w14:lon="0" w14:rev="0"/>
                  </w14:lightRig>
                </w14:scene3d>
              </w:rPr>
              <w:t>1.  </w:t>
            </w:r>
            <w:r w:rsidR="00EC3308" w:rsidRPr="003B3332">
              <w:rPr>
                <w:rStyle w:val="Hyperlink"/>
                <w:noProof/>
              </w:rPr>
              <w:t xml:space="preserve"> Observații preliminare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_Toc180674937 \h </w:instrText>
            </w:r>
            <w:r w:rsidR="00EC3308" w:rsidRPr="003B3332">
              <w:rPr>
                <w:noProof/>
                <w:webHidden/>
              </w:rPr>
            </w:r>
            <w:r w:rsidR="00EC3308" w:rsidRPr="003B3332">
              <w:rPr>
                <w:noProof/>
                <w:webHidden/>
              </w:rPr>
              <w:fldChar w:fldCharType="separate"/>
            </w:r>
            <w:r w:rsidR="000862FF">
              <w:rPr>
                <w:noProof/>
                <w:webHidden/>
              </w:rPr>
              <w:t>31</w:t>
            </w:r>
            <w:r w:rsidR="00EC3308" w:rsidRPr="003B3332">
              <w:rPr>
                <w:noProof/>
                <w:webHidden/>
              </w:rPr>
              <w:fldChar w:fldCharType="end"/>
            </w:r>
          </w:hyperlink>
        </w:p>
        <w:p w14:paraId="1B79A306" w14:textId="00068969" w:rsidR="00EC3308" w:rsidRPr="003B3332" w:rsidRDefault="004713AB">
          <w:pPr>
            <w:pStyle w:val="TOC3"/>
            <w:tabs>
              <w:tab w:val="right" w:leader="dot" w:pos="9017"/>
            </w:tabs>
            <w:rPr>
              <w:rFonts w:eastAsiaTheme="minorEastAsia"/>
              <w:noProof/>
            </w:rPr>
          </w:pPr>
          <w:hyperlink w:anchor="_Toc180674938" w:history="1">
            <w:r w:rsidR="00EC3308" w:rsidRPr="003B3332">
              <w:rPr>
                <w:rStyle w:val="Hyperlink"/>
                <w:noProof/>
                <w14:scene3d>
                  <w14:camera w14:prst="orthographicFront"/>
                  <w14:lightRig w14:rig="threePt" w14:dir="t">
                    <w14:rot w14:lat="0" w14:lon="0" w14:rev="0"/>
                  </w14:lightRig>
                </w14:scene3d>
              </w:rPr>
              <w:t>2.  </w:t>
            </w:r>
            <w:r w:rsidR="00EC3308" w:rsidRPr="003B3332">
              <w:rPr>
                <w:rStyle w:val="Hyperlink"/>
                <w:noProof/>
              </w:rPr>
              <w:t xml:space="preserve"> Independența</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_Toc180674938 \h </w:instrText>
            </w:r>
            <w:r w:rsidR="00EC3308" w:rsidRPr="003B3332">
              <w:rPr>
                <w:noProof/>
                <w:webHidden/>
              </w:rPr>
            </w:r>
            <w:r w:rsidR="00EC3308" w:rsidRPr="003B3332">
              <w:rPr>
                <w:noProof/>
                <w:webHidden/>
              </w:rPr>
              <w:fldChar w:fldCharType="separate"/>
            </w:r>
            <w:r w:rsidR="000862FF">
              <w:rPr>
                <w:noProof/>
                <w:webHidden/>
              </w:rPr>
              <w:t>32</w:t>
            </w:r>
            <w:r w:rsidR="00EC3308" w:rsidRPr="003B3332">
              <w:rPr>
                <w:noProof/>
                <w:webHidden/>
              </w:rPr>
              <w:fldChar w:fldCharType="end"/>
            </w:r>
          </w:hyperlink>
        </w:p>
        <w:p w14:paraId="246FD873" w14:textId="3C5C07E2" w:rsidR="00EC3308" w:rsidRPr="003B3332" w:rsidRDefault="004713AB">
          <w:pPr>
            <w:pStyle w:val="TOC3"/>
            <w:tabs>
              <w:tab w:val="right" w:leader="dot" w:pos="9017"/>
            </w:tabs>
            <w:rPr>
              <w:rFonts w:eastAsiaTheme="minorEastAsia"/>
              <w:noProof/>
            </w:rPr>
          </w:pPr>
          <w:hyperlink w:anchor="_Toc180674939" w:history="1">
            <w:r w:rsidR="00EC3308" w:rsidRPr="003B3332">
              <w:rPr>
                <w:rStyle w:val="Hyperlink"/>
                <w:noProof/>
                <w14:scene3d>
                  <w14:camera w14:prst="orthographicFront"/>
                  <w14:lightRig w14:rig="threePt" w14:dir="t">
                    <w14:rot w14:lat="0" w14:lon="0" w14:rev="0"/>
                  </w14:lightRig>
                </w14:scene3d>
              </w:rPr>
              <w:t>3.  </w:t>
            </w:r>
            <w:r w:rsidR="00EC3308" w:rsidRPr="003B3332">
              <w:rPr>
                <w:rStyle w:val="Hyperlink"/>
                <w:noProof/>
              </w:rPr>
              <w:t xml:space="preserve"> Caracterul adecvat</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_Toc180674939 \h </w:instrText>
            </w:r>
            <w:r w:rsidR="00EC3308" w:rsidRPr="003B3332">
              <w:rPr>
                <w:noProof/>
                <w:webHidden/>
              </w:rPr>
            </w:r>
            <w:r w:rsidR="00EC3308" w:rsidRPr="003B3332">
              <w:rPr>
                <w:noProof/>
                <w:webHidden/>
              </w:rPr>
              <w:fldChar w:fldCharType="separate"/>
            </w:r>
            <w:r w:rsidR="000862FF">
              <w:rPr>
                <w:noProof/>
                <w:webHidden/>
              </w:rPr>
              <w:t>33</w:t>
            </w:r>
            <w:r w:rsidR="00EC3308" w:rsidRPr="003B3332">
              <w:rPr>
                <w:noProof/>
                <w:webHidden/>
              </w:rPr>
              <w:fldChar w:fldCharType="end"/>
            </w:r>
          </w:hyperlink>
        </w:p>
        <w:p w14:paraId="71CF8140" w14:textId="79111D8C" w:rsidR="00EC3308" w:rsidRPr="003B3332" w:rsidRDefault="004713AB">
          <w:pPr>
            <w:pStyle w:val="TOC3"/>
            <w:tabs>
              <w:tab w:val="right" w:leader="dot" w:pos="9017"/>
            </w:tabs>
            <w:rPr>
              <w:rFonts w:eastAsiaTheme="minorEastAsia"/>
              <w:noProof/>
            </w:rPr>
          </w:pPr>
          <w:hyperlink w:anchor="_Toc180674940" w:history="1">
            <w:r w:rsidR="00EC3308" w:rsidRPr="003B3332">
              <w:rPr>
                <w:rStyle w:val="Hyperlink"/>
                <w:noProof/>
                <w14:scene3d>
                  <w14:camera w14:prst="orthographicFront"/>
                  <w14:lightRig w14:rig="threePt" w14:dir="t">
                    <w14:rot w14:lat="0" w14:lon="0" w14:rev="0"/>
                  </w14:lightRig>
                </w14:scene3d>
              </w:rPr>
              <w:t>4.  </w:t>
            </w:r>
            <w:r w:rsidR="00EC3308" w:rsidRPr="003B3332">
              <w:rPr>
                <w:rStyle w:val="Hyperlink"/>
                <w:noProof/>
              </w:rPr>
              <w:t xml:space="preserve"> Promptitudine și termen rezonabil</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_Toc180674940 \h </w:instrText>
            </w:r>
            <w:r w:rsidR="00EC3308" w:rsidRPr="003B3332">
              <w:rPr>
                <w:noProof/>
                <w:webHidden/>
              </w:rPr>
            </w:r>
            <w:r w:rsidR="00EC3308" w:rsidRPr="003B3332">
              <w:rPr>
                <w:noProof/>
                <w:webHidden/>
              </w:rPr>
              <w:fldChar w:fldCharType="separate"/>
            </w:r>
            <w:r w:rsidR="000862FF">
              <w:rPr>
                <w:noProof/>
                <w:webHidden/>
              </w:rPr>
              <w:t>34</w:t>
            </w:r>
            <w:r w:rsidR="00EC3308" w:rsidRPr="003B3332">
              <w:rPr>
                <w:noProof/>
                <w:webHidden/>
              </w:rPr>
              <w:fldChar w:fldCharType="end"/>
            </w:r>
          </w:hyperlink>
        </w:p>
        <w:p w14:paraId="409E6D69" w14:textId="54FB1190" w:rsidR="00EC3308" w:rsidRPr="003B3332" w:rsidRDefault="004713AB">
          <w:pPr>
            <w:pStyle w:val="TOC3"/>
            <w:tabs>
              <w:tab w:val="right" w:leader="dot" w:pos="9017"/>
            </w:tabs>
            <w:rPr>
              <w:rFonts w:eastAsiaTheme="minorEastAsia"/>
              <w:noProof/>
            </w:rPr>
          </w:pPr>
          <w:hyperlink w:anchor="_Toc180674941" w:history="1">
            <w:r w:rsidR="00EC3308" w:rsidRPr="003B3332">
              <w:rPr>
                <w:rStyle w:val="Hyperlink"/>
                <w:noProof/>
                <w14:scene3d>
                  <w14:camera w14:prst="orthographicFront"/>
                  <w14:lightRig w14:rig="threePt" w14:dir="t">
                    <w14:rot w14:lat="0" w14:lon="0" w14:rev="0"/>
                  </w14:lightRig>
                </w14:scene3d>
              </w:rPr>
              <w:t>5.  </w:t>
            </w:r>
            <w:r w:rsidR="00EC3308" w:rsidRPr="003B3332">
              <w:rPr>
                <w:rStyle w:val="Hyperlink"/>
                <w:noProof/>
              </w:rPr>
              <w:t xml:space="preserve"> Analiza publică și participarea victimei</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_Toc180674941 \h </w:instrText>
            </w:r>
            <w:r w:rsidR="00EC3308" w:rsidRPr="003B3332">
              <w:rPr>
                <w:noProof/>
                <w:webHidden/>
              </w:rPr>
            </w:r>
            <w:r w:rsidR="00EC3308" w:rsidRPr="003B3332">
              <w:rPr>
                <w:noProof/>
                <w:webHidden/>
              </w:rPr>
              <w:fldChar w:fldCharType="separate"/>
            </w:r>
            <w:r w:rsidR="000862FF">
              <w:rPr>
                <w:noProof/>
                <w:webHidden/>
              </w:rPr>
              <w:t>35</w:t>
            </w:r>
            <w:r w:rsidR="00EC3308" w:rsidRPr="003B3332">
              <w:rPr>
                <w:noProof/>
                <w:webHidden/>
              </w:rPr>
              <w:fldChar w:fldCharType="end"/>
            </w:r>
          </w:hyperlink>
        </w:p>
        <w:p w14:paraId="18D8240C" w14:textId="56CC9662" w:rsidR="00EC3308" w:rsidRPr="003B3332" w:rsidRDefault="004713AB">
          <w:pPr>
            <w:pStyle w:val="TOC2"/>
            <w:tabs>
              <w:tab w:val="right" w:leader="dot" w:pos="9017"/>
            </w:tabs>
            <w:rPr>
              <w:rFonts w:eastAsiaTheme="minorEastAsia"/>
              <w:noProof/>
            </w:rPr>
          </w:pPr>
          <w:hyperlink w:anchor="_Toc180674942" w:history="1">
            <w:r w:rsidR="00EC3308" w:rsidRPr="003B3332">
              <w:rPr>
                <w:rStyle w:val="Hyperlink"/>
                <w:noProof/>
                <w14:scene3d>
                  <w14:camera w14:prst="orthographicFront"/>
                  <w14:lightRig w14:rig="threePt" w14:dir="t">
                    <w14:rot w14:lat="0" w14:lon="0" w14:rev="0"/>
                  </w14:lightRig>
                </w14:scene3d>
              </w:rPr>
              <w:t>E.  </w:t>
            </w:r>
            <w:r w:rsidR="00EC3308" w:rsidRPr="003B3332">
              <w:rPr>
                <w:rStyle w:val="Hyperlink"/>
                <w:noProof/>
              </w:rPr>
              <w:t xml:space="preserve"> Probleme legate de urmărirea penală, de sancțiune și de compensare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_Toc180674942 \h </w:instrText>
            </w:r>
            <w:r w:rsidR="00EC3308" w:rsidRPr="003B3332">
              <w:rPr>
                <w:noProof/>
                <w:webHidden/>
              </w:rPr>
            </w:r>
            <w:r w:rsidR="00EC3308" w:rsidRPr="003B3332">
              <w:rPr>
                <w:noProof/>
                <w:webHidden/>
              </w:rPr>
              <w:fldChar w:fldCharType="separate"/>
            </w:r>
            <w:r w:rsidR="000862FF">
              <w:rPr>
                <w:noProof/>
                <w:webHidden/>
              </w:rPr>
              <w:t>36</w:t>
            </w:r>
            <w:r w:rsidR="00EC3308" w:rsidRPr="003B3332">
              <w:rPr>
                <w:noProof/>
                <w:webHidden/>
              </w:rPr>
              <w:fldChar w:fldCharType="end"/>
            </w:r>
          </w:hyperlink>
        </w:p>
        <w:p w14:paraId="36EB9E1A" w14:textId="2586AF37" w:rsidR="00EC3308" w:rsidRPr="003B3332" w:rsidRDefault="004713AB">
          <w:pPr>
            <w:pStyle w:val="TOC2"/>
            <w:tabs>
              <w:tab w:val="right" w:leader="dot" w:pos="9017"/>
            </w:tabs>
            <w:rPr>
              <w:rFonts w:eastAsiaTheme="minorEastAsia"/>
              <w:noProof/>
            </w:rPr>
          </w:pPr>
          <w:hyperlink w:anchor="_Toc180674943" w:history="1">
            <w:r w:rsidR="00EC3308" w:rsidRPr="003B3332">
              <w:rPr>
                <w:rStyle w:val="Hyperlink"/>
                <w:noProof/>
                <w14:scene3d>
                  <w14:camera w14:prst="orthographicFront"/>
                  <w14:lightRig w14:rig="threePt" w14:dir="t">
                    <w14:rot w14:lat="0" w14:lon="0" w14:rev="0"/>
                  </w14:lightRig>
                </w14:scene3d>
              </w:rPr>
              <w:t>F.  </w:t>
            </w:r>
            <w:r w:rsidR="00EC3308" w:rsidRPr="003B3332">
              <w:rPr>
                <w:rStyle w:val="Hyperlink"/>
                <w:noProof/>
              </w:rPr>
              <w:t xml:space="preserve"> Anchetarea infracțiunilor motivate de ură</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_Toc180674943 \h </w:instrText>
            </w:r>
            <w:r w:rsidR="00EC3308" w:rsidRPr="003B3332">
              <w:rPr>
                <w:noProof/>
                <w:webHidden/>
              </w:rPr>
            </w:r>
            <w:r w:rsidR="00EC3308" w:rsidRPr="003B3332">
              <w:rPr>
                <w:noProof/>
                <w:webHidden/>
              </w:rPr>
              <w:fldChar w:fldCharType="separate"/>
            </w:r>
            <w:r w:rsidR="000862FF">
              <w:rPr>
                <w:noProof/>
                <w:webHidden/>
              </w:rPr>
              <w:t>37</w:t>
            </w:r>
            <w:r w:rsidR="00EC3308" w:rsidRPr="003B3332">
              <w:rPr>
                <w:noProof/>
                <w:webHidden/>
              </w:rPr>
              <w:fldChar w:fldCharType="end"/>
            </w:r>
          </w:hyperlink>
        </w:p>
        <w:p w14:paraId="081D18B3" w14:textId="098E4A57" w:rsidR="00EC3308" w:rsidRPr="003B3332" w:rsidRDefault="004713AB">
          <w:pPr>
            <w:pStyle w:val="TOC2"/>
            <w:tabs>
              <w:tab w:val="right" w:leader="dot" w:pos="9017"/>
            </w:tabs>
            <w:rPr>
              <w:rFonts w:eastAsiaTheme="minorEastAsia"/>
              <w:noProof/>
            </w:rPr>
          </w:pPr>
          <w:hyperlink w:anchor="_Toc180674944" w:history="1">
            <w:r w:rsidR="00EC3308" w:rsidRPr="003B3332">
              <w:rPr>
                <w:rStyle w:val="Hyperlink"/>
                <w:noProof/>
                <w14:scene3d>
                  <w14:camera w14:prst="orthographicFront"/>
                  <w14:lightRig w14:rig="threePt" w14:dir="t">
                    <w14:rot w14:lat="0" w14:lon="0" w14:rev="0"/>
                  </w14:lightRig>
                </w14:scene3d>
              </w:rPr>
              <w:t>G.  </w:t>
            </w:r>
            <w:r w:rsidR="00EC3308" w:rsidRPr="003B3332">
              <w:rPr>
                <w:rStyle w:val="Hyperlink"/>
                <w:noProof/>
              </w:rPr>
              <w:t xml:space="preserve"> Obligații procedurale în contexte transfrontaliere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_Toc180674944 \h </w:instrText>
            </w:r>
            <w:r w:rsidR="00EC3308" w:rsidRPr="003B3332">
              <w:rPr>
                <w:noProof/>
                <w:webHidden/>
              </w:rPr>
            </w:r>
            <w:r w:rsidR="00EC3308" w:rsidRPr="003B3332">
              <w:rPr>
                <w:noProof/>
                <w:webHidden/>
              </w:rPr>
              <w:fldChar w:fldCharType="separate"/>
            </w:r>
            <w:r w:rsidR="000862FF">
              <w:rPr>
                <w:noProof/>
                <w:webHidden/>
              </w:rPr>
              <w:t>38</w:t>
            </w:r>
            <w:r w:rsidR="00EC3308" w:rsidRPr="003B3332">
              <w:rPr>
                <w:noProof/>
                <w:webHidden/>
              </w:rPr>
              <w:fldChar w:fldCharType="end"/>
            </w:r>
          </w:hyperlink>
        </w:p>
        <w:p w14:paraId="5F4948EB" w14:textId="0819C295" w:rsidR="00EC3308" w:rsidRPr="003B3332" w:rsidRDefault="004713AB">
          <w:pPr>
            <w:pStyle w:val="TOC2"/>
            <w:tabs>
              <w:tab w:val="right" w:leader="dot" w:pos="9017"/>
            </w:tabs>
            <w:rPr>
              <w:rFonts w:eastAsiaTheme="minorEastAsia"/>
              <w:noProof/>
            </w:rPr>
          </w:pPr>
          <w:hyperlink w:anchor="_Toc180674945" w:history="1">
            <w:r w:rsidR="00EC3308" w:rsidRPr="003B3332">
              <w:rPr>
                <w:rStyle w:val="Hyperlink"/>
                <w:noProof/>
                <w14:scene3d>
                  <w14:camera w14:prst="orthographicFront"/>
                  <w14:lightRig w14:rig="threePt" w14:dir="t">
                    <w14:rot w14:lat="0" w14:lon="0" w14:rev="0"/>
                  </w14:lightRig>
                </w14:scene3d>
              </w:rPr>
              <w:t>H.  </w:t>
            </w:r>
            <w:r w:rsidR="00EC3308" w:rsidRPr="003B3332">
              <w:rPr>
                <w:rStyle w:val="Hyperlink"/>
                <w:noProof/>
              </w:rPr>
              <w:t xml:space="preserve"> Restabilirea obligațiilor procedurale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_Toc180674945 \h </w:instrText>
            </w:r>
            <w:r w:rsidR="00EC3308" w:rsidRPr="003B3332">
              <w:rPr>
                <w:noProof/>
                <w:webHidden/>
              </w:rPr>
            </w:r>
            <w:r w:rsidR="00EC3308" w:rsidRPr="003B3332">
              <w:rPr>
                <w:noProof/>
                <w:webHidden/>
              </w:rPr>
              <w:fldChar w:fldCharType="separate"/>
            </w:r>
            <w:r w:rsidR="000862FF">
              <w:rPr>
                <w:noProof/>
                <w:webHidden/>
              </w:rPr>
              <w:t>38</w:t>
            </w:r>
            <w:r w:rsidR="00EC3308" w:rsidRPr="003B3332">
              <w:rPr>
                <w:noProof/>
                <w:webHidden/>
              </w:rPr>
              <w:fldChar w:fldCharType="end"/>
            </w:r>
          </w:hyperlink>
        </w:p>
        <w:p w14:paraId="197F3A90" w14:textId="4791B208" w:rsidR="00EC3308" w:rsidRPr="003B3332" w:rsidRDefault="004713AB">
          <w:pPr>
            <w:pStyle w:val="TOC1"/>
            <w:tabs>
              <w:tab w:val="right" w:leader="dot" w:pos="9017"/>
            </w:tabs>
            <w:rPr>
              <w:rFonts w:eastAsiaTheme="minorEastAsia"/>
              <w:b w:val="0"/>
              <w:noProof/>
              <w:color w:val="auto"/>
              <w:sz w:val="22"/>
            </w:rPr>
          </w:pPr>
          <w:hyperlink w:anchor="_Toc180674946" w:history="1">
            <w:r w:rsidR="00EC3308" w:rsidRPr="003B3332">
              <w:rPr>
                <w:rStyle w:val="Hyperlink"/>
                <w:noProof/>
              </w:rPr>
              <w:t>Lista cauzelor citate</w:t>
            </w:r>
            <w:r w:rsidR="00EC3308" w:rsidRPr="003B3332">
              <w:rPr>
                <w:noProof/>
                <w:webHidden/>
              </w:rPr>
              <w:tab/>
            </w:r>
            <w:r w:rsidR="00EC3308" w:rsidRPr="003B3332">
              <w:rPr>
                <w:noProof/>
                <w:webHidden/>
              </w:rPr>
              <w:fldChar w:fldCharType="begin"/>
            </w:r>
            <w:r w:rsidR="00EC3308" w:rsidRPr="003B3332">
              <w:rPr>
                <w:noProof/>
                <w:webHidden/>
              </w:rPr>
              <w:instrText xml:space="preserve"> PAGEREF _Toc180674946 \h </w:instrText>
            </w:r>
            <w:r w:rsidR="00EC3308" w:rsidRPr="003B3332">
              <w:rPr>
                <w:noProof/>
                <w:webHidden/>
              </w:rPr>
            </w:r>
            <w:r w:rsidR="00EC3308" w:rsidRPr="003B3332">
              <w:rPr>
                <w:noProof/>
                <w:webHidden/>
              </w:rPr>
              <w:fldChar w:fldCharType="separate"/>
            </w:r>
            <w:r w:rsidR="000862FF">
              <w:rPr>
                <w:noProof/>
                <w:webHidden/>
              </w:rPr>
              <w:t>39</w:t>
            </w:r>
            <w:r w:rsidR="00EC3308" w:rsidRPr="003B3332">
              <w:rPr>
                <w:noProof/>
                <w:webHidden/>
              </w:rPr>
              <w:fldChar w:fldCharType="end"/>
            </w:r>
          </w:hyperlink>
        </w:p>
        <w:p w14:paraId="4F83CE68" w14:textId="19666421" w:rsidR="002F666B" w:rsidRPr="003B3332" w:rsidRDefault="002F666B">
          <w:r w:rsidRPr="003B3332">
            <w:rPr>
              <w:b/>
            </w:rPr>
            <w:fldChar w:fldCharType="end"/>
          </w:r>
        </w:p>
      </w:sdtContent>
    </w:sdt>
    <w:p w14:paraId="0E924327" w14:textId="77777777" w:rsidR="00D22528" w:rsidRPr="003B3332" w:rsidRDefault="00D22528"/>
    <w:p w14:paraId="1C26DAB4" w14:textId="77777777" w:rsidR="00757E39" w:rsidRPr="003B3332" w:rsidRDefault="00757E39">
      <w:r w:rsidRPr="003B3332">
        <w:br w:type="page"/>
      </w:r>
    </w:p>
    <w:p w14:paraId="19A0F353" w14:textId="77777777" w:rsidR="00CF34B6" w:rsidRPr="003B3332" w:rsidRDefault="00CF34B6" w:rsidP="00CF34B6">
      <w:pPr>
        <w:keepNext/>
        <w:keepLines/>
        <w:spacing w:before="600"/>
        <w:contextualSpacing/>
        <w:jc w:val="center"/>
        <w:outlineLvl w:val="0"/>
        <w:rPr>
          <w:rFonts w:asciiTheme="majorHAnsi" w:hAnsiTheme="majorHAnsi"/>
          <w:b/>
          <w:color w:val="2F2F2F" w:themeColor="accent3" w:themeShade="80"/>
          <w:sz w:val="36"/>
        </w:rPr>
      </w:pPr>
      <w:bookmarkStart w:id="1" w:name="_Toc445478948"/>
      <w:bookmarkStart w:id="2" w:name="_Toc453254376"/>
      <w:bookmarkStart w:id="3" w:name="_Toc180674886"/>
      <w:bookmarkStart w:id="4" w:name="_Toc436664096"/>
      <w:bookmarkStart w:id="5" w:name="_Toc436664763"/>
      <w:bookmarkStart w:id="6" w:name="_Toc436741689"/>
      <w:bookmarkStart w:id="7" w:name="_Toc436833763"/>
      <w:bookmarkStart w:id="8" w:name="_Toc437417579"/>
      <w:bookmarkStart w:id="9" w:name="_Toc441568626"/>
      <w:r w:rsidRPr="003B3332">
        <w:rPr>
          <w:rFonts w:asciiTheme="majorHAnsi" w:hAnsiTheme="majorHAnsi"/>
          <w:b/>
          <w:color w:val="2F2F2F" w:themeColor="accent3" w:themeShade="80"/>
          <w:sz w:val="36"/>
        </w:rPr>
        <w:t>În atenția cititorilor</w:t>
      </w:r>
      <w:bookmarkEnd w:id="1"/>
      <w:bookmarkEnd w:id="2"/>
      <w:bookmarkEnd w:id="3"/>
    </w:p>
    <w:p w14:paraId="4EA37904" w14:textId="55D4BDF5" w:rsidR="00CF34B6" w:rsidRPr="003B3332" w:rsidRDefault="00CF34B6" w:rsidP="00CF34B6">
      <w:pPr>
        <w:spacing w:before="120" w:after="120"/>
        <w:jc w:val="both"/>
      </w:pPr>
      <w:r w:rsidRPr="003B3332">
        <w:t>Prezentul ghid face parte din seria Ghiduri privind jurisprudența, publicată de Curtea Europeană a Drepturilor Omului (denumită în continuare „Curtea”, „Curtea Europeană” sau „Curtea de la Strasbourg”), cu scopul de a informa practicienii din domeniul dreptului cu privire la hotărârile și deciziile fundamentale pronunțate de aceasta. Prezentul ghid analizează și rezumă jurisprudența referitoare la art. 3 din Convenția europeană a drepturilor omului (denumită în continuare „Convenția” sau „Convenția europeană”). Cititorii vor găsi aici principiile-cheie dezvoltate în acest domeniu, precum și precedentele relevante.</w:t>
      </w:r>
    </w:p>
    <w:p w14:paraId="70665B54" w14:textId="77777777" w:rsidR="00CF34B6" w:rsidRPr="003B3332" w:rsidRDefault="00CF34B6" w:rsidP="00CF34B6">
      <w:pPr>
        <w:spacing w:before="120" w:after="120"/>
        <w:jc w:val="both"/>
      </w:pPr>
      <w:r w:rsidRPr="003B3332">
        <w:t>Jurisprudența citată a fost selectată dintre hotărârile și deciziile de referință, importante și/sau recente.*</w:t>
      </w:r>
    </w:p>
    <w:p w14:paraId="21CA8D4B" w14:textId="04C87952" w:rsidR="006E6423" w:rsidRPr="003B3332" w:rsidRDefault="00CF34B6" w:rsidP="006E6423">
      <w:pPr>
        <w:spacing w:before="120" w:after="120"/>
        <w:jc w:val="both"/>
      </w:pPr>
      <w:r w:rsidRPr="003B3332">
        <w:t>Hotărârile și deciziile Curții soluționează nu numai cauzele cu care aceasta a fost învestită, ci servesc, mai general, pentru a clarifica, proteja și dezvolta normele Convenției; astfel, acestea contribuie la respectarea de către state a angajamentelor pe care și le-au asumat în calitate de părți contractante [</w:t>
      </w:r>
      <w:hyperlink r:id="rId12" w:history="1">
        <w:r w:rsidRPr="003B3332">
          <w:rPr>
            <w:i/>
            <w:color w:val="0072BC" w:themeColor="accent1"/>
          </w:rPr>
          <w:t>Irlanda împotriva Regatului Unit</w:t>
        </w:r>
      </w:hyperlink>
      <w:r w:rsidRPr="003B3332">
        <w:t xml:space="preserve">, 1978, pct. 154 și </w:t>
      </w:r>
      <w:hyperlink r:id="rId13" w:history="1">
        <w:r w:rsidRPr="003B3332">
          <w:rPr>
            <w:rStyle w:val="Hyperlink"/>
          </w:rPr>
          <w:t>Jeronovičs împotriva Letoniei</w:t>
        </w:r>
      </w:hyperlink>
      <w:r w:rsidRPr="003B3332">
        <w:rPr>
          <w:i/>
        </w:rPr>
        <w:t xml:space="preserve"> </w:t>
      </w:r>
      <w:r w:rsidRPr="003B3332">
        <w:t>(MC), 2016, pct. 109].</w:t>
      </w:r>
    </w:p>
    <w:p w14:paraId="729B3FBF" w14:textId="60A0CAED" w:rsidR="006E6423" w:rsidRPr="003B3332" w:rsidRDefault="00CF34B6" w:rsidP="006E6423">
      <w:pPr>
        <w:spacing w:before="120" w:after="120"/>
        <w:jc w:val="both"/>
      </w:pPr>
      <w:r w:rsidRPr="003B3332">
        <w:t>Sistemul instituit de Convenție are ca finalitate să soluționeze, în interesul general, probleme care țin de ordinea publică, ridicând astfel standardele de protecție a drepturilor omului și extinzând jurisprudența din acest domeniu la întreaga comunitate a statelor care sunt părți la Convenție [</w:t>
      </w:r>
      <w:hyperlink r:id="rId14" w:tgtFrame="_blank" w:history="1">
        <w:r w:rsidRPr="003B3332">
          <w:rPr>
            <w:i/>
            <w:color w:val="0072BC" w:themeColor="accent1"/>
          </w:rPr>
          <w:t>Konstantin Markin împotriva Rusiei</w:t>
        </w:r>
      </w:hyperlink>
      <w:r w:rsidRPr="003B3332">
        <w:t xml:space="preserve"> (MC), 2012, pct. 89]. Astfel, Curtea a subliniat rolul Convenției ca „instrument constituțional al ordinii publice europene” în domeniul drepturilor omului [</w:t>
      </w:r>
      <w:hyperlink r:id="rId15" w:history="1">
        <w:r w:rsidRPr="003B3332">
          <w:rPr>
            <w:rStyle w:val="Hyperlink"/>
          </w:rPr>
          <w:t>Bosphorus Hava Yolları Turizm ve Ticaret Anonim Şirketi împotriva Irlandei</w:t>
        </w:r>
      </w:hyperlink>
      <w:r w:rsidRPr="003B3332">
        <w:t xml:space="preserve"> (MC), nr. 2005, pct. 156, și, mai recent, </w:t>
      </w:r>
      <w:hyperlink r:id="rId16" w:history="1">
        <w:r w:rsidRPr="003B3332">
          <w:rPr>
            <w:rStyle w:val="Hyperlink"/>
          </w:rPr>
          <w:t>N.D. și N.T. împotriva Spaniei</w:t>
        </w:r>
      </w:hyperlink>
      <w:r w:rsidRPr="003B3332">
        <w:rPr>
          <w:i/>
        </w:rPr>
        <w:t xml:space="preserve"> </w:t>
      </w:r>
      <w:r w:rsidRPr="003B3332">
        <w:t>(MC), nr. 2020, pct. 110].</w:t>
      </w:r>
    </w:p>
    <w:p w14:paraId="5E24CB7C" w14:textId="1395E09C" w:rsidR="00A64D82" w:rsidRPr="003B3332" w:rsidRDefault="00A64D82" w:rsidP="006E6423">
      <w:pPr>
        <w:spacing w:before="120" w:after="120"/>
        <w:jc w:val="both"/>
      </w:pPr>
      <w:bookmarkStart w:id="10" w:name="_Hlk109038103"/>
      <w:r w:rsidRPr="003B3332">
        <w:t>Protocolul nr. 15 la Convenție a introdus recent principiul subsidiarității în preambulul Convenției. Acest principiu „impune o răspundere comună a statelor părți și a Curții” în ceea ce privește protecția drepturilor omului, iar autoritățile și instanțele naționale trebuie să interpreteze și să aplice dreptul național într-un mod care să asigure efectul deplin al drepturilor și libertăților definite în Convenție și în protocoalele la aceasta [</w:t>
      </w:r>
      <w:hyperlink r:id="rId17" w:history="1">
        <w:r w:rsidRPr="003B3332">
          <w:rPr>
            <w:rStyle w:val="Hyperlink"/>
          </w:rPr>
          <w:t>Grzęda împotriva Poloniei</w:t>
        </w:r>
      </w:hyperlink>
      <w:r w:rsidRPr="003B3332">
        <w:t xml:space="preserve"> (MC), pct. 324].</w:t>
      </w:r>
      <w:bookmarkEnd w:id="10"/>
    </w:p>
    <w:p w14:paraId="48E989DB" w14:textId="77D67378" w:rsidR="006E6423" w:rsidRPr="003B3332" w:rsidRDefault="006E6423" w:rsidP="006E6423">
      <w:pPr>
        <w:spacing w:before="120" w:after="120"/>
        <w:jc w:val="both"/>
      </w:pPr>
      <w:r w:rsidRPr="003B3332">
        <w:t xml:space="preserve">Prezentul ghid include referiri la cuvintele-cheie din fiecare articol citat din Convenție sau din protocoalele sale adiționale. Problemele juridice abordate în fiecare cauză sunt sintetizate într-o </w:t>
      </w:r>
      <w:hyperlink r:id="rId18" w:history="1">
        <w:r w:rsidRPr="003B3332">
          <w:rPr>
            <w:rStyle w:val="Hyperlink"/>
          </w:rPr>
          <w:t>Listă de cuvinte-cheie</w:t>
        </w:r>
      </w:hyperlink>
      <w:r w:rsidRPr="003B3332">
        <w:t>, alese dintr-un tezaur cuprinzând termeni extrași (în cea mai mare parte) direct din textul Convenției și din protocoalele sale.</w:t>
      </w:r>
    </w:p>
    <w:p w14:paraId="425A7FFC" w14:textId="46D613C5" w:rsidR="00CF34B6" w:rsidRPr="003B3332" w:rsidRDefault="004713AB" w:rsidP="006E6423">
      <w:pPr>
        <w:spacing w:before="120" w:after="120"/>
        <w:jc w:val="both"/>
      </w:pPr>
      <w:hyperlink r:id="rId19" w:history="1">
        <w:r w:rsidR="006E6423" w:rsidRPr="003B3332">
          <w:rPr>
            <w:rStyle w:val="Hyperlink"/>
          </w:rPr>
          <w:t xml:space="preserve">Baza de date </w:t>
        </w:r>
        <w:r w:rsidR="006E6423" w:rsidRPr="003B3332">
          <w:rPr>
            <w:rStyle w:val="Hyperlink"/>
            <w:u w:val="single"/>
          </w:rPr>
          <w:t>HUDOC</w:t>
        </w:r>
      </w:hyperlink>
      <w:r w:rsidR="006E6423" w:rsidRPr="003B3332">
        <w:t xml:space="preserve"> a jurisprudenței Curții permite căutarea după cuvinte-cheie. Căutarea după aceste cuvinte-cheie permite găsirea unui grup de documente cu un conținut juridic similar (motivarea și concluziile Curții din fiecare cauză sunt rezumate prin cuvinte-cheie). Cuvintele-cheie pentru fiecare cauză sunt disponibile în Fișa detaliată a cauzelor, în baza de date HUDOC. Pentru mai multe informații privind baza de date HUDOC și cuvintele-cheie, consultați </w:t>
      </w:r>
      <w:hyperlink r:id="rId20" w:history="1">
        <w:r w:rsidR="006E6423" w:rsidRPr="003B3332">
          <w:rPr>
            <w:rStyle w:val="Hyperlink"/>
          </w:rPr>
          <w:t>Manualul de utilizare a HUDOC</w:t>
        </w:r>
      </w:hyperlink>
      <w:r w:rsidR="006E6423" w:rsidRPr="003B3332">
        <w:t>.</w:t>
      </w:r>
    </w:p>
    <w:p w14:paraId="24ECAFD4" w14:textId="77777777" w:rsidR="00CF34B6" w:rsidRPr="003B3332" w:rsidRDefault="00CF34B6" w:rsidP="00CF34B6">
      <w:pPr>
        <w:jc w:val="both"/>
      </w:pPr>
    </w:p>
    <w:p w14:paraId="27222438" w14:textId="77777777" w:rsidR="00CF34B6" w:rsidRPr="003B3332" w:rsidRDefault="00CF34B6" w:rsidP="00CF34B6">
      <w:pPr>
        <w:jc w:val="both"/>
      </w:pPr>
    </w:p>
    <w:p w14:paraId="63D447C4" w14:textId="77777777" w:rsidR="00CF34B6" w:rsidRPr="003B3332" w:rsidRDefault="00CF34B6" w:rsidP="00CF34B6">
      <w:pPr>
        <w:jc w:val="both"/>
      </w:pPr>
    </w:p>
    <w:p w14:paraId="407BE95E" w14:textId="77777777" w:rsidR="00CF34B6" w:rsidRPr="003B3332" w:rsidRDefault="00CF34B6" w:rsidP="00CF34B6">
      <w:pPr>
        <w:jc w:val="both"/>
      </w:pPr>
    </w:p>
    <w:p w14:paraId="6CB487F3" w14:textId="119436DF" w:rsidR="006E6423" w:rsidRPr="003B3332" w:rsidRDefault="006E6423" w:rsidP="00CF34B6">
      <w:pPr>
        <w:jc w:val="both"/>
      </w:pPr>
    </w:p>
    <w:p w14:paraId="124EB843" w14:textId="77777777" w:rsidR="00EF7CFF" w:rsidRPr="003B3332" w:rsidRDefault="00EF7CFF" w:rsidP="00CF34B6">
      <w:pPr>
        <w:jc w:val="both"/>
      </w:pPr>
    </w:p>
    <w:p w14:paraId="64D05615" w14:textId="77777777" w:rsidR="00CF34B6" w:rsidRPr="003B3332" w:rsidRDefault="00CF34B6" w:rsidP="00CF34B6">
      <w:r w:rsidRPr="003B3332">
        <w:separator/>
      </w:r>
    </w:p>
    <w:p w14:paraId="74C24942" w14:textId="1C704762" w:rsidR="00CF34B6" w:rsidRPr="003B3332" w:rsidRDefault="00CF34B6" w:rsidP="00B81093">
      <w:pPr>
        <w:pStyle w:val="FootnoteText"/>
      </w:pPr>
      <w:r w:rsidRPr="003B3332">
        <w:t>*  H</w:t>
      </w:r>
      <w:r w:rsidR="005918A9" w:rsidRPr="003B3332">
        <w:t>i</w:t>
      </w:r>
      <w:r w:rsidRPr="003B3332">
        <w:t>perlinkurile către cauzele citate în versiunea electronică a ghidului trimit la textul în limba engleză sau franceză (cele două limbi oficiale ale Curții) al hotărârii sau al deciziei pronunțate de Curte și al deciziilor sau al rapoartelor Comisiei Europene a Drepturilor Omului (denumită în continuare „Comisia”). Dacă nu se specifică altfel</w:t>
      </w:r>
      <w:r w:rsidR="005918A9" w:rsidRPr="003B3332">
        <w:t>, trimiterea este la o hotărâre pe fond, pronunțată de o Cameră a Curții. Abrevierea „(dec.)” arată că este vorba despre o decizie a Curții, iar „(MC)” că respectiva cauză a fost examinată de Marea Cameră. Hotărârile pronunțate de o Cameră, care nu sunt definitive la data publicării prezentei actualizări, sunt marcate cu un asterisc (*).</w:t>
      </w:r>
      <w:r w:rsidRPr="003B3332">
        <w:br w:type="page"/>
      </w:r>
    </w:p>
    <w:p w14:paraId="5C815A0B" w14:textId="560C44C7" w:rsidR="00AF6751" w:rsidRPr="003B3332" w:rsidRDefault="00AF6751" w:rsidP="00AF6751">
      <w:pPr>
        <w:pStyle w:val="ECHRHeading1"/>
      </w:pPr>
      <w:bookmarkStart w:id="11" w:name="_Toc180674887"/>
      <w:r w:rsidRPr="003B3332">
        <w:t>Considerații generale</w:t>
      </w:r>
      <w:bookmarkEnd w:id="11"/>
    </w:p>
    <w:p w14:paraId="3F4FCB34" w14:textId="76CAFA08" w:rsidR="001C67E0" w:rsidRPr="003B3332" w:rsidRDefault="00FF109D" w:rsidP="008335CE">
      <w:pPr>
        <w:pStyle w:val="ECHRHeading2"/>
      </w:pPr>
      <w:bookmarkStart w:id="12" w:name="_Toc180674888"/>
      <w:r w:rsidRPr="003B3332">
        <w:t>Interpretarea art. 3</w:t>
      </w:r>
      <w:bookmarkEnd w:id="12"/>
    </w:p>
    <w:p w14:paraId="4B125CAB" w14:textId="5B8925F8" w:rsidR="00FF109D" w:rsidRPr="003B3332" w:rsidRDefault="004713AB" w:rsidP="00591CAE">
      <w:pPr>
        <w:pStyle w:val="ECHRParaSpaced"/>
      </w:pPr>
      <w:r>
        <w:fldChar w:fldCharType="begin"/>
      </w:r>
      <w:r>
        <w:instrText xml:space="preserve"> SEQ level0 \*arabic \* MERGEFORMAT </w:instrText>
      </w:r>
      <w:r>
        <w:fldChar w:fldCharType="separate"/>
      </w:r>
      <w:r w:rsidR="000862FF">
        <w:rPr>
          <w:noProof/>
        </w:rPr>
        <w:t>1</w:t>
      </w:r>
      <w:r>
        <w:fldChar w:fldCharType="end"/>
      </w:r>
      <w:r w:rsidR="00FA7743" w:rsidRPr="003B3332">
        <w:t>.  Abordarea Curții față de interpretarea art. 3 trebuie să se ghideze după faptul că obiectul și scopul Convenției ca instrument de protecție a ființelor umane individuale impune ca dispozițiile acesteia să fie interpretate și aplicate astfel încât garanțiile prevăzute să fie practice și eficiente. Orice interpretare a drepturilor și libertăților garantate trebuie să fie în concordanță cu spiritul general al Convenției, un instrument menit să mențină și să promoveze ideile și valorile unei societăți democratice (</w:t>
      </w:r>
      <w:hyperlink r:id="rId21" w:history="1">
        <w:r w:rsidR="00FA7743" w:rsidRPr="003B3332">
          <w:rPr>
            <w:rStyle w:val="Hyperlink"/>
          </w:rPr>
          <w:t>Soering împotriva Regatului Unit</w:t>
        </w:r>
      </w:hyperlink>
      <w:r w:rsidR="00FA7743" w:rsidRPr="003B3332">
        <w:t>, 1989, pct. 87).</w:t>
      </w:r>
    </w:p>
    <w:p w14:paraId="0C6F0EEC" w14:textId="4386D09A" w:rsidR="00AF6751" w:rsidRPr="003B3332" w:rsidRDefault="004713AB" w:rsidP="00591CAE">
      <w:pPr>
        <w:pStyle w:val="ECHRParaSpaced"/>
      </w:pPr>
      <w:r>
        <w:fldChar w:fldCharType="begin"/>
      </w:r>
      <w:r>
        <w:instrText xml:space="preserve"> SEQ level0 \*arabic \* MERGEFORMAT </w:instrText>
      </w:r>
      <w:r>
        <w:fldChar w:fldCharType="separate"/>
      </w:r>
      <w:r w:rsidR="000862FF">
        <w:rPr>
          <w:noProof/>
        </w:rPr>
        <w:t>2</w:t>
      </w:r>
      <w:r>
        <w:fldChar w:fldCharType="end"/>
      </w:r>
      <w:r w:rsidR="00591CAE" w:rsidRPr="003B3332">
        <w:t>.  Art. 3 din Convenție consacră una dintre cele mai importante valori ale societăților democratice. Astfel, interzicerea torturii și a tratamentelor sau a pedepsirii inumane ori degradante este o valoare a civilizației strâns legată de respectarea demnității umane [</w:t>
      </w:r>
      <w:hyperlink r:id="rId22" w:history="1">
        <w:r w:rsidR="00591CAE" w:rsidRPr="003B3332">
          <w:rPr>
            <w:rStyle w:val="Hyperlink"/>
          </w:rPr>
          <w:t>Bouyid v. Belgium</w:t>
        </w:r>
      </w:hyperlink>
      <w:r w:rsidR="00591CAE" w:rsidRPr="003B3332">
        <w:t xml:space="preserve"> (MC), 2015, pct. 81].  Interzicerea în chestiune este absolută, nicio derogare de la acesta nefiind permisă în temeiul art. 15 § 2, nici chiar în eventualitatea stării de urgență care ar pune în pericol existența națiunii sau în cele mai dificile circumstanțe, cum sunt combaterea terorismului și a criminalității organizate sau afluxul de migranți și solicitanți de azil, indiferent de comportamentul avut de persoana în cauză [</w:t>
      </w:r>
      <w:hyperlink r:id="rId23" w:history="1">
        <w:r w:rsidR="00591CAE" w:rsidRPr="003B3332">
          <w:rPr>
            <w:rStyle w:val="Hyperlink"/>
          </w:rPr>
          <w:t>A. și alții împotriva Regatului Unit</w:t>
        </w:r>
      </w:hyperlink>
      <w:r w:rsidR="00591CAE" w:rsidRPr="003B3332">
        <w:t xml:space="preserve"> (MC), 2009, pct. 126; </w:t>
      </w:r>
      <w:hyperlink r:id="rId24" w:history="1">
        <w:r w:rsidR="00591CAE" w:rsidRPr="003B3332">
          <w:rPr>
            <w:rStyle w:val="Hyperlink"/>
          </w:rPr>
          <w:t>Mocanu și alții împotriva României</w:t>
        </w:r>
      </w:hyperlink>
      <w:r w:rsidR="00591CAE" w:rsidRPr="003B3332">
        <w:t xml:space="preserve"> (MC), 2014, pct. 315; </w:t>
      </w:r>
      <w:hyperlink r:id="rId25" w:history="1">
        <w:r w:rsidR="00591CAE" w:rsidRPr="003B3332">
          <w:rPr>
            <w:rStyle w:val="Hyperlink"/>
          </w:rPr>
          <w:t>El-Masri împotriva Fostei Republici Iugoslave a Macedoniei</w:t>
        </w:r>
      </w:hyperlink>
      <w:r w:rsidR="00591CAE" w:rsidRPr="003B3332">
        <w:t xml:space="preserve"> (MC), 2012, pct. 195 și </w:t>
      </w:r>
      <w:hyperlink r:id="rId26" w:history="1">
        <w:r w:rsidR="00591CAE" w:rsidRPr="003B3332">
          <w:rPr>
            <w:rStyle w:val="Hyperlink"/>
          </w:rPr>
          <w:t>Z.A. și alții împotriva Rusiei</w:t>
        </w:r>
      </w:hyperlink>
      <w:r w:rsidR="00591CAE" w:rsidRPr="003B3332">
        <w:t xml:space="preserve"> (MC), 2009, pct. 187-188] sau de natura pretinsei infracțiuni săvârșite de aceasta [</w:t>
      </w:r>
      <w:hyperlink r:id="rId27" w:history="1">
        <w:r w:rsidR="00591CAE" w:rsidRPr="003B3332">
          <w:rPr>
            <w:rStyle w:val="Hyperlink"/>
          </w:rPr>
          <w:t>Ramirez Sanchez împotriva Franței</w:t>
        </w:r>
      </w:hyperlink>
      <w:r w:rsidR="00591CAE" w:rsidRPr="003B3332">
        <w:t xml:space="preserve"> (MC), 2006, pct. 116 și </w:t>
      </w:r>
      <w:hyperlink r:id="rId28" w:history="1">
        <w:r w:rsidR="00591CAE" w:rsidRPr="003B3332">
          <w:rPr>
            <w:rStyle w:val="Hyperlink"/>
          </w:rPr>
          <w:t>Gäfgen împotriva Germaniei</w:t>
        </w:r>
      </w:hyperlink>
      <w:r w:rsidR="00591CAE" w:rsidRPr="003B3332">
        <w:t xml:space="preserve"> (MC), 2010, pct. 87].</w:t>
      </w:r>
    </w:p>
    <w:p w14:paraId="50DE112F" w14:textId="7050E0E3" w:rsidR="00E56A0D" w:rsidRPr="003B3332" w:rsidRDefault="00AF6751" w:rsidP="008335CE">
      <w:pPr>
        <w:pStyle w:val="ECHRHeading2"/>
      </w:pPr>
      <w:bookmarkStart w:id="13" w:name="_Toc180674889"/>
      <w:r w:rsidRPr="003B3332">
        <w:t>Obligațiile statului în temeiul art. 3</w:t>
      </w:r>
      <w:bookmarkEnd w:id="13"/>
    </w:p>
    <w:p w14:paraId="677F9313" w14:textId="37DC2919" w:rsidR="00C80D1A" w:rsidRPr="003B3332" w:rsidRDefault="0052442B" w:rsidP="00591CAE">
      <w:pPr>
        <w:pStyle w:val="ECHRParaSpaced"/>
      </w:pPr>
      <w:fldSimple w:instr=" SEQ level0 \*arabic ">
        <w:r w:rsidR="000862FF">
          <w:rPr>
            <w:noProof/>
          </w:rPr>
          <w:t>3</w:t>
        </w:r>
      </w:fldSimple>
      <w:r w:rsidR="009B638B" w:rsidRPr="003B3332">
        <w:t>.  Art. 3 a fost aplicat deseori în contexte în care forma de tratament proscrisă a emanat din acte cauzate deliberat de agenți sau autorități publice ale statului. Poate fi descris în termeni generali ca impunând statelor o obligație în primul rând negativă de a se abține de la a aduce prejudicii grave persoanelor aflate sub jurisdicția lor (</w:t>
      </w:r>
      <w:hyperlink r:id="rId29" w:history="1">
        <w:r w:rsidR="009B638B" w:rsidRPr="003B3332">
          <w:rPr>
            <w:rStyle w:val="Hyperlink"/>
          </w:rPr>
          <w:t xml:space="preserve">Hristozov și alții împotriva Bulgariei </w:t>
        </w:r>
      </w:hyperlink>
      <w:r w:rsidR="009B638B" w:rsidRPr="003B3332">
        <w:t>, 2012, pct. 111).</w:t>
      </w:r>
    </w:p>
    <w:p w14:paraId="0785B486" w14:textId="548ED2D0" w:rsidR="00431B04" w:rsidRPr="003B3332" w:rsidRDefault="004713AB" w:rsidP="00591CAE">
      <w:pPr>
        <w:pStyle w:val="ECHRParaSpaced"/>
      </w:pPr>
      <w:r>
        <w:fldChar w:fldCharType="begin"/>
      </w:r>
      <w:r>
        <w:instrText xml:space="preserve"> SEQ level0 \*arabic \* MERGEFORMAT </w:instrText>
      </w:r>
      <w:r>
        <w:fldChar w:fldCharType="separate"/>
      </w:r>
      <w:r w:rsidR="000862FF">
        <w:rPr>
          <w:noProof/>
        </w:rPr>
        <w:t>4</w:t>
      </w:r>
      <w:r>
        <w:fldChar w:fldCharType="end"/>
      </w:r>
      <w:r w:rsidR="00FA7743" w:rsidRPr="003B3332">
        <w:t>.  Totuși, Curtea a considerat, de asemenea, că statele au obligații pozitive în temeiul  art. 3 din Convenție, care cuprind, în primul rând, obligația de a institui un cadru legislativ și de reglementare al protecției; în al doilea rând, în anumite împrejurări bine definite, obligația de a lua măsuri operaționale de a proteja persoane specifice împotriva riscului de tratamente contrare acestei dispoziții și, în al treilea rând, obligația de a ancheta efectiv pretențiile întemeiate privind inducerea unui astfel de tratament.  În general, primele două aspecte ale acestor obligații pozitive sunt descrise ca „materiale”, în timp ce al treilea aspect corespunde obligației procedurale a statelor [</w:t>
      </w:r>
      <w:hyperlink r:id="rId30" w:history="1">
        <w:r w:rsidR="00FA7743" w:rsidRPr="003B3332">
          <w:rPr>
            <w:rStyle w:val="Hyperlink"/>
          </w:rPr>
          <w:t>X și alții împotriva Bulgariei</w:t>
        </w:r>
      </w:hyperlink>
      <w:r w:rsidR="00FA7743" w:rsidRPr="003B3332">
        <w:t xml:space="preserve"> (MC), 2021, pct. 178].</w:t>
      </w:r>
    </w:p>
    <w:p w14:paraId="75902D90" w14:textId="76F0CF3D" w:rsidR="00F70FDF" w:rsidRPr="003B3332" w:rsidRDefault="00B758A5" w:rsidP="006751F0">
      <w:pPr>
        <w:pStyle w:val="ECHRHeading2"/>
      </w:pPr>
      <w:bookmarkStart w:id="14" w:name="_Toc180674890"/>
      <w:r w:rsidRPr="003B3332">
        <w:t>Sfera de aplicare a art. 3</w:t>
      </w:r>
      <w:bookmarkEnd w:id="14"/>
    </w:p>
    <w:p w14:paraId="3730E1D4" w14:textId="4732603A" w:rsidR="00C47627" w:rsidRPr="003B3332" w:rsidRDefault="004713AB" w:rsidP="00591CAE">
      <w:pPr>
        <w:pStyle w:val="ECHRParaSpaced"/>
      </w:pPr>
      <w:r>
        <w:fldChar w:fldCharType="begin"/>
      </w:r>
      <w:r>
        <w:instrText xml:space="preserve"> SEQ level0 \*arabic \* MERGEFORMAT </w:instrText>
      </w:r>
      <w:r>
        <w:fldChar w:fldCharType="separate"/>
      </w:r>
      <w:r w:rsidR="000862FF">
        <w:rPr>
          <w:noProof/>
        </w:rPr>
        <w:t>5</w:t>
      </w:r>
      <w:r>
        <w:fldChar w:fldCharType="end"/>
      </w:r>
      <w:r w:rsidR="00FA7743" w:rsidRPr="003B3332">
        <w:t>.  Interzicerea în temeiul art. 3 din Convenție nu se referă la toate cazurile de rele tratamente [</w:t>
      </w:r>
      <w:hyperlink r:id="rId31" w:history="1">
        <w:r w:rsidR="00FA7743" w:rsidRPr="003B3332">
          <w:rPr>
            <w:rStyle w:val="Hyperlink"/>
          </w:rPr>
          <w:t>Savran împotriva Danemarcei</w:t>
        </w:r>
      </w:hyperlink>
      <w:r w:rsidR="00FA7743" w:rsidRPr="003B3332">
        <w:t>, (MC), 2021, pct. 122].  Conform jurisprudenței consacrate a Curții, în general, relele tratamente trebuie să atingă un prag minim de severitate pentru a intra sub incidența art. 3.  Aprecierea acestui nivel este relativă și depinde de toate circumstanțele cauzei, cum ar fi durata tratamentului, efectele fizice și psihice și, în unele cazuri, sexul, vârsta și starea de sănătate a victimei [</w:t>
      </w:r>
      <w:hyperlink r:id="rId32" w:history="1">
        <w:r w:rsidR="00FA7743" w:rsidRPr="003B3332">
          <w:rPr>
            <w:rStyle w:val="Hyperlink"/>
          </w:rPr>
          <w:t>Muršić împotriva Croației</w:t>
        </w:r>
      </w:hyperlink>
      <w:r w:rsidR="00FA7743" w:rsidRPr="003B3332">
        <w:t xml:space="preserve"> (MC), 2016, pct. 97].</w:t>
      </w:r>
    </w:p>
    <w:p w14:paraId="08033819" w14:textId="21735CCF" w:rsidR="001268AF" w:rsidRPr="003B3332" w:rsidRDefault="00C47627" w:rsidP="00591CAE">
      <w:pPr>
        <w:pStyle w:val="ECHRParaSpaced"/>
      </w:pPr>
      <w:r w:rsidRPr="003B3332">
        <w:rPr>
          <w:rFonts w:eastAsia="Times New Roman" w:cs="Times New Roman"/>
        </w:rPr>
        <w:fldChar w:fldCharType="begin"/>
      </w:r>
      <w:r w:rsidRPr="003B3332">
        <w:rPr>
          <w:rFonts w:eastAsia="Times New Roman" w:cs="Times New Roman"/>
        </w:rPr>
        <w:instrText xml:space="preserve"> SEQ level0 \*arabic </w:instrText>
      </w:r>
      <w:r w:rsidRPr="003B3332">
        <w:rPr>
          <w:rFonts w:eastAsia="Times New Roman" w:cs="Times New Roman"/>
        </w:rPr>
        <w:fldChar w:fldCharType="separate"/>
      </w:r>
      <w:r w:rsidR="000862FF">
        <w:rPr>
          <w:rFonts w:eastAsia="Times New Roman" w:cs="Times New Roman"/>
          <w:noProof/>
        </w:rPr>
        <w:t>6</w:t>
      </w:r>
      <w:r w:rsidRPr="003B3332">
        <w:rPr>
          <w:rFonts w:eastAsia="Times New Roman" w:cs="Times New Roman"/>
        </w:rPr>
        <w:fldChar w:fldCharType="end"/>
      </w:r>
      <w:r w:rsidRPr="003B3332">
        <w:t>.  Pentru a stabili dacă s-a atins pragul de gravitate, alți factori trebuie luați în considerare, în special: (a) scopul pentru care relele tratamente au fost aplicate, precum și intenția sau motivația din spatele acestora, deși absența unei intenții de a umili sau de a înjosi victima nu poate exclude categoric constatarea încălcării art. 3 din Convenție; (b) contextul în care relele tratamente au fost aplicate, precum atmosfera de tensiune sporită și emoții; și (c) dacă victima se află într-o situație vulnerabilă [</w:t>
      </w:r>
      <w:hyperlink r:id="rId33" w:history="1">
        <w:r w:rsidRPr="003B3332">
          <w:rPr>
            <w:rStyle w:val="Hyperlink"/>
          </w:rPr>
          <w:t>Khlaifia și alții împotriva Italiei</w:t>
        </w:r>
      </w:hyperlink>
      <w:r w:rsidRPr="003B3332">
        <w:rPr>
          <w:i/>
        </w:rPr>
        <w:t xml:space="preserve"> </w:t>
      </w:r>
      <w:r w:rsidRPr="003B3332">
        <w:t>(MC), 2016, pct. 160].</w:t>
      </w:r>
    </w:p>
    <w:p w14:paraId="4AA41D5C" w14:textId="49F07702" w:rsidR="001615DE" w:rsidRPr="003B3332" w:rsidRDefault="003A76CA" w:rsidP="00591CAE">
      <w:pPr>
        <w:pStyle w:val="ECHRParaSpaced"/>
        <w:rPr>
          <w:rFonts w:cstheme="minorHAnsi"/>
        </w:rPr>
      </w:pPr>
      <w:r w:rsidRPr="003B3332">
        <w:rPr>
          <w:rFonts w:cstheme="minorHAnsi"/>
        </w:rPr>
        <w:fldChar w:fldCharType="begin"/>
      </w:r>
      <w:r w:rsidRPr="003B3332">
        <w:rPr>
          <w:rFonts w:cstheme="minorHAnsi"/>
        </w:rPr>
        <w:instrText xml:space="preserve"> SEQ level0 \*arabic \* MERGEFORMAT </w:instrText>
      </w:r>
      <w:r w:rsidRPr="003B3332">
        <w:rPr>
          <w:rFonts w:cstheme="minorHAnsi"/>
        </w:rPr>
        <w:fldChar w:fldCharType="separate"/>
      </w:r>
      <w:r w:rsidR="000862FF">
        <w:rPr>
          <w:rFonts w:cstheme="minorHAnsi"/>
          <w:noProof/>
        </w:rPr>
        <w:t>7</w:t>
      </w:r>
      <w:r w:rsidRPr="003B3332">
        <w:rPr>
          <w:rFonts w:cstheme="minorHAnsi"/>
        </w:rPr>
        <w:fldChar w:fldCharType="end"/>
      </w:r>
      <w:r w:rsidRPr="003B3332">
        <w:t>.Atunci când evaluează dacă o persoană a fost supusă la rele tratamente atingând nivelul minim de gravitate, în special cele cauzate de persoane particulare, Curtea ține seama de o gamă de factori, fiecare dintre aceștia având o importanță semnificativă. Toți acești factori presupun că tratamentul la care a fost „supusă” victima au fost urmarea unui act deliberat. Prin urmare, leziunile corporale și suferințele fizice și psihice experimentate de o persoană în urma unui accident care este pur și simplu rezultatul întâmplării sau al unui comportament neglijent nu pot fi considerate ca fiind urmarea unui „tratament” la care persoana respectivă a fost „supusă” în sensul art. 3 [</w:t>
      </w:r>
      <w:hyperlink r:id="rId34" w:history="1">
        <w:r w:rsidRPr="003B3332">
          <w:rPr>
            <w:rStyle w:val="Hyperlink"/>
          </w:rPr>
          <w:t>Nicolae Virgiliu Tănase împotriva României</w:t>
        </w:r>
      </w:hyperlink>
      <w:r w:rsidRPr="003B3332">
        <w:t xml:space="preserve"> (MC), 2019, pct. 121 și 123].</w:t>
      </w:r>
    </w:p>
    <w:p w14:paraId="4307E3EE" w14:textId="7CF3A82A" w:rsidR="003A76CA" w:rsidRPr="003B3332" w:rsidRDefault="003A76CA" w:rsidP="00591CAE">
      <w:pPr>
        <w:pStyle w:val="ECHRParaSpaced"/>
        <w:rPr>
          <w:rFonts w:cs="Times New Roman"/>
        </w:rPr>
      </w:pPr>
      <w:r w:rsidRPr="003B3332">
        <w:rPr>
          <w:rFonts w:cstheme="minorHAnsi"/>
        </w:rPr>
        <w:fldChar w:fldCharType="begin"/>
      </w:r>
      <w:r w:rsidRPr="003B3332">
        <w:rPr>
          <w:rFonts w:cstheme="minorHAnsi"/>
        </w:rPr>
        <w:instrText xml:space="preserve"> SEQ level0 \*arabic \* MERGEFORMAT </w:instrText>
      </w:r>
      <w:r w:rsidRPr="003B3332">
        <w:rPr>
          <w:rFonts w:cstheme="minorHAnsi"/>
        </w:rPr>
        <w:fldChar w:fldCharType="separate"/>
      </w:r>
      <w:r w:rsidR="000862FF">
        <w:rPr>
          <w:rFonts w:cstheme="minorHAnsi"/>
          <w:noProof/>
        </w:rPr>
        <w:t>8</w:t>
      </w:r>
      <w:r w:rsidRPr="003B3332">
        <w:rPr>
          <w:rFonts w:cstheme="minorHAnsi"/>
        </w:rPr>
        <w:fldChar w:fldCharType="end"/>
      </w:r>
      <w:r w:rsidRPr="003B3332">
        <w:t>.  Totuși, atunci când o persoană este privată de libertate sau, mai general, se confruntă cu agenți de aplicare a legii, orice comportament al acelora din urmă față de aceasta și care diminuează demnitatea umană constituie o încălcare a art. 3 din Convenție [</w:t>
      </w:r>
      <w:hyperlink r:id="rId35" w:history="1">
        <w:r w:rsidRPr="003B3332">
          <w:rPr>
            <w:rStyle w:val="Hyperlink"/>
          </w:rPr>
          <w:t>Bouyid împotriva Belgiei</w:t>
        </w:r>
      </w:hyperlink>
      <w:r w:rsidRPr="003B3332">
        <w:t xml:space="preserve"> (MC), 2015, pct. 100-101].</w:t>
      </w:r>
    </w:p>
    <w:p w14:paraId="640F969C" w14:textId="323DCE11" w:rsidR="007804A5" w:rsidRPr="003B3332" w:rsidRDefault="0064071A" w:rsidP="006751F0">
      <w:pPr>
        <w:pStyle w:val="ECHRHeading2"/>
      </w:pPr>
      <w:bookmarkStart w:id="15" w:name="_Toc180674891"/>
      <w:r w:rsidRPr="003B3332">
        <w:t>Tipuri de tratamente sau pedepse interzise</w:t>
      </w:r>
      <w:bookmarkEnd w:id="15"/>
    </w:p>
    <w:p w14:paraId="1F7EBF1C" w14:textId="7AE159A9" w:rsidR="00A817E1" w:rsidRPr="003B3332" w:rsidRDefault="00894496" w:rsidP="00A817E1">
      <w:pPr>
        <w:pStyle w:val="ECHRHeading3"/>
      </w:pPr>
      <w:bookmarkStart w:id="16" w:name="_Toc180674892"/>
      <w:r w:rsidRPr="003B3332">
        <w:t>Tortura</w:t>
      </w:r>
      <w:bookmarkEnd w:id="16"/>
    </w:p>
    <w:p w14:paraId="4BCFE9D0" w14:textId="0B3CC19C" w:rsidR="00EC49DA" w:rsidRPr="003B3332" w:rsidRDefault="004713AB" w:rsidP="00591CAE">
      <w:pPr>
        <w:pStyle w:val="ECHRParaSpaced"/>
      </w:pPr>
      <w:r>
        <w:fldChar w:fldCharType="begin"/>
      </w:r>
      <w:r>
        <w:instrText xml:space="preserve"> SEQ level0 \*arabic \* MERGEFORMAT </w:instrText>
      </w:r>
      <w:r>
        <w:fldChar w:fldCharType="separate"/>
      </w:r>
      <w:r w:rsidR="000862FF">
        <w:rPr>
          <w:noProof/>
        </w:rPr>
        <w:t>9</w:t>
      </w:r>
      <w:r>
        <w:fldChar w:fldCharType="end"/>
      </w:r>
      <w:r w:rsidR="00FA7743" w:rsidRPr="003B3332">
        <w:t xml:space="preserve">.  Interzicerea torturii a obținut statutul de </w:t>
      </w:r>
      <w:r w:rsidR="00FA7743" w:rsidRPr="003B3332">
        <w:rPr>
          <w:i/>
          <w:iCs/>
        </w:rPr>
        <w:t>jus cogens</w:t>
      </w:r>
      <w:r w:rsidR="00FA7743" w:rsidRPr="003B3332">
        <w:t xml:space="preserve"> sau de normă peremptorie în dreptul internațional (</w:t>
      </w:r>
      <w:hyperlink r:id="rId36" w:history="1">
        <w:r w:rsidR="00FA7743" w:rsidRPr="003B3332">
          <w:rPr>
            <w:rStyle w:val="Hyperlink"/>
          </w:rPr>
          <w:t>Avizul consultativ privind aplicabilitate legislației de limitare a urmăririi penale, a condamnării și a pedepsirii în privința unei infracțiuni care reprezintă, pe fond, un act de tortură</w:t>
        </w:r>
      </w:hyperlink>
      <w:r w:rsidR="00FA7743" w:rsidRPr="003B3332">
        <w:t xml:space="preserve"> </w:t>
      </w:r>
      <w:r w:rsidR="00FA7743" w:rsidRPr="003B3332">
        <w:rPr>
          <w:rStyle w:val="s68f5eaef"/>
        </w:rPr>
        <w:t xml:space="preserve">(MC), </w:t>
      </w:r>
      <w:r w:rsidR="00FA7743" w:rsidRPr="003B3332">
        <w:t xml:space="preserve">pct. 59, </w:t>
      </w:r>
      <w:r w:rsidR="00FA7743" w:rsidRPr="003B3332">
        <w:rPr>
          <w:rStyle w:val="s68f5eaef"/>
        </w:rPr>
        <w:t>2022].</w:t>
      </w:r>
      <w:r w:rsidR="00FA7743" w:rsidRPr="003B3332">
        <w:t> Pentru a stabili dacă anumite forme de rele tratamente trebuie descris drept tortură, Curtea va ține seama de diferențierea cuprinsă la art. 3 între această noțiune și cea de tratamente inumane sau degradante.  Intenția Convenției a fost să atașeze, prin intermediul unei diferențieri, un stigmat deosebit tratamentelor inumane deliberate care provoacă suferințe foarte grave și crude; aceeași diferențiere este conturată la art. 1 din Convenția Organizației Națiunilor Unite împotriva torturii și altor pedepse ori tratamente cu cruzime, inumane sau degradante „UNCAT” [</w:t>
      </w:r>
      <w:hyperlink r:id="rId37" w:history="1">
        <w:r w:rsidR="00FA7743" w:rsidRPr="003B3332">
          <w:rPr>
            <w:rStyle w:val="Hyperlink"/>
          </w:rPr>
          <w:t>Irlanda împotriva Regatului Unit</w:t>
        </w:r>
      </w:hyperlink>
      <w:r w:rsidR="00FA7743" w:rsidRPr="003B3332">
        <w:t xml:space="preserve">, 1978, pct. 167, </w:t>
      </w:r>
      <w:hyperlink r:id="rId38" w:history="1">
        <w:r w:rsidR="00FA7743" w:rsidRPr="003B3332">
          <w:rPr>
            <w:rStyle w:val="Hyperlink"/>
          </w:rPr>
          <w:t>Selmouni împotriva Franței</w:t>
        </w:r>
      </w:hyperlink>
      <w:r w:rsidR="00FA7743" w:rsidRPr="003B3332">
        <w:t xml:space="preserve"> (MC), 1999, pct. 96 și </w:t>
      </w:r>
      <w:hyperlink r:id="rId39" w:history="1">
        <w:r w:rsidR="00FA7743" w:rsidRPr="003B3332">
          <w:rPr>
            <w:rStyle w:val="Hyperlink"/>
          </w:rPr>
          <w:t>Ilaşcu și alții împotriva Moldovei și Rusiei</w:t>
        </w:r>
      </w:hyperlink>
      <w:r w:rsidR="00FA7743" w:rsidRPr="003B3332">
        <w:t xml:space="preserve"> (MC), 2004, pct. 426].</w:t>
      </w:r>
    </w:p>
    <w:p w14:paraId="1AF7F83B" w14:textId="4CE0B351" w:rsidR="00BC3A29" w:rsidRPr="003B3332" w:rsidRDefault="004713AB" w:rsidP="00591CAE">
      <w:pPr>
        <w:pStyle w:val="ECHRParaSpaced"/>
      </w:pPr>
      <w:r>
        <w:fldChar w:fldCharType="begin"/>
      </w:r>
      <w:r>
        <w:instrText xml:space="preserve"> SEQ level0 \*arabic \* M</w:instrText>
      </w:r>
      <w:r>
        <w:instrText xml:space="preserve">ERGEFORMAT </w:instrText>
      </w:r>
      <w:r>
        <w:fldChar w:fldCharType="separate"/>
      </w:r>
      <w:r w:rsidR="000862FF">
        <w:rPr>
          <w:noProof/>
        </w:rPr>
        <w:t>10</w:t>
      </w:r>
      <w:r>
        <w:fldChar w:fldCharType="end"/>
      </w:r>
      <w:r w:rsidR="00BC3A29" w:rsidRPr="003B3332">
        <w:t xml:space="preserve">.  Pe lângă gravitatea tratamentului aplicat, există elementul intenției, așa cum este recunoscut în UNCAT, care definește tortura ca însemnând orice act prin care se provoacă unei persoane, cu intenție, o durere sau suferințe puternice cu scopul, </w:t>
      </w:r>
      <w:r w:rsidR="00BC3A29" w:rsidRPr="003B3332">
        <w:rPr>
          <w:i/>
        </w:rPr>
        <w:t>inter alia</w:t>
      </w:r>
      <w:r w:rsidR="00BC3A29" w:rsidRPr="003B3332">
        <w:t>, de a obține informații sau o mărturisire, prin pedeapsă sau intimidare [</w:t>
      </w:r>
      <w:hyperlink r:id="rId40" w:history="1">
        <w:r w:rsidR="00BC3A29" w:rsidRPr="003B3332">
          <w:rPr>
            <w:rStyle w:val="Hyperlink"/>
          </w:rPr>
          <w:t>Selmouni împotriva Franței</w:t>
        </w:r>
      </w:hyperlink>
      <w:r w:rsidR="00BC3A29" w:rsidRPr="003B3332">
        <w:t xml:space="preserve"> (MC), 1999, pct. 97; </w:t>
      </w:r>
      <w:hyperlink r:id="rId41" w:history="1">
        <w:r w:rsidR="00BC3A29" w:rsidRPr="003B3332">
          <w:rPr>
            <w:rStyle w:val="Hyperlink"/>
          </w:rPr>
          <w:t>Salman împotriva Turciei</w:t>
        </w:r>
      </w:hyperlink>
      <w:r w:rsidR="00BC3A29" w:rsidRPr="003B3332">
        <w:t xml:space="preserve"> (MC), 2000, pct. 114; </w:t>
      </w:r>
      <w:hyperlink r:id="rId42" w:history="1">
        <w:r w:rsidR="00BC3A29" w:rsidRPr="003B3332">
          <w:rPr>
            <w:rStyle w:val="Hyperlink"/>
          </w:rPr>
          <w:t>Al Nashiri împotriva Poloniei</w:t>
        </w:r>
      </w:hyperlink>
      <w:r w:rsidR="00BC3A29" w:rsidRPr="003B3332">
        <w:t xml:space="preserve">, 2014, pct. 508 și </w:t>
      </w:r>
      <w:hyperlink r:id="rId43" w:history="1">
        <w:r w:rsidR="00BC3A29" w:rsidRPr="003B3332">
          <w:rPr>
            <w:rStyle w:val="Hyperlink"/>
          </w:rPr>
          <w:t>Petrosyan împotriva Azerbaidjanului</w:t>
        </w:r>
      </w:hyperlink>
      <w:r w:rsidR="00BC3A29" w:rsidRPr="003B3332">
        <w:t>, 2021, pct. 68].</w:t>
      </w:r>
    </w:p>
    <w:p w14:paraId="0CC94DA9" w14:textId="7CF9B291" w:rsidR="003E041F" w:rsidRPr="003B3332" w:rsidRDefault="004713AB" w:rsidP="00591CAE">
      <w:pPr>
        <w:pStyle w:val="ECHRParaSpaced"/>
      </w:pPr>
      <w:r>
        <w:fldChar w:fldCharType="begin"/>
      </w:r>
      <w:r>
        <w:instrText xml:space="preserve"> SEQ level0 \*arabic \* MERGEFORMAT </w:instrText>
      </w:r>
      <w:r>
        <w:fldChar w:fldCharType="separate"/>
      </w:r>
      <w:r w:rsidR="000862FF">
        <w:rPr>
          <w:noProof/>
        </w:rPr>
        <w:t>11</w:t>
      </w:r>
      <w:r>
        <w:fldChar w:fldCharType="end"/>
      </w:r>
      <w:r w:rsidR="00FA7743" w:rsidRPr="003B3332">
        <w:t>.  Întrucât Convenția este un instrument viu, care trebuie interpretat în lumina condițiilor actuale, acte calificate în trecut ca fiind „tratamente inumane și degradante” ca  opuse „torturii”, ar putea fi calificate diferit în viitor. Curtea este de părere că standardul din ce în ce mai ridicat necesar în domeniul protecției drepturilor omului și a libertăților fundamentale impune, în mod corespunzător și inevitabil, o mai mare rigoare în evaluarea încălcărilor valorilor fundamentale ale societăților democratice [</w:t>
      </w:r>
      <w:hyperlink r:id="rId44" w:history="1">
        <w:r w:rsidR="00FA7743" w:rsidRPr="003B3332">
          <w:rPr>
            <w:rStyle w:val="Hyperlink"/>
          </w:rPr>
          <w:t>Selmouni împotriva Franței</w:t>
        </w:r>
      </w:hyperlink>
      <w:r w:rsidR="00FA7743" w:rsidRPr="003B3332">
        <w:t xml:space="preserve"> (MC), 1999, pct. 101].</w:t>
      </w:r>
    </w:p>
    <w:p w14:paraId="165D4D76" w14:textId="595E1B13" w:rsidR="00677D44" w:rsidRPr="003B3332" w:rsidRDefault="004713AB" w:rsidP="00591CAE">
      <w:pPr>
        <w:pStyle w:val="ECHRParaSpaced"/>
      </w:pPr>
      <w:r>
        <w:fldChar w:fldCharType="begin"/>
      </w:r>
      <w:r>
        <w:instrText xml:space="preserve"> SEQ level0 \*arabic \* MERGEFORMAT </w:instrText>
      </w:r>
      <w:r>
        <w:fldChar w:fldCharType="separate"/>
      </w:r>
      <w:r w:rsidR="000862FF">
        <w:rPr>
          <w:noProof/>
        </w:rPr>
        <w:t>12</w:t>
      </w:r>
      <w:r>
        <w:fldChar w:fldCharType="end"/>
      </w:r>
      <w:r w:rsidR="00FA7743" w:rsidRPr="003B3332">
        <w:t>.  În acest sens Curtea a subliniat că Interzicerea torturii a obținut statutul de jus cogens sau de normă peremptorie în dreptul internațional.</w:t>
      </w:r>
    </w:p>
    <w:p w14:paraId="06FCD0A1" w14:textId="52422017" w:rsidR="004C4B63" w:rsidRPr="003B3332" w:rsidRDefault="004713AB" w:rsidP="00591CAE">
      <w:pPr>
        <w:pStyle w:val="ECHRParaSpaced"/>
      </w:pPr>
      <w:r>
        <w:fldChar w:fldCharType="begin"/>
      </w:r>
      <w:r>
        <w:instrText xml:space="preserve"> SEQ level0 \*arabic \* MERGEFORMAT </w:instrText>
      </w:r>
      <w:r>
        <w:fldChar w:fldCharType="separate"/>
      </w:r>
      <w:r w:rsidR="000862FF">
        <w:rPr>
          <w:noProof/>
        </w:rPr>
        <w:t>13</w:t>
      </w:r>
      <w:r>
        <w:fldChar w:fldCharType="end"/>
      </w:r>
      <w:r w:rsidR="00FA7743" w:rsidRPr="003B3332">
        <w:t>.  De exemplu, a constatat că relele tratamente sunt echivalente cu „tortura” atunci când:</w:t>
      </w:r>
    </w:p>
    <w:p w14:paraId="535B645A" w14:textId="0DD20B71" w:rsidR="006F7D96" w:rsidRPr="003B3332" w:rsidRDefault="00F82705" w:rsidP="00591CAE">
      <w:pPr>
        <w:pStyle w:val="ECHRBullet1"/>
      </w:pPr>
      <w:r w:rsidRPr="003B3332">
        <w:t>reclamantul a fost dezbrăcat complet, cu mâinile legate la spate, și suspendat de brațe („spânzurarea palestiniană”) de agenții statului pe când era reținut pentru a i se smulge o mărturisire (</w:t>
      </w:r>
      <w:hyperlink r:id="rId45" w:history="1">
        <w:r w:rsidRPr="003B3332">
          <w:rPr>
            <w:rStyle w:val="Hyperlink"/>
          </w:rPr>
          <w:t>Aksoy împotriva Turciei</w:t>
        </w:r>
      </w:hyperlink>
      <w:r w:rsidRPr="003B3332">
        <w:t xml:space="preserve">, 1996, pct. 64; a se vedea și </w:t>
      </w:r>
      <w:hyperlink r:id="rId46" w:history="1">
        <w:r w:rsidRPr="003B3332">
          <w:rPr>
            <w:rStyle w:val="Hyperlink"/>
          </w:rPr>
          <w:t>Israilov împotriva Rusiei</w:t>
        </w:r>
      </w:hyperlink>
      <w:r w:rsidRPr="003B3332">
        <w:t>, 2023, pct. 165, în care reclamantul a fost supus la suferințe psihice și mentale severe, provocate în mod intenționat pentru a se obține informații);</w:t>
      </w:r>
    </w:p>
    <w:p w14:paraId="5B5909DE" w14:textId="1E8D8196" w:rsidR="007B4DEA" w:rsidRPr="003B3332" w:rsidRDefault="006F6EDC" w:rsidP="00591CAE">
      <w:pPr>
        <w:pStyle w:val="ECHRBullet1"/>
      </w:pPr>
      <w:r w:rsidRPr="003B3332">
        <w:t>reclamantul a fost violat și supus la un număr de acte de alte rele tratamente fizice și psihice pe când era reținut (</w:t>
      </w:r>
      <w:hyperlink r:id="rId47" w:history="1">
        <w:r w:rsidRPr="003B3332">
          <w:rPr>
            <w:rStyle w:val="Hyperlink"/>
          </w:rPr>
          <w:t>Aydın împotriva Turciei</w:t>
        </w:r>
      </w:hyperlink>
      <w:r w:rsidRPr="003B3332">
        <w:t xml:space="preserve">, 1997, pct. 83-87, a se vedea și </w:t>
      </w:r>
      <w:bookmarkStart w:id="17" w:name="_Hlk73370081"/>
      <w:r w:rsidR="00B80816" w:rsidRPr="003B3332">
        <w:fldChar w:fldCharType="begin"/>
      </w:r>
      <w:r w:rsidR="00B80816" w:rsidRPr="003B3332">
        <w:instrText xml:space="preserve"> HYPERLINK "http://hudoc.echr.coe.int/eng?i=001-84670" </w:instrText>
      </w:r>
      <w:r w:rsidR="00B80816" w:rsidRPr="003B3332">
        <w:fldChar w:fldCharType="separate"/>
      </w:r>
      <w:r w:rsidRPr="003B3332">
        <w:rPr>
          <w:rStyle w:val="Hyperlink"/>
        </w:rPr>
        <w:t>Maslova și Nalbandov împotriva Rusiei</w:t>
      </w:r>
      <w:r w:rsidR="00B80816" w:rsidRPr="003B3332">
        <w:rPr>
          <w:rStyle w:val="Hyperlink"/>
          <w:i w:val="0"/>
        </w:rPr>
        <w:fldChar w:fldCharType="end"/>
      </w:r>
      <w:r w:rsidRPr="003B3332">
        <w:rPr>
          <w:rStyle w:val="Hyperlink"/>
          <w:color w:val="000000" w:themeColor="text1"/>
        </w:rPr>
        <w:t>,</w:t>
      </w:r>
      <w:r w:rsidRPr="003B3332">
        <w:rPr>
          <w:rStyle w:val="Hyperlink"/>
        </w:rPr>
        <w:t xml:space="preserve"> </w:t>
      </w:r>
      <w:r w:rsidRPr="003B3332">
        <w:t>2008, pct. 108</w:t>
      </w:r>
      <w:bookmarkEnd w:id="17"/>
      <w:r w:rsidRPr="003B3332">
        <w:t xml:space="preserve">  în care reclamantul a fost violat în mod repetat, precum și supus mai multor acte de violență fizică pe timpul interogării și </w:t>
      </w:r>
      <w:hyperlink r:id="rId48" w:history="1">
        <w:r w:rsidRPr="003B3332">
          <w:rPr>
            <w:rStyle w:val="Hyperlink"/>
          </w:rPr>
          <w:t>Zontul împotriva Greciei</w:t>
        </w:r>
      </w:hyperlink>
      <w:r w:rsidRPr="003B3332">
        <w:t>, 2012, pct. 92 unde un imigrant ilegal a fost violat de un paznic de coastă responsabil cu supravegherea sa);</w:t>
      </w:r>
    </w:p>
    <w:p w14:paraId="2E15D369" w14:textId="35B12771" w:rsidR="009C6212" w:rsidRPr="003B3332" w:rsidRDefault="00874CA5" w:rsidP="00591CAE">
      <w:pPr>
        <w:pStyle w:val="ECHRBullet1"/>
        <w:rPr>
          <w:iCs/>
        </w:rPr>
      </w:pPr>
      <w:r w:rsidRPr="003B3332">
        <w:t>reclamanții au fost privați de somn, supuși „spânzurării palestiniene” și „falaka”, stropiți cu apă, bătuți timp de mai multe zile pe când erau reținuți pentru a li se smulge o mărturisire  (</w:t>
      </w:r>
      <w:hyperlink r:id="rId49" w:history="1">
        <w:r w:rsidRPr="003B3332">
          <w:rPr>
            <w:rStyle w:val="Hyperlink"/>
          </w:rPr>
          <w:t>Batı și alții împotriva Turciei</w:t>
        </w:r>
      </w:hyperlink>
      <w:r w:rsidRPr="003B3332">
        <w:t>, 2004, pct. 110 și pct. 122-124);</w:t>
      </w:r>
    </w:p>
    <w:p w14:paraId="10FDFE8C" w14:textId="6842EC9F" w:rsidR="009500F3" w:rsidRPr="003B3332" w:rsidRDefault="009500F3" w:rsidP="00591CAE">
      <w:pPr>
        <w:pStyle w:val="ECHRBullet1"/>
        <w:rPr>
          <w:iCs/>
        </w:rPr>
      </w:pPr>
      <w:r w:rsidRPr="003B3332">
        <w:t xml:space="preserve">reclamantul, un deținut aflat în refuz de hrană, a fost hrănit cu forța, în ciuda absenței unei necesități medicale și cu folosirea cătușelor, a unui depărtător bucal, un tub special de cauciuc introdus prin cavitatea bucală până în stomac și, în caz de rezistență, cu folosirea forței </w:t>
      </w:r>
      <w:hyperlink r:id="rId50" w:history="1">
        <w:r w:rsidRPr="003B3332">
          <w:rPr>
            <w:rStyle w:val="Hyperlink"/>
            <w:color w:val="000000" w:themeColor="text1"/>
          </w:rPr>
          <w:t>(</w:t>
        </w:r>
        <w:r w:rsidRPr="003B3332">
          <w:rPr>
            <w:rStyle w:val="Hyperlink"/>
          </w:rPr>
          <w:t>Nevmerzhitsky împotriva Ucrainei</w:t>
        </w:r>
      </w:hyperlink>
      <w:r w:rsidRPr="003B3332">
        <w:t>, 2005, pct. 98);</w:t>
      </w:r>
    </w:p>
    <w:p w14:paraId="5C934796" w14:textId="6A7C700B" w:rsidR="00677D44" w:rsidRPr="003B3332" w:rsidRDefault="009A488D" w:rsidP="00591CAE">
      <w:pPr>
        <w:pStyle w:val="ECHRBullet1"/>
      </w:pPr>
      <w:r w:rsidRPr="003B3332">
        <w:t>reclamantului i s-au aplicat măsuri combinate și premeditate implicând încătușarea, acoperirea capului și a feței, dezbrăcarea forțată, administrarea cu forța a unui supozitor fără a fi necesar medical în timp ce era ținut la pământ, în cadrul unei „prestații extraordinare”, pentru a obține informații de la reclamant, a-l pedepsi sau a-l intimida [</w:t>
      </w:r>
      <w:hyperlink r:id="rId51" w:history="1">
        <w:r w:rsidRPr="003B3332">
          <w:rPr>
            <w:rStyle w:val="Hyperlink"/>
          </w:rPr>
          <w:t>El-Masri împotriva Fostei Republici Iugoslave a Macedoniei</w:t>
        </w:r>
      </w:hyperlink>
      <w:r w:rsidRPr="003B3332">
        <w:t xml:space="preserve"> (MC), 2012, pct. 205];</w:t>
      </w:r>
    </w:p>
    <w:p w14:paraId="7420A8E9" w14:textId="2307BB63" w:rsidR="0042135B" w:rsidRPr="003B3332" w:rsidRDefault="00D701C3" w:rsidP="00591CAE">
      <w:pPr>
        <w:pStyle w:val="ECHRBullet1"/>
      </w:pPr>
      <w:r w:rsidRPr="003B3332">
        <w:t>bătăi severe aplicate de ofițeri de poliție care au dus la decesul rudei reclamanților (</w:t>
      </w:r>
      <w:hyperlink r:id="rId52" w:history="1">
        <w:r w:rsidRPr="003B3332">
          <w:rPr>
            <w:rStyle w:val="Hyperlink"/>
          </w:rPr>
          <w:t>Satybalova și alții împotriva Rusiei</w:t>
        </w:r>
      </w:hyperlink>
      <w:r w:rsidRPr="003B3332">
        <w:t xml:space="preserve">, 2020, pct. 76; a se vedea și </w:t>
      </w:r>
      <w:hyperlink r:id="rId53" w:history="1">
        <w:r w:rsidRPr="003B3332">
          <w:rPr>
            <w:rStyle w:val="Hyperlink"/>
          </w:rPr>
          <w:t>Lutsenko și Verbytskyy împotriva Ucrainei</w:t>
        </w:r>
      </w:hyperlink>
      <w:r w:rsidRPr="003B3332">
        <w:t>, 2021, pct. 79-80, în care domnul Verbyskyy a fost bătut până la moarte de către agenți nestatali angajați de poliție în contextul protestelor Maidan);</w:t>
      </w:r>
    </w:p>
    <w:p w14:paraId="02694D02" w14:textId="7AAC8D0B" w:rsidR="00442F3C" w:rsidRPr="003B3332" w:rsidRDefault="00925509" w:rsidP="00442F3C">
      <w:pPr>
        <w:pStyle w:val="ECHRBullet1"/>
      </w:pPr>
      <w:r w:rsidRPr="003B3332">
        <w:t>reclamantul a fost supus la violențe fizice, inclusiv cu țevi din PVC, precum și la abuz psihologic, cum ar fi amenințarea cu violul și violența sexuală, în timp ce se afla în detenție de tip incommunicando la subsolul sediului poliției cecene pe motivul homosexualității sale (</w:t>
      </w:r>
      <w:hyperlink r:id="rId54" w:history="1">
        <w:r w:rsidRPr="003B3332">
          <w:rPr>
            <w:rStyle w:val="Hyperlink"/>
          </w:rPr>
          <w:t>Lapunov împotriva Rusiei</w:t>
        </w:r>
      </w:hyperlink>
      <w:r w:rsidRPr="003B3332">
        <w:t>, 2023, pct. 107-110).</w:t>
      </w:r>
    </w:p>
    <w:p w14:paraId="2C56C455" w14:textId="60BCFE75" w:rsidR="0089590E" w:rsidRPr="003B3332" w:rsidRDefault="004713AB" w:rsidP="00737B01">
      <w:pPr>
        <w:pStyle w:val="ECHRParaSpaced"/>
      </w:pPr>
      <w:r>
        <w:fldChar w:fldCharType="begin"/>
      </w:r>
      <w:r>
        <w:instrText xml:space="preserve"> SEQ level0 \*arabic \* MERGEFORMAT </w:instrText>
      </w:r>
      <w:r>
        <w:fldChar w:fldCharType="separate"/>
      </w:r>
      <w:r w:rsidR="000862FF">
        <w:rPr>
          <w:noProof/>
        </w:rPr>
        <w:t>14</w:t>
      </w:r>
      <w:r>
        <w:fldChar w:fldCharType="end"/>
      </w:r>
      <w:r w:rsidR="0089590E" w:rsidRPr="003B3332">
        <w:t>.  Curtea a statuat că, un anume tip de comportament, precum violarea unei persoane private de libertate de către un funcționar al statului trebuie să fie considerată o formă deosebit de gravă și de josnică de rele tratamente, dată fiind ușurința cu care agresorul poate exploata vulnerabilitatea și slăbiciunea victimei sale. În plus, violul lasă asupra victimelor cicatrici psihologice profunde care nu se vindecă la fel de repede în timp ca alte forme de violență psihică și fizică.  Victima simte, de asemenea, durerea fizică acută a penetrării cu forța, care o face să se simtă înjosită și violată atât fizic, cât și emoțional ((</w:t>
      </w:r>
      <w:hyperlink r:id="rId55" w:history="1">
        <w:r w:rsidR="0089590E" w:rsidRPr="003B3332">
          <w:rPr>
            <w:rStyle w:val="Hyperlink"/>
          </w:rPr>
          <w:t>Maslova și Nalbandov împotriva Rusiei</w:t>
        </w:r>
      </w:hyperlink>
      <w:r w:rsidR="0089590E" w:rsidRPr="003B3332">
        <w:t>, 2008, pct. 105).</w:t>
      </w:r>
    </w:p>
    <w:p w14:paraId="23FCF9BE" w14:textId="5C26926D" w:rsidR="002A32B0" w:rsidRPr="003B3332" w:rsidRDefault="004713AB" w:rsidP="00737B01">
      <w:pPr>
        <w:pStyle w:val="ECHRParaSpaced"/>
      </w:pPr>
      <w:r>
        <w:fldChar w:fldCharType="begin"/>
      </w:r>
      <w:r>
        <w:instrText xml:space="preserve"> SEQ level0 \*arabic \* MERGEFORMAT </w:instrText>
      </w:r>
      <w:r>
        <w:fldChar w:fldCharType="separate"/>
      </w:r>
      <w:r w:rsidR="000862FF">
        <w:rPr>
          <w:noProof/>
        </w:rPr>
        <w:t>15</w:t>
      </w:r>
      <w:r>
        <w:fldChar w:fldCharType="end"/>
      </w:r>
      <w:r w:rsidR="00FA7743" w:rsidRPr="003B3332">
        <w:t>.  Curtea nu a exclus că amenințarea cu tortura poate, de asemenea, echivala cu tortura, deoarece natura torturii include atât durerea fizică, cât și suferința psihică. În special, frica de tortura fizică în sine poate constitui, în anumite împrejurări, tortură psihică. Cu toate acestea, a subliniat că clasificarea dacă o amenințare sau tortura fizică anume au constituit tortură psihică sau tratamente inumane ori degradante depindea de circumstanțele unui anumite cauze, inclusiv, în special, gravitatea presiunii exercitate și intensitatea suferinței psihice cauzate [</w:t>
      </w:r>
      <w:hyperlink r:id="rId56" w:history="1">
        <w:r w:rsidR="00FA7743" w:rsidRPr="003B3332">
          <w:rPr>
            <w:rStyle w:val="Hyperlink"/>
          </w:rPr>
          <w:t>Gäfgen împotriva Germaniei</w:t>
        </w:r>
      </w:hyperlink>
      <w:r w:rsidR="00FA7743" w:rsidRPr="003B3332">
        <w:t xml:space="preserve"> (MC), 2010, pct. 108].</w:t>
      </w:r>
    </w:p>
    <w:p w14:paraId="08EB593A" w14:textId="7A49B183" w:rsidR="00DF1185" w:rsidRPr="003B3332" w:rsidRDefault="004713AB" w:rsidP="00DF1185">
      <w:pPr>
        <w:pStyle w:val="ECHRParaSpaced"/>
      </w:pPr>
      <w:r>
        <w:fldChar w:fldCharType="begin"/>
      </w:r>
      <w:r>
        <w:instrText xml:space="preserve"> SEQ level0 \*arabic \* MERGEFORMAT </w:instrText>
      </w:r>
      <w:r>
        <w:fldChar w:fldCharType="separate"/>
      </w:r>
      <w:r w:rsidR="000862FF">
        <w:rPr>
          <w:noProof/>
        </w:rPr>
        <w:t>16</w:t>
      </w:r>
      <w:r>
        <w:fldChar w:fldCharType="end"/>
      </w:r>
      <w:r w:rsidR="009F64AA" w:rsidRPr="003B3332">
        <w:t xml:space="preserve">.  În </w:t>
      </w:r>
      <w:hyperlink r:id="rId57" w:history="1">
        <w:r w:rsidR="009F64AA" w:rsidRPr="003B3332">
          <w:rPr>
            <w:rStyle w:val="Hyperlink"/>
          </w:rPr>
          <w:t>Tunikova și alții împotriva Rusiei</w:t>
        </w:r>
      </w:hyperlink>
      <w:r w:rsidR="009F64AA" w:rsidRPr="003B3332">
        <w:t xml:space="preserve">, 2021, reclamanții au cerut Curții </w:t>
      </w:r>
      <w:r w:rsidR="009F64AA" w:rsidRPr="003B3332">
        <w:rPr>
          <w:rStyle w:val="s68f5eaef"/>
        </w:rPr>
        <w:t xml:space="preserve">să decidă că </w:t>
      </w:r>
      <w:r w:rsidR="009F64AA" w:rsidRPr="003B3332">
        <w:t xml:space="preserve"> și relele tratamente săvârșite de actori nestatali </w:t>
      </w:r>
      <w:r w:rsidR="009F64AA" w:rsidRPr="003B3332">
        <w:rPr>
          <w:rStyle w:val="s68f5eaef"/>
        </w:rPr>
        <w:t xml:space="preserve">au constituit „tortură”. Deși Curtea a recunoscut că </w:t>
      </w:r>
      <w:bookmarkStart w:id="18" w:name="_Hlk71035638"/>
      <w:r w:rsidR="009F64AA" w:rsidRPr="003B3332">
        <w:rPr>
          <w:rStyle w:val="s68f5eaef"/>
        </w:rPr>
        <w:t xml:space="preserve">o asemenea caracterizare suplimentară ar fi importantă pentru reclamanți și ar fi de natură să influențeze percepția publică asupra violenței în familie, a considerat că nu era necesară în circumstanțele din acest caz, unde nu exista nicio îndoială că tratamentele aplicate reclamanților au atins pragul de gravitate necesar pentru a intra în sfera de aplicare a art. 3 din Convenție </w:t>
      </w:r>
      <w:bookmarkEnd w:id="18"/>
      <w:r w:rsidR="009F64AA" w:rsidRPr="003B3332">
        <w:rPr>
          <w:rStyle w:val="s68f5eaef"/>
        </w:rPr>
        <w:t>(pct. 77).</w:t>
      </w:r>
    </w:p>
    <w:p w14:paraId="64F15C10" w14:textId="4C7F5D44" w:rsidR="0040076C" w:rsidRPr="003B3332" w:rsidRDefault="00894496" w:rsidP="00737B01">
      <w:pPr>
        <w:pStyle w:val="ECHRHeading3"/>
      </w:pPr>
      <w:bookmarkStart w:id="19" w:name="_Toc180674893"/>
      <w:r w:rsidRPr="003B3332">
        <w:t>Tratamente sau pedepse degradante</w:t>
      </w:r>
      <w:bookmarkEnd w:id="19"/>
    </w:p>
    <w:p w14:paraId="4C459702" w14:textId="5BAC2B8F" w:rsidR="0001537C" w:rsidRPr="003B3332" w:rsidRDefault="004713AB" w:rsidP="00737B01">
      <w:pPr>
        <w:pStyle w:val="ECHRParaSpaced"/>
      </w:pPr>
      <w:r>
        <w:fldChar w:fldCharType="begin"/>
      </w:r>
      <w:r>
        <w:instrText xml:space="preserve"> SEQ level0 \*arabic \* MERGEFORMAT </w:instrText>
      </w:r>
      <w:r>
        <w:fldChar w:fldCharType="separate"/>
      </w:r>
      <w:r w:rsidR="000862FF">
        <w:rPr>
          <w:noProof/>
        </w:rPr>
        <w:t>17</w:t>
      </w:r>
      <w:r>
        <w:fldChar w:fldCharType="end"/>
      </w:r>
      <w:r w:rsidR="00737B01" w:rsidRPr="003B3332">
        <w:t>.  Diferențierea dintre tortură, tratamente sau pedepse inumane și tratamente sau pedepse degradante derivă în principal dintr-o diferență în intensitatea suferinței cauzate (</w:t>
      </w:r>
      <w:hyperlink r:id="rId58" w:history="1">
        <w:r w:rsidR="00737B01" w:rsidRPr="003B3332">
          <w:rPr>
            <w:rStyle w:val="Hyperlink"/>
          </w:rPr>
          <w:t>Irlanda împotriva Regatului Unit</w:t>
        </w:r>
      </w:hyperlink>
      <w:r w:rsidR="00737B01" w:rsidRPr="003B3332">
        <w:t xml:space="preserve">, 1978, pct. 167). Curtea a considerat ca fiind „inumane” acele tratamente sau pedepse fiindcă, </w:t>
      </w:r>
      <w:r w:rsidR="00737B01" w:rsidRPr="003B3332">
        <w:rPr>
          <w:i/>
          <w:iCs/>
        </w:rPr>
        <w:t>inter alia</w:t>
      </w:r>
      <w:r w:rsidR="00737B01" w:rsidRPr="003B3332">
        <w:t>, acestea au fost premeditate, au fost aplicate mai multe ore la rând și au cauzat fie leziuni corporale reale, fie suferințe fizice și psihice intense [</w:t>
      </w:r>
      <w:hyperlink r:id="rId59" w:history="1">
        <w:r w:rsidR="00737B01" w:rsidRPr="003B3332">
          <w:rPr>
            <w:rStyle w:val="Hyperlink"/>
          </w:rPr>
          <w:t>Labita împotriva Italiei</w:t>
        </w:r>
      </w:hyperlink>
      <w:r w:rsidR="00737B01" w:rsidRPr="003B3332">
        <w:t xml:space="preserve"> (MC), 2000, pct. 120 și </w:t>
      </w:r>
      <w:hyperlink r:id="rId60" w:history="1">
        <w:r w:rsidR="00737B01" w:rsidRPr="003B3332">
          <w:rPr>
            <w:rStyle w:val="Hyperlink"/>
          </w:rPr>
          <w:t>Kudła împotriva Poloniei</w:t>
        </w:r>
      </w:hyperlink>
      <w:r w:rsidR="00737B01" w:rsidRPr="003B3332">
        <w:t xml:space="preserve"> (MC), 2000, pct. 92].</w:t>
      </w:r>
    </w:p>
    <w:p w14:paraId="60211034" w14:textId="5F6A9F5A" w:rsidR="00A849A1" w:rsidRPr="003B3332" w:rsidRDefault="004713AB" w:rsidP="009F64AA">
      <w:pPr>
        <w:pStyle w:val="ECHRParaSpaced"/>
        <w:keepNext/>
      </w:pPr>
      <w:r>
        <w:fldChar w:fldCharType="begin"/>
      </w:r>
      <w:r>
        <w:instrText xml:space="preserve"> SEQ level0 \*arabic \* MERGEFORMAT </w:instrText>
      </w:r>
      <w:r>
        <w:fldChar w:fldCharType="separate"/>
      </w:r>
      <w:r w:rsidR="000862FF">
        <w:rPr>
          <w:noProof/>
        </w:rPr>
        <w:t>18</w:t>
      </w:r>
      <w:r>
        <w:fldChar w:fldCharType="end"/>
      </w:r>
      <w:r w:rsidR="00FA7743" w:rsidRPr="003B3332">
        <w:t>.  De exemplu, tratamentele sau pedepsele au fost reținute ca fiind „inumane” atunci când:</w:t>
      </w:r>
    </w:p>
    <w:p w14:paraId="1C26B284" w14:textId="679C1064" w:rsidR="00677D44" w:rsidRPr="003B3332" w:rsidRDefault="00A849A1" w:rsidP="0009573E">
      <w:pPr>
        <w:pStyle w:val="ECHRBullet1"/>
      </w:pPr>
      <w:r w:rsidRPr="003B3332">
        <w:t>reclamantul a fost amenințat cu tortura pe când era reținut [</w:t>
      </w:r>
      <w:hyperlink r:id="rId61" w:history="1">
        <w:r w:rsidRPr="003B3332">
          <w:rPr>
            <w:rStyle w:val="Hyperlink"/>
          </w:rPr>
          <w:t>Gäfgen împotriva Germaniei</w:t>
        </w:r>
      </w:hyperlink>
      <w:r w:rsidRPr="003B3332">
        <w:t xml:space="preserve"> (MC), 2010, pct. 91 și 101-108; a se vedea și </w:t>
      </w:r>
      <w:hyperlink r:id="rId62" w:history="1">
        <w:r w:rsidRPr="003B3332">
          <w:rPr>
            <w:rStyle w:val="Hyperlink"/>
          </w:rPr>
          <w:t>Al-Saadoon și Mufdhi împotriva Regatului Unit</w:t>
        </w:r>
      </w:hyperlink>
      <w:r w:rsidRPr="003B3332">
        <w:t xml:space="preserve">, 2010, pct. 137 și 144, în care reclamantul a fost supus la temerea de a fi executat de autorități străine și </w:t>
      </w:r>
      <w:hyperlink r:id="rId63" w:history="1">
        <w:r w:rsidRPr="003B3332">
          <w:rPr>
            <w:rStyle w:val="Hyperlink"/>
          </w:rPr>
          <w:t>Al Nashiri împotriva României</w:t>
        </w:r>
      </w:hyperlink>
      <w:r w:rsidRPr="003B3332">
        <w:t xml:space="preserve">, 2018, pct. 675, în care reclamantul, supus anterior unor rele tratamente, a fost expus unor condiții dure de detenție în izolare completă cu perspectiva de a fi supus torturii; a se vedea și </w:t>
      </w:r>
      <w:hyperlink r:id="rId64" w:history="1">
        <w:r w:rsidRPr="003B3332">
          <w:rPr>
            <w:rStyle w:val="Hyperlink"/>
          </w:rPr>
          <w:t>Al-Hawsawi împotriva Lituaniei</w:t>
        </w:r>
      </w:hyperlink>
      <w:r w:rsidRPr="003B3332">
        <w:t>, pct. 213-214, 2024];</w:t>
      </w:r>
    </w:p>
    <w:p w14:paraId="3BA24D5E" w14:textId="19017DA3" w:rsidR="00051CDF" w:rsidRPr="003B3332" w:rsidRDefault="00C1513B" w:rsidP="00737B01">
      <w:pPr>
        <w:pStyle w:val="ECHRBullet1"/>
      </w:pPr>
      <w:r w:rsidRPr="003B3332">
        <w:t>casele și proprietatea reclamanților au fost deliberat distruse de forțele de securitate, privându-i pe reclamanți de mijloacele de viață și obligându-i să-și părăsească satul (</w:t>
      </w:r>
      <w:hyperlink r:id="rId65" w:history="1">
        <w:r w:rsidRPr="003B3332">
          <w:rPr>
            <w:rStyle w:val="Hyperlink"/>
          </w:rPr>
          <w:t>Selçuk și Asker împotriva Turciei</w:t>
        </w:r>
      </w:hyperlink>
      <w:r w:rsidRPr="003B3332">
        <w:t xml:space="preserve">, 1998, pct. 77;  </w:t>
      </w:r>
      <w:hyperlink r:id="rId66" w:history="1">
        <w:r w:rsidRPr="003B3332">
          <w:rPr>
            <w:rStyle w:val="Hyperlink"/>
          </w:rPr>
          <w:t>Hasan İlhan împotriva Turciei</w:t>
        </w:r>
      </w:hyperlink>
      <w:r w:rsidRPr="003B3332">
        <w:t>, 2004, pct. 108);</w:t>
      </w:r>
    </w:p>
    <w:p w14:paraId="1F412CAA" w14:textId="7CA3B142" w:rsidR="00CD53D6" w:rsidRPr="003B3332" w:rsidRDefault="001B1860" w:rsidP="00737B01">
      <w:pPr>
        <w:pStyle w:val="ECHRBullet1"/>
      </w:pPr>
      <w:r w:rsidRPr="003B3332">
        <w:t>reclamantul a suferit de incertitudine și îngrijorare pe o perioadă prelungită și continuă din cauza dispariției rudei sale (</w:t>
      </w:r>
      <w:hyperlink r:id="rId67" w:history="1">
        <w:r w:rsidRPr="003B3332">
          <w:rPr>
            <w:rStyle w:val="Hyperlink"/>
          </w:rPr>
          <w:t>Orhan împotriva Turciei</w:t>
        </w:r>
      </w:hyperlink>
      <w:r w:rsidRPr="003B3332">
        <w:t xml:space="preserve">, 2002, pct. 360; a se vedea și </w:t>
      </w:r>
      <w:hyperlink r:id="rId68" w:history="1">
        <w:r w:rsidRPr="003B3332">
          <w:rPr>
            <w:rStyle w:val="Hyperlink"/>
          </w:rPr>
          <w:t>Musayev și alții împotriva Rusiei</w:t>
        </w:r>
      </w:hyperlink>
      <w:r w:rsidRPr="003B3332">
        <w:t>, 2007, pct. 169, în care reclamantul a fost martor la execuția extrajudiciară a mai multora dintre rudele și vecinii săi, precum și la răspunsul neadecvat și lipsit de eficiență al autorităților în urma evenimentelor);</w:t>
      </w:r>
    </w:p>
    <w:p w14:paraId="2C1ACD88" w14:textId="2ED424E4" w:rsidR="00D57B34" w:rsidRPr="003B3332" w:rsidRDefault="00CD53D6" w:rsidP="00737B01">
      <w:pPr>
        <w:pStyle w:val="ECHRBullet1"/>
      </w:pPr>
      <w:r w:rsidRPr="003B3332">
        <w:t>Reclamantul, un recrut care suferea de probleme de sănătate, a fost supus unui nivel excesiv de exerciții fizice impuse ca pedeapsă (</w:t>
      </w:r>
      <w:hyperlink r:id="rId69" w:history="1">
        <w:r w:rsidRPr="003B3332">
          <w:rPr>
            <w:rStyle w:val="Hyperlink"/>
          </w:rPr>
          <w:t>Chember împotriva Rusiei</w:t>
        </w:r>
      </w:hyperlink>
      <w:r w:rsidRPr="003B3332">
        <w:t>, 2008, pct. 57).</w:t>
      </w:r>
    </w:p>
    <w:p w14:paraId="0A4E2A48" w14:textId="1B9818AB" w:rsidR="004B5027" w:rsidRPr="003B3332" w:rsidRDefault="004B5027" w:rsidP="00737B01">
      <w:pPr>
        <w:pStyle w:val="ECHRBullet1"/>
      </w:pPr>
      <w:r w:rsidRPr="003B3332">
        <w:t>Reclamantul își executa pedeapsa detențiunii pe viață de mult timp în condiții precare și într-un regim foarte restrictiv [</w:t>
      </w:r>
      <w:hyperlink r:id="rId70" w:history="1">
        <w:r w:rsidRPr="003B3332">
          <w:rPr>
            <w:rStyle w:val="Hyperlink"/>
          </w:rPr>
          <w:t>Simeonovi împotriva Bulgariei</w:t>
        </w:r>
      </w:hyperlink>
      <w:r w:rsidRPr="003B3332">
        <w:t xml:space="preserve"> (MC), 2017, pct. 90].</w:t>
      </w:r>
    </w:p>
    <w:p w14:paraId="4F3F222B" w14:textId="5CA1858C" w:rsidR="00AA1F1D" w:rsidRPr="003B3332" w:rsidRDefault="00894496" w:rsidP="007E1EBB">
      <w:pPr>
        <w:pStyle w:val="ECHRHeading3"/>
      </w:pPr>
      <w:bookmarkStart w:id="20" w:name="_Toc180674894"/>
      <w:r w:rsidRPr="003B3332">
        <w:t>Tratamente sau pedepse degradante</w:t>
      </w:r>
      <w:bookmarkEnd w:id="20"/>
    </w:p>
    <w:p w14:paraId="776E26C5" w14:textId="3F2D295C" w:rsidR="006F48E9" w:rsidRPr="003B3332" w:rsidRDefault="004713AB" w:rsidP="007E1EBB">
      <w:pPr>
        <w:pStyle w:val="ECHRParaSpaced"/>
      </w:pPr>
      <w:r>
        <w:fldChar w:fldCharType="begin"/>
      </w:r>
      <w:r>
        <w:instrText xml:space="preserve"> SEQ level0 \*arabic \* MERGEFORMAT </w:instrText>
      </w:r>
      <w:r>
        <w:fldChar w:fldCharType="separate"/>
      </w:r>
      <w:r w:rsidR="000862FF">
        <w:rPr>
          <w:noProof/>
        </w:rPr>
        <w:t>19</w:t>
      </w:r>
      <w:r>
        <w:fldChar w:fldCharType="end"/>
      </w:r>
      <w:r w:rsidR="006F48E9" w:rsidRPr="003B3332">
        <w:t>.  Tratamentul este considerat a fi „degradant” atunci când umilește sau înjosește o persoană, denotând lipsă de respect pentru aceasta sau diminuându-i demnitatea umană, sau atunci când îi trezește sentimente de frică, angoasă sau inferioritate capabile de a-i învinge rezistența morală și fizică. Poate fi suficient ca victima să se considere umilită din punctul său de vedere, chiar dacă nu din punctul de vedere al altora. Mai mult, deși chestiunea dacă scopul tratamentelor a fost de a umili sau de a înjosi victima este un factor de luat în seamă, absența unui astfel de scop nu poate exclude categoric constatarea încălcării art. 3 [</w:t>
      </w:r>
      <w:hyperlink r:id="rId71" w:history="1">
        <w:r w:rsidR="006F48E9" w:rsidRPr="003B3332">
          <w:rPr>
            <w:rStyle w:val="Hyperlink"/>
          </w:rPr>
          <w:t>Gäfgen împotriva Germaniei</w:t>
        </w:r>
      </w:hyperlink>
      <w:r w:rsidR="006F48E9" w:rsidRPr="003B3332">
        <w:t xml:space="preserve"> (MC), 2010, pct. 89; </w:t>
      </w:r>
      <w:hyperlink r:id="rId72" w:history="1">
        <w:r w:rsidR="006F48E9" w:rsidRPr="003B3332">
          <w:rPr>
            <w:rStyle w:val="Hyperlink"/>
          </w:rPr>
          <w:t xml:space="preserve">Ilaşcu și alții împotriva Moldovei și Rusiei </w:t>
        </w:r>
      </w:hyperlink>
      <w:r w:rsidR="006F48E9" w:rsidRPr="003B3332">
        <w:t xml:space="preserve"> (MC), 2004, pct. 425; </w:t>
      </w:r>
      <w:hyperlink r:id="rId73" w:history="1">
        <w:r w:rsidR="006F48E9" w:rsidRPr="003B3332">
          <w:rPr>
            <w:rStyle w:val="Hyperlink"/>
          </w:rPr>
          <w:t>M.S.S. împotriva Belgiei și Greciei</w:t>
        </w:r>
      </w:hyperlink>
      <w:r w:rsidR="006F48E9" w:rsidRPr="003B3332">
        <w:t xml:space="preserve"> (MC), 2011, pct. 220].</w:t>
      </w:r>
    </w:p>
    <w:p w14:paraId="7E84AEEC" w14:textId="7AF270D0" w:rsidR="003D74DF" w:rsidRPr="003B3332" w:rsidRDefault="004713AB" w:rsidP="007E1EBB">
      <w:pPr>
        <w:pStyle w:val="ECHRParaSpaced"/>
        <w:rPr>
          <w:rFonts w:eastAsia="Times New Roman" w:cs="Times New Roman"/>
        </w:rPr>
      </w:pPr>
      <w:r>
        <w:fldChar w:fldCharType="begin"/>
      </w:r>
      <w:r>
        <w:instrText xml:space="preserve"> SEQ level0 \*arabic \* MERGEFORMAT </w:instrText>
      </w:r>
      <w:r>
        <w:fldChar w:fldCharType="separate"/>
      </w:r>
      <w:r w:rsidR="000862FF">
        <w:rPr>
          <w:noProof/>
        </w:rPr>
        <w:t>20</w:t>
      </w:r>
      <w:r>
        <w:fldChar w:fldCharType="end"/>
      </w:r>
      <w:r w:rsidR="00FA7743" w:rsidRPr="003B3332">
        <w:t>.  Pentru ca o pedeapsă să fie „degradantă” și să încalce art. 3, umilirea și înjosirea implicate trebuie să atingă un anumit nivel. Evaluarea este, inevitabil, relativă: aceasta depinde de toate circumstanțele cauzei și, în special, de natura și contextul pedepsei în sine și de modul și metoda de aplicare a acesteia (</w:t>
      </w:r>
      <w:hyperlink r:id="rId74" w:history="1">
        <w:r w:rsidR="00FA7743" w:rsidRPr="003B3332">
          <w:rPr>
            <w:rStyle w:val="Hyperlink"/>
          </w:rPr>
          <w:t>Tyrer împotriva Regatului Unit</w:t>
        </w:r>
      </w:hyperlink>
      <w:r w:rsidR="00FA7743" w:rsidRPr="003B3332">
        <w:t>, 1978, pct. 30). Pedeapsa nu își pierde caracterul degradant numai deoarece se consideră că este, sau este într-adevăr, o descurajare sau un ajutor eficiente în controlul criminalității și nu este niciodată permis să se recurgă la pedepse care sunt contrare art. 3, oricare ar fi efectul lor descurajator (</w:t>
      </w:r>
      <w:hyperlink r:id="rId75" w:history="1">
        <w:r w:rsidR="00FA7743" w:rsidRPr="003B3332">
          <w:rPr>
            <w:rStyle w:val="Hyperlink"/>
          </w:rPr>
          <w:t>Tyrer împotriva Regatului Unit</w:t>
        </w:r>
      </w:hyperlink>
      <w:r w:rsidR="00FA7743" w:rsidRPr="003B3332">
        <w:t>, 1978, pct. 31).</w:t>
      </w:r>
    </w:p>
    <w:p w14:paraId="440EA9E2" w14:textId="2DF457E3" w:rsidR="00AA1F1D" w:rsidRPr="003B3332" w:rsidRDefault="004713AB" w:rsidP="007E1EBB">
      <w:pPr>
        <w:pStyle w:val="ECHRParaSpaced"/>
      </w:pPr>
      <w:r>
        <w:fldChar w:fldCharType="begin"/>
      </w:r>
      <w:r>
        <w:instrText xml:space="preserve"> SEQ level0 \*arabic \* MERGEFORMAT </w:instrText>
      </w:r>
      <w:r>
        <w:fldChar w:fldCharType="separate"/>
      </w:r>
      <w:r w:rsidR="000862FF">
        <w:rPr>
          <w:noProof/>
        </w:rPr>
        <w:t>21</w:t>
      </w:r>
      <w:r>
        <w:fldChar w:fldCharType="end"/>
      </w:r>
      <w:r w:rsidR="00FA7743" w:rsidRPr="003B3332">
        <w:t>.  În această privință, Curtea a subliniat că există o legătură puternică între conceptele de tratamente sau pedepsire „degradante” în sensul art. 3 din Convenție și respectarea „demnității” [</w:t>
      </w:r>
      <w:hyperlink r:id="rId76" w:history="1">
        <w:r w:rsidR="00FA7743" w:rsidRPr="003B3332">
          <w:rPr>
            <w:rStyle w:val="Hyperlink"/>
          </w:rPr>
          <w:t>Bouyid împotriva Belgiei</w:t>
        </w:r>
      </w:hyperlink>
      <w:r w:rsidR="00FA7743" w:rsidRPr="003B3332">
        <w:t xml:space="preserve"> (MC), 2015, pct. 90].</w:t>
      </w:r>
    </w:p>
    <w:p w14:paraId="4519AF27" w14:textId="31707500" w:rsidR="00A74CBD" w:rsidRPr="003B3332" w:rsidRDefault="004713AB" w:rsidP="007E1EBB">
      <w:pPr>
        <w:pStyle w:val="ECHRParaSpaced"/>
      </w:pPr>
      <w:r>
        <w:fldChar w:fldCharType="begin"/>
      </w:r>
      <w:r>
        <w:instrText xml:space="preserve"> SEQ level0 \*arabic \* MERGEFORMAT </w:instrText>
      </w:r>
      <w:r>
        <w:fldChar w:fldCharType="separate"/>
      </w:r>
      <w:r w:rsidR="000862FF">
        <w:rPr>
          <w:noProof/>
        </w:rPr>
        <w:t>22</w:t>
      </w:r>
      <w:r>
        <w:fldChar w:fldCharType="end"/>
      </w:r>
      <w:r w:rsidR="00FA7743" w:rsidRPr="003B3332">
        <w:t>.  De exemplu, tratamentele sau pedepsele au fost reținute ca fiind „degradante” atunci când:</w:t>
      </w:r>
    </w:p>
    <w:p w14:paraId="7A6C1129" w14:textId="737F5E0E" w:rsidR="00E801D3" w:rsidRPr="003B3332" w:rsidRDefault="00A93CAB" w:rsidP="007E1EBB">
      <w:pPr>
        <w:pStyle w:val="ECHRBullet1"/>
      </w:pPr>
      <w:r w:rsidRPr="003B3332">
        <w:t>o persoană încadrată în gradul de handicap grav a fost privată de libertate în condiții necorespunzătoare în care aceasta a suferit în mod periculos de frig, a riscat să dezvolte leziuni deoarece patul era prea dur sau inaccesibil și nu a putut să folosească toaleta ori să-și mențină igiena fără dificultăți de cel mai înalt nivel (</w:t>
      </w:r>
      <w:hyperlink r:id="rId77" w:history="1">
        <w:r w:rsidRPr="003B3332">
          <w:rPr>
            <w:rStyle w:val="Hyperlink"/>
          </w:rPr>
          <w:t>Price împotriva Regatului Unit</w:t>
        </w:r>
      </w:hyperlink>
      <w:r w:rsidRPr="003B3332">
        <w:t xml:space="preserve">, 2001, pct. 30; a se vedea și </w:t>
      </w:r>
      <w:hyperlink r:id="rId78" w:history="1">
        <w:r w:rsidRPr="003B3332">
          <w:rPr>
            <w:rStyle w:val="Hyperlink"/>
          </w:rPr>
          <w:t>Vincent împotriva Franței</w:t>
        </w:r>
      </w:hyperlink>
      <w:r w:rsidRPr="003B3332">
        <w:t>, 2006, pct. 101-103, în care reclamantul, paraplegic, nu putea ieși din celulă și nici să se deplaseze în mod independent în penitenciar);</w:t>
      </w:r>
    </w:p>
    <w:p w14:paraId="218F9E36" w14:textId="05607AD7" w:rsidR="00D656F0" w:rsidRPr="003B3332" w:rsidRDefault="008713DF" w:rsidP="007E1EBB">
      <w:pPr>
        <w:pStyle w:val="ECHRBullet1"/>
      </w:pPr>
      <w:r w:rsidRPr="003B3332">
        <w:t>reclamantului i-a fost ras părul cu forța de către administrația penitenciarului, fără nicio justificare sau un temei legal (</w:t>
      </w:r>
      <w:bookmarkStart w:id="21" w:name="_Hlk73371327"/>
      <w:r w:rsidR="0002754C" w:rsidRPr="003B3332">
        <w:fldChar w:fldCharType="begin"/>
      </w:r>
      <w:r w:rsidR="0002754C" w:rsidRPr="003B3332">
        <w:instrText xml:space="preserve"> HYPERLINK "http://hudoc.echr.coe.int/eng?i=001-61539" </w:instrText>
      </w:r>
      <w:r w:rsidR="0002754C" w:rsidRPr="003B3332">
        <w:fldChar w:fldCharType="separate"/>
      </w:r>
      <w:r w:rsidRPr="003B3332">
        <w:rPr>
          <w:rStyle w:val="Hyperlink"/>
        </w:rPr>
        <w:t>Yankov împotriva Bulgariei</w:t>
      </w:r>
      <w:r w:rsidR="0002754C" w:rsidRPr="003B3332">
        <w:rPr>
          <w:rStyle w:val="Hyperlink"/>
          <w:i w:val="0"/>
        </w:rPr>
        <w:fldChar w:fldCharType="end"/>
      </w:r>
      <w:r w:rsidRPr="003B3332">
        <w:t>, 2003, pct. 120-121</w:t>
      </w:r>
      <w:bookmarkEnd w:id="21"/>
      <w:r w:rsidRPr="003B3332">
        <w:t xml:space="preserve">; a se vedea și </w:t>
      </w:r>
      <w:hyperlink r:id="rId79" w:history="1">
        <w:r w:rsidRPr="003B3332">
          <w:rPr>
            <w:rStyle w:val="Hyperlink"/>
          </w:rPr>
          <w:t>Slyusarev împotriva Rusiei</w:t>
        </w:r>
      </w:hyperlink>
      <w:r w:rsidRPr="003B3332">
        <w:t>, 2010, pct. 44, în care reclamantului i-au fost confiscați ochelarii după arestarea sa pentru cinci luni, fără justificare sau temei legal);</w:t>
      </w:r>
    </w:p>
    <w:p w14:paraId="45C91B76" w14:textId="61553A95" w:rsidR="00855B4E" w:rsidRPr="003B3332" w:rsidRDefault="00D656F0" w:rsidP="007E1EBB">
      <w:pPr>
        <w:pStyle w:val="ECHRBullet1"/>
      </w:pPr>
      <w:r w:rsidRPr="003B3332">
        <w:t>un minor străin neînsoțit a trebuit să trăiască în condiții precare într-o zonă sărăcăcioasă („shantytown”) din cauză că autoritățile nu au executat hotărârea judecătorească privind plasamentul (</w:t>
      </w:r>
      <w:hyperlink r:id="rId80" w:history="1">
        <w:r w:rsidRPr="003B3332">
          <w:rPr>
            <w:rStyle w:val="Hyperlink"/>
          </w:rPr>
          <w:t>Khan împotriva Franței</w:t>
        </w:r>
      </w:hyperlink>
      <w:r w:rsidRPr="003B3332">
        <w:t>, 2019, pct. 94-95);</w:t>
      </w:r>
    </w:p>
    <w:p w14:paraId="24A2662D" w14:textId="1DB553FA" w:rsidR="001A3D54" w:rsidRPr="003B3332" w:rsidRDefault="00BF595E" w:rsidP="007E1EBB">
      <w:pPr>
        <w:pStyle w:val="ECHRBullet1"/>
      </w:pPr>
      <w:r w:rsidRPr="003B3332">
        <w:t>uzul de forță asupra reclamanților în timpul percheziției domiciliare nu era strict necesar (</w:t>
      </w:r>
      <w:hyperlink r:id="rId81" w:history="1">
        <w:r w:rsidRPr="003B3332">
          <w:rPr>
            <w:rStyle w:val="Hyperlink"/>
          </w:rPr>
          <w:t>Ilievi și Ganchevi împotriva Bulgariei</w:t>
        </w:r>
      </w:hyperlink>
      <w:r w:rsidRPr="003B3332">
        <w:rPr>
          <w:rStyle w:val="Hyperlink"/>
          <w:color w:val="000000" w:themeColor="text1"/>
        </w:rPr>
        <w:t xml:space="preserve">, </w:t>
      </w:r>
      <w:r w:rsidRPr="003B3332">
        <w:t>, 2021, pct. 56-57);</w:t>
      </w:r>
    </w:p>
    <w:p w14:paraId="2E575B5B" w14:textId="50635C3C" w:rsidR="0051009F" w:rsidRPr="003B3332" w:rsidRDefault="00A863BF" w:rsidP="007E1EBB">
      <w:pPr>
        <w:pStyle w:val="ECHRBullet1"/>
        <w:rPr>
          <w:rFonts w:eastAsia="Times New Roman"/>
        </w:rPr>
      </w:pPr>
      <w:r w:rsidRPr="003B3332">
        <w:t>reclamantului i-a fost aplicată pedeapsa corporală judiciară (</w:t>
      </w:r>
      <w:bookmarkStart w:id="22" w:name="_Hlk93664214"/>
      <w:r w:rsidR="006852A1" w:rsidRPr="003B3332">
        <w:fldChar w:fldCharType="begin"/>
      </w:r>
      <w:r w:rsidR="006852A1" w:rsidRPr="003B3332">
        <w:instrText xml:space="preserve"> HYPERLINK "http://hudoc.echr.coe.int/eng?i=001-57587" </w:instrText>
      </w:r>
      <w:r w:rsidR="006852A1" w:rsidRPr="003B3332">
        <w:fldChar w:fldCharType="separate"/>
      </w:r>
      <w:r w:rsidRPr="003B3332">
        <w:rPr>
          <w:rStyle w:val="Hyperlink"/>
        </w:rPr>
        <w:t>Tyrer împotriva Regatului Unit</w:t>
      </w:r>
      <w:r w:rsidR="006852A1" w:rsidRPr="003B3332">
        <w:rPr>
          <w:rStyle w:val="Hyperlink"/>
          <w:rFonts w:eastAsia="Times New Roman" w:cs="Times New Roman"/>
          <w:i w:val="0"/>
        </w:rPr>
        <w:fldChar w:fldCharType="end"/>
      </w:r>
      <w:bookmarkEnd w:id="22"/>
      <w:r w:rsidRPr="003B3332">
        <w:t>, 1978, pct. 35).</w:t>
      </w:r>
    </w:p>
    <w:p w14:paraId="356B4038" w14:textId="0ED64F67" w:rsidR="00C6427C" w:rsidRPr="003B3332" w:rsidRDefault="0010471A" w:rsidP="007E1EBB">
      <w:pPr>
        <w:pStyle w:val="ECHRBullet1"/>
        <w:rPr>
          <w:rFonts w:eastAsia="Times New Roman"/>
        </w:rPr>
      </w:pPr>
      <w:r w:rsidRPr="003B3332">
        <w:t>autoritățile nu au luat măsurile adecvate pentru a-i asigura unui copil de 12 ani care a asistat la arestarea părinților săi, supravegherea de către un adult, și care a fost informat despre situație în timp ce părinții săi erau reținuți (</w:t>
      </w:r>
      <w:hyperlink r:id="rId82" w:history="1">
        <w:r w:rsidRPr="003B3332">
          <w:rPr>
            <w:rStyle w:val="Hyperlink"/>
          </w:rPr>
          <w:t>Ioan Pop și alții împotriva României</w:t>
        </w:r>
      </w:hyperlink>
      <w:r w:rsidRPr="003B3332">
        <w:t>, 2016, pct. 65).</w:t>
      </w:r>
    </w:p>
    <w:p w14:paraId="7307C331" w14:textId="4EB0E195" w:rsidR="004377E3" w:rsidRPr="003B3332" w:rsidRDefault="00005937" w:rsidP="007E1EBB">
      <w:pPr>
        <w:pStyle w:val="ECHRBullet1"/>
        <w:rPr>
          <w:rFonts w:eastAsia="Times New Roman"/>
        </w:rPr>
      </w:pPr>
      <w:r w:rsidRPr="003B3332">
        <w:t>reclamantul a fost în detenție pentru un timp îndelungat într-un mediu extrem de supraaglomerat și insalubru în penitenciar (</w:t>
      </w:r>
      <w:hyperlink r:id="rId83" w:history="1">
        <w:r w:rsidRPr="003B3332">
          <w:rPr>
            <w:rStyle w:val="Hyperlink"/>
          </w:rPr>
          <w:t>Kalashnikov împotriva Rusiei</w:t>
        </w:r>
      </w:hyperlink>
      <w:r w:rsidRPr="003B3332">
        <w:t>, 2002, pct. 102);</w:t>
      </w:r>
    </w:p>
    <w:p w14:paraId="009F33EE" w14:textId="6E5A159E" w:rsidR="002B5C4A" w:rsidRPr="003B3332" w:rsidRDefault="00DF4E9A" w:rsidP="007E1EBB">
      <w:pPr>
        <w:pStyle w:val="ECHRBullet1"/>
        <w:rPr>
          <w:rFonts w:eastAsia="Times New Roman"/>
        </w:rPr>
      </w:pPr>
      <w:r w:rsidRPr="003B3332">
        <w:t>reclamantul a fost supus la o percheziție corporală în mod necorespunzător, cu adresarea de remarci umilitoare (</w:t>
      </w:r>
      <w:hyperlink r:id="rId84" w:history="1">
        <w:r w:rsidRPr="003B3332">
          <w:rPr>
            <w:rStyle w:val="Hyperlink"/>
          </w:rPr>
          <w:t>Iwańczuk împotriva Poloniei</w:t>
        </w:r>
      </w:hyperlink>
      <w:r w:rsidRPr="003B3332">
        <w:t xml:space="preserve">, 2001, pct. 59; a se vedea și </w:t>
      </w:r>
      <w:hyperlink r:id="rId85" w:history="1">
        <w:r w:rsidRPr="003B3332">
          <w:rPr>
            <w:rStyle w:val="Hyperlink"/>
          </w:rPr>
          <w:t>Valašinas împotriva Lituaniei</w:t>
        </w:r>
      </w:hyperlink>
      <w:r w:rsidRPr="003B3332">
        <w:rPr>
          <w:rStyle w:val="Hyperlink"/>
          <w:color w:val="000000" w:themeColor="text1"/>
        </w:rPr>
        <w:t>,</w:t>
      </w:r>
      <w:r w:rsidRPr="003B3332">
        <w:rPr>
          <w:rStyle w:val="Hyperlink"/>
        </w:rPr>
        <w:t xml:space="preserve"> </w:t>
      </w:r>
      <w:r w:rsidRPr="003B3332">
        <w:t>, 2001, pct. 117, în care reclamantul a fost dezbrăcat complet în fața unui polițist de penitenciar de sex feminin, iar agenții de penitenciar îi examinau organele sexuale, precum și mâncarea primită, fără mănuși);</w:t>
      </w:r>
    </w:p>
    <w:p w14:paraId="2B4DE74A" w14:textId="2766352D" w:rsidR="00CC5BF8" w:rsidRPr="003B3332" w:rsidRDefault="00CC5BF8" w:rsidP="007E1EBB">
      <w:pPr>
        <w:pStyle w:val="ECHRBullet1"/>
        <w:rPr>
          <w:rFonts w:eastAsia="Times New Roman"/>
        </w:rPr>
      </w:pPr>
      <w:r w:rsidRPr="003B3332">
        <w:t>luarea în custodie publică a unui solicitant de azil timp de trei luni la secția de poliție în așteptarea aplicării unei măsuri administrative, fără a i se asigura accesul la activități recreative și fără hrană adecvată [</w:t>
      </w:r>
      <w:hyperlink r:id="rId86" w:history="1">
        <w:r w:rsidRPr="003B3332">
          <w:rPr>
            <w:rStyle w:val="Hyperlink"/>
          </w:rPr>
          <w:t>Tabesh împotriva Greciei</w:t>
        </w:r>
      </w:hyperlink>
      <w:r w:rsidRPr="003B3332">
        <w:t xml:space="preserve">, 2009, pct. 38-44, a se vedea și </w:t>
      </w:r>
      <w:hyperlink r:id="rId87" w:history="1">
        <w:r w:rsidRPr="003B3332">
          <w:rPr>
            <w:rStyle w:val="Hyperlink"/>
          </w:rPr>
          <w:t>Z.A. și alții împotriva Rusiei</w:t>
        </w:r>
      </w:hyperlink>
      <w:r w:rsidRPr="003B3332">
        <w:t xml:space="preserve"> (MC), 2019, pct. 195, în care, în așteptarea soluționării cererii de azil, reclamanții au fost încarcerați în condiții improprii, nepotrivite pentru o ședere de durată într-o zonă de tranzit pe aeroport, precum și </w:t>
      </w:r>
      <w:hyperlink r:id="rId88" w:history="1">
        <w:r w:rsidRPr="003B3332">
          <w:rPr>
            <w:rStyle w:val="Hyperlink"/>
          </w:rPr>
          <w:t>N.H. și alții împotriva Franței</w:t>
        </w:r>
      </w:hyperlink>
      <w:r w:rsidRPr="003B3332">
        <w:t>, 2020, pct. 184, în care solicitanții de azil erau nevoiași și au trăit cu greu timp de mai multe luni din cauza întârzierilor administrative care îi împiedicau să primească ajutorul prevăzut de lege];</w:t>
      </w:r>
    </w:p>
    <w:p w14:paraId="432870ED" w14:textId="476DEBC4" w:rsidR="00677D44" w:rsidRPr="003B3332" w:rsidRDefault="00103E59" w:rsidP="00D05EBA">
      <w:pPr>
        <w:pStyle w:val="ECHRBullet1"/>
        <w:rPr>
          <w:rFonts w:eastAsia="Times New Roman"/>
        </w:rPr>
      </w:pPr>
      <w:r w:rsidRPr="003B3332">
        <w:t>douăzeci și șapte de activiști LGBTI au fost supuși la abuzuri verbale feroce și la atacuri fizice aleatorii din partea unei mulțimi de contrademonstranți, iar protecția promisă a poliției nu a fost asigurată la timp sau în mod adecvat (</w:t>
      </w:r>
      <w:hyperlink r:id="rId89" w:history="1">
        <w:r w:rsidRPr="003B3332">
          <w:rPr>
            <w:rStyle w:val="Hyperlink"/>
          </w:rPr>
          <w:t>Women’s Initiatives Supporting Group și alții împotriva Georgiei</w:t>
        </w:r>
      </w:hyperlink>
      <w:r w:rsidRPr="003B3332">
        <w:t xml:space="preserve">, 2021 pct. 60; a se vedea și </w:t>
      </w:r>
      <w:hyperlink r:id="rId90" w:history="1">
        <w:r w:rsidRPr="003B3332">
          <w:rPr>
            <w:i/>
            <w:color w:val="0072BC" w:themeColor="hyperlink"/>
          </w:rPr>
          <w:t>Oganezova împotriva Armeniei</w:t>
        </w:r>
      </w:hyperlink>
      <w:r w:rsidRPr="003B3332">
        <w:t>, 2022, pct. 97, în care, după un interviu televizat, reclamanta – o bine-cunoscută membră a comunității LGBTI – a fost ținta unei campanii susținute și agresiv homofobe, incluzând un atac incendiar asupra clubului ei, precum și amenințări cu moartea și faptul că a fost supusă la atacuri fizice de grup și la discursuri de incitare la ură);</w:t>
      </w:r>
    </w:p>
    <w:p w14:paraId="1EADA8F3" w14:textId="7B76DD05" w:rsidR="0090127C" w:rsidRPr="003B3332" w:rsidRDefault="0090127C" w:rsidP="007E1EBB">
      <w:pPr>
        <w:pStyle w:val="ECHRBullet1"/>
        <w:rPr>
          <w:rStyle w:val="sfbbfee58"/>
          <w:rFonts w:eastAsia="Times New Roman"/>
        </w:rPr>
      </w:pPr>
      <w:r w:rsidRPr="003B3332">
        <w:rPr>
          <w:rStyle w:val="sfbbfee58"/>
        </w:rPr>
        <w:t>ca urmare a amânării de către cadrele medicale a accesului la teste genetice, reclamanta, însărcinată fiind, a trebuit să suporte 6 săptămâni de incertitudine dureroasă privind sănătatea fătului său, iar când a obținut în cele din urmă rezultatele testelor, era deja prea târziu pentru ea să ia o decizie în cunoștință de cauză cu privire la continuarea sarcinii sau realizarea unui avort legal (</w:t>
      </w:r>
      <w:bookmarkStart w:id="23" w:name="_Hlk93665051"/>
      <w:r w:rsidR="00C91CA5" w:rsidRPr="003B3332">
        <w:fldChar w:fldCharType="begin"/>
      </w:r>
      <w:r w:rsidR="00C91CA5" w:rsidRPr="003B3332">
        <w:instrText xml:space="preserve"> HYPERLINK "https://hudoc.echr.coe.int/eng?i=001-104911" </w:instrText>
      </w:r>
      <w:r w:rsidR="00C91CA5" w:rsidRPr="003B3332">
        <w:fldChar w:fldCharType="separate"/>
      </w:r>
      <w:r w:rsidRPr="003B3332">
        <w:rPr>
          <w:rStyle w:val="Hyperlink"/>
        </w:rPr>
        <w:t>R.R. împotriva Poloniei</w:t>
      </w:r>
      <w:r w:rsidR="00C91CA5" w:rsidRPr="003B3332">
        <w:rPr>
          <w:rStyle w:val="Hyperlink"/>
          <w:i w:val="0"/>
        </w:rPr>
        <w:fldChar w:fldCharType="end"/>
      </w:r>
      <w:bookmarkEnd w:id="23"/>
      <w:r w:rsidRPr="003B3332">
        <w:rPr>
          <w:rStyle w:val="sfbbfee58"/>
        </w:rPr>
        <w:t>, 2011, pct. 159).</w:t>
      </w:r>
    </w:p>
    <w:p w14:paraId="2965888E" w14:textId="50795AB7" w:rsidR="007B15F1" w:rsidRPr="003B3332" w:rsidRDefault="0006482D" w:rsidP="0006482D">
      <w:pPr>
        <w:pStyle w:val="ECHRBullet1"/>
        <w:rPr>
          <w:rFonts w:eastAsia="Times New Roman"/>
        </w:rPr>
      </w:pPr>
      <w:r w:rsidRPr="003B3332">
        <w:t>reclamantul era încătușat pe durata unei călătorii cu autobuzul timp de aproximativ 20 de ore în contextul deportării forțate (</w:t>
      </w:r>
      <w:hyperlink r:id="rId91" w:history="1">
        <w:r w:rsidRPr="003B3332">
          <w:rPr>
            <w:i/>
            <w:color w:val="0072BC" w:themeColor="hyperlink"/>
          </w:rPr>
          <w:t>Akkad împotriva Turciei</w:t>
        </w:r>
      </w:hyperlink>
      <w:r w:rsidRPr="003B3332">
        <w:t>, 2022, pct. 115).</w:t>
      </w:r>
    </w:p>
    <w:p w14:paraId="483B920D" w14:textId="63368CA9" w:rsidR="00B0094F" w:rsidRPr="003B3332" w:rsidRDefault="008867C4" w:rsidP="0006482D">
      <w:pPr>
        <w:pStyle w:val="ECHRBullet1"/>
        <w:rPr>
          <w:rFonts w:eastAsia="Times New Roman"/>
        </w:rPr>
      </w:pPr>
      <w:r w:rsidRPr="003B3332">
        <w:t>deținuții erau segregați, umiliți și asupra lor se comiteau abuzuri de către alți deținuți din cauza statutului inferior („marginalizați”) într-o ierarhie neoficială a deținuților. Stigmatizarea, repartizarea la munci dezonorante și negarea nevoilor de bază, impuse prin amenințări cu violența și, de asemenea, prin acte de violență fizică și sexuală ocazională, au durat ani întregi (</w:t>
      </w:r>
      <w:hyperlink r:id="rId92" w:history="1">
        <w:r w:rsidRPr="003B3332">
          <w:rPr>
            <w:rStyle w:val="Hyperlink"/>
          </w:rPr>
          <w:t>S.P. și alții împotriva Rusiei</w:t>
        </w:r>
      </w:hyperlink>
      <w:r w:rsidRPr="003B3332">
        <w:t xml:space="preserve">, 2023, pct. 92-96, a se vedea și </w:t>
      </w:r>
      <w:hyperlink r:id="rId93" w:history="1">
        <w:r w:rsidRPr="003B3332">
          <w:rPr>
            <w:rStyle w:val="Hyperlink"/>
          </w:rPr>
          <w:t>D împotriva Letoniei</w:t>
        </w:r>
      </w:hyperlink>
      <w:r w:rsidRPr="003B3332">
        <w:t>, pct. 49, 2024).</w:t>
      </w:r>
    </w:p>
    <w:p w14:paraId="660EC956" w14:textId="36C6F9AD" w:rsidR="00C74B98" w:rsidRPr="003B3332" w:rsidRDefault="00C74B98" w:rsidP="006751F0">
      <w:pPr>
        <w:pStyle w:val="ECHRHeading2"/>
      </w:pPr>
      <w:bookmarkStart w:id="24" w:name="_Toc180674895"/>
      <w:r w:rsidRPr="003B3332">
        <w:t>Cu privire la relația dintre art. 2 și 8 din Convenție</w:t>
      </w:r>
      <w:bookmarkEnd w:id="24"/>
    </w:p>
    <w:p w14:paraId="2BC838A6" w14:textId="2D6A3907" w:rsidR="00530294" w:rsidRPr="003B3332" w:rsidRDefault="004713AB" w:rsidP="008335CE">
      <w:pPr>
        <w:pStyle w:val="ECHRParaSpaced"/>
      </w:pPr>
      <w:r>
        <w:fldChar w:fldCharType="begin"/>
      </w:r>
      <w:r>
        <w:instrText xml:space="preserve"> SEQ level0 \*arabic \* MERGEFORMAT </w:instrText>
      </w:r>
      <w:r>
        <w:fldChar w:fldCharType="separate"/>
      </w:r>
      <w:r w:rsidR="000862FF">
        <w:rPr>
          <w:noProof/>
        </w:rPr>
        <w:t>23</w:t>
      </w:r>
      <w:r>
        <w:fldChar w:fldCharType="end"/>
      </w:r>
      <w:r w:rsidR="002D33E5" w:rsidRPr="003B3332">
        <w:t xml:space="preserve">.  Există anumite situații în care tratamentele de care s-a plâns reclamantul pot intra în domeniul de aplicare al unuia sau al mai multora dintre articolele din Convenție. În asemenea cauze, în funcție de circumstanțe, Curtea poate examina plângerea separat în temeiul fiecărei prevederi (a se vedea, de exemplu, </w:t>
      </w:r>
      <w:hyperlink r:id="rId94" w:history="1">
        <w:r w:rsidR="002D33E5" w:rsidRPr="003B3332">
          <w:rPr>
            <w:rStyle w:val="Hyperlink"/>
          </w:rPr>
          <w:t>Mubilanzila Mayeka și Kaniki Mitunga împotriva Belgiei</w:t>
        </w:r>
      </w:hyperlink>
      <w:r w:rsidR="002D33E5" w:rsidRPr="003B3332">
        <w:t xml:space="preserve">, 2006; și </w:t>
      </w:r>
      <w:hyperlink r:id="rId95" w:history="1">
        <w:r w:rsidR="002D33E5" w:rsidRPr="003B3332">
          <w:rPr>
            <w:rStyle w:val="Hyperlink"/>
          </w:rPr>
          <w:t>D.P. și J.C. împotriva Regatului Unit</w:t>
        </w:r>
      </w:hyperlink>
      <w:r w:rsidR="002D33E5" w:rsidRPr="003B3332">
        <w:t xml:space="preserve">, 2002) sau coroborat (a se vedea, de exemplu, </w:t>
      </w:r>
      <w:hyperlink r:id="rId96" w:history="1">
        <w:r w:rsidR="002D33E5" w:rsidRPr="003B3332">
          <w:rPr>
            <w:rStyle w:val="Hyperlink"/>
          </w:rPr>
          <w:t>M.C. împotriva Bulgariei</w:t>
        </w:r>
      </w:hyperlink>
      <w:r w:rsidR="002D33E5" w:rsidRPr="003B3332">
        <w:t xml:space="preserve">, 2003). Mai poate considera necesar și să examineze aceeași plângere conform art.8, dacă constată o încălcare a art. 2 sau 3 din Convenție [a se vedea, de exemplu, </w:t>
      </w:r>
      <w:hyperlink r:id="rId97" w:history="1">
        <w:r w:rsidR="002D33E5" w:rsidRPr="003B3332">
          <w:rPr>
            <w:rStyle w:val="Hyperlink"/>
          </w:rPr>
          <w:t>Öneryıldız împotriva Turciei</w:t>
        </w:r>
      </w:hyperlink>
      <w:r w:rsidR="002D33E5" w:rsidRPr="003B3332">
        <w:rPr>
          <w:i/>
        </w:rPr>
        <w:t xml:space="preserve"> </w:t>
      </w:r>
      <w:r w:rsidR="002D33E5" w:rsidRPr="003B3332">
        <w:t xml:space="preserve">(MC), 2004; și </w:t>
      </w:r>
      <w:hyperlink r:id="rId98" w:history="1">
        <w:r w:rsidR="002D33E5" w:rsidRPr="003B3332">
          <w:rPr>
            <w:rStyle w:val="Hyperlink"/>
          </w:rPr>
          <w:t>Z și alții împotriva Regatului Unit</w:t>
        </w:r>
      </w:hyperlink>
      <w:r w:rsidR="002D33E5" w:rsidRPr="003B3332">
        <w:rPr>
          <w:i/>
        </w:rPr>
        <w:t xml:space="preserve"> </w:t>
      </w:r>
      <w:r w:rsidR="002D33E5" w:rsidRPr="003B3332">
        <w:t>(MC), 2001].</w:t>
      </w:r>
    </w:p>
    <w:p w14:paraId="4CB61C3E" w14:textId="11DE63DF" w:rsidR="00677D44" w:rsidRPr="003B3332" w:rsidRDefault="004713AB" w:rsidP="008335CE">
      <w:pPr>
        <w:pStyle w:val="ECHRParaSpaced"/>
      </w:pPr>
      <w:r>
        <w:fldChar w:fldCharType="begin"/>
      </w:r>
      <w:r>
        <w:instrText xml:space="preserve"> SEQ level0 \*arabic \* MERGEFORMAT </w:instrText>
      </w:r>
      <w:r>
        <w:fldChar w:fldCharType="separate"/>
      </w:r>
      <w:r w:rsidR="000862FF">
        <w:rPr>
          <w:noProof/>
        </w:rPr>
        <w:t>24</w:t>
      </w:r>
      <w:r>
        <w:fldChar w:fldCharType="end"/>
      </w:r>
      <w:r w:rsidR="00FA7743" w:rsidRPr="003B3332">
        <w:t>.  În principiu, atunci când o persoană este agresată sau supusă relelor tratamente de către agenți ai statului, capetele sale de cerere vor fi examinate în temeiul art. 3 din Convenție [</w:t>
      </w:r>
      <w:hyperlink r:id="rId99" w:history="1">
        <w:r w:rsidR="00FA7743" w:rsidRPr="003B3332">
          <w:rPr>
            <w:rStyle w:val="Hyperlink"/>
          </w:rPr>
          <w:t>Makaratzis împotriva Greciei</w:t>
        </w:r>
      </w:hyperlink>
      <w:r w:rsidR="00FA7743" w:rsidRPr="003B3332">
        <w:t xml:space="preserve"> (MC), 2004, pct. 51; </w:t>
      </w:r>
      <w:hyperlink r:id="rId100" w:history="1">
        <w:r w:rsidR="00FA7743" w:rsidRPr="003B3332">
          <w:rPr>
            <w:rStyle w:val="Hyperlink"/>
          </w:rPr>
          <w:t>İlhan împotriva Turciei</w:t>
        </w:r>
      </w:hyperlink>
      <w:r w:rsidR="00FA7743" w:rsidRPr="003B3332">
        <w:t xml:space="preserve"> (MC), 2000, pct. 76].  Totuși, în circumstanțe excepționale, în funcție de considerații precum gradul și tipul de forță folosită și natura leziunilor, utilizarea forței de către agenți ai statului, care nu are ca rezultat decesul, poate indica o încălcare a art. 2 din Convenție, în cazul în care comportamentul agenților statului, prin însăși natura sa, pune grav în pericol viața reclamantului, chiar dacă acesta din urmă supraviețuiește [</w:t>
      </w:r>
      <w:hyperlink r:id="rId101" w:history="1">
        <w:r w:rsidR="00FA7743" w:rsidRPr="003B3332">
          <w:rPr>
            <w:rStyle w:val="Hyperlink"/>
          </w:rPr>
          <w:t>Makaratzis împotriva Greciei</w:t>
        </w:r>
      </w:hyperlink>
      <w:r w:rsidR="00FA7743" w:rsidRPr="003B3332">
        <w:t xml:space="preserve"> (MC), 2004, pct. 55; </w:t>
      </w:r>
      <w:bookmarkStart w:id="25" w:name="_Hlk93665487"/>
      <w:r w:rsidR="00C91CA5" w:rsidRPr="003B3332">
        <w:fldChar w:fldCharType="begin"/>
      </w:r>
      <w:r w:rsidR="00C91CA5" w:rsidRPr="003B3332">
        <w:instrText xml:space="preserve"> HYPERLINK "https://hudoc.echr.coe.int/eng?i=001-103591" </w:instrText>
      </w:r>
      <w:r w:rsidR="00C91CA5" w:rsidRPr="003B3332">
        <w:fldChar w:fldCharType="separate"/>
      </w:r>
      <w:r w:rsidR="00FA7743" w:rsidRPr="003B3332">
        <w:rPr>
          <w:rStyle w:val="Hyperlink"/>
        </w:rPr>
        <w:t>Soare și alții împotriva României</w:t>
      </w:r>
      <w:r w:rsidR="00C91CA5" w:rsidRPr="003B3332">
        <w:rPr>
          <w:rStyle w:val="Hyperlink"/>
          <w:rFonts w:cstheme="minorHAnsi"/>
          <w:i w:val="0"/>
        </w:rPr>
        <w:fldChar w:fldCharType="end"/>
      </w:r>
      <w:bookmarkEnd w:id="25"/>
      <w:r w:rsidR="00FA7743" w:rsidRPr="003B3332">
        <w:t xml:space="preserve">, 2011, pct. 108-109; </w:t>
      </w:r>
      <w:bookmarkStart w:id="26" w:name="_Hlk93665510"/>
      <w:r w:rsidR="00FA7743" w:rsidRPr="003B3332">
        <w:t xml:space="preserve">și </w:t>
      </w:r>
      <w:hyperlink r:id="rId102" w:history="1">
        <w:r w:rsidR="00FA7743" w:rsidRPr="003B3332">
          <w:rPr>
            <w:rStyle w:val="Hyperlink"/>
          </w:rPr>
          <w:t>Trévalec împotriva Belgiei</w:t>
        </w:r>
      </w:hyperlink>
      <w:bookmarkEnd w:id="26"/>
      <w:r w:rsidR="00FA7743" w:rsidRPr="003B3332">
        <w:t>, 2011, §§ 55-61].</w:t>
      </w:r>
    </w:p>
    <w:p w14:paraId="4063F325" w14:textId="0B3669D4" w:rsidR="00A71748" w:rsidRPr="003B3332" w:rsidRDefault="004713AB" w:rsidP="008335CE">
      <w:pPr>
        <w:pStyle w:val="ECHRParaSpaced"/>
      </w:pPr>
      <w:r>
        <w:fldChar w:fldCharType="begin"/>
      </w:r>
      <w:r>
        <w:instrText xml:space="preserve"> SEQ level0 \*arabic \* MERGEFORMAT </w:instrText>
      </w:r>
      <w:r>
        <w:fldChar w:fldCharType="separate"/>
      </w:r>
      <w:r w:rsidR="000862FF">
        <w:rPr>
          <w:noProof/>
        </w:rPr>
        <w:t>25</w:t>
      </w:r>
      <w:r>
        <w:fldChar w:fldCharType="end"/>
      </w:r>
      <w:r w:rsidR="00655FF2" w:rsidRPr="003B3332">
        <w:t>.  În cauze privind reclamanți care au supraviețuit potențialului atac letal al unor actori nestatali, Curtea a adoptat o abordare similară celei folosite în cauze privind uzul de forță din partea agenților statului (</w:t>
      </w:r>
      <w:hyperlink r:id="rId103" w:history="1">
        <w:r w:rsidR="00655FF2" w:rsidRPr="003B3332">
          <w:rPr>
            <w:rStyle w:val="Hyperlink"/>
          </w:rPr>
          <w:t>Yotova împotriva Bulgariei</w:t>
        </w:r>
      </w:hyperlink>
      <w:r w:rsidR="00655FF2" w:rsidRPr="003B3332">
        <w:t>, 2012, pct. 69).</w:t>
      </w:r>
    </w:p>
    <w:p w14:paraId="4C962363" w14:textId="403D5AA3" w:rsidR="00677D44" w:rsidRPr="003B3332" w:rsidRDefault="004713AB" w:rsidP="008335CE">
      <w:pPr>
        <w:pStyle w:val="ECHRParaSpaced"/>
      </w:pPr>
      <w:r>
        <w:fldChar w:fldCharType="begin"/>
      </w:r>
      <w:r>
        <w:instrText xml:space="preserve"> SEQ level0 \*arabic \* MERGEFORMAT </w:instrText>
      </w:r>
      <w:r>
        <w:fldChar w:fldCharType="separate"/>
      </w:r>
      <w:r w:rsidR="000862FF">
        <w:rPr>
          <w:noProof/>
        </w:rPr>
        <w:t>26</w:t>
      </w:r>
      <w:r>
        <w:fldChar w:fldCharType="end"/>
      </w:r>
      <w:r w:rsidR="00595449" w:rsidRPr="003B3332">
        <w:t>.  Mai mult, atunci când un tratament nu respectă cerințele de protecție impuse la art. 3, poate, totuși, să contravină art. 8 care, inter alia, protejează integritatea fizică și morală, aspecte ale dreptului la respectarea vieții private (</w:t>
      </w:r>
      <w:hyperlink r:id="rId104" w:history="1">
        <w:r w:rsidR="00595449" w:rsidRPr="003B3332">
          <w:rPr>
            <w:rStyle w:val="Hyperlink"/>
          </w:rPr>
          <w:t>Wainwright împotriva Regatului Unit</w:t>
        </w:r>
      </w:hyperlink>
      <w:r w:rsidR="00595449" w:rsidRPr="003B3332">
        <w:t>, 2006, pct. 43).</w:t>
      </w:r>
    </w:p>
    <w:p w14:paraId="0DA1CFD9" w14:textId="11E8D849" w:rsidR="003F09F2" w:rsidRPr="003B3332" w:rsidRDefault="004713AB" w:rsidP="008335CE">
      <w:pPr>
        <w:pStyle w:val="ECHRParaSpaced"/>
      </w:pPr>
      <w:r>
        <w:fldChar w:fldCharType="begin"/>
      </w:r>
      <w:r>
        <w:instrText xml:space="preserve"> SEQ level0 \*arabic \* MERGEFORMAT </w:instrText>
      </w:r>
      <w:r>
        <w:fldChar w:fldCharType="separate"/>
      </w:r>
      <w:r w:rsidR="000862FF">
        <w:rPr>
          <w:noProof/>
        </w:rPr>
        <w:t>27</w:t>
      </w:r>
      <w:r>
        <w:fldChar w:fldCharType="end"/>
      </w:r>
      <w:r w:rsidR="003F09F2" w:rsidRPr="003B3332">
        <w:t>.  Curtea, de exemplu, a constatat că tratamentele, care nu au atins pragul de gravitate prevăzut la art. 3, sunt contrare art. 8 atunci când:</w:t>
      </w:r>
    </w:p>
    <w:p w14:paraId="3D6269E7" w14:textId="0C1230CF" w:rsidR="007314D1" w:rsidRPr="003B3332" w:rsidRDefault="004F4C64" w:rsidP="006751F0">
      <w:pPr>
        <w:pStyle w:val="ECHRBullet1"/>
      </w:pPr>
      <w:r w:rsidRPr="003B3332">
        <w:t>persoane din armată a fost cercetate și concediate din cauza orientării sexuale (</w:t>
      </w:r>
      <w:hyperlink r:id="rId105" w:history="1">
        <w:r w:rsidRPr="003B3332">
          <w:rPr>
            <w:rStyle w:val="Hyperlink"/>
          </w:rPr>
          <w:t>Smith și Grady împotriva Regatului Unit</w:t>
        </w:r>
      </w:hyperlink>
      <w:r w:rsidRPr="003B3332">
        <w:t>, 1999, pct. 117-123);</w:t>
      </w:r>
    </w:p>
    <w:p w14:paraId="57B32471" w14:textId="30E71C63" w:rsidR="003F09F2" w:rsidRPr="003B3332" w:rsidRDefault="003F09F2" w:rsidP="006751F0">
      <w:pPr>
        <w:pStyle w:val="ECHRBullet1"/>
      </w:pPr>
      <w:r w:rsidRPr="003B3332">
        <w:t>o stație de tratare a deșeurilor din apropierea domiciliului reclamantului a cauzat noxe (</w:t>
      </w:r>
      <w:hyperlink r:id="rId106" w:history="1">
        <w:r w:rsidRPr="003B3332">
          <w:rPr>
            <w:rStyle w:val="Hyperlink"/>
          </w:rPr>
          <w:t>López Ostra împotriva Spaniei</w:t>
        </w:r>
      </w:hyperlink>
      <w:r w:rsidRPr="003B3332">
        <w:t>, 1994, pct. 58-60);</w:t>
      </w:r>
    </w:p>
    <w:p w14:paraId="7AB2FA23" w14:textId="2D38DBBB" w:rsidR="003F09F2" w:rsidRPr="003B3332" w:rsidRDefault="003F09F2" w:rsidP="006751F0">
      <w:pPr>
        <w:pStyle w:val="ECHRBullet1"/>
      </w:pPr>
      <w:r w:rsidRPr="003B3332">
        <w:t>ofițerii din penitenciara au dat dovadă de lipsă de politețe la percheziționarea corporală a vizitatorilor în penitenciar, însă fără violență verbală sau contact fizic (</w:t>
      </w:r>
      <w:hyperlink r:id="rId107" w:history="1">
        <w:r w:rsidRPr="003B3332">
          <w:rPr>
            <w:rStyle w:val="Hyperlink"/>
          </w:rPr>
          <w:t>Wainwright împotriva Regatului Unit</w:t>
        </w:r>
      </w:hyperlink>
      <w:r w:rsidRPr="003B3332">
        <w:t>, 2006, pct. 44-49);</w:t>
      </w:r>
    </w:p>
    <w:p w14:paraId="0955A760" w14:textId="79525FA2" w:rsidR="00677D44" w:rsidRPr="003B3332" w:rsidRDefault="007314D1" w:rsidP="006751F0">
      <w:pPr>
        <w:pStyle w:val="ECHRBullet1"/>
        <w:rPr>
          <w:rFonts w:cstheme="minorHAnsi"/>
        </w:rPr>
      </w:pPr>
      <w:r w:rsidRPr="003B3332">
        <w:t>reclamantul a fost atacat de o haită de câini fără stăpân din cauză că autoritățile nu au reușit să implementeze măsuri adecvate împotriva câinilor fără stăpân (</w:t>
      </w:r>
      <w:hyperlink r:id="rId108" w:history="1">
        <w:r w:rsidRPr="003B3332">
          <w:rPr>
            <w:rStyle w:val="Hyperlink"/>
          </w:rPr>
          <w:t xml:space="preserve">Georgel și Georgeta Stoicescu împotriva României </w:t>
        </w:r>
      </w:hyperlink>
      <w:r w:rsidRPr="003B3332">
        <w:t>, 2011, pct. 45).</w:t>
      </w:r>
    </w:p>
    <w:p w14:paraId="2AA3A69A" w14:textId="77777777" w:rsidR="00677D44" w:rsidRPr="003B3332" w:rsidRDefault="00677D44">
      <w:pPr>
        <w:rPr>
          <w:rFonts w:eastAsiaTheme="minorEastAsia" w:cstheme="minorHAnsi"/>
        </w:rPr>
      </w:pPr>
      <w:r w:rsidRPr="003B3332">
        <w:br w:type="page"/>
      </w:r>
    </w:p>
    <w:p w14:paraId="7AF55BF8" w14:textId="5EABF991" w:rsidR="009A5236" w:rsidRPr="003B3332" w:rsidRDefault="00A15618" w:rsidP="00952F08">
      <w:pPr>
        <w:pStyle w:val="ECHRHeading1"/>
      </w:pPr>
      <w:bookmarkStart w:id="27" w:name="_Toc180674896"/>
      <w:r w:rsidRPr="003B3332">
        <w:t>I</w:t>
      </w:r>
      <w:bookmarkEnd w:id="4"/>
      <w:bookmarkEnd w:id="5"/>
      <w:bookmarkEnd w:id="6"/>
      <w:bookmarkEnd w:id="7"/>
      <w:bookmarkEnd w:id="8"/>
      <w:bookmarkEnd w:id="9"/>
      <w:r w:rsidRPr="003B3332">
        <w:t>nterzicerea torturii, a tratamentelor sau a pedepselor inumane ori degradante, cauzate sau facilitate de agenți ai statului</w:t>
      </w:r>
      <w:bookmarkEnd w:id="27"/>
    </w:p>
    <w:p w14:paraId="31D6218C" w14:textId="77777777" w:rsidR="00E976B6" w:rsidRPr="003B3332" w:rsidRDefault="00E976B6" w:rsidP="00E976B6">
      <w:pPr>
        <w:pStyle w:val="ECHRPara"/>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090106" w:rsidRPr="003B3332" w14:paraId="3CD13DBD" w14:textId="77777777" w:rsidTr="00B92781">
        <w:trPr>
          <w:trHeight w:val="1027"/>
        </w:trPr>
        <w:tc>
          <w:tcPr>
            <w:tcW w:w="9243" w:type="dxa"/>
          </w:tcPr>
          <w:p w14:paraId="7ED1B36D" w14:textId="77777777" w:rsidR="00090106" w:rsidRPr="003B3332" w:rsidRDefault="00090106" w:rsidP="00090106">
            <w:pPr>
              <w:rPr>
                <w:b/>
              </w:rPr>
            </w:pPr>
            <w:r w:rsidRPr="003B3332">
              <w:rPr>
                <w:b/>
              </w:rPr>
              <w:t>Art. 3 din Convenție</w:t>
            </w:r>
          </w:p>
          <w:p w14:paraId="4DDD45F2" w14:textId="77777777" w:rsidR="00090106" w:rsidRPr="003B3332" w:rsidRDefault="006E4D0E" w:rsidP="006E4D0E">
            <w:pPr>
              <w:pStyle w:val="ECHRParaQuote"/>
            </w:pPr>
            <w:r w:rsidRPr="003B3332">
              <w:t>„Nimeni nu poate fi supus torturii, nici pedepselor sau tratamentelor inumane ori degradante.”</w:t>
            </w:r>
          </w:p>
        </w:tc>
      </w:tr>
    </w:tbl>
    <w:p w14:paraId="05152A3F" w14:textId="77777777" w:rsidR="002364E2" w:rsidRPr="003B3332" w:rsidRDefault="002364E2" w:rsidP="006751F0">
      <w:pPr>
        <w:pStyle w:val="ECHRParaHanging"/>
      </w:pPr>
    </w:p>
    <w:p w14:paraId="072F41E3" w14:textId="164253E0" w:rsidR="002364E2" w:rsidRPr="003B3332" w:rsidRDefault="002B12A3" w:rsidP="00B74211">
      <w:pPr>
        <w:pStyle w:val="ECHRHeading2"/>
      </w:pPr>
      <w:bookmarkStart w:id="28" w:name="_Toc180674897"/>
      <w:r w:rsidRPr="003B3332">
        <w:t>Observații preliminare</w:t>
      </w:r>
      <w:bookmarkEnd w:id="28"/>
    </w:p>
    <w:p w14:paraId="1F930E81" w14:textId="0B3F207D" w:rsidR="002B12A3" w:rsidRPr="003B3332" w:rsidRDefault="004713AB" w:rsidP="006751F0">
      <w:pPr>
        <w:pStyle w:val="ECHRParaSpaced"/>
      </w:pPr>
      <w:r>
        <w:fldChar w:fldCharType="begin"/>
      </w:r>
      <w:r>
        <w:instrText xml:space="preserve"> SEQ level0 \*arabic \* MERGEFORMAT </w:instrText>
      </w:r>
      <w:r>
        <w:fldChar w:fldCharType="separate"/>
      </w:r>
      <w:r w:rsidR="000862FF">
        <w:rPr>
          <w:noProof/>
        </w:rPr>
        <w:t>28</w:t>
      </w:r>
      <w:r>
        <w:fldChar w:fldCharType="end"/>
      </w:r>
      <w:r w:rsidR="002B12A3" w:rsidRPr="003B3332">
        <w:t>.  Un stat contractant va răspunde în temeiul Convenției pentru încălcările drepturilor omului cauzate de actele agenților săi produse în îndeplinirea sarcinilor. Curtea a hotărât că, atunci când comportamentul unui agent al statului este ilegal, problema dacă actele în litigiu se pot imputa statului necesită o apreciere a circumstanțelor în ansamblu și o luare în considerare a naturii și a circumstanțelor respectivului comportament. Mai mult, faptul dacă o persoană este agent al statului în scopurile Convenției se stabilește pe baza unei multitudini de factori, dintre care niciunul nu este determinant în sine. Criteriile-cheie utilizate pentru a stabili dacă statul este responsabil pentru actele unei persoane, fie aceasta o persoană oficială în mod formal sau nu, sunt după cum urmează: modalitatea de numire, supravegherea și responsabilitatea, obiectivele, puterile și funcțiile persoanei în chestiune (</w:t>
      </w:r>
      <w:hyperlink r:id="rId109" w:history="1">
        <w:r w:rsidR="002B12A3" w:rsidRPr="003B3332">
          <w:rPr>
            <w:rStyle w:val="Hyperlink"/>
          </w:rPr>
          <w:t>V.K. împotriva Rusiei</w:t>
        </w:r>
      </w:hyperlink>
      <w:r w:rsidR="002B12A3" w:rsidRPr="003B3332">
        <w:t>, 2017, pct. 174).</w:t>
      </w:r>
    </w:p>
    <w:p w14:paraId="10F4F932" w14:textId="256596E3" w:rsidR="005E4BBB" w:rsidRPr="003B3332" w:rsidRDefault="004713AB" w:rsidP="006751F0">
      <w:pPr>
        <w:pStyle w:val="ECHRParaSpaced"/>
      </w:pPr>
      <w:r>
        <w:fldChar w:fldCharType="begin"/>
      </w:r>
      <w:r>
        <w:instrText xml:space="preserve"> SEQ level0 \*arabic \* MERGEFORMAT </w:instrText>
      </w:r>
      <w:r>
        <w:fldChar w:fldCharType="separate"/>
      </w:r>
      <w:r w:rsidR="000862FF">
        <w:rPr>
          <w:noProof/>
        </w:rPr>
        <w:t>29</w:t>
      </w:r>
      <w:r>
        <w:fldChar w:fldCharType="end"/>
      </w:r>
      <w:r w:rsidR="00FA7743" w:rsidRPr="003B3332">
        <w:t>.  În legătură cu cele de mai sus, consimțământul sau conivența autorităților unui stat contractant față de actele persoanelor particulare care încalcă drepturile prevăzute de Convenție ale altor persoane aflate sub jurisdicția sa poate angaja această răspundere a statului în temeiul Convenției (</w:t>
      </w:r>
      <w:hyperlink r:id="rId110" w:history="1">
        <w:r w:rsidR="00FA7743" w:rsidRPr="003B3332">
          <w:rPr>
            <w:rStyle w:val="Hyperlink"/>
          </w:rPr>
          <w:t>Chernega și alții împotriva Ucrainei</w:t>
        </w:r>
      </w:hyperlink>
      <w:r w:rsidR="00FA7743" w:rsidRPr="003B3332">
        <w:t>, 2019, pct. 127).</w:t>
      </w:r>
    </w:p>
    <w:p w14:paraId="48F29BC8" w14:textId="0998863B" w:rsidR="00753F04" w:rsidRPr="003B3332" w:rsidRDefault="00753F04" w:rsidP="00753F04">
      <w:pPr>
        <w:pStyle w:val="ECHRHeading2"/>
      </w:pPr>
      <w:bookmarkStart w:id="29" w:name="_Toc180674898"/>
      <w:r w:rsidRPr="003B3332">
        <w:t>Aprecierea probelor</w:t>
      </w:r>
      <w:bookmarkEnd w:id="29"/>
    </w:p>
    <w:p w14:paraId="5B8B84E7" w14:textId="28B56CDE" w:rsidR="00753F04" w:rsidRPr="003B3332" w:rsidRDefault="004713AB" w:rsidP="006751F0">
      <w:pPr>
        <w:pStyle w:val="ECHRParaSpaced"/>
      </w:pPr>
      <w:r>
        <w:fldChar w:fldCharType="begin"/>
      </w:r>
      <w:r>
        <w:instrText xml:space="preserve"> SEQ level0 \*arabic \* MERGEFORMAT </w:instrText>
      </w:r>
      <w:r>
        <w:fldChar w:fldCharType="separate"/>
      </w:r>
      <w:r w:rsidR="000862FF">
        <w:rPr>
          <w:noProof/>
        </w:rPr>
        <w:t>30</w:t>
      </w:r>
      <w:r>
        <w:fldChar w:fldCharType="end"/>
      </w:r>
      <w:r w:rsidR="00FA7743" w:rsidRPr="003B3332">
        <w:t>.  În cauzele în care se susține încălcarea art. 3 din Convenție, trebuie ca, în aprecierea probelor, să realizeze o examinare deosebit de riguroasă.  În cazul în care s-au desfășurat proceduri interne, nu este sarcina Curții să înlocuiască cu propria evaluare a situației de fapt pe cea a instanțelor interne și, de regulă, este sarcina acestor instanțe să examineze probele puse la dispoziție.  Deși în cauzele în temeiul art. 3 Curtea este pregătită să fie mai critică față de concluziile instanțelor interne, în circumstanțe normale solicită elemente convingătoare pentru a se abate de la constatările de facto la care au ajuns instanțele respective (</w:t>
      </w:r>
      <w:hyperlink r:id="rId111" w:history="1">
        <w:r w:rsidR="00FA7743" w:rsidRPr="003B3332">
          <w:rPr>
            <w:rStyle w:val="Hyperlink"/>
          </w:rPr>
          <w:t>Cestaro împotriva Italiei</w:t>
        </w:r>
      </w:hyperlink>
      <w:r w:rsidR="00FA7743" w:rsidRPr="003B3332">
        <w:t>, 2015, pct. 164 și cauzele citate în aceasta).</w:t>
      </w:r>
    </w:p>
    <w:p w14:paraId="6812F4FA" w14:textId="28F979CB" w:rsidR="00753F04" w:rsidRPr="003B3332" w:rsidRDefault="004713AB" w:rsidP="006751F0">
      <w:pPr>
        <w:pStyle w:val="ECHRParaSpaced"/>
      </w:pPr>
      <w:r>
        <w:fldChar w:fldCharType="begin"/>
      </w:r>
      <w:r>
        <w:instrText xml:space="preserve"> SEQ level0 \*arabic \* MERGEFORMAT </w:instrText>
      </w:r>
      <w:r>
        <w:fldChar w:fldCharType="separate"/>
      </w:r>
      <w:r w:rsidR="000862FF">
        <w:rPr>
          <w:noProof/>
        </w:rPr>
        <w:t>31</w:t>
      </w:r>
      <w:r>
        <w:fldChar w:fldCharType="end"/>
      </w:r>
      <w:r w:rsidR="00FA7743" w:rsidRPr="003B3332">
        <w:t>.  În cauzele în care există relatări contradictorii ale evenimentelor, Curtea se confruntă în stabilirea faptelor, în mod inevitabil, cu aceleași dificultăți întâmpinate de instanța de prim grad. Caracterul specific al acestei sarcini prevăzute la art. 19 din Convenție – să asigure respectarea de către state contractante a angajamentelor care le incumbă de a garanta drepturile fundamentale consacrate de Convenție – condiționează abordarea sa privind chestiunile legate de dovezi și probe [</w:t>
      </w:r>
      <w:hyperlink r:id="rId112" w:history="1">
        <w:r w:rsidR="00FA7743" w:rsidRPr="003B3332">
          <w:rPr>
            <w:rStyle w:val="Hyperlink"/>
          </w:rPr>
          <w:t xml:space="preserve">El-Masri împotriva Fostei Republici Iugoslave a Macedoniei </w:t>
        </w:r>
      </w:hyperlink>
      <w:r w:rsidR="00FA7743" w:rsidRPr="003B3332">
        <w:t>(MC), 2012, pct. 151].</w:t>
      </w:r>
    </w:p>
    <w:p w14:paraId="3A4D0D29" w14:textId="3B622E58" w:rsidR="00753F04" w:rsidRPr="003B3332" w:rsidRDefault="00753F04" w:rsidP="00753F04">
      <w:pPr>
        <w:pStyle w:val="ECHRHeading3"/>
      </w:pPr>
      <w:bookmarkStart w:id="30" w:name="_Toc180674899"/>
      <w:r w:rsidRPr="003B3332">
        <w:t>Principiul probei</w:t>
      </w:r>
      <w:bookmarkEnd w:id="30"/>
    </w:p>
    <w:p w14:paraId="1FE9ACD0" w14:textId="490DCD44" w:rsidR="00753F04" w:rsidRPr="003B3332" w:rsidRDefault="0052442B" w:rsidP="006751F0">
      <w:pPr>
        <w:pStyle w:val="ECHRParaSpaced"/>
      </w:pPr>
      <w:fldSimple w:instr=" SEQ level0 \*arabic ">
        <w:r w:rsidR="000862FF">
          <w:rPr>
            <w:noProof/>
          </w:rPr>
          <w:t>32</w:t>
        </w:r>
      </w:fldSimple>
      <w:r w:rsidR="009B638B" w:rsidRPr="003B3332">
        <w:t>.  Acuzațiile de tratamente care sunt contrare art. 3 trebuie să fie susținute de probe corespunzătoare.  La evaluarea acestor probe, Curtea adoptă principiul probei „dincolo de orice îndoială rezonabilă”, dar adaugă că astfel de probe pot rezulta din coexistența unor deducții suficient de puternice, clare și concordante sau a unor presupuneri de facto similare necontestate [</w:t>
      </w:r>
      <w:hyperlink r:id="rId113" w:history="1">
        <w:r w:rsidR="009B638B" w:rsidRPr="003B3332">
          <w:rPr>
            <w:rStyle w:val="Hyperlink"/>
          </w:rPr>
          <w:t>Salman împotriva Turciei</w:t>
        </w:r>
      </w:hyperlink>
      <w:r w:rsidR="009B638B" w:rsidRPr="003B3332">
        <w:t xml:space="preserve"> (MC), 2000, pct. 100; </w:t>
      </w:r>
      <w:hyperlink r:id="rId114" w:history="1">
        <w:r w:rsidR="009B638B" w:rsidRPr="003B3332">
          <w:rPr>
            <w:rStyle w:val="Hyperlink"/>
          </w:rPr>
          <w:t>Bouyid împotriva Belgiei</w:t>
        </w:r>
      </w:hyperlink>
      <w:r w:rsidR="009B638B" w:rsidRPr="003B3332">
        <w:t xml:space="preserve"> (MC), 2015, pct. 82].</w:t>
      </w:r>
    </w:p>
    <w:p w14:paraId="62977D34" w14:textId="63994E41" w:rsidR="00753F04" w:rsidRPr="003B3332" w:rsidRDefault="00753F04" w:rsidP="00753F04">
      <w:pPr>
        <w:pStyle w:val="ECHRHeading3"/>
      </w:pPr>
      <w:bookmarkStart w:id="31" w:name="_Toc180674900"/>
      <w:r w:rsidRPr="003B3332">
        <w:t>Sarcina probei</w:t>
      </w:r>
      <w:bookmarkEnd w:id="31"/>
    </w:p>
    <w:p w14:paraId="636EAF41" w14:textId="3C6E6A38" w:rsidR="00753F04" w:rsidRPr="003B3332" w:rsidRDefault="004713AB" w:rsidP="006751F0">
      <w:pPr>
        <w:pStyle w:val="ECHRParaSpaced"/>
      </w:pPr>
      <w:r>
        <w:fldChar w:fldCharType="begin"/>
      </w:r>
      <w:r>
        <w:instrText xml:space="preserve"> SEQ level0 \*arabic \* MERGEFORMAT </w:instrText>
      </w:r>
      <w:r>
        <w:fldChar w:fldCharType="separate"/>
      </w:r>
      <w:r w:rsidR="000862FF">
        <w:rPr>
          <w:noProof/>
        </w:rPr>
        <w:t>33</w:t>
      </w:r>
      <w:r>
        <w:fldChar w:fldCharType="end"/>
      </w:r>
      <w:r w:rsidR="00FA7743" w:rsidRPr="003B3332">
        <w:t>.  Gradul de convingere necesar pentru a ajunge la o anumită concluzie și, în legătură cu aceasta, repartizarea sarcinii probei sunt legate inerent de specificitatea faptelor, de natura acuzației formulate și de dreptul prevăzut de Convenție care a fost invocat [</w:t>
      </w:r>
      <w:hyperlink r:id="rId115" w:history="1">
        <w:r w:rsidR="00FA7743" w:rsidRPr="003B3332">
          <w:rPr>
            <w:rStyle w:val="Hyperlink"/>
          </w:rPr>
          <w:t>El-Masri împotriva Fostei Republici Iugoslave a Macedoniei</w:t>
        </w:r>
      </w:hyperlink>
      <w:r w:rsidR="009565E3">
        <w:rPr>
          <w:rStyle w:val="Hyperlink"/>
        </w:rPr>
        <w:t xml:space="preserve"> </w:t>
      </w:r>
      <w:r w:rsidR="00FA7743" w:rsidRPr="003B3332">
        <w:t>(MC), 2012, pct. 151].</w:t>
      </w:r>
    </w:p>
    <w:p w14:paraId="7A1940F7" w14:textId="705FCCCF" w:rsidR="00677D44" w:rsidRPr="003B3332" w:rsidRDefault="004713AB" w:rsidP="006751F0">
      <w:pPr>
        <w:pStyle w:val="ECHRParaSpaced"/>
      </w:pPr>
      <w:r>
        <w:fldChar w:fldCharType="begin"/>
      </w:r>
      <w:r>
        <w:instrText xml:space="preserve"> SEQ level0 \*arabic \* MERGEFORMAT </w:instrText>
      </w:r>
      <w:r>
        <w:fldChar w:fldCharType="separate"/>
      </w:r>
      <w:r w:rsidR="000862FF">
        <w:rPr>
          <w:noProof/>
        </w:rPr>
        <w:t>34</w:t>
      </w:r>
      <w:r>
        <w:fldChar w:fldCharType="end"/>
      </w:r>
      <w:r w:rsidR="00FA7743" w:rsidRPr="003B3332">
        <w:t xml:space="preserve">.  Procedurile în temeiul Convenției nu se pretează în sine în toate cazurile unei aplicări stricte a principiului </w:t>
      </w:r>
      <w:r w:rsidR="00FA7743" w:rsidRPr="003B3332">
        <w:rPr>
          <w:i/>
          <w:iCs/>
        </w:rPr>
        <w:t>affirmanti incumbit probatio</w:t>
      </w:r>
      <w:r w:rsidR="00FA7743" w:rsidRPr="003B3332">
        <w:t xml:space="preserve"> (sarcina probei revine celui care afirmă) [</w:t>
      </w:r>
      <w:hyperlink r:id="rId116" w:history="1">
        <w:r w:rsidR="00FA7743" w:rsidRPr="003B3332">
          <w:rPr>
            <w:rStyle w:val="Hyperlink"/>
          </w:rPr>
          <w:t>Blokhin împotriva Rusiei</w:t>
        </w:r>
      </w:hyperlink>
      <w:r w:rsidR="00FA7743" w:rsidRPr="003B3332">
        <w:t xml:space="preserve"> (MC), 2016, pct. 140].  În cazul în care evenimentele în cauză sunt cunoscute integral, sau într-o mare măsură, exclusiv de autorități, precum în cazul persoanelor reținute aflate sub controlul lor, vor exista prezumții de fapt puternice privind leziunile survenite în cursul unei astfel de detenții.  Sarcina probei revine prin urmare Guvernului, care trebuie să ofere o explicație satisfăcătoare și suficientă furnizând probe care să stabilească faptele care pun la îndoială relatarea evenimentelor de către victimă [</w:t>
      </w:r>
      <w:hyperlink r:id="rId117" w:history="1">
        <w:r w:rsidR="00FA7743" w:rsidRPr="003B3332">
          <w:rPr>
            <w:rStyle w:val="Hyperlink"/>
          </w:rPr>
          <w:t>Salman împotriva Turciei</w:t>
        </w:r>
      </w:hyperlink>
      <w:r w:rsidR="00FA7743" w:rsidRPr="003B3332">
        <w:t xml:space="preserve"> (MC), 2000, pct. 100].  În lipsa unei astfel de explicații, Curtea poate formula concluzii defavorabile Guvernului [</w:t>
      </w:r>
      <w:hyperlink r:id="rId118" w:history="1">
        <w:r w:rsidR="00FA7743" w:rsidRPr="003B3332">
          <w:rPr>
            <w:rStyle w:val="Hyperlink"/>
          </w:rPr>
          <w:t>Bouyid împotriva Belgiei</w:t>
        </w:r>
      </w:hyperlink>
      <w:r w:rsidR="00FA7743" w:rsidRPr="003B3332">
        <w:t xml:space="preserve"> (MC), 2015, pct. 83; </w:t>
      </w:r>
      <w:r w:rsidR="00736CA0" w:rsidRPr="003B3332">
        <w:t>a se vedea, de exemplu</w:t>
      </w:r>
      <w:r w:rsidR="00FA7743" w:rsidRPr="003B3332">
        <w:t xml:space="preserve">, </w:t>
      </w:r>
      <w:hyperlink r:id="rId119" w:history="1">
        <w:r w:rsidR="00FA7743" w:rsidRPr="003B3332">
          <w:rPr>
            <w:rStyle w:val="Hyperlink"/>
          </w:rPr>
          <w:t>Lapunov împotriva Rusiei</w:t>
        </w:r>
      </w:hyperlink>
      <w:r w:rsidR="00FA7743" w:rsidRPr="003B3332">
        <w:t>, 2023, pct. 103-106].</w:t>
      </w:r>
    </w:p>
    <w:p w14:paraId="653BA66A" w14:textId="0E323114" w:rsidR="00D66E75" w:rsidRPr="003B3332" w:rsidRDefault="004713AB" w:rsidP="006751F0">
      <w:pPr>
        <w:pStyle w:val="ECHRParaSpaced"/>
      </w:pPr>
      <w:r>
        <w:fldChar w:fldCharType="begin"/>
      </w:r>
      <w:r>
        <w:instrText xml:space="preserve"> SEQ level0 \*arabic \* MERGEFORMAT </w:instrText>
      </w:r>
      <w:r>
        <w:fldChar w:fldCharType="separate"/>
      </w:r>
      <w:r w:rsidR="000862FF">
        <w:rPr>
          <w:noProof/>
        </w:rPr>
        <w:t>35</w:t>
      </w:r>
      <w:r>
        <w:fldChar w:fldCharType="end"/>
      </w:r>
      <w:r w:rsidR="00FA7743" w:rsidRPr="003B3332">
        <w:t>.  Principiul menționat anterior se aplică în toate cauzele în care o persoană se află sub controlul poliției sau al unei autorități similare [</w:t>
      </w:r>
      <w:hyperlink r:id="rId120" w:history="1">
        <w:r w:rsidR="00FA7743" w:rsidRPr="003B3332">
          <w:rPr>
            <w:rStyle w:val="Hyperlink"/>
          </w:rPr>
          <w:t>Bouyid împotriva Belgiei</w:t>
        </w:r>
      </w:hyperlink>
      <w:r w:rsidR="00FA7743" w:rsidRPr="003B3332">
        <w:t xml:space="preserve"> (MC), 2015, pct. 84].</w:t>
      </w:r>
    </w:p>
    <w:p w14:paraId="5B79DD59" w14:textId="2A24EA42" w:rsidR="002364E2" w:rsidRPr="003B3332" w:rsidRDefault="00E67E46" w:rsidP="002364E2">
      <w:pPr>
        <w:pStyle w:val="ECHRHeading2"/>
      </w:pPr>
      <w:bookmarkStart w:id="32" w:name="_Toc180674901"/>
      <w:r w:rsidRPr="003B3332">
        <w:t>Uzul de forță din partea agenților statului</w:t>
      </w:r>
      <w:bookmarkEnd w:id="32"/>
    </w:p>
    <w:p w14:paraId="298816BB" w14:textId="77777777" w:rsidR="00677D44" w:rsidRPr="003B3332" w:rsidRDefault="005F5E9C" w:rsidP="005F5E9C">
      <w:pPr>
        <w:pStyle w:val="ECHRHeading3"/>
      </w:pPr>
      <w:bookmarkStart w:id="33" w:name="_Toc180674902"/>
      <w:r w:rsidRPr="003B3332">
        <w:t>Considerații generale</w:t>
      </w:r>
      <w:bookmarkEnd w:id="33"/>
    </w:p>
    <w:p w14:paraId="6EC60CA4" w14:textId="71F7553D" w:rsidR="00344156" w:rsidRPr="003B3332" w:rsidRDefault="004713AB" w:rsidP="0010100E">
      <w:pPr>
        <w:pStyle w:val="ECHRParaSpaced"/>
      </w:pPr>
      <w:r>
        <w:fldChar w:fldCharType="begin"/>
      </w:r>
      <w:r>
        <w:instrText xml:space="preserve"> SEQ level0 \*arabic \* MERGEFORMAT </w:instrText>
      </w:r>
      <w:r>
        <w:fldChar w:fldCharType="separate"/>
      </w:r>
      <w:r w:rsidR="000862FF">
        <w:rPr>
          <w:noProof/>
        </w:rPr>
        <w:t>36</w:t>
      </w:r>
      <w:r>
        <w:fldChar w:fldCharType="end"/>
      </w:r>
      <w:r w:rsidR="00E012D0" w:rsidRPr="003B3332">
        <w:t>.  Așa după cum s-a menționat anterior, atunci când o persoană este privată de libertate sau, mai general, se confruntă cu agenți de aplicare a legii, orice folosire a forței fizice care nu a fost strict impusă de comportamentul său lezează demnitatea umană și este, în principiu, o încălcare a dreptului prevăzut la art. 3 din Convenție. În acest sens, Curtea a subliniat că expresia „în principiu” nu poate fi interpretată în sensul că ar putea exista situații în care nu se impune constatarea unei încălcări, deoarece nu a fost atins pragul de gravitate.  Orice ingerință în demnitatea umană lovește în însăși esența Convenției.  Din acest motiv, orice comportament al agenților de aplicare a legii față de o persoană și care diminuează demnitatea umană constituie o încălcare a art. 3 din Convenție.  Privește în special folosirea forței împotriva unei persoane atunci când nu este strict necesară în raport cu comportamentul acesteia, indiferent de impactul avut asupra sa [</w:t>
      </w:r>
      <w:hyperlink r:id="rId121" w:history="1">
        <w:r w:rsidR="00E012D0" w:rsidRPr="003B3332">
          <w:rPr>
            <w:rStyle w:val="Hyperlink"/>
          </w:rPr>
          <w:t>Bouyid împotriva Belgiei</w:t>
        </w:r>
      </w:hyperlink>
      <w:r w:rsidR="00E012D0" w:rsidRPr="003B3332">
        <w:t xml:space="preserve"> (MC), 2015, pct. 100-101].</w:t>
      </w:r>
    </w:p>
    <w:p w14:paraId="19D63C44" w14:textId="0F503AB3" w:rsidR="00FB6252" w:rsidRPr="003B3332" w:rsidRDefault="004713AB" w:rsidP="0010100E">
      <w:pPr>
        <w:pStyle w:val="ECHRParaSpaced"/>
        <w:rPr>
          <w:rFonts w:cstheme="minorHAnsi"/>
        </w:rPr>
      </w:pPr>
      <w:r>
        <w:fldChar w:fldCharType="begin"/>
      </w:r>
      <w:r>
        <w:instrText xml:space="preserve"> SEQ level0 \*arabic \* MERGEFORMAT </w:instrText>
      </w:r>
      <w:r>
        <w:fldChar w:fldCharType="separate"/>
      </w:r>
      <w:r w:rsidR="000862FF">
        <w:rPr>
          <w:noProof/>
        </w:rPr>
        <w:t>37</w:t>
      </w:r>
      <w:r>
        <w:fldChar w:fldCharType="end"/>
      </w:r>
      <w:r w:rsidR="00FB6252" w:rsidRPr="003B3332">
        <w:t xml:space="preserve">.  Curtea a subliniat în continuare că art. 3 nu interzice  utilizarea forței de către agenți ai statului, în anumite împrejurări bine definite, precum efectuarea arestării.  </w:t>
      </w:r>
      <w:r w:rsidR="00FB6252" w:rsidRPr="003B3332">
        <w:rPr>
          <w:color w:val="000000"/>
          <w:shd w:val="clear" w:color="auto" w:fill="FFFFFF"/>
        </w:rPr>
        <w:t>Cu toate acestea, forța poate fi folosită numai dacă este indispensabilă și nu trebuie să fie excesivă (</w:t>
      </w:r>
      <w:hyperlink r:id="rId122" w:history="1">
        <w:r w:rsidR="00FB6252" w:rsidRPr="003B3332">
          <w:rPr>
            <w:rStyle w:val="Hyperlink"/>
          </w:rPr>
          <w:t>Necdet Bulut împotriva Turciei</w:t>
        </w:r>
      </w:hyperlink>
      <w:r w:rsidR="00FB6252" w:rsidRPr="003B3332">
        <w:t xml:space="preserve">, 2007, pct. 23; </w:t>
      </w:r>
      <w:hyperlink r:id="rId123" w:history="1">
        <w:r w:rsidR="00FB6252" w:rsidRPr="003B3332">
          <w:rPr>
            <w:rStyle w:val="Hyperlink"/>
          </w:rPr>
          <w:t>Shmorgunov și alții împotriva Ucrainei</w:t>
        </w:r>
      </w:hyperlink>
      <w:r w:rsidR="00FB6252" w:rsidRPr="003B3332">
        <w:t>, 2021, pct. 359). În această privință, prezintă importanță faptul dacă, de exemplu, sunt motive pentru a crede că persoana vizată ar rezista arestării sau s-ar eschiva, ar provoca răni ori prejudicii sau ar distruge probe (</w:t>
      </w:r>
      <w:hyperlink r:id="rId124" w:history="1">
        <w:r w:rsidR="00FB6252" w:rsidRPr="003B3332">
          <w:rPr>
            <w:rStyle w:val="Hyperlink"/>
          </w:rPr>
          <w:t>Mafalani împotriva Croației</w:t>
        </w:r>
      </w:hyperlink>
      <w:r w:rsidR="00FB6252" w:rsidRPr="003B3332">
        <w:t>, 2015, pct. 120 și cauzele citate în aceasta).</w:t>
      </w:r>
    </w:p>
    <w:p w14:paraId="3D4B052C" w14:textId="04F02365" w:rsidR="00DD3999" w:rsidRPr="003B3332" w:rsidRDefault="004713AB" w:rsidP="006751F0">
      <w:pPr>
        <w:pStyle w:val="ECHRParaSpaced"/>
      </w:pPr>
      <w:r>
        <w:fldChar w:fldCharType="begin"/>
      </w:r>
      <w:r>
        <w:instrText xml:space="preserve"> SEQ level0 \*arabic \* MERGEFORMAT </w:instrText>
      </w:r>
      <w:r>
        <w:fldChar w:fldCharType="separate"/>
      </w:r>
      <w:r w:rsidR="000862FF">
        <w:rPr>
          <w:noProof/>
        </w:rPr>
        <w:t>38</w:t>
      </w:r>
      <w:r>
        <w:fldChar w:fldCharType="end"/>
      </w:r>
      <w:r w:rsidR="00246281" w:rsidRPr="003B3332">
        <w:t>.  De exemplu, Curtea a constatat că nu sunt proporționale metodele folosite de poliție, inclusiv utilizarea bastoanelor pentru a controla reclamantul în cursul unui control al identității, dat fiind că reclamantul nu era înarmat și rămăsese în mare măsură pasiv înainte de a fi pus la pământ, deși l-a mușcat pe unul dintre agenții de poliție (</w:t>
      </w:r>
      <w:hyperlink r:id="rId125" w:history="1">
        <w:r w:rsidR="00246281" w:rsidRPr="003B3332">
          <w:rPr>
            <w:rStyle w:val="Hyperlink"/>
          </w:rPr>
          <w:t>Dembele împotriva Elveției</w:t>
        </w:r>
      </w:hyperlink>
      <w:r w:rsidR="00246281" w:rsidRPr="003B3332">
        <w:t xml:space="preserve">, 2013, pct. 47; a se vedea și </w:t>
      </w:r>
      <w:hyperlink r:id="rId126" w:history="1">
        <w:r w:rsidR="00246281" w:rsidRPr="003B3332">
          <w:rPr>
            <w:rStyle w:val="Hyperlink"/>
          </w:rPr>
          <w:t>A.P. împotriva Slovaciei</w:t>
        </w:r>
      </w:hyperlink>
      <w:r w:rsidR="00246281" w:rsidRPr="003B3332">
        <w:t>, 2020, pct. 62, în care reclamantul i-a scuipat pe agenți și a încercat să-i lovească cu pumnul).</w:t>
      </w:r>
    </w:p>
    <w:p w14:paraId="4ECBC8D5" w14:textId="4C2C0EFD" w:rsidR="00532227" w:rsidRPr="003B3332" w:rsidRDefault="004713AB" w:rsidP="006751F0">
      <w:pPr>
        <w:pStyle w:val="ECHRParaSpaced"/>
      </w:pPr>
      <w:r>
        <w:fldChar w:fldCharType="begin"/>
      </w:r>
      <w:r>
        <w:instrText xml:space="preserve"> SEQ l</w:instrText>
      </w:r>
      <w:r>
        <w:instrText xml:space="preserve">evel0 \*arabic \* MERGEFORMAT </w:instrText>
      </w:r>
      <w:r>
        <w:fldChar w:fldCharType="separate"/>
      </w:r>
      <w:r w:rsidR="000862FF">
        <w:rPr>
          <w:noProof/>
        </w:rPr>
        <w:t>39</w:t>
      </w:r>
      <w:r>
        <w:fldChar w:fldCharType="end"/>
      </w:r>
      <w:r w:rsidR="00DD3999" w:rsidRPr="003B3332">
        <w:t>.  În schimb, Curtea a constatat că, din cauza comportamentului lor, a fost necesară folosirea forței împotriva reclamanților – culturiști – care au opus rezistență și i-au agresat pe agenții de poliție în timpul arestării (</w:t>
      </w:r>
      <w:hyperlink r:id="rId127" w:history="1">
        <w:r w:rsidR="00DD3999" w:rsidRPr="003B3332">
          <w:rPr>
            <w:rStyle w:val="Hyperlink"/>
          </w:rPr>
          <w:t>Berliński împotriva Poloniei</w:t>
        </w:r>
      </w:hyperlink>
      <w:r w:rsidR="00DD3999" w:rsidRPr="003B3332">
        <w:t xml:space="preserve">, 2002, pct. 62, a se vedea și </w:t>
      </w:r>
      <w:hyperlink r:id="rId128" w:history="1">
        <w:r w:rsidR="00DD3999" w:rsidRPr="003B3332">
          <w:rPr>
            <w:rStyle w:val="Hyperlink"/>
          </w:rPr>
          <w:t>Barta împotriva Ungariei</w:t>
        </w:r>
      </w:hyperlink>
      <w:r w:rsidR="00DD3999" w:rsidRPr="003B3332">
        <w:t xml:space="preserve">, 2007, pct. 72, în care reclamanta a suferit leziuni în timpul arestării, când a obstrucționat agentul de poliție, și </w:t>
      </w:r>
      <w:hyperlink r:id="rId129" w:history="1">
        <w:r w:rsidR="00DD3999" w:rsidRPr="003B3332">
          <w:rPr>
            <w:rStyle w:val="Hyperlink"/>
          </w:rPr>
          <w:t>P.M. și F.F. împotriva Franței</w:t>
        </w:r>
      </w:hyperlink>
      <w:r w:rsidR="00DD3999" w:rsidRPr="003B3332">
        <w:t>, 2021, pct. 88, în care reclamanții, care se aflau în stare de ebrietate, au suferit leziuni pe durata arestării pentru infracțiunea de daune cauzate proprietății private).</w:t>
      </w:r>
    </w:p>
    <w:p w14:paraId="52886522" w14:textId="7815233E" w:rsidR="00B31A7F" w:rsidRPr="003B3332" w:rsidRDefault="004713AB" w:rsidP="006751F0">
      <w:pPr>
        <w:pStyle w:val="ECHRParaSpaced"/>
        <w:rPr>
          <w:rFonts w:cstheme="minorHAnsi"/>
        </w:rPr>
      </w:pPr>
      <w:r>
        <w:fldChar w:fldCharType="begin"/>
      </w:r>
      <w:r>
        <w:instrText xml:space="preserve"> SEQ level0 \*arabic \* MERGEFORMAT </w:instrText>
      </w:r>
      <w:r>
        <w:fldChar w:fldCharType="separate"/>
      </w:r>
      <w:r w:rsidR="000862FF">
        <w:rPr>
          <w:noProof/>
        </w:rPr>
        <w:t>40</w:t>
      </w:r>
      <w:r>
        <w:fldChar w:fldCharType="end"/>
      </w:r>
      <w:r w:rsidR="00E67E46" w:rsidRPr="003B3332">
        <w:t>.  În plus, în contextul unei operațiuni a poliției urmărind scopuri legitime, precum efectuarea unei arestări, a percheziției și a ridicării de articole, ca și obiectivul de interes public al urmăririi penale a infracțiunilor, anterior Curtea a constatat că posibila prezență la locul arestării a membrilor familiei, în special a copiilor, a căror vârstă mică îi face vulnerabili psihic, este un factor care trebuie luat în considerare în planificarea și desfășurarea operațiunii (</w:t>
      </w:r>
      <w:hyperlink r:id="rId130" w:history="1">
        <w:r w:rsidR="00E67E46" w:rsidRPr="003B3332">
          <w:rPr>
            <w:rStyle w:val="Hyperlink"/>
          </w:rPr>
          <w:t>Gutsanovi împotriva Bulgariei</w:t>
        </w:r>
      </w:hyperlink>
      <w:r w:rsidR="00E67E46" w:rsidRPr="003B3332">
        <w:t xml:space="preserve">, 2013, pct. 132). În </w:t>
      </w:r>
      <w:hyperlink r:id="rId131" w:history="1">
        <w:r w:rsidR="00E67E46" w:rsidRPr="003B3332">
          <w:rPr>
            <w:rStyle w:val="Hyperlink"/>
          </w:rPr>
          <w:t>Gutsanovi împotriva Bulgariei</w:t>
        </w:r>
      </w:hyperlink>
      <w:r w:rsidR="00E67E46" w:rsidRPr="003B3332">
        <w:t xml:space="preserve">, 2013, Curtea a constatat că faptul că operațiunea poliției a avut loc la primele ore ale dimineții și a implicat agenți speciali purtând măști a dus la intensificarea sentimentelor de teamă și anxietate ale copiilor care au asistat la arestarea tatălui lor, astfel încât tratamentul la care au fost supuși a depășit pragul de gravitate prevăzut (pct. 134; a se vedea și </w:t>
      </w:r>
      <w:hyperlink r:id="rId132" w:history="1">
        <w:r w:rsidR="00E67E46" w:rsidRPr="003B3332">
          <w:rPr>
            <w:rStyle w:val="Hyperlink"/>
          </w:rPr>
          <w:t>A împotriva Rusiei</w:t>
        </w:r>
      </w:hyperlink>
      <w:r w:rsidR="00E67E46" w:rsidRPr="003B3332">
        <w:t xml:space="preserve">, 2019, pct. 67, în care o copilă de nouă ani a asistat la arestarea violentă a tatălui ei, care nu a opus rezistență și, dimpotrivă, </w:t>
      </w:r>
      <w:hyperlink r:id="rId133" w:history="1">
        <w:r w:rsidR="00E67E46" w:rsidRPr="003B3332">
          <w:rPr>
            <w:rStyle w:val="Hyperlink"/>
          </w:rPr>
          <w:t>Ilievi și Ganchevi împotriva Bulgariei</w:t>
        </w:r>
      </w:hyperlink>
      <w:r w:rsidR="00E67E46" w:rsidRPr="003B3332">
        <w:t>, 2021, pct. 60, în care toți membrii familiei care au asistat la arestarea rudelor în casa lor erau adulți).</w:t>
      </w:r>
    </w:p>
    <w:p w14:paraId="35D4E615" w14:textId="3762AB6F" w:rsidR="005F5E9C" w:rsidRPr="003B3332" w:rsidRDefault="004713AB" w:rsidP="006751F0">
      <w:pPr>
        <w:pStyle w:val="ECHRParaSpaced"/>
      </w:pPr>
      <w:r>
        <w:fldChar w:fldCharType="begin"/>
      </w:r>
      <w:r>
        <w:instrText xml:space="preserve"> SEQ level0 \*arabic \* MERGEFORMAT </w:instrText>
      </w:r>
      <w:r>
        <w:fldChar w:fldCharType="separate"/>
      </w:r>
      <w:r w:rsidR="000862FF">
        <w:rPr>
          <w:noProof/>
        </w:rPr>
        <w:t>41</w:t>
      </w:r>
      <w:r>
        <w:fldChar w:fldCharType="end"/>
      </w:r>
      <w:r w:rsidR="00FA7743" w:rsidRPr="003B3332">
        <w:t xml:space="preserve">.  Pentru folosirea forței în contextul specific al detenției, a se vedea </w:t>
      </w:r>
      <w:hyperlink r:id="rId134" w:history="1">
        <w:r w:rsidR="00FA7743" w:rsidRPr="003B3332">
          <w:rPr>
            <w:rStyle w:val="Hyperlink"/>
          </w:rPr>
          <w:t>Ghid privind jurisprudența derivată din Convenția europeană a drepturilor omului – Drepturile persoanelor private de libertate</w:t>
        </w:r>
      </w:hyperlink>
      <w:r w:rsidR="00FA7743" w:rsidRPr="003B3332">
        <w:t xml:space="preserve"> în contextul specific al adunărilor și al demonstrațiilor publice, a se vedea </w:t>
      </w:r>
      <w:hyperlink r:id="rId135" w:history="1">
        <w:r w:rsidR="00FA7743" w:rsidRPr="003B3332">
          <w:rPr>
            <w:rStyle w:val="Hyperlink"/>
          </w:rPr>
          <w:t>Ghid privind jurisprudența derivată din Convenția europeană a drepturilor omului – Proteste în masă</w:t>
        </w:r>
      </w:hyperlink>
      <w:r w:rsidR="00FA7743" w:rsidRPr="003B3332">
        <w:t>.</w:t>
      </w:r>
    </w:p>
    <w:p w14:paraId="48AC6D6B" w14:textId="0158B5FD" w:rsidR="005F5E9C" w:rsidRPr="003B3332" w:rsidRDefault="005F5E9C" w:rsidP="005F5E9C">
      <w:pPr>
        <w:pStyle w:val="ECHRHeading3"/>
      </w:pPr>
      <w:bookmarkStart w:id="34" w:name="_Toc180674903"/>
      <w:r w:rsidRPr="003B3332">
        <w:t>Folosirea mijloacelor sau a măsurilor specifice de constrângere</w:t>
      </w:r>
      <w:bookmarkEnd w:id="34"/>
    </w:p>
    <w:p w14:paraId="032460EE" w14:textId="51B8E93F" w:rsidR="00677D44" w:rsidRPr="003B3332" w:rsidRDefault="004713AB" w:rsidP="007C3ABC">
      <w:pPr>
        <w:pStyle w:val="ECHRParaSpaced"/>
      </w:pPr>
      <w:r>
        <w:fldChar w:fldCharType="begin"/>
      </w:r>
      <w:r>
        <w:instrText xml:space="preserve"> SEQ level0 \*arabic \* MERGEFORMAT </w:instrText>
      </w:r>
      <w:r>
        <w:fldChar w:fldCharType="separate"/>
      </w:r>
      <w:r w:rsidR="000862FF">
        <w:rPr>
          <w:noProof/>
        </w:rPr>
        <w:t>42</w:t>
      </w:r>
      <w:r>
        <w:fldChar w:fldCharType="end"/>
      </w:r>
      <w:r w:rsidR="00FA7743" w:rsidRPr="003B3332">
        <w:t>.  Folosirea mijloacelor de constrângere, precum cătușele, nu ridică în general o problemă sub incidența art. 3 din Convenție în cazul în care măsura se impune în legătură cu o arestare sau o privare de libertate legale și nu implică folosirea forței, sau expunerea în public, peste nivelul considerat necesar într-un mod rezonabil în circumstanțele date (</w:t>
      </w:r>
      <w:hyperlink r:id="rId136" w:history="1">
        <w:r w:rsidR="00FA7743" w:rsidRPr="003B3332">
          <w:rPr>
            <w:rStyle w:val="Hyperlink"/>
          </w:rPr>
          <w:t>Shlykov și alții împotriva Rusiei</w:t>
        </w:r>
      </w:hyperlink>
      <w:r w:rsidR="00FA7743" w:rsidRPr="003B3332">
        <w:rPr>
          <w:color w:val="000000"/>
        </w:rPr>
        <w:t>,</w:t>
      </w:r>
      <w:r w:rsidR="00FA7743" w:rsidRPr="003B3332">
        <w:t xml:space="preserve"> 2021, pct. 72).  Curtea consideră că sunt importante circumstanțele fiecărei cauze și examinează dacă folosirea constrângerilor a fost necesară (</w:t>
      </w:r>
      <w:hyperlink r:id="rId137" w:history="1">
        <w:r w:rsidR="00FA7743" w:rsidRPr="003B3332">
          <w:rPr>
            <w:rStyle w:val="Hyperlink"/>
          </w:rPr>
          <w:t>Pranjić-M-Lukić împotriva Bosniei și Herțegovinei</w:t>
        </w:r>
      </w:hyperlink>
      <w:r w:rsidR="00FA7743" w:rsidRPr="003B3332">
        <w:t>, 2020, pct. 72).  În această privință, prezintă importanță faptul dacă, de exemplu, sunt motive pentru a crede că persoana vizată ar rezista arestării sau ar încerca să se eschiveze, sau ar provoca răni ori prejudicii sau ar distruge probe [</w:t>
      </w:r>
      <w:hyperlink r:id="rId138" w:history="1">
        <w:r w:rsidR="00FA7743" w:rsidRPr="003B3332">
          <w:rPr>
            <w:rStyle w:val="Hyperlink"/>
          </w:rPr>
          <w:t xml:space="preserve">Svinarenko şi Slyadnev împotriva Rusiei </w:t>
        </w:r>
      </w:hyperlink>
      <w:r w:rsidR="00FA7743" w:rsidRPr="003B3332">
        <w:t xml:space="preserve"> (MC), 2014, pct. 117 și cauzele citate în aceasta].</w:t>
      </w:r>
    </w:p>
    <w:p w14:paraId="6EA4F46C" w14:textId="07455DD9" w:rsidR="005F5E9C" w:rsidRPr="003B3332" w:rsidRDefault="004713AB" w:rsidP="007C3ABC">
      <w:pPr>
        <w:pStyle w:val="ECHRParaSpaced"/>
        <w:rPr>
          <w:color w:val="000000"/>
        </w:rPr>
      </w:pPr>
      <w:r>
        <w:fldChar w:fldCharType="begin"/>
      </w:r>
      <w:r>
        <w:instrText xml:space="preserve"> SEQ level0 \*arabic \* MERGEFORMAT </w:instrText>
      </w:r>
      <w:r>
        <w:fldChar w:fldCharType="separate"/>
      </w:r>
      <w:r w:rsidR="000862FF">
        <w:rPr>
          <w:noProof/>
        </w:rPr>
        <w:t>43</w:t>
      </w:r>
      <w:r>
        <w:fldChar w:fldCharType="end"/>
      </w:r>
      <w:r w:rsidR="00FA7743" w:rsidRPr="003B3332">
        <w:t>.  În special, Curtea a hotărât că uzul cătușelor ar putea fi necesar în ocazii specifice, precum transferările în afara penitenciarului; când se face pe perioade scurte sau atunci când constituie o măsură individuală și revizuibilă periodic față de reclamant, care este legată de o apreciere personală a riscului bazată pe comportamentul acestuia (</w:t>
      </w:r>
      <w:hyperlink r:id="rId139" w:history="1">
        <w:r w:rsidR="00FA7743" w:rsidRPr="003B3332">
          <w:rPr>
            <w:rStyle w:val="Hyperlink"/>
          </w:rPr>
          <w:t>Shlykov și alții împotriva Rusiei</w:t>
        </w:r>
      </w:hyperlink>
      <w:r w:rsidR="00FA7743" w:rsidRPr="003B3332">
        <w:t>, 2021, pct. 73).</w:t>
      </w:r>
      <w:r w:rsidR="00FA7743" w:rsidRPr="003B3332">
        <w:rPr>
          <w:color w:val="000000"/>
        </w:rPr>
        <w:t xml:space="preserve"> </w:t>
      </w:r>
      <w:r w:rsidR="00FA7743" w:rsidRPr="003B3332">
        <w:t>Atunci când apreciază nivelul de gravitate în acest context, Curtea evaluează o varietate de factori, precum: severitatea sentinței reclamantului; cazierul și istoricul violențelor sale; dacă măsura respectă legislația națională; proporționalitatea măsurii față de comportamentul persoanei; legalitatea detenției; natura publică a tratamentului; consecințele pentru sănătate; starea de sănătate a reclamantului; alte condiții de securitate aplicate; și perioada în care au fost aplicate cătușele (</w:t>
      </w:r>
      <w:hyperlink r:id="rId140" w:history="1">
        <w:r w:rsidR="00FA7743" w:rsidRPr="003B3332">
          <w:rPr>
            <w:rStyle w:val="Hyperlink"/>
          </w:rPr>
          <w:t>Shlykov și alții împotriva Rusiei</w:t>
        </w:r>
      </w:hyperlink>
      <w:r w:rsidR="00FA7743" w:rsidRPr="003B3332">
        <w:t>, 2021, pct. 73 și cauzele menționate în aceasta).</w:t>
      </w:r>
    </w:p>
    <w:p w14:paraId="4941C93F" w14:textId="7923AC6E" w:rsidR="005F5E9C" w:rsidRPr="003B3332" w:rsidRDefault="004713AB" w:rsidP="007C3ABC">
      <w:pPr>
        <w:pStyle w:val="ECHRParaSpaced"/>
      </w:pPr>
      <w:r>
        <w:fldChar w:fldCharType="begin"/>
      </w:r>
      <w:r>
        <w:instrText xml:space="preserve"> SEQ level0 \*arabic \* MERGEFORMAT </w:instrText>
      </w:r>
      <w:r>
        <w:fldChar w:fldCharType="separate"/>
      </w:r>
      <w:r w:rsidR="000862FF">
        <w:rPr>
          <w:noProof/>
        </w:rPr>
        <w:t>44</w:t>
      </w:r>
      <w:r>
        <w:fldChar w:fldCharType="end"/>
      </w:r>
      <w:r w:rsidR="00FA7743" w:rsidRPr="003B3332">
        <w:t xml:space="preserve">.  În ceea ce privește utilizarea </w:t>
      </w:r>
      <w:r w:rsidR="00FA7743" w:rsidRPr="003B3332">
        <w:rPr>
          <w:i/>
          <w:iCs/>
        </w:rPr>
        <w:t>spray-ului cu piper</w:t>
      </w:r>
      <w:r w:rsidR="00FA7743" w:rsidRPr="003B3332">
        <w:rPr>
          <w:i/>
        </w:rPr>
        <w:t xml:space="preserve"> </w:t>
      </w:r>
      <w:r w:rsidR="00FA7743" w:rsidRPr="003B3332">
        <w:t>în aplicarea legii</w:t>
      </w:r>
      <w:r w:rsidR="00FA7743" w:rsidRPr="003B3332">
        <w:rPr>
          <w:i/>
        </w:rPr>
        <w:t xml:space="preserve">, </w:t>
      </w:r>
      <w:r w:rsidR="00FA7743" w:rsidRPr="003B3332">
        <w:t>Curtea a confirmat recomandările Comitetului European pentru Prevenirea Torturii și a Tratamentelor sau Pedepselor inumane sau degradante (CPT). Potrivit CPT, spray-ul cu piper este o substanță potențial periculoasă și nu trebuie folosită în spații închise: dacă în mod excepțional este necesară folosirea sa spații deschise, trebuie instituite garanții clar definite (</w:t>
      </w:r>
      <w:bookmarkStart w:id="35" w:name="_Hlk93666215"/>
      <w:r w:rsidR="003F4940" w:rsidRPr="003B3332">
        <w:rPr>
          <w:i/>
        </w:rPr>
        <w:fldChar w:fldCharType="begin"/>
      </w:r>
      <w:r w:rsidR="003F4940" w:rsidRPr="003B3332">
        <w:rPr>
          <w:i/>
        </w:rPr>
        <w:instrText xml:space="preserve"> HYPERLINK "https://hudoc.echr.coe.int/eng?i=001-140785" </w:instrText>
      </w:r>
      <w:r w:rsidR="003F4940" w:rsidRPr="003B3332">
        <w:rPr>
          <w:i/>
        </w:rPr>
        <w:fldChar w:fldCharType="separate"/>
      </w:r>
      <w:r w:rsidR="00FA7743" w:rsidRPr="003B3332">
        <w:rPr>
          <w:rStyle w:val="Hyperlink"/>
        </w:rPr>
        <w:t>Tali împotriva Estoniei</w:t>
      </w:r>
      <w:r w:rsidR="003F4940" w:rsidRPr="003B3332">
        <w:rPr>
          <w:i/>
        </w:rPr>
        <w:fldChar w:fldCharType="end"/>
      </w:r>
      <w:bookmarkEnd w:id="35"/>
      <w:r w:rsidR="00FA7743" w:rsidRPr="003B3332">
        <w:rPr>
          <w:i/>
        </w:rPr>
        <w:t>,</w:t>
      </w:r>
      <w:r w:rsidR="00FA7743" w:rsidRPr="003B3332">
        <w:t xml:space="preserve"> 2014, pct. 78; a se vedea și </w:t>
      </w:r>
      <w:hyperlink r:id="rId141" w:history="1">
        <w:r w:rsidR="00FA7743" w:rsidRPr="003B3332">
          <w:rPr>
            <w:rStyle w:val="Hyperlink"/>
          </w:rPr>
          <w:t>El-Asmar împotriva Danemarcei</w:t>
        </w:r>
      </w:hyperlink>
      <w:r w:rsidR="00FA7743" w:rsidRPr="003B3332">
        <w:t>, 2023, pct. 78-79). În special, nu ar trebui să fie folosit niciodată împotriva unei persoane care a fost deja plasată sub control (</w:t>
      </w:r>
      <w:hyperlink r:id="rId142" w:history="1">
        <w:r w:rsidR="00FA7743" w:rsidRPr="003B3332">
          <w:rPr>
            <w:rStyle w:val="Hyperlink"/>
          </w:rPr>
          <w:t>İzci împotriva Turciei</w:t>
        </w:r>
      </w:hyperlink>
      <w:r w:rsidR="00FA7743" w:rsidRPr="003B3332">
        <w:t xml:space="preserve">, 2013, pct. 40-41 și </w:t>
      </w:r>
      <w:hyperlink r:id="rId143" w:history="1">
        <w:r w:rsidR="00FA7743" w:rsidRPr="003B3332">
          <w:rPr>
            <w:rStyle w:val="Hyperlink"/>
          </w:rPr>
          <w:t>Ali Güneş împotriva Turciei</w:t>
        </w:r>
      </w:hyperlink>
      <w:r w:rsidR="00FA7743" w:rsidRPr="003B3332">
        <w:t>, 2012, pct. 39-40).</w:t>
      </w:r>
    </w:p>
    <w:p w14:paraId="7BD25305" w14:textId="62E41728" w:rsidR="005F5E9C" w:rsidRPr="003B3332" w:rsidRDefault="004713AB" w:rsidP="007C3ABC">
      <w:pPr>
        <w:pStyle w:val="ECHRParaSpaced"/>
      </w:pPr>
      <w:r>
        <w:fldChar w:fldCharType="begin"/>
      </w:r>
      <w:r>
        <w:instrText xml:space="preserve"> SEQ level0 \*arabic \* MERGEFORMAT </w:instrText>
      </w:r>
      <w:r>
        <w:fldChar w:fldCharType="separate"/>
      </w:r>
      <w:r w:rsidR="000862FF">
        <w:rPr>
          <w:noProof/>
        </w:rPr>
        <w:t>45</w:t>
      </w:r>
      <w:r>
        <w:fldChar w:fldCharType="end"/>
      </w:r>
      <w:r w:rsidR="00FA7743" w:rsidRPr="003B3332">
        <w:t>.  În mod similar, Curtea a făcut referire la rezervele serioase ale CPT cu privire la folosirea armelor cu electroșocuri, în mod deosebit, atunci când sunt aplicate prin contact, deoarece produc suferință intensă și incapacitate temporară. În această privință, Curtea a subliniat că agenții de aplicare a legii instruiți corespunzător dispun de multe alte tehnici de control atunci când se află la foarte mică distanță de persoana care trebuie adusă sub controlul lor (</w:t>
      </w:r>
      <w:hyperlink r:id="rId144" w:history="1">
        <w:r w:rsidR="00FA7743" w:rsidRPr="003B3332">
          <w:rPr>
            <w:rStyle w:val="Hyperlink"/>
          </w:rPr>
          <w:t>Anzhelo Georgiev și alții împotriva Bulgariei</w:t>
        </w:r>
      </w:hyperlink>
      <w:r w:rsidR="00FA7743" w:rsidRPr="003B3332">
        <w:t>, 2014 pct. 75-76).</w:t>
      </w:r>
    </w:p>
    <w:p w14:paraId="4EC7DE8D" w14:textId="4AA88412" w:rsidR="005F5E9C" w:rsidRPr="003B3332" w:rsidRDefault="004713AB" w:rsidP="007C3ABC">
      <w:pPr>
        <w:pStyle w:val="ECHRParaSpaced"/>
      </w:pPr>
      <w:r>
        <w:fldChar w:fldCharType="begin"/>
      </w:r>
      <w:r>
        <w:instrText xml:space="preserve"> SEQ level0 \*arabic \* MERGEFORMAT </w:instrText>
      </w:r>
      <w:r>
        <w:fldChar w:fldCharType="separate"/>
      </w:r>
      <w:r w:rsidR="000862FF">
        <w:rPr>
          <w:noProof/>
        </w:rPr>
        <w:t>46</w:t>
      </w:r>
      <w:r>
        <w:fldChar w:fldCharType="end"/>
      </w:r>
      <w:r w:rsidR="00FA7743" w:rsidRPr="003B3332">
        <w:t>.  În ceea ce privește ținerea unei persoane într-o cușcă de metal pe durata procesului, Curtea a constatat că o asemenea măsură – având în vedere natura sa în mod obiectiv degradantă, incompatibilă cu normele comportamentului civilizat care este semnul distinctiv al unei societăți democratice – constituie în sine un afront la adresa demnității umane cu încălcarea art. 3 din Convenție [</w:t>
      </w:r>
      <w:hyperlink r:id="rId145" w:history="1">
        <w:r w:rsidR="00FA7743" w:rsidRPr="003B3332">
          <w:rPr>
            <w:rStyle w:val="Hyperlink"/>
          </w:rPr>
          <w:t>Svinarenko și Slydanev împotriva Rusiei (MC) nr.</w:t>
        </w:r>
      </w:hyperlink>
      <w:r w:rsidR="00FA7743" w:rsidRPr="003B3332">
        <w:t xml:space="preserve"> (MC), 2014, pct. 138; a se vedea și </w:t>
      </w:r>
      <w:hyperlink r:id="rId146" w:history="1">
        <w:r w:rsidR="00FA7743" w:rsidRPr="003B3332">
          <w:rPr>
            <w:rStyle w:val="Hyperlink"/>
          </w:rPr>
          <w:t>Karachentsev împotriva Rusiei</w:t>
        </w:r>
      </w:hyperlink>
      <w:r w:rsidR="00FA7743" w:rsidRPr="003B3332">
        <w:t xml:space="preserve">, 2018, pct. 53, în care reclamantul a luat parte la procesul său </w:t>
      </w:r>
      <w:r w:rsidR="00FA7743" w:rsidRPr="003B3332">
        <w:rPr>
          <w:i/>
          <w:iCs/>
        </w:rPr>
        <w:t>via</w:t>
      </w:r>
      <w:r w:rsidR="00FA7743" w:rsidRPr="003B3332">
        <w:t xml:space="preserve"> un link video dintr-o cușcă de metal din interiorul penitenciarului].  Dimpotrivă, plasarea inculpaților în spatele dispozitivelor de separare din sticlă sau în cabine de sticlă nu implică, în sine, un element de umilire suficientă pentru a ajunge la nivelul minim de gravitate.  Acest nivel poate fi atins, totuși, dacă circumstanțele izolării în dispozitive de separare din sticlă sau în cabine de sticlă, considerate în ansamblu, le-ar cauza stres sau suferință de o intensitate peste nivelul inevitabil de suferință inerent detenției (</w:t>
      </w:r>
      <w:hyperlink r:id="rId147" w:history="1">
        <w:r w:rsidR="00FA7743" w:rsidRPr="003B3332">
          <w:rPr>
            <w:rStyle w:val="Hyperlink"/>
          </w:rPr>
          <w:t>Yaroslav Belousov împotriva Rusiei</w:t>
        </w:r>
      </w:hyperlink>
      <w:r w:rsidR="00FA7743" w:rsidRPr="003B3332">
        <w:t>, 2016, pct. 125).</w:t>
      </w:r>
    </w:p>
    <w:p w14:paraId="6B9C355D" w14:textId="4107D0DE" w:rsidR="005F0FF0" w:rsidRPr="003B3332" w:rsidRDefault="004713AB" w:rsidP="007C3ABC">
      <w:pPr>
        <w:pStyle w:val="ECHRParaSpaced"/>
      </w:pPr>
      <w:r>
        <w:fldChar w:fldCharType="begin"/>
      </w:r>
      <w:r>
        <w:instrText xml:space="preserve"> SEQ level0 \*arabic \* MERGEFORMAT </w:instrText>
      </w:r>
      <w:r>
        <w:fldChar w:fldCharType="separate"/>
      </w:r>
      <w:r w:rsidR="000862FF">
        <w:rPr>
          <w:noProof/>
        </w:rPr>
        <w:t>47</w:t>
      </w:r>
      <w:r>
        <w:fldChar w:fldCharType="end"/>
      </w:r>
      <w:r w:rsidR="00FA7743" w:rsidRPr="003B3332">
        <w:t xml:space="preserve">.  Pentru folosirea unor asemenea tehnici și a altora în contextul specific al detenției, a se vedea </w:t>
      </w:r>
      <w:hyperlink r:id="rId148" w:history="1">
        <w:r w:rsidR="00FA7743" w:rsidRPr="003B3332">
          <w:rPr>
            <w:rStyle w:val="Hyperlink"/>
          </w:rPr>
          <w:t>Ghid privind jurisprudența derivată din Convenția europeană a drepturilor omului – Drepturile persoanelor private de libertate</w:t>
        </w:r>
      </w:hyperlink>
      <w:r w:rsidR="00FA7743" w:rsidRPr="003B3332">
        <w:t>.</w:t>
      </w:r>
    </w:p>
    <w:p w14:paraId="08E2FED5" w14:textId="59A5AB1A" w:rsidR="00C901E1" w:rsidRPr="003B3332" w:rsidRDefault="005F0FF0" w:rsidP="00DE4F63">
      <w:pPr>
        <w:pStyle w:val="ECHRHeading2"/>
      </w:pPr>
      <w:bookmarkStart w:id="36" w:name="_Toc180674904"/>
      <w:r w:rsidRPr="003B3332">
        <w:t>Percheziția corporală sau intimă</w:t>
      </w:r>
      <w:bookmarkEnd w:id="36"/>
    </w:p>
    <w:p w14:paraId="7F073C40" w14:textId="34A7D4FC" w:rsidR="00CB3ECA" w:rsidRPr="003B3332" w:rsidRDefault="004713AB" w:rsidP="00503BD1">
      <w:pPr>
        <w:pStyle w:val="ECHRParaSpaced"/>
      </w:pPr>
      <w:r>
        <w:fldChar w:fldCharType="begin"/>
      </w:r>
      <w:r>
        <w:instrText xml:space="preserve"> SEQ level0 \*arabic \* MERGEFORMAT </w:instrText>
      </w:r>
      <w:r>
        <w:fldChar w:fldCharType="separate"/>
      </w:r>
      <w:r w:rsidR="000862FF">
        <w:rPr>
          <w:noProof/>
        </w:rPr>
        <w:t>48</w:t>
      </w:r>
      <w:r>
        <w:fldChar w:fldCharType="end"/>
      </w:r>
      <w:r w:rsidR="00503BD1" w:rsidRPr="003B3332">
        <w:t>.  Percheziția corporală sau intimă efectuată în timpul arestării va fi compatibilă cu art. 3 cu condiția să fie efectuată în mod corespunzător cu respectarea demnității umane și în scop legitim (</w:t>
      </w:r>
      <w:hyperlink r:id="rId149" w:history="1">
        <w:r w:rsidR="00503BD1" w:rsidRPr="003B3332">
          <w:rPr>
            <w:rStyle w:val="Hyperlink"/>
          </w:rPr>
          <w:t>Wieser împotriva Austriei</w:t>
        </w:r>
      </w:hyperlink>
      <w:r w:rsidR="00503BD1" w:rsidRPr="003B3332">
        <w:t xml:space="preserve">, 2007, pct. 39; a se vedea și </w:t>
      </w:r>
      <w:hyperlink r:id="rId150" w:history="1">
        <w:r w:rsidR="00503BD1" w:rsidRPr="003B3332">
          <w:rPr>
            <w:rStyle w:val="Hyperlink"/>
          </w:rPr>
          <w:t>Roth împotriva Germaniei</w:t>
        </w:r>
      </w:hyperlink>
      <w:r w:rsidR="00503BD1" w:rsidRPr="003B3332">
        <w:t xml:space="preserve">, 2020, pct. 65 în contextul privării de libertate și </w:t>
      </w:r>
      <w:hyperlink r:id="rId151" w:history="1">
        <w:r w:rsidR="00503BD1" w:rsidRPr="003B3332">
          <w:rPr>
            <w:rStyle w:val="Hyperlink"/>
          </w:rPr>
          <w:t>Ghid privind jurisprudența derivată din Convenția europeană a drepturilor omului – Drepturile persoanelor private de libertate</w:t>
        </w:r>
      </w:hyperlink>
      <w:r w:rsidR="00503BD1" w:rsidRPr="003B3332">
        <w:t>).</w:t>
      </w:r>
    </w:p>
    <w:p w14:paraId="5136A33A" w14:textId="06952C0A" w:rsidR="00286503" w:rsidRPr="003B3332" w:rsidRDefault="00286503" w:rsidP="00DE4F63">
      <w:pPr>
        <w:pStyle w:val="ECHRHeading2"/>
      </w:pPr>
      <w:bookmarkStart w:id="37" w:name="_Toc180674905"/>
      <w:bookmarkStart w:id="38" w:name="_Toc513044488"/>
      <w:bookmarkStart w:id="39" w:name="_Toc80276320"/>
      <w:r w:rsidRPr="003B3332">
        <w:t>Serviciul militar</w:t>
      </w:r>
      <w:bookmarkEnd w:id="37"/>
      <w:r w:rsidRPr="003B3332">
        <w:t xml:space="preserve"> </w:t>
      </w:r>
      <w:bookmarkEnd w:id="38"/>
      <w:bookmarkEnd w:id="39"/>
    </w:p>
    <w:p w14:paraId="3820CDC0" w14:textId="71932633" w:rsidR="00286503" w:rsidRPr="003B3332" w:rsidRDefault="00FE0AEB" w:rsidP="00503BD1">
      <w:pPr>
        <w:pStyle w:val="ECHRParaSpaced"/>
      </w:pPr>
      <w:r w:rsidRPr="003B3332">
        <w:rPr>
          <w:rFonts w:eastAsia="Times New Roman"/>
        </w:rPr>
        <w:fldChar w:fldCharType="begin"/>
      </w:r>
      <w:r w:rsidRPr="003B3332">
        <w:rPr>
          <w:rFonts w:eastAsia="Times New Roman"/>
        </w:rPr>
        <w:instrText xml:space="preserve"> SEQ level0 \*arabic \* MERGEFORMAT </w:instrText>
      </w:r>
      <w:r w:rsidRPr="003B3332">
        <w:rPr>
          <w:rFonts w:eastAsia="Times New Roman"/>
        </w:rPr>
        <w:fldChar w:fldCharType="separate"/>
      </w:r>
      <w:r w:rsidR="000862FF">
        <w:rPr>
          <w:rFonts w:eastAsia="Times New Roman"/>
          <w:noProof/>
        </w:rPr>
        <w:t>49</w:t>
      </w:r>
      <w:r w:rsidRPr="003B3332">
        <w:rPr>
          <w:rFonts w:eastAsia="Times New Roman"/>
        </w:rPr>
        <w:fldChar w:fldCharType="end"/>
      </w:r>
      <w:r w:rsidRPr="003B3332">
        <w:t>.  Serviciul militar obligatoriu implică adesea elemente de suferință și umilire, la fel ca măsurile care privează de libertate aplicate persoanei.  Cu toate acestea, multe acte care ar constitui tratamente degradante sau inumane față de deținuți pot să nu atingă pragul de rele tratamente atunci când apar în cadrul forțelor armate, în măsura în care contribuie la misiunea specifică a forțelor armate prin aceea că fac parte, de exemplu, din pregătirea pentru condițiile de război (</w:t>
      </w:r>
      <w:hyperlink r:id="rId152" w:history="1">
        <w:r w:rsidRPr="003B3332">
          <w:rPr>
            <w:rStyle w:val="Hyperlink"/>
          </w:rPr>
          <w:t>Chember împotriva Rusiei</w:t>
        </w:r>
      </w:hyperlink>
      <w:r w:rsidRPr="003B3332">
        <w:rPr>
          <w:i/>
        </w:rPr>
        <w:t xml:space="preserve">, </w:t>
      </w:r>
      <w:r w:rsidRPr="003B3332">
        <w:t>2008,</w:t>
      </w:r>
      <w:r w:rsidRPr="003B3332">
        <w:rPr>
          <w:i/>
        </w:rPr>
        <w:t xml:space="preserve"> </w:t>
      </w:r>
      <w:r w:rsidRPr="003B3332">
        <w:t>pct. 49).</w:t>
      </w:r>
    </w:p>
    <w:p w14:paraId="60022C8A" w14:textId="397F2839" w:rsidR="00286503" w:rsidRPr="003B3332" w:rsidRDefault="004713AB" w:rsidP="00503BD1">
      <w:pPr>
        <w:pStyle w:val="ECHRParaSpaced"/>
      </w:pPr>
      <w:r>
        <w:fldChar w:fldCharType="begin"/>
      </w:r>
      <w:r>
        <w:instrText xml:space="preserve"> SEQ level0 \*arabic \* MERGEFORMAT </w:instrText>
      </w:r>
      <w:r>
        <w:fldChar w:fldCharType="separate"/>
      </w:r>
      <w:r w:rsidR="000862FF">
        <w:rPr>
          <w:noProof/>
        </w:rPr>
        <w:t>50</w:t>
      </w:r>
      <w:r>
        <w:fldChar w:fldCharType="end"/>
      </w:r>
      <w:r w:rsidR="00FA7743" w:rsidRPr="003B3332">
        <w:t>.  Totuși, statul are datoria de a se asigura că o persoană își îndeplinește serviciul militar în condiții compatibile cu respectarea demnității umane, că procedurile și metodele pregătirii militare nu o supun unui stres sau unor greutăți de o intensitate peste nivelul inevitabil de suferință inerent disciplinei militare și că, date fiind nevoile practice ale serviciului, sănătatea și bunăstarea sa sunt asigurate în mod corespunzător, între altele, prin furnizarea de asistență medicală necesară (</w:t>
      </w:r>
      <w:hyperlink r:id="rId153" w:history="1">
        <w:r w:rsidR="00FA7743" w:rsidRPr="003B3332">
          <w:rPr>
            <w:rStyle w:val="Hyperlink"/>
          </w:rPr>
          <w:t>Chember împotriva Rusiei</w:t>
        </w:r>
      </w:hyperlink>
      <w:r w:rsidR="00FA7743" w:rsidRPr="003B3332">
        <w:t>, 2008, pct. 50).</w:t>
      </w:r>
    </w:p>
    <w:p w14:paraId="712F6062" w14:textId="37338433" w:rsidR="00FE0AEB" w:rsidRPr="003B3332" w:rsidRDefault="00FE0AEB" w:rsidP="00503BD1">
      <w:pPr>
        <w:pStyle w:val="ECHRParaSpaced"/>
      </w:pPr>
      <w:r w:rsidRPr="003B3332">
        <w:rPr>
          <w:rFonts w:eastAsia="Times New Roman"/>
        </w:rPr>
        <w:fldChar w:fldCharType="begin"/>
      </w:r>
      <w:r w:rsidRPr="003B3332">
        <w:rPr>
          <w:rFonts w:eastAsia="Times New Roman"/>
        </w:rPr>
        <w:instrText xml:space="preserve"> SEQ level0 \*arabic \* MERGEFORMAT </w:instrText>
      </w:r>
      <w:r w:rsidRPr="003B3332">
        <w:rPr>
          <w:rFonts w:eastAsia="Times New Roman"/>
        </w:rPr>
        <w:fldChar w:fldCharType="separate"/>
      </w:r>
      <w:r w:rsidR="000862FF">
        <w:rPr>
          <w:rFonts w:eastAsia="Times New Roman"/>
          <w:noProof/>
        </w:rPr>
        <w:t>51</w:t>
      </w:r>
      <w:r w:rsidRPr="003B3332">
        <w:rPr>
          <w:rFonts w:eastAsia="Times New Roman"/>
        </w:rPr>
        <w:fldChar w:fldCharType="end"/>
      </w:r>
      <w:r w:rsidRPr="003B3332">
        <w:t>.  Cu toate că exercițiile fizice provocatoare pot face parte integrantă din disciplina militară, Curtea a subliniat că, pentru a fi compatibile cu art. 3 din Convenție, trebuie să nu depășească nivelul de la care ar pune în pericol sănătatea și bunăstarea recruților sau ar submina demnitatea umană a acestora (</w:t>
      </w:r>
      <w:hyperlink r:id="rId154" w:history="1">
        <w:r w:rsidRPr="003B3332">
          <w:rPr>
            <w:rStyle w:val="Hyperlink"/>
          </w:rPr>
          <w:t>Chember împotriva Rusiei</w:t>
        </w:r>
      </w:hyperlink>
      <w:r w:rsidRPr="003B3332">
        <w:t>, 2008, pct. 51).</w:t>
      </w:r>
    </w:p>
    <w:p w14:paraId="1BF610DA" w14:textId="2FCC8703" w:rsidR="008F45BB" w:rsidRPr="003B3332" w:rsidRDefault="004713AB" w:rsidP="00503BD1">
      <w:pPr>
        <w:pStyle w:val="ECHRParaSpaced"/>
      </w:pPr>
      <w:r>
        <w:fldChar w:fldCharType="begin"/>
      </w:r>
      <w:r>
        <w:instrText xml:space="preserve"> SEQ level0 \*arabic \* MERGEF</w:instrText>
      </w:r>
      <w:r>
        <w:instrText xml:space="preserve">ORMAT </w:instrText>
      </w:r>
      <w:r>
        <w:fldChar w:fldCharType="separate"/>
      </w:r>
      <w:r w:rsidR="000862FF">
        <w:rPr>
          <w:noProof/>
        </w:rPr>
        <w:t>52</w:t>
      </w:r>
      <w:r>
        <w:fldChar w:fldCharType="end"/>
      </w:r>
      <w:r w:rsidR="00FA7743" w:rsidRPr="003B3332">
        <w:t>.  Curtea a constatat, de exemplu, încălcarea art. 3 cu privire la un bărbat cu probleme la genunchi căruia i s-a ordonat să facă 350 de genuflexiuni ca pedeapsă pentru insuficienta curățare a barăcilor (</w:t>
      </w:r>
      <w:hyperlink r:id="rId155" w:history="1">
        <w:r w:rsidR="00FA7743" w:rsidRPr="003B3332">
          <w:rPr>
            <w:rStyle w:val="Hyperlink"/>
          </w:rPr>
          <w:t>Chember împotriva Rusiei</w:t>
        </w:r>
      </w:hyperlink>
      <w:r w:rsidR="00FA7743" w:rsidRPr="003B3332">
        <w:t xml:space="preserve">, 2008, pct. 52-57). La fel, art. 3 a fost încălcat în </w:t>
      </w:r>
      <w:hyperlink r:id="rId156" w:history="1">
        <w:r w:rsidR="00FA7743" w:rsidRPr="003B3332">
          <w:rPr>
            <w:rStyle w:val="Hyperlink"/>
          </w:rPr>
          <w:t>Taştan împotriva Turciei</w:t>
        </w:r>
      </w:hyperlink>
      <w:r w:rsidR="00FA7743" w:rsidRPr="003B3332">
        <w:t xml:space="preserve">, 2008, când un bărbat de 71 de ani a fost chemat pentru a îndeplini serviciul militar și făcut să ia parte la pregătirea rezervată recruților mult mai tineri (pct. 31).  Curtea a considerat, de asemenea, că art. 3 a fost încălcat în </w:t>
      </w:r>
      <w:hyperlink r:id="rId157" w:history="1">
        <w:r w:rsidR="00FA7743" w:rsidRPr="003B3332">
          <w:rPr>
            <w:rStyle w:val="Hyperlink"/>
          </w:rPr>
          <w:t>Lyalyakin împotriva Rusiei</w:t>
        </w:r>
      </w:hyperlink>
      <w:r w:rsidR="00FA7743" w:rsidRPr="003B3332">
        <w:t>, 2015, în care un recrut care a încercat să fugă a fost obligat să stea în fața batalionului având numai chiloții militari (pct. 72-79).</w:t>
      </w:r>
    </w:p>
    <w:p w14:paraId="69E54715" w14:textId="443D22F4" w:rsidR="007A0AF8" w:rsidRPr="003B3332" w:rsidRDefault="00D81CF6" w:rsidP="00C40EAF">
      <w:pPr>
        <w:pStyle w:val="ECHRHeading2"/>
      </w:pPr>
      <w:bookmarkStart w:id="40" w:name="_Toc180674906"/>
      <w:r w:rsidRPr="003B3332">
        <w:t>Condițiile de detenție</w:t>
      </w:r>
      <w:bookmarkEnd w:id="40"/>
    </w:p>
    <w:p w14:paraId="05744013" w14:textId="756DDA58" w:rsidR="007A0AF8" w:rsidRPr="003B3332" w:rsidRDefault="0052442B" w:rsidP="00503BD1">
      <w:pPr>
        <w:pStyle w:val="ECHRParaSpaced"/>
      </w:pPr>
      <w:fldSimple w:instr=" SEQ level0 \*arabic ">
        <w:r w:rsidR="000862FF">
          <w:rPr>
            <w:noProof/>
          </w:rPr>
          <w:t>53</w:t>
        </w:r>
      </w:fldSimple>
      <w:r w:rsidR="007A0AF8" w:rsidRPr="003B3332">
        <w:t>.  Pentru ca detenția să intre în mod specific sub incidența art. 3 din Convenție, suferința și umilirea implicate de aceasta trebuie să depășească elementul inevitabil al suferinței și umilinței specific privării de libertate în sine.  Astfel, autoritățile trebuie să se asigure că o persoană este deținută în condiții compatibile cu respectarea demnității umane, că modul și metoda de executare a unei pedepse privative de libertate sau a altui tip de măsură de detenție nu supun persoana în cauză la stres sau suferințe cu o intensitate peste nivelul inevitabil de suferință inerent detenției și că, date fiind cerințele practice ale detenției, sănătatea și bunăstarea persoanei în cauză sunt asigurate în mod corespunzător [</w:t>
      </w:r>
      <w:hyperlink r:id="rId158" w:history="1">
        <w:r w:rsidR="007A0AF8" w:rsidRPr="003B3332">
          <w:rPr>
            <w:rStyle w:val="Hyperlink"/>
          </w:rPr>
          <w:t>Neshkov și alții împotriva Bulgariei</w:t>
        </w:r>
      </w:hyperlink>
      <w:r w:rsidR="007A0AF8" w:rsidRPr="003B3332">
        <w:t xml:space="preserve">, 2015, pct. 227 și </w:t>
      </w:r>
      <w:hyperlink r:id="rId159" w:history="1">
        <w:r w:rsidR="007A0AF8" w:rsidRPr="003B3332">
          <w:rPr>
            <w:rStyle w:val="Hyperlink"/>
          </w:rPr>
          <w:t>Muršić împotriva Croației</w:t>
        </w:r>
      </w:hyperlink>
      <w:r w:rsidR="007A0AF8" w:rsidRPr="003B3332">
        <w:t xml:space="preserve"> (MC), 2016, pct. 99].</w:t>
      </w:r>
    </w:p>
    <w:p w14:paraId="30180CB2" w14:textId="4229E090" w:rsidR="007A0AF8" w:rsidRPr="003B3332" w:rsidRDefault="0052442B" w:rsidP="00503BD1">
      <w:pPr>
        <w:pStyle w:val="ECHRParaSpaced"/>
      </w:pPr>
      <w:fldSimple w:instr=" SEQ level0 \*arabic ">
        <w:r w:rsidR="000862FF">
          <w:rPr>
            <w:noProof/>
          </w:rPr>
          <w:t>54</w:t>
        </w:r>
      </w:fldSimple>
      <w:r w:rsidR="007A0AF8" w:rsidRPr="003B3332">
        <w:t>.  Atunci când sunt evaluate condițiile de detenție, trebuie să se țină seama de efectele cumulate ale condițiilor respective, precum și de afirmațiile specifice făcute de reclamant.  Trebuie luată în considerare, de asemenea, durata perioadei în care o persoană este deținută în acele condiții specifice [</w:t>
      </w:r>
      <w:hyperlink r:id="rId160" w:history="1">
        <w:r w:rsidR="007A0AF8" w:rsidRPr="003B3332">
          <w:rPr>
            <w:rStyle w:val="Hyperlink"/>
          </w:rPr>
          <w:t>Ananyev și alții împotriva Rusiei</w:t>
        </w:r>
      </w:hyperlink>
      <w:r w:rsidR="007A0AF8" w:rsidRPr="003B3332">
        <w:t xml:space="preserve">, 2012, pct. 142; </w:t>
      </w:r>
      <w:hyperlink r:id="rId161" w:history="1">
        <w:r w:rsidR="007A0AF8" w:rsidRPr="003B3332">
          <w:rPr>
            <w:rStyle w:val="Hyperlink"/>
          </w:rPr>
          <w:t>Idalov împotriva Rusiei</w:t>
        </w:r>
      </w:hyperlink>
      <w:r w:rsidR="007A0AF8" w:rsidRPr="003B3332">
        <w:t xml:space="preserve"> (MC), 2012, pct. 94 și </w:t>
      </w:r>
      <w:hyperlink r:id="rId162" w:history="1">
        <w:r w:rsidR="007A0AF8" w:rsidRPr="003B3332">
          <w:rPr>
            <w:rStyle w:val="Hyperlink"/>
          </w:rPr>
          <w:t>Muršić împotriva Croației</w:t>
        </w:r>
      </w:hyperlink>
      <w:r w:rsidR="007A0AF8" w:rsidRPr="003B3332">
        <w:t xml:space="preserve"> (MC), 2016, pct. 101].</w:t>
      </w:r>
    </w:p>
    <w:p w14:paraId="2F4C27ED" w14:textId="1DC1606E" w:rsidR="007A0AF8" w:rsidRPr="003B3332" w:rsidRDefault="0052442B" w:rsidP="00503BD1">
      <w:pPr>
        <w:pStyle w:val="ECHRParaSpaced"/>
      </w:pPr>
      <w:fldSimple w:instr=" SEQ level0 \*arabic ">
        <w:r w:rsidR="000862FF">
          <w:rPr>
            <w:noProof/>
          </w:rPr>
          <w:t>55</w:t>
        </w:r>
      </w:fldSimple>
      <w:r w:rsidR="009B638B" w:rsidRPr="003B3332">
        <w:t xml:space="preserve">.  Informații mai detaliate pot fi găsite în </w:t>
      </w:r>
      <w:hyperlink r:id="rId163" w:history="1">
        <w:r w:rsidR="009B638B" w:rsidRPr="003B3332">
          <w:rPr>
            <w:rStyle w:val="Hyperlink"/>
          </w:rPr>
          <w:t>Ghid privind jurisprudența derivată din Convenția europeană a drepturilor omului – Drepturile persoanelor private de libertate</w:t>
        </w:r>
      </w:hyperlink>
      <w:r w:rsidR="009B638B" w:rsidRPr="003B3332">
        <w:t>.</w:t>
      </w:r>
    </w:p>
    <w:p w14:paraId="7B5D05E1" w14:textId="7CC8BE2A" w:rsidR="0044727B" w:rsidRPr="003B3332" w:rsidRDefault="007A0AF8" w:rsidP="0044727B">
      <w:pPr>
        <w:pStyle w:val="ECHRHeading2"/>
      </w:pPr>
      <w:bookmarkStart w:id="41" w:name="_Toc180674907"/>
      <w:r w:rsidRPr="003B3332">
        <w:t>Tratamentul medical în timpul detenției</w:t>
      </w:r>
      <w:bookmarkEnd w:id="41"/>
    </w:p>
    <w:p w14:paraId="26613C2A" w14:textId="7997065F" w:rsidR="0044727B" w:rsidRPr="003B3332" w:rsidRDefault="004713AB" w:rsidP="00503BD1">
      <w:pPr>
        <w:pStyle w:val="ECHRParaSpaced"/>
      </w:pPr>
      <w:r>
        <w:fldChar w:fldCharType="begin"/>
      </w:r>
      <w:r>
        <w:instrText xml:space="preserve"> SEQ level0 \*arabic \* MERGEFORMAT </w:instrText>
      </w:r>
      <w:r>
        <w:fldChar w:fldCharType="separate"/>
      </w:r>
      <w:r w:rsidR="000862FF">
        <w:rPr>
          <w:noProof/>
        </w:rPr>
        <w:t>56</w:t>
      </w:r>
      <w:r>
        <w:fldChar w:fldCharType="end"/>
      </w:r>
      <w:r w:rsidR="00FA7743" w:rsidRPr="003B3332">
        <w:t>.  Art. 3 impune statului obligația de a proteja starea fizică bună a persoanelor private de libertate acordându-le, între altele, îngrijirile medicale necesare [</w:t>
      </w:r>
      <w:bookmarkStart w:id="42" w:name="_Hlk93400323"/>
      <w:r w:rsidR="005B3C01" w:rsidRPr="003B3332">
        <w:rPr>
          <w:i/>
        </w:rPr>
        <w:fldChar w:fldCharType="begin"/>
      </w:r>
      <w:r w:rsidR="005B3C01" w:rsidRPr="003B3332">
        <w:rPr>
          <w:i/>
        </w:rPr>
        <w:instrText xml:space="preserve"> HYPERLINK "https://hudoc.echr.coe.int/eng?i=001-161822" </w:instrText>
      </w:r>
      <w:r w:rsidR="005B3C01" w:rsidRPr="003B3332">
        <w:rPr>
          <w:i/>
        </w:rPr>
        <w:fldChar w:fldCharType="separate"/>
      </w:r>
      <w:r w:rsidR="00FA7743" w:rsidRPr="003B3332">
        <w:rPr>
          <w:rStyle w:val="Hyperlink"/>
        </w:rPr>
        <w:t>Blokhin împotriva Rusiei</w:t>
      </w:r>
      <w:r w:rsidR="005B3C01" w:rsidRPr="003B3332">
        <w:rPr>
          <w:i/>
        </w:rPr>
        <w:fldChar w:fldCharType="end"/>
      </w:r>
      <w:bookmarkEnd w:id="42"/>
      <w:r w:rsidR="00FA7743" w:rsidRPr="003B3332">
        <w:rPr>
          <w:i/>
        </w:rPr>
        <w:t xml:space="preserve"> </w:t>
      </w:r>
      <w:r w:rsidR="00FA7743" w:rsidRPr="003B3332">
        <w:t xml:space="preserve">(MC), 2016, pct. 136 și </w:t>
      </w:r>
      <w:hyperlink r:id="rId164" w:history="1">
        <w:r w:rsidR="00FA7743" w:rsidRPr="003B3332">
          <w:rPr>
            <w:rStyle w:val="Hyperlink"/>
          </w:rPr>
          <w:t>Mozer împotriva Moldovei și Rusiei</w:t>
        </w:r>
      </w:hyperlink>
      <w:r w:rsidR="00FA7743" w:rsidRPr="003B3332">
        <w:t xml:space="preserve"> (MC), pct. 178].</w:t>
      </w:r>
    </w:p>
    <w:p w14:paraId="258A0DF3" w14:textId="7E3D175E" w:rsidR="00CF18EA" w:rsidRPr="003B3332" w:rsidRDefault="004713AB" w:rsidP="00503BD1">
      <w:pPr>
        <w:pStyle w:val="ECHRParaSpaced"/>
      </w:pPr>
      <w:r>
        <w:fldChar w:fldCharType="begin"/>
      </w:r>
      <w:r>
        <w:instrText xml:space="preserve"> SEQ level0 \*arabic \* MERGEFORMAT </w:instrText>
      </w:r>
      <w:r>
        <w:fldChar w:fldCharType="separate"/>
      </w:r>
      <w:r w:rsidR="000862FF">
        <w:rPr>
          <w:noProof/>
        </w:rPr>
        <w:t>57</w:t>
      </w:r>
      <w:r>
        <w:fldChar w:fldCharType="end"/>
      </w:r>
      <w:r w:rsidR="00CF18EA" w:rsidRPr="003B3332">
        <w:t>.  În această privință, simplul fapt că un deținut a fost văzut de un medic și i s-a prescris un anumit tip de tratament nu poate duce automat la concluzia că asistența medicală a fost corespunzătoare. Autoritățile trebuie să se asigure totodată că se păstrează un dosar complet privind starea de sănătate a deținutului și tratamentul său din cursul detenției, că diagnosticul și îngrijirile sunt prompte și corecte, precum și că, acolo unde natura afecțiunii medicale o impune, supravegherea este periodică și sistematică și implică o strategie terapeutică menită să trateze corespunzător problemele de sănătate ale deținutului sau să prevină agravarea lor, mai degrabă decât să le abordeze în mod simptomatic.  Autoritățile trebuie să arate totodată că au fost create condițiile necesare pentru ca tratamentul prescris să fie într-adevăr urmat complet. În plus, tratamentul medical acordat în penitenciare trebuie să fie adecvat, adică la un nivel comparabil cu cel pe care autoritățile statului s-au angajat să-l asigure populației în ansamblu. Totuși, acest lucru nu înseamnă că fiecărei persoane private de libertate trebuie să i se garanteze același nivel de tratament medical care este disponibil în cele mai bune centre de sănătate din afara penitenciarelor. Atunci când tratamentul nu poate fi instituit la locul detenției, trebuie să fie posibilă transferarea deținutului la spital sau la o unitate specializată [</w:t>
      </w:r>
      <w:hyperlink r:id="rId165" w:history="1">
        <w:r w:rsidR="00CF18EA" w:rsidRPr="003B3332">
          <w:rPr>
            <w:rStyle w:val="Hyperlink"/>
          </w:rPr>
          <w:t>Rooman împotriva Belgiei</w:t>
        </w:r>
      </w:hyperlink>
      <w:r w:rsidR="00CF18EA" w:rsidRPr="003B3332">
        <w:t xml:space="preserve"> (MC), 2019, pct. 147-148].</w:t>
      </w:r>
    </w:p>
    <w:p w14:paraId="157E3919" w14:textId="4D31699F" w:rsidR="0044727B" w:rsidRPr="003B3332" w:rsidRDefault="004713AB" w:rsidP="0044727B">
      <w:pPr>
        <w:pStyle w:val="ECHRParaSpaced"/>
      </w:pPr>
      <w:r>
        <w:fldChar w:fldCharType="begin"/>
      </w:r>
      <w:r>
        <w:instrText xml:space="preserve"> SEQ level0 \*arabic \* MERGEFORMAT </w:instrText>
      </w:r>
      <w:r>
        <w:fldChar w:fldCharType="separate"/>
      </w:r>
      <w:r w:rsidR="000862FF">
        <w:rPr>
          <w:noProof/>
        </w:rPr>
        <w:t>58</w:t>
      </w:r>
      <w:r>
        <w:fldChar w:fldCharType="end"/>
      </w:r>
      <w:r w:rsidR="0044727B" w:rsidRPr="003B3332">
        <w:t xml:space="preserve">.  Informații mai detaliate pot fi găsite în </w:t>
      </w:r>
      <w:hyperlink r:id="rId166" w:history="1">
        <w:r w:rsidR="0044727B" w:rsidRPr="003B3332">
          <w:rPr>
            <w:rStyle w:val="Hyperlink"/>
          </w:rPr>
          <w:t>Ghid privind jurisprudența derivată din Convenția europeană a drepturilor omului – Drepturile persoanelor private de libertate</w:t>
        </w:r>
      </w:hyperlink>
      <w:r w:rsidR="0044727B" w:rsidRPr="003B3332">
        <w:t>.</w:t>
      </w:r>
    </w:p>
    <w:p w14:paraId="279632A6" w14:textId="7160C7AA" w:rsidR="00A27772" w:rsidRPr="003B3332" w:rsidRDefault="00B2569B" w:rsidP="00C40EAF">
      <w:pPr>
        <w:pStyle w:val="ECHRHeading2"/>
      </w:pPr>
      <w:bookmarkStart w:id="43" w:name="_Toc180674908"/>
      <w:r w:rsidRPr="003B3332">
        <w:t>Suferința rudelor victimei</w:t>
      </w:r>
      <w:bookmarkEnd w:id="43"/>
    </w:p>
    <w:p w14:paraId="4C9F559A" w14:textId="54AA81F0" w:rsidR="00E94075" w:rsidRPr="003B3332" w:rsidRDefault="0050246E" w:rsidP="00E94075">
      <w:pPr>
        <w:pStyle w:val="ECHRHeading3"/>
      </w:pPr>
      <w:bookmarkStart w:id="44" w:name="_Toc180674909"/>
      <w:r w:rsidRPr="003B3332">
        <w:t>Observații preliminare</w:t>
      </w:r>
      <w:bookmarkEnd w:id="44"/>
    </w:p>
    <w:p w14:paraId="48654C60" w14:textId="3AC5D583" w:rsidR="005E7107" w:rsidRPr="003B3332" w:rsidRDefault="004713AB" w:rsidP="00503BD1">
      <w:pPr>
        <w:pStyle w:val="ECHRParaSpaced"/>
      </w:pPr>
      <w:r>
        <w:fldChar w:fldCharType="begin"/>
      </w:r>
      <w:r>
        <w:instrText xml:space="preserve"> SEQ level0 \*arabic \* MERGEFORMAT </w:instrText>
      </w:r>
      <w:r>
        <w:fldChar w:fldCharType="separate"/>
      </w:r>
      <w:r w:rsidR="000862FF">
        <w:rPr>
          <w:noProof/>
        </w:rPr>
        <w:t>59</w:t>
      </w:r>
      <w:r>
        <w:fldChar w:fldCharType="end"/>
      </w:r>
      <w:r w:rsidR="003F0E47" w:rsidRPr="003B3332">
        <w:t>.  Curtea a fost întotdeauna sensibilă, în jurisprudența sa, la impactul psihologic profund pe care o gravă încălcare a drepturilor omului îl are asupra membrilor din familia victimei care sunt reclamanți în fața Curții.  Cu toate acestea, pentru a se constata o încălcare separată a art. 3 din Convenție în privința rudelor victimei, trebuie să existe factori speciali care să confere suferinței lor o dimensiune și o natură diferite de stresul emoțional inevitabil rezultat din încălcarea propriu-zisă menționată [</w:t>
      </w:r>
      <w:hyperlink r:id="rId167" w:history="1">
        <w:r w:rsidR="003F0E47" w:rsidRPr="003B3332">
          <w:rPr>
            <w:rStyle w:val="Hyperlink"/>
          </w:rPr>
          <w:t>Janowiec și alții împotriva Rusiei</w:t>
        </w:r>
      </w:hyperlink>
      <w:r w:rsidR="003F0E47" w:rsidRPr="003B3332">
        <w:t xml:space="preserve"> (MC), 2013, pct. 177].  Jurisprudența din această categorie a fost dezvoltată în principal cu privire la rudele unor persoane dispărute.  Cu toate acestea, Curtea a aplicat, de asemenea, în mod excepțional principiile stabilite în aceste cazuri de dispariții în afara contextului de dispariții [</w:t>
      </w:r>
      <w:hyperlink r:id="rId168" w:history="1">
        <w:r w:rsidR="003F0E47" w:rsidRPr="003B3332">
          <w:rPr>
            <w:rStyle w:val="Hyperlink"/>
          </w:rPr>
          <w:t>Nicolae Virgiliu Tănase împotriva României</w:t>
        </w:r>
      </w:hyperlink>
      <w:r w:rsidR="003F0E47" w:rsidRPr="003B3332">
        <w:t xml:space="preserve"> (MC), 2019, pct. 227].</w:t>
      </w:r>
    </w:p>
    <w:p w14:paraId="2CB4CA77" w14:textId="6A11DEA0" w:rsidR="0050246E" w:rsidRPr="003B3332" w:rsidRDefault="0050246E" w:rsidP="0050246E">
      <w:pPr>
        <w:pStyle w:val="ECHRHeading3"/>
      </w:pPr>
      <w:bookmarkStart w:id="45" w:name="_Toc180674910"/>
      <w:r w:rsidRPr="003B3332">
        <w:t>Rudele persoanelor dispărute</w:t>
      </w:r>
      <w:bookmarkEnd w:id="45"/>
    </w:p>
    <w:p w14:paraId="19999BBE" w14:textId="24048ECD" w:rsidR="00544552" w:rsidRPr="003B3332" w:rsidRDefault="004713AB" w:rsidP="00503BD1">
      <w:pPr>
        <w:pStyle w:val="ECHRParaSpaced"/>
      </w:pPr>
      <w:r>
        <w:fldChar w:fldCharType="begin"/>
      </w:r>
      <w:r>
        <w:instrText xml:space="preserve"> SEQ level0 \*arabic \* MERGEFORMAT </w:instrText>
      </w:r>
      <w:r>
        <w:fldChar w:fldCharType="separate"/>
      </w:r>
      <w:r w:rsidR="000862FF">
        <w:rPr>
          <w:noProof/>
        </w:rPr>
        <w:t>60</w:t>
      </w:r>
      <w:r>
        <w:fldChar w:fldCharType="end"/>
      </w:r>
      <w:r w:rsidR="00FA7743" w:rsidRPr="003B3332">
        <w:t>.  Fenomenul disparițiilor impune o povară specială rudelor persoanelor dispărute, care sunt ținute în necunoaștere cu privire la soarta celor dragi și suportă suferința incertitudinii. Prin urmare, jurisprudența Curții a recunoscut de mult timp că situația rudelor poate dezvălui tratamente inumane ori degradante care sunt contrare art. 3.  Esența unei încălcări nu constă în faptul că a existat o încălcare gravă a drepturilor omului privind persoana dispărută, ci constă în reacția și atitudinea autorităților față de situație în momentul în care le-a fost sesizată [</w:t>
      </w:r>
      <w:hyperlink r:id="rId169" w:history="1">
        <w:r w:rsidR="00FA7743" w:rsidRPr="003B3332">
          <w:rPr>
            <w:rStyle w:val="Hyperlink"/>
          </w:rPr>
          <w:t>Varnava și alții împotriva Turciei</w:t>
        </w:r>
      </w:hyperlink>
      <w:r w:rsidR="00FA7743" w:rsidRPr="003B3332">
        <w:t xml:space="preserve"> (MC), 2009, pct. 200].</w:t>
      </w:r>
    </w:p>
    <w:p w14:paraId="665DA9AE" w14:textId="0885BA96" w:rsidR="005B4AA7" w:rsidRPr="003B3332" w:rsidRDefault="004713AB" w:rsidP="00503BD1">
      <w:pPr>
        <w:pStyle w:val="ECHRParaSpaced"/>
      </w:pPr>
      <w:r>
        <w:fldChar w:fldCharType="begin"/>
      </w:r>
      <w:r>
        <w:instrText xml:space="preserve"> SEQ level0 \*arabic \* MERGEFORMAT </w:instrText>
      </w:r>
      <w:r>
        <w:fldChar w:fldCharType="separate"/>
      </w:r>
      <w:r w:rsidR="000862FF">
        <w:rPr>
          <w:noProof/>
        </w:rPr>
        <w:t>61</w:t>
      </w:r>
      <w:r>
        <w:fldChar w:fldCharType="end"/>
      </w:r>
      <w:r w:rsidR="00FA7743" w:rsidRPr="003B3332">
        <w:t>.  Alți factori relevanți includ gradul de apropiere al legăturii de familie, circumstanțele speciale ale relației, măsura în care membrul de familie a asistat la evenimentele respective și implicarea membrului de familie în încercarea de a obține informații privind persoana dispărută. Constatarea încălcării nu se limitează la cauze în care statul pârât a fost declarat responsabil pentru dispariție, ci poate apărea atunci când lipsa de răspuns a autorităților la cererea de informații a rudelor sau când obstacolele puse în calea lor, făcând ca acestea să îndure greul eforturilor de a descoperi orice fapt, pot fi considerate ca dezvăluind ignorarea flagrantă, continuă și insensibilă a obligației de a da seama de localizarea și soarta persoanei dispărute [</w:t>
      </w:r>
      <w:hyperlink r:id="rId170" w:history="1">
        <w:r w:rsidR="00FA7743" w:rsidRPr="003B3332">
          <w:rPr>
            <w:rStyle w:val="Hyperlink"/>
          </w:rPr>
          <w:t>Varnava și alții împotriva Turciei</w:t>
        </w:r>
      </w:hyperlink>
      <w:r w:rsidR="00FA7743" w:rsidRPr="003B3332">
        <w:t xml:space="preserve"> (MC), 2009, pct. 200; </w:t>
      </w:r>
      <w:hyperlink r:id="rId171" w:history="1">
        <w:r w:rsidR="00FA7743" w:rsidRPr="003B3332">
          <w:rPr>
            <w:rStyle w:val="Hyperlink"/>
          </w:rPr>
          <w:t>Janowiec și alții împotriva Rusiei</w:t>
        </w:r>
      </w:hyperlink>
      <w:r w:rsidR="00FA7743" w:rsidRPr="003B3332">
        <w:t xml:space="preserve"> (MC), 2013, pct. 178].</w:t>
      </w:r>
    </w:p>
    <w:p w14:paraId="176A21D3" w14:textId="487B521E" w:rsidR="003B2DDD" w:rsidRPr="003B3332" w:rsidRDefault="004713AB" w:rsidP="00503BD1">
      <w:pPr>
        <w:pStyle w:val="ECHRParaSpaced"/>
      </w:pPr>
      <w:r>
        <w:fldChar w:fldCharType="begin"/>
      </w:r>
      <w:r>
        <w:instrText xml:space="preserve"> SEQ level0 \*arabic \* MERGEFORMAT </w:instrText>
      </w:r>
      <w:r>
        <w:fldChar w:fldCharType="separate"/>
      </w:r>
      <w:r w:rsidR="000862FF">
        <w:rPr>
          <w:noProof/>
        </w:rPr>
        <w:t>62</w:t>
      </w:r>
      <w:r>
        <w:fldChar w:fldCharType="end"/>
      </w:r>
      <w:r w:rsidR="00FA7743" w:rsidRPr="003B3332">
        <w:t xml:space="preserve">.  De exemplu, în cauza </w:t>
      </w:r>
      <w:hyperlink r:id="rId172" w:history="1">
        <w:r w:rsidR="00FA7743" w:rsidRPr="003B3332">
          <w:rPr>
            <w:rStyle w:val="Hyperlink"/>
          </w:rPr>
          <w:t>Orhan împotriva Turciei</w:t>
        </w:r>
      </w:hyperlink>
      <w:r w:rsidR="00FA7743" w:rsidRPr="003B3332">
        <w:t xml:space="preserve">, 2002, reclamantul se plângea că dispariția fiului său mai mare și a celor doi frați i-au produs suferință cu încălcarea art. 3. Curtea a reținut că reclamantul a fost prezent și a asistat la plecarea din sat a fiului și a fraților cu soldații și că dispăruseră înainte cu aproape opt ani. Aceasta a subliniat, de asemenea, că reclamantul a suportat povara desfășurării a numeroase anchete și petiții și că nu a primit informații sau explicații din partea autorităților, nici nu a fost informat cu privire la soluționarea urmăririlor penale desfășurate. A reținut în continuarea că reclamantul a pierdut siguranța domiciliului și a satului său. Pe baza tuturor acestor factori, Curtea consideră că incertitudinea și îngrijorarea suferite de către reclamant pe o perioadă prelungită și continuă i-au provocat grave angoase și stres psihic constituind un tratament contrar art. 3 (pct. 359-360; a se vedea și </w:t>
      </w:r>
      <w:hyperlink r:id="rId173" w:history="1">
        <w:r w:rsidR="00FA7743" w:rsidRPr="003B3332">
          <w:rPr>
            <w:rStyle w:val="Hyperlink"/>
          </w:rPr>
          <w:t>Imakayeva împotriva Rusiei</w:t>
        </w:r>
      </w:hyperlink>
      <w:r w:rsidR="00FA7743" w:rsidRPr="003B3332">
        <w:t xml:space="preserve">, 2006, pct. 165, în care Curtea a subliniat și că autoritățile, în mod nejustificat, i-au refuzat reclamantei accesul la documentele din dosarele anchetei, care puteau arunca o lumină asupra sorții rudelor sale dispărute, fie în mod direct, fie prin procedurile în fața Curții Europene a Drepturilor Omului; și </w:t>
      </w:r>
      <w:hyperlink r:id="rId174" w:history="1">
        <w:r w:rsidR="00FA7743" w:rsidRPr="003B3332">
          <w:rPr>
            <w:rStyle w:val="Hyperlink"/>
          </w:rPr>
          <w:t>Enzile Özdemir împotriva Turciei</w:t>
        </w:r>
      </w:hyperlink>
      <w:r w:rsidR="00FA7743" w:rsidRPr="003B3332">
        <w:t>, 2008, pct. 64-65, în care Curtea a subliniat și existența unei ștampile oficiale confirmând luarea în custodie publică a soțului reclamantei, liniștind-o astfel cu privire la locația soțului ei dispărut, ulterior negată de autorități fără nicio explicație).</w:t>
      </w:r>
    </w:p>
    <w:p w14:paraId="7B4926AE" w14:textId="013B624A" w:rsidR="008C657A" w:rsidRPr="003B3332" w:rsidRDefault="004713AB" w:rsidP="00503BD1">
      <w:pPr>
        <w:pStyle w:val="ECHRParaSpaced"/>
      </w:pPr>
      <w:r>
        <w:fldChar w:fldCharType="begin"/>
      </w:r>
      <w:r>
        <w:instrText xml:space="preserve"> SEQ level0 \*arabic \* MERGEFORMAT </w:instrText>
      </w:r>
      <w:r>
        <w:fldChar w:fldCharType="separate"/>
      </w:r>
      <w:r w:rsidR="000862FF">
        <w:rPr>
          <w:noProof/>
        </w:rPr>
        <w:t>63</w:t>
      </w:r>
      <w:r>
        <w:fldChar w:fldCharType="end"/>
      </w:r>
      <w:r w:rsidR="00FA7743" w:rsidRPr="003B3332">
        <w:t>.  Dimpotrivă, Curtea nu a constatat încălcarea art. 3 cu privire la reclamanta al cărei soț dispăruse în circumstanțe care îi puneau viața în pericol, pe motiv că nici nu a fost martoră la pretinsele evenimente care au dus la dispariția acestuia, nici nu și-a demonstrat  implicarea în urmăririle penale aflate în derulare (</w:t>
      </w:r>
      <w:hyperlink r:id="rId175" w:history="1">
        <w:r w:rsidR="00FA7743" w:rsidRPr="003B3332">
          <w:rPr>
            <w:rStyle w:val="Hyperlink"/>
          </w:rPr>
          <w:t>Nesibe Haran împotriva Turciei</w:t>
        </w:r>
      </w:hyperlink>
      <w:r w:rsidR="00FA7743" w:rsidRPr="003B3332">
        <w:t xml:space="preserve">, 2005, pct. 83-84; a se vedea și </w:t>
      </w:r>
      <w:hyperlink r:id="rId176" w:history="1">
        <w:r w:rsidR="00FA7743" w:rsidRPr="003B3332">
          <w:rPr>
            <w:rStyle w:val="Hyperlink"/>
          </w:rPr>
          <w:t>Kagirov împotriva Rusiei</w:t>
        </w:r>
      </w:hyperlink>
      <w:r w:rsidR="00FA7743" w:rsidRPr="003B3332">
        <w:t>, 2015, pct. 113, în care Curtea nu a fost convinsă că efectuarea anchetei de către autorități, deși neglijentă, ar fi atins nivelul de gravitate cerut în temeiul art. 3 din Convenție).</w:t>
      </w:r>
    </w:p>
    <w:p w14:paraId="6C21D6BD" w14:textId="02A573FE" w:rsidR="008C657A" w:rsidRPr="003B3332" w:rsidRDefault="003924A5" w:rsidP="008C657A">
      <w:pPr>
        <w:pStyle w:val="ECHRHeading3"/>
      </w:pPr>
      <w:bookmarkStart w:id="46" w:name="_Toc180674911"/>
      <w:r w:rsidRPr="003B3332">
        <w:t>Decese confirmate</w:t>
      </w:r>
      <w:bookmarkEnd w:id="46"/>
    </w:p>
    <w:p w14:paraId="3E1FE979" w14:textId="042D29D1" w:rsidR="00CB2FEE" w:rsidRPr="003B3332" w:rsidRDefault="004713AB" w:rsidP="00503BD1">
      <w:pPr>
        <w:pStyle w:val="ECHRParaSpaced"/>
      </w:pPr>
      <w:r>
        <w:fldChar w:fldCharType="begin"/>
      </w:r>
      <w:r>
        <w:instrText xml:space="preserve"> SEQ level0 \*arabic \* MERGEFORMAT </w:instrText>
      </w:r>
      <w:r>
        <w:fldChar w:fldCharType="separate"/>
      </w:r>
      <w:r w:rsidR="000862FF">
        <w:rPr>
          <w:noProof/>
        </w:rPr>
        <w:t>64</w:t>
      </w:r>
      <w:r>
        <w:fldChar w:fldCharType="end"/>
      </w:r>
      <w:r w:rsidR="003B2DDD" w:rsidRPr="003B3332">
        <w:t>.  Curtea are o abordare mai restrictivă în situațiile în care persoana este reținută, dar mai târziu este găsită decedată, după o perioadă relativ scurtă de incertitudine privind soarta sa. Într-o serie de cauze cecene în care reclamanții nu au fost martori la uciderea rudelor lor, dar au aflat despre moartea lor numai după ce le-au fost descoperite trupurile, Curtea a considerat că nu era necesară o constatare separată a încălcării art. 3, dat fiind că deja constatase încălcarea art. 2 din Convenție pe aspecte de fond și de procedură. În plus, în cauzele privind persoane care erau ucise de autorități cu încălcarea art. 2, Curtea a reținut că aplicarea art. 3 nu se extinde de obicei la rude pe considerentul naturii instantanee a incidentului care duce la respectivul deces. O constatare separată a încălcării art. 3 a fost considerată doar în situații de deces confirmat în care reclamanții erau martori oculari la suferința membrilor familiilor acestora [</w:t>
      </w:r>
      <w:hyperlink r:id="rId177" w:history="1">
        <w:r w:rsidR="003B2DDD" w:rsidRPr="003B3332">
          <w:rPr>
            <w:rStyle w:val="Hyperlink"/>
          </w:rPr>
          <w:t>Janowiec și alții împotriva Rusiei</w:t>
        </w:r>
      </w:hyperlink>
      <w:r w:rsidR="003B2DDD" w:rsidRPr="003B3332">
        <w:t xml:space="preserve"> (MC), 2013, pct. 179-181 și cauzele citate în aceasta].</w:t>
      </w:r>
    </w:p>
    <w:p w14:paraId="1E80F506" w14:textId="77777777" w:rsidR="00677D44" w:rsidRPr="003B3332" w:rsidRDefault="00CF154E" w:rsidP="006A1026">
      <w:pPr>
        <w:pStyle w:val="ECHRHeading3"/>
      </w:pPr>
      <w:bookmarkStart w:id="47" w:name="_Toc180674912"/>
      <w:r w:rsidRPr="003B3332">
        <w:t>Rele tratamente aplicate cadavrelor</w:t>
      </w:r>
      <w:bookmarkEnd w:id="47"/>
    </w:p>
    <w:p w14:paraId="1A71E165" w14:textId="77D60ADF" w:rsidR="008E2554" w:rsidRPr="003B3332" w:rsidRDefault="004713AB" w:rsidP="008E2554">
      <w:pPr>
        <w:pStyle w:val="ECHRParaSpaced"/>
      </w:pPr>
      <w:r>
        <w:fldChar w:fldCharType="begin"/>
      </w:r>
      <w:r>
        <w:instrText xml:space="preserve"> SEQ level0 \*arabic \* MERGEFORMAT </w:instrText>
      </w:r>
      <w:r>
        <w:fldChar w:fldCharType="separate"/>
      </w:r>
      <w:r w:rsidR="000862FF">
        <w:rPr>
          <w:noProof/>
        </w:rPr>
        <w:t>65</w:t>
      </w:r>
      <w:r>
        <w:fldChar w:fldCharType="end"/>
      </w:r>
      <w:r w:rsidR="00FA7743" w:rsidRPr="003B3332">
        <w:t>.  Curtea a hotărât că prin deces calitatea umană s-a stins și, prin urmare, interzicerea relelor tratamente nu mai este aplicabilă pentru cadavre (</w:t>
      </w:r>
      <w:hyperlink r:id="rId178" w:history="1">
        <w:r w:rsidR="00FA7743" w:rsidRPr="003B3332">
          <w:rPr>
            <w:rStyle w:val="Hyperlink"/>
          </w:rPr>
          <w:t>Akpınar și Altun împotriva Turciei</w:t>
        </w:r>
      </w:hyperlink>
      <w:r w:rsidR="00FA7743" w:rsidRPr="003B3332">
        <w:t>, 2007, pct. 82). Cu toate acestea, relele tratamentele aplicate cadavrelor au dus la încălcarea art. 3 cu privire la rudele persoanei decedate (pct. 84-87).</w:t>
      </w:r>
    </w:p>
    <w:p w14:paraId="05C8382F" w14:textId="1014307C" w:rsidR="008E2554" w:rsidRPr="003B3332" w:rsidRDefault="004713AB" w:rsidP="008E2554">
      <w:pPr>
        <w:pStyle w:val="ECHRParaSpaced"/>
        <w:rPr>
          <w:rFonts w:eastAsia="Times New Roman"/>
          <w:szCs w:val="24"/>
        </w:rPr>
      </w:pPr>
      <w:r>
        <w:fldChar w:fldCharType="begin"/>
      </w:r>
      <w:r>
        <w:instrText xml:space="preserve"> SEQ level0 \*arabic \* MERGEFORMAT </w:instrText>
      </w:r>
      <w:r>
        <w:fldChar w:fldCharType="separate"/>
      </w:r>
      <w:r w:rsidR="000862FF">
        <w:rPr>
          <w:noProof/>
        </w:rPr>
        <w:t>66</w:t>
      </w:r>
      <w:r>
        <w:fldChar w:fldCharType="end"/>
      </w:r>
      <w:r w:rsidR="00FA7743" w:rsidRPr="003B3332">
        <w:t xml:space="preserve">.  În </w:t>
      </w:r>
      <w:hyperlink r:id="rId179" w:history="1">
        <w:r w:rsidR="00FA7743" w:rsidRPr="003B3332">
          <w:rPr>
            <w:rStyle w:val="Hyperlink"/>
          </w:rPr>
          <w:t>Khadzhialiyev și alții împotriva Rusiei</w:t>
        </w:r>
      </w:hyperlink>
      <w:r w:rsidR="00FA7743" w:rsidRPr="003B3332">
        <w:t xml:space="preserve">, 2008, Curtea a constatat încălcarea art. 3, unde reclamanții nu au putut înmormânta corespunzător corpurile dezmembrate și decapitate ale copiilor lor, deoarece au fost găsite numai părți ale rămășitelor (pct. 121). În </w:t>
      </w:r>
      <w:hyperlink r:id="rId180" w:history="1">
        <w:r w:rsidR="00FA7743" w:rsidRPr="003B3332">
          <w:rPr>
            <w:rStyle w:val="Hyperlink"/>
          </w:rPr>
          <w:t>Akkum împotriva Turciei</w:t>
        </w:r>
      </w:hyperlink>
      <w:r w:rsidR="00FA7743" w:rsidRPr="003B3332">
        <w:rPr>
          <w:rStyle w:val="Hyperlink"/>
        </w:rPr>
        <w:t xml:space="preserve"> </w:t>
      </w:r>
      <w:r w:rsidR="00FA7743" w:rsidRPr="003B3332">
        <w:t xml:space="preserve">,2005, art. 3 a fost încălcat în privința unui tată căruia i-a fost prezentat corpul mutilat al fiului (pct. 259). </w:t>
      </w:r>
      <w:bookmarkStart w:id="48" w:name="_Hlk93671107"/>
      <w:r w:rsidR="00FA7743" w:rsidRPr="003B3332">
        <w:t xml:space="preserve">În </w:t>
      </w:r>
      <w:hyperlink r:id="rId181" w:history="1">
        <w:r w:rsidR="00FA7743" w:rsidRPr="003B3332">
          <w:rPr>
            <w:rStyle w:val="Hyperlink"/>
          </w:rPr>
          <w:t>Elberte împotriva Letoniei</w:t>
        </w:r>
      </w:hyperlink>
      <w:r w:rsidR="00FA7743" w:rsidRPr="003B3332">
        <w:t>, 2015, Curtea a constatat încălcarea art. 3 determinată de prelevarea de țesut de la soțul decedat al reclamantei fără consimțământul prealabil sau cunoștința acesteia și în mod contrar legislației interne (pct. 143).</w:t>
      </w:r>
      <w:bookmarkEnd w:id="48"/>
    </w:p>
    <w:p w14:paraId="7228CED5" w14:textId="175D1572" w:rsidR="00CB2FEE" w:rsidRPr="003B3332" w:rsidRDefault="004713AB" w:rsidP="00C96ECF">
      <w:pPr>
        <w:pStyle w:val="ECHRParaSpaced"/>
      </w:pPr>
      <w:r>
        <w:fldChar w:fldCharType="begin"/>
      </w:r>
      <w:r>
        <w:instrText xml:space="preserve"> SEQ level0 \*arabic \* MERGEFORMAT </w:instrText>
      </w:r>
      <w:r>
        <w:fldChar w:fldCharType="separate"/>
      </w:r>
      <w:r w:rsidR="000862FF">
        <w:rPr>
          <w:noProof/>
        </w:rPr>
        <w:t>67</w:t>
      </w:r>
      <w:r>
        <w:fldChar w:fldCharType="end"/>
      </w:r>
      <w:r w:rsidR="00FA7743" w:rsidRPr="003B3332">
        <w:t xml:space="preserve">.  Nu a rezultat nicio încălcare în </w:t>
      </w:r>
      <w:hyperlink r:id="rId182" w:history="1">
        <w:r w:rsidR="00FA7743" w:rsidRPr="003B3332">
          <w:rPr>
            <w:rStyle w:val="Hyperlink"/>
          </w:rPr>
          <w:t>Cangöz și alții împotriva Turciei</w:t>
        </w:r>
      </w:hyperlink>
      <w:r w:rsidR="00FA7743" w:rsidRPr="003B3332">
        <w:t>, 2016, în care corpuri ale rudelor reclamanților, care fuseseră ucise de soldați, au fost duse la o bază militară. Acolo au fost așezate în exterior într-un loc de unde puteau fi văzute de soldații din bază, dezbrăcate de haine și examinate de procuror și doi medici. Curtea a reținut că, indiferent dacă reclamanții au văzut personal cadavrele, cunoașterea condițiilor în care trupurile rudelor lor au fost examinate a generat suferință psihică. Totuși, având în vedere în mod special scopul tratamentelor (efectuarea examinării cadavrelor), circumstanțele nu au dat suferinței reclamanților o dimensiune și o natură diferite de stresul emoțional care poate fi considerat ca fiind inevitabil cauzat oricărui membru de familie al persoanei decedate într-o situație comparabilă (</w:t>
      </w:r>
      <w:hyperlink r:id="rId183" w:history="1">
        <w:r w:rsidR="00FA7743" w:rsidRPr="003B3332">
          <w:rPr>
            <w:rStyle w:val="Hyperlink"/>
          </w:rPr>
          <w:t>Cangöz și alții împotriva Turciei</w:t>
        </w:r>
      </w:hyperlink>
      <w:r w:rsidR="00FA7743" w:rsidRPr="003B3332">
        <w:rPr>
          <w:rStyle w:val="s7d2086b4"/>
        </w:rPr>
        <w:t xml:space="preserve">, 2016, </w:t>
      </w:r>
      <w:r w:rsidR="00FA7743" w:rsidRPr="003B3332">
        <w:t>pct. 157-168).</w:t>
      </w:r>
    </w:p>
    <w:p w14:paraId="531CB933" w14:textId="42BE4105" w:rsidR="003C7F84" w:rsidRPr="003B3332" w:rsidRDefault="00CF154E" w:rsidP="006A1026">
      <w:pPr>
        <w:pStyle w:val="ECHRHeading3"/>
      </w:pPr>
      <w:bookmarkStart w:id="49" w:name="_Toc180674913"/>
      <w:r w:rsidRPr="003B3332">
        <w:t>Altele</w:t>
      </w:r>
      <w:bookmarkEnd w:id="49"/>
    </w:p>
    <w:p w14:paraId="7A69D389" w14:textId="29295DBD" w:rsidR="00CF154E" w:rsidRPr="003B3332" w:rsidRDefault="004713AB" w:rsidP="00C96ECF">
      <w:pPr>
        <w:pStyle w:val="ECHRParaSpaced"/>
      </w:pPr>
      <w:r>
        <w:fldChar w:fldCharType="begin"/>
      </w:r>
      <w:r>
        <w:instrText xml:space="preserve"> SEQ level0 \*arabic \* MERGEFORMAT </w:instrText>
      </w:r>
      <w:r>
        <w:fldChar w:fldCharType="separate"/>
      </w:r>
      <w:r w:rsidR="000862FF">
        <w:rPr>
          <w:noProof/>
        </w:rPr>
        <w:t>68</w:t>
      </w:r>
      <w:r>
        <w:fldChar w:fldCharType="end"/>
      </w:r>
      <w:r w:rsidR="00CF154E" w:rsidRPr="003B3332">
        <w:t xml:space="preserve">.  Cauza </w:t>
      </w:r>
      <w:hyperlink r:id="rId184" w:history="1">
        <w:r w:rsidR="00CF154E" w:rsidRPr="003B3332">
          <w:rPr>
            <w:rStyle w:val="Hyperlink"/>
          </w:rPr>
          <w:t>Mubilanzila Mayeka și Kaniki Mitunga împotriva Belgiei</w:t>
        </w:r>
      </w:hyperlink>
      <w:r w:rsidR="00CF154E" w:rsidRPr="003B3332">
        <w:t>, 2006 a privit detenția și deportarea unui solicitant de azil minor neînsoțit. Curtea, având în vedere conduita autorităților naționale, a constatat că prima reclamantă – mama copilei în vârstă de cinci ani reținut – a suportat o profundă suferință și anxietate ca urmare a detenției fiicei sale. Având în vedere circumstanțele cauzei, Curtea a concluzionat că nivelul de gravitate necesar pentru stabilirea unei încălcări a art. 3 fusese atins (pct. 55-59).  Dimpotrivă, Curtea a constatat că anxietatea simțită de mama unui copil de opt ani, care a petrecut o zi la secția de poliție în timpul anchetei împotriva mamei, neraportată la autoritățile pentru protecția copilului, nu a atins nivelul minim de gravitate (</w:t>
      </w:r>
      <w:hyperlink r:id="rId185" w:history="1">
        <w:r w:rsidR="00CF154E" w:rsidRPr="003B3332">
          <w:rPr>
            <w:rStyle w:val="Hyperlink"/>
          </w:rPr>
          <w:t>Tarak și Depe împotriva Turciei</w:t>
        </w:r>
      </w:hyperlink>
      <w:r w:rsidR="00CF154E" w:rsidRPr="003B3332">
        <w:t>, 2019, pct. 79).</w:t>
      </w:r>
    </w:p>
    <w:p w14:paraId="166A5CBB" w14:textId="4B2AB394" w:rsidR="00085A64" w:rsidRPr="003B3332" w:rsidRDefault="004713AB" w:rsidP="00C96ECF">
      <w:pPr>
        <w:pStyle w:val="ECHRParaSpaced"/>
      </w:pPr>
      <w:r>
        <w:fldChar w:fldCharType="begin"/>
      </w:r>
      <w:r>
        <w:instrText xml:space="preserve"> SEQ level0 \*arabic \* MERGEFORMAT </w:instrText>
      </w:r>
      <w:r>
        <w:fldChar w:fldCharType="separate"/>
      </w:r>
      <w:r w:rsidR="000862FF">
        <w:rPr>
          <w:noProof/>
        </w:rPr>
        <w:t>69</w:t>
      </w:r>
      <w:r>
        <w:fldChar w:fldCharType="end"/>
      </w:r>
      <w:r w:rsidR="007548E4" w:rsidRPr="003B3332">
        <w:t>.  Într-o cauză în care fiul reclamantei a murit în închisoare de SIDA din cauza îngrijirilor medicale inadecvate, Curtea, ținând seama de o serie de factori, inclusiv numeroasele încercări ale reclamantei de a atrage atenția asupra situației fiului ei și atitudinea cinică, indiferentă și crudă arătată de autorități față de apelurile ei, atât înainte de decesul fiului, cât și în timpul anchetei ulterioare, a constatat că aceasta a fost victima unui tratament inuman (</w:t>
      </w:r>
      <w:hyperlink r:id="rId186" w:history="1">
        <w:r w:rsidR="007548E4" w:rsidRPr="003B3332">
          <w:rPr>
            <w:rStyle w:val="Hyperlink"/>
          </w:rPr>
          <w:t>Salakhov şi Islyamova împotriva Ucrainei</w:t>
        </w:r>
      </w:hyperlink>
      <w:r w:rsidR="007548E4" w:rsidRPr="003B3332">
        <w:t>, 2013, pct. 204).</w:t>
      </w:r>
    </w:p>
    <w:p w14:paraId="2D4B45D9" w14:textId="0423E184" w:rsidR="003B2DDD" w:rsidRPr="003B3332" w:rsidRDefault="004713AB" w:rsidP="00C96ECF">
      <w:pPr>
        <w:pStyle w:val="ECHRParaSpaced"/>
      </w:pPr>
      <w:r>
        <w:fldChar w:fldCharType="begin"/>
      </w:r>
      <w:r>
        <w:instrText xml:space="preserve"> SEQ level0 \*arabic \* MERGEFORMAT </w:instrText>
      </w:r>
      <w:r>
        <w:fldChar w:fldCharType="separate"/>
      </w:r>
      <w:r w:rsidR="000862FF">
        <w:rPr>
          <w:noProof/>
        </w:rPr>
        <w:t>70</w:t>
      </w:r>
      <w:r>
        <w:fldChar w:fldCharType="end"/>
      </w:r>
      <w:r w:rsidR="00FA7743" w:rsidRPr="003B3332">
        <w:t>.  În contextul unei anchetări a acuzațiilor de agresiune sexuală, Curtea a considerat că reclamantul – tatăl pretinsei victime – nu a prezentat niciun exemplu de reacție sau atitudine nepotrivite din partea autorităților față de el și, prin urmare, a respins această parte din cerere (</w:t>
      </w:r>
      <w:bookmarkStart w:id="50" w:name="_Hlk93414955"/>
      <w:r w:rsidR="003304EF" w:rsidRPr="003B3332">
        <w:fldChar w:fldCharType="begin"/>
      </w:r>
      <w:r w:rsidR="003304EF" w:rsidRPr="003B3332">
        <w:instrText xml:space="preserve"> HYPERLINK "https://hudoc.echr.coe.int/eng?i=001-107448" </w:instrText>
      </w:r>
      <w:r w:rsidR="003304EF" w:rsidRPr="003B3332">
        <w:fldChar w:fldCharType="separate"/>
      </w:r>
      <w:r w:rsidR="00FA7743" w:rsidRPr="003B3332">
        <w:rPr>
          <w:rStyle w:val="Hyperlink"/>
          <w:color w:val="000000" w:themeColor="text1"/>
        </w:rPr>
        <w:t>(</w:t>
      </w:r>
      <w:r w:rsidR="00FA7743" w:rsidRPr="003B3332">
        <w:rPr>
          <w:rStyle w:val="Hyperlink"/>
        </w:rPr>
        <w:t>M.P. și alții împotriva Bulgariei</w:t>
      </w:r>
      <w:r w:rsidR="003304EF" w:rsidRPr="003B3332">
        <w:fldChar w:fldCharType="end"/>
      </w:r>
      <w:bookmarkEnd w:id="50"/>
      <w:r w:rsidR="00FA7743" w:rsidRPr="003B3332">
        <w:t>, 2011, pct. 123-125).</w:t>
      </w:r>
    </w:p>
    <w:p w14:paraId="084DB336" w14:textId="29408F5C" w:rsidR="00C40EAF" w:rsidRPr="003B3332" w:rsidRDefault="00E51C88" w:rsidP="00C40EAF">
      <w:pPr>
        <w:pStyle w:val="ECHRHeading2"/>
      </w:pPr>
      <w:bookmarkStart w:id="51" w:name="_Toc180674914"/>
      <w:r w:rsidRPr="003B3332">
        <w:t>Condamnarea și aplicarea pedepsei</w:t>
      </w:r>
      <w:bookmarkEnd w:id="51"/>
    </w:p>
    <w:p w14:paraId="2CC88135" w14:textId="7354CC7B" w:rsidR="00812D28" w:rsidRPr="003B3332" w:rsidRDefault="00812D28" w:rsidP="00812D28">
      <w:pPr>
        <w:pStyle w:val="ECHRHeading3"/>
      </w:pPr>
      <w:bookmarkStart w:id="52" w:name="_Toc180674915"/>
      <w:r w:rsidRPr="003B3332">
        <w:t>Vârsta răspunderii penale</w:t>
      </w:r>
      <w:bookmarkEnd w:id="52"/>
    </w:p>
    <w:p w14:paraId="4ADD3D26" w14:textId="422BD825" w:rsidR="00AB189B" w:rsidRPr="003B3332" w:rsidRDefault="004713AB" w:rsidP="00C96ECF">
      <w:pPr>
        <w:pStyle w:val="ECHRParaSpaced"/>
      </w:pPr>
      <w:r>
        <w:fldChar w:fldCharType="begin"/>
      </w:r>
      <w:r>
        <w:instrText xml:space="preserve"> SEQ level0 \*arabic \* MERGEFORMAT </w:instrText>
      </w:r>
      <w:r>
        <w:fldChar w:fldCharType="separate"/>
      </w:r>
      <w:r w:rsidR="000862FF">
        <w:rPr>
          <w:noProof/>
        </w:rPr>
        <w:t>71</w:t>
      </w:r>
      <w:r>
        <w:fldChar w:fldCharType="end"/>
      </w:r>
      <w:r w:rsidR="00B2569B" w:rsidRPr="003B3332">
        <w:t xml:space="preserve">.  În </w:t>
      </w:r>
      <w:hyperlink r:id="rId187" w:history="1">
        <w:r w:rsidR="00B2569B" w:rsidRPr="003B3332">
          <w:rPr>
            <w:rStyle w:val="Hyperlink"/>
          </w:rPr>
          <w:t>V. împotriva Regatului Unit</w:t>
        </w:r>
      </w:hyperlink>
      <w:r w:rsidR="00B2569B" w:rsidRPr="003B3332">
        <w:rPr>
          <w:rStyle w:val="Hyperlink"/>
          <w:i w:val="0"/>
          <w:color w:val="auto"/>
        </w:rPr>
        <w:t>, 1999</w:t>
      </w:r>
      <w:r w:rsidR="00B2569B" w:rsidRPr="003B3332">
        <w:rPr>
          <w:i/>
        </w:rPr>
        <w:t xml:space="preserve">, </w:t>
      </w:r>
      <w:r w:rsidR="00B2569B" w:rsidRPr="003B3332">
        <w:t xml:space="preserve">și </w:t>
      </w:r>
      <w:hyperlink r:id="rId188" w:history="1">
        <w:r w:rsidR="00B2569B" w:rsidRPr="003B3332">
          <w:rPr>
            <w:rStyle w:val="Hyperlink"/>
          </w:rPr>
          <w:t>T. împotriva Regatului Unit</w:t>
        </w:r>
      </w:hyperlink>
      <w:r w:rsidR="00B2569B" w:rsidRPr="003B3332">
        <w:rPr>
          <w:i/>
        </w:rPr>
        <w:t>,</w:t>
      </w:r>
      <w:r w:rsidR="00B2569B" w:rsidRPr="003B3332">
        <w:t xml:space="preserve"> 1999, Curtea a analizat dacă atribuirea răspunderii penale reclamanților cu privire la acte săvârșite atunci când erau în vârstă de 10 ani ar putea duce la încălcarea art. 3 din Convenție.  Curtea a constatat că nu a existat, la acel moment, niciun standard comun clar în rândul statelor membre ale Consiliului Europei cu privire la vârsta minimă a răspunderii penale.  Deși Anglia și Țara Galilor se aflau printre puținele jurisdicții europene având o vârstă mică a răspunderii penale, nu s-ar putea spune că vârsta de zece ani este atât de mică încât să se deosebească în mod disproporționat de vârsta limită din alte state europene.  Prin urmare, Curtea a concluzionat că atribuirea răspunderii penale reclamanților nu a dus, în sine, la o încălcare a art. 3 din Convenție [</w:t>
      </w:r>
      <w:hyperlink r:id="rId189" w:history="1">
        <w:r w:rsidR="00B2569B" w:rsidRPr="003B3332">
          <w:rPr>
            <w:rStyle w:val="Hyperlink"/>
          </w:rPr>
          <w:t>V. împotriva Regatului Unit</w:t>
        </w:r>
      </w:hyperlink>
      <w:r w:rsidR="00B2569B" w:rsidRPr="003B3332">
        <w:rPr>
          <w:i/>
        </w:rPr>
        <w:t xml:space="preserve"> </w:t>
      </w:r>
      <w:r w:rsidR="00B2569B" w:rsidRPr="003B3332">
        <w:t>(MC)</w:t>
      </w:r>
      <w:r w:rsidR="00B2569B" w:rsidRPr="003B3332">
        <w:rPr>
          <w:i/>
        </w:rPr>
        <w:t xml:space="preserve">, </w:t>
      </w:r>
      <w:r w:rsidR="00B2569B" w:rsidRPr="003B3332">
        <w:t>1999,</w:t>
      </w:r>
      <w:r w:rsidR="00B2569B" w:rsidRPr="003B3332">
        <w:rPr>
          <w:i/>
        </w:rPr>
        <w:t xml:space="preserve"> </w:t>
      </w:r>
      <w:r w:rsidR="00B2569B" w:rsidRPr="003B3332">
        <w:t xml:space="preserve">pct. 72-74; </w:t>
      </w:r>
      <w:hyperlink r:id="rId190" w:history="1">
        <w:r w:rsidR="00B2569B" w:rsidRPr="003B3332">
          <w:rPr>
            <w:rStyle w:val="Hyperlink"/>
          </w:rPr>
          <w:t>T. împotriva Regatului Unit</w:t>
        </w:r>
      </w:hyperlink>
      <w:r w:rsidR="00B2569B" w:rsidRPr="003B3332">
        <w:t xml:space="preserve"> (MC), 1999, pct. 70-72].</w:t>
      </w:r>
    </w:p>
    <w:p w14:paraId="50A1225D" w14:textId="6C4B2FE6" w:rsidR="00AB189B" w:rsidRPr="003B3332" w:rsidRDefault="00AB189B" w:rsidP="00AB189B">
      <w:pPr>
        <w:pStyle w:val="ECHRHeading3"/>
      </w:pPr>
      <w:bookmarkStart w:id="53" w:name="_Toc180674916"/>
      <w:r w:rsidRPr="003B3332">
        <w:t>Pedepse extrem de disproporționate</w:t>
      </w:r>
      <w:bookmarkEnd w:id="53"/>
    </w:p>
    <w:p w14:paraId="79C24960" w14:textId="12886B2C" w:rsidR="003578E4" w:rsidRPr="003B3332" w:rsidRDefault="004713AB" w:rsidP="005817C5">
      <w:pPr>
        <w:pStyle w:val="ECHRParaSpaced"/>
      </w:pPr>
      <w:r>
        <w:fldChar w:fldCharType="begin"/>
      </w:r>
      <w:r>
        <w:instrText xml:space="preserve"> SEQ level0 \*arabic \* MERGEFORMAT </w:instrText>
      </w:r>
      <w:r>
        <w:fldChar w:fldCharType="separate"/>
      </w:r>
      <w:r w:rsidR="000862FF">
        <w:rPr>
          <w:noProof/>
        </w:rPr>
        <w:t>72</w:t>
      </w:r>
      <w:r>
        <w:fldChar w:fldCharType="end"/>
      </w:r>
      <w:r w:rsidR="00AB189B" w:rsidRPr="003B3332">
        <w:t>.  Curtea acceptă că, deși, în principiu, problema unei pedepse adecvate se află în general în afara domeniului de aplicare a Convenției, o pedeapsă extrem de disproporționată ar putea echivala cu rele tratamente, contrare art. 3 în momentul impunerii sale.  Totuși, Curtea a  subliniat că „extrema disproporționalitate” reprezintă un test strict care va fi trecut doar în cazuri rare și unice (</w:t>
      </w:r>
      <w:hyperlink r:id="rId191" w:history="1">
        <w:r w:rsidR="00AB189B" w:rsidRPr="003B3332">
          <w:rPr>
            <w:rStyle w:val="Hyperlink"/>
          </w:rPr>
          <w:t>Babar Ahmad și alții împotriva Regatului Unit</w:t>
        </w:r>
      </w:hyperlink>
      <w:r w:rsidR="00AB189B" w:rsidRPr="003B3332">
        <w:t xml:space="preserve">, 2012, pct. 237;  </w:t>
      </w:r>
      <w:hyperlink r:id="rId192" w:history="1">
        <w:r w:rsidR="00AB189B" w:rsidRPr="003B3332">
          <w:rPr>
            <w:rStyle w:val="Hyperlink"/>
          </w:rPr>
          <w:t>Harkins și Edwards împotriva Regatului Unit</w:t>
        </w:r>
      </w:hyperlink>
      <w:r w:rsidR="00AB189B" w:rsidRPr="003B3332">
        <w:t>, 2012, pct. 133).</w:t>
      </w:r>
    </w:p>
    <w:p w14:paraId="6B60C9A4" w14:textId="04AB1765" w:rsidR="005817C5" w:rsidRPr="003B3332" w:rsidRDefault="004713AB" w:rsidP="003F0355">
      <w:pPr>
        <w:pStyle w:val="ECHRParaSpaced"/>
      </w:pPr>
      <w:r>
        <w:fldChar w:fldCharType="begin"/>
      </w:r>
      <w:r>
        <w:instrText xml:space="preserve"> SEQ level0 \*arabic \* MERGEFORMAT </w:instrText>
      </w:r>
      <w:r>
        <w:fldChar w:fldCharType="separate"/>
      </w:r>
      <w:r w:rsidR="000862FF">
        <w:rPr>
          <w:noProof/>
        </w:rPr>
        <w:t>73</w:t>
      </w:r>
      <w:r>
        <w:fldChar w:fldCharType="end"/>
      </w:r>
      <w:r w:rsidR="005817C5" w:rsidRPr="003B3332">
        <w:t>.  De exemplu, Curtea nu a admis că extrădarea reclamantului ar genera un risc concret de tratamente contrare art. 3 din Convenție într-o cauză în care probele sugerau că reclamantul ar putea primi o pedeapsă de până la 35 de ani de închisoare în cazul extrădării sale în Statele Unite ale Americii, fără o condiție privind pedeapsa minimă.  Ținând seama de natura presupuselor infracțiuni, care includ infracțiuni de terorism, și de pragul înalt necesar pentru a demonstra că o pedeapsă ar fi excesiv de disproporționată, Curtea nu a admis că extrădarea reclamantului ar genera un risc concret de tratamente contrare art. 3 din Convenție ca urmare a duratei oricărei pedepse impuse (</w:t>
      </w:r>
      <w:hyperlink r:id="rId193" w:history="1">
        <w:r w:rsidR="005817C5" w:rsidRPr="003B3332">
          <w:rPr>
            <w:rStyle w:val="Hyperlink"/>
          </w:rPr>
          <w:t>Aswat împotriva Regatului Unit</w:t>
        </w:r>
      </w:hyperlink>
      <w:r w:rsidR="005817C5" w:rsidRPr="003B3332">
        <w:t>, 2013, pct. 58).</w:t>
      </w:r>
    </w:p>
    <w:p w14:paraId="554F0282" w14:textId="52E854B8" w:rsidR="00A73EC0" w:rsidRPr="003B3332" w:rsidRDefault="004713AB" w:rsidP="00A73EC0">
      <w:pPr>
        <w:pStyle w:val="ECHRParaSpaced"/>
      </w:pPr>
      <w:r>
        <w:fldChar w:fldCharType="begin"/>
      </w:r>
      <w:r>
        <w:instrText xml:space="preserve"> S</w:instrText>
      </w:r>
      <w:r>
        <w:instrText xml:space="preserve">EQ level0 \*arabic \* MERGEFORMAT </w:instrText>
      </w:r>
      <w:r>
        <w:fldChar w:fldCharType="separate"/>
      </w:r>
      <w:r w:rsidR="000862FF">
        <w:rPr>
          <w:noProof/>
        </w:rPr>
        <w:t>74</w:t>
      </w:r>
      <w:r>
        <w:fldChar w:fldCharType="end"/>
      </w:r>
      <w:r w:rsidR="00A73186" w:rsidRPr="003B3332">
        <w:t>.  Într-o cauză în care reclamanții s-au plâns de continuarea executării în Regatul Unit, în temeiul unui acord de transfer al deținutului, a unei pedepse lungi impuse de instanțele din Thailanda, Curtea a subliniat că, atunci când se examinează dacă o pedeapsă încalcă art. 3 în contextul continuării executării pedepsei în temeiul unui acord de transfer al deținutului, accentul trebuie pus pe aspectul dacă orice suferință sau umilință implicate depășește gradul inevitabil de suferință sau umilință legat de punerea în executare a pedepsei cu închisoarea aplicate de instanța străină. În evaluarea gradului de suferință și de umilire, este necesar să se țină seama de diferitele practici de condamnare adoptate de state și de diferențele legitime și rezonabile dintre state, ca și de durata adecvată a pedepselor. Curtea trebuie să ia în considerare și faptul că transferul a avut loc în cadrul cooperării internaționale în administrarea justiției, care este, în principiu, în interesul persoanelor în cauză. Prin urmare, atunci când măsura cooperării internaționale vizează promovarea și protecția drepturilor fundamentale ale persoanelor supuse sancțiunilor penale în străinătate, beneficiul de care se bucură reclamantul ca rezultat al executării măsurii reprezintă un factor important în favoarea constatării că modul și metoda de executare a pedepsei nu supun reclamantul la stres sau suferințe care depășește nivelul inevitabil de suferință inerent detenției (</w:t>
      </w:r>
      <w:bookmarkStart w:id="54" w:name="_Hlk93570334"/>
      <w:r w:rsidR="00A73EC0" w:rsidRPr="003B3332">
        <w:rPr>
          <w:i/>
        </w:rPr>
        <w:fldChar w:fldCharType="begin"/>
      </w:r>
      <w:r w:rsidR="00A73EC0" w:rsidRPr="003B3332">
        <w:rPr>
          <w:i/>
        </w:rPr>
        <w:instrText xml:space="preserve"> HYPERLINK "https://hudoc.echr.coe.int/eng?i=001-116416" </w:instrText>
      </w:r>
      <w:r w:rsidR="00A73EC0" w:rsidRPr="003B3332">
        <w:rPr>
          <w:i/>
        </w:rPr>
        <w:fldChar w:fldCharType="separate"/>
      </w:r>
      <w:r w:rsidR="00A73186" w:rsidRPr="003B3332">
        <w:rPr>
          <w:rStyle w:val="Hyperlink"/>
        </w:rPr>
        <w:t>Willcox și Hurford împotriva Regatului Unit</w:t>
      </w:r>
      <w:bookmarkEnd w:id="54"/>
      <w:r w:rsidR="00A73EC0" w:rsidRPr="003B3332">
        <w:rPr>
          <w:i/>
        </w:rPr>
        <w:fldChar w:fldCharType="end"/>
      </w:r>
      <w:r w:rsidR="00A73186" w:rsidRPr="003B3332">
        <w:t>, 2013, pct. 76).</w:t>
      </w:r>
    </w:p>
    <w:p w14:paraId="2E249C4B" w14:textId="1990061C" w:rsidR="00AB189B" w:rsidRPr="003B3332" w:rsidRDefault="00AB189B" w:rsidP="00AB189B">
      <w:pPr>
        <w:pStyle w:val="ECHRHeading3"/>
      </w:pPr>
      <w:bookmarkStart w:id="55" w:name="_Toc180674917"/>
      <w:r w:rsidRPr="003B3332">
        <w:t>Pedeapsa cu moartea</w:t>
      </w:r>
      <w:bookmarkEnd w:id="55"/>
    </w:p>
    <w:p w14:paraId="6FCF54FD" w14:textId="30E5DAED" w:rsidR="00B966B9" w:rsidRPr="003B3332" w:rsidRDefault="004713AB" w:rsidP="00AB189B">
      <w:pPr>
        <w:pStyle w:val="ECHRParaSpaced"/>
      </w:pPr>
      <w:r>
        <w:fldChar w:fldCharType="begin"/>
      </w:r>
      <w:r>
        <w:instrText xml:space="preserve"> SEQ level0 \*arabic \* MERGEFORMAT </w:instrText>
      </w:r>
      <w:r>
        <w:fldChar w:fldCharType="separate"/>
      </w:r>
      <w:r w:rsidR="000862FF">
        <w:rPr>
          <w:noProof/>
        </w:rPr>
        <w:t>75</w:t>
      </w:r>
      <w:r>
        <w:fldChar w:fldCharType="end"/>
      </w:r>
      <w:r w:rsidR="00AB189B" w:rsidRPr="003B3332">
        <w:t xml:space="preserve">.  În </w:t>
      </w:r>
      <w:hyperlink r:id="rId194" w:history="1">
        <w:r w:rsidR="00AB189B" w:rsidRPr="003B3332">
          <w:rPr>
            <w:rStyle w:val="Hyperlink"/>
          </w:rPr>
          <w:t>Al-Saadoon și Mufdhi împotriva Regatului Unit</w:t>
        </w:r>
      </w:hyperlink>
      <w:r w:rsidR="00AB189B" w:rsidRPr="003B3332">
        <w:t>, 2010, Curtea a reținut că toate statele membre, cu excepția a două dintre ele, au semnat Protocolul nr. 13 referitor la abolirea pedepsei cu moartea în toate situațiile și că toate statele semnatare, mai puțin trei dintre ele, l-au ratificat.  S-a constatat că aceste cifre, precum și practica constantă a statelor în ceea ce privește respectarea moratoriului privind pedeapsa capitală, indică în mod clar că art. 2 a fost modificat astfel încât să interzică pedeapsa cu moartea în toate situațiile.</w:t>
      </w:r>
      <w:r w:rsidR="00AC3788" w:rsidRPr="003B3332">
        <w:rPr>
          <w:rStyle w:val="FootnoteReference"/>
        </w:rPr>
        <w:footnoteReference w:id="1"/>
      </w:r>
      <w:r w:rsidR="00AB189B" w:rsidRPr="003B3332">
        <w:t xml:space="preserve"> În acest context, Curtea nu a considerat, așa cum hotărâse anterior în </w:t>
      </w:r>
      <w:hyperlink r:id="rId195" w:history="1">
        <w:r w:rsidR="00AB189B" w:rsidRPr="003B3332">
          <w:rPr>
            <w:rStyle w:val="Hyperlink"/>
          </w:rPr>
          <w:t>Soering împotriva Regatului Unit</w:t>
        </w:r>
      </w:hyperlink>
      <w:r w:rsidR="00AB189B" w:rsidRPr="003B3332">
        <w:t>, 1989, pct. 102-104, că formularea tezei a doua a art. 2 § 1 continua să îi interzică interpretarea cuvintelor „pedepse sau tratamentele inumane ori degradante” de la art. 3 ca incluzând pedeapsa cu moartea (</w:t>
      </w:r>
      <w:hyperlink r:id="rId196" w:history="1">
        <w:r w:rsidR="00AB189B" w:rsidRPr="003B3332">
          <w:rPr>
            <w:rStyle w:val="Hyperlink"/>
          </w:rPr>
          <w:t>Al-Saadoon și Mufdhi împotriva Regatului Unit</w:t>
        </w:r>
      </w:hyperlink>
      <w:r w:rsidR="00AB189B" w:rsidRPr="003B3332">
        <w:t>, 2010, pct. 120). Pedeapsa capitală a devenit, prin urmare, o formă inacceptabilă de pedeapsă care nu mai este permisă în temeiul art. 2 astfel cum a fost modificat de Protocolul nr. 6 și Protocolul nr. 13 și care constituie „tratamente sau pedepsire inumane ori degradante” în temeiul art. 3 [</w:t>
      </w:r>
      <w:hyperlink r:id="rId197" w:history="1">
        <w:r w:rsidR="00AB189B" w:rsidRPr="003B3332">
          <w:rPr>
            <w:rStyle w:val="Hyperlink"/>
          </w:rPr>
          <w:t>A.L.</w:t>
        </w:r>
      </w:hyperlink>
      <w:hyperlink r:id="rId198" w:history="1">
        <w:r w:rsidR="00AB189B" w:rsidRPr="003B3332">
          <w:rPr>
            <w:rStyle w:val="Hyperlink"/>
          </w:rPr>
          <w:t xml:space="preserve"> (X.W.) împotriva Rusiei</w:t>
        </w:r>
      </w:hyperlink>
      <w:r w:rsidR="00AB189B" w:rsidRPr="003B3332">
        <w:t>2015, pct. 64].</w:t>
      </w:r>
    </w:p>
    <w:p w14:paraId="54A301FE" w14:textId="158031F9" w:rsidR="005817C5" w:rsidRPr="003B3332" w:rsidRDefault="004713AB" w:rsidP="00AB189B">
      <w:pPr>
        <w:pStyle w:val="ECHRParaSpaced"/>
      </w:pPr>
      <w:r>
        <w:fldChar w:fldCharType="begin"/>
      </w:r>
      <w:r>
        <w:instrText xml:space="preserve"> SEQ level0 \*arabic \* MERGEFORMAT </w:instrText>
      </w:r>
      <w:r>
        <w:fldChar w:fldCharType="separate"/>
      </w:r>
      <w:r w:rsidR="000862FF">
        <w:rPr>
          <w:noProof/>
        </w:rPr>
        <w:t>76</w:t>
      </w:r>
      <w:r>
        <w:fldChar w:fldCharType="end"/>
      </w:r>
      <w:r w:rsidR="00FA7743" w:rsidRPr="003B3332">
        <w:t>.  Art. 3 din Convenție interzice extrădarea, expulzarea sau alte transferări ale unei persoanei în alt stat în cazul în care s-a demonstrat că există motive întemeiate să se creadă că aceasta ar fi expusă unui risc real de a fi condamnată la pedeapsa cu moartea în statul respectiv [</w:t>
      </w:r>
      <w:hyperlink r:id="rId199" w:history="1">
        <w:r w:rsidR="00FA7743" w:rsidRPr="003B3332">
          <w:rPr>
            <w:rStyle w:val="Hyperlink"/>
          </w:rPr>
          <w:t>Al-Saadoon și Mufdhi împotriva Regatului Unit</w:t>
        </w:r>
      </w:hyperlink>
      <w:r w:rsidR="00FA7743" w:rsidRPr="003B3332">
        <w:t xml:space="preserve">, 2010, pct. 123 și 140-143; </w:t>
      </w:r>
      <w:hyperlink r:id="rId200" w:history="1">
        <w:r w:rsidR="00FA7743" w:rsidRPr="003B3332">
          <w:rPr>
            <w:rStyle w:val="Hyperlink"/>
          </w:rPr>
          <w:t>A.L.</w:t>
        </w:r>
      </w:hyperlink>
      <w:r w:rsidR="00FA7743" w:rsidRPr="003B3332">
        <w:t xml:space="preserve"> </w:t>
      </w:r>
      <w:hyperlink r:id="rId201" w:history="1">
        <w:r w:rsidR="00FA7743" w:rsidRPr="003B3332">
          <w:rPr>
            <w:rStyle w:val="Hyperlink"/>
          </w:rPr>
          <w:t xml:space="preserve"> (X.W.) împotriva Rusiei</w:t>
        </w:r>
      </w:hyperlink>
      <w:r w:rsidR="00FA7743" w:rsidRPr="003B3332">
        <w:t xml:space="preserve">, 2015, pct. 63-66; </w:t>
      </w:r>
      <w:hyperlink r:id="rId202" w:history="1">
        <w:r w:rsidR="00FA7743" w:rsidRPr="003B3332">
          <w:rPr>
            <w:rStyle w:val="Hyperlink"/>
          </w:rPr>
          <w:t>Shamayev şi alții împotriva Georgiei și Rusiei</w:t>
        </w:r>
      </w:hyperlink>
      <w:r w:rsidR="00FA7743" w:rsidRPr="003B3332">
        <w:t>, 2005, pct. 333].</w:t>
      </w:r>
    </w:p>
    <w:p w14:paraId="5658B1D4" w14:textId="5C7F02FF" w:rsidR="00CE654C" w:rsidRPr="003B3332" w:rsidRDefault="004713AB" w:rsidP="00AB189B">
      <w:pPr>
        <w:pStyle w:val="ECHRParaSpaced"/>
      </w:pPr>
      <w:r>
        <w:fldChar w:fldCharType="begin"/>
      </w:r>
      <w:r>
        <w:instrText xml:space="preserve"> SEQ level0 \*arabic \* MERGEFORMAT </w:instrText>
      </w:r>
      <w:r>
        <w:fldChar w:fldCharType="separate"/>
      </w:r>
      <w:r w:rsidR="000862FF">
        <w:rPr>
          <w:noProof/>
        </w:rPr>
        <w:t>77</w:t>
      </w:r>
      <w:r>
        <w:fldChar w:fldCharType="end"/>
      </w:r>
      <w:r w:rsidR="00FA7743" w:rsidRPr="003B3332">
        <w:t xml:space="preserve">.  Informații mai detaliate pot fi găsite în </w:t>
      </w:r>
      <w:hyperlink r:id="rId203" w:history="1">
        <w:r w:rsidR="00FA7743" w:rsidRPr="003B3332">
          <w:rPr>
            <w:rStyle w:val="Hyperlink"/>
          </w:rPr>
          <w:t>Ghid privind jurisprudența derivată din Convenția europeană a drepturilor omului – Imigrația</w:t>
        </w:r>
      </w:hyperlink>
      <w:r w:rsidR="00FA7743" w:rsidRPr="003B3332">
        <w:t>.</w:t>
      </w:r>
    </w:p>
    <w:p w14:paraId="21347F14" w14:textId="3FA46360" w:rsidR="00D65B27" w:rsidRPr="003B3332" w:rsidRDefault="00B966B9" w:rsidP="00D422D1">
      <w:pPr>
        <w:pStyle w:val="ECHRHeading3"/>
      </w:pPr>
      <w:bookmarkStart w:id="56" w:name="_Toc180674918"/>
      <w:r w:rsidRPr="003B3332">
        <w:t>Detențiunea pe viață</w:t>
      </w:r>
      <w:bookmarkEnd w:id="56"/>
    </w:p>
    <w:p w14:paraId="71404D26" w14:textId="27AAB337" w:rsidR="00923CC6" w:rsidRPr="003B3332" w:rsidRDefault="004713AB" w:rsidP="00C96ECF">
      <w:pPr>
        <w:pStyle w:val="ECHRParaSpaced"/>
      </w:pPr>
      <w:r>
        <w:fldChar w:fldCharType="begin"/>
      </w:r>
      <w:r>
        <w:instrText xml:space="preserve"> SEQ level0 \*arabic \* MERGEFORMAT </w:instrText>
      </w:r>
      <w:r>
        <w:fldChar w:fldCharType="separate"/>
      </w:r>
      <w:r w:rsidR="000862FF">
        <w:rPr>
          <w:noProof/>
        </w:rPr>
        <w:t>78</w:t>
      </w:r>
      <w:r>
        <w:fldChar w:fldCharType="end"/>
      </w:r>
      <w:r w:rsidR="00B966B9" w:rsidRPr="003B3332">
        <w:t xml:space="preserve">.  Prin Convenție nu se interzice aplicarea pedepsei detențiunii pe viață în cazul persoanelor condamnate pentru infracțiuni deosebit de grave, precum omorul.  Totuși, pentru a fi compatibilă cu art. 3, o astfel de pedeapsă trebuie să fie reductibilă </w:t>
      </w:r>
      <w:r w:rsidR="00B966B9" w:rsidRPr="003B3332">
        <w:rPr>
          <w:i/>
          <w:iCs/>
        </w:rPr>
        <w:t>de jure</w:t>
      </w:r>
      <w:r w:rsidR="00B966B9" w:rsidRPr="003B3332">
        <w:t xml:space="preserve"> și </w:t>
      </w:r>
      <w:r w:rsidR="00B966B9" w:rsidRPr="003B3332">
        <w:rPr>
          <w:i/>
          <w:iCs/>
        </w:rPr>
        <w:t>de facto</w:t>
      </w:r>
      <w:r w:rsidR="00B966B9" w:rsidRPr="003B3332">
        <w:t xml:space="preserve">, ceea ce înseamnă că trebuie să existe atât o perspectivă de punere în libertate a deținutului, cât și o posibilitate de reexaminare.  Baza reexaminării trebuie să cuprindă și stabilirea existenței unor motive penologice legitime pentru continuarea încarcerării deținutului. Aceste motive includ pedeapsa, descurajarea, protecția publică și reabilitarea. Echilibrul dintre acestea nu este în mod automat static și se poate schimba pe parcursul executării pedepsei, astfel încât principalul motiv pentru detenție de la început poate să nu mai fie astfel după o lungă perioadă de executare a pedepsei. Se subliniază importanța motivului reabilitării, </w:t>
      </w:r>
      <w:r w:rsidR="00B966B9" w:rsidRPr="003B3332">
        <w:rPr>
          <w:rStyle w:val="s68f5eaef"/>
        </w:rPr>
        <w:t>adică reintegrarea în societate a persoanei condamnate,</w:t>
      </w:r>
      <w:r w:rsidR="00B966B9" w:rsidRPr="003B3332">
        <w:t>, dat fiind că politica penală europeană din prezent pune accent pe acest aspect, după cum se reflectă în practica statelor contractante, în standardele relevante adoptate de Consiliul Europei și în materialele internaționale relevante [</w:t>
      </w:r>
      <w:hyperlink r:id="rId204" w:history="1">
        <w:r w:rsidR="00B966B9" w:rsidRPr="003B3332">
          <w:rPr>
            <w:rStyle w:val="Hyperlink"/>
          </w:rPr>
          <w:t>Murray împotriva Țărilor de Jos</w:t>
        </w:r>
      </w:hyperlink>
      <w:r w:rsidR="00B966B9" w:rsidRPr="003B3332">
        <w:t xml:space="preserve"> (MC), 2016, pct. 102; și </w:t>
      </w:r>
      <w:hyperlink r:id="rId205" w:history="1">
        <w:r w:rsidR="00B966B9" w:rsidRPr="003B3332">
          <w:rPr>
            <w:rStyle w:val="Hyperlink"/>
          </w:rPr>
          <w:t>Hutchinson împotriva Regatului Unit</w:t>
        </w:r>
      </w:hyperlink>
      <w:r w:rsidR="00B966B9" w:rsidRPr="003B3332">
        <w:t xml:space="preserve"> (MC), 2017, pct. 42].</w:t>
      </w:r>
    </w:p>
    <w:p w14:paraId="243BF5AD" w14:textId="6C9FF9D9" w:rsidR="00D422D1" w:rsidRPr="003B3332" w:rsidRDefault="004713AB" w:rsidP="00C96ECF">
      <w:pPr>
        <w:pStyle w:val="ECHRParaSpaced"/>
      </w:pPr>
      <w:r>
        <w:fldChar w:fldCharType="begin"/>
      </w:r>
      <w:r>
        <w:instrText xml:space="preserve"> SEQ level0 \*arabic \* MERGEFORMAT </w:instrText>
      </w:r>
      <w:r>
        <w:fldChar w:fldCharType="separate"/>
      </w:r>
      <w:r w:rsidR="000862FF">
        <w:rPr>
          <w:noProof/>
        </w:rPr>
        <w:t>79</w:t>
      </w:r>
      <w:r>
        <w:fldChar w:fldCharType="end"/>
      </w:r>
      <w:r w:rsidR="00FA7743" w:rsidRPr="003B3332">
        <w:t>.  O condamnare pe viață nu devine „ireductibilă” prin simplul fapt că, în practică, nu poate fi executată în totalitate [</w:t>
      </w:r>
      <w:hyperlink r:id="rId206" w:history="1">
        <w:r w:rsidR="00FA7743" w:rsidRPr="003B3332">
          <w:rPr>
            <w:rStyle w:val="Hyperlink"/>
          </w:rPr>
          <w:t>Murray împotriva Țărilor de Jos</w:t>
        </w:r>
      </w:hyperlink>
      <w:r w:rsidR="00FA7743" w:rsidRPr="003B3332">
        <w:rPr>
          <w:i/>
        </w:rPr>
        <w:t xml:space="preserve"> </w:t>
      </w:r>
      <w:r w:rsidR="00FA7743" w:rsidRPr="003B3332">
        <w:t>(MC), 2016 pct. 99, cu trimiterile ulterioare].  Totuși, respectarea demnității umane cere ca autoritățile din penitenciare să facă eforturi în direcția reabilitării unui deținut condamnat pe viață [</w:t>
      </w:r>
      <w:hyperlink r:id="rId207" w:history="1">
        <w:r w:rsidR="00FA7743" w:rsidRPr="003B3332">
          <w:rPr>
            <w:rStyle w:val="Hyperlink"/>
          </w:rPr>
          <w:t>Murray împotriva Țărilor de Jos</w:t>
        </w:r>
      </w:hyperlink>
      <w:r w:rsidR="00FA7743" w:rsidRPr="003B3332">
        <w:t xml:space="preserve"> (MC), 2016, pct. 104]. Rezultă de aici că reexaminarea cerută trebuie să țină seama de progresele făcute de deținut către reabilitare, evaluând dacă aceste progrese au fost atât de importante încât continuarea detenției nu mai poate fi justificată din motive penologice legitime. Reexaminarea care se limitează la motive umanitare este, prin urmare, insuficientă [</w:t>
      </w:r>
      <w:hyperlink r:id="rId208" w:history="1">
        <w:r w:rsidR="00FA7743" w:rsidRPr="003B3332">
          <w:rPr>
            <w:rStyle w:val="Hyperlink"/>
          </w:rPr>
          <w:t>Hutchinson împotriva Regatului Unit</w:t>
        </w:r>
      </w:hyperlink>
      <w:r w:rsidR="00FA7743" w:rsidRPr="003B3332">
        <w:t xml:space="preserve"> (MC), 2017, pct. 43].</w:t>
      </w:r>
    </w:p>
    <w:p w14:paraId="073F5408" w14:textId="5E37583F" w:rsidR="00923CC6" w:rsidRPr="003B3332" w:rsidRDefault="004713AB" w:rsidP="00C96ECF">
      <w:pPr>
        <w:pStyle w:val="ECHRParaSpaced"/>
        <w:rPr>
          <w:rFonts w:ascii="TimesNewRomanPSMT" w:hAnsi="TimesNewRomanPSMT" w:cs="TimesNewRomanPSMT"/>
          <w:sz w:val="24"/>
          <w:szCs w:val="24"/>
        </w:rPr>
      </w:pPr>
      <w:r>
        <w:fldChar w:fldCharType="begin"/>
      </w:r>
      <w:r>
        <w:instrText xml:space="preserve"> SEQ level0 \*arabic \* MERGEFORMAT </w:instrText>
      </w:r>
      <w:r>
        <w:fldChar w:fldCharType="separate"/>
      </w:r>
      <w:r w:rsidR="000862FF">
        <w:rPr>
          <w:noProof/>
        </w:rPr>
        <w:t>80</w:t>
      </w:r>
      <w:r>
        <w:fldChar w:fldCharType="end"/>
      </w:r>
      <w:r w:rsidR="00FA7743" w:rsidRPr="003B3332">
        <w:t>.  Criteriile și condițiile stabilite în legislația internă care se referă la reexaminare trebuie să aibă un grad suficient de claritate și de certitudine și, de asemenea, să reflecte jurisprudența relevantă a Curții. Aceasta înseamnă că deținuții care primesc condamnarea la detențiune pe viață fără posibilitatea liberării condiționate au dreptul să cunoască de la început ce trebuie să facă pentru a fi eligibili pentru eliberare și în ce condiții. În aceasta se include și momentul în care va avea loc ori se poate solicita o revizuire a pedepsei (</w:t>
      </w:r>
      <w:hyperlink r:id="rId209" w:history="1">
        <w:r w:rsidR="00FA7743" w:rsidRPr="003B3332">
          <w:rPr>
            <w:rStyle w:val="Hyperlink"/>
          </w:rPr>
          <w:t>Vinter și alții</w:t>
        </w:r>
      </w:hyperlink>
      <w:r w:rsidR="00FA7743" w:rsidRPr="003B3332">
        <w:t>, 2013, pct. 122). În acest sens, Curtea a reținut un sprijin evident în materialele comparative și internaționale relevante în favoarea revizuirii care să aibă loc nu mai târziu de 25 de ani de la aplicarea pedepsei, cu revizuiri periodice ulterioare (</w:t>
      </w:r>
      <w:hyperlink r:id="rId210" w:history="1">
        <w:r w:rsidR="00FA7743" w:rsidRPr="003B3332">
          <w:rPr>
            <w:rStyle w:val="Hyperlink"/>
          </w:rPr>
          <w:t>ibid</w:t>
        </w:r>
      </w:hyperlink>
      <w:r w:rsidR="00FA7743" w:rsidRPr="003B3332">
        <w:rPr>
          <w:i/>
        </w:rPr>
        <w:t>.</w:t>
      </w:r>
      <w:r w:rsidR="00FA7743" w:rsidRPr="003B3332">
        <w:t>, pct. 68, 118, 119 și 120). Însă a indicat și că aceasta este o problemă care intră în marja de apreciere care trebuie acordată statelor contractante în materie de justiție penală și stabilire a pedepselor (</w:t>
      </w:r>
      <w:hyperlink r:id="rId211" w:history="1">
        <w:r w:rsidR="00FA7743" w:rsidRPr="003B3332">
          <w:rPr>
            <w:rStyle w:val="Hyperlink"/>
          </w:rPr>
          <w:t>ibid</w:t>
        </w:r>
      </w:hyperlink>
      <w:r w:rsidR="00FA7743" w:rsidRPr="003B3332">
        <w:rPr>
          <w:i/>
        </w:rPr>
        <w:t>.</w:t>
      </w:r>
      <w:r w:rsidR="00FA7743" w:rsidRPr="003B3332">
        <w:t>, pct. 104, 105 și 120).</w:t>
      </w:r>
    </w:p>
    <w:p w14:paraId="19CF45EA" w14:textId="5489194A" w:rsidR="003B77DC" w:rsidRPr="003B3332" w:rsidRDefault="004713AB" w:rsidP="00857A9D">
      <w:pPr>
        <w:pStyle w:val="ECHRParaSpaced"/>
      </w:pPr>
      <w:r>
        <w:fldChar w:fldCharType="begin"/>
      </w:r>
      <w:r>
        <w:instrText xml:space="preserve"> SEQ level0 \*arabic \* MERGEFORMAT </w:instrText>
      </w:r>
      <w:r>
        <w:fldChar w:fldCharType="separate"/>
      </w:r>
      <w:r w:rsidR="000862FF">
        <w:rPr>
          <w:noProof/>
        </w:rPr>
        <w:t>81</w:t>
      </w:r>
      <w:r>
        <w:fldChar w:fldCharType="end"/>
      </w:r>
      <w:r w:rsidR="00FA7743" w:rsidRPr="003B3332">
        <w:t>.  Cu privire la natura reexaminării, Curtea a subliniat că sarcina sa nu este de a dispune dacă trebuie să fie judiciară sau de executare, ținând seama de marja de apreciere care trebuie acordată statelor contractante (</w:t>
      </w:r>
      <w:hyperlink r:id="rId212" w:history="1">
        <w:r w:rsidR="00FA7743" w:rsidRPr="003B3332">
          <w:rPr>
            <w:rStyle w:val="Hyperlink"/>
          </w:rPr>
          <w:t>Vinter și alții</w:t>
        </w:r>
      </w:hyperlink>
      <w:r w:rsidR="00FA7743" w:rsidRPr="003B3332">
        <w:t>, 2013, pct. 120). Prin urmare, trebuie ca fiecare stat să stabilească dacă revizuirea pedepsei este efectuată de puterea executivă sau de cea judecătorească [</w:t>
      </w:r>
      <w:hyperlink r:id="rId213" w:history="1">
        <w:r w:rsidR="00FA7743" w:rsidRPr="003B3332">
          <w:rPr>
            <w:rStyle w:val="Hyperlink"/>
          </w:rPr>
          <w:t>Hutchinson împotriva Regatului Unit</w:t>
        </w:r>
      </w:hyperlink>
      <w:r w:rsidR="00FA7743" w:rsidRPr="003B3332">
        <w:t xml:space="preserve"> (MC), 2017, </w:t>
      </w:r>
      <w:bookmarkStart w:id="57" w:name="_Hlk132806204"/>
      <w:r w:rsidR="00FA7743" w:rsidRPr="003B3332">
        <w:t>pct. 44</w:t>
      </w:r>
      <w:bookmarkEnd w:id="57"/>
      <w:r w:rsidR="00FA7743" w:rsidRPr="003B3332">
        <w:t>].</w:t>
      </w:r>
    </w:p>
    <w:p w14:paraId="2D984588" w14:textId="23652371" w:rsidR="006B3806" w:rsidRPr="003B3332" w:rsidRDefault="004713AB" w:rsidP="00857A9D">
      <w:pPr>
        <w:pStyle w:val="ECHRParaSpaced"/>
      </w:pPr>
      <w:r>
        <w:fldChar w:fldCharType="begin"/>
      </w:r>
      <w:r>
        <w:instrText xml:space="preserve"> S</w:instrText>
      </w:r>
      <w:r>
        <w:instrText xml:space="preserve">EQ level0 \*arabic \* MERGEFORMAT </w:instrText>
      </w:r>
      <w:r>
        <w:fldChar w:fldCharType="separate"/>
      </w:r>
      <w:r w:rsidR="000862FF">
        <w:rPr>
          <w:noProof/>
        </w:rPr>
        <w:t>82</w:t>
      </w:r>
      <w:r>
        <w:fldChar w:fldCharType="end"/>
      </w:r>
      <w:r w:rsidR="00FA7743" w:rsidRPr="003B3332">
        <w:t xml:space="preserve">.  Continuarea detenției unui deținut cauzată de imposibilitatea practică a transferului, în circumstanțe în care detenția sa nu mai era considerată necesară de către autoritățile naționale, a echivalat cu o pedeapsă pe viață ireductibilă </w:t>
      </w:r>
      <w:r w:rsidR="00FA7743" w:rsidRPr="003B3332">
        <w:rPr>
          <w:i/>
          <w:iCs/>
        </w:rPr>
        <w:t>de facto</w:t>
      </w:r>
      <w:r w:rsidR="00FA7743" w:rsidRPr="003B3332">
        <w:t xml:space="preserve"> din cauza lipsei unei perspective realiste de eliberare (</w:t>
      </w:r>
      <w:hyperlink r:id="rId214" w:history="1">
        <w:r w:rsidR="00FA7743" w:rsidRPr="003B3332">
          <w:rPr>
            <w:rStyle w:val="Hyperlink"/>
          </w:rPr>
          <w:t>Horion împotriva Belgiei</w:t>
        </w:r>
      </w:hyperlink>
      <w:r w:rsidR="00FA7743" w:rsidRPr="003B3332">
        <w:t>, 2023, pct. 75).</w:t>
      </w:r>
    </w:p>
    <w:p w14:paraId="385484FB" w14:textId="03280E60" w:rsidR="00715DFE" w:rsidRPr="003B3332" w:rsidRDefault="004713AB" w:rsidP="00C96ECF">
      <w:pPr>
        <w:pStyle w:val="ECHRParaSpaced"/>
      </w:pPr>
      <w:r>
        <w:fldChar w:fldCharType="begin"/>
      </w:r>
      <w:r>
        <w:instrText xml:space="preserve"> SEQ level0 \*arabic \* MERGEFORMAT </w:instrText>
      </w:r>
      <w:r>
        <w:fldChar w:fldCharType="separate"/>
      </w:r>
      <w:r w:rsidR="000862FF">
        <w:rPr>
          <w:noProof/>
        </w:rPr>
        <w:t>83</w:t>
      </w:r>
      <w:r>
        <w:fldChar w:fldCharType="end"/>
      </w:r>
      <w:r w:rsidR="00FA7743" w:rsidRPr="003B3332">
        <w:t xml:space="preserve">.  În contextul extrădării, conformitatea Convenției cu pedeapsa cu închisoarea pe viață impusă într-o țară terță nu se evaluează cu trimitere la toate standardele care se aplică deținuților pe viață în statele contractante. Prin urmare, garanțiile procedurale stabilite în </w:t>
      </w:r>
      <w:hyperlink r:id="rId215" w:history="1">
        <w:r w:rsidR="00FA7743" w:rsidRPr="003B3332">
          <w:rPr>
            <w:rStyle w:val="Hyperlink"/>
          </w:rPr>
          <w:t>Vinter și alții împotriva Regatului Unit</w:t>
        </w:r>
      </w:hyperlink>
      <w:r w:rsidR="00FA7743" w:rsidRPr="003B3332">
        <w:t xml:space="preserve"> (MC), având ca obiect contextul intern, nu sunt aplicabile în contextul extrădării.</w:t>
      </w:r>
      <w:r w:rsidR="00FA7743" w:rsidRPr="003B3332">
        <w:rPr>
          <w:color w:val="000000"/>
        </w:rPr>
        <w:t xml:space="preserve"> Curtea aplică mai degrabă o abordare adaptată cu două etape: </w:t>
      </w:r>
      <w:r w:rsidR="00FA7743" w:rsidRPr="003B3332">
        <w:rPr>
          <w:color w:val="000000"/>
          <w:shd w:val="clear" w:color="auto" w:fill="FFFFFF"/>
        </w:rPr>
        <w:t>în prima etapă, trebuie stabilit dacă reclamantul a prezentat probe de natură să demonstreze că există motive întemeiate pentru a crede că, în caz de extrădare și de condamnare, există un risc real de a i se aplica o pedeapsă cu detențiunea pe viață fără posibilitatea acordării liberării condiționate. În acest caz, în etapa a doua trebuie verificat dacă, de la momentul condamnării, este instituit un mecanism de revizuire permițând autorităților din țara terță să țină seama de progresele deținutului în vederea reabilitării sau de orice motiv de punere în libertate în baza comportamentului acestuia sau a altor circumstanțe personale relevante (</w:t>
      </w:r>
      <w:hyperlink r:id="rId216" w:history="1">
        <w:r w:rsidR="00FA7743" w:rsidRPr="003B3332">
          <w:rPr>
            <w:i/>
            <w:color w:val="0072BC" w:themeColor="hyperlink"/>
          </w:rPr>
          <w:t>Sanchez-Sanchez împotriva Regatului Unit</w:t>
        </w:r>
      </w:hyperlink>
      <w:r w:rsidR="00FA7743" w:rsidRPr="003B3332">
        <w:t xml:space="preserve">, </w:t>
      </w:r>
      <w:bookmarkStart w:id="58" w:name="_Hlk132806309"/>
      <w:r w:rsidR="00FA7743" w:rsidRPr="003B3332">
        <w:t>p</w:t>
      </w:r>
      <w:bookmarkEnd w:id="58"/>
      <w:r w:rsidR="00FA7743" w:rsidRPr="003B3332">
        <w:t>ct. 83-97).</w:t>
      </w:r>
    </w:p>
    <w:p w14:paraId="77B52D46" w14:textId="24ADA1C0" w:rsidR="00923CC6" w:rsidRPr="003B3332" w:rsidRDefault="004713AB" w:rsidP="00C96ECF">
      <w:pPr>
        <w:pStyle w:val="ECHRParaSpaced"/>
      </w:pPr>
      <w:r>
        <w:fldChar w:fldCharType="begin"/>
      </w:r>
      <w:r>
        <w:instrText xml:space="preserve"> SEQ level0 \*arabic \* MERGEFORMAT </w:instrText>
      </w:r>
      <w:r>
        <w:fldChar w:fldCharType="separate"/>
      </w:r>
      <w:r w:rsidR="000862FF">
        <w:rPr>
          <w:noProof/>
        </w:rPr>
        <w:t>84</w:t>
      </w:r>
      <w:r>
        <w:fldChar w:fldCharType="end"/>
      </w:r>
      <w:r w:rsidR="00FA7743" w:rsidRPr="003B3332">
        <w:t xml:space="preserve">.  Informații mai detaliate pot fi găsite în </w:t>
      </w:r>
      <w:hyperlink r:id="rId217" w:history="1">
        <w:r w:rsidR="00FA7743" w:rsidRPr="003B3332">
          <w:rPr>
            <w:rStyle w:val="Hyperlink"/>
          </w:rPr>
          <w:t>Ghid privind jurisprudența derivată din Convenția europeană a drepturilor omului – Imigrația</w:t>
        </w:r>
      </w:hyperlink>
      <w:r w:rsidR="00FA7743" w:rsidRPr="003B3332">
        <w:rPr>
          <w:i/>
        </w:rPr>
        <w:t>.</w:t>
      </w:r>
    </w:p>
    <w:p w14:paraId="25CEC585" w14:textId="45370374" w:rsidR="00B74211" w:rsidRPr="003B3332" w:rsidRDefault="00D255A7" w:rsidP="007314A4">
      <w:pPr>
        <w:pStyle w:val="ECHRHeading2"/>
      </w:pPr>
      <w:bookmarkStart w:id="59" w:name="_Toc180674919"/>
      <w:r w:rsidRPr="003B3332">
        <w:t>Extrădarea și expulzarea</w:t>
      </w:r>
      <w:bookmarkEnd w:id="59"/>
    </w:p>
    <w:p w14:paraId="238F5B10" w14:textId="32755790" w:rsidR="00550D40" w:rsidRPr="003B3332" w:rsidRDefault="0052442B" w:rsidP="00242778">
      <w:pPr>
        <w:pStyle w:val="ECHRParaSpaced"/>
      </w:pPr>
      <w:fldSimple w:instr=" SEQ level0 \*arabic ">
        <w:r w:rsidR="000862FF">
          <w:rPr>
            <w:noProof/>
          </w:rPr>
          <w:t>85</w:t>
        </w:r>
      </w:fldSimple>
      <w:r w:rsidR="002E7852" w:rsidRPr="003B3332">
        <w:t>.  Curtea a subliniat că Statele contractante au dreptul, în temeiul dreptului internațional consacrat și sub rezerva obligațiilor prevăzute prin tratate, inclusiv Convenția, să controleze intrarea, șederea și expulzarea străinilor [</w:t>
      </w:r>
      <w:hyperlink r:id="rId218" w:history="1">
        <w:r w:rsidR="002E7852" w:rsidRPr="003B3332">
          <w:rPr>
            <w:rStyle w:val="Hyperlink"/>
          </w:rPr>
          <w:t>Khasanov și Rahmanov împotriva Rusiei</w:t>
        </w:r>
      </w:hyperlink>
      <w:r w:rsidR="002E7852" w:rsidRPr="003B3332">
        <w:t xml:space="preserve"> (MC), 2022, pct. 93]. Un drept la azil politic nu este cuprins în Convenție sau în protocoalele la aceasta. Cu toate acestea, expulzarea, extrădarea sau altă măsură de îndepărtare a unui străin poate ridica o problemă în temeiul art. 3, angajând, astfel, răspunderea statului contractant în temeiul Convenției, în cazul în care s-au prezentat motive întemeiate pentru a crede că, dacă va fi îndepărtată, persoana respectivă ar risca în mod real să fie supusă unor tratamente contrare art. 3 în țara de destinație.  În aceste condiții, art. 3 implică obligația de a nu îndepărta persoana în țara respectivă [</w:t>
      </w:r>
      <w:hyperlink r:id="rId219" w:history="1">
        <w:r w:rsidR="002E7852" w:rsidRPr="003B3332">
          <w:rPr>
            <w:rStyle w:val="Hyperlink"/>
          </w:rPr>
          <w:t xml:space="preserve">Ilias și Ahmed împotriva Ungariei </w:t>
        </w:r>
      </w:hyperlink>
      <w:r w:rsidR="002E7852" w:rsidRPr="003B3332">
        <w:t>(MC), 2019, pct. 125-126].</w:t>
      </w:r>
    </w:p>
    <w:p w14:paraId="4DA52DC2" w14:textId="4828EB18" w:rsidR="000260C8" w:rsidRPr="003B3332" w:rsidRDefault="0052442B" w:rsidP="008C4F3B">
      <w:pPr>
        <w:pStyle w:val="ECHRParaSpaced"/>
      </w:pPr>
      <w:fldSimple w:instr=" SEQ level0 \*arabic ">
        <w:r w:rsidR="000862FF">
          <w:rPr>
            <w:noProof/>
          </w:rPr>
          <w:t>86</w:t>
        </w:r>
      </w:fldSimple>
      <w:r w:rsidR="009964E7" w:rsidRPr="003B3332">
        <w:t xml:space="preserve">.  Informații mai detaliate pot fi găsite în </w:t>
      </w:r>
      <w:hyperlink r:id="rId220" w:history="1">
        <w:r w:rsidR="009964E7" w:rsidRPr="003B3332">
          <w:rPr>
            <w:rStyle w:val="Hyperlink"/>
          </w:rPr>
          <w:t>Ghid privind jurisprudența derivată din Convenția europeană a drepturilor omului – Imigrația</w:t>
        </w:r>
      </w:hyperlink>
      <w:r w:rsidR="009964E7" w:rsidRPr="003B3332">
        <w:t>.</w:t>
      </w:r>
    </w:p>
    <w:p w14:paraId="116CA8B7" w14:textId="7D6A847F" w:rsidR="00571817" w:rsidRPr="003B3332" w:rsidRDefault="000260C8" w:rsidP="00571817">
      <w:pPr>
        <w:pStyle w:val="ECHRHeading2"/>
      </w:pPr>
      <w:bookmarkStart w:id="60" w:name="_Toc180674920"/>
      <w:r w:rsidRPr="003B3332">
        <w:t>Intervenții medicale forțate</w:t>
      </w:r>
      <w:bookmarkEnd w:id="60"/>
    </w:p>
    <w:p w14:paraId="6A9146CD" w14:textId="77777777" w:rsidR="00677D44" w:rsidRPr="003B3332" w:rsidRDefault="00930CB2" w:rsidP="007F4843">
      <w:pPr>
        <w:pStyle w:val="ECHRHeading4"/>
      </w:pPr>
      <w:bookmarkStart w:id="61" w:name="_Toc180674921"/>
      <w:r w:rsidRPr="003B3332">
        <w:t>Principii generale</w:t>
      </w:r>
      <w:bookmarkEnd w:id="61"/>
    </w:p>
    <w:p w14:paraId="1CF5FEE0" w14:textId="156562EB" w:rsidR="00EF0667" w:rsidRPr="003B3332" w:rsidRDefault="004713AB" w:rsidP="008C4F3B">
      <w:pPr>
        <w:pStyle w:val="ECHRParaSpaced"/>
      </w:pPr>
      <w:r>
        <w:fldChar w:fldCharType="begin"/>
      </w:r>
      <w:r>
        <w:instrText xml:space="preserve"> SEQ level0 \*arabic \* MERGEFORMAT </w:instrText>
      </w:r>
      <w:r>
        <w:fldChar w:fldCharType="separate"/>
      </w:r>
      <w:r w:rsidR="000862FF">
        <w:rPr>
          <w:noProof/>
        </w:rPr>
        <w:t>87</w:t>
      </w:r>
      <w:r>
        <w:fldChar w:fldCharType="end"/>
      </w:r>
      <w:r w:rsidR="00FA7743" w:rsidRPr="003B3332">
        <w:t>.  O măsură de necesitate terapeutică din punct de vedere al principiilor consacrate ale medicinei nu poate fi considerată, în principiu, ca inumană și degradantă.  Cu toate acestea, Curtea trebuie să se asigure că necesitatea medicală a fost demonstrată în mod convingător și că există și sunt respectate garanțiile procedurale pentru decizia respectivă [</w:t>
      </w:r>
      <w:hyperlink r:id="rId221" w:history="1">
        <w:r w:rsidR="00FA7743" w:rsidRPr="003B3332">
          <w:rPr>
            <w:rStyle w:val="Hyperlink"/>
          </w:rPr>
          <w:t>Jalloh împotriva Germaniei</w:t>
        </w:r>
      </w:hyperlink>
      <w:r w:rsidR="00FA7743" w:rsidRPr="003B3332">
        <w:t xml:space="preserve"> (MC), 2006, pct. 69].</w:t>
      </w:r>
    </w:p>
    <w:p w14:paraId="3492213C" w14:textId="1A917324" w:rsidR="000878EE" w:rsidRPr="003B3332" w:rsidRDefault="000878EE" w:rsidP="000878EE">
      <w:pPr>
        <w:pStyle w:val="ECHRHeading4"/>
      </w:pPr>
      <w:bookmarkStart w:id="62" w:name="_Toc180674922"/>
      <w:r w:rsidRPr="003B3332">
        <w:t>Alimentarea forțată</w:t>
      </w:r>
      <w:bookmarkEnd w:id="62"/>
    </w:p>
    <w:p w14:paraId="584CBBDE" w14:textId="724799F4" w:rsidR="00C31E85" w:rsidRPr="003B3332" w:rsidRDefault="004713AB" w:rsidP="008C4F3B">
      <w:pPr>
        <w:pStyle w:val="ECHRParaSpaced"/>
      </w:pPr>
      <w:r>
        <w:fldChar w:fldCharType="begin"/>
      </w:r>
      <w:r>
        <w:instrText xml:space="preserve"> SEQ level0 \*arabic \* MERGEFORMAT </w:instrText>
      </w:r>
      <w:r>
        <w:fldChar w:fldCharType="separate"/>
      </w:r>
      <w:r w:rsidR="000862FF">
        <w:rPr>
          <w:noProof/>
        </w:rPr>
        <w:t>88</w:t>
      </w:r>
      <w:r>
        <w:fldChar w:fldCharType="end"/>
      </w:r>
      <w:r w:rsidR="00FA7743" w:rsidRPr="003B3332">
        <w:t>.  Alimentarea forțată care vizează salvarea vieții unui deținut care refuză în mod conștient să se hrănească nu poate fi considerată, în principiu, ca inumană și degradantă.  Cu toate acestea, Curtea trebuie să se asigure că necesitatea medicală a fost demonstrată în mod convingător și că există și sunt respectate garanțiile procedurale pentru decizia de alimentare forțată [</w:t>
      </w:r>
      <w:hyperlink r:id="rId222" w:history="1">
        <w:r w:rsidR="00FA7743" w:rsidRPr="003B3332">
          <w:rPr>
            <w:rStyle w:val="Hyperlink"/>
          </w:rPr>
          <w:t>Ciorap împotriva Moldovei</w:t>
        </w:r>
      </w:hyperlink>
      <w:r w:rsidR="00FA7743" w:rsidRPr="003B3332">
        <w:t xml:space="preserve"> (MC), 2007, pct. 77].  Mai mult decât atât, modul în care reclamantul este supus alimentării forțate în timpul refuzului de hrană nu trebuie să depășească nivelul minim de severitate prevăzut de jurisprudența Curții în temeiul art. 3 din Convenție (</w:t>
      </w:r>
      <w:hyperlink r:id="rId223" w:history="1">
        <w:r w:rsidR="00FA7743" w:rsidRPr="003B3332">
          <w:rPr>
            <w:rStyle w:val="Hyperlink"/>
          </w:rPr>
          <w:t>Nevmerzhitsky împotriva Ucrainei</w:t>
        </w:r>
      </w:hyperlink>
      <w:r w:rsidR="00FA7743" w:rsidRPr="003B3332">
        <w:rPr>
          <w:rStyle w:val="Hyperlink"/>
          <w:color w:val="000000" w:themeColor="text1"/>
        </w:rPr>
        <w:t>,</w:t>
      </w:r>
      <w:r w:rsidR="00FA7743" w:rsidRPr="003B3332">
        <w:rPr>
          <w:rStyle w:val="Hyperlink"/>
        </w:rPr>
        <w:t xml:space="preserve"> </w:t>
      </w:r>
      <w:r w:rsidR="00FA7743" w:rsidRPr="003B3332">
        <w:t>, 2005, pct. 94).</w:t>
      </w:r>
    </w:p>
    <w:p w14:paraId="03F583A5" w14:textId="4A7832EE" w:rsidR="00FE62ED" w:rsidRPr="003B3332" w:rsidRDefault="004713AB" w:rsidP="008C4F3B">
      <w:pPr>
        <w:pStyle w:val="ECHRParaSpaced"/>
      </w:pPr>
      <w:r>
        <w:fldChar w:fldCharType="begin"/>
      </w:r>
      <w:r>
        <w:instrText xml:space="preserve"> SEQ level0 \*arabic \* MER</w:instrText>
      </w:r>
      <w:r>
        <w:instrText xml:space="preserve">GEFORMAT </w:instrText>
      </w:r>
      <w:r>
        <w:fldChar w:fldCharType="separate"/>
      </w:r>
      <w:r w:rsidR="000862FF">
        <w:rPr>
          <w:noProof/>
        </w:rPr>
        <w:t>89</w:t>
      </w:r>
      <w:r>
        <w:fldChar w:fldCharType="end"/>
      </w:r>
      <w:r w:rsidR="005B5D7A" w:rsidRPr="003B3332">
        <w:t xml:space="preserve">.  În </w:t>
      </w:r>
      <w:hyperlink r:id="rId224" w:history="1">
        <w:r w:rsidR="005B5D7A" w:rsidRPr="003B3332">
          <w:rPr>
            <w:rStyle w:val="Hyperlink"/>
          </w:rPr>
          <w:t>Herczegfalvy împotriva Austriei</w:t>
        </w:r>
      </w:hyperlink>
      <w:r w:rsidR="005B5D7A" w:rsidRPr="003B3332">
        <w:t xml:space="preserve">, 1992, care a implicat, </w:t>
      </w:r>
      <w:r w:rsidR="005B5D7A" w:rsidRPr="003B3332">
        <w:rPr>
          <w:i/>
          <w:iCs/>
        </w:rPr>
        <w:t>inter alia</w:t>
      </w:r>
      <w:r w:rsidR="005B5D7A" w:rsidRPr="003B3332">
        <w:t>, alimentarea forțată a unui pacient psihiatric care refuza să se hrănească, Curtea a constatat că tratamentul este justificat de necesitatea medicală și că, prin urmare, nu a încălcat art. 3 (pct. 79-84).</w:t>
      </w:r>
    </w:p>
    <w:p w14:paraId="7C1A32C0" w14:textId="4DCDC883" w:rsidR="00E43CA7" w:rsidRPr="003B3332" w:rsidRDefault="004713AB" w:rsidP="008C4F3B">
      <w:pPr>
        <w:pStyle w:val="ECHRParaSpaced"/>
      </w:pPr>
      <w:r>
        <w:fldChar w:fldCharType="begin"/>
      </w:r>
      <w:r>
        <w:instrText xml:space="preserve"> SEQ level0 \*arabic \* MERGEFORMAT </w:instrText>
      </w:r>
      <w:r>
        <w:fldChar w:fldCharType="separate"/>
      </w:r>
      <w:r w:rsidR="000862FF">
        <w:rPr>
          <w:noProof/>
        </w:rPr>
        <w:t>90</w:t>
      </w:r>
      <w:r>
        <w:fldChar w:fldCharType="end"/>
      </w:r>
      <w:r w:rsidR="00FA7743" w:rsidRPr="003B3332">
        <w:t>.  Dimpotrivă, Curtea a constatat că alimentarea forțată a unui deținut aflat în greva foamei pentru a protesta împotriva condițiilor din penitenciar nu se baza pe motive medicale valabile, ci mai degrabă a avut scopul de a-l forța să înceteze protestul și s-a făcut într-un mod care l-a expus în mod inutil durerii fizice și umilinței, constituind tortură (</w:t>
      </w:r>
      <w:hyperlink r:id="rId225" w:history="1">
        <w:r w:rsidR="00FA7743" w:rsidRPr="003B3332">
          <w:rPr>
            <w:rStyle w:val="Hyperlink"/>
          </w:rPr>
          <w:t>Ciorap împotriva Moldovei</w:t>
        </w:r>
      </w:hyperlink>
      <w:r w:rsidR="00FA7743" w:rsidRPr="003B3332">
        <w:t xml:space="preserve">, 2007, pct. 89; a se vedea și </w:t>
      </w:r>
      <w:hyperlink r:id="rId226" w:history="1">
        <w:r w:rsidR="00FA7743" w:rsidRPr="003B3332">
          <w:rPr>
            <w:rStyle w:val="Hyperlink"/>
          </w:rPr>
          <w:t>Nevmerzhitsky împotriva Ucrainei</w:t>
        </w:r>
      </w:hyperlink>
      <w:r w:rsidR="00FA7743" w:rsidRPr="003B3332">
        <w:t>, 2005, pct. 98).</w:t>
      </w:r>
    </w:p>
    <w:p w14:paraId="772A3852" w14:textId="00061CCF" w:rsidR="00E61D33" w:rsidRPr="003B3332" w:rsidRDefault="005B5D7A" w:rsidP="008C4F3B">
      <w:pPr>
        <w:pStyle w:val="ECHRParaSpaced"/>
        <w:rPr>
          <w:rFonts w:cstheme="minorHAnsi"/>
        </w:rPr>
      </w:pPr>
      <w:r w:rsidRPr="003B3332">
        <w:rPr>
          <w:rFonts w:cstheme="minorHAnsi"/>
        </w:rPr>
        <w:fldChar w:fldCharType="begin"/>
      </w:r>
      <w:r w:rsidRPr="003B3332">
        <w:rPr>
          <w:rFonts w:cstheme="minorHAnsi"/>
        </w:rPr>
        <w:instrText xml:space="preserve"> SEQ level0 \*arabic \* MERGEFORMAT </w:instrText>
      </w:r>
      <w:r w:rsidRPr="003B3332">
        <w:rPr>
          <w:rFonts w:cstheme="minorHAnsi"/>
        </w:rPr>
        <w:fldChar w:fldCharType="separate"/>
      </w:r>
      <w:r w:rsidR="000862FF">
        <w:rPr>
          <w:rFonts w:cstheme="minorHAnsi"/>
          <w:noProof/>
        </w:rPr>
        <w:t>91</w:t>
      </w:r>
      <w:r w:rsidRPr="003B3332">
        <w:rPr>
          <w:rFonts w:cstheme="minorHAnsi"/>
        </w:rPr>
        <w:fldChar w:fldCharType="end"/>
      </w:r>
      <w:r w:rsidRPr="003B3332">
        <w:t xml:space="preserve">.  Mai recent, Curtea a considerat că autoritățile statului nu au gestionat protestul reclamantului prin greva foamei, dată fiind lipsa </w:t>
      </w:r>
      <w:r w:rsidRPr="003B3332">
        <w:rPr>
          <w:color w:val="000000"/>
          <w:shd w:val="clear" w:color="auto" w:fill="FFFFFF"/>
        </w:rPr>
        <w:t>necesității medicale pentru alimentarea forțată la puțin timp după începerea refuzului de hrană și date fiind absența reglementării legale și garanțiile procedurale deficiente privind aplicarea. În lipsa unei anchete, Curtea nu poate exclude că scopul alimentării forțate în litigiu era suprimarea protestelor din respectivul penitenciar</w:t>
      </w:r>
      <w:r w:rsidRPr="003B3332">
        <w:t xml:space="preserve"> (</w:t>
      </w:r>
      <w:hyperlink r:id="rId227" w:history="1">
        <w:r w:rsidRPr="003B3332">
          <w:rPr>
            <w:i/>
            <w:color w:val="0072BC" w:themeColor="hyperlink"/>
            <w:sz w:val="24"/>
          </w:rPr>
          <w:t>Yakovlyev împotriva Ucrainei</w:t>
        </w:r>
      </w:hyperlink>
      <w:r w:rsidRPr="003B3332">
        <w:t>,2022, pct. 46-51).</w:t>
      </w:r>
    </w:p>
    <w:p w14:paraId="2DC75D89" w14:textId="372947DF" w:rsidR="000878EE" w:rsidRPr="003B3332" w:rsidRDefault="005C23D8" w:rsidP="000878EE">
      <w:pPr>
        <w:pStyle w:val="ECHRHeading4"/>
      </w:pPr>
      <w:bookmarkStart w:id="63" w:name="_Toc180674923"/>
      <w:r w:rsidRPr="003B3332">
        <w:t>Tratamentul psihiatric forțat</w:t>
      </w:r>
      <w:bookmarkEnd w:id="63"/>
    </w:p>
    <w:p w14:paraId="1F9C4BCA" w14:textId="056AFE9F" w:rsidR="005C23D8" w:rsidRPr="003B3332" w:rsidRDefault="004713AB" w:rsidP="005C23D8">
      <w:pPr>
        <w:pStyle w:val="ECHRParaSpaced"/>
      </w:pPr>
      <w:r>
        <w:fldChar w:fldCharType="begin"/>
      </w:r>
      <w:r>
        <w:instrText xml:space="preserve"> SEQ level0 \*arabic \* MERGEFORMAT </w:instrText>
      </w:r>
      <w:r>
        <w:fldChar w:fldCharType="separate"/>
      </w:r>
      <w:r w:rsidR="000862FF">
        <w:rPr>
          <w:noProof/>
        </w:rPr>
        <w:t>92</w:t>
      </w:r>
      <w:r>
        <w:fldChar w:fldCharType="end"/>
      </w:r>
      <w:r w:rsidR="00FA7743" w:rsidRPr="003B3332">
        <w:t xml:space="preserve">.  În cauza </w:t>
      </w:r>
      <w:bookmarkStart w:id="64" w:name="_Hlk93572866"/>
      <w:r w:rsidR="009D0CF5" w:rsidRPr="003B3332">
        <w:rPr>
          <w:i/>
        </w:rPr>
        <w:fldChar w:fldCharType="begin"/>
      </w:r>
      <w:r w:rsidR="009D0CF5" w:rsidRPr="003B3332">
        <w:rPr>
          <w:i/>
        </w:rPr>
        <w:instrText xml:space="preserve"> HYPERLINK "https://hudoc.echr.coe.int/eng?i=001-106769" </w:instrText>
      </w:r>
      <w:r w:rsidR="009D0CF5" w:rsidRPr="003B3332">
        <w:rPr>
          <w:i/>
        </w:rPr>
        <w:fldChar w:fldCharType="separate"/>
      </w:r>
      <w:r w:rsidR="00FA7743" w:rsidRPr="003B3332">
        <w:rPr>
          <w:rStyle w:val="Hyperlink"/>
        </w:rPr>
        <w:t>Gorobet împotriva Moldovei</w:t>
      </w:r>
      <w:r w:rsidR="009D0CF5" w:rsidRPr="003B3332">
        <w:rPr>
          <w:i/>
        </w:rPr>
        <w:fldChar w:fldCharType="end"/>
      </w:r>
      <w:bookmarkEnd w:id="64"/>
      <w:r w:rsidR="00FA7743" w:rsidRPr="003B3332">
        <w:t>, 2011, Curtea a constatat că nu existase nicio necesitate medicală pentru a supune reclamantul la patruzeci și una de zile de internare și la tratament psihiatric forțat în spital și că un asemenea tratament nelegal și arbitrar a generat în reclamant sentimente de teamă, chin și inferioritate care echivalau cu un tratament degradant (pct. 52).</w:t>
      </w:r>
    </w:p>
    <w:p w14:paraId="173C5B08" w14:textId="15C4B04D" w:rsidR="0094722D" w:rsidRPr="003B3332" w:rsidRDefault="004713AB" w:rsidP="005C23D8">
      <w:pPr>
        <w:pStyle w:val="ECHRParaSpaced"/>
      </w:pPr>
      <w:r>
        <w:fldChar w:fldCharType="begin"/>
      </w:r>
      <w:r>
        <w:instrText xml:space="preserve"> SEQ level0 \*arabic \* MERGEFORMAT </w:instrText>
      </w:r>
      <w:r>
        <w:fldChar w:fldCharType="separate"/>
      </w:r>
      <w:r w:rsidR="000862FF">
        <w:rPr>
          <w:noProof/>
        </w:rPr>
        <w:t>93</w:t>
      </w:r>
      <w:r>
        <w:fldChar w:fldCharType="end"/>
      </w:r>
      <w:r w:rsidR="00FA7743" w:rsidRPr="003B3332">
        <w:t xml:space="preserve">.  La fel, deși internarea nevoluntară inițială a reclamantului (care a avut o tentativă de suicid) era justificată, Curtea a considerat, în cauza </w:t>
      </w:r>
      <w:hyperlink r:id="rId228" w:history="1">
        <w:r w:rsidR="00FA7743" w:rsidRPr="003B3332">
          <w:rPr>
            <w:rStyle w:val="Hyperlink"/>
          </w:rPr>
          <w:t>Bataliny împotriva Rusiei</w:t>
        </w:r>
      </w:hyperlink>
      <w:r w:rsidR="00FA7743" w:rsidRPr="003B3332">
        <w:rPr>
          <w:rStyle w:val="Hyperlink"/>
          <w:i w:val="0"/>
          <w:color w:val="000000" w:themeColor="text1"/>
        </w:rPr>
        <w:t>, 2015,</w:t>
      </w:r>
      <w:r w:rsidR="00FA7743" w:rsidRPr="003B3332">
        <w:t>, că nu a fost demonstrată nicio necesitate medicală pentru continuarea internării și a tratamentului împotriva voinței sale, inclusiv imobilizarea și participarea la cercetarea științifică pentru un nou medicament (pct. 88-91).</w:t>
      </w:r>
    </w:p>
    <w:p w14:paraId="78C187B5" w14:textId="25473C90" w:rsidR="00D66E75" w:rsidRPr="003B3332" w:rsidRDefault="004713AB" w:rsidP="005C23D8">
      <w:pPr>
        <w:pStyle w:val="ECHRParaSpaced"/>
      </w:pPr>
      <w:r>
        <w:fldChar w:fldCharType="begin"/>
      </w:r>
      <w:r>
        <w:instrText xml:space="preserve"> SEQ level0 \*arabic \* MERGEFORMAT </w:instrText>
      </w:r>
      <w:r>
        <w:fldChar w:fldCharType="separate"/>
      </w:r>
      <w:r w:rsidR="000862FF">
        <w:rPr>
          <w:noProof/>
        </w:rPr>
        <w:t>94</w:t>
      </w:r>
      <w:r>
        <w:fldChar w:fldCharType="end"/>
      </w:r>
      <w:r w:rsidR="009B638B" w:rsidRPr="003B3332">
        <w:t>.  În același sens, Curtea a constatat încălcarea art. 3 atunci când un minor orfan în vârstă de 15 ani, cu o ușoară dizabilitate intelectuală, aflat în îngrijirea statului, a fost internat nevoluntar într-un spital de psihiatrie și supus unui tratament psihiatric, inclusiv cu neuroleptice și tranchilizante fără o necesitate medicală dovedită. În acest caz, Curtea a mai considerat condițiile materiale ale plasării ulterioare a reclamantului într-o secție pentru adulți și folosirea de substanțe chimice, din nou în lipsa necesității terapeutice, ca fiind o încălcare a art. 3 (</w:t>
      </w:r>
      <w:hyperlink r:id="rId229" w:history="1">
        <w:r w:rsidR="009B638B" w:rsidRPr="003B3332">
          <w:rPr>
            <w:rStyle w:val="Hyperlink"/>
          </w:rPr>
          <w:t>V.I. împotriva Republicii Moldova</w:t>
        </w:r>
      </w:hyperlink>
      <w:r w:rsidR="009B638B" w:rsidRPr="003B3332">
        <w:t>, pct. 136-142, pct. 144 și pct. 147-157).</w:t>
      </w:r>
    </w:p>
    <w:p w14:paraId="365B41BD" w14:textId="240541FF" w:rsidR="005139F3" w:rsidRPr="003B3332" w:rsidRDefault="005139F3" w:rsidP="005C23D8">
      <w:pPr>
        <w:pStyle w:val="ECHRParaSpaced"/>
      </w:pPr>
    </w:p>
    <w:p w14:paraId="0FB62290" w14:textId="10FA088A" w:rsidR="005C7073" w:rsidRPr="003B3332" w:rsidRDefault="004713AB" w:rsidP="008C4F3B">
      <w:pPr>
        <w:pStyle w:val="ECHRParaSpaced"/>
      </w:pPr>
      <w:r>
        <w:fldChar w:fldCharType="begin"/>
      </w:r>
      <w:r>
        <w:instrText xml:space="preserve"> SEQ level0 \*arabic \* MERGEFORMAT </w:instrText>
      </w:r>
      <w:r>
        <w:fldChar w:fldCharType="separate"/>
      </w:r>
      <w:r w:rsidR="000862FF">
        <w:rPr>
          <w:noProof/>
        </w:rPr>
        <w:t>95</w:t>
      </w:r>
      <w:r>
        <w:fldChar w:fldCharType="end"/>
      </w:r>
      <w:r w:rsidR="00FA7743" w:rsidRPr="003B3332">
        <w:t xml:space="preserve">.  Dimpotrivă, în </w:t>
      </w:r>
      <w:hyperlink r:id="rId230" w:history="1">
        <w:r w:rsidR="00FA7743" w:rsidRPr="003B3332">
          <w:rPr>
            <w:rStyle w:val="Hyperlink"/>
          </w:rPr>
          <w:t>Naoumenko împotriva Ucrainei</w:t>
        </w:r>
      </w:hyperlink>
      <w:r w:rsidR="00FA7743" w:rsidRPr="003B3332">
        <w:t xml:space="preserve">, 2004, pct. 113-116, Curtea nu a considerat că există probe pentru a stabili dincolo de orice îndoială rezonabilă că tratamentele aplicate reclamantului în penitenciar, chiar dacă forțat, erau contrare art. 3, având în vedere, mai cu seamă, faptul că reclamantul suferea de grave tulburări mintale, că a avut două tentative de suicid și că a primit tratament medicamentos pentru ameliorarea simptomelor (a se vedea și </w:t>
      </w:r>
      <w:hyperlink r:id="rId231" w:history="1">
        <w:r w:rsidR="00FA7743" w:rsidRPr="003B3332">
          <w:rPr>
            <w:rStyle w:val="Hyperlink"/>
          </w:rPr>
          <w:t>Dvořáček împotriva Republicii Cehe</w:t>
        </w:r>
      </w:hyperlink>
      <w:r w:rsidR="00FA7743" w:rsidRPr="003B3332">
        <w:t>, 2014, pct. 106, în care reclamantul s-a plâns, între altele, de tratamentul sexologic despre care pretinde că i-a fost administrat fără consimțământul său informat).</w:t>
      </w:r>
    </w:p>
    <w:p w14:paraId="3479E004" w14:textId="77777777" w:rsidR="00DC43B7" w:rsidRPr="003B3332" w:rsidRDefault="00A01369" w:rsidP="001B4403">
      <w:pPr>
        <w:pStyle w:val="ECHRHeading4"/>
      </w:pPr>
      <w:bookmarkStart w:id="65" w:name="_Toc180674924"/>
      <w:r w:rsidRPr="003B3332">
        <w:t>Sterilizarea nevoluntară și avortul forțat</w:t>
      </w:r>
      <w:bookmarkEnd w:id="65"/>
    </w:p>
    <w:p w14:paraId="5DEE2CB9" w14:textId="316FF364" w:rsidR="00B924F1" w:rsidRPr="003B3332" w:rsidRDefault="004713AB" w:rsidP="00FD3F49">
      <w:pPr>
        <w:pStyle w:val="ECHRParaSpaced"/>
      </w:pPr>
      <w:r>
        <w:fldChar w:fldCharType="begin"/>
      </w:r>
      <w:r>
        <w:instrText xml:space="preserve"> SEQ level0 \*arabic \* MERGEFORMAT </w:instrText>
      </w:r>
      <w:r>
        <w:fldChar w:fldCharType="separate"/>
      </w:r>
      <w:r w:rsidR="000862FF">
        <w:rPr>
          <w:noProof/>
        </w:rPr>
        <w:t>96</w:t>
      </w:r>
      <w:r>
        <w:fldChar w:fldCharType="end"/>
      </w:r>
      <w:r w:rsidR="00FA7743" w:rsidRPr="003B3332">
        <w:t>.  Curtea a statuat că sterilizarea constituie o ingerință majoră în starea de sănătate reproductivă a unei persoane.  Aceasta poate fi realizată legitim la cererea persoanei interesate, de exemplu ca metodă de contracepție sau pentru scopuri terapeutice acolo unde a fost stabilită în mod convingător necesitatea medicală.  Cu toate acestea, a considerat că impunerea unui tratament medical fără consimțământul unui pacient adult competent mintal este incompatibilă cu cerința respectării libertății și demnității umane, unul dintre principiile fundamentale aflate la baza Convenției (</w:t>
      </w:r>
      <w:hyperlink r:id="rId232" w:history="1">
        <w:r w:rsidR="00FA7743" w:rsidRPr="003B3332">
          <w:rPr>
            <w:rStyle w:val="Hyperlink"/>
          </w:rPr>
          <w:t>V.C. împotriva Slovaciei</w:t>
        </w:r>
      </w:hyperlink>
      <w:r w:rsidR="00FA7743" w:rsidRPr="003B3332">
        <w:t>, 2011, pct. 106-107).</w:t>
      </w:r>
    </w:p>
    <w:p w14:paraId="6AEDC43A" w14:textId="0ECBC022" w:rsidR="00CC77ED" w:rsidRPr="003B3332" w:rsidRDefault="004713AB" w:rsidP="00CC77ED">
      <w:pPr>
        <w:pStyle w:val="ECHRParaSpaced"/>
        <w:rPr>
          <w:rFonts w:cstheme="minorHAnsi"/>
        </w:rPr>
      </w:pPr>
      <w:r>
        <w:fldChar w:fldCharType="begin"/>
      </w:r>
      <w:r>
        <w:instrText xml:space="preserve"> SEQ level0 \*arabic \* MERGEFORMAT </w:instrText>
      </w:r>
      <w:r>
        <w:fldChar w:fldCharType="separate"/>
      </w:r>
      <w:r w:rsidR="000862FF">
        <w:rPr>
          <w:noProof/>
        </w:rPr>
        <w:t>97</w:t>
      </w:r>
      <w:r>
        <w:fldChar w:fldCharType="end"/>
      </w:r>
      <w:r w:rsidR="00FA7743" w:rsidRPr="003B3332">
        <w:t xml:space="preserve">.  În </w:t>
      </w:r>
      <w:bookmarkStart w:id="66" w:name="_Hlk93577377"/>
      <w:r w:rsidR="00A80E91" w:rsidRPr="003B3332">
        <w:rPr>
          <w:rFonts w:cstheme="minorHAnsi"/>
          <w:i/>
        </w:rPr>
        <w:fldChar w:fldCharType="begin"/>
      </w:r>
      <w:r w:rsidR="00A80E91" w:rsidRPr="003B3332">
        <w:rPr>
          <w:rFonts w:cstheme="minorHAnsi"/>
          <w:i/>
        </w:rPr>
        <w:instrText xml:space="preserve"> HYPERLINK "https://hudoc.echr.coe.int/eng?i=001-107364" </w:instrText>
      </w:r>
      <w:r w:rsidR="00A80E91" w:rsidRPr="003B3332">
        <w:rPr>
          <w:rFonts w:cstheme="minorHAnsi"/>
          <w:i/>
        </w:rPr>
        <w:fldChar w:fldCharType="separate"/>
      </w:r>
      <w:r w:rsidR="00FA7743" w:rsidRPr="003B3332">
        <w:rPr>
          <w:rStyle w:val="Hyperlink"/>
        </w:rPr>
        <w:t>V.C. împotriva Slovaciei</w:t>
      </w:r>
      <w:r w:rsidR="00A80E91" w:rsidRPr="003B3332">
        <w:rPr>
          <w:rFonts w:cstheme="minorHAnsi"/>
          <w:i/>
        </w:rPr>
        <w:fldChar w:fldCharType="end"/>
      </w:r>
      <w:bookmarkEnd w:id="66"/>
      <w:r w:rsidR="00FA7743" w:rsidRPr="003B3332">
        <w:t xml:space="preserve">, 2011, în care reclamanta, de origine romă, a fost sterilizată fără consimțământul ei informat după ce născuse prin cezariană, Curtea a concluzionat că, deși nu exista niciun indiciu că personalul medical a acționat cu intenția să supună reclamanta relelor tratamente, totuși medicii au dat dovadă de o flagrantă lipsă de respect față de dreptul acesteia la autonomie și la alegere în calitate de pacientă. Un astfel de tratament a încălcat, prin urmare, art. 3 din Convenție (pct. 106-120; a se vedea și </w:t>
      </w:r>
      <w:hyperlink r:id="rId233" w:history="1">
        <w:r w:rsidR="00FA7743" w:rsidRPr="003B3332">
          <w:rPr>
            <w:rStyle w:val="Hyperlink"/>
          </w:rPr>
          <w:t>N.B. împotriva Slovaciei</w:t>
        </w:r>
      </w:hyperlink>
      <w:r w:rsidR="00FA7743" w:rsidRPr="003B3332">
        <w:rPr>
          <w:rStyle w:val="Hyperlink"/>
          <w:color w:val="000000" w:themeColor="text1"/>
        </w:rPr>
        <w:t>,</w:t>
      </w:r>
      <w:r w:rsidR="00FA7743" w:rsidRPr="003B3332">
        <w:rPr>
          <w:color w:val="000000" w:themeColor="text1"/>
        </w:rPr>
        <w:t xml:space="preserve"> </w:t>
      </w:r>
      <w:r w:rsidR="00FA7743" w:rsidRPr="003B3332">
        <w:t xml:space="preserve">2012, în care Curtea a constatat că sterilizarea reclamantei, minoră, nu fusese o intervenție medicală pentru salvarea vieții și fusese efectuată fără consimțământul său informat sau al reprezentantului său.  S-a constatat că o astfel de procedură a fost incompatibilă cu obligația de respectare a libertății și a demnității umane a reclamantului (pct. 74-81) și, dimpotrivă, </w:t>
      </w:r>
      <w:hyperlink r:id="rId234" w:history="1">
        <w:r w:rsidR="00FA7743" w:rsidRPr="003B3332">
          <w:rPr>
            <w:rStyle w:val="Hyperlink"/>
          </w:rPr>
          <w:t>Y.P. împotriva Rusiei</w:t>
        </w:r>
      </w:hyperlink>
      <w:r w:rsidR="00FA7743" w:rsidRPr="003B3332">
        <w:t>, 2022, în care Curtea a constatat că sterilizarea reclamantei fără consimțământul acesteia nu a atins nivelul de gravitate necesar, având în vedere că sterilizarea reclamantei în timpul unei operații de cezariană a fost determinată de îngrijorarea reală a medicilor pentru sănătatea și siguranța sa într-un context neașteptat și urgent și dată fiind absența unor elemente suplimentare, precum, de exemplu, vulnerabilitatea deosebită a reclamantei (pct. 36-38).</w:t>
      </w:r>
    </w:p>
    <w:p w14:paraId="3E8DDD68" w14:textId="36FB8D15" w:rsidR="00CC77ED" w:rsidRPr="003B3332" w:rsidRDefault="00CC77ED" w:rsidP="00CC77ED">
      <w:pPr>
        <w:pStyle w:val="ECHRParaSpaced"/>
        <w:rPr>
          <w:rFonts w:cstheme="minorHAnsi"/>
        </w:rPr>
      </w:pPr>
      <w:r w:rsidRPr="003B3332">
        <w:rPr>
          <w:rFonts w:cstheme="minorHAnsi"/>
        </w:rPr>
        <w:fldChar w:fldCharType="begin"/>
      </w:r>
      <w:r w:rsidRPr="003B3332">
        <w:rPr>
          <w:rFonts w:cstheme="minorHAnsi"/>
        </w:rPr>
        <w:instrText xml:space="preserve"> SEQ level0 \*arabic \* MERGEFORMAT </w:instrText>
      </w:r>
      <w:r w:rsidRPr="003B3332">
        <w:rPr>
          <w:rFonts w:cstheme="minorHAnsi"/>
        </w:rPr>
        <w:fldChar w:fldCharType="separate"/>
      </w:r>
      <w:r w:rsidR="000862FF">
        <w:rPr>
          <w:rFonts w:cstheme="minorHAnsi"/>
          <w:noProof/>
        </w:rPr>
        <w:t>98</w:t>
      </w:r>
      <w:r w:rsidRPr="003B3332">
        <w:rPr>
          <w:rFonts w:cstheme="minorHAnsi"/>
        </w:rPr>
        <w:fldChar w:fldCharType="end"/>
      </w:r>
      <w:r w:rsidRPr="003B3332">
        <w:t xml:space="preserve">.  În </w:t>
      </w:r>
      <w:hyperlink r:id="rId235" w:history="1">
        <w:r w:rsidRPr="003B3332">
          <w:rPr>
            <w:rStyle w:val="Hyperlink"/>
          </w:rPr>
          <w:t>G.M. și alții împotriva Republicii Moldova</w:t>
        </w:r>
      </w:hyperlink>
      <w:r w:rsidRPr="003B3332">
        <w:t>, 2022, în care reclamantele – femei cu dizabilități intelectuale, rezidente într-un azil de psihiatrie – erau victimele violării de către un medic și supuse fără acord avorturilor și controlului nașterilor, Curtea a observat că instrumentele juridice și rapoartele adoptate de Organizația Națiunilor Unite și de Consiliul Europei arătau că avortul, sterilizarea și controlul nașterilor, toate acestea forțate, erau forme de violență bazată pe gen (pct. 88). A constatat, în special, că din cadrul juridic în litigiu lipseau: garanția cerinței de a obține un consimțământ valabil, liber și prealabil pentru intervențiile medicale de la persoanele cu dizabilități intelectuale; legislație penală adecvată pentru a descuraja practicarea intervențiilor medicale neconsensuale efectuate asupra persoanelor cu dizabilități intelectuale în general și asupra femeilor în special; și alte mecanisme de prevenire a unor astfel de abuzuri asupra persoanelor cu dizabilități intelectuale în general și a femeilor în special (pct. 128).</w:t>
      </w:r>
    </w:p>
    <w:p w14:paraId="6373ADD4" w14:textId="7ADED8ED" w:rsidR="00CC77ED" w:rsidRPr="003B3332" w:rsidRDefault="00CC77ED" w:rsidP="00CC77ED">
      <w:pPr>
        <w:pStyle w:val="ECHRParaSpaced"/>
        <w:rPr>
          <w:rFonts w:cstheme="minorHAnsi"/>
        </w:rPr>
      </w:pPr>
      <w:r w:rsidRPr="003B3332">
        <w:rPr>
          <w:rFonts w:cstheme="minorHAnsi"/>
        </w:rPr>
        <w:fldChar w:fldCharType="begin"/>
      </w:r>
      <w:r w:rsidRPr="003B3332">
        <w:rPr>
          <w:rFonts w:cstheme="minorHAnsi"/>
        </w:rPr>
        <w:instrText xml:space="preserve"> SEQ level0 \*arabic \* MERGEFORMAT </w:instrText>
      </w:r>
      <w:r w:rsidRPr="003B3332">
        <w:rPr>
          <w:rFonts w:cstheme="minorHAnsi"/>
        </w:rPr>
        <w:fldChar w:fldCharType="separate"/>
      </w:r>
      <w:r w:rsidR="000862FF">
        <w:rPr>
          <w:rFonts w:cstheme="minorHAnsi"/>
          <w:noProof/>
        </w:rPr>
        <w:t>99</w:t>
      </w:r>
      <w:r w:rsidRPr="003B3332">
        <w:rPr>
          <w:rFonts w:cstheme="minorHAnsi"/>
        </w:rPr>
        <w:fldChar w:fldCharType="end"/>
      </w:r>
      <w:r w:rsidRPr="003B3332">
        <w:t>.  Atunci când avortul era efectuat într-un spital public cu încălcarea standardelor medicale și împotriva voinței unei tinere adulte vulnerabile constrânse de părinți, Curtea a constatat că tratamentele în cauză contravin demnității umane și sunt o formă extraordinară de tratament inuman și umilitor, date fiind efectele fizice și psihice imediate și pe termen lung asupra reclamantei (</w:t>
      </w:r>
      <w:hyperlink r:id="rId236" w:history="1">
        <w:r w:rsidRPr="003B3332">
          <w:rPr>
            <w:rStyle w:val="Hyperlink"/>
          </w:rPr>
          <w:t>S.F.K. împotriva Rusiei</w:t>
        </w:r>
      </w:hyperlink>
      <w:r w:rsidRPr="003B3332">
        <w:t>, 2022, pct. 81).</w:t>
      </w:r>
    </w:p>
    <w:p w14:paraId="6D10B632" w14:textId="4CEF852A" w:rsidR="005C23D8" w:rsidRPr="003B3332" w:rsidRDefault="005C23D8" w:rsidP="005C23D8">
      <w:pPr>
        <w:pStyle w:val="ECHRHeading4"/>
      </w:pPr>
      <w:bookmarkStart w:id="67" w:name="_Toc180674925"/>
      <w:r w:rsidRPr="003B3332">
        <w:t>Prelevarea drogurilor și a altor probe din corpul unei persoane</w:t>
      </w:r>
      <w:bookmarkEnd w:id="67"/>
    </w:p>
    <w:p w14:paraId="40BC4565" w14:textId="7E4F95B8" w:rsidR="005C23D8" w:rsidRPr="003B3332" w:rsidRDefault="004713AB" w:rsidP="005C23D8">
      <w:pPr>
        <w:pStyle w:val="ECHRParaSpaced"/>
      </w:pPr>
      <w:r>
        <w:fldChar w:fldCharType="begin"/>
      </w:r>
      <w:r>
        <w:instrText xml:space="preserve"> SEQ level0 \*arabic \* MERGEFORMAT</w:instrText>
      </w:r>
      <w:r>
        <w:instrText xml:space="preserve"> </w:instrText>
      </w:r>
      <w:r>
        <w:fldChar w:fldCharType="separate"/>
      </w:r>
      <w:r w:rsidR="000862FF">
        <w:rPr>
          <w:noProof/>
        </w:rPr>
        <w:t>100</w:t>
      </w:r>
      <w:r>
        <w:fldChar w:fldCharType="end"/>
      </w:r>
      <w:r w:rsidR="00FA7743" w:rsidRPr="003B3332">
        <w:t>.  Curtea a subliniat că, chiar în cazul în care nu este motivat de necesitatea medicală, art. 3 din Convenție nu interzice, în sine, recurgerea la o procedură medicală cu sfidarea voinței unui suspect pentru a se obține probe ale implicării lui în săvârșirea unei infracțiuni. Totuși, orice recurs la o intervenție medicală forțată pentru a obține probe ale infracțiunii trebuie să fie justificat în mod convingător de faptele unui anumit caz. Acest lucru este valabil în special pentru cazurile în care procedura este concepută să recupereze din interiorul corpului persoanei probe reale ale infracțiunii de care este suspectă. Natura deosebit de intruzivă a acestui act necesită o examinare strictă a tuturor circumstanțelor. În legătură cu aceasta, trebuie să se țină seama de gravitatea infracțiunii în cauză. Autoritățile trebuie să demonstreze și că au luat în considerare metode alternative de obținere a probelor. În plus, procedura trebuie să nu implice riscul unor prejudicii durabile pentru sănătatea suspectului [</w:t>
      </w:r>
      <w:hyperlink r:id="rId237" w:history="1">
        <w:r w:rsidR="00FA7743" w:rsidRPr="003B3332">
          <w:rPr>
            <w:rStyle w:val="Hyperlink"/>
          </w:rPr>
          <w:t>Jalloh împotriva Germaniei</w:t>
        </w:r>
      </w:hyperlink>
      <w:r w:rsidR="00FA7743" w:rsidRPr="003B3332">
        <w:t xml:space="preserve"> (MC), 2006, pct. 70-71].</w:t>
      </w:r>
    </w:p>
    <w:p w14:paraId="2F7E3ECC" w14:textId="25AEA6A9" w:rsidR="001C2FFC" w:rsidRPr="003B3332" w:rsidRDefault="004713AB" w:rsidP="007D3D50">
      <w:pPr>
        <w:pStyle w:val="ECHRParaSpaced"/>
      </w:pPr>
      <w:r>
        <w:fldChar w:fldCharType="begin"/>
      </w:r>
      <w:r>
        <w:instrText xml:space="preserve"> SEQ level0 \*arabic \* MERGEFORMAT </w:instrText>
      </w:r>
      <w:r>
        <w:fldChar w:fldCharType="separate"/>
      </w:r>
      <w:r w:rsidR="000862FF">
        <w:rPr>
          <w:noProof/>
        </w:rPr>
        <w:t>101</w:t>
      </w:r>
      <w:r>
        <w:fldChar w:fldCharType="end"/>
      </w:r>
      <w:r w:rsidR="00FA7743" w:rsidRPr="003B3332">
        <w:t>.  În plus, ca și în cazul intervențiilor efectuate în scopuri terapeutice, modul în care o persoană este supusă unei proceduri medicale forțate pentru a se obține probe din corpul său trebuie să nu depășească nivelul minim de gravitate în conformitate cu dispozițiile din  jurisprudența Curții în legătură cu art. 3 din Convenție. Factorii relevanți în această privință includ: dacă persoana implicată a îndurat o durere fizică sau o suferință grave în urma unei intervenții medicale forțate; dacă procedura medicală forțată a fost dispusă și administrată de medici; dacă persoana implicată a fost plasată sub supraveghere medicală constantă și dacă intervenția medicală forțată a produs o agravare a stării de sănătate a reclamantului și a avut consecințe de durată pentru sănătatea sa [</w:t>
      </w:r>
      <w:hyperlink r:id="rId238" w:history="1">
        <w:r w:rsidR="00FA7743" w:rsidRPr="003B3332">
          <w:rPr>
            <w:rStyle w:val="Hyperlink"/>
          </w:rPr>
          <w:t>Jalloh împotriva Germaniei</w:t>
        </w:r>
      </w:hyperlink>
      <w:r w:rsidR="00FA7743" w:rsidRPr="003B3332">
        <w:t xml:space="preserve"> (MC), 2006, pct. 72-74].</w:t>
      </w:r>
    </w:p>
    <w:p w14:paraId="793F8D8B" w14:textId="4DCA98D3" w:rsidR="00251E73" w:rsidRPr="003B3332" w:rsidRDefault="004713AB" w:rsidP="00251E73">
      <w:pPr>
        <w:pStyle w:val="ECHRParaSpaced"/>
      </w:pPr>
      <w:r>
        <w:fldChar w:fldCharType="begin"/>
      </w:r>
      <w:r>
        <w:instrText xml:space="preserve"> SEQ level0 \*arabic \* MERGEFORMAT </w:instrText>
      </w:r>
      <w:r>
        <w:fldChar w:fldCharType="separate"/>
      </w:r>
      <w:r w:rsidR="000862FF">
        <w:rPr>
          <w:noProof/>
        </w:rPr>
        <w:t>102</w:t>
      </w:r>
      <w:r>
        <w:fldChar w:fldCharType="end"/>
      </w:r>
      <w:r w:rsidR="00251E73" w:rsidRPr="003B3332">
        <w:t>.  De exemplu, Curtea a constatat că reclamantul a fost supus la tratamente inumane și degradante cu încălcarea art. 3 atunci când reclamantul a fost cateterizat forțat la secția de poliție pentru a se obține o mostră de urină prin care să se stabilească dacă a fost implicat într-o infracțiune de siguranță rutieră. În această privință, a constatat că autoritățile au obținut aceeași probă prelevând totodată și sânge de la reclamant și că modul în care s-a aplicat măsura i-a cauzat reclamantului atât durere fizică, cât și suferință psihică [</w:t>
      </w:r>
      <w:hyperlink r:id="rId239" w:history="1">
        <w:r w:rsidR="00251E73" w:rsidRPr="003B3332">
          <w:rPr>
            <w:rStyle w:val="Hyperlink"/>
          </w:rPr>
          <w:t>R.S. împotriva Ungariei</w:t>
        </w:r>
      </w:hyperlink>
      <w:r w:rsidR="00251E73" w:rsidRPr="003B3332">
        <w:t xml:space="preserve">, 2019, pct. 72; a se vedea, pe de altă parte, </w:t>
      </w:r>
      <w:hyperlink r:id="rId240" w:history="1">
        <w:r w:rsidR="00251E73" w:rsidRPr="003B3332">
          <w:rPr>
            <w:rStyle w:val="Hyperlink"/>
          </w:rPr>
          <w:t>Schmidt împotriva Germaniei</w:t>
        </w:r>
      </w:hyperlink>
      <w:r w:rsidR="00251E73" w:rsidRPr="003B3332">
        <w:t xml:space="preserve"> (dec.), 2006 în care prelevarea de probe de sânge și de salivă de la un suspect împotriva voinței sale pentru a se stabili participarea sa la o infracțiune nu a atins nivelul minim de gravitate în conformitate cu art. 3].</w:t>
      </w:r>
    </w:p>
    <w:p w14:paraId="75657C3E" w14:textId="1733900A" w:rsidR="00B86D38" w:rsidRPr="003B3332" w:rsidRDefault="00431B04" w:rsidP="009565E3">
      <w:pPr>
        <w:pStyle w:val="ECHRHeading1"/>
      </w:pPr>
      <w:bookmarkStart w:id="68" w:name="_Toc436664103"/>
      <w:bookmarkStart w:id="69" w:name="_Toc436664770"/>
      <w:bookmarkStart w:id="70" w:name="_Toc436741696"/>
      <w:bookmarkStart w:id="71" w:name="_Toc436833770"/>
      <w:bookmarkStart w:id="72" w:name="_Toc437417586"/>
      <w:bookmarkStart w:id="73" w:name="_Toc441568633"/>
      <w:bookmarkStart w:id="74" w:name="_Toc180674926"/>
      <w:r w:rsidRPr="003B3332">
        <w:t>P</w:t>
      </w:r>
      <w:bookmarkEnd w:id="68"/>
      <w:bookmarkEnd w:id="69"/>
      <w:bookmarkEnd w:id="70"/>
      <w:bookmarkEnd w:id="71"/>
      <w:bookmarkEnd w:id="72"/>
      <w:bookmarkEnd w:id="73"/>
      <w:r w:rsidRPr="003B3332">
        <w:t>rotecția împotriva torturii, a tratamentelor sau a pedepselor inumane ori degradante, cauzate de actori nestatali</w:t>
      </w:r>
      <w:bookmarkEnd w:id="74"/>
    </w:p>
    <w:p w14:paraId="515C4F75" w14:textId="77777777" w:rsidR="00B86D38" w:rsidRPr="003B3332" w:rsidRDefault="00B86D38" w:rsidP="009565E3">
      <w:pPr>
        <w:pStyle w:val="ECHRPara"/>
        <w:keepNext/>
        <w:keepLines/>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090106" w:rsidRPr="003B3332" w14:paraId="60ACAD58" w14:textId="77777777" w:rsidTr="00B92781">
        <w:trPr>
          <w:trHeight w:val="1027"/>
        </w:trPr>
        <w:tc>
          <w:tcPr>
            <w:tcW w:w="9243" w:type="dxa"/>
          </w:tcPr>
          <w:p w14:paraId="5D611BEF" w14:textId="77777777" w:rsidR="00090106" w:rsidRPr="003B3332" w:rsidRDefault="00090106" w:rsidP="009565E3">
            <w:pPr>
              <w:keepNext/>
              <w:keepLines/>
              <w:rPr>
                <w:b/>
              </w:rPr>
            </w:pPr>
            <w:r w:rsidRPr="003B3332">
              <w:rPr>
                <w:b/>
                <w:bCs/>
              </w:rPr>
              <w:t>Art. 3 din</w:t>
            </w:r>
            <w:r w:rsidRPr="003B3332">
              <w:t xml:space="preserve"> </w:t>
            </w:r>
            <w:r w:rsidRPr="003B3332">
              <w:rPr>
                <w:b/>
              </w:rPr>
              <w:t>Convenție</w:t>
            </w:r>
          </w:p>
          <w:p w14:paraId="71799742" w14:textId="77777777" w:rsidR="00090106" w:rsidRPr="003B3332" w:rsidRDefault="001870CF" w:rsidP="009565E3">
            <w:pPr>
              <w:pStyle w:val="ECHRParaSpaced"/>
              <w:keepNext/>
              <w:keepLines/>
            </w:pPr>
            <w:r w:rsidRPr="003B3332">
              <w:t>„Nimeni nu poate fi supus torturii, nici pedepselor sau tratamentelor inumane ori degradante.”</w:t>
            </w:r>
          </w:p>
        </w:tc>
      </w:tr>
    </w:tbl>
    <w:p w14:paraId="5B82F83C" w14:textId="77777777" w:rsidR="00B86D38" w:rsidRPr="003B3332" w:rsidRDefault="00B86D38" w:rsidP="00B86D38">
      <w:pPr>
        <w:pStyle w:val="ECHRPara"/>
      </w:pPr>
    </w:p>
    <w:p w14:paraId="4A7A0BE2" w14:textId="70C36069" w:rsidR="00090661" w:rsidRPr="003B3332" w:rsidRDefault="00B7246E" w:rsidP="008645E8">
      <w:pPr>
        <w:pStyle w:val="ECHRHeading2"/>
      </w:pPr>
      <w:bookmarkStart w:id="75" w:name="_Toc180674927"/>
      <w:r w:rsidRPr="003B3332">
        <w:t>Domeniul de aplicare al obligațiilor pozitive ale statului</w:t>
      </w:r>
      <w:bookmarkEnd w:id="75"/>
    </w:p>
    <w:p w14:paraId="65F8BD79" w14:textId="64E99704" w:rsidR="007B4E45" w:rsidRPr="003B3332" w:rsidRDefault="0052442B" w:rsidP="00FD3F49">
      <w:pPr>
        <w:pStyle w:val="ECHRParaSpaced"/>
      </w:pPr>
      <w:fldSimple w:instr=" SEQ level0 \*arabic ">
        <w:r w:rsidR="000862FF">
          <w:rPr>
            <w:noProof/>
          </w:rPr>
          <w:t>103</w:t>
        </w:r>
      </w:fldSimple>
      <w:r w:rsidR="00790502" w:rsidRPr="003B3332">
        <w:t>.  Deși statului contractant nu i se poate atribui responsabilitatea directă în temeiul Convenției pentru acțiuni ale persoanelor particulare (</w:t>
      </w:r>
      <w:hyperlink r:id="rId241" w:history="1">
        <w:r w:rsidR="00790502" w:rsidRPr="003B3332">
          <w:rPr>
            <w:rStyle w:val="Hyperlink"/>
          </w:rPr>
          <w:t>Beganović împotriva Croației</w:t>
        </w:r>
      </w:hyperlink>
      <w:r w:rsidR="00790502" w:rsidRPr="003B3332">
        <w:t>, 2009, pct. 68) sau ale agenților statului acționând în calitate de persoane private [</w:t>
      </w:r>
      <w:hyperlink r:id="rId242" w:history="1">
        <w:r w:rsidR="00790502" w:rsidRPr="003B3332">
          <w:rPr>
            <w:rStyle w:val="Hyperlink"/>
          </w:rPr>
          <w:t>Çevik împotriva Turciei</w:t>
        </w:r>
      </w:hyperlink>
      <w:r w:rsidR="00790502" w:rsidRPr="003B3332">
        <w:t>, (nr.2), 2010, pct. 33], Curtea a considerat că răspunderea statului se poate angaja, totuși, prin obligația impusă la art. 1 din Convenție.</w:t>
      </w:r>
    </w:p>
    <w:p w14:paraId="7D6D331E" w14:textId="15EF3815" w:rsidR="007617FB" w:rsidRPr="003B3332" w:rsidRDefault="004713AB" w:rsidP="00FD3F49">
      <w:pPr>
        <w:pStyle w:val="ECHRParaSpaced"/>
        <w:rPr>
          <w:rFonts w:ascii="Arial" w:hAnsi="Arial" w:cs="Arial"/>
          <w:color w:val="000000"/>
          <w:sz w:val="17"/>
          <w:szCs w:val="17"/>
        </w:rPr>
      </w:pPr>
      <w:r>
        <w:fldChar w:fldCharType="begin"/>
      </w:r>
      <w:r>
        <w:instrText xml:space="preserve"> SEQ level0 \*arabic \* MERGEFORMAT </w:instrText>
      </w:r>
      <w:r>
        <w:fldChar w:fldCharType="separate"/>
      </w:r>
      <w:r w:rsidR="000862FF">
        <w:rPr>
          <w:noProof/>
        </w:rPr>
        <w:t>104</w:t>
      </w:r>
      <w:r>
        <w:fldChar w:fldCharType="end"/>
      </w:r>
      <w:r w:rsidR="007B4E45" w:rsidRPr="003B3332">
        <w:t>.  În această privință, a statuat că obligația ce revine înaltelor părți contractante în temeiul art. 1 din Convenție, de a asigura oricărei persoane aflate sub jurisdicția lor drepturile și libertățile definite în Convenție, coroborat cu art. 3, impune statelor să adopte măsuri care să garanteze că persoanele aflate sub jurisdicția lor nu sunt supuse la tortură sau tratamente inumane ori degradante, inclusiv la rele tratamente aplicate de persoane particulare [</w:t>
      </w:r>
      <w:hyperlink r:id="rId243" w:history="1">
        <w:r w:rsidR="007B4E45" w:rsidRPr="003B3332">
          <w:rPr>
            <w:rStyle w:val="Hyperlink"/>
          </w:rPr>
          <w:t>Z și alții împotriva Regatului Unit</w:t>
        </w:r>
      </w:hyperlink>
      <w:r w:rsidR="007B4E45" w:rsidRPr="003B3332">
        <w:t xml:space="preserve"> (MC), 2001, pct. 73 și </w:t>
      </w:r>
      <w:hyperlink r:id="rId244" w:history="1">
        <w:r w:rsidR="007B4E45" w:rsidRPr="003B3332">
          <w:rPr>
            <w:rStyle w:val="Hyperlink"/>
          </w:rPr>
          <w:t>O’Keeffe împotriva Irlandei</w:t>
        </w:r>
      </w:hyperlink>
      <w:r w:rsidR="007B4E45" w:rsidRPr="003B3332">
        <w:t xml:space="preserve"> (MC), 2014, pct. 144].</w:t>
      </w:r>
    </w:p>
    <w:p w14:paraId="34CBFBA3" w14:textId="5F65FCFF" w:rsidR="009137C4" w:rsidRPr="003B3332" w:rsidRDefault="004713AB" w:rsidP="00FD3F49">
      <w:pPr>
        <w:pStyle w:val="ECHRParaSpaced"/>
        <w:rPr>
          <w:rFonts w:cstheme="minorHAnsi"/>
        </w:rPr>
      </w:pPr>
      <w:r>
        <w:fldChar w:fldCharType="begin"/>
      </w:r>
      <w:r>
        <w:instrText xml:space="preserve"> SEQ level0 \*arabic \* MERGEFORMAT </w:instrText>
      </w:r>
      <w:r>
        <w:fldChar w:fldCharType="separate"/>
      </w:r>
      <w:r w:rsidR="000862FF">
        <w:rPr>
          <w:noProof/>
        </w:rPr>
        <w:t>105</w:t>
      </w:r>
      <w:r>
        <w:fldChar w:fldCharType="end"/>
      </w:r>
      <w:r w:rsidR="00FA7743" w:rsidRPr="003B3332">
        <w:t>.  În special, copiii și alte persoane vulnerabile au dreptul la o protecție eficientă [</w:t>
      </w:r>
      <w:hyperlink r:id="rId245" w:history="1">
        <w:r w:rsidR="00FA7743" w:rsidRPr="003B3332">
          <w:rPr>
            <w:rStyle w:val="Hyperlink"/>
          </w:rPr>
          <w:t>X și alții împotriva Bulgariei</w:t>
        </w:r>
      </w:hyperlink>
      <w:r w:rsidR="00FA7743" w:rsidRPr="003B3332">
        <w:t xml:space="preserve"> (MC), 2021, pct. 177 și </w:t>
      </w:r>
      <w:hyperlink r:id="rId246" w:history="1">
        <w:r w:rsidR="00FA7743" w:rsidRPr="003B3332">
          <w:rPr>
            <w:rStyle w:val="Hyperlink"/>
          </w:rPr>
          <w:t>R.B. împotriva Estoniei</w:t>
        </w:r>
      </w:hyperlink>
      <w:r w:rsidR="00FA7743" w:rsidRPr="003B3332">
        <w:t>, 2021, pct. 78].</w:t>
      </w:r>
    </w:p>
    <w:p w14:paraId="5E13B63A" w14:textId="34075C7E" w:rsidR="00B7246E" w:rsidRPr="003B3332" w:rsidRDefault="007548E4" w:rsidP="00FD3F49">
      <w:pPr>
        <w:pStyle w:val="ECHRParaSpaced"/>
      </w:pPr>
      <w:r w:rsidRPr="003B3332">
        <w:rPr>
          <w:rFonts w:cstheme="minorHAnsi"/>
          <w:color w:val="000000"/>
        </w:rPr>
        <w:fldChar w:fldCharType="begin"/>
      </w:r>
      <w:r w:rsidRPr="003B3332">
        <w:rPr>
          <w:rFonts w:cstheme="minorHAnsi"/>
          <w:color w:val="000000"/>
        </w:rPr>
        <w:instrText xml:space="preserve"> SEQ level0 \*arabic \* MERGEFORMAT </w:instrText>
      </w:r>
      <w:r w:rsidRPr="003B3332">
        <w:rPr>
          <w:rFonts w:cstheme="minorHAnsi"/>
          <w:color w:val="000000"/>
        </w:rPr>
        <w:fldChar w:fldCharType="separate"/>
      </w:r>
      <w:r w:rsidR="000862FF">
        <w:rPr>
          <w:rFonts w:cstheme="minorHAnsi"/>
          <w:noProof/>
          <w:color w:val="000000"/>
        </w:rPr>
        <w:t>106</w:t>
      </w:r>
      <w:r w:rsidRPr="003B3332">
        <w:rPr>
          <w:rFonts w:cstheme="minorHAnsi"/>
          <w:color w:val="000000"/>
        </w:rPr>
        <w:fldChar w:fldCharType="end"/>
      </w:r>
      <w:r w:rsidRPr="003B3332">
        <w:rPr>
          <w:color w:val="000000"/>
        </w:rPr>
        <w:t>.  </w:t>
      </w:r>
      <w:r w:rsidRPr="003B3332">
        <w:t>În această privință, abordarea constantă a Curții a fost, de asemenea, că art. 3 impune statelor datoria de a proteja starea fizică bună a persoanelor aflate într-o poziție vulnerabilă prin faptul de a fi sub controlul autorităților, precum, de exemplu, deținuții sau recruții (</w:t>
      </w:r>
      <w:hyperlink r:id="rId247" w:history="1">
        <w:r w:rsidRPr="003B3332">
          <w:rPr>
            <w:rStyle w:val="Hyperlink"/>
          </w:rPr>
          <w:t>Premininy împotriva Rusiei</w:t>
        </w:r>
      </w:hyperlink>
      <w:r w:rsidRPr="003B3332">
        <w:t>, 2011, pct. 73).</w:t>
      </w:r>
    </w:p>
    <w:p w14:paraId="2A0F3039" w14:textId="720F3830" w:rsidR="00677D44" w:rsidRPr="003B3332" w:rsidRDefault="0052442B" w:rsidP="00FD3F49">
      <w:pPr>
        <w:pStyle w:val="ECHRParaSpaced"/>
      </w:pPr>
      <w:fldSimple w:instr=" SEQ level0 \*arabic ">
        <w:r w:rsidR="000862FF">
          <w:rPr>
            <w:noProof/>
          </w:rPr>
          <w:t>107</w:t>
        </w:r>
      </w:fldSimple>
      <w:r w:rsidR="00B7246E" w:rsidRPr="003B3332">
        <w:t>.  Curtea a examinat obligația pozitivă a statelor de a proteja de rele tratamente în numeroase contexte diferite, cum ar fi:</w:t>
      </w:r>
    </w:p>
    <w:p w14:paraId="23224355" w14:textId="28283285" w:rsidR="00B7246E" w:rsidRPr="003B3332" w:rsidRDefault="00B7246E" w:rsidP="00FD3F49">
      <w:pPr>
        <w:pStyle w:val="ECHRBullet1"/>
      </w:pPr>
      <w:r w:rsidRPr="003B3332">
        <w:t xml:space="preserve">În contextul abuzurilor asupra copiilor [a se vedea, de exemplu, </w:t>
      </w:r>
      <w:hyperlink r:id="rId248" w:history="1">
        <w:r w:rsidRPr="003B3332">
          <w:rPr>
            <w:rStyle w:val="Hyperlink"/>
          </w:rPr>
          <w:t>A. împotriva Regatului Unit</w:t>
        </w:r>
      </w:hyperlink>
      <w:r w:rsidRPr="003B3332">
        <w:t xml:space="preserve">, 1998; </w:t>
      </w:r>
      <w:hyperlink r:id="rId249" w:history="1">
        <w:r w:rsidRPr="003B3332">
          <w:rPr>
            <w:rStyle w:val="Hyperlink"/>
          </w:rPr>
          <w:t>Z și alții împotriva Regatului Unit</w:t>
        </w:r>
      </w:hyperlink>
      <w:r w:rsidRPr="003B3332">
        <w:t xml:space="preserve"> (MC), 2011; </w:t>
      </w:r>
      <w:hyperlink r:id="rId250" w:history="1">
        <w:r w:rsidRPr="003B3332">
          <w:rPr>
            <w:rStyle w:val="Hyperlink"/>
          </w:rPr>
          <w:t>Association Innocence en Danger și Association Enfance et Partage împotriva Franței</w:t>
        </w:r>
      </w:hyperlink>
      <w:r w:rsidRPr="003B3332">
        <w:t>, 2020];</w:t>
      </w:r>
    </w:p>
    <w:p w14:paraId="4850063F" w14:textId="0131D23F" w:rsidR="007B4E45" w:rsidRPr="003B3332" w:rsidRDefault="007B4E45" w:rsidP="007B4E45">
      <w:pPr>
        <w:pStyle w:val="ECHRBullet1"/>
      </w:pPr>
      <w:r w:rsidRPr="003B3332">
        <w:t xml:space="preserve">În contextul violenței în familie (a se vedea, de exemplu, </w:t>
      </w:r>
      <w:hyperlink r:id="rId251" w:history="1">
        <w:r w:rsidRPr="003B3332">
          <w:rPr>
            <w:rStyle w:val="Hyperlink"/>
          </w:rPr>
          <w:t>T.M. și C.M. împotriva Republicii Moldova</w:t>
        </w:r>
      </w:hyperlink>
      <w:r w:rsidRPr="003B3332">
        <w:t xml:space="preserve">, 2014; </w:t>
      </w:r>
      <w:hyperlink r:id="rId252" w:history="1">
        <w:r w:rsidRPr="003B3332">
          <w:rPr>
            <w:rStyle w:val="Hyperlink"/>
          </w:rPr>
          <w:t>Talpis împotriva Italiei</w:t>
        </w:r>
      </w:hyperlink>
      <w:r w:rsidRPr="003B3332">
        <w:t xml:space="preserve">, 2017; </w:t>
      </w:r>
      <w:hyperlink r:id="rId253" w:history="1">
        <w:r w:rsidRPr="003B3332">
          <w:rPr>
            <w:rStyle w:val="Hyperlink"/>
          </w:rPr>
          <w:t>Volodina împotriva Rusiei</w:t>
        </w:r>
      </w:hyperlink>
      <w:r w:rsidRPr="003B3332">
        <w:t xml:space="preserve">, 2019, și, pentru violența cibernetică, a se vedea </w:t>
      </w:r>
      <w:hyperlink r:id="rId254" w:history="1">
        <w:r w:rsidRPr="003B3332">
          <w:rPr>
            <w:rStyle w:val="Hyperlink"/>
          </w:rPr>
          <w:t>Buturugă împotriva României</w:t>
        </w:r>
      </w:hyperlink>
      <w:r w:rsidRPr="003B3332">
        <w:t>, 2020, pct. 74, 78-79);</w:t>
      </w:r>
      <w:r w:rsidRPr="003B3332">
        <w:cr/>
      </w:r>
    </w:p>
    <w:p w14:paraId="747DE480" w14:textId="63259212" w:rsidR="00B7246E" w:rsidRPr="003B3332" w:rsidRDefault="00B7246E" w:rsidP="00FD3F49">
      <w:pPr>
        <w:pStyle w:val="ECHRBullet1"/>
      </w:pPr>
      <w:r w:rsidRPr="003B3332">
        <w:t xml:space="preserve">În contextul infracțiunilor sexuale (a se vedea, de exemplu, </w:t>
      </w:r>
      <w:hyperlink r:id="rId255" w:history="1">
        <w:r w:rsidRPr="003B3332">
          <w:rPr>
            <w:rStyle w:val="Hyperlink"/>
          </w:rPr>
          <w:t>M.C. împotriva Bulgariei</w:t>
        </w:r>
      </w:hyperlink>
      <w:r w:rsidRPr="003B3332">
        <w:t xml:space="preserve">, 2003; și cu privire la minori, a se vedea </w:t>
      </w:r>
      <w:hyperlink r:id="rId256" w:history="1">
        <w:r w:rsidRPr="003B3332">
          <w:rPr>
            <w:rStyle w:val="Hyperlink"/>
          </w:rPr>
          <w:t>I.C. împotriva României</w:t>
        </w:r>
      </w:hyperlink>
      <w:r w:rsidRPr="003B3332">
        <w:t xml:space="preserve">, 2016; </w:t>
      </w:r>
      <w:hyperlink r:id="rId257" w:history="1">
        <w:r w:rsidRPr="003B3332">
          <w:rPr>
            <w:rStyle w:val="Hyperlink"/>
          </w:rPr>
          <w:t>M.G.C. împotriva României</w:t>
        </w:r>
      </w:hyperlink>
      <w:r w:rsidRPr="003B3332">
        <w:t>, 2016);</w:t>
      </w:r>
    </w:p>
    <w:p w14:paraId="1CB3ED6D" w14:textId="4C6EE25F" w:rsidR="00B7246E" w:rsidRPr="003B3332" w:rsidRDefault="00B7246E" w:rsidP="00FD3F49">
      <w:pPr>
        <w:pStyle w:val="ECHRBullet1"/>
      </w:pPr>
      <w:r w:rsidRPr="003B3332">
        <w:t xml:space="preserve">În contextul conflictelor dintre deținuți (a se vedea, de exemplu, </w:t>
      </w:r>
      <w:hyperlink r:id="rId258" w:history="1">
        <w:r w:rsidRPr="003B3332">
          <w:rPr>
            <w:rStyle w:val="Hyperlink"/>
          </w:rPr>
          <w:t>Pantea împotriva României</w:t>
        </w:r>
      </w:hyperlink>
      <w:r w:rsidRPr="003B3332">
        <w:t xml:space="preserve">, 2003; </w:t>
      </w:r>
      <w:hyperlink r:id="rId259" w:history="1">
        <w:r w:rsidRPr="003B3332">
          <w:rPr>
            <w:rStyle w:val="Hyperlink"/>
          </w:rPr>
          <w:t>Rodić și alții împotriva Bosniei și Herțegovinei</w:t>
        </w:r>
      </w:hyperlink>
      <w:r w:rsidRPr="003B3332">
        <w:t xml:space="preserve">, 2008; și </w:t>
      </w:r>
      <w:hyperlink r:id="rId260" w:history="1">
        <w:r w:rsidRPr="003B3332">
          <w:rPr>
            <w:rStyle w:val="Hyperlink"/>
          </w:rPr>
          <w:t>D.F. împotriva Letoniei</w:t>
        </w:r>
      </w:hyperlink>
      <w:r w:rsidRPr="003B3332">
        <w:t>, 2013);</w:t>
      </w:r>
    </w:p>
    <w:p w14:paraId="3DA829DE" w14:textId="2BA75907" w:rsidR="00B7246E" w:rsidRPr="003B3332" w:rsidRDefault="00B7246E" w:rsidP="00FD3F49">
      <w:pPr>
        <w:pStyle w:val="ECHRBullet1"/>
        <w:rPr>
          <w:rFonts w:eastAsia="Times New Roman" w:cs="Times New Roman"/>
        </w:rPr>
      </w:pPr>
      <w:r w:rsidRPr="003B3332">
        <w:t xml:space="preserve">În contextul demonstrațiilor (a se vedea, de exemplu, </w:t>
      </w:r>
      <w:hyperlink r:id="rId261" w:history="1">
        <w:r w:rsidRPr="003B3332">
          <w:rPr>
            <w:rStyle w:val="Hyperlink"/>
          </w:rPr>
          <w:t xml:space="preserve">Identoba </w:t>
        </w:r>
        <w:r w:rsidR="00B43485" w:rsidRPr="003B3332">
          <w:rPr>
            <w:rStyle w:val="Hyperlink"/>
          </w:rPr>
          <w:t>și</w:t>
        </w:r>
        <w:r w:rsidRPr="003B3332">
          <w:rPr>
            <w:rStyle w:val="Hyperlink"/>
          </w:rPr>
          <w:t xml:space="preserve"> alții împotriva Georgiei</w:t>
        </w:r>
      </w:hyperlink>
      <w:r w:rsidRPr="003B3332">
        <w:t xml:space="preserve">, 2015, pct. 72-74, pct. 81; și </w:t>
      </w:r>
      <w:hyperlink r:id="rId262" w:history="1">
        <w:r w:rsidRPr="003B3332">
          <w:rPr>
            <w:rStyle w:val="Hyperlink"/>
          </w:rPr>
          <w:t>Women’s Initiatives Supporting Group și alții împotriva Georgiei</w:t>
        </w:r>
      </w:hyperlink>
      <w:r w:rsidRPr="003B3332">
        <w:t xml:space="preserve">, 2021, pct. 70-78; </w:t>
      </w:r>
      <w:hyperlink r:id="rId263" w:history="1">
        <w:r w:rsidRPr="003B3332">
          <w:rPr>
            <w:rStyle w:val="Hyperlink"/>
          </w:rPr>
          <w:t>Romanov și alții împotriva Rusiei</w:t>
        </w:r>
      </w:hyperlink>
      <w:r w:rsidRPr="003B3332">
        <w:t>, 2023, pct. 71-74);</w:t>
      </w:r>
    </w:p>
    <w:p w14:paraId="6303374A" w14:textId="0A706EE0" w:rsidR="00E57E2A" w:rsidRPr="003B3332" w:rsidRDefault="00B7246E" w:rsidP="00FD3F49">
      <w:pPr>
        <w:pStyle w:val="ECHRBullet1"/>
      </w:pPr>
      <w:r w:rsidRPr="003B3332">
        <w:t xml:space="preserve">În contextul hărțuirii fizice și verbale a unei persoane cu handicap (a se vedea </w:t>
      </w:r>
      <w:hyperlink r:id="rId264" w:history="1">
        <w:r w:rsidRPr="003B3332">
          <w:rPr>
            <w:rStyle w:val="Hyperlink"/>
          </w:rPr>
          <w:t>Đorđević împotriva Croației</w:t>
        </w:r>
      </w:hyperlink>
      <w:r w:rsidRPr="003B3332">
        <w:t>, 2012);</w:t>
      </w:r>
    </w:p>
    <w:p w14:paraId="775AF71F" w14:textId="1E1D940B" w:rsidR="00B7246E" w:rsidRPr="003B3332" w:rsidRDefault="00E57E2A" w:rsidP="00FD3F49">
      <w:pPr>
        <w:pStyle w:val="ECHRBullet1"/>
      </w:pPr>
      <w:r w:rsidRPr="003B3332">
        <w:t xml:space="preserve">În contextul hărțuirii fizice și verbale a unui minor (a se vedea </w:t>
      </w:r>
      <w:hyperlink r:id="rId265" w:history="1">
        <w:r w:rsidRPr="003B3332">
          <w:rPr>
            <w:rStyle w:val="Hyperlink"/>
          </w:rPr>
          <w:t>V.K. împotriva Rusiei</w:t>
        </w:r>
      </w:hyperlink>
      <w:r w:rsidRPr="003B3332">
        <w:t xml:space="preserve">, 2017) sau a unei persoane vârstnice (a se vedea </w:t>
      </w:r>
      <w:hyperlink r:id="rId266" w:history="1">
        <w:r w:rsidRPr="003B3332">
          <w:rPr>
            <w:rStyle w:val="Hyperlink"/>
          </w:rPr>
          <w:t>Irina Smirnova împotriva Ucrainei</w:t>
        </w:r>
      </w:hyperlink>
      <w:r w:rsidRPr="003B3332">
        <w:t>, 2016);</w:t>
      </w:r>
    </w:p>
    <w:p w14:paraId="3B2B52A5" w14:textId="79AC29BE" w:rsidR="00FE42BE" w:rsidRPr="003B3332" w:rsidRDefault="00B7246E" w:rsidP="00FE42BE">
      <w:pPr>
        <w:pStyle w:val="ECHRBullet1"/>
      </w:pPr>
      <w:r w:rsidRPr="003B3332">
        <w:t xml:space="preserve">În contextul violenței comise din motive de ură (a se vedea, de exemplu, </w:t>
      </w:r>
      <w:hyperlink r:id="rId267" w:history="1">
        <w:r w:rsidRPr="003B3332">
          <w:rPr>
            <w:rStyle w:val="Hyperlink"/>
          </w:rPr>
          <w:t>Škorjanec împotriva Croației</w:t>
        </w:r>
      </w:hyperlink>
      <w:r w:rsidRPr="003B3332">
        <w:t xml:space="preserve">, 2017; </w:t>
      </w:r>
      <w:hyperlink r:id="rId268" w:history="1">
        <w:r w:rsidRPr="003B3332">
          <w:rPr>
            <w:rStyle w:val="Hyperlink"/>
          </w:rPr>
          <w:t>Burlya și alții împotriva Ucrainei</w:t>
        </w:r>
      </w:hyperlink>
      <w:r w:rsidRPr="003B3332">
        <w:t>, 2018);</w:t>
      </w:r>
    </w:p>
    <w:p w14:paraId="0670CA95" w14:textId="5CCA69EA" w:rsidR="006E2BB0" w:rsidRPr="003B3332" w:rsidRDefault="006E2BB0" w:rsidP="00FE42BE">
      <w:pPr>
        <w:pStyle w:val="ECHRBullet1"/>
      </w:pPr>
      <w:r w:rsidRPr="003B3332">
        <w:t xml:space="preserve">În contextul inițierii prin umilire și al intimidării în armată (a se vedea, de exemplu, </w:t>
      </w:r>
      <w:hyperlink r:id="rId269" w:history="1">
        <w:r w:rsidRPr="003B3332">
          <w:rPr>
            <w:rStyle w:val="Hyperlink"/>
          </w:rPr>
          <w:t>Filippovy împotriva Rusiei</w:t>
        </w:r>
      </w:hyperlink>
      <w:r w:rsidRPr="003B3332">
        <w:rPr>
          <w:sz w:val="18"/>
        </w:rPr>
        <w:t>,</w:t>
      </w:r>
      <w:r w:rsidRPr="003B3332">
        <w:t xml:space="preserve"> 2022).</w:t>
      </w:r>
    </w:p>
    <w:p w14:paraId="3035C16E" w14:textId="32AB9D8B" w:rsidR="004658AD" w:rsidRPr="003B3332" w:rsidRDefault="004658AD" w:rsidP="004658AD">
      <w:pPr>
        <w:pStyle w:val="ECHRHeading2"/>
      </w:pPr>
      <w:bookmarkStart w:id="76" w:name="_Toc180674928"/>
      <w:r w:rsidRPr="003B3332">
        <w:t>Natura obligațiilor pozitive ale statului</w:t>
      </w:r>
      <w:bookmarkEnd w:id="76"/>
    </w:p>
    <w:p w14:paraId="3E9D0AA3" w14:textId="1F8678F1" w:rsidR="0001046C" w:rsidRPr="003B3332" w:rsidRDefault="0052442B" w:rsidP="003F2400">
      <w:pPr>
        <w:pStyle w:val="ECHRParaSpaced"/>
        <w:rPr>
          <w:rFonts w:cstheme="minorHAnsi"/>
          <w:color w:val="000000"/>
        </w:rPr>
      </w:pPr>
      <w:fldSimple w:instr=" SEQ level0 \*arabic ">
        <w:r w:rsidR="000862FF">
          <w:rPr>
            <w:noProof/>
          </w:rPr>
          <w:t>108</w:t>
        </w:r>
      </w:fldSimple>
      <w:r w:rsidR="009B638B" w:rsidRPr="003B3332">
        <w:t>.  Obligațiile pozitive de fond care revin statelor în temeiul  art. 3 din Convenție cuprind, în primul rând, obligația de a institui un cadru legislativ și de reglementare al protecției; în al doilea rând, în anumite împrejurări bine definite, obligația de a lua măsuri operaționale de a proteja persoane specifice împotriva riscului de tratamente contrare acestei dispoziții [</w:t>
      </w:r>
      <w:hyperlink r:id="rId270" w:history="1">
        <w:r w:rsidR="009B638B" w:rsidRPr="003B3332">
          <w:rPr>
            <w:rStyle w:val="Hyperlink"/>
          </w:rPr>
          <w:t>X și alții împotriva Bulgariei</w:t>
        </w:r>
      </w:hyperlink>
      <w:r w:rsidR="009B638B" w:rsidRPr="003B3332">
        <w:t xml:space="preserve"> (MC), 2021, pct. 178].</w:t>
      </w:r>
    </w:p>
    <w:p w14:paraId="0D79CACA" w14:textId="5B8D192F" w:rsidR="00992A09" w:rsidRPr="003B3332" w:rsidRDefault="00992A09" w:rsidP="004658AD">
      <w:pPr>
        <w:pStyle w:val="ECHRHeading3"/>
      </w:pPr>
      <w:bookmarkStart w:id="77" w:name="_Toc180674929"/>
      <w:bookmarkStart w:id="78" w:name="_Hlk64533961"/>
      <w:r w:rsidRPr="003B3332">
        <w:t>Datoria de a institui un cadru legislativ și administrativ adecvat</w:t>
      </w:r>
      <w:bookmarkEnd w:id="77"/>
    </w:p>
    <w:bookmarkEnd w:id="78"/>
    <w:p w14:paraId="11E23E80" w14:textId="0F4FD109" w:rsidR="007A33DC" w:rsidRPr="003B3332" w:rsidRDefault="0001046C" w:rsidP="003F2400">
      <w:pPr>
        <w:pStyle w:val="ECHRParaSpaced"/>
      </w:pPr>
      <w:r w:rsidRPr="003B3332">
        <w:fldChar w:fldCharType="begin"/>
      </w:r>
      <w:r w:rsidRPr="003B3332">
        <w:instrText xml:space="preserve"> SEQ level0 \*arabic </w:instrText>
      </w:r>
      <w:r w:rsidRPr="003B3332">
        <w:fldChar w:fldCharType="separate"/>
      </w:r>
      <w:r w:rsidR="000862FF">
        <w:rPr>
          <w:noProof/>
        </w:rPr>
        <w:t>109</w:t>
      </w:r>
      <w:r w:rsidRPr="003B3332">
        <w:fldChar w:fldCharType="end"/>
      </w:r>
      <w:r w:rsidRPr="003B3332">
        <w:t>.  Obligația pozitivă în temeiul art. 3 din Convenție necesită, în special, instituirea unui cadru legislativ și de reglementare care să apere în mod adecvat persoanele de încălcări ale integrității lor fizice și psihologice, în special în cele mai grave cazuri, prin adoptarea de dispoziții penale și efectiva lor aplicare în practică [</w:t>
      </w:r>
      <w:hyperlink r:id="rId271" w:history="1">
        <w:r w:rsidRPr="003B3332">
          <w:rPr>
            <w:rStyle w:val="Hyperlink"/>
          </w:rPr>
          <w:t>X și alții împotriva Bulgariei</w:t>
        </w:r>
      </w:hyperlink>
      <w:r w:rsidRPr="003B3332">
        <w:t xml:space="preserve"> (MC), 2021, pct. 179].</w:t>
      </w:r>
    </w:p>
    <w:p w14:paraId="2F846102" w14:textId="65037187" w:rsidR="00627452" w:rsidRPr="003B3332" w:rsidRDefault="0052442B" w:rsidP="003F2400">
      <w:pPr>
        <w:pStyle w:val="ECHRParaSpaced"/>
      </w:pPr>
      <w:fldSimple w:instr=" SEQ level0 \*arabic ">
        <w:r w:rsidR="000862FF">
          <w:rPr>
            <w:noProof/>
          </w:rPr>
          <w:t>110</w:t>
        </w:r>
      </w:fldSimple>
      <w:r w:rsidR="00DB4BEF" w:rsidRPr="003B3332">
        <w:t>.  Această obligație capătă o importanță deosebită în contextul unui serviciu public având datoria de a proteja sănătatea și bunăstarea copiilor, în special acolo unde aceștia sunt vulnerabili în mod deosebit și se află sub controlul exclusiv al autorităților. Curtea poate, în anumite circumstanțe, să ceară adoptarea unor măsuri și garanții speciale. În această privință, Curtea a specificat, în legătură cu cauzele de abuz sexual asupra minorilor, în special atunci când autorul acestor abuzuri se află într-o poziție de autoritate asupra copilului, că existența mecanismelor utile de detecție și de semnalare reprezintă o condiție fundamentală pentru implementarea legilor penale relevante [</w:t>
      </w:r>
      <w:hyperlink r:id="rId272" w:history="1">
        <w:r w:rsidR="00DB4BEF" w:rsidRPr="003B3332">
          <w:rPr>
            <w:rStyle w:val="Hyperlink"/>
          </w:rPr>
          <w:t>X și alții împotriva Bulgariei</w:t>
        </w:r>
      </w:hyperlink>
      <w:r w:rsidR="00DB4BEF" w:rsidRPr="003B3332">
        <w:t xml:space="preserve"> (MC), 2021, pct. 180].</w:t>
      </w:r>
    </w:p>
    <w:p w14:paraId="048A5F86" w14:textId="39E1E000" w:rsidR="00DB4BEF" w:rsidRPr="003B3332" w:rsidRDefault="0052442B" w:rsidP="003F2400">
      <w:pPr>
        <w:pStyle w:val="ECHRParaSpaced"/>
      </w:pPr>
      <w:fldSimple w:instr=" SEQ level0 \*arabic ">
        <w:r w:rsidR="000862FF">
          <w:rPr>
            <w:noProof/>
          </w:rPr>
          <w:t>111</w:t>
        </w:r>
      </w:fldSimple>
      <w:r w:rsidR="00DB4BEF" w:rsidRPr="003B3332">
        <w:t>.  La fel, în contextul violenței în familie, Curtea a hotărât că această obligație va cere, în mod obișnuit, autorităților naționale să ia măsuri pozitive în sfera protecției penale. Astfel de măsuri ar include, mai ales, incriminarea actelor de violență în familie oferind sancțiuni efective, proporționale și disuasive (</w:t>
      </w:r>
      <w:hyperlink r:id="rId273" w:history="1">
        <w:r w:rsidR="00DB4BEF" w:rsidRPr="003B3332">
          <w:rPr>
            <w:rStyle w:val="Hyperlink"/>
          </w:rPr>
          <w:t>Volodina împotriva Rusiei</w:t>
        </w:r>
      </w:hyperlink>
      <w:r w:rsidR="00DB4BEF" w:rsidRPr="003B3332">
        <w:t>, 2019, pct. 78). În plus, în măsura în care sunt în discuție măsurile de protecție, Curtea solicită ca setul de măsuri legislative și operaționale disponibile în cadrul juridic național trebuie să ofere autorităților implicate o gamă de măsuri suficiente dintre care să aleagă, corespunzătoare și proporționale cu nivelul de risc care a fost evaluat în circumstanțele cauzei respective (</w:t>
      </w:r>
      <w:hyperlink r:id="rId274" w:history="1">
        <w:r w:rsidR="00DB4BEF" w:rsidRPr="003B3332">
          <w:rPr>
            <w:rStyle w:val="Hyperlink"/>
          </w:rPr>
          <w:t>Tunikov și alții împotriva Rusiei</w:t>
        </w:r>
      </w:hyperlink>
      <w:r w:rsidR="00DB4BEF" w:rsidRPr="003B3332">
        <w:t>, 2021, pct. 95).</w:t>
      </w:r>
    </w:p>
    <w:p w14:paraId="4B7F4A55" w14:textId="7793B48E" w:rsidR="0001046C" w:rsidRPr="003B3332" w:rsidRDefault="00992A09" w:rsidP="00DE056A">
      <w:pPr>
        <w:pStyle w:val="ECHRHeading3"/>
      </w:pPr>
      <w:bookmarkStart w:id="79" w:name="_Toc180674930"/>
      <w:r w:rsidRPr="003B3332">
        <w:t>Datoria de a lua măsuri operative preventive</w:t>
      </w:r>
      <w:bookmarkEnd w:id="79"/>
    </w:p>
    <w:p w14:paraId="6D5370A0" w14:textId="4C95E6A4" w:rsidR="00684B32" w:rsidRPr="003B3332" w:rsidRDefault="0052442B" w:rsidP="00627452">
      <w:pPr>
        <w:pStyle w:val="ECHRParaSpaced"/>
        <w:rPr>
          <w:rFonts w:cstheme="minorHAnsi"/>
          <w:color w:val="000000"/>
        </w:rPr>
      </w:pPr>
      <w:fldSimple w:instr=" SEQ level0 \*arabic ">
        <w:r w:rsidR="000862FF">
          <w:rPr>
            <w:noProof/>
          </w:rPr>
          <w:t>112</w:t>
        </w:r>
      </w:fldSimple>
      <w:r w:rsidR="009B638B" w:rsidRPr="003B3332">
        <w:t>.  Ca și în cazul art. 2 din Convenție, art. 3 poate, în anumite circumstanțe, să impună unui stat să ia măsuri operaționale pentru a proteja victimele sau potențialele victime ale relelor tratamente [</w:t>
      </w:r>
      <w:hyperlink r:id="rId275" w:history="1">
        <w:r w:rsidR="009B638B" w:rsidRPr="003B3332">
          <w:rPr>
            <w:rStyle w:val="Hyperlink"/>
          </w:rPr>
          <w:t>X și alții împotriva Bulgariei</w:t>
        </w:r>
      </w:hyperlink>
      <w:r w:rsidR="009B638B" w:rsidRPr="003B3332">
        <w:t xml:space="preserve"> (MC), 2021, pct. 181].</w:t>
      </w:r>
    </w:p>
    <w:p w14:paraId="35148A7C" w14:textId="0D28B65B" w:rsidR="00EA45B9" w:rsidRPr="003B3332" w:rsidRDefault="0052442B" w:rsidP="003F2400">
      <w:pPr>
        <w:pStyle w:val="ECHRParaSpaced"/>
      </w:pPr>
      <w:fldSimple w:instr=" SEQ level0 \*arabic ">
        <w:r w:rsidR="000862FF">
          <w:rPr>
            <w:noProof/>
          </w:rPr>
          <w:t>113</w:t>
        </w:r>
      </w:fldSimple>
      <w:r w:rsidR="009B638B" w:rsidRPr="003B3332">
        <w:t>.  Această obligație pozitivă de a proteja trebuie să fie interpretată astfel încât să nu impună o sarcină excesivă autorităților, având în vedere, în special, caracterul  imprevizibil al comportamentului uman și alegerile operaționale de făcut cu privire la priorități și resurse. Astfel, nu orice risc de rele tratamente ar putea implica pentru autorități o cerință a Convenției de a lua măsuri pentru a preveni materializarea riscului respectiv.  Totuși, măsurile necesare ar trebui să asigure, cel puțin, o protecție eficientă, în special, a copiilor și altor persoane vulnerabile, și să includă demersuri rezonabile pentru prevenirea relelor tratamente despre care autoritățile au ori ar trebui să aibă cunoștință [</w:t>
      </w:r>
      <w:hyperlink r:id="rId276" w:history="1">
        <w:r w:rsidR="009B638B" w:rsidRPr="003B3332">
          <w:rPr>
            <w:rStyle w:val="Hyperlink"/>
          </w:rPr>
          <w:t>O’Keeffe împotriva Irlandei</w:t>
        </w:r>
      </w:hyperlink>
      <w:r w:rsidR="009B638B" w:rsidRPr="003B3332">
        <w:t xml:space="preserve"> (MC), 2014, pct. 144].</w:t>
      </w:r>
    </w:p>
    <w:p w14:paraId="46D8F5B5" w14:textId="5FA35F95" w:rsidR="00707DAB" w:rsidRPr="003B3332" w:rsidRDefault="0052442B" w:rsidP="00EC7418">
      <w:pPr>
        <w:pStyle w:val="ECHRParaSpaced"/>
        <w:rPr>
          <w:rFonts w:cstheme="minorHAnsi"/>
          <w:color w:val="000000"/>
        </w:rPr>
      </w:pPr>
      <w:fldSimple w:instr=" SEQ level0 \*arabic ">
        <w:r w:rsidR="000862FF">
          <w:rPr>
            <w:noProof/>
          </w:rPr>
          <w:t>114</w:t>
        </w:r>
      </w:fldSimple>
      <w:r w:rsidR="009B638B" w:rsidRPr="003B3332">
        <w:t>.  Prin urmare, pentru ca o obligație pozitivă să ia naștere trebuie stabilit că autoritățile știau sau ar fi trebuit să știe la acel moment de existența unui risc real și imediat ca o persoană identificată să fie supusă relelor tratamente prin faptele penale ale unui terț și că autoritățile nu au luat măsuri în domeniul de aplicare al competențelor lor care, considerate în mod rezonabil, ar fi fost de așteptat să evite acel risc [</w:t>
      </w:r>
      <w:hyperlink r:id="rId277" w:history="1">
        <w:r w:rsidR="009B638B" w:rsidRPr="003B3332">
          <w:rPr>
            <w:rStyle w:val="Hyperlink"/>
          </w:rPr>
          <w:t>X și alții împotriva Bulgariei</w:t>
        </w:r>
      </w:hyperlink>
      <w:r w:rsidR="009B638B" w:rsidRPr="003B3332">
        <w:t xml:space="preserve"> (MC), 2021, pct. 183].</w:t>
      </w:r>
    </w:p>
    <w:p w14:paraId="248ACB04" w14:textId="35716A08" w:rsidR="00707DAB" w:rsidRPr="003B3332" w:rsidRDefault="004713AB" w:rsidP="003F2400">
      <w:pPr>
        <w:pStyle w:val="ECHRParaSpaced"/>
      </w:pPr>
      <w:r>
        <w:fldChar w:fldCharType="begin"/>
      </w:r>
      <w:r>
        <w:instrText xml:space="preserve"> SEQ level0 \*arabic \* MERGEFORMAT </w:instrText>
      </w:r>
      <w:r>
        <w:fldChar w:fldCharType="separate"/>
      </w:r>
      <w:r w:rsidR="000862FF">
        <w:rPr>
          <w:noProof/>
        </w:rPr>
        <w:t>115</w:t>
      </w:r>
      <w:r>
        <w:fldChar w:fldCharType="end"/>
      </w:r>
      <w:r w:rsidR="00707DAB" w:rsidRPr="003B3332">
        <w:t>.  Curtea observă că, în acest context, aprecierea naturii și a nivelului riscului face parte integrantă din datoria de a lua măsuri operative preventive acolo unde prezența unui risc o cere.  Astfel, o examinare a respectării de către stat a acestei datorii trebuie să cuprindă analiza atât a caracterului adecvat al evaluării riscului efectuate de autoritățile naționale, cât și, în cazul în care un risc relevant care declanșează datoria de a acționa a fost sau ar trebui să fie identificat, a caracterului adecvat al măsurilor preventive adoptate [</w:t>
      </w:r>
      <w:hyperlink r:id="rId278" w:history="1">
        <w:r w:rsidR="00707DAB" w:rsidRPr="003B3332">
          <w:rPr>
            <w:rStyle w:val="Hyperlink"/>
          </w:rPr>
          <w:t>Kurt împotriva Austriei</w:t>
        </w:r>
      </w:hyperlink>
      <w:r w:rsidR="00707DAB" w:rsidRPr="003B3332">
        <w:t xml:space="preserve">  (MC), 2021, pct. 159, chiar dacă în temeiul art. 2 din Convenție].</w:t>
      </w:r>
    </w:p>
    <w:p w14:paraId="5F70B52E" w14:textId="6D4D0FE9" w:rsidR="00707DAB" w:rsidRPr="003B3332" w:rsidRDefault="00CC7BF1" w:rsidP="00627452">
      <w:pPr>
        <w:pStyle w:val="ECHRParaSpaced"/>
      </w:pPr>
      <w:r w:rsidRPr="003B3332">
        <w:rPr>
          <w:rFonts w:cstheme="minorHAnsi"/>
          <w:color w:val="000000"/>
        </w:rPr>
        <w:fldChar w:fldCharType="begin"/>
      </w:r>
      <w:r w:rsidRPr="003B3332">
        <w:rPr>
          <w:rFonts w:cstheme="minorHAnsi"/>
          <w:color w:val="000000"/>
        </w:rPr>
        <w:instrText xml:space="preserve"> SEQ level0 \*arabic </w:instrText>
      </w:r>
      <w:r w:rsidRPr="003B3332">
        <w:rPr>
          <w:rFonts w:cstheme="minorHAnsi"/>
          <w:color w:val="000000"/>
        </w:rPr>
        <w:fldChar w:fldCharType="separate"/>
      </w:r>
      <w:r w:rsidR="000862FF">
        <w:rPr>
          <w:rFonts w:cstheme="minorHAnsi"/>
          <w:noProof/>
          <w:color w:val="000000"/>
        </w:rPr>
        <w:t>116</w:t>
      </w:r>
      <w:r w:rsidRPr="003B3332">
        <w:rPr>
          <w:rFonts w:cstheme="minorHAnsi"/>
          <w:color w:val="000000"/>
        </w:rPr>
        <w:fldChar w:fldCharType="end"/>
      </w:r>
      <w:r w:rsidRPr="003B3332">
        <w:rPr>
          <w:color w:val="000000"/>
        </w:rPr>
        <w:t>.  </w:t>
      </w:r>
      <w:r w:rsidRPr="003B3332">
        <w:t>Curtea a subliniat și că nu este necesar să demonstreze că „cu excepția” omisiunii statului relele tratamente nu s-ar fi întâmplat. Incapacitatea de a lua măsurile disponibile în mod rezonabil care ar fi putut într-o perspectivă reală să modifice rezultatul sau să reducă daunele este suficientă pentru a angaja responsabilitatea statului [</w:t>
      </w:r>
      <w:hyperlink r:id="rId279" w:history="1">
        <w:r w:rsidRPr="003B3332">
          <w:rPr>
            <w:rStyle w:val="Hyperlink"/>
          </w:rPr>
          <w:t>O’Keeffe împotriva Irlandei</w:t>
        </w:r>
      </w:hyperlink>
      <w:r w:rsidRPr="003B3332">
        <w:t xml:space="preserve"> (MC), 2014, pct. 149].</w:t>
      </w:r>
    </w:p>
    <w:p w14:paraId="69A09A91" w14:textId="4A881126" w:rsidR="009E041F" w:rsidRPr="003B3332" w:rsidRDefault="00F36486" w:rsidP="00475543">
      <w:pPr>
        <w:pStyle w:val="ECHRHeading2"/>
      </w:pPr>
      <w:bookmarkStart w:id="80" w:name="_Toc180674931"/>
      <w:r w:rsidRPr="003B3332">
        <w:t>Câteva ilustrări</w:t>
      </w:r>
      <w:bookmarkEnd w:id="80"/>
    </w:p>
    <w:p w14:paraId="55DBEECF" w14:textId="46D8EF57" w:rsidR="00FA6360" w:rsidRPr="003B3332" w:rsidRDefault="0052442B" w:rsidP="003F2400">
      <w:pPr>
        <w:pStyle w:val="ECHRParaSpaced"/>
      </w:pPr>
      <w:fldSimple w:instr=" SEQ level0 \*arabic ">
        <w:r w:rsidR="000862FF">
          <w:rPr>
            <w:noProof/>
          </w:rPr>
          <w:t>117</w:t>
        </w:r>
      </w:fldSimple>
      <w:r w:rsidR="00372D95" w:rsidRPr="003B3332">
        <w:t>.  Curtea a constatat că statul pârât nu și-a îndeplinit obligația de a proteja persoanele de relele tratamente atunci când:</w:t>
      </w:r>
    </w:p>
    <w:p w14:paraId="2E74E9C0" w14:textId="3BF3ECB2" w:rsidR="00AD1246" w:rsidRPr="003B3332" w:rsidRDefault="003E0CA3" w:rsidP="003F2400">
      <w:pPr>
        <w:pStyle w:val="ECHRBullet1"/>
        <w:rPr>
          <w:rStyle w:val="sae070d1d"/>
        </w:rPr>
      </w:pPr>
      <w:r w:rsidRPr="003B3332">
        <w:rPr>
          <w:rStyle w:val="sfbbfee58"/>
        </w:rPr>
        <w:t>administrația locului de detenției nu a prevenit relele tratamente sistematice aplicate unui deținut de către codeținuți (</w:t>
      </w:r>
      <w:hyperlink r:id="rId280" w:history="1">
        <w:r w:rsidRPr="003B3332">
          <w:rPr>
            <w:rStyle w:val="Hyperlink"/>
          </w:rPr>
          <w:t>Premininy împotriva Rusiei</w:t>
        </w:r>
      </w:hyperlink>
      <w:r w:rsidRPr="003B3332">
        <w:t xml:space="preserve">, 2011, pct. 90; a se vedea și </w:t>
      </w:r>
      <w:hyperlink r:id="rId281" w:history="1">
        <w:r w:rsidRPr="003B3332">
          <w:rPr>
            <w:rStyle w:val="Hyperlink"/>
          </w:rPr>
          <w:t>I.E. împotriva Republicii Moldova</w:t>
        </w:r>
      </w:hyperlink>
      <w:r w:rsidRPr="003B3332">
        <w:rPr>
          <w:i/>
        </w:rPr>
        <w:t xml:space="preserve">, </w:t>
      </w:r>
      <w:r w:rsidRPr="003B3332">
        <w:t xml:space="preserve">2020, pct. 46 în care un </w:t>
      </w:r>
      <w:r w:rsidRPr="003B3332">
        <w:rPr>
          <w:rStyle w:val="sae070d1d"/>
        </w:rPr>
        <w:t>adolescent cu handicap mintal a fost plasat într-o celulă cu autori de infracțiuni săvârșite cu violență și a suferit bătăi și viol);</w:t>
      </w:r>
    </w:p>
    <w:p w14:paraId="5375A52E" w14:textId="6438B17A" w:rsidR="00E86876" w:rsidRPr="003B3332" w:rsidRDefault="00E86876" w:rsidP="003F2400">
      <w:pPr>
        <w:pStyle w:val="ECHRBullet1"/>
        <w:rPr>
          <w:rStyle w:val="sae070d1d"/>
        </w:rPr>
      </w:pPr>
      <w:r w:rsidRPr="003B3332">
        <w:t>cadrul legal național nu definea violența în familie ca infracțiune distinctă sau ca element agravant al altor infracțiuni și nu stabilea un prag minim de gravitate a vătămărilor necesar pentru începerea urmăririi penale, iar autorită</w:t>
      </w:r>
      <w:r w:rsidR="00242778">
        <w:t>ț</w:t>
      </w:r>
      <w:r w:rsidRPr="003B3332">
        <w:t>ile nu au luat măsuri operaționale preventive pentru a proteja reclamanta (</w:t>
      </w:r>
      <w:hyperlink r:id="rId282" w:history="1">
        <w:r w:rsidRPr="003B3332">
          <w:rPr>
            <w:rStyle w:val="Hyperlink"/>
          </w:rPr>
          <w:t>Volodina împotriva Rusiei</w:t>
        </w:r>
      </w:hyperlink>
      <w:r w:rsidRPr="003B3332">
        <w:t xml:space="preserve">, 2019, pct. 85 și pct. 91; a se vedea și </w:t>
      </w:r>
      <w:hyperlink r:id="rId283" w:history="1">
        <w:r w:rsidRPr="003B3332">
          <w:rPr>
            <w:rStyle w:val="Hyperlink"/>
          </w:rPr>
          <w:t>M.C. împotriva Bulgariei</w:t>
        </w:r>
      </w:hyperlink>
      <w:r w:rsidRPr="003B3332">
        <w:t>, 2003, pct. 166, în care Curtea a constatat că prin cadrul legislativ național se oferea o protecție insuficientă victimei unui presupus viol);</w:t>
      </w:r>
    </w:p>
    <w:p w14:paraId="093A981C" w14:textId="59407A38" w:rsidR="00904F40" w:rsidRPr="003B3332" w:rsidRDefault="00912D1E" w:rsidP="00904F40">
      <w:pPr>
        <w:pStyle w:val="ECHRBullet1"/>
      </w:pPr>
      <w:r w:rsidRPr="003B3332">
        <w:rPr>
          <w:rStyle w:val="sae070d1d"/>
        </w:rPr>
        <w:t>autoritățile nu au protejat membrul unei minorități religioase vulnerabile de a fi atacat în mod sistematic (</w:t>
      </w:r>
      <w:hyperlink r:id="rId284" w:history="1">
        <w:r w:rsidRPr="003B3332">
          <w:rPr>
            <w:rStyle w:val="Hyperlink"/>
          </w:rPr>
          <w:t>Milanović împotriva Serbiei</w:t>
        </w:r>
      </w:hyperlink>
      <w:r w:rsidRPr="003B3332">
        <w:t xml:space="preserve">, 2010, pct. 90; a se vedea și </w:t>
      </w:r>
      <w:hyperlink r:id="rId285" w:history="1">
        <w:r w:rsidRPr="003B3332">
          <w:rPr>
            <w:rStyle w:val="Hyperlink"/>
          </w:rPr>
          <w:t>Membrii Congregației din Gldani a Martorilor lui Iehova și alții împotriva Georgiei</w:t>
        </w:r>
      </w:hyperlink>
      <w:r w:rsidRPr="003B3332">
        <w:t>, 2007, pct. 100-105 și pct. 124, în care poliția nu a acționat suficient împotriva unui atac în desfășurare asupra unei întruniri a martorilor lui Iehova de către membri ai Bisericii Ortodoxe, în pofida faptului că fusese alertată destul de devreme încât să acționeze prompt pentru a pune capăt violenței și a proteja victimele).</w:t>
      </w:r>
    </w:p>
    <w:p w14:paraId="40B1489E" w14:textId="199DA52A" w:rsidR="000C7866" w:rsidRPr="003B3332" w:rsidRDefault="006D0707" w:rsidP="000C7866">
      <w:pPr>
        <w:pStyle w:val="ECHRBullet1"/>
      </w:pPr>
      <w:r w:rsidRPr="003B3332">
        <w:t>autoritățile militare nu l-au protejat pe fiul reclamanților – victimă și denunțător al hărțuirii și al umilirii în armată – de represalii din partea celorlalți recruți (</w:t>
      </w:r>
      <w:hyperlink r:id="rId286" w:history="1">
        <w:r w:rsidRPr="003B3332">
          <w:rPr>
            <w:i/>
            <w:color w:val="0072BC" w:themeColor="hyperlink"/>
          </w:rPr>
          <w:t>Filippovy împotriva Rusiei</w:t>
        </w:r>
      </w:hyperlink>
      <w:r w:rsidRPr="003B3332">
        <w:t>, 2022, pct. 103).</w:t>
      </w:r>
    </w:p>
    <w:p w14:paraId="72291A4D" w14:textId="61124629" w:rsidR="007B53DE" w:rsidRPr="003B3332" w:rsidRDefault="00FE703A" w:rsidP="005B250E">
      <w:pPr>
        <w:pStyle w:val="ECHRBullet1"/>
      </w:pPr>
      <w:r w:rsidRPr="003B3332">
        <w:t>statul nu a protejat o elevă de 14 ani cu dizabilități intelectuale de abuzul sexual în școala ei din partea unui profesor care era și funcționar public la momentul faptelor, din două motive: lipsa unui cadru de reglementare adecvat pentru prevenirea, reținerea și raportarea abuzului sexual asupra minorilor și neadoptarea măsurilor adecvate (</w:t>
      </w:r>
      <w:hyperlink r:id="rId287" w:history="1">
        <w:r w:rsidRPr="003B3332">
          <w:rPr>
            <w:rStyle w:val="Hyperlink"/>
          </w:rPr>
          <w:t>A.P. împotriva Armeniei</w:t>
        </w:r>
      </w:hyperlink>
      <w:r w:rsidRPr="003B3332">
        <w:t xml:space="preserve">, 2024, pct. 141; a se vedea și </w:t>
      </w:r>
      <w:hyperlink r:id="rId288" w:history="1">
        <w:r w:rsidRPr="003B3332">
          <w:rPr>
            <w:rStyle w:val="Hyperlink"/>
          </w:rPr>
          <w:t>Z împotriva Republicii Cehe</w:t>
        </w:r>
      </w:hyperlink>
      <w:r w:rsidRPr="003B3332">
        <w:t>, pct. 57-62, 2024, în care Curtea a constatat o încălcare a art. 3 și a art. 8 pe motivul abordării defectuoase a autorităților în interpretarea faptelor și a cadrului juridic, neoferind astfel protecție adecvată unui adult vulnerabil față de abuzul sexual din partea unui preot care a fost și profesorul său universitar).</w:t>
      </w:r>
    </w:p>
    <w:p w14:paraId="0C142CEB" w14:textId="4011F9C8" w:rsidR="0057025D" w:rsidRPr="003B3332" w:rsidRDefault="004713AB" w:rsidP="003F2400">
      <w:pPr>
        <w:pStyle w:val="ECHRParaSpaced"/>
        <w:rPr>
          <w:rFonts w:cstheme="minorHAnsi"/>
        </w:rPr>
      </w:pPr>
      <w:r>
        <w:fldChar w:fldCharType="begin"/>
      </w:r>
      <w:r>
        <w:instrText xml:space="preserve"> SEQ level0 \*arabic \* MERGEFORMAT </w:instrText>
      </w:r>
      <w:r>
        <w:fldChar w:fldCharType="separate"/>
      </w:r>
      <w:r w:rsidR="000862FF">
        <w:rPr>
          <w:noProof/>
        </w:rPr>
        <w:t>118</w:t>
      </w:r>
      <w:r>
        <w:fldChar w:fldCharType="end"/>
      </w:r>
      <w:r w:rsidR="003F2400" w:rsidRPr="003B3332">
        <w:t xml:space="preserve">.  În schimb, în cauza </w:t>
      </w:r>
      <w:hyperlink r:id="rId289" w:history="1">
        <w:r w:rsidR="003F2400" w:rsidRPr="003B3332">
          <w:rPr>
            <w:rStyle w:val="Hyperlink"/>
          </w:rPr>
          <w:t>X și alții împotriva Bulgariei</w:t>
        </w:r>
      </w:hyperlink>
      <w:r w:rsidR="003F2400" w:rsidRPr="003B3332">
        <w:t xml:space="preserve"> (MC), 2021, pct. 183, care privea acuzații de abuz sexual într-un orfelinat, Curtea a considerat că modul în care fusese aplicat cadrul normativ nu a generat o încălcare a art. 3, fiind stabilită problema specială, dar nu sistemică, referitoare la abuzurile sexuale comise asupra copiilor de vârstă mică în centrele de îngrijire. În continuare a constatat că, în faptele speciale ale cauzei, nu existau suficiente informații pentru a constata că autoritățile bulgare au știut sau ar fi trebuit să știe de existența unui risc real și imediat ca reclamanții să fie supuși la rele tratamente, care să genereze obligația de mai sus de a-i proteja împotriva acestui risc.</w:t>
      </w:r>
    </w:p>
    <w:p w14:paraId="1492BF51" w14:textId="3EB548D6" w:rsidR="0082758A" w:rsidRPr="003B3332" w:rsidRDefault="00FC2175" w:rsidP="003F2400">
      <w:pPr>
        <w:pStyle w:val="ECHRHeading1"/>
      </w:pPr>
      <w:bookmarkStart w:id="81" w:name="_Toc180674932"/>
      <w:bookmarkStart w:id="82" w:name="_Toc436664110"/>
      <w:bookmarkStart w:id="83" w:name="_Toc436664777"/>
      <w:bookmarkStart w:id="84" w:name="_Toc436741703"/>
      <w:bookmarkStart w:id="85" w:name="_Toc436833777"/>
      <w:bookmarkStart w:id="86" w:name="_Toc437417593"/>
      <w:bookmarkStart w:id="87" w:name="_Toc441568640"/>
      <w:r w:rsidRPr="003B3332">
        <w:t>Obligația de a ancheta susținerile referitoare la tortură, tratamente sau pedepse degradante inumane ori degradante</w:t>
      </w:r>
      <w:bookmarkEnd w:id="81"/>
    </w:p>
    <w:p w14:paraId="5CC249DC" w14:textId="77777777" w:rsidR="0082758A" w:rsidRPr="003B3332" w:rsidRDefault="0082758A" w:rsidP="00B24D7D">
      <w:pPr>
        <w:pStyle w:val="ECHRPara"/>
        <w:keepNext/>
      </w:pPr>
    </w:p>
    <w:tbl>
      <w:tblPr>
        <w:tblStyle w:val="ECHRTableGrey"/>
        <w:tblW w:w="0" w:type="auto"/>
        <w:tblBorders>
          <w:top w:val="none" w:sz="0" w:space="0" w:color="auto"/>
          <w:left w:val="none" w:sz="0" w:space="0" w:color="auto"/>
          <w:bottom w:val="none" w:sz="0" w:space="0" w:color="auto"/>
          <w:right w:val="none" w:sz="0" w:space="0" w:color="auto"/>
        </w:tblBorders>
        <w:tblLook w:val="0600" w:firstRow="0" w:lastRow="0" w:firstColumn="0" w:lastColumn="0" w:noHBand="1" w:noVBand="1"/>
      </w:tblPr>
      <w:tblGrid>
        <w:gridCol w:w="9027"/>
      </w:tblGrid>
      <w:tr w:rsidR="0082758A" w:rsidRPr="003B3332" w14:paraId="2F18904D" w14:textId="77777777" w:rsidTr="00B92781">
        <w:trPr>
          <w:trHeight w:val="1027"/>
        </w:trPr>
        <w:tc>
          <w:tcPr>
            <w:tcW w:w="9243" w:type="dxa"/>
          </w:tcPr>
          <w:p w14:paraId="2498690C" w14:textId="77777777" w:rsidR="0082758A" w:rsidRPr="003B3332" w:rsidRDefault="0082758A" w:rsidP="00CE434F">
            <w:pPr>
              <w:rPr>
                <w:b/>
              </w:rPr>
            </w:pPr>
            <w:r w:rsidRPr="003B3332">
              <w:rPr>
                <w:b/>
              </w:rPr>
              <w:t>Art. 3 din Convenție</w:t>
            </w:r>
          </w:p>
          <w:p w14:paraId="0602A8F6" w14:textId="77777777" w:rsidR="0082758A" w:rsidRPr="003B3332" w:rsidRDefault="0082758A" w:rsidP="00CE434F">
            <w:pPr>
              <w:pStyle w:val="ECHRParaSpaced"/>
            </w:pPr>
            <w:r w:rsidRPr="003B3332">
              <w:t>„Nimeni nu poate fi supus torturii, nici pedepselor sau tratamentelor inumane ori degradante.”</w:t>
            </w:r>
          </w:p>
        </w:tc>
      </w:tr>
    </w:tbl>
    <w:p w14:paraId="5C64B6E2" w14:textId="77777777" w:rsidR="0082758A" w:rsidRPr="003B3332" w:rsidRDefault="0082758A" w:rsidP="0082758A">
      <w:pPr>
        <w:pStyle w:val="ECHRPara"/>
      </w:pPr>
    </w:p>
    <w:p w14:paraId="1EC8DEEF" w14:textId="77777777" w:rsidR="0082758A" w:rsidRPr="003B3332" w:rsidRDefault="004E73E6" w:rsidP="0082758A">
      <w:pPr>
        <w:pStyle w:val="ECHRHeading2"/>
      </w:pPr>
      <w:bookmarkStart w:id="88" w:name="_Toc180674933"/>
      <w:r w:rsidRPr="003B3332">
        <w:t>Cu privire la obligațiile procedurale</w:t>
      </w:r>
      <w:bookmarkEnd w:id="88"/>
    </w:p>
    <w:p w14:paraId="14AD6120" w14:textId="21E3349A" w:rsidR="0048099D" w:rsidRPr="003B3332" w:rsidRDefault="004713AB" w:rsidP="003F2400">
      <w:pPr>
        <w:pStyle w:val="ECHRParaSpaced"/>
      </w:pPr>
      <w:r>
        <w:fldChar w:fldCharType="begin"/>
      </w:r>
      <w:r>
        <w:instrText xml:space="preserve"> SEQ level0 \*arabic \* MERGEFORMAT </w:instrText>
      </w:r>
      <w:r>
        <w:fldChar w:fldCharType="separate"/>
      </w:r>
      <w:r w:rsidR="000862FF">
        <w:rPr>
          <w:noProof/>
        </w:rPr>
        <w:t>119</w:t>
      </w:r>
      <w:r>
        <w:fldChar w:fldCharType="end"/>
      </w:r>
      <w:r w:rsidR="003F2400" w:rsidRPr="003B3332">
        <w:t>.  În cazul în care o persoană invocă o pretenție argumentată că a suferit un tratament contrar art. 3 pe când se afla sub controlul agenților statului, dispoziția respectivă, coroborată cu obligația generală a statului, conform art. 1 din Convenție, prin care se „recunosc oricărei persoane aflate sub jurisdicția lor drepturile și libertățile definite în […]  Convenție”, impune, implicit, efectuarea unei anchete oficiale efective [</w:t>
      </w:r>
      <w:bookmarkStart w:id="89" w:name="_Hlk93585834"/>
      <w:r w:rsidR="00085E8A" w:rsidRPr="003B3332">
        <w:rPr>
          <w:i/>
        </w:rPr>
        <w:fldChar w:fldCharType="begin"/>
      </w:r>
      <w:r w:rsidR="00085E8A" w:rsidRPr="003B3332">
        <w:rPr>
          <w:i/>
        </w:rPr>
        <w:instrText xml:space="preserve"> HYPERLINK "https://hudoc.echr.coe.int/eng?i=001-58261" </w:instrText>
      </w:r>
      <w:r w:rsidR="00085E8A" w:rsidRPr="003B3332">
        <w:rPr>
          <w:i/>
        </w:rPr>
        <w:fldChar w:fldCharType="separate"/>
      </w:r>
      <w:r w:rsidR="003F2400" w:rsidRPr="003B3332">
        <w:rPr>
          <w:rStyle w:val="Hyperlink"/>
        </w:rPr>
        <w:t>Assenov și alții împotriva Bulgariei</w:t>
      </w:r>
      <w:r w:rsidR="00085E8A" w:rsidRPr="003B3332">
        <w:rPr>
          <w:i/>
        </w:rPr>
        <w:fldChar w:fldCharType="end"/>
      </w:r>
      <w:r w:rsidR="003F2400" w:rsidRPr="003B3332">
        <w:t xml:space="preserve">, </w:t>
      </w:r>
      <w:bookmarkEnd w:id="89"/>
      <w:r w:rsidR="003F2400" w:rsidRPr="003B3332">
        <w:t xml:space="preserve">, 1998, pct. 102 și </w:t>
      </w:r>
      <w:hyperlink r:id="rId290" w:history="1">
        <w:r w:rsidR="003F2400" w:rsidRPr="003B3332">
          <w:rPr>
            <w:rStyle w:val="Hyperlink"/>
          </w:rPr>
          <w:t>El-Masri împotriva Fostei Republici Iugoslave a Macedoniei</w:t>
        </w:r>
      </w:hyperlink>
      <w:r w:rsidR="003F2400" w:rsidRPr="003B3332">
        <w:t xml:space="preserve"> (MC), 2012, pct. 182].  În caz contrar, interzicerea legală generală a torturii și a tratamentelor și pedepselor inumane sau degradante ar fi lipsită de efect în practică, în pofida importanței ei fundamentale, și ar fi posibil ca în unele cazuri reprezentanții statului să încalce drepturile celor aflați sub controlul lor cu o impunitate virtuală [</w:t>
      </w:r>
      <w:hyperlink r:id="rId291" w:history="1">
        <w:r w:rsidR="003F2400" w:rsidRPr="003B3332">
          <w:rPr>
            <w:rStyle w:val="Hyperlink"/>
          </w:rPr>
          <w:t>Labita împotriva Italiei</w:t>
        </w:r>
      </w:hyperlink>
      <w:r w:rsidR="003F2400" w:rsidRPr="003B3332">
        <w:t xml:space="preserve"> (MC), 2000, pct. 131].</w:t>
      </w:r>
    </w:p>
    <w:p w14:paraId="2B81FD39" w14:textId="4B1F0297" w:rsidR="00991FF3" w:rsidRPr="003B3332" w:rsidRDefault="004713AB" w:rsidP="003F2400">
      <w:pPr>
        <w:pStyle w:val="ECHRParaSpaced"/>
      </w:pPr>
      <w:r>
        <w:fldChar w:fldCharType="begin"/>
      </w:r>
      <w:r>
        <w:instrText xml:space="preserve"> SEQ level0 \*arabic \* MERGEFORMAT </w:instrText>
      </w:r>
      <w:r>
        <w:fldChar w:fldCharType="separate"/>
      </w:r>
      <w:r w:rsidR="000862FF">
        <w:rPr>
          <w:noProof/>
        </w:rPr>
        <w:t>120</w:t>
      </w:r>
      <w:r>
        <w:fldChar w:fldCharType="end"/>
      </w:r>
      <w:r w:rsidR="00991FF3" w:rsidRPr="003B3332">
        <w:t>.  În legătură cu cele de mai sus, Curtea a subliniat că un răspuns adecvat din partea autorităților în anchetarea acuzațiilor privind rele tratamente suferite din partea poliției sau a altor agenți ai statului, în conformitate cu regulile art. 3, este esențial pentru a menține încrederea publicului în respectarea statului de drept și pentru a preveni orice aparentă complicitate la acțiuni contrare legii sau orice aparentă toleranță față de asemenea acțiuni nelegale (</w:t>
      </w:r>
      <w:hyperlink r:id="rId292" w:history="1">
        <w:r w:rsidR="00991FF3" w:rsidRPr="003B3332">
          <w:rPr>
            <w:rStyle w:val="Hyperlink"/>
          </w:rPr>
          <w:t>Lyapin împotriva Rusiei</w:t>
        </w:r>
      </w:hyperlink>
      <w:r w:rsidR="00991FF3" w:rsidRPr="003B3332">
        <w:t>, 2014, pct. 139).</w:t>
      </w:r>
    </w:p>
    <w:p w14:paraId="377D63C0" w14:textId="7CD9609A" w:rsidR="00B907EB" w:rsidRPr="003B3332" w:rsidRDefault="004713AB" w:rsidP="003F2400">
      <w:pPr>
        <w:pStyle w:val="ECHRParaSpaced"/>
        <w:rPr>
          <w:rFonts w:cstheme="minorHAnsi"/>
          <w:color w:val="000000"/>
        </w:rPr>
      </w:pPr>
      <w:r>
        <w:fldChar w:fldCharType="begin"/>
      </w:r>
      <w:r>
        <w:instrText xml:space="preserve"> </w:instrText>
      </w:r>
      <w:r>
        <w:instrText xml:space="preserve">SEQ level0 \*arabic \* MERGEFORMAT </w:instrText>
      </w:r>
      <w:r>
        <w:fldChar w:fldCharType="separate"/>
      </w:r>
      <w:r w:rsidR="000862FF">
        <w:rPr>
          <w:noProof/>
        </w:rPr>
        <w:t>121</w:t>
      </w:r>
      <w:r>
        <w:fldChar w:fldCharType="end"/>
      </w:r>
      <w:r w:rsidR="00FA7743" w:rsidRPr="003B3332">
        <w:t>.  Această obligație procedurală se extinde și asupra cerinței de a ancheta acuzațiile cu privire la rele tratamente aplicate de persoane particulare atunci când acestea sunt „întemeiate” [</w:t>
      </w:r>
      <w:hyperlink r:id="rId293" w:history="1">
        <w:r w:rsidR="00FA7743" w:rsidRPr="003B3332">
          <w:rPr>
            <w:rStyle w:val="Hyperlink"/>
          </w:rPr>
          <w:t>M. și alții împotriva Italiei și Bulgariei</w:t>
        </w:r>
      </w:hyperlink>
      <w:r w:rsidR="00FA7743" w:rsidRPr="003B3332">
        <w:t xml:space="preserve">, 2012, pct. 100 și </w:t>
      </w:r>
      <w:hyperlink r:id="rId294" w:history="1">
        <w:r w:rsidR="00FA7743" w:rsidRPr="003B3332">
          <w:rPr>
            <w:rStyle w:val="Hyperlink"/>
          </w:rPr>
          <w:t>X și alții împotriva Bulgariei</w:t>
        </w:r>
      </w:hyperlink>
      <w:r w:rsidR="00FA7743" w:rsidRPr="003B3332">
        <w:rPr>
          <w:color w:val="000000"/>
        </w:rPr>
        <w:t xml:space="preserve"> [GC], 2021, pct. 184; a se vedea și </w:t>
      </w:r>
      <w:hyperlink r:id="rId295" w:history="1">
        <w:r w:rsidR="00FA7743" w:rsidRPr="003B3332">
          <w:rPr>
            <w:rStyle w:val="Hyperlink"/>
          </w:rPr>
          <w:t>Ghişoiu împotriva României</w:t>
        </w:r>
      </w:hyperlink>
      <w:r w:rsidR="00FA7743" w:rsidRPr="003B3332">
        <w:rPr>
          <w:color w:val="000000"/>
        </w:rPr>
        <w:t>, (dec.), 2023, pct. 62-64, unde nicio obligație procedurală nu era determinată în absența unei pretenții întemeiate în contextul unei pretinse violențe față de un minor].</w:t>
      </w:r>
    </w:p>
    <w:p w14:paraId="19F15CCF" w14:textId="77777777" w:rsidR="00AA5E50" w:rsidRPr="003B3332" w:rsidRDefault="00047A9A" w:rsidP="00AA5E50">
      <w:pPr>
        <w:pStyle w:val="ECHRHeading2"/>
      </w:pPr>
      <w:bookmarkStart w:id="90" w:name="_Toc180674934"/>
      <w:r w:rsidRPr="003B3332">
        <w:t>Scopul cercetării</w:t>
      </w:r>
      <w:bookmarkEnd w:id="90"/>
    </w:p>
    <w:p w14:paraId="60EA748B" w14:textId="71BBED09" w:rsidR="00361752" w:rsidRPr="003B3332" w:rsidRDefault="004713AB" w:rsidP="00D20795">
      <w:pPr>
        <w:pStyle w:val="ECHRParaSpaced"/>
      </w:pPr>
      <w:r>
        <w:fldChar w:fldCharType="begin"/>
      </w:r>
      <w:r>
        <w:instrText xml:space="preserve"> SEQ level0 \*arabic \* MERGEFORMAT </w:instrText>
      </w:r>
      <w:r>
        <w:fldChar w:fldCharType="separate"/>
      </w:r>
      <w:r w:rsidR="000862FF">
        <w:rPr>
          <w:noProof/>
        </w:rPr>
        <w:t>122</w:t>
      </w:r>
      <w:r>
        <w:fldChar w:fldCharType="end"/>
      </w:r>
      <w:r w:rsidR="00FA7743" w:rsidRPr="003B3332">
        <w:t>.  Scopul esențial al anchetei este de a asigura punerea eficientă în aplicare a legislației interne care interzice tortura și tratamentele sau pedepsele inumane ori degradante în cauze care implică agenții sau organismele statului și de a asigura angajarea răspunderii lor pentru relele tratamente care s-au produs sub autoritatea lor [</w:t>
      </w:r>
      <w:hyperlink r:id="rId296" w:history="1">
        <w:r w:rsidR="00FA7743" w:rsidRPr="003B3332">
          <w:rPr>
            <w:rStyle w:val="Hyperlink"/>
          </w:rPr>
          <w:t>Bouyid împotriva Belgiei</w:t>
        </w:r>
      </w:hyperlink>
      <w:r w:rsidR="00FA7743" w:rsidRPr="003B3332">
        <w:t xml:space="preserve"> (MC), 2015, pct. 117].</w:t>
      </w:r>
    </w:p>
    <w:p w14:paraId="22F0E585" w14:textId="762C5EFD" w:rsidR="005E2B58" w:rsidRPr="003B3332" w:rsidRDefault="005E2B58" w:rsidP="005E2B58">
      <w:pPr>
        <w:pStyle w:val="ECHRHeading2"/>
      </w:pPr>
      <w:bookmarkStart w:id="91" w:name="_Toc180674935"/>
      <w:r w:rsidRPr="003B3332">
        <w:t>Natura și gradul examinării</w:t>
      </w:r>
      <w:bookmarkEnd w:id="91"/>
    </w:p>
    <w:p w14:paraId="031352A8" w14:textId="0B585647" w:rsidR="000A25FC" w:rsidRPr="003B3332" w:rsidRDefault="004713AB" w:rsidP="00D20795">
      <w:pPr>
        <w:pStyle w:val="ECHRParaSpaced"/>
        <w:rPr>
          <w:color w:val="000000"/>
        </w:rPr>
      </w:pPr>
      <w:r>
        <w:fldChar w:fldCharType="begin"/>
      </w:r>
      <w:r>
        <w:instrText xml:space="preserve"> SEQ level0 \*arabic \* MERGEFORMAT </w:instrText>
      </w:r>
      <w:r>
        <w:fldChar w:fldCharType="separate"/>
      </w:r>
      <w:r w:rsidR="000862FF">
        <w:rPr>
          <w:noProof/>
        </w:rPr>
        <w:t>123</w:t>
      </w:r>
      <w:r>
        <w:fldChar w:fldCharType="end"/>
      </w:r>
      <w:r w:rsidR="00D20795" w:rsidRPr="003B3332">
        <w:t>.  Natura și gradul examinării care îndeplinesc pragul minim al eficienței anchetei depind de circumstanțele cauzei respective.  Acestea trebuie stabilite pe baza tuturor faptelor relevante, cu referire la realitățile practice ale activității de anchetare [</w:t>
      </w:r>
      <w:hyperlink r:id="rId297" w:history="1">
        <w:r w:rsidR="00D20795" w:rsidRPr="003B3332">
          <w:rPr>
            <w:rStyle w:val="Hyperlink"/>
          </w:rPr>
          <w:t>X și alții împotriva Bulgariei</w:t>
        </w:r>
      </w:hyperlink>
      <w:r w:rsidR="00D20795" w:rsidRPr="003B3332">
        <w:t xml:space="preserve"> (MC), 2021, pct. 190].</w:t>
      </w:r>
    </w:p>
    <w:p w14:paraId="593EE61B" w14:textId="24061BAF" w:rsidR="005E2B58" w:rsidRPr="003B3332" w:rsidRDefault="004713AB" w:rsidP="00D20795">
      <w:pPr>
        <w:pStyle w:val="ECHRParaSpaced"/>
        <w:rPr>
          <w:color w:val="000000"/>
        </w:rPr>
      </w:pPr>
      <w:r>
        <w:fldChar w:fldCharType="begin"/>
      </w:r>
      <w:r>
        <w:instrText xml:space="preserve"> SEQ level0 \*arabic \* MERGEFORMAT </w:instrText>
      </w:r>
      <w:r>
        <w:fldChar w:fldCharType="separate"/>
      </w:r>
      <w:r w:rsidR="000862FF">
        <w:rPr>
          <w:noProof/>
        </w:rPr>
        <w:t>124</w:t>
      </w:r>
      <w:r>
        <w:fldChar w:fldCharType="end"/>
      </w:r>
      <w:r w:rsidR="00FA7743" w:rsidRPr="003B3332">
        <w:t>.  De exemplu, în cauze în care poate copiii au fost victime ale abuzului sexual, îndeplinirea obligațiilor pozitive care rezultă din art. 3 impune, în contextul procedurilor naționale, punerea în aplicare eficientă a dreptului copiilor de a li se lua în considerare interesele superioare ca primă prioritate și abordarea adecvată a vulnerabilității speciale a copilului și a nevoilor sale aferente, pentru a-i proteja împotriva victimizării secundare (</w:t>
      </w:r>
      <w:hyperlink r:id="rId298" w:history="1">
        <w:r w:rsidR="00FA7743" w:rsidRPr="003B3332">
          <w:rPr>
            <w:rStyle w:val="Hyperlink"/>
          </w:rPr>
          <w:t>B împotriva Rusiei</w:t>
        </w:r>
      </w:hyperlink>
      <w:r w:rsidR="00FA7743" w:rsidRPr="003B3332">
        <w:t>, 2023, pct. 54). În special, obligația procedurală în temeiul art. 3 în astfel de cauze trebuie interpretată în lumina obligațiilor decurgând din celelalte instrumente internaționale aplicabile și, mai exact, din Convenția Consiliului Europei pentru protecția copiilor împotriva exploatării sexuale și a abuzurilor sexuale [„Convenția de la Lanzarote”) (</w:t>
      </w:r>
      <w:hyperlink r:id="rId299" w:history="1">
        <w:r w:rsidR="00FA7743" w:rsidRPr="003B3332">
          <w:rPr>
            <w:rStyle w:val="Hyperlink"/>
          </w:rPr>
          <w:t>X și alții împotriva Bulgariei</w:t>
        </w:r>
      </w:hyperlink>
      <w:r w:rsidR="00FA7743" w:rsidRPr="003B3332">
        <w:t xml:space="preserve"> (MC), 2021, pct. 192].</w:t>
      </w:r>
    </w:p>
    <w:p w14:paraId="17149EAE" w14:textId="7A0D8F0F" w:rsidR="00C35678" w:rsidRPr="003B3332" w:rsidRDefault="00C35678" w:rsidP="00D20795">
      <w:pPr>
        <w:pStyle w:val="ECHRParaSpaced"/>
        <w:rPr>
          <w:color w:val="000000"/>
        </w:rPr>
      </w:pPr>
      <w:r w:rsidRPr="003B3332">
        <w:rPr>
          <w:color w:val="000000"/>
        </w:rPr>
        <w:fldChar w:fldCharType="begin"/>
      </w:r>
      <w:r w:rsidRPr="003B3332">
        <w:rPr>
          <w:color w:val="000000"/>
        </w:rPr>
        <w:instrText xml:space="preserve"> SEQ level0 \*arabic \* MERGEFORMAT </w:instrText>
      </w:r>
      <w:r w:rsidRPr="003B3332">
        <w:rPr>
          <w:color w:val="000000"/>
        </w:rPr>
        <w:fldChar w:fldCharType="separate"/>
      </w:r>
      <w:r w:rsidR="000862FF">
        <w:rPr>
          <w:noProof/>
          <w:color w:val="000000"/>
        </w:rPr>
        <w:t>125</w:t>
      </w:r>
      <w:r w:rsidRPr="003B3332">
        <w:rPr>
          <w:color w:val="000000"/>
        </w:rPr>
        <w:fldChar w:fldCharType="end"/>
      </w:r>
      <w:r w:rsidRPr="003B3332">
        <w:rPr>
          <w:color w:val="000000"/>
        </w:rPr>
        <w:t>.  </w:t>
      </w:r>
      <w:r w:rsidRPr="003B3332">
        <w:t>La fel, într-o cauză în care victima incestului (viol) a primit amenințări cu moartea de la agresorul ei, Curtea a subliniat că, din moment ce autoritățile erau conștiente de vulnerabilitatea specială a victimei determinată de sexul acesteia, de originea etnică și de traumele din trecut, ar fi trebuit să reacționeze prompt și eficient la plângerile sale penale pentru a o proteja de punerea în practică a amenințării, ca și de intimidare, represalii și victimizare repetată (</w:t>
      </w:r>
      <w:hyperlink r:id="rId300" w:history="1">
        <w:r w:rsidRPr="003B3332">
          <w:rPr>
            <w:i/>
            <w:color w:val="0072BC" w:themeColor="hyperlink"/>
          </w:rPr>
          <w:t>J.I. împotriva Croației</w:t>
        </w:r>
      </w:hyperlink>
      <w:r w:rsidRPr="003B3332">
        <w:t>, 2023, pct. 97).</w:t>
      </w:r>
    </w:p>
    <w:p w14:paraId="771C9CBE" w14:textId="22B707B5" w:rsidR="00DA0F34" w:rsidRPr="003B3332" w:rsidRDefault="00361752" w:rsidP="007B5FD4">
      <w:pPr>
        <w:pStyle w:val="ECHRHeading2"/>
      </w:pPr>
      <w:bookmarkStart w:id="92" w:name="_Toc180674936"/>
      <w:r w:rsidRPr="003B3332">
        <w:t>Standardele cercetării</w:t>
      </w:r>
      <w:bookmarkEnd w:id="92"/>
    </w:p>
    <w:p w14:paraId="19808A12" w14:textId="775C8679" w:rsidR="00661E73" w:rsidRPr="003B3332" w:rsidRDefault="00DA0F34" w:rsidP="00D20795">
      <w:pPr>
        <w:pStyle w:val="ECHRHeading3"/>
      </w:pPr>
      <w:bookmarkStart w:id="93" w:name="_Toc180674937"/>
      <w:r w:rsidRPr="003B3332">
        <w:t>Observații preliminare</w:t>
      </w:r>
      <w:bookmarkEnd w:id="93"/>
    </w:p>
    <w:p w14:paraId="25C45455" w14:textId="3E8EFA5B" w:rsidR="00D479E0" w:rsidRPr="003B3332" w:rsidRDefault="004713AB" w:rsidP="00D20795">
      <w:pPr>
        <w:pStyle w:val="ECHRParaSpaced"/>
      </w:pPr>
      <w:r>
        <w:fldChar w:fldCharType="begin"/>
      </w:r>
      <w:r>
        <w:instrText xml:space="preserve"> SEQ level0 \*arabic \* MERGEFORMAT </w:instrText>
      </w:r>
      <w:r>
        <w:fldChar w:fldCharType="separate"/>
      </w:r>
      <w:r w:rsidR="000862FF">
        <w:rPr>
          <w:noProof/>
        </w:rPr>
        <w:t>126</w:t>
      </w:r>
      <w:r>
        <w:fldChar w:fldCharType="end"/>
      </w:r>
      <w:r w:rsidR="008041DA" w:rsidRPr="003B3332">
        <w:t xml:space="preserve">.  În </w:t>
      </w:r>
      <w:hyperlink r:id="rId301" w:history="1">
        <w:r w:rsidR="008041DA" w:rsidRPr="003B3332">
          <w:rPr>
            <w:rStyle w:val="Hyperlink"/>
          </w:rPr>
          <w:t>S.M. împotriva Croației</w:t>
        </w:r>
      </w:hyperlink>
      <w:r w:rsidR="008041DA" w:rsidRPr="003B3332">
        <w:rPr>
          <w:rStyle w:val="Hyperlink"/>
        </w:rPr>
        <w:t>,</w:t>
      </w:r>
      <w:r w:rsidR="008041DA" w:rsidRPr="003B3332">
        <w:t>, (MC), 2020, pct. 311-320, Curtea a sintetizat jurisprudența sa privind obligația procedurală în temeiul principiilor convergente de la art. 2, 3 și 4 din Convenție. A reținut, în special, că deși domeniul general de aplicare a obligațiilor pozitive ale statului poate fi diferit în cazurile în care tratamentul contrar Convenției a fost aplicat prin implicarea agenților statului de cel din cazurile în care violența este aplicată de persoane particulare, cerințele procedurale sunt similare (</w:t>
      </w:r>
      <w:hyperlink r:id="rId302" w:history="1">
        <w:r w:rsidR="008041DA" w:rsidRPr="003B3332">
          <w:rPr>
            <w:rStyle w:val="Hyperlink"/>
          </w:rPr>
          <w:t>Sabalić împotriva Croației</w:t>
        </w:r>
      </w:hyperlink>
      <w:r w:rsidR="008041DA" w:rsidRPr="003B3332">
        <w:t>, 2021, pct. 96).</w:t>
      </w:r>
    </w:p>
    <w:p w14:paraId="56C5C15E" w14:textId="2F2D7E3E" w:rsidR="00DA0F34" w:rsidRPr="003B3332" w:rsidRDefault="004713AB" w:rsidP="00D20795">
      <w:pPr>
        <w:pStyle w:val="ECHRParaSpaced"/>
      </w:pPr>
      <w:r>
        <w:fldChar w:fldCharType="begin"/>
      </w:r>
      <w:r>
        <w:instrText xml:space="preserve"> SEQ level0 \*arabic \* MERGEFORMAT </w:instrText>
      </w:r>
      <w:r>
        <w:fldChar w:fldCharType="separate"/>
      </w:r>
      <w:r w:rsidR="000862FF">
        <w:rPr>
          <w:noProof/>
        </w:rPr>
        <w:t>127</w:t>
      </w:r>
      <w:r>
        <w:fldChar w:fldCharType="end"/>
      </w:r>
      <w:r w:rsidR="00EE28F6" w:rsidRPr="003B3332">
        <w:t>.  În special, autoritățile au obligația de a acționa de îndată ce a fost formulată o plângere oficială. Cu toate acestea, chiar în absența unei plângeri exprese, trebuie întreprinsă o anchetă dacă există alte indicii suficient de clare că au putut exista tortură sau maltratare. Odată ce problema le-a fost adusă la cunoștință, autoritățile trebuie să acționeze din oficiu (</w:t>
      </w:r>
      <w:hyperlink r:id="rId303" w:history="1">
        <w:r w:rsidR="00EE28F6" w:rsidRPr="003B3332">
          <w:rPr>
            <w:rStyle w:val="Hyperlink"/>
          </w:rPr>
          <w:t>Membrii Congregației din Gldani a Martorilor lui Iehova și alții împotriva Georgiei</w:t>
        </w:r>
      </w:hyperlink>
      <w:r w:rsidR="00EE28F6" w:rsidRPr="003B3332">
        <w:t>, 2007, pct. 97).</w:t>
      </w:r>
    </w:p>
    <w:p w14:paraId="1AB9D692" w14:textId="7BA25F0B" w:rsidR="00661E73" w:rsidRPr="003B3332" w:rsidRDefault="004713AB" w:rsidP="00D20795">
      <w:pPr>
        <w:pStyle w:val="ECHRParaSpaced"/>
      </w:pPr>
      <w:r>
        <w:fldChar w:fldCharType="begin"/>
      </w:r>
      <w:r>
        <w:instrText xml:space="preserve"> SEQ level0 \*arabic \* MERGEFORMAT </w:instrText>
      </w:r>
      <w:r>
        <w:fldChar w:fldCharType="separate"/>
      </w:r>
      <w:r w:rsidR="000862FF">
        <w:rPr>
          <w:noProof/>
        </w:rPr>
        <w:t>128</w:t>
      </w:r>
      <w:r>
        <w:fldChar w:fldCharType="end"/>
      </w:r>
      <w:r w:rsidR="00FA7743" w:rsidRPr="003B3332">
        <w:t>.  Obligația procedurală în temeiul art. 3 continuă să se aplice în condiții dificile de securitate, inclusiv în contextul unui conflict armat. Chiar și atunci când evenimentele care duc la obligația de a investiga au loc într-un context de violență generalizată, iar anchetatorii întâmpină obstacole și constrângeri care obligă la utilizarea unor măsuri mai puțin eficiente de anchetă sau cauzează întârzierea cercetării, rămâne faptul că art. 3 impune ca toți pașii rezonabili să fie făcuți pentru a oferi garanția că se desfășoară o anchetă efectivă și independentă [</w:t>
      </w:r>
      <w:hyperlink r:id="rId304" w:history="1">
        <w:r w:rsidR="00FA7743" w:rsidRPr="003B3332">
          <w:rPr>
            <w:rStyle w:val="Hyperlink"/>
          </w:rPr>
          <w:t>Mocanu și alții împotriva României</w:t>
        </w:r>
      </w:hyperlink>
      <w:r w:rsidR="00FA7743" w:rsidRPr="003B3332">
        <w:t xml:space="preserve"> (MC), 2014, pct. 319].</w:t>
      </w:r>
    </w:p>
    <w:p w14:paraId="74FC1C2D" w14:textId="493F5BDC" w:rsidR="00661E73" w:rsidRPr="003B3332" w:rsidRDefault="004713AB" w:rsidP="00CD65F8">
      <w:pPr>
        <w:pStyle w:val="ECHRParaSpaced"/>
      </w:pPr>
      <w:r>
        <w:fldChar w:fldCharType="begin"/>
      </w:r>
      <w:r>
        <w:instrText xml:space="preserve"> SEQ level0 \*arabic \* MERGEFORMAT </w:instrText>
      </w:r>
      <w:r>
        <w:fldChar w:fldCharType="separate"/>
      </w:r>
      <w:r w:rsidR="000862FF">
        <w:rPr>
          <w:noProof/>
        </w:rPr>
        <w:t>129</w:t>
      </w:r>
      <w:r>
        <w:fldChar w:fldCharType="end"/>
      </w:r>
      <w:r w:rsidR="00FA7743" w:rsidRPr="003B3332">
        <w:t>.  În sfârșit, parametrii pentru evaluarea respectării cerințelor procedurale de la art. 3, care converg cu cele în temeiul art. 2, se evaluează pe baza câtorva parametri esențiali: caracterul adecvat al măsurilor de anchetă, promptitudinea anchetei, implicarea victimei în anchetă și independența anchetei.  Aceste element sunt strâns legate între ele și fiecare, considerat separat, nu este un scop în sine. Sunt criterii care, considerate împreună, permit să se evalueze gradul de eficacitate al măsurilor de anchetă [</w:t>
      </w:r>
      <w:hyperlink r:id="rId305" w:history="1">
        <w:r w:rsidR="00FA7743" w:rsidRPr="003B3332">
          <w:rPr>
            <w:rStyle w:val="Hyperlink"/>
          </w:rPr>
          <w:t>R.R. și R.D. împotriva Slovaciei</w:t>
        </w:r>
      </w:hyperlink>
      <w:r w:rsidR="00FA7743" w:rsidRPr="003B3332">
        <w:t xml:space="preserve">, 2020, pct. 178, a se vedea și </w:t>
      </w:r>
      <w:hyperlink r:id="rId306" w:history="1">
        <w:r w:rsidR="00FA7743" w:rsidRPr="003B3332">
          <w:rPr>
            <w:rStyle w:val="Hyperlink"/>
          </w:rPr>
          <w:t>Mustafa Tunç și Fecire Tunç împotriva Turciei</w:t>
        </w:r>
      </w:hyperlink>
      <w:r w:rsidR="00FA7743" w:rsidRPr="003B3332">
        <w:t xml:space="preserve"> (MC), 2015, pct. 225 în ceea ce privește art. 2].</w:t>
      </w:r>
    </w:p>
    <w:p w14:paraId="3322108F" w14:textId="67EC318E" w:rsidR="00361752" w:rsidRPr="003B3332" w:rsidRDefault="00361752" w:rsidP="00A57793">
      <w:pPr>
        <w:pStyle w:val="ECHRHeading3"/>
      </w:pPr>
      <w:bookmarkStart w:id="94" w:name="_Toc180674938"/>
      <w:r w:rsidRPr="003B3332">
        <w:t>Independența</w:t>
      </w:r>
      <w:bookmarkEnd w:id="94"/>
    </w:p>
    <w:p w14:paraId="35B28135" w14:textId="24BC149C" w:rsidR="003F2E03" w:rsidRPr="003B3332" w:rsidRDefault="004713AB" w:rsidP="00CD65F8">
      <w:pPr>
        <w:pStyle w:val="ECHRParaSpaced"/>
      </w:pPr>
      <w:r>
        <w:fldChar w:fldCharType="begin"/>
      </w:r>
      <w:r>
        <w:instrText xml:space="preserve"> SEQ level0 \*arabic \* MERGEFORMAT </w:instrText>
      </w:r>
      <w:r>
        <w:fldChar w:fldCharType="separate"/>
      </w:r>
      <w:r w:rsidR="000862FF">
        <w:rPr>
          <w:noProof/>
        </w:rPr>
        <w:t>130</w:t>
      </w:r>
      <w:r>
        <w:fldChar w:fldCharType="end"/>
      </w:r>
      <w:r w:rsidR="003F2E03" w:rsidRPr="003B3332">
        <w:t>.  Pentru ca o anchetă să fie eficientă, instituțiile și persoanele responsabile pentru desfășurarea acesteia trebuie să fie independente de cele vizate de anchetă.  Este vorba nu numai de absența unei legături ierarhice sau instituționale, ci și de o independență practică [</w:t>
      </w:r>
      <w:hyperlink r:id="rId307" w:history="1">
        <w:r w:rsidR="003F2E03" w:rsidRPr="003B3332">
          <w:rPr>
            <w:rStyle w:val="Hyperlink"/>
          </w:rPr>
          <w:t>Bouyid împotriva Belgiei</w:t>
        </w:r>
      </w:hyperlink>
      <w:r w:rsidR="003F2E03" w:rsidRPr="003B3332">
        <w:t xml:space="preserve"> (MC), 2015, pct. 118].</w:t>
      </w:r>
    </w:p>
    <w:p w14:paraId="328A7CF9" w14:textId="15A67326" w:rsidR="0077749E" w:rsidRPr="003B3332" w:rsidRDefault="004713AB" w:rsidP="00CD65F8">
      <w:pPr>
        <w:pStyle w:val="ECHRParaSpaced"/>
      </w:pPr>
      <w:r>
        <w:fldChar w:fldCharType="begin"/>
      </w:r>
      <w:r>
        <w:instrText xml:space="preserve"> SEQ level0 \*arabic \* MERGEFORMAT </w:instrText>
      </w:r>
      <w:r>
        <w:fldChar w:fldCharType="separate"/>
      </w:r>
      <w:r w:rsidR="000862FF">
        <w:rPr>
          <w:noProof/>
        </w:rPr>
        <w:t>131</w:t>
      </w:r>
      <w:r>
        <w:fldChar w:fldCharType="end"/>
      </w:r>
      <w:r w:rsidR="00FA7743" w:rsidRPr="003B3332">
        <w:t>.  În această privință, cerințele aplicabile necesită o examinare concretă a independenței întregii anchete, mai degrabă decât o apreciere abstractă. În plus, prin respectivele cerințe nu se impune ca persoanele și organele responsabile cu ancheta să beneficieze de o independență absolută, ci mai degrabă să fie suficient de independente de persoanele și structurile a căror responsabilitate ar putea fi angajată. Caracterul adecvat al gradului de independență trebuie evaluat, prin urmare, în lumina tuturor circumstanțelor, care sunt, în mod necesar, specifice fiecărei cauze (</w:t>
      </w:r>
      <w:hyperlink r:id="rId308" w:history="1">
        <w:r w:rsidR="00FA7743" w:rsidRPr="003B3332">
          <w:rPr>
            <w:rStyle w:val="Hyperlink"/>
          </w:rPr>
          <w:t>M.B. și alții împotriva Slovaciei</w:t>
        </w:r>
      </w:hyperlink>
      <w:r w:rsidR="00FA7743" w:rsidRPr="003B3332">
        <w:rPr>
          <w:color w:val="000000"/>
        </w:rPr>
        <w:t>, 2021, pct. 91</w:t>
      </w:r>
      <w:r w:rsidR="00FA7743" w:rsidRPr="003B3332">
        <w:t>)</w:t>
      </w:r>
      <w:r w:rsidR="00FA7743" w:rsidRPr="003B3332">
        <w:rPr>
          <w:color w:val="000000"/>
        </w:rPr>
        <w:t>.</w:t>
      </w:r>
    </w:p>
    <w:p w14:paraId="2B219046" w14:textId="45738A80" w:rsidR="00677D44" w:rsidRPr="003B3332" w:rsidRDefault="000E0B15" w:rsidP="00CD65F8">
      <w:pPr>
        <w:pStyle w:val="ECHRParaSpaced"/>
        <w:rPr>
          <w:rFonts w:cstheme="minorHAnsi"/>
          <w:color w:val="000000"/>
        </w:rPr>
      </w:pPr>
      <w:r w:rsidRPr="003B3332">
        <w:rPr>
          <w:rFonts w:cstheme="minorHAnsi"/>
          <w:color w:val="000000"/>
        </w:rPr>
        <w:fldChar w:fldCharType="begin"/>
      </w:r>
      <w:r w:rsidRPr="003B3332">
        <w:rPr>
          <w:rFonts w:cstheme="minorHAnsi"/>
          <w:color w:val="000000"/>
        </w:rPr>
        <w:instrText xml:space="preserve"> SEQ level0 \*arabic \* MERGEFORMAT </w:instrText>
      </w:r>
      <w:r w:rsidRPr="003B3332">
        <w:rPr>
          <w:rFonts w:cstheme="minorHAnsi"/>
          <w:color w:val="000000"/>
        </w:rPr>
        <w:fldChar w:fldCharType="separate"/>
      </w:r>
      <w:r w:rsidR="000862FF">
        <w:rPr>
          <w:rFonts w:cstheme="minorHAnsi"/>
          <w:noProof/>
          <w:color w:val="000000"/>
        </w:rPr>
        <w:t>132</w:t>
      </w:r>
      <w:r w:rsidRPr="003B3332">
        <w:rPr>
          <w:rFonts w:cstheme="minorHAnsi"/>
          <w:color w:val="000000"/>
        </w:rPr>
        <w:fldChar w:fldCharType="end"/>
      </w:r>
      <w:r w:rsidRPr="003B3332">
        <w:rPr>
          <w:color w:val="000000"/>
        </w:rPr>
        <w:t>.  Curtea a constatat că ancheta în litigiu era lipsită de independență atunci când:</w:t>
      </w:r>
    </w:p>
    <w:p w14:paraId="20D1D476" w14:textId="5037DFB1" w:rsidR="00F640C8" w:rsidRPr="003B3332" w:rsidRDefault="000E0B15" w:rsidP="00CD65F8">
      <w:pPr>
        <w:pStyle w:val="ECHRBullet1"/>
      </w:pPr>
      <w:r w:rsidRPr="003B3332">
        <w:t>investigatorii erau procurori militari care, la fel ca acuzații (doi dintre care erau generali), erau ofițeri într-o relație de subordonare în ierarhia militară [</w:t>
      </w:r>
      <w:hyperlink r:id="rId309" w:history="1">
        <w:r w:rsidRPr="003B3332">
          <w:rPr>
            <w:rStyle w:val="Hyperlink"/>
          </w:rPr>
          <w:t>Mocanu și alții împotriva României</w:t>
        </w:r>
      </w:hyperlink>
      <w:r w:rsidRPr="003B3332">
        <w:t xml:space="preserve"> (MC), 2014, pct. 333];</w:t>
      </w:r>
    </w:p>
    <w:p w14:paraId="7B4EA152" w14:textId="0A8D79FF" w:rsidR="006A78F9" w:rsidRPr="003B3332" w:rsidRDefault="00D538A9" w:rsidP="00CD65F8">
      <w:pPr>
        <w:pStyle w:val="ECHRBullet1"/>
      </w:pPr>
      <w:r w:rsidRPr="003B3332">
        <w:t>procurorul care a condus ancheta formulase, totodată, în mod oficial acuzațiile împotriva reclamantului și ceruse arestarea preventivă a reclamantului (</w:t>
      </w:r>
      <w:hyperlink r:id="rId310" w:history="1">
        <w:r w:rsidRPr="003B3332">
          <w:rPr>
            <w:rStyle w:val="Hyperlink"/>
          </w:rPr>
          <w:t>Boicenco împotriva Moldovei</w:t>
        </w:r>
      </w:hyperlink>
      <w:r w:rsidRPr="003B3332">
        <w:t>, 2006, pct. 124);</w:t>
      </w:r>
    </w:p>
    <w:p w14:paraId="167A20A2" w14:textId="54FBD94C" w:rsidR="00D538A9" w:rsidRPr="003B3332" w:rsidRDefault="00D538A9" w:rsidP="00CD65F8">
      <w:pPr>
        <w:pStyle w:val="ECHRBullet1"/>
      </w:pPr>
      <w:r w:rsidRPr="003B3332">
        <w:t>autoritatea de anchetă a delegat partea majoră și esențială a anchetei – identificarea autorilor presupuselor rele tratamente – către aceeași autoritate ai cărei agenți ar fi săvârșit infracțiunea și apoi s-a bazat pe constatarea acesteia că nu se puteau identifica agenții de poliție în litigiu, fără a întreprinde în continuare nicio acțiune (</w:t>
      </w:r>
      <w:hyperlink r:id="rId311" w:history="1">
        <w:r w:rsidRPr="003B3332">
          <w:rPr>
            <w:rStyle w:val="Hyperlink"/>
          </w:rPr>
          <w:t>Najafli împotriva Azerbaidjanului</w:t>
        </w:r>
      </w:hyperlink>
      <w:r w:rsidRPr="003B3332">
        <w:t xml:space="preserve">, 2012, pct. 52-54; a se vedea și </w:t>
      </w:r>
      <w:hyperlink r:id="rId312" w:history="1">
        <w:r w:rsidRPr="003B3332">
          <w:rPr>
            <w:rStyle w:val="Hyperlink"/>
          </w:rPr>
          <w:t>Bursuc împotriva României</w:t>
        </w:r>
      </w:hyperlink>
      <w:r w:rsidRPr="003B3332">
        <w:t xml:space="preserve">, 2004, pct. 104, în care probele au fost obținute și martorii au fost audiați de agenți de poliție care aparțineau de aceeași forță armată și în același oraș ca și agenții care erau cercetați; și, într-un context asemănător, </w:t>
      </w:r>
      <w:hyperlink r:id="rId313" w:history="1">
        <w:r w:rsidRPr="003B3332">
          <w:rPr>
            <w:rStyle w:val="Hyperlink"/>
          </w:rPr>
          <w:t>Lapunov împotriva Rusiei</w:t>
        </w:r>
      </w:hyperlink>
      <w:r w:rsidRPr="003B3332">
        <w:t>, 2023, pct. 116);</w:t>
      </w:r>
    </w:p>
    <w:p w14:paraId="5C5DB80C" w14:textId="5CCC125F" w:rsidR="00D538A9" w:rsidRPr="003B3332" w:rsidRDefault="00127D6B" w:rsidP="00CD65F8">
      <w:pPr>
        <w:pStyle w:val="ECHRBullet1"/>
      </w:pPr>
      <w:r w:rsidRPr="003B3332">
        <w:t>purtătorul de cuvânt al Ministerului Afacerilor Interne, care era angajatorul anchetatorului însărcinat cu cercetarea penală, a declarat mijloacelor de informare în masă, după trei zile de la începerea urmăririi penale și fără a aștepta concluziile acesteia, că reclamantul nu a fost supus la rele tratamente din partea poliției și că susținerile sale nu erau adevărate (</w:t>
      </w:r>
      <w:hyperlink r:id="rId314" w:history="1">
        <w:r w:rsidRPr="003B3332">
          <w:rPr>
            <w:rStyle w:val="Hyperlink"/>
          </w:rPr>
          <w:t>Emin Huseynov împotriva Azerbaidjanului</w:t>
        </w:r>
      </w:hyperlink>
      <w:r w:rsidRPr="003B3332">
        <w:t>, 2015, pct. 74);</w:t>
      </w:r>
    </w:p>
    <w:p w14:paraId="7CD862BD" w14:textId="1BE9B795" w:rsidR="00677D44" w:rsidRPr="003B3332" w:rsidRDefault="000E0B15" w:rsidP="00CD65F8">
      <w:pPr>
        <w:pStyle w:val="ECHRBullet1"/>
      </w:pPr>
      <w:r w:rsidRPr="003B3332">
        <w:t>comportamentul anchetatorilor nu avea transparența și aspectul de independență necesare, dat fiind că nu luase nicio măsură independentă, precum audierea celui de al doilea reclamant, a agenților implicați și a martorilor oculari sau dispunerea examinării medico-legale a leziunilor celui de al doilea reclamant (</w:t>
      </w:r>
      <w:hyperlink r:id="rId315" w:history="1">
        <w:r w:rsidRPr="003B3332">
          <w:rPr>
            <w:rStyle w:val="Hyperlink"/>
          </w:rPr>
          <w:t>Đurđević împotriva Croației</w:t>
        </w:r>
      </w:hyperlink>
      <w:r w:rsidRPr="003B3332">
        <w:t>, 2011, pct. 89-90);</w:t>
      </w:r>
    </w:p>
    <w:p w14:paraId="0A9B9F8D" w14:textId="2A101FA5" w:rsidR="00CD0EA6" w:rsidRPr="003B3332" w:rsidRDefault="000E0B15" w:rsidP="00CD65F8">
      <w:pPr>
        <w:pStyle w:val="ECHRBullet1"/>
      </w:pPr>
      <w:r w:rsidRPr="003B3332">
        <w:t>anchetatorii au stabilit circumstanțele cauzei penale bazându-se exclusiv și nejustificat pe versiunea cu privire la evenimente prezentată de agenții de poliție, inclusiv pretinșii făptuitori și colegii lor, cu toții fiind într-un fel implicați în evenimentele în cauză, fără măcar să-l audieze pe reclamant sau pe vreun martor (</w:t>
      </w:r>
      <w:hyperlink r:id="rId316" w:history="1">
        <w:r w:rsidRPr="003B3332">
          <w:rPr>
            <w:rStyle w:val="Hyperlink"/>
          </w:rPr>
          <w:t>Virabyan împotriva Armeniei</w:t>
        </w:r>
      </w:hyperlink>
      <w:r w:rsidRPr="003B3332">
        <w:t xml:space="preserve">, 2012, pct. 165-167; a se vedea și </w:t>
      </w:r>
      <w:hyperlink r:id="rId317" w:history="1">
        <w:r w:rsidRPr="003B3332">
          <w:rPr>
            <w:rStyle w:val="Hyperlink"/>
          </w:rPr>
          <w:t>Suleymanov împotriva Rusiei</w:t>
        </w:r>
      </w:hyperlink>
      <w:r w:rsidRPr="003B3332">
        <w:t>, 2013, pct. 144);</w:t>
      </w:r>
    </w:p>
    <w:p w14:paraId="05901423" w14:textId="479ACC4A" w:rsidR="003A7685" w:rsidRPr="003B3332" w:rsidRDefault="003A7685" w:rsidP="00CD65F8">
      <w:pPr>
        <w:pStyle w:val="ECHRBullet1"/>
      </w:pPr>
      <w:r w:rsidRPr="003B3332">
        <w:t>când parchetul a solicitat asistență poliției care se subordona aceleiași ierarhii ca și polițiștii cercetați penal (</w:t>
      </w:r>
      <w:hyperlink r:id="rId318" w:history="1">
        <w:r w:rsidRPr="003B3332">
          <w:rPr>
            <w:rStyle w:val="Hyperlink"/>
          </w:rPr>
          <w:t>Baranin și Vukčević împotriva Muntenegrului</w:t>
        </w:r>
      </w:hyperlink>
      <w:r w:rsidRPr="003B3332">
        <w:rPr>
          <w:rStyle w:val="Hyperlink"/>
          <w:i w:val="0"/>
          <w:color w:val="auto"/>
        </w:rPr>
        <w:t>,</w:t>
      </w:r>
      <w:r w:rsidRPr="003B3332">
        <w:t>, 2021, pct. 144).</w:t>
      </w:r>
    </w:p>
    <w:p w14:paraId="266081B3" w14:textId="2A341559" w:rsidR="00221F1C" w:rsidRPr="003B3332" w:rsidRDefault="004713AB" w:rsidP="00CD65F8">
      <w:pPr>
        <w:pStyle w:val="ECHRParaSpaced"/>
      </w:pPr>
      <w:r>
        <w:fldChar w:fldCharType="begin"/>
      </w:r>
      <w:r>
        <w:instrText xml:space="preserve"> SEQ level0 \*arabic \* MERGEFORMAT </w:instrText>
      </w:r>
      <w:r>
        <w:fldChar w:fldCharType="separate"/>
      </w:r>
      <w:r w:rsidR="000862FF">
        <w:rPr>
          <w:noProof/>
        </w:rPr>
        <w:t>133</w:t>
      </w:r>
      <w:r>
        <w:fldChar w:fldCharType="end"/>
      </w:r>
      <w:r w:rsidR="00FA7743" w:rsidRPr="003B3332">
        <w:t>.  Dimpotrivă, Curtea nu a constatat o problemă cu privire la independența anchetei în următoarele circumstanțe:</w:t>
      </w:r>
    </w:p>
    <w:p w14:paraId="33A70FD9" w14:textId="09731543" w:rsidR="00221F1C" w:rsidRPr="003B3332" w:rsidRDefault="00B87FC3" w:rsidP="00CD65F8">
      <w:pPr>
        <w:pStyle w:val="ECHRBullet1"/>
      </w:pPr>
      <w:r w:rsidRPr="003B3332">
        <w:t>autoritatea administrativă contestată sau angajații săi nu  erau implicați în cauză și nu existau probe care să demonstreze lipsa lor de independență [</w:t>
      </w:r>
      <w:hyperlink r:id="rId319" w:history="1">
        <w:r w:rsidRPr="003B3332">
          <w:rPr>
            <w:rStyle w:val="Hyperlink"/>
          </w:rPr>
          <w:t>X și alții împotriva Bulgariei</w:t>
        </w:r>
      </w:hyperlink>
      <w:r w:rsidRPr="003B3332">
        <w:t xml:space="preserve"> (MC), 2021, pct. 207];</w:t>
      </w:r>
    </w:p>
    <w:p w14:paraId="11463365" w14:textId="1F036C28" w:rsidR="00CD0EA6" w:rsidRPr="003B3332" w:rsidRDefault="00703B4A" w:rsidP="00CD65F8">
      <w:pPr>
        <w:pStyle w:val="ECHRBullet1"/>
      </w:pPr>
      <w:r w:rsidRPr="003B3332">
        <w:t>ancheta a fost efectuată mai ales nu de către autoritățile judiciare în contextul procedurilor penale, ci și de către o autoritate administrativă care prezenta toate garanțiile de independență (</w:t>
      </w:r>
      <w:hyperlink r:id="rId320" w:history="1">
        <w:r w:rsidRPr="003B3332">
          <w:rPr>
            <w:rStyle w:val="Hyperlink"/>
          </w:rPr>
          <w:t>P.M. și F.F. împotriva Franței</w:t>
        </w:r>
      </w:hyperlink>
      <w:r w:rsidRPr="003B3332">
        <w:t>, 2021, pct. 71);</w:t>
      </w:r>
    </w:p>
    <w:p w14:paraId="286C4348" w14:textId="6158F293" w:rsidR="00944116" w:rsidRPr="003B3332" w:rsidRDefault="00160234" w:rsidP="00CD65F8">
      <w:pPr>
        <w:pStyle w:val="ECHRBullet1"/>
      </w:pPr>
      <w:r w:rsidRPr="003B3332">
        <w:t>ancheta a fost efectuată de către Parchetul de stat, care era independent atât din punct de vedere ierarhic, cât și instituțional de cei vizați de anchetă, iar acesta a desfășurat toate măsurile de anchetă el însuși și nu s-a bazat pe nicio constatare a celor care ar fi putut fi lipsiți de independența ierarhică sau instituțională [</w:t>
      </w:r>
      <w:hyperlink r:id="rId321" w:history="1">
        <w:r w:rsidRPr="003B3332">
          <w:rPr>
            <w:rStyle w:val="Hyperlink"/>
          </w:rPr>
          <w:t>V.D. împotriva Croației (nr. 2)</w:t>
        </w:r>
      </w:hyperlink>
      <w:r w:rsidRPr="003B3332">
        <w:t>, 2018, pct. 69].</w:t>
      </w:r>
    </w:p>
    <w:p w14:paraId="659340A5" w14:textId="14E7F9A3" w:rsidR="00D709CD" w:rsidRPr="003B3332" w:rsidRDefault="009B25F0" w:rsidP="00A57793">
      <w:pPr>
        <w:pStyle w:val="ECHRHeading3"/>
      </w:pPr>
      <w:bookmarkStart w:id="95" w:name="_Toc180674939"/>
      <w:r w:rsidRPr="003B3332">
        <w:t>Caracterul adecvat</w:t>
      </w:r>
      <w:bookmarkEnd w:id="95"/>
    </w:p>
    <w:p w14:paraId="431BAA58" w14:textId="13D8C545" w:rsidR="00083227" w:rsidRPr="003B3332" w:rsidRDefault="004713AB" w:rsidP="00A57793">
      <w:pPr>
        <w:pStyle w:val="ECHRParaSpaced"/>
      </w:pPr>
      <w:r>
        <w:fldChar w:fldCharType="begin"/>
      </w:r>
      <w:r>
        <w:instrText xml:space="preserve"> SEQ level0 \*arabic \* MERGEFORMAT </w:instrText>
      </w:r>
      <w:r>
        <w:fldChar w:fldCharType="separate"/>
      </w:r>
      <w:r w:rsidR="000862FF">
        <w:rPr>
          <w:noProof/>
        </w:rPr>
        <w:t>134</w:t>
      </w:r>
      <w:r>
        <w:fldChar w:fldCharType="end"/>
      </w:r>
      <w:r w:rsidR="00A57793" w:rsidRPr="003B3332">
        <w:t>.  Pentru a fi „efectivă”, ancheta trebuie să fie adecvată. Aceasta înseamnă că trebuie să ducă la stabilirea faptelor, la stabilirea chestiunii dacă forța folosită a fost sau nu justificată în circumstanțele respective și la identificarea și – după caz – pedepsirea celor vinovați [</w:t>
      </w:r>
      <w:hyperlink r:id="rId322" w:history="1">
        <w:r w:rsidR="00A57793" w:rsidRPr="003B3332">
          <w:rPr>
            <w:rStyle w:val="Hyperlink"/>
          </w:rPr>
          <w:t>Labita împotriva Italiei</w:t>
        </w:r>
      </w:hyperlink>
      <w:r w:rsidR="00A57793" w:rsidRPr="003B3332">
        <w:t xml:space="preserve"> (MC), 2000, pct. 131 și </w:t>
      </w:r>
      <w:hyperlink r:id="rId323" w:history="1">
        <w:r w:rsidR="00A57793" w:rsidRPr="003B3332">
          <w:rPr>
            <w:rStyle w:val="Hyperlink"/>
          </w:rPr>
          <w:t>Jeronovičs împotriva Letoniei</w:t>
        </w:r>
      </w:hyperlink>
      <w:r w:rsidR="00A57793" w:rsidRPr="003B3332">
        <w:t xml:space="preserve"> (MC), 2016, pct. 103]. Altminteri, interzicerea legală generală a torturii și a tratamentelor și pedepselor inumane sau degradante ar fi lipsită de efect în practică, în pofida importanței ei fundamentale, și ar fi posibil ca în unele cazuri reprezentanții statului să încalce drepturile celor aflați sub controlul lor cu o impunitate de facto (</w:t>
      </w:r>
      <w:hyperlink r:id="rId324" w:history="1">
        <w:r w:rsidR="00A57793" w:rsidRPr="003B3332">
          <w:rPr>
            <w:rStyle w:val="Hyperlink"/>
          </w:rPr>
          <w:t>Cestaro împotriva Italiei</w:t>
        </w:r>
      </w:hyperlink>
      <w:r w:rsidR="00A57793" w:rsidRPr="003B3332">
        <w:t>, 2015, pct. 204).</w:t>
      </w:r>
    </w:p>
    <w:p w14:paraId="55EC9CFE" w14:textId="7D004740" w:rsidR="00604F2D" w:rsidRPr="003B3332" w:rsidRDefault="004713AB" w:rsidP="00A57793">
      <w:pPr>
        <w:pStyle w:val="ECHRParaSpaced"/>
      </w:pPr>
      <w:r>
        <w:fldChar w:fldCharType="begin"/>
      </w:r>
      <w:r>
        <w:instrText xml:space="preserve"> SEQ level0 \*arabic \* MERGEFORMAT </w:instrText>
      </w:r>
      <w:r>
        <w:fldChar w:fldCharType="separate"/>
      </w:r>
      <w:r w:rsidR="000862FF">
        <w:rPr>
          <w:noProof/>
        </w:rPr>
        <w:t>135</w:t>
      </w:r>
      <w:r>
        <w:fldChar w:fldCharType="end"/>
      </w:r>
      <w:r w:rsidR="0040305F" w:rsidRPr="003B3332">
        <w:t xml:space="preserve">.  Ancheta trebuie să fie amănunțită, ceea ce înseamnă că autoritățile trebuie să facă mereu o încercare serioasă de a afla ce s-a întâmplat și nu ar trebui să se bazeze pe concluzii pripite sau neîntemeiate pentru finalizarea anchetei sau pentru a le folosi ca temei pentru deciziile lor.  Acestea trebuie să ia toate măsurile rezonabile de care dispun pentru a obține probele referitoare la incident, inclusiv, </w:t>
      </w:r>
      <w:r w:rsidR="0040305F" w:rsidRPr="003B3332">
        <w:rPr>
          <w:i/>
          <w:iCs/>
        </w:rPr>
        <w:t>inter alia</w:t>
      </w:r>
      <w:r w:rsidR="0040305F" w:rsidRPr="003B3332">
        <w:t>, declarații ale martorilor oculari și probe medico-legale.  Orice nereguli ale anchetei care afectează posibilitatea de a stabili cauza vătămării sau identitatea persoanelor responsabile riscă să contravină acestei norme [</w:t>
      </w:r>
      <w:hyperlink r:id="rId325" w:history="1">
        <w:r w:rsidR="0040305F" w:rsidRPr="003B3332">
          <w:rPr>
            <w:rStyle w:val="Hyperlink"/>
          </w:rPr>
          <w:t>El-Masri împotriva Fostei Republici Iugoslave a Macedoniei</w:t>
        </w:r>
      </w:hyperlink>
      <w:r w:rsidR="0040305F" w:rsidRPr="003B3332">
        <w:t xml:space="preserve"> (MC), 2012, pct. 183].</w:t>
      </w:r>
    </w:p>
    <w:p w14:paraId="7C711080" w14:textId="26968C2F" w:rsidR="00677D44" w:rsidRPr="003B3332" w:rsidRDefault="00525CF6" w:rsidP="00A57793">
      <w:pPr>
        <w:pStyle w:val="ECHRParaSpaced"/>
        <w:rPr>
          <w:rFonts w:cstheme="minorHAnsi"/>
          <w:color w:val="000000"/>
        </w:rPr>
      </w:pPr>
      <w:r w:rsidRPr="003B3332">
        <w:rPr>
          <w:rFonts w:cstheme="minorHAnsi"/>
          <w:color w:val="000000"/>
        </w:rPr>
        <w:fldChar w:fldCharType="begin"/>
      </w:r>
      <w:r w:rsidRPr="003B3332">
        <w:rPr>
          <w:rFonts w:cstheme="minorHAnsi"/>
          <w:color w:val="000000"/>
        </w:rPr>
        <w:instrText xml:space="preserve"> SEQ level0 \*arabic \* MERGEFORMAT </w:instrText>
      </w:r>
      <w:r w:rsidRPr="003B3332">
        <w:rPr>
          <w:rFonts w:cstheme="minorHAnsi"/>
          <w:color w:val="000000"/>
        </w:rPr>
        <w:fldChar w:fldCharType="separate"/>
      </w:r>
      <w:r w:rsidR="000862FF">
        <w:rPr>
          <w:rFonts w:cstheme="minorHAnsi"/>
          <w:noProof/>
          <w:color w:val="000000"/>
        </w:rPr>
        <w:t>136</w:t>
      </w:r>
      <w:r w:rsidRPr="003B3332">
        <w:rPr>
          <w:rFonts w:cstheme="minorHAnsi"/>
          <w:color w:val="000000"/>
        </w:rPr>
        <w:fldChar w:fldCharType="end"/>
      </w:r>
      <w:r w:rsidRPr="003B3332">
        <w:rPr>
          <w:color w:val="000000"/>
        </w:rPr>
        <w:t>.  Curtea a constatat că ancheta în litigiu nu era adecvată atunci când:</w:t>
      </w:r>
    </w:p>
    <w:p w14:paraId="796101E2" w14:textId="371A5D2C" w:rsidR="002A0775" w:rsidRPr="003B3332" w:rsidRDefault="00564F50" w:rsidP="00A57793">
      <w:pPr>
        <w:pStyle w:val="ECHRBullet1"/>
      </w:pPr>
      <w:r w:rsidRPr="003B3332">
        <w:t>autoritățile de anchetă s-au bazat în mare parte pe declarațiile presupușilor autori și ale altor agenți de poliție, precum și pe însemnări interne ale poliției atunci când au respins plângerile reclamantului de rele tratamente suferite din partea poliției (</w:t>
      </w:r>
      <w:hyperlink r:id="rId326" w:history="1">
        <w:r w:rsidRPr="003B3332">
          <w:rPr>
            <w:rStyle w:val="Hyperlink"/>
          </w:rPr>
          <w:t>M.F. împotriva Ungariei</w:t>
        </w:r>
      </w:hyperlink>
      <w:r w:rsidRPr="003B3332">
        <w:t xml:space="preserve"> (2017, pct. 55; a se vedea și </w:t>
      </w:r>
      <w:hyperlink r:id="rId327" w:history="1">
        <w:r w:rsidRPr="003B3332">
          <w:rPr>
            <w:rStyle w:val="Hyperlink"/>
          </w:rPr>
          <w:t>Archip împotriva României</w:t>
        </w:r>
      </w:hyperlink>
      <w:r w:rsidRPr="003B3332">
        <w:t>, 2011, pct. 66-71, în care organele judiciare au concluzionat fără să ofere detalii despre circumstanțele reale și fără să facă o evaluare atentă a faptelor și circumstanțelor incidentului, iar autoritățile de anchetă au adoptat o abordare selectivă și oarecum inconsecventă față de evaluarea probelor (pct. 66-71);</w:t>
      </w:r>
    </w:p>
    <w:p w14:paraId="54126B42" w14:textId="0F1E67AA" w:rsidR="004E6C05" w:rsidRPr="003B3332" w:rsidRDefault="006A6098" w:rsidP="00A57793">
      <w:pPr>
        <w:pStyle w:val="ECHRBullet1"/>
      </w:pPr>
      <w:r w:rsidRPr="003B3332">
        <w:t>autoritățile relevante au rămas pasive nu au efectuat o anchetă oficială, în pofida acuzațiilor credibile de rele tratamente care le-au fost aduse la cunoștință [</w:t>
      </w:r>
      <w:hyperlink r:id="rId328" w:history="1">
        <w:r w:rsidRPr="003B3332">
          <w:rPr>
            <w:rStyle w:val="Hyperlink"/>
          </w:rPr>
          <w:t>M.S. împotriva Croației (nr. 2)</w:t>
        </w:r>
      </w:hyperlink>
      <w:r w:rsidRPr="003B3332">
        <w:t xml:space="preserve">, 2015, pct. 81-84; a se vedea și </w:t>
      </w:r>
      <w:hyperlink r:id="rId329" w:history="1">
        <w:r w:rsidRPr="003B3332">
          <w:rPr>
            <w:rStyle w:val="Hyperlink"/>
          </w:rPr>
          <w:t>Hovhannisyan împotriva Armeniei</w:t>
        </w:r>
      </w:hyperlink>
      <w:r w:rsidRPr="003B3332">
        <w:t xml:space="preserve">, 2018, pct. 58-59 și </w:t>
      </w:r>
      <w:hyperlink r:id="rId330" w:history="1">
        <w:r w:rsidRPr="003B3332">
          <w:rPr>
            <w:rStyle w:val="Hyperlink"/>
          </w:rPr>
          <w:t>Lapunov împotriva Rusiei</w:t>
        </w:r>
      </w:hyperlink>
      <w:r w:rsidRPr="003B3332">
        <w:t>, 2023, pct. 115];</w:t>
      </w:r>
    </w:p>
    <w:p w14:paraId="0513B4EB" w14:textId="4BFC4DEF" w:rsidR="006410F3" w:rsidRPr="003B3332" w:rsidRDefault="00525CF6" w:rsidP="005C1E50">
      <w:pPr>
        <w:pStyle w:val="ECHRBullet1"/>
      </w:pPr>
      <w:r w:rsidRPr="003B3332">
        <w:t>unul dintre făptuitorii de rele tratamente nu a fost niciodată identificat în mod oficial și acuzat, în pofida identificării sale de către reclamant (</w:t>
      </w:r>
      <w:hyperlink r:id="rId331" w:history="1">
        <w:r w:rsidRPr="003B3332">
          <w:rPr>
            <w:rStyle w:val="Hyperlink"/>
          </w:rPr>
          <w:t>Barovov împotriva Rusiei</w:t>
        </w:r>
      </w:hyperlink>
      <w:r w:rsidRPr="003B3332">
        <w:t xml:space="preserve">, 2021, pct. 39; a se vedea și </w:t>
      </w:r>
      <w:hyperlink r:id="rId332" w:history="1">
        <w:r w:rsidRPr="003B3332">
          <w:rPr>
            <w:rStyle w:val="Hyperlink"/>
          </w:rPr>
          <w:t>Ochigava împotriva Georgiei</w:t>
        </w:r>
      </w:hyperlink>
      <w:r w:rsidRPr="003B3332">
        <w:t>, 2023, pct. 59, unde autoritățile nu au investigat implicarea oficialilor de rang înalt din penitenciar într-o cauză în care șapte agenți de penitenciar au fost găsiți vinovați de sistematice rele tratamente aplicate deținuților dintr-un penitenciar, inclusiv reclamantului);</w:t>
      </w:r>
    </w:p>
    <w:p w14:paraId="33A44434" w14:textId="2946B174" w:rsidR="00892181" w:rsidRPr="003B3332" w:rsidRDefault="00166802" w:rsidP="00A57793">
      <w:pPr>
        <w:pStyle w:val="ECHRBullet1"/>
      </w:pPr>
      <w:r w:rsidRPr="003B3332">
        <w:t>autoritățile interne nu au identificat și nu au interogat agenți de poliție din unitatea specializată, purtând măști fără numere sau litere de identificare, care luat parte la descinderea la domiciliu în care reclamantul a susținut că a fost supus la rele tratamente (</w:t>
      </w:r>
      <w:hyperlink r:id="rId333" w:history="1">
        <w:r w:rsidRPr="003B3332">
          <w:rPr>
            <w:rStyle w:val="Hyperlink"/>
          </w:rPr>
          <w:t>Hristovi împotriva Bulgariei</w:t>
        </w:r>
      </w:hyperlink>
      <w:r w:rsidRPr="003B3332">
        <w:t>, 2011, pct. 91);</w:t>
      </w:r>
    </w:p>
    <w:p w14:paraId="320C8054" w14:textId="18126AA3" w:rsidR="00B459D5" w:rsidRPr="003B3332" w:rsidRDefault="00B459D5" w:rsidP="00A57793">
      <w:pPr>
        <w:pStyle w:val="ECHRBullet1"/>
      </w:pPr>
      <w:r w:rsidRPr="003B3332">
        <w:t>autoritățile relevante au comis erori procedurale care au făcut inamisibilă partea principală a probelor, ducând la o stagnare în procedura penală (</w:t>
      </w:r>
      <w:hyperlink r:id="rId334" w:history="1">
        <w:r w:rsidRPr="003B3332">
          <w:rPr>
            <w:rStyle w:val="Hyperlink"/>
          </w:rPr>
          <w:t>Maslova și Nalbandov împotriva Rusiei</w:t>
        </w:r>
      </w:hyperlink>
      <w:r w:rsidRPr="003B3332">
        <w:t>, 2008, pct. 92-97).</w:t>
      </w:r>
    </w:p>
    <w:p w14:paraId="4677B3EE" w14:textId="119E002C" w:rsidR="00E9440F" w:rsidRPr="003B3332" w:rsidRDefault="004713AB" w:rsidP="00A57793">
      <w:pPr>
        <w:pStyle w:val="ECHRParaSpaced"/>
      </w:pPr>
      <w:r>
        <w:fldChar w:fldCharType="begin"/>
      </w:r>
      <w:r>
        <w:instrText xml:space="preserve"> SEQ level0 \*arabic \* MERGEFORMAT </w:instrText>
      </w:r>
      <w:r>
        <w:fldChar w:fldCharType="separate"/>
      </w:r>
      <w:r w:rsidR="000862FF">
        <w:rPr>
          <w:noProof/>
        </w:rPr>
        <w:t>137</w:t>
      </w:r>
      <w:r>
        <w:fldChar w:fldCharType="end"/>
      </w:r>
      <w:r w:rsidR="00FA7743" w:rsidRPr="003B3332">
        <w:t>.  Dimpotrivă, având în vedere variatele măsuri întreprinse de autoritățile interne, Curtea nu a constatat o problemă în privința caracterului adecvat al anchetei în:</w:t>
      </w:r>
    </w:p>
    <w:p w14:paraId="3F02EA34" w14:textId="0EEF4045" w:rsidR="00824F7A" w:rsidRPr="003B3332" w:rsidRDefault="004713AB" w:rsidP="00A57793">
      <w:pPr>
        <w:pStyle w:val="ECHRBullet1"/>
      </w:pPr>
      <w:hyperlink r:id="rId335" w:history="1">
        <w:r w:rsidR="009B638B" w:rsidRPr="003B3332">
          <w:rPr>
            <w:rStyle w:val="Hyperlink"/>
          </w:rPr>
          <w:t>Baklanov împotriva Ucrainei</w:t>
        </w:r>
      </w:hyperlink>
      <w:r w:rsidR="009B638B" w:rsidRPr="003B3332">
        <w:t>, 2013, a avut ca obiect prezumtivele rele tratamente și intimidarea reclamantului în timpul serviciului militar obligatoriu;</w:t>
      </w:r>
    </w:p>
    <w:p w14:paraId="5B31D371" w14:textId="0B815A35" w:rsidR="00EF173C" w:rsidRPr="003B3332" w:rsidRDefault="004713AB" w:rsidP="00A57793">
      <w:pPr>
        <w:pStyle w:val="ECHRBullet1"/>
      </w:pPr>
      <w:hyperlink r:id="rId336" w:history="1">
        <w:r w:rsidR="009B638B" w:rsidRPr="003B3332">
          <w:rPr>
            <w:rStyle w:val="Hyperlink"/>
          </w:rPr>
          <w:t>V.D. împotriva Croației (nr. 2)</w:t>
        </w:r>
      </w:hyperlink>
      <w:r w:rsidR="009B638B" w:rsidRPr="003B3332">
        <w:t>, 2018, care privea recenta anchetă deschisă de Parchetul de stat în privința pretențiilor de rele tratamente pentru care Curtea a constatat anterior o încălcare a art. 3;</w:t>
      </w:r>
    </w:p>
    <w:p w14:paraId="7077FB2B" w14:textId="7C6E4D23" w:rsidR="00667097" w:rsidRPr="003B3332" w:rsidRDefault="004713AB" w:rsidP="00A57793">
      <w:pPr>
        <w:pStyle w:val="ECHRBullet1"/>
      </w:pPr>
      <w:hyperlink r:id="rId337" w:history="1">
        <w:r w:rsidR="009B638B" w:rsidRPr="003B3332">
          <w:rPr>
            <w:rStyle w:val="Hyperlink"/>
          </w:rPr>
          <w:t>P.M. și F.F. împotriva Franței</w:t>
        </w:r>
      </w:hyperlink>
      <w:r w:rsidR="009B638B" w:rsidRPr="003B3332">
        <w:t>, 2021, care privea prezumtivele rele tratamente aplicate reclamanților sub controlul poliției în timpul audierii și pe durata reținerii.</w:t>
      </w:r>
    </w:p>
    <w:p w14:paraId="4D89BEA9" w14:textId="6D41C5A5" w:rsidR="00361752" w:rsidRPr="003B3332" w:rsidRDefault="00CE434F" w:rsidP="00A57793">
      <w:pPr>
        <w:pStyle w:val="ECHRHeading3"/>
      </w:pPr>
      <w:bookmarkStart w:id="96" w:name="_Toc180674940"/>
      <w:r w:rsidRPr="003B3332">
        <w:t>Promptitudine și termen rezonabil</w:t>
      </w:r>
      <w:bookmarkEnd w:id="96"/>
    </w:p>
    <w:p w14:paraId="5691D0DF" w14:textId="0820B2BC" w:rsidR="00F644AD" w:rsidRPr="003B3332" w:rsidRDefault="004713AB" w:rsidP="00A57793">
      <w:pPr>
        <w:pStyle w:val="ECHRParaSpaced"/>
        <w:rPr>
          <w:rFonts w:cs="TimesNewRomanPSMT"/>
        </w:rPr>
      </w:pPr>
      <w:r>
        <w:fldChar w:fldCharType="begin"/>
      </w:r>
      <w:r>
        <w:instrText xml:space="preserve"> SEQ level0 \*arabic \* MERGEFOR</w:instrText>
      </w:r>
      <w:r>
        <w:instrText xml:space="preserve">MAT </w:instrText>
      </w:r>
      <w:r>
        <w:fldChar w:fldCharType="separate"/>
      </w:r>
      <w:r w:rsidR="000862FF">
        <w:rPr>
          <w:noProof/>
        </w:rPr>
        <w:t>138</w:t>
      </w:r>
      <w:r>
        <w:fldChar w:fldCharType="end"/>
      </w:r>
      <w:r w:rsidR="00FA7743" w:rsidRPr="003B3332">
        <w:t>.  Art. 3 impune ca anchetele să fie prompte şi să se efectueze cu o rapiditate rezonabilă. Deși pot exista obstacole sau dificultăți care împiedică progresul unei anchete într-o anumită situație, răspunsul prompt al autorităților constând în anchetarea pretinselor rele tratamente poate fi considerat în general ca fiind esențial pentru a menține încrederea publicului în respectarea statului de drept și pentru a preveni orice aparentă complicitate la acțiuni contrare legii sau orice aparentă toleranță față de asemenea acțiuni nelegale [</w:t>
      </w:r>
      <w:hyperlink r:id="rId338" w:history="1">
        <w:r w:rsidR="00FA7743" w:rsidRPr="003B3332">
          <w:rPr>
            <w:rStyle w:val="Hyperlink"/>
          </w:rPr>
          <w:t>Bouyid împotriva Belgiei</w:t>
        </w:r>
      </w:hyperlink>
      <w:r w:rsidR="00FA7743" w:rsidRPr="003B3332">
        <w:t xml:space="preserve"> (MC), 2015, pct. 121].</w:t>
      </w:r>
    </w:p>
    <w:p w14:paraId="1F809FE8" w14:textId="500370B5" w:rsidR="00A52B98" w:rsidRPr="003B3332" w:rsidRDefault="004713AB" w:rsidP="00A57793">
      <w:pPr>
        <w:pStyle w:val="ECHRParaSpaced"/>
      </w:pPr>
      <w:r>
        <w:fldChar w:fldCharType="begin"/>
      </w:r>
      <w:r>
        <w:instrText xml:space="preserve"> SEQ level0 \*arabic \* MERGEFORMAT </w:instrText>
      </w:r>
      <w:r>
        <w:fldChar w:fldCharType="separate"/>
      </w:r>
      <w:r w:rsidR="000862FF">
        <w:rPr>
          <w:noProof/>
        </w:rPr>
        <w:t>139</w:t>
      </w:r>
      <w:r>
        <w:fldChar w:fldCharType="end"/>
      </w:r>
      <w:r w:rsidR="007C6725" w:rsidRPr="003B3332">
        <w:t>.  Curtea a constatat că autoritățile interne nu au anchetat, printre altele, prompt și într-un termen rezonabil atunci când:</w:t>
      </w:r>
    </w:p>
    <w:p w14:paraId="572B94A0" w14:textId="5DACE79C" w:rsidR="00677D44" w:rsidRPr="003B3332" w:rsidRDefault="004E6C05" w:rsidP="0030762D">
      <w:pPr>
        <w:pStyle w:val="ECHRBullet1"/>
      </w:pPr>
      <w:r w:rsidRPr="003B3332">
        <w:t>opt ani și patru luni au trecut la trei grade de jurisdicție în procesul penal care privea violența domestică împotriva unui minor (</w:t>
      </w:r>
      <w:hyperlink r:id="rId339" w:history="1">
        <w:r w:rsidRPr="003B3332">
          <w:rPr>
            <w:rStyle w:val="Hyperlink"/>
          </w:rPr>
          <w:t>D.M.D. împotriva României</w:t>
        </w:r>
      </w:hyperlink>
      <w:r w:rsidRPr="003B3332">
        <w:t xml:space="preserve">, 2017, pct. 53; a se vedea și </w:t>
      </w:r>
      <w:hyperlink r:id="rId340" w:history="1">
        <w:r w:rsidRPr="003B3332">
          <w:rPr>
            <w:rStyle w:val="Hyperlink"/>
          </w:rPr>
          <w:t>Y. împotriva Sloveniei</w:t>
        </w:r>
      </w:hyperlink>
      <w:r w:rsidRPr="003B3332">
        <w:t>, 2015, pct. 99, în care au trecut mai mult de 7 ani de la momentul în care reclamanta a depus cererea despre faptul că a fost abuzată sexual până când hotărârea a fost pronunțată de instanța de fond);</w:t>
      </w:r>
    </w:p>
    <w:p w14:paraId="696B9B21" w14:textId="4D3E2356" w:rsidR="00C05A3A" w:rsidRPr="003B3332" w:rsidRDefault="007B1B8D" w:rsidP="0030762D">
      <w:pPr>
        <w:pStyle w:val="ECHRBullet1"/>
      </w:pPr>
      <w:r w:rsidRPr="003B3332">
        <w:t>în contextul relelor tratamente în penitenciar, procesul gardienilor a început abia după cinci ani și opt luni de la depunerea plângerilor penale, iar procesul era în continuare pendinte la momentul examinării cauzei în fața Curții (</w:t>
      </w:r>
      <w:hyperlink r:id="rId341" w:history="1">
        <w:r w:rsidRPr="003B3332">
          <w:rPr>
            <w:rStyle w:val="Hyperlink"/>
          </w:rPr>
          <w:t>Indelicato împotriva Italiei</w:t>
        </w:r>
      </w:hyperlink>
      <w:r w:rsidRPr="003B3332">
        <w:t>, 2001, pct. 37);</w:t>
      </w:r>
    </w:p>
    <w:p w14:paraId="6364CBBC" w14:textId="6B14B8E6" w:rsidR="00826F99" w:rsidRPr="003B3332" w:rsidRDefault="00B23FD2" w:rsidP="0030762D">
      <w:pPr>
        <w:pStyle w:val="ECHRBullet1"/>
      </w:pPr>
      <w:r w:rsidRPr="003B3332">
        <w:t>existau întârzieri nejustificate în identificarea martorilor sau luarea declarațiilor acestora (</w:t>
      </w:r>
      <w:hyperlink r:id="rId342" w:history="1">
        <w:r w:rsidRPr="003B3332">
          <w:rPr>
            <w:rStyle w:val="Hyperlink"/>
          </w:rPr>
          <w:t>Baranin și Vukčević împotriva Muntenegrului</w:t>
        </w:r>
      </w:hyperlink>
      <w:r w:rsidRPr="003B3332">
        <w:t xml:space="preserve">, 2021, pct. 142, 11 și </w:t>
      </w:r>
      <w:hyperlink r:id="rId343" w:history="1">
        <w:r w:rsidRPr="003B3332">
          <w:rPr>
            <w:rStyle w:val="Hyperlink"/>
          </w:rPr>
          <w:t>Mătăsaru și Saviţchi împotriva Moldovei</w:t>
        </w:r>
      </w:hyperlink>
      <w:r w:rsidRPr="003B3332">
        <w:t>, 2010, pct. 88 și 93);</w:t>
      </w:r>
    </w:p>
    <w:p w14:paraId="27710C7F" w14:textId="2AD03E06" w:rsidR="00826F99" w:rsidRPr="003B3332" w:rsidRDefault="00C05A3A" w:rsidP="0030762D">
      <w:pPr>
        <w:pStyle w:val="ECHRBullet1"/>
        <w:rPr>
          <w:iCs/>
        </w:rPr>
      </w:pPr>
      <w:r w:rsidRPr="003B3332">
        <w:t>exista o prelungire nejustificată a acțiunii penale având ca rezultat expirarea termenelor de prescripție (</w:t>
      </w:r>
      <w:hyperlink r:id="rId344" w:history="1">
        <w:r w:rsidRPr="003B3332">
          <w:rPr>
            <w:rStyle w:val="Hyperlink"/>
          </w:rPr>
          <w:t>Angelova și Iliev împotriva Bulgariei</w:t>
        </w:r>
      </w:hyperlink>
      <w:r w:rsidRPr="003B3332">
        <w:t xml:space="preserve">, 2007, pct. 101-103; a se vedea și </w:t>
      </w:r>
      <w:hyperlink r:id="rId345" w:history="1">
        <w:r w:rsidRPr="003B3332">
          <w:rPr>
            <w:rStyle w:val="Hyperlink"/>
          </w:rPr>
          <w:t>Barovov împotriva Rusiei</w:t>
        </w:r>
      </w:hyperlink>
      <w:r w:rsidRPr="003B3332">
        <w:t>, 2021, pct. 39 și 42);</w:t>
      </w:r>
    </w:p>
    <w:p w14:paraId="2E1142A3" w14:textId="11E82EDE" w:rsidR="00887143" w:rsidRPr="003B3332" w:rsidRDefault="0034324C" w:rsidP="0030762D">
      <w:pPr>
        <w:pStyle w:val="ECHRBullet1"/>
        <w:rPr>
          <w:iCs/>
        </w:rPr>
      </w:pPr>
      <w:r w:rsidRPr="003B3332">
        <w:t>existau amânări în audierea unui specialist cheie la momentul relevant, incapacitatea de a ajunge la semnele clare de rele tratamente, precum și o lungă perioadă în ansamblu în care nicio singură hotărâre nu a fost pronunțată (</w:t>
      </w:r>
      <w:hyperlink r:id="rId346" w:history="1">
        <w:r w:rsidRPr="003B3332">
          <w:rPr>
            <w:rStyle w:val="Hyperlink"/>
          </w:rPr>
          <w:t>I.E. împotriva Republicii Moldova</w:t>
        </w:r>
      </w:hyperlink>
      <w:r w:rsidRPr="003B3332">
        <w:t>, 2020, pct. 52);</w:t>
      </w:r>
    </w:p>
    <w:p w14:paraId="6CA5C206" w14:textId="135AC774" w:rsidR="00887143" w:rsidRPr="003B3332" w:rsidRDefault="0034324C" w:rsidP="0030762D">
      <w:pPr>
        <w:pStyle w:val="ECHRBullet1"/>
        <w:rPr>
          <w:iCs/>
        </w:rPr>
      </w:pPr>
      <w:r w:rsidRPr="003B3332">
        <w:t>existau întârzieri în luarea mărturiilor orale ale reclamanților, minori, victime ale presupuselor rele tratamente din motive rasiale (</w:t>
      </w:r>
      <w:hyperlink r:id="rId347" w:history="1">
        <w:r w:rsidRPr="003B3332">
          <w:rPr>
            <w:rStyle w:val="Hyperlink"/>
          </w:rPr>
          <w:t>M.B. și alții împotriva Slovaciei</w:t>
        </w:r>
      </w:hyperlink>
      <w:r w:rsidRPr="003B3332">
        <w:t>, 2021, pct. 82-83);</w:t>
      </w:r>
    </w:p>
    <w:p w14:paraId="15249BCF" w14:textId="1CA26796" w:rsidR="004D384C" w:rsidRPr="003B3332" w:rsidRDefault="004D384C" w:rsidP="008E7FBD">
      <w:pPr>
        <w:pStyle w:val="ECHRBullet1"/>
        <w:rPr>
          <w:iCs/>
        </w:rPr>
      </w:pPr>
      <w:r w:rsidRPr="003B3332">
        <w:t>mai multe anchete și respectivele proceduri penale privind acuzațiile reclamantului de agresiune, hărțuire, amenințări și rele tratamente – toate în contextul violenței în familie – erau fie prescrise, fie încă pendinte după mulți ani de la evenimente, ca urmare a pasivității autorităților (</w:t>
      </w:r>
      <w:hyperlink r:id="rId348" w:history="1">
        <w:r w:rsidRPr="003B3332">
          <w:rPr>
            <w:i/>
            <w:color w:val="0072BC" w:themeColor="hyperlink"/>
          </w:rPr>
          <w:t>M.S. împotriva Italiei</w:t>
        </w:r>
      </w:hyperlink>
      <w:r w:rsidRPr="003B3332">
        <w:t>, 2022, pct. 141 și 150).</w:t>
      </w:r>
    </w:p>
    <w:p w14:paraId="406B2CC1" w14:textId="5D8B671B" w:rsidR="000B65D2" w:rsidRPr="003B3332" w:rsidRDefault="000B65D2" w:rsidP="0030762D">
      <w:pPr>
        <w:pStyle w:val="ECHRParaSpaced"/>
      </w:pPr>
      <w:r w:rsidRPr="003B3332">
        <w:rPr>
          <w:rFonts w:cstheme="minorHAnsi"/>
        </w:rPr>
        <w:fldChar w:fldCharType="begin"/>
      </w:r>
      <w:r w:rsidRPr="003B3332">
        <w:rPr>
          <w:rFonts w:cstheme="minorHAnsi"/>
        </w:rPr>
        <w:instrText xml:space="preserve"> SEQ level0 \*arabic \* MERGEFORMAT </w:instrText>
      </w:r>
      <w:r w:rsidRPr="003B3332">
        <w:rPr>
          <w:rFonts w:cstheme="minorHAnsi"/>
        </w:rPr>
        <w:fldChar w:fldCharType="separate"/>
      </w:r>
      <w:r w:rsidR="000862FF">
        <w:rPr>
          <w:rFonts w:cstheme="minorHAnsi"/>
          <w:noProof/>
        </w:rPr>
        <w:t>140</w:t>
      </w:r>
      <w:r w:rsidRPr="003B3332">
        <w:rPr>
          <w:rFonts w:cstheme="minorHAnsi"/>
        </w:rPr>
        <w:fldChar w:fldCharType="end"/>
      </w:r>
      <w:r w:rsidRPr="003B3332">
        <w:t>.  Dimpotrivă, Curtea a constatat că anchetele nu contravin cerințelor privind promptitudinea și un termen rezonabil în desfășurarea anchetelor, de exemplu, atunci când:</w:t>
      </w:r>
    </w:p>
    <w:p w14:paraId="49EF49AA" w14:textId="35309D86" w:rsidR="00926C86" w:rsidRPr="003B3332" w:rsidRDefault="000B65D2" w:rsidP="0030762D">
      <w:pPr>
        <w:pStyle w:val="ECHRBullet1"/>
      </w:pPr>
      <w:r w:rsidRPr="003B3332">
        <w:t>durata anchetei putea fi explicată de scopul cercetării efectuate, dat fiind că numeroase audieri și nu mai puțin de patru evaluări ale experților au fost realizate (</w:t>
      </w:r>
      <w:hyperlink r:id="rId349" w:history="1">
        <w:r w:rsidRPr="003B3332">
          <w:rPr>
            <w:rStyle w:val="Hyperlink"/>
          </w:rPr>
          <w:t>Ghedir și alții împotriva Franței</w:t>
        </w:r>
      </w:hyperlink>
      <w:r w:rsidRPr="003B3332">
        <w:t>, 2015, pct. 133);</w:t>
      </w:r>
    </w:p>
    <w:p w14:paraId="7100F119" w14:textId="2517EFE1" w:rsidR="007F3F99" w:rsidRPr="003B3332" w:rsidRDefault="007F3F99" w:rsidP="0030762D">
      <w:pPr>
        <w:pStyle w:val="ECHRBullet1"/>
      </w:pPr>
      <w:r w:rsidRPr="003B3332">
        <w:t>când procedurile de despăgubire au fost foarte lungi (15 ani), dar a stabilit faptele legate de săvârșirea infracțiunii de vătămare corporală gravă asupra reclamantei trăgând la răspundere pe vinovați și a acordat despăgubiri acesteia (</w:t>
      </w:r>
      <w:hyperlink r:id="rId350" w:history="1">
        <w:r w:rsidRPr="003B3332">
          <w:rPr>
            <w:rStyle w:val="Hyperlink"/>
          </w:rPr>
          <w:t>Isayeva împotriva Ucrainei</w:t>
        </w:r>
      </w:hyperlink>
      <w:r w:rsidRPr="003B3332">
        <w:t>, 2018, pct. 63-66);</w:t>
      </w:r>
    </w:p>
    <w:p w14:paraId="38E6B370" w14:textId="225A482E" w:rsidR="00C02295" w:rsidRPr="003B3332" w:rsidRDefault="00C02295" w:rsidP="0030762D">
      <w:pPr>
        <w:pStyle w:val="ECHRBullet1"/>
      </w:pPr>
      <w:r w:rsidRPr="003B3332">
        <w:t>în pofida relativei complexități a cauzei, care necesita interogarea a mai multor martori, obținerea unui raport de expertiză și alte probe referitoare la incident, urmărirea penală a durat în total aproximativ șase luni (</w:t>
      </w:r>
      <w:hyperlink r:id="rId351" w:history="1">
        <w:r w:rsidRPr="003B3332">
          <w:rPr>
            <w:rStyle w:val="Hyperlink"/>
          </w:rPr>
          <w:t>V.D. împotriva Croației (nr. 2)</w:t>
        </w:r>
      </w:hyperlink>
      <w:r w:rsidRPr="003B3332">
        <w:t>, 2018, pct. 80).</w:t>
      </w:r>
    </w:p>
    <w:p w14:paraId="72E1EB2B" w14:textId="61275055" w:rsidR="00606F8E" w:rsidRPr="003B3332" w:rsidRDefault="00606F8E" w:rsidP="0030762D">
      <w:pPr>
        <w:pStyle w:val="ECHRHeading3"/>
      </w:pPr>
      <w:bookmarkStart w:id="97" w:name="_Toc180674941"/>
      <w:r w:rsidRPr="003B3332">
        <w:t>Analiza publică și participarea victimei</w:t>
      </w:r>
      <w:bookmarkEnd w:id="97"/>
    </w:p>
    <w:p w14:paraId="4BF02C46" w14:textId="4A26C2F9" w:rsidR="00095F3E" w:rsidRPr="003B3332" w:rsidRDefault="004713AB" w:rsidP="0030762D">
      <w:pPr>
        <w:pStyle w:val="ECHRParaSpaced"/>
      </w:pPr>
      <w:r>
        <w:fldChar w:fldCharType="begin"/>
      </w:r>
      <w:r>
        <w:instrText xml:space="preserve"> SEQ level0 \*arabic \* MERGEFO</w:instrText>
      </w:r>
      <w:r>
        <w:instrText xml:space="preserve">RMAT </w:instrText>
      </w:r>
      <w:r>
        <w:fldChar w:fldCharType="separate"/>
      </w:r>
      <w:r w:rsidR="000862FF">
        <w:rPr>
          <w:noProof/>
        </w:rPr>
        <w:t>141</w:t>
      </w:r>
      <w:r>
        <w:fldChar w:fldCharType="end"/>
      </w:r>
      <w:r w:rsidR="00226037" w:rsidRPr="003B3332">
        <w:t>.  Ancheta trebuie să ofere un element suficient de control public pentru a garanta asumarea răspunderii în practică, dar și în teorie (</w:t>
      </w:r>
      <w:hyperlink r:id="rId352" w:history="1">
        <w:r w:rsidR="00226037" w:rsidRPr="003B3332">
          <w:rPr>
            <w:rStyle w:val="Hyperlink"/>
          </w:rPr>
          <w:t>Al Nashiri împotriva României</w:t>
        </w:r>
      </w:hyperlink>
      <w:r w:rsidR="00226037" w:rsidRPr="003B3332">
        <w:t>, 2018, pct. 641 și cauzele citate în aceasta).</w:t>
      </w:r>
    </w:p>
    <w:p w14:paraId="7C5ED993" w14:textId="37C8F79F" w:rsidR="00A540B8" w:rsidRPr="003B3332" w:rsidRDefault="004713AB" w:rsidP="0030762D">
      <w:pPr>
        <w:pStyle w:val="ECHRParaSpaced"/>
      </w:pPr>
      <w:r>
        <w:fldChar w:fldCharType="begin"/>
      </w:r>
      <w:r>
        <w:instrText xml:space="preserve"> SEQ level0 \*arabic \* MERGEFORMAT </w:instrText>
      </w:r>
      <w:r>
        <w:fldChar w:fldCharType="separate"/>
      </w:r>
      <w:r w:rsidR="000862FF">
        <w:rPr>
          <w:noProof/>
        </w:rPr>
        <w:t>142</w:t>
      </w:r>
      <w:r>
        <w:fldChar w:fldCharType="end"/>
      </w:r>
      <w:r w:rsidR="00226037" w:rsidRPr="003B3332">
        <w:t>.  În plus, victima ar trebui să aibă posibilitatea de a participa efectiv la anchetă [</w:t>
      </w:r>
      <w:hyperlink r:id="rId353" w:history="1">
        <w:r w:rsidR="00226037" w:rsidRPr="003B3332">
          <w:rPr>
            <w:rStyle w:val="Hyperlink"/>
          </w:rPr>
          <w:t>Bouyid împotriva Belgiei</w:t>
        </w:r>
      </w:hyperlink>
      <w:r w:rsidR="00226037" w:rsidRPr="003B3332">
        <w:t xml:space="preserve"> (MC), 2015, pct. 122 și </w:t>
      </w:r>
      <w:hyperlink r:id="rId354" w:history="1">
        <w:r w:rsidR="00226037" w:rsidRPr="003B3332">
          <w:rPr>
            <w:rStyle w:val="Hyperlink"/>
          </w:rPr>
          <w:t>X și alții împotriva Bulgariei</w:t>
        </w:r>
      </w:hyperlink>
      <w:r w:rsidR="00226037" w:rsidRPr="003B3332">
        <w:rPr>
          <w:color w:val="000000"/>
        </w:rPr>
        <w:t xml:space="preserve"> (MC), 2021, pct. 189]. </w:t>
      </w:r>
      <w:r w:rsidR="00226037" w:rsidRPr="003B3332">
        <w:t>Totuși, dezvăluirea sau publicarea rapoartelor și a actelor de cercetare penală ale poliției poate implica probleme sensibile cu posibile efecte prejudiciabile asupra persoanelor private sau a altor cercetări. Nu se poate considera așadar ca fiind o cerință automată aceea de a se permite accesul victimei sau al rudei sale celei mai apropiate la anchetă pe măsura evoluției acesteia. Accesul necesar poate fi oferit în alte etape ale procedurilor disponibile, iar organele de urmărire penală nu au obligația de a satisface fiecare cerere pentru un anumit act de urmărire penală în cursul anchetei (</w:t>
      </w:r>
      <w:hyperlink r:id="rId355" w:history="1">
        <w:r w:rsidR="00226037" w:rsidRPr="003B3332">
          <w:rPr>
            <w:rStyle w:val="Hyperlink"/>
          </w:rPr>
          <w:t>Stevan Petrović împotriva Serbiei</w:t>
        </w:r>
      </w:hyperlink>
      <w:r w:rsidR="00226037" w:rsidRPr="003B3332">
        <w:t>, 2021, pct. 109).</w:t>
      </w:r>
    </w:p>
    <w:p w14:paraId="06D0A310" w14:textId="120C8664" w:rsidR="00864C1A" w:rsidRPr="003B3332" w:rsidRDefault="0089124F" w:rsidP="0030762D">
      <w:pPr>
        <w:pStyle w:val="ECHRParaSpaced"/>
      </w:pPr>
      <w:r w:rsidRPr="003B3332">
        <w:rPr>
          <w:rFonts w:cstheme="minorHAnsi"/>
          <w:color w:val="000000"/>
        </w:rPr>
        <w:fldChar w:fldCharType="begin"/>
      </w:r>
      <w:r w:rsidRPr="003B3332">
        <w:rPr>
          <w:rFonts w:cstheme="minorHAnsi"/>
          <w:color w:val="000000"/>
        </w:rPr>
        <w:instrText xml:space="preserve"> SEQ level0 \*arabic \* MERGEFORMAT </w:instrText>
      </w:r>
      <w:r w:rsidRPr="003B3332">
        <w:rPr>
          <w:rFonts w:cstheme="minorHAnsi"/>
          <w:color w:val="000000"/>
        </w:rPr>
        <w:fldChar w:fldCharType="separate"/>
      </w:r>
      <w:r w:rsidR="000862FF">
        <w:rPr>
          <w:rFonts w:cstheme="minorHAnsi"/>
          <w:noProof/>
          <w:color w:val="000000"/>
        </w:rPr>
        <w:t>143</w:t>
      </w:r>
      <w:r w:rsidRPr="003B3332">
        <w:rPr>
          <w:rFonts w:cstheme="minorHAnsi"/>
          <w:color w:val="000000"/>
        </w:rPr>
        <w:fldChar w:fldCharType="end"/>
      </w:r>
      <w:r w:rsidRPr="003B3332">
        <w:rPr>
          <w:color w:val="000000"/>
        </w:rPr>
        <w:t>.  </w:t>
      </w:r>
      <w:r w:rsidRPr="003B3332">
        <w:t>Curtea a constatat că ancheta nu a fost suficient de accesibilă victimei sau că nu a permis o examinare publică adecvată atunci când:</w:t>
      </w:r>
    </w:p>
    <w:p w14:paraId="74DB4639" w14:textId="2A188E97" w:rsidR="0044454D" w:rsidRPr="003B3332" w:rsidRDefault="00636031" w:rsidP="004F3F3D">
      <w:pPr>
        <w:pStyle w:val="ECHRBullet1"/>
      </w:pPr>
      <w:r w:rsidRPr="003B3332">
        <w:t>anchetatorul nu a audiat victimele în persoană sau nu a menționat versiunea acestora asupra evenimentelor în deciziile care nici măcar nu le-au fost comunicate (</w:t>
      </w:r>
      <w:hyperlink r:id="rId356" w:history="1">
        <w:r w:rsidRPr="003B3332">
          <w:rPr>
            <w:rStyle w:val="Hyperlink"/>
          </w:rPr>
          <w:t>Dedovskiy și alții împotriva Rusiei</w:t>
        </w:r>
      </w:hyperlink>
      <w:r w:rsidRPr="003B3332">
        <w:t>, 2008, pct. 92;</w:t>
      </w:r>
    </w:p>
    <w:p w14:paraId="23147EC3" w14:textId="0B230E9A" w:rsidR="00BC38FD" w:rsidRPr="003B3332" w:rsidRDefault="0045073F" w:rsidP="004F3F3D">
      <w:pPr>
        <w:pStyle w:val="ECHRBullet1"/>
      </w:pPr>
      <w:r w:rsidRPr="003B3332">
        <w:t>nu existau o cale legală specifică în legislația națională care să acorde accesul la dosarul cauzei în etapele urmăririi penale și, în special, enumerarea motivelor pentru respingerea sau acordarea accesului, măsura în care i se poate acorda acces unui solicitant, termenele pentru analiza cererilor relevante și oferirea accesului (</w:t>
      </w:r>
      <w:hyperlink r:id="rId357" w:history="1">
        <w:r w:rsidRPr="003B3332">
          <w:rPr>
            <w:rStyle w:val="Hyperlink"/>
          </w:rPr>
          <w:t>Oleksiy Mykhaylovych Zakharkin împotriva Ucrainei</w:t>
        </w:r>
      </w:hyperlink>
      <w:r w:rsidRPr="003B3332">
        <w:t>, 2010, pct. 73);</w:t>
      </w:r>
    </w:p>
    <w:p w14:paraId="40837B1D" w14:textId="5AF3D1F5" w:rsidR="00F61AD5" w:rsidRPr="003B3332" w:rsidRDefault="0044454D" w:rsidP="004F3F3D">
      <w:pPr>
        <w:pStyle w:val="ECHRBullet1"/>
      </w:pPr>
      <w:r w:rsidRPr="003B3332">
        <w:t>autoritățile au ascuns permanent informațiile cu privire la deciziile lor sau au întârziat în mod considerabil să ofere informații reclamanților, contrar cerinței explicite din dreptul intern (</w:t>
      </w:r>
      <w:hyperlink r:id="rId358" w:history="1">
        <w:r w:rsidRPr="003B3332">
          <w:rPr>
            <w:rStyle w:val="Hyperlink"/>
          </w:rPr>
          <w:t>Chernega și alții împotriva Ucrainei</w:t>
        </w:r>
      </w:hyperlink>
      <w:r w:rsidRPr="003B3332">
        <w:t>, 2019, pct. 166).</w:t>
      </w:r>
    </w:p>
    <w:p w14:paraId="0CC94470" w14:textId="6C6A3E43" w:rsidR="00B907EB" w:rsidRPr="003B3332" w:rsidRDefault="004713AB" w:rsidP="004F3F3D">
      <w:pPr>
        <w:pStyle w:val="ECHRParaSpaced"/>
      </w:pPr>
      <w:r>
        <w:fldChar w:fldCharType="begin"/>
      </w:r>
      <w:r>
        <w:instrText xml:space="preserve"> SEQ level0 \*arabic \* MERGEFORMAT </w:instrText>
      </w:r>
      <w:r>
        <w:fldChar w:fldCharType="separate"/>
      </w:r>
      <w:r w:rsidR="000862FF">
        <w:rPr>
          <w:noProof/>
        </w:rPr>
        <w:t>144</w:t>
      </w:r>
      <w:r>
        <w:fldChar w:fldCharType="end"/>
      </w:r>
      <w:r w:rsidR="00F61AD5" w:rsidRPr="003B3332">
        <w:t>.  Dimpotrivă, Curtea nu a constatat nicio problemă cu privire la analiza publică sau la participarea victimei atunci când informația adecvată și accesul la dosar au fost date victimei oferindu-i posibilitatea de a indica fapte și de a  propune probe care să fie obținute în anchetă [</w:t>
      </w:r>
      <w:hyperlink r:id="rId359" w:history="1">
        <w:r w:rsidR="00F61AD5" w:rsidRPr="003B3332">
          <w:rPr>
            <w:rStyle w:val="Hyperlink"/>
          </w:rPr>
          <w:t>V.D. împotriva Croației (nr. 2)</w:t>
        </w:r>
      </w:hyperlink>
      <w:r w:rsidR="00F61AD5" w:rsidRPr="003B3332">
        <w:t>, 2018, pct. 78].</w:t>
      </w:r>
    </w:p>
    <w:p w14:paraId="49B2F0DF" w14:textId="32359187" w:rsidR="00A81799" w:rsidRPr="003B3332" w:rsidRDefault="00B907EB" w:rsidP="00A81799">
      <w:pPr>
        <w:pStyle w:val="ECHRHeading2"/>
      </w:pPr>
      <w:bookmarkStart w:id="98" w:name="_Toc180674942"/>
      <w:r w:rsidRPr="003B3332">
        <w:t>Probleme legate de urmărirea penală, de sancțiune și de compensare</w:t>
      </w:r>
      <w:bookmarkEnd w:id="98"/>
    </w:p>
    <w:p w14:paraId="3B5FF4B9" w14:textId="064B2D9A" w:rsidR="00396762" w:rsidRPr="003B3332" w:rsidRDefault="004713AB" w:rsidP="004F3F3D">
      <w:pPr>
        <w:pStyle w:val="ECHRParaSpaced"/>
      </w:pPr>
      <w:r>
        <w:fldChar w:fldCharType="begin"/>
      </w:r>
      <w:r>
        <w:instrText xml:space="preserve"> SEQ level0 \*arabic \* MERGEFORMAT </w:instrText>
      </w:r>
      <w:r>
        <w:fldChar w:fldCharType="separate"/>
      </w:r>
      <w:r w:rsidR="000862FF">
        <w:rPr>
          <w:noProof/>
        </w:rPr>
        <w:t>145</w:t>
      </w:r>
      <w:r>
        <w:fldChar w:fldCharType="end"/>
      </w:r>
      <w:r w:rsidR="00396762" w:rsidRPr="003B3332">
        <w:t>.  Curtea a subliniat că obligația de a efectua o anchetă eficientă reprezintă o obligație de mijloace, nu de rezultat [</w:t>
      </w:r>
      <w:hyperlink r:id="rId360" w:history="1">
        <w:r w:rsidR="00396762" w:rsidRPr="003B3332">
          <w:rPr>
            <w:rStyle w:val="Hyperlink"/>
          </w:rPr>
          <w:t>X și alții împotriva Bulgariei</w:t>
        </w:r>
      </w:hyperlink>
      <w:r w:rsidR="00396762" w:rsidRPr="003B3332">
        <w:rPr>
          <w:color w:val="000000"/>
        </w:rPr>
        <w:t xml:space="preserve"> (MC), 2021, pct. 186]. </w:t>
      </w:r>
      <w:r w:rsidR="00396762" w:rsidRPr="003B3332">
        <w:t>Atunci când ancheta oficială a dus la instituirea unor proceduri în fața instanțelor naționale, procedura în ansamblu, inclusiv faza de judecată, trebuie să îndeplinească cerințele de art. 3 din Convenție. Aceasta include sancțiunile impuse la finalul acestor proceduri. Deși nu există nicio obligație absolută ca toate urmăririle penale să aibă ca rezultat o condamnare sau pronunțarea unei anumite pedepse, instanțele naționale nu ar trebui, în niciun caz, să se arate dispuse să lase nepedepsite atingerile grave aduse integrității fizice și psihice sau să permită sancționarea infracțiunilor grave cu pedepse excesiv de blânde. Elementul important pe care Curtea trebuie să îl verifice, prin urmare, este dacă și în ce măsură s-ar putea considera că instanțele, ajungând la concluzia lor, au supus cauza unui control atent, astfel încât să nu fie subminate efectul de descurajare al sistemului judiciar existent și importanța îndeplinirii rolului său de a preveni să fie încălcată interzicerea relelor tratamente (</w:t>
      </w:r>
      <w:hyperlink r:id="rId361" w:history="1">
        <w:r w:rsidR="00396762" w:rsidRPr="003B3332">
          <w:rPr>
            <w:rStyle w:val="Hyperlink"/>
          </w:rPr>
          <w:t>Sabalić împotriva Croației</w:t>
        </w:r>
      </w:hyperlink>
      <w:r w:rsidR="00396762" w:rsidRPr="003B3332">
        <w:rPr>
          <w:color w:val="000000"/>
        </w:rPr>
        <w:t>, 2021, pct. 97).</w:t>
      </w:r>
    </w:p>
    <w:p w14:paraId="585E5AEB" w14:textId="7D13E21D" w:rsidR="00D66E75" w:rsidRPr="003B3332" w:rsidRDefault="004713AB" w:rsidP="004F3F3D">
      <w:pPr>
        <w:pStyle w:val="ECHRParaSpaced"/>
      </w:pPr>
      <w:r>
        <w:fldChar w:fldCharType="begin"/>
      </w:r>
      <w:r>
        <w:instrText xml:space="preserve"> SEQ level0 \*arabic \* MERGEFORMAT </w:instrText>
      </w:r>
      <w:r>
        <w:fldChar w:fldCharType="separate"/>
      </w:r>
      <w:r w:rsidR="000862FF">
        <w:rPr>
          <w:noProof/>
        </w:rPr>
        <w:t>146</w:t>
      </w:r>
      <w:r>
        <w:fldChar w:fldCharType="end"/>
      </w:r>
      <w:r w:rsidR="00795DAE" w:rsidRPr="003B3332">
        <w:t>.  Rezultă că, deși acordă un respect substanțial autorităților și instanțelor naționale cu privire la alegerea sancțiunilor adecvate pentru rele tratamente, Curtea trebuie să exercite o anumită putere de a verifica și de a interveni în cazuri de disproporție manifestă între gravitatea faptelor și pedeapsa impusă</w:t>
      </w:r>
      <w:r w:rsidR="00795DAE" w:rsidRPr="003B3332">
        <w:rPr>
          <w:color w:val="000000"/>
        </w:rPr>
        <w:t xml:space="preserve"> (</w:t>
      </w:r>
      <w:hyperlink r:id="rId362" w:history="1">
        <w:r w:rsidR="00795DAE" w:rsidRPr="003B3332">
          <w:rPr>
            <w:rStyle w:val="Hyperlink"/>
          </w:rPr>
          <w:t>Myumyun împotriva Bulgariei</w:t>
        </w:r>
      </w:hyperlink>
      <w:r w:rsidR="00795DAE" w:rsidRPr="003B3332">
        <w:t>, 2015, pct. 67).</w:t>
      </w:r>
    </w:p>
    <w:p w14:paraId="4ADF85A6" w14:textId="1E81CFAC" w:rsidR="00EB4886" w:rsidRPr="003B3332" w:rsidRDefault="004713AB" w:rsidP="004F3F3D">
      <w:pPr>
        <w:pStyle w:val="ECHRParaSpaced"/>
        <w:rPr>
          <w:rFonts w:ascii="Arial" w:hAnsi="Arial" w:cs="Arial"/>
          <w:color w:val="000000"/>
          <w:shd w:val="clear" w:color="auto" w:fill="FFFFFF"/>
        </w:rPr>
      </w:pPr>
      <w:r>
        <w:fldChar w:fldCharType="begin"/>
      </w:r>
      <w:r>
        <w:instrText xml:space="preserve"> SEQ level0 \*arabic \* MERGEFORMAT </w:instrText>
      </w:r>
      <w:r>
        <w:fldChar w:fldCharType="separate"/>
      </w:r>
      <w:r w:rsidR="000862FF">
        <w:rPr>
          <w:noProof/>
        </w:rPr>
        <w:t>147</w:t>
      </w:r>
      <w:r>
        <w:fldChar w:fldCharType="end"/>
      </w:r>
      <w:r w:rsidR="009B638B" w:rsidRPr="003B3332">
        <w:t xml:space="preserve">.  Mai mult, într-o cauză în care plângerea reclamantului privea comutarea pedepsei cu închisoarea în prestarea unei activități în folosul comunității, Curtea, </w:t>
      </w:r>
      <w:r w:rsidR="009B638B" w:rsidRPr="003B3332">
        <w:rPr>
          <w:rStyle w:val="sbb9ee52a"/>
          <w:color w:val="000000"/>
          <w:shd w:val="clear" w:color="auto" w:fill="FFFFFF"/>
        </w:rPr>
        <w:t>având în vedere marja largă acordată statelor în materie de justiție penală și de politică de stabilire a pedepselor, a confirmat că, într-un astfel de caz, controlul său trebuie să fie direcționat către a evalua dacă, în circumstanțele din speță, instanțele naționale au efectuat o analiză atentă necesară când au comutat pedeapsa. Prin urmare, a examinat dacă în acest caz comutarea se baza pe criterii și motive care erau adecvate pentru a asigura că pedeapsa rămâne corespunzătoare naturii și severității relelor tratamente implicate în faptele penale săvârșite împotriva reclamantului ca victimă</w:t>
      </w:r>
      <w:r w:rsidR="009B638B" w:rsidRPr="003B3332">
        <w:t xml:space="preserve"> (</w:t>
      </w:r>
      <w:hyperlink r:id="rId363" w:history="1">
        <w:r w:rsidR="009B638B" w:rsidRPr="003B3332">
          <w:rPr>
            <w:rStyle w:val="Hyperlink"/>
          </w:rPr>
          <w:t>Vučković împotriva Croației</w:t>
        </w:r>
      </w:hyperlink>
      <w:r w:rsidR="009B638B" w:rsidRPr="003B3332">
        <w:t xml:space="preserve">, 2023, pct. 55; a se vedea și </w:t>
      </w:r>
      <w:hyperlink r:id="rId364" w:history="1">
        <w:r w:rsidR="009B638B" w:rsidRPr="003B3332">
          <w:rPr>
            <w:rStyle w:val="Hyperlink"/>
          </w:rPr>
          <w:t>M.G. împotriva Lituaniei</w:t>
        </w:r>
      </w:hyperlink>
      <w:r w:rsidR="009B638B" w:rsidRPr="003B3332">
        <w:t>, 2024, pct. 118, în legătură cu o decizie de a suspenda pedeapsa cu închisoarea a autorului infracțiunii în contextul agresiunii sexuale împotriva unui minor).</w:t>
      </w:r>
    </w:p>
    <w:p w14:paraId="768D7837" w14:textId="1F4B25AA" w:rsidR="00396762" w:rsidRPr="003B3332" w:rsidRDefault="004713AB" w:rsidP="003F1E82">
      <w:pPr>
        <w:pStyle w:val="ECHRParaSpaced"/>
      </w:pPr>
      <w:r>
        <w:fldChar w:fldCharType="begin"/>
      </w:r>
      <w:r>
        <w:instrText xml:space="preserve"> SEQ level0 \*arabic \* MERGEFORMAT </w:instrText>
      </w:r>
      <w:r>
        <w:fldChar w:fldCharType="separate"/>
      </w:r>
      <w:r w:rsidR="000862FF">
        <w:rPr>
          <w:noProof/>
        </w:rPr>
        <w:t>148</w:t>
      </w:r>
      <w:r>
        <w:fldChar w:fldCharType="end"/>
      </w:r>
      <w:r w:rsidR="00FA7743" w:rsidRPr="003B3332">
        <w:t>.  În același sens, pentru ca ancheta să fie efectivă în practică, există o condiție prealabilă ca statul să fi adoptat dispoziții de drept penal care sancționează practicile contrare art. 3 (</w:t>
      </w:r>
      <w:hyperlink r:id="rId365" w:history="1">
        <w:r w:rsidR="00FA7743" w:rsidRPr="003B3332">
          <w:rPr>
            <w:rStyle w:val="Hyperlink"/>
          </w:rPr>
          <w:t>Cestaro împotriva Italiei</w:t>
        </w:r>
      </w:hyperlink>
      <w:r w:rsidR="00FA7743" w:rsidRPr="003B3332">
        <w:t>, 2015, pct. 209).</w:t>
      </w:r>
    </w:p>
    <w:p w14:paraId="6B9B106C" w14:textId="3B37EB79" w:rsidR="006D6910" w:rsidRPr="003B3332" w:rsidRDefault="004713AB" w:rsidP="004F3F3D">
      <w:pPr>
        <w:pStyle w:val="ECHRParaSpaced"/>
      </w:pPr>
      <w:r>
        <w:fldChar w:fldCharType="begin"/>
      </w:r>
      <w:r>
        <w:instrText xml:space="preserve"> SEQ level0 \*arabic \* MERGEFORMAT </w:instrText>
      </w:r>
      <w:r>
        <w:fldChar w:fldCharType="separate"/>
      </w:r>
      <w:r w:rsidR="000862FF">
        <w:rPr>
          <w:noProof/>
        </w:rPr>
        <w:t>149</w:t>
      </w:r>
      <w:r>
        <w:fldChar w:fldCharType="end"/>
      </w:r>
      <w:r w:rsidR="00FA7743" w:rsidRPr="003B3332">
        <w:t>.  În cazul în care agenții statului au fost acuzați de infracțiuni implicând rele tratamente, este important ca aceștia să fie suspendați din funcție în timp ce sunt cercetați sau judecați şi trebuie demiși în caz de condamnare [</w:t>
      </w:r>
      <w:hyperlink r:id="rId366" w:history="1">
        <w:r w:rsidR="00FA7743" w:rsidRPr="003B3332">
          <w:rPr>
            <w:i/>
            <w:color w:val="0072BC" w:themeColor="accent1"/>
          </w:rPr>
          <w:t>Gäfgen împotriva Germaniei</w:t>
        </w:r>
      </w:hyperlink>
      <w:r w:rsidR="00FA7743" w:rsidRPr="003B3332">
        <w:t xml:space="preserve"> (MC), 2010, pct. 125; </w:t>
      </w:r>
      <w:hyperlink r:id="rId367" w:history="1">
        <w:r w:rsidR="00FA7743" w:rsidRPr="003B3332">
          <w:rPr>
            <w:rStyle w:val="Hyperlink"/>
          </w:rPr>
          <w:t>Barovov împotriva Rusiei</w:t>
        </w:r>
      </w:hyperlink>
      <w:r w:rsidR="00FA7743" w:rsidRPr="003B3332">
        <w:t>, 2021, pct. 43].</w:t>
      </w:r>
    </w:p>
    <w:p w14:paraId="4CA3C8CD" w14:textId="7A531AD6" w:rsidR="00F37D41" w:rsidRPr="003B3332" w:rsidRDefault="004713AB" w:rsidP="004F3F3D">
      <w:pPr>
        <w:pStyle w:val="ECHRParaSpaced"/>
      </w:pPr>
      <w:r>
        <w:fldChar w:fldCharType="begin"/>
      </w:r>
      <w:r>
        <w:instrText xml:space="preserve"> SEQ level0 \*arabic \* MERGEFORMAT </w:instrText>
      </w:r>
      <w:r>
        <w:fldChar w:fldCharType="separate"/>
      </w:r>
      <w:r w:rsidR="000862FF">
        <w:rPr>
          <w:noProof/>
        </w:rPr>
        <w:t>150</w:t>
      </w:r>
      <w:r>
        <w:fldChar w:fldCharType="end"/>
      </w:r>
      <w:r w:rsidR="00FA7743" w:rsidRPr="003B3332">
        <w:t>.  Curtea a confirmat, de asemenea, că, în cauzele referitoare la tortură sau rele tratamente aplicate de agenți ai statului, urmărirea penală nu trebuie să înceteze pe considerentul termenului de prescripție, iar amnistia și grațierea nu trebuie tolerate în astfel de cauze. Mai mult, modul de aplicare a termenului de prescripție trebuie să fie compatibil cu cerințele Convenției. Prin urmare, este dificil de acceptat termene de prescripție inflexibile care să nu admită excepții [</w:t>
      </w:r>
      <w:hyperlink r:id="rId368" w:history="1">
        <w:r w:rsidR="00FA7743" w:rsidRPr="003B3332">
          <w:rPr>
            <w:rStyle w:val="Hyperlink"/>
          </w:rPr>
          <w:t>Mocanu și alții împotriva României</w:t>
        </w:r>
      </w:hyperlink>
      <w:r w:rsidR="00FA7743" w:rsidRPr="003B3332">
        <w:t xml:space="preserve"> (MC), 2014, pct. 326]. Acest principiu a fost extins și la actele cu violență săvârșite de persoane private, în special atunci când privesc nerespectarea gravă a drepturilor fundamentale ale omului (</w:t>
      </w:r>
      <w:hyperlink r:id="rId369" w:history="1">
        <w:r w:rsidR="00FA7743" w:rsidRPr="003B3332">
          <w:rPr>
            <w:rStyle w:val="Hyperlink"/>
          </w:rPr>
          <w:t>Pulfer împotriva Albaniei</w:t>
        </w:r>
      </w:hyperlink>
      <w:r w:rsidR="00FA7743" w:rsidRPr="003B3332">
        <w:t xml:space="preserve">, 2018, pct. 83, în contextul agresiunii fizice; </w:t>
      </w:r>
      <w:hyperlink r:id="rId370" w:history="1">
        <w:r w:rsidR="00FA7743" w:rsidRPr="003B3332">
          <w:rPr>
            <w:rStyle w:val="Hyperlink"/>
          </w:rPr>
          <w:t>E.G. împotriva Republicii Moldova</w:t>
        </w:r>
      </w:hyperlink>
      <w:r w:rsidR="00FA7743" w:rsidRPr="003B3332">
        <w:t xml:space="preserve">, 2021, pct. 43, în contextul agresiunii sexuale și </w:t>
      </w:r>
      <w:hyperlink r:id="rId371" w:history="1">
        <w:r w:rsidR="00FA7743" w:rsidRPr="003B3332">
          <w:rPr>
            <w:i/>
            <w:color w:val="0072BC" w:themeColor="hyperlink"/>
          </w:rPr>
          <w:t>M.S. împotriva Italiei</w:t>
        </w:r>
      </w:hyperlink>
      <w:r w:rsidR="00FA7743" w:rsidRPr="003B3332">
        <w:t>, 2022, pct. 144, în contextul violenței domestice).</w:t>
      </w:r>
    </w:p>
    <w:p w14:paraId="56B44E8E" w14:textId="71BEE64D" w:rsidR="00A633F9" w:rsidRPr="003B3332" w:rsidRDefault="004713AB" w:rsidP="004F3F3D">
      <w:pPr>
        <w:pStyle w:val="ECHRParaSpaced"/>
      </w:pPr>
      <w:r>
        <w:fldChar w:fldCharType="begin"/>
      </w:r>
      <w:r>
        <w:instrText xml:space="preserve"> SEQ level0 \*arabic \* MERGEFORMAT </w:instrText>
      </w:r>
      <w:r>
        <w:fldChar w:fldCharType="separate"/>
      </w:r>
      <w:r w:rsidR="000862FF">
        <w:rPr>
          <w:noProof/>
        </w:rPr>
        <w:t>151</w:t>
      </w:r>
      <w:r>
        <w:fldChar w:fldCharType="end"/>
      </w:r>
      <w:r w:rsidR="00FA7743" w:rsidRPr="003B3332">
        <w:t>.  Astfel, Curtea a constatat încălcarea sub aspect procedural a art. 3 în cauze în care aplicarea termenelor de prescripție a fost determinată de faptul că autoritățile nu au acționat cu promptitudine și cu diligența cuvenită sau acolo unde urmărirea penală a devenit tardivă din cauza încadrării neadecvate de către autoritățile naționale a faptelor de tortură și a altor forme de rele tratamente ca infracțiuni mai puțin grave, ducând la termene de prescripție mai scurte și permițând autorilor infracțiunilor să scape de răspunderea penală</w:t>
      </w:r>
      <w:r w:rsidR="00ED4C9E" w:rsidRPr="003B3332">
        <w:t xml:space="preserve"> [</w:t>
      </w:r>
      <w:hyperlink r:id="rId372" w:history="1">
        <w:r w:rsidR="00FA7743" w:rsidRPr="003B3332">
          <w:rPr>
            <w:rStyle w:val="Hyperlink"/>
          </w:rPr>
          <w:t>Avizul consultativ privind aplicabilitate legislației de limitare a urmăririi penale, a condamnării și a pedepsirii în privința unei infracțiuni care reprezintă, pe fond, un act de tortură</w:t>
        </w:r>
      </w:hyperlink>
      <w:r w:rsidR="00FA7743" w:rsidRPr="003B3332">
        <w:t xml:space="preserve"> </w:t>
      </w:r>
      <w:r w:rsidR="00FA7743" w:rsidRPr="003B3332">
        <w:rPr>
          <w:rStyle w:val="s68f5eaef"/>
        </w:rPr>
        <w:t xml:space="preserve">(MC), 2022, </w:t>
      </w:r>
      <w:r w:rsidR="00FA7743" w:rsidRPr="003B3332">
        <w:t>pct. 61-62</w:t>
      </w:r>
      <w:r w:rsidR="00FA7743" w:rsidRPr="003B3332">
        <w:rPr>
          <w:rStyle w:val="s68f5eaef"/>
        </w:rPr>
        <w:t>].</w:t>
      </w:r>
    </w:p>
    <w:p w14:paraId="0F4BE201" w14:textId="63CC59B8" w:rsidR="00C820B3" w:rsidRPr="003B3332" w:rsidRDefault="004713AB" w:rsidP="004F3F3D">
      <w:pPr>
        <w:pStyle w:val="ECHRParaSpaced"/>
      </w:pPr>
      <w:r>
        <w:fldChar w:fldCharType="begin"/>
      </w:r>
      <w:r>
        <w:instrText xml:space="preserve"> SEQ level0 \*arabic \* MERGEFORMAT </w:instrText>
      </w:r>
      <w:r>
        <w:fldChar w:fldCharType="separate"/>
      </w:r>
      <w:r w:rsidR="000862FF">
        <w:rPr>
          <w:noProof/>
        </w:rPr>
        <w:t>152</w:t>
      </w:r>
      <w:r>
        <w:fldChar w:fldCharType="end"/>
      </w:r>
      <w:r w:rsidR="00FA7743" w:rsidRPr="003B3332">
        <w:t>.  În sfârșit, în cauzele de rele tratamente intenționate aplicate de agenți ai statului cu încălcarea art. 3, Curtea a constatat în mod repetat că sunt necesare două măsuri pentru a se obține o reparație corespunzătoare. În primul rând, autoritățile statului trebuie să fi efectuat o anchetă amănunțită și eficientă care să ducă la identificarea și pedepsirea persoanelor responsabile. În al doilea rând, despăgubirea reclamantului este impusă după caz sau, cel puțin, posibilitatea de a solicita și de a obține compensarea prejudiciul suferit de reclamant ca urmare a relelor tratamente [</w:t>
      </w:r>
      <w:hyperlink r:id="rId373" w:history="1">
        <w:r w:rsidR="00FA7743" w:rsidRPr="003B3332">
          <w:rPr>
            <w:rStyle w:val="Hyperlink"/>
          </w:rPr>
          <w:t>Gäfgen împotriva Germaniei</w:t>
        </w:r>
      </w:hyperlink>
      <w:r w:rsidR="00FA7743" w:rsidRPr="003B3332">
        <w:t xml:space="preserve"> (MC) 2010, pct. 116; </w:t>
      </w:r>
      <w:hyperlink r:id="rId374" w:history="1">
        <w:r w:rsidR="00FA7743" w:rsidRPr="003B3332">
          <w:rPr>
            <w:rStyle w:val="Hyperlink"/>
          </w:rPr>
          <w:t>Razzakov împotriva Rusiei</w:t>
        </w:r>
      </w:hyperlink>
      <w:r w:rsidR="00FA7743" w:rsidRPr="003B3332">
        <w:t>, 2015, pct. 50].</w:t>
      </w:r>
    </w:p>
    <w:p w14:paraId="009FEB8B" w14:textId="146F04FB" w:rsidR="00605CDD" w:rsidRPr="003B3332" w:rsidRDefault="00605CDD" w:rsidP="00F13658">
      <w:pPr>
        <w:pStyle w:val="ECHRHeading2"/>
      </w:pPr>
      <w:bookmarkStart w:id="99" w:name="_Toc180674943"/>
      <w:r w:rsidRPr="003B3332">
        <w:t>Anchetarea infracțiunilor motivate de ură</w:t>
      </w:r>
      <w:bookmarkEnd w:id="99"/>
    </w:p>
    <w:p w14:paraId="208FC335" w14:textId="589BF0AE" w:rsidR="000420FE" w:rsidRPr="003B3332" w:rsidRDefault="004713AB" w:rsidP="00F13658">
      <w:pPr>
        <w:pStyle w:val="ECHRParaSpaced"/>
      </w:pPr>
      <w:r>
        <w:fldChar w:fldCharType="begin"/>
      </w:r>
      <w:r>
        <w:instrText xml:space="preserve"> SEQ level0 \*arabic \* MERGEFORMAT </w:instrText>
      </w:r>
      <w:r>
        <w:fldChar w:fldCharType="separate"/>
      </w:r>
      <w:r w:rsidR="000862FF">
        <w:rPr>
          <w:noProof/>
        </w:rPr>
        <w:t>153</w:t>
      </w:r>
      <w:r>
        <w:fldChar w:fldCharType="end"/>
      </w:r>
      <w:r w:rsidR="00F13658" w:rsidRPr="003B3332">
        <w:t>.  Curtea a evidențiat cerința specifică potrivit căreia anchetarea unui atac cu conotații rasiale să se desfășoare cu diligență și imparțialitate, având în vedere necesitatea de a reafirma permanent condamnarea rasismului de către societate pentru a se menține încrederea minorităților în capacitatea autorităților de a le proteja împotriva amenințării violenței rasiste [</w:t>
      </w:r>
      <w:hyperlink r:id="rId375" w:history="1">
        <w:r w:rsidR="00F13658" w:rsidRPr="003B3332">
          <w:rPr>
            <w:rStyle w:val="Hyperlink"/>
          </w:rPr>
          <w:t>Antayev și alții împotriva Rusiei</w:t>
        </w:r>
      </w:hyperlink>
      <w:r w:rsidR="00F13658" w:rsidRPr="003B3332">
        <w:t xml:space="preserve"> (MC), 2014, pct. 110].</w:t>
      </w:r>
    </w:p>
    <w:p w14:paraId="6B992310" w14:textId="4A527ADD" w:rsidR="00705451" w:rsidRPr="003B3332" w:rsidRDefault="004713AB" w:rsidP="00F13658">
      <w:pPr>
        <w:pStyle w:val="ECHRParaSpaced"/>
        <w:rPr>
          <w:rFonts w:cstheme="minorHAnsi"/>
        </w:rPr>
      </w:pPr>
      <w:r>
        <w:fldChar w:fldCharType="begin"/>
      </w:r>
      <w:r>
        <w:instrText xml:space="preserve"> SEQ level0 \*arabic \* MERGEFORMAT </w:instrText>
      </w:r>
      <w:r>
        <w:fldChar w:fldCharType="separate"/>
      </w:r>
      <w:r w:rsidR="000862FF">
        <w:rPr>
          <w:noProof/>
        </w:rPr>
        <w:t>154</w:t>
      </w:r>
      <w:r>
        <w:fldChar w:fldCharType="end"/>
      </w:r>
      <w:r w:rsidR="00FA7743" w:rsidRPr="003B3332">
        <w:t>.  Prin urmare, atunci când sunt anchetate incidente violente declanșate de persoane suspectate de atitudini rasiste, autoritățile statului trebuie să ia toate măsurile rezonabile pentru a stabili dacă au existat motive rasiste și dacă sentimentele de ură sau prejudecățile bazate pe originea etnică a unei persoane au jucat un rol în evenimentele în cauză. A examina violența și brutalitatea motivate rasial de pe aceeași poziție ca în cauzele care nu au conotații rasiste ar echivala cu a ignora natura specifică a unor acte care sunt deosebit de distructive pentru drepturile fundamentale ale omului (</w:t>
      </w:r>
      <w:hyperlink r:id="rId376" w:history="1">
        <w:r w:rsidR="00FA7743" w:rsidRPr="003B3332">
          <w:rPr>
            <w:rStyle w:val="Hyperlink"/>
          </w:rPr>
          <w:t>Abdu împotriva Bulgariei</w:t>
        </w:r>
      </w:hyperlink>
      <w:r w:rsidR="00FA7743" w:rsidRPr="003B3332">
        <w:t>, 2014, pct. 44). Obligația menționată este parte din responsabilitatea care incumbă statelor în baza art. 14 din Convenție coroborat cu art. 3, fiind totodată un aspect al obligațiilor procedurale ce decurg din art. 3 din Convenție (</w:t>
      </w:r>
      <w:hyperlink r:id="rId377" w:history="1">
        <w:r w:rsidR="00FA7743" w:rsidRPr="003B3332">
          <w:rPr>
            <w:rStyle w:val="Hyperlink"/>
          </w:rPr>
          <w:t>M.F. împotriva Ungariei</w:t>
        </w:r>
      </w:hyperlink>
      <w:r w:rsidR="00FA7743" w:rsidRPr="003B3332">
        <w:t>, 2017, pct. 73). Aceasta se aplică, de asemenea, atunci când un  tip anume de tratamente incompatibile cu art. 3 este aplicat de o persoană particulară (</w:t>
      </w:r>
      <w:hyperlink r:id="rId378" w:history="1">
        <w:r w:rsidR="00FA7743" w:rsidRPr="003B3332">
          <w:rPr>
            <w:rStyle w:val="Hyperlink"/>
          </w:rPr>
          <w:t>Abdu împotriva Bulgariei</w:t>
        </w:r>
      </w:hyperlink>
      <w:r w:rsidR="00FA7743" w:rsidRPr="003B3332">
        <w:t>, 2014, pct. 44).</w:t>
      </w:r>
    </w:p>
    <w:p w14:paraId="6BC04D79" w14:textId="011A2FDA" w:rsidR="00826087" w:rsidRPr="003B3332" w:rsidRDefault="004713AB" w:rsidP="00F13658">
      <w:pPr>
        <w:pStyle w:val="ECHRParaSpaced"/>
      </w:pPr>
      <w:r>
        <w:fldChar w:fldCharType="begin"/>
      </w:r>
      <w:r>
        <w:instrText xml:space="preserve"> SEQ level0 \*arabic \* MERGEFORMAT </w:instrText>
      </w:r>
      <w:r>
        <w:fldChar w:fldCharType="separate"/>
      </w:r>
      <w:r w:rsidR="000862FF">
        <w:rPr>
          <w:noProof/>
        </w:rPr>
        <w:t>155</w:t>
      </w:r>
      <w:r>
        <w:fldChar w:fldCharType="end"/>
      </w:r>
      <w:r w:rsidR="005B3933" w:rsidRPr="003B3332">
        <w:t>.  În plus, o asemenea anchetă se referă nu numai la acte de violență motivate de situația personală sau caracteristicile, reale sau percepute, ale unei victime, ci și la acte de violență bazate pe asocierea sau afilierea, reală sau prezumată, a unei victime cu o altă persoană care are sau se presupune că are un anumit statut sau o caracteristică protejată (</w:t>
      </w:r>
      <w:hyperlink r:id="rId379" w:history="1">
        <w:r w:rsidR="005B3933" w:rsidRPr="003B3332">
          <w:rPr>
            <w:rStyle w:val="Hyperlink"/>
          </w:rPr>
          <w:t>Škorjanec împotriva Croației</w:t>
        </w:r>
      </w:hyperlink>
      <w:r w:rsidR="005B3933" w:rsidRPr="003B3332">
        <w:t>, 2017, pct. 56).</w:t>
      </w:r>
    </w:p>
    <w:p w14:paraId="4D0FD336" w14:textId="0D4B55C8" w:rsidR="00B75908" w:rsidRPr="003B3332" w:rsidRDefault="004713AB" w:rsidP="00F13658">
      <w:pPr>
        <w:pStyle w:val="ECHRParaSpaced"/>
      </w:pPr>
      <w:r>
        <w:fldChar w:fldCharType="begin"/>
      </w:r>
      <w:r>
        <w:instrText xml:space="preserve"> SEQ level0 \*arabic \* MERGEFORMAT </w:instrText>
      </w:r>
      <w:r>
        <w:fldChar w:fldCharType="separate"/>
      </w:r>
      <w:r w:rsidR="000862FF">
        <w:rPr>
          <w:noProof/>
        </w:rPr>
        <w:t>156</w:t>
      </w:r>
      <w:r>
        <w:fldChar w:fldCharType="end"/>
      </w:r>
      <w:r w:rsidR="005B3933" w:rsidRPr="003B3332">
        <w:t>.  Demonstrarea motivației rasiale este adesea dificilă în practică. Obligația statului pârât de a ancheta posibilele accente rasiale ale unui act de violență este obligația de a folosi cele mai bune metode, dar nu metodele absolute. Autoritățile trebuie să facă tot ceea ce este rezonabil în circumstanțele respective pentru a strânge și a asigura probele, să exploreze toate mijloacele practice de descoperire a adevărului și să pronunțe decizii temeinic motivate, imparțiale și obiective, fără omiterea unor fapte suspecte care pot indica acte de violență care au motivație rasială (</w:t>
      </w:r>
      <w:hyperlink r:id="rId380" w:history="1">
        <w:r w:rsidR="005B3933" w:rsidRPr="003B3332">
          <w:rPr>
            <w:rStyle w:val="Hyperlink"/>
          </w:rPr>
          <w:t>Antayev și alții împotriva Rusiei</w:t>
        </w:r>
      </w:hyperlink>
      <w:r w:rsidR="005B3933" w:rsidRPr="003B3332">
        <w:rPr>
          <w:i/>
        </w:rPr>
        <w:t xml:space="preserve">, </w:t>
      </w:r>
      <w:r w:rsidR="005B3933" w:rsidRPr="003B3332">
        <w:t>2014, pct. 122).</w:t>
      </w:r>
    </w:p>
    <w:p w14:paraId="698E2D9E" w14:textId="2D7C7024" w:rsidR="008C4EDE" w:rsidRPr="003B3332" w:rsidRDefault="004713AB" w:rsidP="00F13658">
      <w:pPr>
        <w:pStyle w:val="ECHRParaSpaced"/>
        <w:rPr>
          <w:rFonts w:cstheme="minorHAnsi"/>
          <w:color w:val="000000"/>
        </w:rPr>
      </w:pPr>
      <w:r>
        <w:fldChar w:fldCharType="begin"/>
      </w:r>
      <w:r>
        <w:instrText xml:space="preserve"> SEQ level0 \*arabic \* MERGEFORMAT </w:instrText>
      </w:r>
      <w:r>
        <w:fldChar w:fldCharType="separate"/>
      </w:r>
      <w:r w:rsidR="000862FF">
        <w:rPr>
          <w:noProof/>
        </w:rPr>
        <w:t>157</w:t>
      </w:r>
      <w:r>
        <w:fldChar w:fldCharType="end"/>
      </w:r>
      <w:r w:rsidR="00FA7743" w:rsidRPr="003B3332">
        <w:t>.  Aceleași considerente apar pentru violența care rezultă, de exemplu, din intoleranța religioasă sau pentru violența motivată de discriminarea bazată pe gen ori pe orientarea sexuală (</w:t>
      </w:r>
      <w:hyperlink r:id="rId381" w:history="1">
        <w:r w:rsidR="00FA7743" w:rsidRPr="003B3332">
          <w:rPr>
            <w:rStyle w:val="Hyperlink"/>
          </w:rPr>
          <w:t>Sabalić împotriva Croației</w:t>
        </w:r>
      </w:hyperlink>
      <w:r w:rsidR="00FA7743" w:rsidRPr="003B3332">
        <w:rPr>
          <w:color w:val="000000"/>
        </w:rPr>
        <w:t xml:space="preserve">, 2021, pct. 94; a se vedea, de exemplu, </w:t>
      </w:r>
      <w:hyperlink r:id="rId382" w:history="1">
        <w:r w:rsidR="00FA7743" w:rsidRPr="003B3332">
          <w:rPr>
            <w:rStyle w:val="Hyperlink"/>
          </w:rPr>
          <w:t>Romanov și alții împotriva Rusiei</w:t>
        </w:r>
      </w:hyperlink>
      <w:r w:rsidR="00FA7743" w:rsidRPr="003B3332">
        <w:t>, 2023, pct. 78-79</w:t>
      </w:r>
      <w:r w:rsidR="00FA7743" w:rsidRPr="003B3332">
        <w:rPr>
          <w:color w:val="000000"/>
        </w:rPr>
        <w:t xml:space="preserve">; a se vedea și, pentru violența rezultată din intoleranța politică, </w:t>
      </w:r>
      <w:hyperlink r:id="rId383" w:history="1">
        <w:r w:rsidR="00FA7743" w:rsidRPr="003B3332">
          <w:rPr>
            <w:rStyle w:val="Hyperlink"/>
          </w:rPr>
          <w:t>Verzilov și alții împotriva Rusiei</w:t>
        </w:r>
      </w:hyperlink>
      <w:r w:rsidR="00FA7743" w:rsidRPr="003B3332">
        <w:rPr>
          <w:color w:val="000000"/>
        </w:rPr>
        <w:t>, 2023, pct. 78).</w:t>
      </w:r>
    </w:p>
    <w:p w14:paraId="41DC6316" w14:textId="2A2F6DF8" w:rsidR="00C94D18" w:rsidRPr="003B3332" w:rsidRDefault="004713AB" w:rsidP="00F13658">
      <w:pPr>
        <w:pStyle w:val="ECHRParaSpaced"/>
        <w:rPr>
          <w:b/>
          <w:bCs/>
        </w:rPr>
      </w:pPr>
      <w:r>
        <w:fldChar w:fldCharType="begin"/>
      </w:r>
      <w:r>
        <w:instrText xml:space="preserve"> SEQ level0 \*arabic \* MERGEFORMAT </w:instrText>
      </w:r>
      <w:r>
        <w:fldChar w:fldCharType="separate"/>
      </w:r>
      <w:r w:rsidR="000862FF">
        <w:rPr>
          <w:noProof/>
        </w:rPr>
        <w:t>158</w:t>
      </w:r>
      <w:r>
        <w:fldChar w:fldCharType="end"/>
      </w:r>
      <w:r w:rsidR="00FA7743" w:rsidRPr="003B3332">
        <w:t xml:space="preserve">.  Informații mai detaliate pot fi găsite în </w:t>
      </w:r>
      <w:hyperlink r:id="rId384" w:history="1">
        <w:r w:rsidR="00FA7743" w:rsidRPr="003B3332">
          <w:rPr>
            <w:rStyle w:val="Hyperlink"/>
          </w:rPr>
          <w:t>Ghid de jurisprudență privind art. 14 și art. 1 din Protocolul nr. 12 - Interzicerea discriminării</w:t>
        </w:r>
      </w:hyperlink>
      <w:r w:rsidR="00FA7743" w:rsidRPr="003B3332">
        <w:t>.</w:t>
      </w:r>
    </w:p>
    <w:p w14:paraId="485541DC" w14:textId="71215732" w:rsidR="005A2AED" w:rsidRPr="003B3332" w:rsidRDefault="005A2AED" w:rsidP="005A2AED">
      <w:pPr>
        <w:pStyle w:val="ECHRHeading2"/>
      </w:pPr>
      <w:bookmarkStart w:id="100" w:name="_Toc180674944"/>
      <w:r w:rsidRPr="003B3332">
        <w:t>Obligații procedurale în contexte transfrontaliere</w:t>
      </w:r>
      <w:bookmarkEnd w:id="100"/>
    </w:p>
    <w:p w14:paraId="271AFBC6" w14:textId="613C0193" w:rsidR="00951D8B" w:rsidRPr="003B3332" w:rsidRDefault="004713AB" w:rsidP="00951D8B">
      <w:pPr>
        <w:pStyle w:val="ECHRParaSpaced"/>
      </w:pPr>
      <w:r>
        <w:fldChar w:fldCharType="begin"/>
      </w:r>
      <w:r>
        <w:instrText xml:space="preserve"> SEQ level0 \*arabic \* MERGEFORMAT </w:instrText>
      </w:r>
      <w:r>
        <w:fldChar w:fldCharType="separate"/>
      </w:r>
      <w:r w:rsidR="000862FF">
        <w:rPr>
          <w:noProof/>
        </w:rPr>
        <w:t>159</w:t>
      </w:r>
      <w:r>
        <w:fldChar w:fldCharType="end"/>
      </w:r>
      <w:r w:rsidR="00FA7743" w:rsidRPr="003B3332">
        <w:t xml:space="preserve">.  Cerința caracterului efectiv al anchetei penale poate include, în anumite circumstanțe, obligația organelor de urmărire penală de a coopera cu autoritățile din alt stat, implicând obligația de a cere sau de a acorda asistență. Natura și domeniul de aplicare ale acestor obligații vor depinde, inevitabil, de circumstanțele fiecărui caz în parte, de exemplu, dacă principalele elemente de probă sunt localizate pe teritoriul statului contractant în cauză sau dacă suspecții au fugit acolo. Aceasta înseamnă că statele vizate trebuie să ia toate măsurile rezonabile pe care le pot lua pentru a coopera între ele, epuizând cu bună-credință posibilitățile disponibile în temeiul instrumentelor internaționale aplicabile privind asistența și cooperarea juridică reciproce în materie penală. Deși Curtea nu este competentă să supravegheze respectarea altor tratate și obligații internaționale decât Convenția, în mod normal verifică în acest context dacă statul pârât a folosit posibilitățile disponibile în temeiul acestor instrumente </w:t>
      </w:r>
      <w:r w:rsidR="00FA7743" w:rsidRPr="003B3332">
        <w:rPr>
          <w:color w:val="000000"/>
        </w:rPr>
        <w:t>[</w:t>
      </w:r>
      <w:hyperlink r:id="rId385" w:history="1">
        <w:r w:rsidR="00FA7743" w:rsidRPr="003B3332">
          <w:rPr>
            <w:rStyle w:val="Hyperlink"/>
          </w:rPr>
          <w:t>X și alții împotriva Bulgariei</w:t>
        </w:r>
      </w:hyperlink>
      <w:r w:rsidR="00FA7743" w:rsidRPr="003B3332">
        <w:t xml:space="preserve"> </w:t>
      </w:r>
      <w:r w:rsidR="00FA7743" w:rsidRPr="003B3332">
        <w:rPr>
          <w:color w:val="000000"/>
        </w:rPr>
        <w:t>(MC), 2021, pct. 19].</w:t>
      </w:r>
    </w:p>
    <w:p w14:paraId="716F53FE" w14:textId="0F378694" w:rsidR="00795DAE" w:rsidRPr="003B3332" w:rsidRDefault="00795DAE" w:rsidP="00795DAE">
      <w:pPr>
        <w:pStyle w:val="ECHRHeading2"/>
      </w:pPr>
      <w:bookmarkStart w:id="101" w:name="_Toc180674945"/>
      <w:r w:rsidRPr="003B3332">
        <w:t>Restabilirea obligațiilor procedurale</w:t>
      </w:r>
      <w:bookmarkEnd w:id="101"/>
    </w:p>
    <w:p w14:paraId="168AC2C7" w14:textId="3F9D38BF" w:rsidR="00475F5E" w:rsidRPr="003B3332" w:rsidRDefault="004713AB" w:rsidP="00475F5E">
      <w:pPr>
        <w:pStyle w:val="ECHRParaSpaced"/>
      </w:pPr>
      <w:r>
        <w:fldChar w:fldCharType="begin"/>
      </w:r>
      <w:r>
        <w:instrText xml:space="preserve"> SEQ level0 \*arabic \* MERGEFORMAT </w:instrText>
      </w:r>
      <w:r>
        <w:fldChar w:fldCharType="separate"/>
      </w:r>
      <w:r w:rsidR="000862FF">
        <w:rPr>
          <w:noProof/>
        </w:rPr>
        <w:t>160</w:t>
      </w:r>
      <w:r>
        <w:fldChar w:fldCharType="end"/>
      </w:r>
      <w:r w:rsidR="00CC7FD3" w:rsidRPr="003B3332">
        <w:t xml:space="preserve">.  Obligația procedurală poate fi restabilită în urma unei noi evoluții, precum descoperirea de noi probe sau informații care demontează rezultatele unei cercetări sau ale unui proces anterior [a se vedea </w:t>
      </w:r>
      <w:hyperlink r:id="rId386" w:history="1">
        <w:r w:rsidR="00CC7FD3" w:rsidRPr="003B3332">
          <w:rPr>
            <w:rStyle w:val="Hyperlink"/>
          </w:rPr>
          <w:t>Egmez împotriva Ciprului</w:t>
        </w:r>
      </w:hyperlink>
      <w:r w:rsidR="00CC7FD3" w:rsidRPr="003B3332">
        <w:t xml:space="preserve"> (dec.), 2012, § 63]. Natura și amploarea oricărei cercetări ulterioare cerute de obligația procedurală vor depinde, inevitabil, de circumstanțele fiecărui caz în parte și pot fi diferite de cele așteptate  imediat după ce au avut loc relele tratamente [</w:t>
      </w:r>
      <w:hyperlink r:id="rId387" w:history="1">
        <w:r w:rsidR="00CC7FD3" w:rsidRPr="003B3332">
          <w:rPr>
            <w:rStyle w:val="Hyperlink"/>
          </w:rPr>
          <w:t>Jeronovičs împotriva Letoniei</w:t>
        </w:r>
      </w:hyperlink>
      <w:r w:rsidR="00CC7FD3" w:rsidRPr="003B3332">
        <w:t xml:space="preserve"> (MC), 2016, pct. 107].</w:t>
      </w:r>
    </w:p>
    <w:p w14:paraId="083CCA21" w14:textId="77777777" w:rsidR="00475F5E" w:rsidRPr="003B3332" w:rsidRDefault="00475F5E">
      <w:r w:rsidRPr="003B3332">
        <w:br w:type="page"/>
      </w:r>
    </w:p>
    <w:p w14:paraId="4ABB85F2" w14:textId="0C1B66BA" w:rsidR="00184B1D" w:rsidRPr="003B3332" w:rsidRDefault="00184B1D" w:rsidP="00BD3781">
      <w:pPr>
        <w:pStyle w:val="ECHRTitleCentreTOC1"/>
      </w:pPr>
      <w:bookmarkStart w:id="102" w:name="_Toc180674946"/>
      <w:r w:rsidRPr="003B3332">
        <w:t>Lista cauzelor citate</w:t>
      </w:r>
      <w:bookmarkEnd w:id="82"/>
      <w:bookmarkEnd w:id="83"/>
      <w:bookmarkEnd w:id="84"/>
      <w:bookmarkEnd w:id="85"/>
      <w:bookmarkEnd w:id="86"/>
      <w:bookmarkEnd w:id="87"/>
      <w:bookmarkEnd w:id="102"/>
    </w:p>
    <w:p w14:paraId="170E6743" w14:textId="77777777" w:rsidR="00725341" w:rsidRPr="003B3332" w:rsidRDefault="00725341" w:rsidP="00593909">
      <w:pPr>
        <w:pStyle w:val="ECHRParaSpaced"/>
      </w:pPr>
    </w:p>
    <w:p w14:paraId="1E9C40B8" w14:textId="2060DC2F" w:rsidR="00184B1D" w:rsidRPr="003B3332" w:rsidRDefault="00184B1D" w:rsidP="00184B1D">
      <w:pPr>
        <w:pStyle w:val="ECHRParaSpaced"/>
      </w:pPr>
      <w:r w:rsidRPr="003B3332">
        <w:t xml:space="preserve">Jurisprudența citată în </w:t>
      </w:r>
      <w:r w:rsidR="00CD12F4">
        <w:t xml:space="preserve">prezentul </w:t>
      </w:r>
      <w:r w:rsidRPr="003B3332">
        <w:t xml:space="preserve">ghid face trimitere la hotărâri </w:t>
      </w:r>
      <w:r w:rsidR="00CD12F4">
        <w:t>sau</w:t>
      </w:r>
      <w:r w:rsidRPr="003B3332">
        <w:t xml:space="preserve"> decizii pronunțate de Curtea Europeană a Drepturilor Omului, precum și la decizii și rapoarte ale Comisiei Europene a Drepturilor Omului.</w:t>
      </w:r>
    </w:p>
    <w:p w14:paraId="22C15911" w14:textId="6CF995D9" w:rsidR="00CD12F4" w:rsidRDefault="00184B1D" w:rsidP="00184B1D">
      <w:pPr>
        <w:pStyle w:val="ECHRParaSpaced"/>
        <w:rPr>
          <w:rFonts w:ascii="Trebuchet MS" w:hAnsi="Trebuchet MS" w:cs="Times New Roman"/>
        </w:rPr>
      </w:pPr>
      <w:r w:rsidRPr="003B3332">
        <w:t>Dacă nu se specifică altfel</w:t>
      </w:r>
      <w:r w:rsidR="00CD12F4">
        <w:t>,</w:t>
      </w:r>
      <w:r w:rsidRPr="003B3332">
        <w:t xml:space="preserve"> </w:t>
      </w:r>
      <w:r w:rsidR="00CD12F4" w:rsidRPr="00CD12F4">
        <w:t>trimiterea este la o hotărâre pe fond, pronunțată de o Cameră a Curții. Abrevierea „(dec.)” arată că este vorba despre o decizie a Curții, iar „(MC)” că respectiva cauză a fost examinată de Marea Cameră.</w:t>
      </w:r>
      <w:r w:rsidR="00CD12F4">
        <w:rPr>
          <w:rFonts w:ascii="Trebuchet MS" w:hAnsi="Trebuchet MS" w:cs="Times New Roman"/>
        </w:rPr>
        <w:t xml:space="preserve"> </w:t>
      </w:r>
    </w:p>
    <w:p w14:paraId="1B3FD918" w14:textId="0FD613C6" w:rsidR="00184B1D" w:rsidRPr="003B3332" w:rsidRDefault="00184B1D" w:rsidP="00184B1D">
      <w:pPr>
        <w:pStyle w:val="ECHRParaSpaced"/>
      </w:pPr>
      <w:r w:rsidRPr="003B3332">
        <w:t>Hiperlinkurile cauzelor citate în versiunea electronică a ghidului direcționează spre baza de date HUDOC (&lt;</w:t>
      </w:r>
      <w:hyperlink r:id="rId388" w:history="1">
        <w:r w:rsidRPr="003B3332">
          <w:rPr>
            <w:rStyle w:val="Hyperlink"/>
          </w:rPr>
          <w:t>http://hudoc.echr.coe.int</w:t>
        </w:r>
      </w:hyperlink>
      <w:r w:rsidRPr="003B3332">
        <w:t>&gt;) care oferă acces la jurisprudența Curții (hotărâri și decizii pronunțate de Marea Cameră, de Cameră și de Comitet, cauze comunicate, avize consultative și rezumate juridice extrase din Nota de informare privind jurisprudența) și la jurisprudența Comisiei (decizii și rapoarte), precum și la rezoluțiile Comitetului de Miniștri.</w:t>
      </w:r>
    </w:p>
    <w:p w14:paraId="46C1DC51" w14:textId="77777777" w:rsidR="00677D44" w:rsidRPr="003B3332" w:rsidRDefault="00184B1D" w:rsidP="00D42B28">
      <w:pPr>
        <w:pStyle w:val="ECHRParaSpaced"/>
      </w:pPr>
      <w:r w:rsidRPr="003B3332">
        <w:t>Curtea pronunță hotărârile și deciziile în limba engleză și/sau franceză, cele două limbi oficiale ale acesteia. Baza de date HUDOC conține, de asemenea, traduceri ale unor cauze importante în peste treizeci de limbi neoficiale. În plus, include linkuri către aproximativ o sută de culegeri de jurisprudență online, elaborate de terți.</w:t>
      </w:r>
    </w:p>
    <w:p w14:paraId="4F4A1709" w14:textId="0D59BD5A" w:rsidR="00725341" w:rsidRPr="003B3332" w:rsidRDefault="00725341" w:rsidP="00593909">
      <w:pPr>
        <w:pStyle w:val="ECHRParaSpaced"/>
      </w:pPr>
    </w:p>
    <w:p w14:paraId="686299CC" w14:textId="77777777" w:rsidR="00BB682C" w:rsidRPr="003B3332" w:rsidRDefault="00BB682C" w:rsidP="00C547C1">
      <w:pPr>
        <w:pStyle w:val="ECHRTitleCentre1"/>
      </w:pPr>
      <w:r w:rsidRPr="003B3332">
        <w:t>—A—</w:t>
      </w:r>
    </w:p>
    <w:p w14:paraId="4D6CDA7A" w14:textId="2B5334B0" w:rsidR="00DF5FCD" w:rsidRPr="003B3332" w:rsidRDefault="004713AB" w:rsidP="00DF5FCD">
      <w:pPr>
        <w:pStyle w:val="ECHRParaHanging"/>
      </w:pPr>
      <w:hyperlink r:id="rId389" w:history="1">
        <w:r w:rsidR="009B638B" w:rsidRPr="003B3332">
          <w:rPr>
            <w:rStyle w:val="Hyperlink"/>
          </w:rPr>
          <w:t>A împotriva Rusiei</w:t>
        </w:r>
      </w:hyperlink>
      <w:r w:rsidR="009B638B" w:rsidRPr="003B3332">
        <w:t>, nr. 37735/09, 12 noiembrie 2019</w:t>
      </w:r>
    </w:p>
    <w:p w14:paraId="6CA81B52" w14:textId="32191F5A" w:rsidR="00FD3F49" w:rsidRPr="003B3332" w:rsidRDefault="004713AB" w:rsidP="00A1089A">
      <w:pPr>
        <w:pStyle w:val="ECHRPara"/>
        <w:rPr>
          <w:iCs/>
        </w:rPr>
      </w:pPr>
      <w:hyperlink r:id="rId390" w:history="1">
        <w:r w:rsidR="009B638B" w:rsidRPr="003B3332">
          <w:rPr>
            <w:rStyle w:val="Hyperlink"/>
          </w:rPr>
          <w:t>A. împotriva Regatului Unit</w:t>
        </w:r>
      </w:hyperlink>
      <w:r w:rsidR="009B638B" w:rsidRPr="003B3332">
        <w:t>, 23 septembrie 1998,</w:t>
      </w:r>
      <w:r w:rsidR="009B638B" w:rsidRPr="003B3332">
        <w:rPr>
          <w:i/>
        </w:rPr>
        <w:t xml:space="preserve"> Culegere de hotărâri și decizii </w:t>
      </w:r>
      <w:r w:rsidR="009B638B" w:rsidRPr="003B3332">
        <w:t>1998</w:t>
      </w:r>
      <w:r w:rsidR="009B638B" w:rsidRPr="003B3332">
        <w:noBreakHyphen/>
        <w:t>VI</w:t>
      </w:r>
    </w:p>
    <w:p w14:paraId="270F7062" w14:textId="08D48A41" w:rsidR="007817FF" w:rsidRPr="003B3332" w:rsidRDefault="004713AB" w:rsidP="007817FF">
      <w:pPr>
        <w:pStyle w:val="ECHRPara"/>
      </w:pPr>
      <w:hyperlink r:id="rId391" w:history="1">
        <w:r w:rsidR="009B638B" w:rsidRPr="003B3332">
          <w:rPr>
            <w:rStyle w:val="Hyperlink"/>
          </w:rPr>
          <w:t>A. și alții împotriva Regatului Unit</w:t>
        </w:r>
      </w:hyperlink>
      <w:r w:rsidR="009B638B" w:rsidRPr="003B3332">
        <w:t xml:space="preserve"> (MC), nr. 3455/05, CEDO 2009</w:t>
      </w:r>
    </w:p>
    <w:p w14:paraId="7A8AC7E2" w14:textId="5CC888D3" w:rsidR="00DF5FCD" w:rsidRPr="003B3332" w:rsidRDefault="004713AB" w:rsidP="00DF5FCD">
      <w:pPr>
        <w:pStyle w:val="ECHRPara"/>
      </w:pPr>
      <w:hyperlink r:id="rId392" w:history="1">
        <w:r w:rsidR="009B638B" w:rsidRPr="003B3332">
          <w:rPr>
            <w:rStyle w:val="Hyperlink"/>
          </w:rPr>
          <w:t>A.L.</w:t>
        </w:r>
      </w:hyperlink>
      <w:hyperlink r:id="rId393" w:history="1">
        <w:r w:rsidR="009B638B" w:rsidRPr="003B3332">
          <w:rPr>
            <w:rStyle w:val="Hyperlink"/>
          </w:rPr>
          <w:t>(X.W.) împotriva Rusiei</w:t>
        </w:r>
      </w:hyperlink>
      <w:r w:rsidR="009B638B" w:rsidRPr="003B3332">
        <w:t>, nr. 44095/14, 29 octombrie 2015</w:t>
      </w:r>
    </w:p>
    <w:p w14:paraId="099ABD9D" w14:textId="1435DCBF" w:rsidR="00DF5FCD" w:rsidRPr="003B3332" w:rsidRDefault="004713AB" w:rsidP="00DF5FCD">
      <w:pPr>
        <w:pStyle w:val="ECHRPara"/>
      </w:pPr>
      <w:hyperlink r:id="rId394" w:history="1">
        <w:r w:rsidR="009B638B" w:rsidRPr="003B3332">
          <w:rPr>
            <w:rStyle w:val="Hyperlink"/>
          </w:rPr>
          <w:t>A.P. împotriva Slovaciei</w:t>
        </w:r>
      </w:hyperlink>
      <w:r w:rsidR="009B638B" w:rsidRPr="003B3332">
        <w:t>, nr. 10465/17, 28 ianuarie 2020</w:t>
      </w:r>
    </w:p>
    <w:p w14:paraId="1ADB7A6C" w14:textId="716259E9" w:rsidR="00DF5FCD" w:rsidRPr="003B3332" w:rsidRDefault="004713AB" w:rsidP="00DF5FCD">
      <w:pPr>
        <w:pStyle w:val="ECHRParaHanging"/>
      </w:pPr>
      <w:hyperlink r:id="rId395" w:history="1">
        <w:r w:rsidR="009B638B" w:rsidRPr="003B3332">
          <w:rPr>
            <w:rStyle w:val="Hyperlink"/>
          </w:rPr>
          <w:t>A.P., Garçon și Nicot împotriva Franței</w:t>
        </w:r>
      </w:hyperlink>
      <w:r w:rsidR="009B638B" w:rsidRPr="003B3332">
        <w:t>, nr. 79885/12 și alte 2 cereri, 6 aprilie 2017</w:t>
      </w:r>
    </w:p>
    <w:p w14:paraId="25C310DD" w14:textId="65202745" w:rsidR="002A1EF8" w:rsidRPr="003B3332" w:rsidRDefault="004713AB" w:rsidP="007817FF">
      <w:pPr>
        <w:pStyle w:val="ECHRPara"/>
      </w:pPr>
      <w:hyperlink r:id="rId396" w:history="1">
        <w:r w:rsidR="009B638B" w:rsidRPr="003B3332">
          <w:rPr>
            <w:rStyle w:val="Hyperlink"/>
          </w:rPr>
          <w:t>Abdu împotriva Bulgariei</w:t>
        </w:r>
      </w:hyperlink>
      <w:r w:rsidR="009B638B" w:rsidRPr="003B3332">
        <w:t>, nr. 26827/08, 11 martie 2014</w:t>
      </w:r>
    </w:p>
    <w:p w14:paraId="6D565C68" w14:textId="1D8F6400" w:rsidR="00971B2D" w:rsidRPr="003B3332" w:rsidRDefault="004713AB" w:rsidP="006019EB">
      <w:pPr>
        <w:pStyle w:val="ECHRParaHanging"/>
      </w:pPr>
      <w:hyperlink r:id="rId397" w:history="1">
        <w:r w:rsidR="009B638B" w:rsidRPr="003B3332">
          <w:rPr>
            <w:rStyle w:val="Hyperlink"/>
          </w:rPr>
          <w:t>Abdyusheva și alții împotriva Rusiei</w:t>
        </w:r>
      </w:hyperlink>
      <w:r w:rsidR="009B638B" w:rsidRPr="003B3332">
        <w:t>, nr. 58502/11 și alte 2 cereri, 26 noiembrie 2019</w:t>
      </w:r>
    </w:p>
    <w:p w14:paraId="3292C0E3" w14:textId="20FC16FD" w:rsidR="002450EA" w:rsidRPr="003B3332" w:rsidRDefault="004713AB" w:rsidP="006019EB">
      <w:pPr>
        <w:pStyle w:val="ECHRParaHanging"/>
      </w:pPr>
      <w:hyperlink r:id="rId398" w:history="1">
        <w:r w:rsidR="009B638B" w:rsidRPr="003B3332">
          <w:rPr>
            <w:rStyle w:val="Hyperlink"/>
          </w:rPr>
          <w:t>Abu Zubaydah împotriva Lituaniei</w:t>
        </w:r>
      </w:hyperlink>
      <w:r w:rsidR="009B638B" w:rsidRPr="003B3332">
        <w:t>, nr. 46454/11, 31 mai 2018</w:t>
      </w:r>
    </w:p>
    <w:bookmarkStart w:id="103" w:name="_Hlk102122860"/>
    <w:p w14:paraId="101950C6" w14:textId="020AAA3A" w:rsidR="005F5BA1" w:rsidRPr="003B3332" w:rsidRDefault="003F1E82" w:rsidP="005F5BA1">
      <w:pPr>
        <w:pStyle w:val="ECHRPara"/>
        <w:ind w:left="567" w:hanging="567"/>
        <w:rPr>
          <w:bCs/>
        </w:rPr>
      </w:pPr>
      <w:r w:rsidRPr="003B3332">
        <w:rPr>
          <w:i/>
        </w:rPr>
        <w:fldChar w:fldCharType="begin"/>
      </w:r>
      <w:r w:rsidR="009A68EB" w:rsidRPr="003B3332">
        <w:rPr>
          <w:i/>
        </w:rPr>
        <w:instrText>HYPERLINK "https://hudoc.echr.coe.int/?i=003-7317048-10811277"</w:instrText>
      </w:r>
      <w:r w:rsidRPr="003B3332">
        <w:rPr>
          <w:i/>
        </w:rPr>
        <w:fldChar w:fldCharType="separate"/>
      </w:r>
      <w:r w:rsidRPr="003B3332">
        <w:rPr>
          <w:rStyle w:val="Hyperlink"/>
        </w:rPr>
        <w:t>Avizul consultativ privind aplicabilitate legislației de limitare a urmăririi penale, a condamnării și a pedepsirii în privința unei infracțiuni care reprezintă, pe fond, un act de tortură</w:t>
      </w:r>
      <w:r w:rsidRPr="003B3332">
        <w:rPr>
          <w:i/>
        </w:rPr>
        <w:fldChar w:fldCharType="end"/>
      </w:r>
      <w:r w:rsidRPr="003B3332">
        <w:rPr>
          <w:i/>
        </w:rPr>
        <w:t xml:space="preserve"> </w:t>
      </w:r>
      <w:r w:rsidRPr="003B3332">
        <w:t>(MC), solicitare nr. P16-2021-001, Curtea de Casație din Armenia, 26 aprilie 2022</w:t>
      </w:r>
    </w:p>
    <w:bookmarkEnd w:id="103"/>
    <w:p w14:paraId="7ABBF8BB" w14:textId="7601C132" w:rsidR="00F310C6" w:rsidRPr="003B3332" w:rsidRDefault="005F5BA1" w:rsidP="006019EB">
      <w:pPr>
        <w:pStyle w:val="ECHRParaHanging"/>
      </w:pPr>
      <w:r w:rsidRPr="003B3332">
        <w:fldChar w:fldCharType="begin"/>
      </w:r>
      <w:r w:rsidRPr="003B3332">
        <w:instrText xml:space="preserve"> HYPERLINK "http://hudoc.echr.coe.int/eng?i=001-204602" </w:instrText>
      </w:r>
      <w:r w:rsidRPr="003B3332">
        <w:fldChar w:fldCharType="separate"/>
      </w:r>
      <w:r w:rsidRPr="003B3332">
        <w:rPr>
          <w:rStyle w:val="Hyperlink"/>
        </w:rPr>
        <w:t>Aggerholm împotriva Danemarcei</w:t>
      </w:r>
      <w:r w:rsidRPr="003B3332">
        <w:rPr>
          <w:rStyle w:val="Hyperlink"/>
        </w:rPr>
        <w:fldChar w:fldCharType="end"/>
      </w:r>
      <w:r w:rsidRPr="003B3332">
        <w:t>, nr. 45439/18, 15 septembrie 2020</w:t>
      </w:r>
    </w:p>
    <w:p w14:paraId="44FDE662" w14:textId="3C5D94D9" w:rsidR="00A52325" w:rsidRPr="003B3332" w:rsidRDefault="004713AB" w:rsidP="006019EB">
      <w:pPr>
        <w:pStyle w:val="ECHRParaHanging"/>
      </w:pPr>
      <w:hyperlink r:id="rId399" w:history="1">
        <w:r w:rsidR="009B638B" w:rsidRPr="003B3332">
          <w:rPr>
            <w:i/>
            <w:color w:val="0072BC" w:themeColor="hyperlink"/>
          </w:rPr>
          <w:t>Akkad împotriva Turciei</w:t>
        </w:r>
      </w:hyperlink>
      <w:r w:rsidR="009B638B" w:rsidRPr="003B3332">
        <w:t>, nr.1557/19, 21 iunie 2022</w:t>
      </w:r>
    </w:p>
    <w:p w14:paraId="1597CCAB" w14:textId="6D242212" w:rsidR="00687DF7" w:rsidRPr="003B3332" w:rsidRDefault="004713AB" w:rsidP="00083A22">
      <w:pPr>
        <w:pStyle w:val="ECHRPara"/>
      </w:pPr>
      <w:hyperlink r:id="rId400" w:history="1">
        <w:r w:rsidR="009B638B" w:rsidRPr="003B3332">
          <w:rPr>
            <w:rStyle w:val="Hyperlink"/>
          </w:rPr>
          <w:t>Akkum împotriva Turciei</w:t>
        </w:r>
      </w:hyperlink>
      <w:r w:rsidR="009B638B" w:rsidRPr="003B3332">
        <w:t>, nr. 21894/93, CEDO 2005</w:t>
      </w:r>
      <w:r w:rsidR="009B638B" w:rsidRPr="003B3332">
        <w:noBreakHyphen/>
        <w:t>II(extrase)</w:t>
      </w:r>
    </w:p>
    <w:p w14:paraId="1B8B6F9B" w14:textId="1E3BF331" w:rsidR="00687DF7" w:rsidRPr="003B3332" w:rsidRDefault="004713AB" w:rsidP="00687DF7">
      <w:pPr>
        <w:pStyle w:val="ECHRPara"/>
      </w:pPr>
      <w:hyperlink r:id="rId401" w:history="1">
        <w:r w:rsidR="009B638B" w:rsidRPr="003B3332">
          <w:rPr>
            <w:rStyle w:val="Hyperlink"/>
          </w:rPr>
          <w:t>Akpınar și Altun împotriva Turciei</w:t>
        </w:r>
      </w:hyperlink>
      <w:r w:rsidR="009B638B" w:rsidRPr="003B3332">
        <w:t>, nr. 56760/00, 27 februarie 2007</w:t>
      </w:r>
    </w:p>
    <w:p w14:paraId="29B305AC" w14:textId="7CED72F1" w:rsidR="00B86D38" w:rsidRPr="003B3332" w:rsidRDefault="004713AB" w:rsidP="006019EB">
      <w:pPr>
        <w:pStyle w:val="ECHRParaHanging"/>
      </w:pPr>
      <w:hyperlink r:id="rId402" w:history="1">
        <w:r w:rsidR="009B638B" w:rsidRPr="003B3332">
          <w:rPr>
            <w:rStyle w:val="Hyperlink"/>
          </w:rPr>
          <w:t>Aksoy împotriva Turciei</w:t>
        </w:r>
      </w:hyperlink>
      <w:r w:rsidR="009B638B" w:rsidRPr="003B3332">
        <w:t xml:space="preserve">, 18 decembrie 1996, </w:t>
      </w:r>
      <w:r w:rsidR="009B638B" w:rsidRPr="003B3332">
        <w:rPr>
          <w:i/>
        </w:rPr>
        <w:t>Culegere de hotărâri și decizii</w:t>
      </w:r>
      <w:r w:rsidR="009B638B" w:rsidRPr="003B3332">
        <w:t xml:space="preserve"> 1996-VI</w:t>
      </w:r>
    </w:p>
    <w:p w14:paraId="59C33C22" w14:textId="3C5F8714" w:rsidR="00E42097" w:rsidRPr="003B3332" w:rsidRDefault="004713AB" w:rsidP="006019EB">
      <w:pPr>
        <w:pStyle w:val="ECHRParaHanging"/>
      </w:pPr>
      <w:hyperlink r:id="rId403" w:history="1">
        <w:r w:rsidR="009B638B" w:rsidRPr="003B3332">
          <w:rPr>
            <w:rStyle w:val="Hyperlink"/>
          </w:rPr>
          <w:t xml:space="preserve">Ali Güneş împotriva Turciei </w:t>
        </w:r>
      </w:hyperlink>
      <w:r w:rsidR="009B638B" w:rsidRPr="003B3332">
        <w:t>, nr. 9829/07, 10 aprilie 2012</w:t>
      </w:r>
    </w:p>
    <w:bookmarkStart w:id="104" w:name="_cl43960"/>
    <w:p w14:paraId="4CF62540" w14:textId="37CDEA1A" w:rsidR="00725E2A" w:rsidRPr="003B3332" w:rsidRDefault="00725E2A" w:rsidP="006019EB">
      <w:pPr>
        <w:pStyle w:val="ECHRParaHanging"/>
      </w:pPr>
      <w:r w:rsidRPr="003B3332">
        <w:rPr>
          <w:i/>
        </w:rPr>
        <w:fldChar w:fldCharType="begin"/>
      </w:r>
      <w:r w:rsidRPr="003B3332">
        <w:rPr>
          <w:i/>
        </w:rPr>
        <w:instrText xml:space="preserve"> HYPERLINK "http://hudoc.echr.coe.int/eng?i=001-230250" </w:instrText>
      </w:r>
      <w:r w:rsidRPr="003B3332">
        <w:rPr>
          <w:i/>
        </w:rPr>
        <w:fldChar w:fldCharType="separate"/>
      </w:r>
      <w:r w:rsidRPr="003B3332">
        <w:rPr>
          <w:rStyle w:val="Hyperlink"/>
        </w:rPr>
        <w:t>Al-Hawsawi împotriva Lituaniei</w:t>
      </w:r>
      <w:r w:rsidRPr="003B3332">
        <w:rPr>
          <w:i/>
        </w:rPr>
        <w:fldChar w:fldCharType="end"/>
      </w:r>
      <w:bookmarkEnd w:id="104"/>
      <w:r w:rsidRPr="003B3332">
        <w:t>, nr. 6383/17, 16 ianuarie 2024</w:t>
      </w:r>
    </w:p>
    <w:p w14:paraId="2D55859F" w14:textId="6CD20B47" w:rsidR="007F34AA" w:rsidRPr="003B3332" w:rsidRDefault="004713AB" w:rsidP="006019EB">
      <w:pPr>
        <w:pStyle w:val="ECHRParaHanging"/>
      </w:pPr>
      <w:hyperlink r:id="rId404" w:history="1">
        <w:r w:rsidR="009B638B" w:rsidRPr="003B3332">
          <w:rPr>
            <w:rStyle w:val="Hyperlink"/>
          </w:rPr>
          <w:t>Al Nashiri împotriva Poloniei</w:t>
        </w:r>
      </w:hyperlink>
      <w:r w:rsidR="009B638B" w:rsidRPr="003B3332">
        <w:t>, nr. 28761/11, 24 iulie 2014</w:t>
      </w:r>
    </w:p>
    <w:p w14:paraId="51CFA686" w14:textId="5107A2D8" w:rsidR="008F0CE3" w:rsidRPr="003B3332" w:rsidRDefault="004713AB" w:rsidP="006019EB">
      <w:pPr>
        <w:pStyle w:val="ECHRParaHanging"/>
      </w:pPr>
      <w:hyperlink r:id="rId405" w:history="1">
        <w:r w:rsidR="009B638B" w:rsidRPr="003B3332">
          <w:rPr>
            <w:rStyle w:val="Hyperlink"/>
          </w:rPr>
          <w:t>Al Nashiri împotriva României</w:t>
        </w:r>
      </w:hyperlink>
      <w:r w:rsidR="009B638B" w:rsidRPr="003B3332">
        <w:t>, nr. 33234/12, 31 mai 2018</w:t>
      </w:r>
    </w:p>
    <w:p w14:paraId="40B8027D" w14:textId="2CFF22A5" w:rsidR="009B5C90" w:rsidRPr="003B3332" w:rsidRDefault="004713AB" w:rsidP="009B5C90">
      <w:pPr>
        <w:pStyle w:val="ECHRParaHanging"/>
      </w:pPr>
      <w:hyperlink r:id="rId406" w:history="1">
        <w:r w:rsidR="009B638B" w:rsidRPr="003B3332">
          <w:rPr>
            <w:rStyle w:val="Hyperlink"/>
          </w:rPr>
          <w:t>Al-Saadoon și Mufdhi împotriva Regatului Unit</w:t>
        </w:r>
      </w:hyperlink>
      <w:r w:rsidR="009B638B" w:rsidRPr="003B3332">
        <w:t>, nr. 61498/08, CEDO 2010</w:t>
      </w:r>
    </w:p>
    <w:p w14:paraId="1FB2C167" w14:textId="52E0D62D" w:rsidR="006E4327" w:rsidRPr="003B3332" w:rsidRDefault="004713AB" w:rsidP="009B5C90">
      <w:pPr>
        <w:pStyle w:val="ECHRParaHanging"/>
      </w:pPr>
      <w:hyperlink r:id="rId407" w:history="1">
        <w:r w:rsidR="009B638B" w:rsidRPr="003B3332">
          <w:rPr>
            <w:rStyle w:val="Hyperlink"/>
          </w:rPr>
          <w:t>Ananyev și alții împotriva Rusiei</w:t>
        </w:r>
      </w:hyperlink>
      <w:r w:rsidR="009B638B" w:rsidRPr="003B3332">
        <w:t>, nr. 42525/07 și 60800/08, 10 ianuarie 2012</w:t>
      </w:r>
    </w:p>
    <w:p w14:paraId="3AEA36E7" w14:textId="16856C12" w:rsidR="00952C9B" w:rsidRPr="003B3332" w:rsidRDefault="004713AB" w:rsidP="009B5C90">
      <w:pPr>
        <w:pStyle w:val="ECHRParaHanging"/>
      </w:pPr>
      <w:hyperlink r:id="rId408" w:history="1">
        <w:r w:rsidR="009B638B" w:rsidRPr="003B3332">
          <w:rPr>
            <w:rStyle w:val="Hyperlink"/>
          </w:rPr>
          <w:t>Angelova și Iliev împotriva Bulgariei</w:t>
        </w:r>
      </w:hyperlink>
      <w:r w:rsidR="009B638B" w:rsidRPr="003B3332">
        <w:t>, nr. 55523/00, 26 iulie 2007</w:t>
      </w:r>
    </w:p>
    <w:p w14:paraId="05748B01" w14:textId="178F9B59" w:rsidR="002A1EF8" w:rsidRPr="003B3332" w:rsidRDefault="004713AB" w:rsidP="002A1EF8">
      <w:pPr>
        <w:pStyle w:val="ECHRPara"/>
      </w:pPr>
      <w:hyperlink r:id="rId409" w:history="1">
        <w:r w:rsidR="009B638B" w:rsidRPr="003B3332">
          <w:rPr>
            <w:rStyle w:val="Hyperlink"/>
          </w:rPr>
          <w:t>Antayev și alții împotriva Rusiei</w:t>
        </w:r>
      </w:hyperlink>
      <w:r w:rsidR="009B638B" w:rsidRPr="003B3332">
        <w:t>, nr. 37966/07, 3 iulie 2014</w:t>
      </w:r>
    </w:p>
    <w:p w14:paraId="603BD369" w14:textId="7B4770A2" w:rsidR="00550C20" w:rsidRPr="003B3332" w:rsidRDefault="004713AB" w:rsidP="002A1EF8">
      <w:pPr>
        <w:pStyle w:val="ECHRPara"/>
      </w:pPr>
      <w:hyperlink r:id="rId410" w:history="1">
        <w:r w:rsidR="009B638B" w:rsidRPr="003B3332">
          <w:rPr>
            <w:rStyle w:val="Hyperlink"/>
          </w:rPr>
          <w:t>A.P. împotriva Armeniei</w:t>
        </w:r>
      </w:hyperlink>
      <w:r w:rsidR="009B638B" w:rsidRPr="003B3332">
        <w:t>, nr. 58737/14, 18 iunie 2024</w:t>
      </w:r>
    </w:p>
    <w:p w14:paraId="73C76009" w14:textId="7EB8E5BE" w:rsidR="00501D1F" w:rsidRPr="003B3332" w:rsidRDefault="004713AB" w:rsidP="009B5C90">
      <w:pPr>
        <w:pStyle w:val="ECHRParaHanging"/>
      </w:pPr>
      <w:hyperlink r:id="rId411" w:history="1">
        <w:r w:rsidR="009B638B" w:rsidRPr="003B3332">
          <w:rPr>
            <w:rStyle w:val="Hyperlink"/>
          </w:rPr>
          <w:t>Anzhelo Georgiev și alții împotriva Bulgariei</w:t>
        </w:r>
      </w:hyperlink>
      <w:r w:rsidR="009B638B" w:rsidRPr="003B3332">
        <w:t>, nr. 51284/09, 30 septembrie 2014</w:t>
      </w:r>
    </w:p>
    <w:p w14:paraId="02996826" w14:textId="1652A3A3" w:rsidR="00F71387" w:rsidRPr="003B3332" w:rsidRDefault="004713AB" w:rsidP="009B5C90">
      <w:pPr>
        <w:pStyle w:val="ECHRParaHanging"/>
      </w:pPr>
      <w:hyperlink r:id="rId412" w:history="1">
        <w:r w:rsidR="009B638B" w:rsidRPr="003B3332">
          <w:rPr>
            <w:rStyle w:val="Hyperlink"/>
          </w:rPr>
          <w:t>Archip împotriva României</w:t>
        </w:r>
      </w:hyperlink>
      <w:r w:rsidR="009B638B" w:rsidRPr="003B3332">
        <w:t>, nr. 49608/08, 27 septembrie 2011</w:t>
      </w:r>
    </w:p>
    <w:p w14:paraId="22C4E946" w14:textId="7B5C5032" w:rsidR="00085E8A" w:rsidRPr="003B3332" w:rsidRDefault="004713AB" w:rsidP="00085E8A">
      <w:pPr>
        <w:pStyle w:val="ECHRPara"/>
      </w:pPr>
      <w:hyperlink r:id="rId413" w:history="1">
        <w:r w:rsidR="009B638B" w:rsidRPr="003B3332">
          <w:rPr>
            <w:rStyle w:val="Hyperlink"/>
          </w:rPr>
          <w:t>Assenov și alții împotriva Bulgariei</w:t>
        </w:r>
      </w:hyperlink>
      <w:r w:rsidR="009B638B" w:rsidRPr="003B3332">
        <w:t xml:space="preserve">, 28 octombrie 1998, </w:t>
      </w:r>
      <w:r w:rsidR="009B638B" w:rsidRPr="003B3332">
        <w:rPr>
          <w:i/>
        </w:rPr>
        <w:t>Culegere de hotărâri și decizii</w:t>
      </w:r>
      <w:r w:rsidR="009B638B" w:rsidRPr="003B3332">
        <w:t xml:space="preserve"> 1998</w:t>
      </w:r>
      <w:r w:rsidR="009B638B" w:rsidRPr="003B3332">
        <w:noBreakHyphen/>
        <w:t>VIII</w:t>
      </w:r>
    </w:p>
    <w:p w14:paraId="7088F948" w14:textId="1F7D7FE8" w:rsidR="00363456" w:rsidRPr="003B3332" w:rsidRDefault="004713AB" w:rsidP="009B5C90">
      <w:pPr>
        <w:pStyle w:val="ECHRParaHanging"/>
      </w:pPr>
      <w:hyperlink r:id="rId414" w:history="1">
        <w:r w:rsidR="009B638B" w:rsidRPr="003B3332">
          <w:rPr>
            <w:rStyle w:val="Hyperlink"/>
          </w:rPr>
          <w:t>Association Innocence en Danger împotriva Franței și Association Enfance et Partage împotriva Franței</w:t>
        </w:r>
      </w:hyperlink>
      <w:r w:rsidR="009B638B" w:rsidRPr="003B3332">
        <w:t>,  nr. 15343/15 și 16806/15, 4 iunie 2020</w:t>
      </w:r>
    </w:p>
    <w:p w14:paraId="48F9CC15" w14:textId="2CA0B6EE" w:rsidR="00386652" w:rsidRPr="003B3332" w:rsidRDefault="004713AB" w:rsidP="00386652">
      <w:pPr>
        <w:pStyle w:val="ECHRPara"/>
      </w:pPr>
      <w:hyperlink r:id="rId415" w:history="1">
        <w:r w:rsidR="009B638B" w:rsidRPr="003B3332">
          <w:rPr>
            <w:rStyle w:val="Hyperlink"/>
          </w:rPr>
          <w:t>Aswat împotriva Regatului Unit</w:t>
        </w:r>
      </w:hyperlink>
      <w:r w:rsidR="009B638B" w:rsidRPr="003B3332">
        <w:t>, nr. 17299/12, 16 aprilie 2013</w:t>
      </w:r>
    </w:p>
    <w:p w14:paraId="65F0E233" w14:textId="2C96A586" w:rsidR="00A64980" w:rsidRPr="003B3332" w:rsidRDefault="004713AB" w:rsidP="00711B3C">
      <w:pPr>
        <w:pStyle w:val="ECHRParaHanging"/>
      </w:pPr>
      <w:hyperlink r:id="rId416" w:history="1">
        <w:r w:rsidR="009B638B" w:rsidRPr="003B3332">
          <w:rPr>
            <w:rStyle w:val="Hyperlink"/>
          </w:rPr>
          <w:t>Aydın împotriva Turciei</w:t>
        </w:r>
      </w:hyperlink>
      <w:r w:rsidR="009B638B" w:rsidRPr="003B3332">
        <w:t xml:space="preserve">, 25 septembrie 1997, </w:t>
      </w:r>
      <w:r w:rsidR="009B638B" w:rsidRPr="003B3332">
        <w:rPr>
          <w:i/>
        </w:rPr>
        <w:t>Culegere de hotărâri și decizii</w:t>
      </w:r>
      <w:r w:rsidR="009B638B" w:rsidRPr="003B3332">
        <w:t xml:space="preserve"> 1997</w:t>
      </w:r>
      <w:r w:rsidR="009B638B" w:rsidRPr="003B3332">
        <w:noBreakHyphen/>
        <w:t>VI</w:t>
      </w:r>
    </w:p>
    <w:p w14:paraId="53ED53CD" w14:textId="0C5C49B5" w:rsidR="00BB682C" w:rsidRPr="003B3332" w:rsidRDefault="00BB682C" w:rsidP="00BB682C">
      <w:pPr>
        <w:pStyle w:val="ECHRTitleCentre1"/>
      </w:pPr>
      <w:r w:rsidRPr="003B3332">
        <w:t>—B—</w:t>
      </w:r>
    </w:p>
    <w:p w14:paraId="4B8469EA" w14:textId="2A58D016" w:rsidR="00EE435D" w:rsidRPr="003B3332" w:rsidRDefault="004713AB" w:rsidP="00E845EB">
      <w:pPr>
        <w:pStyle w:val="ECHRParaHanging"/>
      </w:pPr>
      <w:hyperlink r:id="rId417" w:history="1">
        <w:r w:rsidR="009B638B" w:rsidRPr="003B3332">
          <w:rPr>
            <w:rStyle w:val="Hyperlink"/>
          </w:rPr>
          <w:t>B împotriva Rusiei</w:t>
        </w:r>
      </w:hyperlink>
      <w:r w:rsidR="009B638B" w:rsidRPr="003B3332">
        <w:t>, nr. 36328/20, 7 februarie 2023</w:t>
      </w:r>
    </w:p>
    <w:p w14:paraId="21D0BFCB" w14:textId="2C339DA2" w:rsidR="00EE435D" w:rsidRPr="003B3332" w:rsidRDefault="004713AB" w:rsidP="001F2EF3">
      <w:pPr>
        <w:pStyle w:val="ECHRPara"/>
      </w:pPr>
      <w:hyperlink r:id="rId418" w:history="1">
        <w:r w:rsidR="009B638B" w:rsidRPr="003B3332">
          <w:rPr>
            <w:rStyle w:val="Hyperlink"/>
          </w:rPr>
          <w:t>Babar Ahmad și alții împotriva Regatului Unit</w:t>
        </w:r>
      </w:hyperlink>
      <w:r w:rsidR="009B638B" w:rsidRPr="003B3332">
        <w:t>, nr. 24027/07 și alte 4 cereri, 10 aprilie 2012</w:t>
      </w:r>
    </w:p>
    <w:p w14:paraId="109DFB3E" w14:textId="533307D2" w:rsidR="00E17E54" w:rsidRPr="003B3332" w:rsidRDefault="004713AB" w:rsidP="001F2EF3">
      <w:pPr>
        <w:pStyle w:val="ECHRPara"/>
      </w:pPr>
      <w:hyperlink r:id="rId419" w:history="1">
        <w:r w:rsidR="009B638B" w:rsidRPr="003B3332">
          <w:rPr>
            <w:rStyle w:val="Hyperlink"/>
          </w:rPr>
          <w:t>Baklanov împotriva Ucrainei</w:t>
        </w:r>
      </w:hyperlink>
      <w:r w:rsidR="009B638B" w:rsidRPr="003B3332">
        <w:t>, nr. 44425/08, 24 octombrie 2013</w:t>
      </w:r>
    </w:p>
    <w:p w14:paraId="16B075B1" w14:textId="67BFF76D" w:rsidR="008E6C5C" w:rsidRPr="003B3332" w:rsidRDefault="004713AB" w:rsidP="001F2EF3">
      <w:pPr>
        <w:pStyle w:val="ECHRPara"/>
        <w:rPr>
          <w:iCs/>
        </w:rPr>
      </w:pPr>
      <w:hyperlink r:id="rId420" w:history="1">
        <w:r w:rsidR="009B638B" w:rsidRPr="003B3332">
          <w:rPr>
            <w:rStyle w:val="Hyperlink"/>
          </w:rPr>
          <w:t>Baranin și Vukčević împotriva Muntenegrului</w:t>
        </w:r>
      </w:hyperlink>
      <w:r w:rsidR="009B638B" w:rsidRPr="003B3332">
        <w:t>, nr. 24655/18 și 24656/18, 11 martie 2021</w:t>
      </w:r>
    </w:p>
    <w:p w14:paraId="3A5A5B42" w14:textId="4A83FF44" w:rsidR="00D46E0F" w:rsidRPr="003B3332" w:rsidRDefault="004713AB" w:rsidP="001F2EF3">
      <w:pPr>
        <w:pStyle w:val="ECHRPara"/>
      </w:pPr>
      <w:hyperlink r:id="rId421" w:history="1">
        <w:r w:rsidR="009B638B" w:rsidRPr="003B3332">
          <w:rPr>
            <w:rStyle w:val="Hyperlink"/>
          </w:rPr>
          <w:t>Barovov împotriva Rusiei</w:t>
        </w:r>
      </w:hyperlink>
      <w:r w:rsidR="009B638B" w:rsidRPr="003B3332">
        <w:t>, nr. 9183/09, 15 iunie 2021</w:t>
      </w:r>
    </w:p>
    <w:p w14:paraId="7EA8B011" w14:textId="44E4B868" w:rsidR="00A1089A" w:rsidRPr="003B3332" w:rsidRDefault="004713AB" w:rsidP="001F2EF3">
      <w:pPr>
        <w:pStyle w:val="ECHRPara"/>
      </w:pPr>
      <w:hyperlink r:id="rId422" w:history="1">
        <w:r w:rsidR="009B638B" w:rsidRPr="003B3332">
          <w:rPr>
            <w:rStyle w:val="Hyperlink"/>
          </w:rPr>
          <w:t>Barta împotriva Ungariei</w:t>
        </w:r>
      </w:hyperlink>
      <w:r w:rsidR="009B638B" w:rsidRPr="003B3332">
        <w:t>, nr. 26137/04, 10 aprilie 2007</w:t>
      </w:r>
    </w:p>
    <w:p w14:paraId="4328F3DD" w14:textId="15834C6B" w:rsidR="0064089D" w:rsidRPr="003B3332" w:rsidRDefault="004713AB" w:rsidP="001F2EF3">
      <w:pPr>
        <w:pStyle w:val="ECHRPara"/>
      </w:pPr>
      <w:hyperlink r:id="rId423" w:history="1">
        <w:r w:rsidR="009B638B" w:rsidRPr="003B3332">
          <w:rPr>
            <w:rStyle w:val="Hyperlink"/>
          </w:rPr>
          <w:t>Bataliny împotriva Rusiei</w:t>
        </w:r>
      </w:hyperlink>
      <w:r w:rsidR="009B638B" w:rsidRPr="003B3332">
        <w:t>, nr. 10060/07, 23 iulie 2015</w:t>
      </w:r>
    </w:p>
    <w:p w14:paraId="4E902E57" w14:textId="69176828" w:rsidR="00874CA5" w:rsidRPr="003B3332" w:rsidRDefault="004713AB" w:rsidP="001F2EF3">
      <w:pPr>
        <w:pStyle w:val="ECHRPara"/>
        <w:rPr>
          <w:iCs/>
        </w:rPr>
      </w:pPr>
      <w:hyperlink r:id="rId424" w:history="1">
        <w:r w:rsidR="009B638B" w:rsidRPr="003B3332">
          <w:rPr>
            <w:rStyle w:val="Hyperlink"/>
          </w:rPr>
          <w:t>Batı și alții împotriva Turciei</w:t>
        </w:r>
      </w:hyperlink>
      <w:r w:rsidR="009B638B" w:rsidRPr="003B3332">
        <w:t>, nr. 33097/96 și 57834/00, CEDO 2004</w:t>
      </w:r>
      <w:r w:rsidR="009B638B" w:rsidRPr="003B3332">
        <w:noBreakHyphen/>
        <w:t>IV (extrase)</w:t>
      </w:r>
    </w:p>
    <w:p w14:paraId="70F10EC1" w14:textId="4203A4B7" w:rsidR="007C4BFC" w:rsidRPr="003B3332" w:rsidRDefault="004713AB" w:rsidP="001F2EF3">
      <w:pPr>
        <w:pStyle w:val="ECHRPara"/>
        <w:rPr>
          <w:iCs/>
        </w:rPr>
      </w:pPr>
      <w:hyperlink r:id="rId425" w:history="1">
        <w:r w:rsidR="009B638B" w:rsidRPr="003B3332">
          <w:rPr>
            <w:rStyle w:val="Hyperlink"/>
          </w:rPr>
          <w:t>Beganović împotriva Croației</w:t>
        </w:r>
      </w:hyperlink>
      <w:r w:rsidR="009B638B" w:rsidRPr="003B3332">
        <w:t>, nr. 46423/06, 25 iunie 2009</w:t>
      </w:r>
    </w:p>
    <w:p w14:paraId="1EA7DBD4" w14:textId="20D2E6AF" w:rsidR="00A1089A" w:rsidRPr="003B3332" w:rsidRDefault="004713AB" w:rsidP="001F2EF3">
      <w:pPr>
        <w:pStyle w:val="ECHRPara"/>
        <w:rPr>
          <w:iCs/>
        </w:rPr>
      </w:pPr>
      <w:hyperlink r:id="rId426" w:history="1">
        <w:r w:rsidR="009B638B" w:rsidRPr="003B3332">
          <w:rPr>
            <w:rStyle w:val="Hyperlink"/>
          </w:rPr>
          <w:t>Berliński împotriva Poloniei</w:t>
        </w:r>
      </w:hyperlink>
      <w:r w:rsidR="009B638B" w:rsidRPr="003B3332">
        <w:t>, nr. 27715/95 și 30209/96, 20 iunie 2002</w:t>
      </w:r>
    </w:p>
    <w:p w14:paraId="3D378F79" w14:textId="55E8981F" w:rsidR="005B3C01" w:rsidRPr="003B3332" w:rsidRDefault="004713AB" w:rsidP="001F2EF3">
      <w:pPr>
        <w:pStyle w:val="ECHRPara"/>
      </w:pPr>
      <w:hyperlink r:id="rId427" w:history="1">
        <w:r w:rsidR="009B638B" w:rsidRPr="003B3332">
          <w:rPr>
            <w:rStyle w:val="Hyperlink"/>
          </w:rPr>
          <w:t>Blokhin împotriva Rusiei</w:t>
        </w:r>
      </w:hyperlink>
      <w:r w:rsidR="009B638B" w:rsidRPr="003B3332">
        <w:t xml:space="preserve"> (MC), nr. 47152/06, 23 martie 2016</w:t>
      </w:r>
    </w:p>
    <w:p w14:paraId="027AE7C3" w14:textId="5720C137" w:rsidR="00D46E0F" w:rsidRPr="003B3332" w:rsidRDefault="004713AB" w:rsidP="001F2EF3">
      <w:pPr>
        <w:pStyle w:val="ECHRPara"/>
      </w:pPr>
      <w:hyperlink r:id="rId428" w:history="1">
        <w:r w:rsidR="009B638B" w:rsidRPr="003B3332">
          <w:rPr>
            <w:rStyle w:val="Hyperlink"/>
          </w:rPr>
          <w:t>Boicenco împotriva Moldovei</w:t>
        </w:r>
      </w:hyperlink>
      <w:r w:rsidR="009B638B" w:rsidRPr="003B3332">
        <w:t>, nr. 41088/05, 11 iulie 2006</w:t>
      </w:r>
    </w:p>
    <w:p w14:paraId="52B4C1C7" w14:textId="1EA140A9" w:rsidR="006019EB" w:rsidRPr="003B3332" w:rsidRDefault="004713AB" w:rsidP="001F2EF3">
      <w:pPr>
        <w:pStyle w:val="ECHRPara"/>
      </w:pPr>
      <w:hyperlink r:id="rId429" w:history="1">
        <w:r w:rsidR="009B638B" w:rsidRPr="003B3332">
          <w:rPr>
            <w:rStyle w:val="Hyperlink"/>
          </w:rPr>
          <w:t>Bouyid împotriva Belgiei</w:t>
        </w:r>
      </w:hyperlink>
      <w:r w:rsidR="009B638B" w:rsidRPr="003B3332">
        <w:t xml:space="preserve"> (MC), nr. 23380/09, CEDO 2015</w:t>
      </w:r>
    </w:p>
    <w:p w14:paraId="06199588" w14:textId="2B3A5987" w:rsidR="00432C49" w:rsidRPr="003B3332" w:rsidRDefault="004713AB" w:rsidP="001F2EF3">
      <w:pPr>
        <w:pStyle w:val="ECHRPara"/>
      </w:pPr>
      <w:hyperlink r:id="rId430" w:history="1">
        <w:r w:rsidR="009B638B" w:rsidRPr="003B3332">
          <w:rPr>
            <w:rStyle w:val="Hyperlink"/>
          </w:rPr>
          <w:t>Burlya și alții împotriva Ucrainei</w:t>
        </w:r>
      </w:hyperlink>
      <w:r w:rsidR="009B638B" w:rsidRPr="003B3332">
        <w:t>, nr. 3289/10, 6 noiembrie 2018</w:t>
      </w:r>
    </w:p>
    <w:p w14:paraId="786994DE" w14:textId="78896A7A" w:rsidR="00D46E0F" w:rsidRPr="003B3332" w:rsidRDefault="004713AB" w:rsidP="001F2EF3">
      <w:pPr>
        <w:pStyle w:val="ECHRPara"/>
      </w:pPr>
      <w:hyperlink r:id="rId431" w:history="1">
        <w:r w:rsidR="009B638B" w:rsidRPr="003B3332">
          <w:rPr>
            <w:rStyle w:val="Hyperlink"/>
          </w:rPr>
          <w:t>Bursuc împotriva României</w:t>
        </w:r>
      </w:hyperlink>
      <w:r w:rsidR="009B638B" w:rsidRPr="003B3332">
        <w:t>, nr. 42066/98, 12 octombrie 2004</w:t>
      </w:r>
    </w:p>
    <w:p w14:paraId="462E9BD5" w14:textId="4AC6D3BD" w:rsidR="0079501C" w:rsidRPr="003B3332" w:rsidRDefault="004713AB" w:rsidP="001F2EF3">
      <w:pPr>
        <w:pStyle w:val="ECHRPara"/>
      </w:pPr>
      <w:hyperlink r:id="rId432" w:history="1">
        <w:r w:rsidR="009B638B" w:rsidRPr="003B3332">
          <w:rPr>
            <w:rStyle w:val="Hyperlink"/>
          </w:rPr>
          <w:t>Buturugă împotriva României</w:t>
        </w:r>
      </w:hyperlink>
      <w:r w:rsidR="009B638B" w:rsidRPr="003B3332">
        <w:t>, nr. 56867/15, 11 februarie 2020</w:t>
      </w:r>
    </w:p>
    <w:p w14:paraId="7B7AD51E" w14:textId="77777777" w:rsidR="00BB682C" w:rsidRPr="003B3332" w:rsidRDefault="00BB682C" w:rsidP="006019EB">
      <w:pPr>
        <w:pStyle w:val="ECHRTitleCentre1"/>
      </w:pPr>
      <w:r w:rsidRPr="003B3332">
        <w:t>—C—</w:t>
      </w:r>
    </w:p>
    <w:p w14:paraId="602EB975" w14:textId="48B5D898" w:rsidR="003304EF" w:rsidRPr="003B3332" w:rsidRDefault="004713AB" w:rsidP="00D57325">
      <w:pPr>
        <w:pStyle w:val="ECHRPara"/>
      </w:pPr>
      <w:hyperlink r:id="rId433" w:history="1">
        <w:r w:rsidR="009B638B" w:rsidRPr="003B3332">
          <w:rPr>
            <w:rStyle w:val="Hyperlink"/>
          </w:rPr>
          <w:t>Cangöz și alții împotriva Turcia</w:t>
        </w:r>
      </w:hyperlink>
      <w:r w:rsidR="009B638B" w:rsidRPr="003B3332">
        <w:t>, nr. 7469/06, 26 aprilie 2016</w:t>
      </w:r>
    </w:p>
    <w:p w14:paraId="35303E27" w14:textId="03431E62" w:rsidR="00480833" w:rsidRPr="003B3332" w:rsidRDefault="004713AB" w:rsidP="00D57325">
      <w:pPr>
        <w:pStyle w:val="ECHRPara"/>
      </w:pPr>
      <w:hyperlink r:id="rId434" w:history="1">
        <w:r w:rsidR="009B638B" w:rsidRPr="003B3332">
          <w:rPr>
            <w:rStyle w:val="Hyperlink"/>
          </w:rPr>
          <w:t>Cestaro împotriva Italiei</w:t>
        </w:r>
      </w:hyperlink>
      <w:r w:rsidR="009B638B" w:rsidRPr="003B3332">
        <w:t>, nr. 6884/11, 7 aprilie 2015</w:t>
      </w:r>
    </w:p>
    <w:p w14:paraId="16FF94F7" w14:textId="40F13CF0" w:rsidR="00115A82" w:rsidRPr="003B3332" w:rsidRDefault="004713AB" w:rsidP="00115A82">
      <w:pPr>
        <w:pStyle w:val="ECHRPara"/>
        <w:rPr>
          <w:i/>
        </w:rPr>
      </w:pPr>
      <w:hyperlink r:id="rId435" w:history="1">
        <w:r w:rsidR="009B638B" w:rsidRPr="003B3332">
          <w:rPr>
            <w:rStyle w:val="Hyperlink"/>
          </w:rPr>
          <w:t>Çevik împotriva Turciei</w:t>
        </w:r>
      </w:hyperlink>
      <w:r w:rsidR="009B638B" w:rsidRPr="003B3332">
        <w:t xml:space="preserve"> (nr. 2), nr. 39326/02, 27 august 2010</w:t>
      </w:r>
    </w:p>
    <w:p w14:paraId="324EDA55" w14:textId="01BBAAE5" w:rsidR="006019EB" w:rsidRPr="003B3332" w:rsidRDefault="004713AB" w:rsidP="006019EB">
      <w:pPr>
        <w:pStyle w:val="ECHRParaHanging"/>
      </w:pPr>
      <w:hyperlink r:id="rId436" w:history="1">
        <w:r w:rsidR="009B638B" w:rsidRPr="003B3332">
          <w:rPr>
            <w:rStyle w:val="Hyperlink"/>
          </w:rPr>
          <w:t>Chember împotriva Rusiei</w:t>
        </w:r>
      </w:hyperlink>
      <w:r w:rsidR="009B638B" w:rsidRPr="003B3332">
        <w:t>, nr. 7188/03, CEDO 2008</w:t>
      </w:r>
    </w:p>
    <w:p w14:paraId="244F8CD4" w14:textId="1797C64C" w:rsidR="006442FD" w:rsidRPr="003B3332" w:rsidRDefault="004713AB" w:rsidP="006019EB">
      <w:pPr>
        <w:pStyle w:val="ECHRParaHanging"/>
      </w:pPr>
      <w:hyperlink r:id="rId437" w:history="1">
        <w:r w:rsidR="009B638B" w:rsidRPr="003B3332">
          <w:rPr>
            <w:rStyle w:val="Hyperlink"/>
          </w:rPr>
          <w:t>Chernega și alții împotriva Ucrainei</w:t>
        </w:r>
      </w:hyperlink>
      <w:r w:rsidR="009B638B" w:rsidRPr="003B3332">
        <w:t>, nr. 74768/10, 18 iunie 2019</w:t>
      </w:r>
    </w:p>
    <w:p w14:paraId="5D75BA38" w14:textId="349F0071" w:rsidR="009D0CF5" w:rsidRPr="003B3332" w:rsidRDefault="004713AB" w:rsidP="006019EB">
      <w:pPr>
        <w:pStyle w:val="ECHRParaHanging"/>
      </w:pPr>
      <w:hyperlink r:id="rId438" w:history="1">
        <w:r w:rsidR="009B638B" w:rsidRPr="003B3332">
          <w:rPr>
            <w:rStyle w:val="Hyperlink"/>
          </w:rPr>
          <w:t>Ciorap împotriva Moldovei</w:t>
        </w:r>
      </w:hyperlink>
      <w:r w:rsidR="009B638B" w:rsidRPr="003B3332">
        <w:t>, nr. 12066/02, 19 iunie 2007</w:t>
      </w:r>
    </w:p>
    <w:p w14:paraId="161AC13A" w14:textId="77777777" w:rsidR="00BB682C" w:rsidRPr="003B3332" w:rsidRDefault="00BB682C" w:rsidP="006019EB">
      <w:pPr>
        <w:pStyle w:val="ECHRTitleCentre1"/>
      </w:pPr>
      <w:r w:rsidRPr="003B3332">
        <w:t>—D—</w:t>
      </w:r>
    </w:p>
    <w:bookmarkStart w:id="105" w:name="_cl43954"/>
    <w:p w14:paraId="63424AC8" w14:textId="52E0CDAF" w:rsidR="001227ED" w:rsidRPr="003B3332" w:rsidRDefault="001227ED" w:rsidP="00DF5FCD">
      <w:pPr>
        <w:pStyle w:val="ECHRParaHanging"/>
      </w:pPr>
      <w:r w:rsidRPr="003B3332">
        <w:rPr>
          <w:i/>
        </w:rPr>
        <w:fldChar w:fldCharType="begin"/>
      </w:r>
      <w:r w:rsidRPr="003B3332">
        <w:rPr>
          <w:i/>
        </w:rPr>
        <w:instrText xml:space="preserve"> HYPERLINK "http://hudoc.echr.coe.int/eng?i=001-229928" </w:instrText>
      </w:r>
      <w:r w:rsidRPr="003B3332">
        <w:rPr>
          <w:i/>
        </w:rPr>
        <w:fldChar w:fldCharType="separate"/>
      </w:r>
      <w:r w:rsidRPr="003B3332">
        <w:rPr>
          <w:rStyle w:val="Hyperlink"/>
        </w:rPr>
        <w:t>D împotriva Letoniei</w:t>
      </w:r>
      <w:r w:rsidRPr="003B3332">
        <w:rPr>
          <w:i/>
        </w:rPr>
        <w:fldChar w:fldCharType="end"/>
      </w:r>
      <w:bookmarkEnd w:id="105"/>
      <w:r w:rsidRPr="003B3332">
        <w:t>, nr. 76680/17, 11 ianuarie 2024</w:t>
      </w:r>
    </w:p>
    <w:p w14:paraId="2E04601A" w14:textId="39527EB8" w:rsidR="00DF5FCD" w:rsidRPr="003B3332" w:rsidRDefault="004713AB" w:rsidP="00DF5FCD">
      <w:pPr>
        <w:pStyle w:val="ECHRParaHanging"/>
      </w:pPr>
      <w:hyperlink r:id="rId439" w:history="1">
        <w:r w:rsidR="009B638B" w:rsidRPr="003B3332">
          <w:rPr>
            <w:rStyle w:val="Hyperlink"/>
          </w:rPr>
          <w:t>D.F. împotriva Letoniei</w:t>
        </w:r>
      </w:hyperlink>
      <w:r w:rsidR="009B638B" w:rsidRPr="003B3332">
        <w:t>, nr. 11160/07, 29 octombrie 2013</w:t>
      </w:r>
    </w:p>
    <w:p w14:paraId="2407C754" w14:textId="2CD42665" w:rsidR="00DF5FCD" w:rsidRPr="003B3332" w:rsidRDefault="004713AB" w:rsidP="00DF5FCD">
      <w:pPr>
        <w:pStyle w:val="ECHRParaHanging"/>
      </w:pPr>
      <w:hyperlink r:id="rId440" w:history="1">
        <w:r w:rsidR="009B638B" w:rsidRPr="003B3332">
          <w:rPr>
            <w:rStyle w:val="Hyperlink"/>
          </w:rPr>
          <w:t>D.M.D. împotriva României</w:t>
        </w:r>
      </w:hyperlink>
      <w:r w:rsidR="009B638B" w:rsidRPr="003B3332">
        <w:t>, nr. 23022/13, 3 octombrie 2017</w:t>
      </w:r>
    </w:p>
    <w:p w14:paraId="0521A5B8" w14:textId="61D1CA74" w:rsidR="00DF5FCD" w:rsidRPr="003B3332" w:rsidRDefault="004713AB" w:rsidP="00DF5FCD">
      <w:pPr>
        <w:pStyle w:val="ECHRParaHanging"/>
      </w:pPr>
      <w:hyperlink r:id="rId441" w:history="1">
        <w:r w:rsidR="009B638B" w:rsidRPr="003B3332">
          <w:rPr>
            <w:rStyle w:val="Hyperlink"/>
          </w:rPr>
          <w:t>D.P. și J.C. împotriva Regatului Unit</w:t>
        </w:r>
      </w:hyperlink>
      <w:r w:rsidR="009B638B" w:rsidRPr="003B3332">
        <w:t>, nr. 38719/97, 10 octombrie 2002</w:t>
      </w:r>
    </w:p>
    <w:p w14:paraId="1DC140BE" w14:textId="4850B535" w:rsidR="00F73F68" w:rsidRPr="003B3332" w:rsidRDefault="004713AB" w:rsidP="006019EB">
      <w:pPr>
        <w:pStyle w:val="ECHRParaHanging"/>
      </w:pPr>
      <w:hyperlink r:id="rId442" w:history="1">
        <w:r w:rsidR="009B638B" w:rsidRPr="003B3332">
          <w:rPr>
            <w:rStyle w:val="Hyperlink"/>
          </w:rPr>
          <w:t>Dedovskiy și alții împotriva Rusiei</w:t>
        </w:r>
      </w:hyperlink>
      <w:r w:rsidR="009B638B" w:rsidRPr="003B3332">
        <w:t>, nr. 7178/03, CEDO 2008 (extrase)</w:t>
      </w:r>
    </w:p>
    <w:p w14:paraId="14D17771" w14:textId="5B448FC3" w:rsidR="00A1089A" w:rsidRPr="003B3332" w:rsidRDefault="004713AB" w:rsidP="006019EB">
      <w:pPr>
        <w:pStyle w:val="ECHRParaHanging"/>
      </w:pPr>
      <w:hyperlink r:id="rId443" w:history="1">
        <w:r w:rsidR="009B638B" w:rsidRPr="003B3332">
          <w:rPr>
            <w:rStyle w:val="Hyperlink"/>
          </w:rPr>
          <w:t>Dembele împotriva Elveția</w:t>
        </w:r>
      </w:hyperlink>
      <w:r w:rsidR="009B638B" w:rsidRPr="003B3332">
        <w:t>, nr. 74010/11, 24 septembrie 2013</w:t>
      </w:r>
    </w:p>
    <w:p w14:paraId="0E2E0A85" w14:textId="704C200D" w:rsidR="00F85D0A" w:rsidRPr="003B3332" w:rsidRDefault="004713AB" w:rsidP="006019EB">
      <w:pPr>
        <w:pStyle w:val="ECHRParaHanging"/>
      </w:pPr>
      <w:hyperlink r:id="rId444" w:history="1">
        <w:r w:rsidR="009B638B" w:rsidRPr="003B3332">
          <w:rPr>
            <w:rStyle w:val="Hyperlink"/>
          </w:rPr>
          <w:t xml:space="preserve">Đorđević împotriva Croației </w:t>
        </w:r>
      </w:hyperlink>
      <w:r w:rsidR="009B638B" w:rsidRPr="003B3332">
        <w:t>(MC), nr. 41526/10, CEDO 2012</w:t>
      </w:r>
    </w:p>
    <w:p w14:paraId="3BAD69C3" w14:textId="3376885C" w:rsidR="000E1218" w:rsidRPr="003B3332" w:rsidRDefault="004713AB" w:rsidP="006019EB">
      <w:pPr>
        <w:pStyle w:val="ECHRParaHanging"/>
      </w:pPr>
      <w:hyperlink r:id="rId445" w:history="1">
        <w:r w:rsidR="009B638B" w:rsidRPr="003B3332">
          <w:rPr>
            <w:rStyle w:val="Hyperlink"/>
          </w:rPr>
          <w:t xml:space="preserve">Đurđević împotriva Croației </w:t>
        </w:r>
      </w:hyperlink>
      <w:r w:rsidR="009B638B" w:rsidRPr="003B3332">
        <w:t>(MC), nr. 52442/09, CEDO 2011(extrase)</w:t>
      </w:r>
    </w:p>
    <w:p w14:paraId="2915DE33" w14:textId="655A1227" w:rsidR="0064089D" w:rsidRPr="003B3332" w:rsidRDefault="004713AB" w:rsidP="006019EB">
      <w:pPr>
        <w:pStyle w:val="ECHRParaHanging"/>
      </w:pPr>
      <w:hyperlink r:id="rId446" w:history="1">
        <w:r w:rsidR="009B638B" w:rsidRPr="003B3332">
          <w:rPr>
            <w:rStyle w:val="Hyperlink"/>
          </w:rPr>
          <w:t>Dvořáček împotriva Republicii Cehe</w:t>
        </w:r>
      </w:hyperlink>
      <w:r w:rsidR="009B638B" w:rsidRPr="003B3332">
        <w:t>, nr. 12927/13, 6 noiembrie 2014</w:t>
      </w:r>
    </w:p>
    <w:p w14:paraId="3CD2A047" w14:textId="77777777" w:rsidR="00814C6A" w:rsidRPr="003B3332" w:rsidRDefault="006019EB" w:rsidP="006019EB">
      <w:pPr>
        <w:pStyle w:val="ECHRTitleCentre1"/>
      </w:pPr>
      <w:r w:rsidRPr="003B3332">
        <w:t>—E—</w:t>
      </w:r>
    </w:p>
    <w:p w14:paraId="4BE9A7A3" w14:textId="4B774F1D" w:rsidR="00A70713" w:rsidRPr="003B3332" w:rsidRDefault="004713AB" w:rsidP="006019EB">
      <w:pPr>
        <w:pStyle w:val="ECHRParaHanging"/>
      </w:pPr>
      <w:hyperlink r:id="rId447" w:history="1">
        <w:r w:rsidR="009B638B" w:rsidRPr="003B3332">
          <w:rPr>
            <w:rStyle w:val="Hyperlink"/>
          </w:rPr>
          <w:t>E.G. împotriva Republicii Moldova</w:t>
        </w:r>
      </w:hyperlink>
      <w:r w:rsidR="009B638B" w:rsidRPr="003B3332">
        <w:t>, nr. 37882/13, 13 aprilie 2021</w:t>
      </w:r>
    </w:p>
    <w:p w14:paraId="204B83E3" w14:textId="3B22E96C" w:rsidR="007907DB" w:rsidRPr="003B3332" w:rsidRDefault="004713AB" w:rsidP="006019EB">
      <w:pPr>
        <w:pStyle w:val="ECHRParaHanging"/>
      </w:pPr>
      <w:hyperlink r:id="rId448" w:history="1">
        <w:r w:rsidR="009B638B" w:rsidRPr="003B3332">
          <w:rPr>
            <w:rStyle w:val="Hyperlink"/>
          </w:rPr>
          <w:t xml:space="preserve">Egmez împotriva Ciprului </w:t>
        </w:r>
      </w:hyperlink>
      <w:r w:rsidR="009B638B" w:rsidRPr="003B3332">
        <w:t xml:space="preserve"> (dec.), nr. 12214/071, 18 septembrie 2012</w:t>
      </w:r>
    </w:p>
    <w:p w14:paraId="69122701" w14:textId="45619E90" w:rsidR="00E610D1" w:rsidRPr="003B3332" w:rsidRDefault="004713AB" w:rsidP="00E610D1">
      <w:pPr>
        <w:pStyle w:val="ECHRParaHanging"/>
        <w:ind w:left="0" w:firstLine="0"/>
      </w:pPr>
      <w:hyperlink r:id="rId449" w:history="1">
        <w:r w:rsidR="009B638B" w:rsidRPr="003B3332">
          <w:rPr>
            <w:rStyle w:val="Hyperlink"/>
          </w:rPr>
          <w:t>Elberte împotriva Letoniei</w:t>
        </w:r>
      </w:hyperlink>
      <w:r w:rsidR="009B638B" w:rsidRPr="003B3332">
        <w:t>, nr. 61243/08, CEDO 2015</w:t>
      </w:r>
    </w:p>
    <w:bookmarkStart w:id="106" w:name="_cl43754"/>
    <w:p w14:paraId="515EA2F2" w14:textId="4D0CDB58" w:rsidR="00232447" w:rsidRPr="003B3332" w:rsidRDefault="00232447" w:rsidP="00232447">
      <w:pPr>
        <w:pStyle w:val="ECHRParaHanging"/>
      </w:pPr>
      <w:r w:rsidRPr="003B3332">
        <w:rPr>
          <w:i/>
        </w:rPr>
        <w:fldChar w:fldCharType="begin"/>
      </w:r>
      <w:r w:rsidRPr="003B3332">
        <w:rPr>
          <w:i/>
        </w:rPr>
        <w:instrText xml:space="preserve"> HYPERLINK "http://hudoc.echr.coe.int/eng?i=001-227719" </w:instrText>
      </w:r>
      <w:r w:rsidRPr="003B3332">
        <w:rPr>
          <w:i/>
        </w:rPr>
        <w:fldChar w:fldCharType="separate"/>
      </w:r>
      <w:r w:rsidRPr="003B3332">
        <w:rPr>
          <w:rStyle w:val="Hyperlink"/>
        </w:rPr>
        <w:t>El-Asmar împotriva Danemarcei</w:t>
      </w:r>
      <w:r w:rsidRPr="003B3332">
        <w:rPr>
          <w:i/>
        </w:rPr>
        <w:fldChar w:fldCharType="end"/>
      </w:r>
      <w:bookmarkEnd w:id="106"/>
      <w:r w:rsidRPr="003B3332">
        <w:t>, nr. 27753/19, 3 octombrie 2023</w:t>
      </w:r>
    </w:p>
    <w:p w14:paraId="775B92EA" w14:textId="5581F343" w:rsidR="006019EB" w:rsidRPr="003B3332" w:rsidRDefault="004713AB" w:rsidP="006019EB">
      <w:pPr>
        <w:pStyle w:val="ECHRParaHanging"/>
      </w:pPr>
      <w:hyperlink r:id="rId450" w:history="1">
        <w:r w:rsidR="009B638B" w:rsidRPr="003B3332">
          <w:rPr>
            <w:rStyle w:val="Hyperlink"/>
          </w:rPr>
          <w:t>El-Masri împotriva Fostei Republici Iugoslave a Macedoniei</w:t>
        </w:r>
      </w:hyperlink>
      <w:r w:rsidR="009B638B" w:rsidRPr="003B3332">
        <w:t xml:space="preserve"> (MC), nr. 39630/09, CEDO 2012</w:t>
      </w:r>
    </w:p>
    <w:p w14:paraId="7737D1DE" w14:textId="755E43AD" w:rsidR="00D46E0F" w:rsidRPr="003B3332" w:rsidRDefault="004713AB" w:rsidP="00D46E0F">
      <w:pPr>
        <w:pStyle w:val="ECHRPara"/>
      </w:pPr>
      <w:hyperlink r:id="rId451" w:history="1">
        <w:r w:rsidR="009B638B" w:rsidRPr="003B3332">
          <w:rPr>
            <w:rStyle w:val="Hyperlink"/>
          </w:rPr>
          <w:t>Emin Huseynov împotriva Azerbaidjanului</w:t>
        </w:r>
      </w:hyperlink>
      <w:r w:rsidR="009B638B" w:rsidRPr="003B3332">
        <w:t>, nr. 59135/09, 7 mai 2015</w:t>
      </w:r>
    </w:p>
    <w:p w14:paraId="054FFE36" w14:textId="3C574B18" w:rsidR="00A215F6" w:rsidRPr="003B3332" w:rsidRDefault="004713AB" w:rsidP="00A215F6">
      <w:pPr>
        <w:pStyle w:val="ECHRPara"/>
      </w:pPr>
      <w:hyperlink r:id="rId452" w:history="1">
        <w:r w:rsidR="009B638B" w:rsidRPr="003B3332">
          <w:rPr>
            <w:rStyle w:val="Hyperlink"/>
          </w:rPr>
          <w:t xml:space="preserve">Enzile Özdemir împotriva Turciei </w:t>
        </w:r>
      </w:hyperlink>
      <w:r w:rsidR="009B638B" w:rsidRPr="003B3332">
        <w:t>, nr. 54169/00, 8 ianuarie 2008</w:t>
      </w:r>
    </w:p>
    <w:p w14:paraId="2DAEC06A" w14:textId="5A7B5319" w:rsidR="00BF21A3" w:rsidRPr="003B3332" w:rsidRDefault="00BF21A3" w:rsidP="00BF21A3">
      <w:pPr>
        <w:pStyle w:val="ECHRTitleCentre1"/>
      </w:pPr>
      <w:r w:rsidRPr="003B3332">
        <w:t>—F—</w:t>
      </w:r>
    </w:p>
    <w:p w14:paraId="63C0D9B7" w14:textId="7BE8AC4F" w:rsidR="00BF21A3" w:rsidRPr="003B3332" w:rsidRDefault="004713AB" w:rsidP="006019EB">
      <w:pPr>
        <w:pStyle w:val="ECHRParaHanging"/>
      </w:pPr>
      <w:hyperlink r:id="rId453" w:history="1">
        <w:r w:rsidR="009B638B" w:rsidRPr="003B3332">
          <w:rPr>
            <w:rStyle w:val="Hyperlink"/>
          </w:rPr>
          <w:t>Filippovy împotriva Rusiei</w:t>
        </w:r>
      </w:hyperlink>
      <w:r w:rsidR="009B638B" w:rsidRPr="003B3332">
        <w:t>, nr. 19355/09, 22 martie 2022</w:t>
      </w:r>
    </w:p>
    <w:p w14:paraId="6B05F2A3" w14:textId="77777777" w:rsidR="006019EB" w:rsidRPr="003B3332" w:rsidRDefault="006019EB" w:rsidP="006019EB">
      <w:pPr>
        <w:pStyle w:val="ECHRTitleCentre1"/>
      </w:pPr>
      <w:r w:rsidRPr="003B3332">
        <w:t>—G—</w:t>
      </w:r>
    </w:p>
    <w:p w14:paraId="07F343B4" w14:textId="282755AD" w:rsidR="00115A82" w:rsidRPr="003B3332" w:rsidRDefault="004713AB" w:rsidP="00115A82">
      <w:pPr>
        <w:pStyle w:val="ECHRParaHanging"/>
        <w:rPr>
          <w:i/>
        </w:rPr>
      </w:pPr>
      <w:hyperlink r:id="rId454" w:history="1">
        <w:r w:rsidR="009B638B" w:rsidRPr="003B3332">
          <w:rPr>
            <w:rStyle w:val="Hyperlink"/>
          </w:rPr>
          <w:t>G.M. și alții împotriva Republicii Moldova</w:t>
        </w:r>
      </w:hyperlink>
      <w:r w:rsidR="009B638B" w:rsidRPr="003B3332">
        <w:t>, nr. 44394/15, 22 februarie 2023</w:t>
      </w:r>
    </w:p>
    <w:p w14:paraId="5FCF0A71" w14:textId="080E94CF" w:rsidR="00CD6180" w:rsidRPr="003B3332" w:rsidRDefault="004713AB" w:rsidP="006019EB">
      <w:pPr>
        <w:pStyle w:val="ECHRParaHanging"/>
      </w:pPr>
      <w:hyperlink r:id="rId455" w:history="1">
        <w:r w:rsidR="009B638B" w:rsidRPr="003B3332">
          <w:rPr>
            <w:rStyle w:val="Hyperlink"/>
          </w:rPr>
          <w:t>Gäfgen împotriva Germaniei</w:t>
        </w:r>
      </w:hyperlink>
      <w:r w:rsidR="009B638B" w:rsidRPr="003B3332">
        <w:t>(MC), nr. 22978/05, CEDO 2010</w:t>
      </w:r>
    </w:p>
    <w:p w14:paraId="39F9C37F" w14:textId="326F7D33" w:rsidR="006168F0" w:rsidRPr="003B3332" w:rsidRDefault="004713AB" w:rsidP="006019EB">
      <w:pPr>
        <w:pStyle w:val="ECHRParaHanging"/>
      </w:pPr>
      <w:hyperlink r:id="rId456" w:history="1">
        <w:r w:rsidR="009B638B" w:rsidRPr="003B3332">
          <w:rPr>
            <w:rStyle w:val="Hyperlink"/>
          </w:rPr>
          <w:t>Georgel și Georgeta Stoicescu împotriva României</w:t>
        </w:r>
      </w:hyperlink>
      <w:r w:rsidR="009B638B" w:rsidRPr="003B3332">
        <w:t>, nr. 9718/03, 26 iulie 2011</w:t>
      </w:r>
    </w:p>
    <w:p w14:paraId="1FFF40FE" w14:textId="7A22E99C" w:rsidR="00305646" w:rsidRPr="003B3332" w:rsidRDefault="004713AB" w:rsidP="006019EB">
      <w:pPr>
        <w:pStyle w:val="ECHRParaHanging"/>
      </w:pPr>
      <w:hyperlink r:id="rId457" w:history="1">
        <w:r w:rsidR="009B638B" w:rsidRPr="003B3332">
          <w:rPr>
            <w:rStyle w:val="Hyperlink"/>
          </w:rPr>
          <w:t>Ghedir și alții împotriva Franței</w:t>
        </w:r>
      </w:hyperlink>
      <w:r w:rsidR="009B638B" w:rsidRPr="003B3332">
        <w:t>, nr. 20579/12, 16 iulie 2015.</w:t>
      </w:r>
    </w:p>
    <w:p w14:paraId="72D58B56" w14:textId="28690EF1" w:rsidR="008801EF" w:rsidRPr="003B3332" w:rsidRDefault="004713AB" w:rsidP="006019EB">
      <w:pPr>
        <w:pStyle w:val="ECHRParaHanging"/>
      </w:pPr>
      <w:hyperlink r:id="rId458" w:history="1">
        <w:r w:rsidR="009B638B" w:rsidRPr="003B3332">
          <w:rPr>
            <w:rStyle w:val="Hyperlink"/>
          </w:rPr>
          <w:t>Ghişoiu împotriva României</w:t>
        </w:r>
      </w:hyperlink>
      <w:r w:rsidR="009B638B" w:rsidRPr="003B3332">
        <w:rPr>
          <w:color w:val="000000"/>
        </w:rPr>
        <w:t>, (dec.), nr. 40228/20, 29 noiembrie 2022</w:t>
      </w:r>
    </w:p>
    <w:p w14:paraId="05D36FB8" w14:textId="616F0466" w:rsidR="009D0CF5" w:rsidRPr="003B3332" w:rsidRDefault="004713AB" w:rsidP="009D0CF5">
      <w:pPr>
        <w:pStyle w:val="ECHRPara"/>
      </w:pPr>
      <w:hyperlink r:id="rId459" w:history="1">
        <w:r w:rsidR="009B638B" w:rsidRPr="003B3332">
          <w:rPr>
            <w:rStyle w:val="Hyperlink"/>
          </w:rPr>
          <w:t>Gorobet împotriva Moldovei</w:t>
        </w:r>
      </w:hyperlink>
      <w:r w:rsidR="009B638B" w:rsidRPr="003B3332">
        <w:t>, nr. 30951/10, 11 octombrie 2011</w:t>
      </w:r>
    </w:p>
    <w:p w14:paraId="31D625A4" w14:textId="7B089684" w:rsidR="00115A82" w:rsidRPr="003B3332" w:rsidRDefault="004713AB" w:rsidP="00115A82">
      <w:pPr>
        <w:pStyle w:val="ECHRPara"/>
        <w:rPr>
          <w:i/>
        </w:rPr>
      </w:pPr>
      <w:hyperlink r:id="rId460" w:history="1">
        <w:r w:rsidR="009B638B" w:rsidRPr="003B3332">
          <w:rPr>
            <w:rStyle w:val="Hyperlink"/>
          </w:rPr>
          <w:t>Grzęda împotriva Poloniei</w:t>
        </w:r>
      </w:hyperlink>
      <w:r w:rsidR="009B638B" w:rsidRPr="003B3332">
        <w:t xml:space="preserve"> (MC), nr. 43572/18, 15 martie 2022</w:t>
      </w:r>
    </w:p>
    <w:p w14:paraId="21F9653C" w14:textId="13834183" w:rsidR="005F2712" w:rsidRPr="003B3332" w:rsidRDefault="004713AB" w:rsidP="006019EB">
      <w:pPr>
        <w:pStyle w:val="ECHRParaHanging"/>
      </w:pPr>
      <w:hyperlink r:id="rId461" w:history="1">
        <w:r w:rsidR="009B638B" w:rsidRPr="003B3332">
          <w:rPr>
            <w:rStyle w:val="Hyperlink"/>
          </w:rPr>
          <w:t>Gutsanovi împotriva Belgiei</w:t>
        </w:r>
      </w:hyperlink>
      <w:r w:rsidR="009B638B" w:rsidRPr="003B3332">
        <w:t>, nr. 34529/10, CEDO 2013 (extrase)</w:t>
      </w:r>
    </w:p>
    <w:p w14:paraId="7D38CCA2" w14:textId="77777777" w:rsidR="006019EB" w:rsidRPr="003B3332" w:rsidRDefault="006019EB" w:rsidP="006019EB">
      <w:pPr>
        <w:pStyle w:val="ECHRTitleCentre1"/>
      </w:pPr>
      <w:r w:rsidRPr="003B3332">
        <w:t>—H—</w:t>
      </w:r>
    </w:p>
    <w:p w14:paraId="2D358265" w14:textId="2D75064C" w:rsidR="001F493D" w:rsidRPr="003B3332" w:rsidRDefault="004713AB" w:rsidP="007C14F3">
      <w:pPr>
        <w:pStyle w:val="ECHRPara"/>
      </w:pPr>
      <w:hyperlink r:id="rId462" w:history="1">
        <w:r w:rsidR="009B638B" w:rsidRPr="003B3332">
          <w:rPr>
            <w:rStyle w:val="Hyperlink"/>
          </w:rPr>
          <w:t>Harkins și Edwards împotriva Regatului Unit</w:t>
        </w:r>
      </w:hyperlink>
      <w:r w:rsidR="009B638B" w:rsidRPr="003B3332">
        <w:t>, nr. 9146/07 și 32650/07, 17 ianuarie 2012</w:t>
      </w:r>
    </w:p>
    <w:p w14:paraId="20D7B625" w14:textId="7D7F64ED" w:rsidR="000800C7" w:rsidRPr="003B3332" w:rsidRDefault="004713AB" w:rsidP="007C14F3">
      <w:pPr>
        <w:pStyle w:val="ECHRPara"/>
      </w:pPr>
      <w:hyperlink r:id="rId463" w:history="1">
        <w:r w:rsidR="009B638B" w:rsidRPr="003B3332">
          <w:rPr>
            <w:rStyle w:val="Hyperlink"/>
          </w:rPr>
          <w:t>Hasan İlhan împotriva Turciei</w:t>
        </w:r>
      </w:hyperlink>
      <w:r w:rsidR="009B638B" w:rsidRPr="003B3332">
        <w:t>, nr. 22494/93, 9 noiembrie 2004</w:t>
      </w:r>
    </w:p>
    <w:p w14:paraId="3099B0C7" w14:textId="1B4FD7B4" w:rsidR="009D0CF5" w:rsidRPr="003B3332" w:rsidRDefault="004713AB" w:rsidP="007C14F3">
      <w:pPr>
        <w:pStyle w:val="ECHRPara"/>
      </w:pPr>
      <w:hyperlink r:id="rId464" w:history="1">
        <w:r w:rsidR="009B638B" w:rsidRPr="003B3332">
          <w:rPr>
            <w:rStyle w:val="Hyperlink"/>
          </w:rPr>
          <w:t>Herczegfalvy împotriva Austriei</w:t>
        </w:r>
      </w:hyperlink>
      <w:r w:rsidR="009B638B" w:rsidRPr="003B3332">
        <w:t>, 24 septembrie 1992, seria A nr. 244</w:t>
      </w:r>
    </w:p>
    <w:p w14:paraId="4B0491BA" w14:textId="6112D4C1" w:rsidR="0070512F" w:rsidRPr="003B3332" w:rsidRDefault="004713AB" w:rsidP="007C14F3">
      <w:pPr>
        <w:pStyle w:val="ECHRPara"/>
      </w:pPr>
      <w:hyperlink r:id="rId465" w:history="1">
        <w:r w:rsidR="009B638B" w:rsidRPr="003B3332">
          <w:rPr>
            <w:rStyle w:val="Hyperlink"/>
          </w:rPr>
          <w:t>Hristovi împotriva Bulgariei</w:t>
        </w:r>
      </w:hyperlink>
      <w:r w:rsidR="009B638B" w:rsidRPr="003B3332">
        <w:t>, nr. 42697/05, 11 octombrie 2011</w:t>
      </w:r>
    </w:p>
    <w:p w14:paraId="2F02CC7A" w14:textId="2A78CB14" w:rsidR="007C14F3" w:rsidRPr="003B3332" w:rsidRDefault="004713AB" w:rsidP="007C14F3">
      <w:pPr>
        <w:pStyle w:val="ECHRPara"/>
      </w:pPr>
      <w:hyperlink r:id="rId466" w:history="1">
        <w:r w:rsidR="009B638B" w:rsidRPr="003B3332">
          <w:rPr>
            <w:rStyle w:val="Hyperlink"/>
          </w:rPr>
          <w:t>Hristozov și alții împotriva Bulgariei</w:t>
        </w:r>
      </w:hyperlink>
      <w:r w:rsidR="009B638B" w:rsidRPr="003B3332">
        <w:t>, nr. 47039/11 și 358/12, CEDO 2012 (extrase)</w:t>
      </w:r>
    </w:p>
    <w:bookmarkStart w:id="107" w:name="_cl42497"/>
    <w:p w14:paraId="638FD3D1" w14:textId="7713855F" w:rsidR="00967AE3" w:rsidRPr="003B3332" w:rsidRDefault="00967AE3" w:rsidP="007C14F3">
      <w:pPr>
        <w:pStyle w:val="ECHRPara"/>
      </w:pPr>
      <w:r w:rsidRPr="003B3332">
        <w:rPr>
          <w:i/>
        </w:rPr>
        <w:fldChar w:fldCharType="begin"/>
      </w:r>
      <w:r w:rsidRPr="003B3332">
        <w:rPr>
          <w:i/>
        </w:rPr>
        <w:instrText xml:space="preserve"> HYPERLINK "http://hudoc.echr.coe.int/eng?i=001-224805" </w:instrText>
      </w:r>
      <w:r w:rsidRPr="003B3332">
        <w:rPr>
          <w:i/>
        </w:rPr>
        <w:fldChar w:fldCharType="separate"/>
      </w:r>
      <w:r w:rsidRPr="003B3332">
        <w:rPr>
          <w:rStyle w:val="Hyperlink"/>
        </w:rPr>
        <w:t>Horion împotriva Belgiei</w:t>
      </w:r>
      <w:r w:rsidRPr="003B3332">
        <w:rPr>
          <w:i/>
        </w:rPr>
        <w:fldChar w:fldCharType="end"/>
      </w:r>
      <w:bookmarkEnd w:id="107"/>
      <w:r w:rsidRPr="003B3332">
        <w:t>, nr. 37928/20, 9 mai 2023</w:t>
      </w:r>
    </w:p>
    <w:p w14:paraId="070F6E39" w14:textId="2AE44A8C" w:rsidR="006019EB" w:rsidRPr="003B3332" w:rsidRDefault="004713AB" w:rsidP="006019EB">
      <w:pPr>
        <w:pStyle w:val="ECHRParaHanging"/>
      </w:pPr>
      <w:hyperlink r:id="rId467" w:history="1">
        <w:r w:rsidR="009B638B" w:rsidRPr="003B3332">
          <w:rPr>
            <w:rStyle w:val="Hyperlink"/>
          </w:rPr>
          <w:t>Hovhannisyan împotriva Armeniei</w:t>
        </w:r>
      </w:hyperlink>
      <w:r w:rsidR="009B638B" w:rsidRPr="003B3332">
        <w:t>, nr. 18419/13, 19 iulie 2018</w:t>
      </w:r>
    </w:p>
    <w:p w14:paraId="33880A55" w14:textId="130CA970" w:rsidR="007817FF" w:rsidRPr="003B3332" w:rsidRDefault="004713AB" w:rsidP="006019EB">
      <w:pPr>
        <w:pStyle w:val="ECHRParaHanging"/>
      </w:pPr>
      <w:hyperlink r:id="rId468" w:history="1">
        <w:r w:rsidR="009B638B" w:rsidRPr="003B3332">
          <w:rPr>
            <w:rStyle w:val="Hyperlink"/>
          </w:rPr>
          <w:t>Hutchinson împotriva Regatului Unit</w:t>
        </w:r>
      </w:hyperlink>
      <w:r w:rsidR="009B638B" w:rsidRPr="003B3332">
        <w:t xml:space="preserve"> (MC), nr. 57592/08, 17 ianuarie 2017</w:t>
      </w:r>
    </w:p>
    <w:p w14:paraId="76042E7C" w14:textId="77777777" w:rsidR="006019EB" w:rsidRPr="003B3332" w:rsidRDefault="006019EB" w:rsidP="006019EB">
      <w:pPr>
        <w:pStyle w:val="ECHRTitleCentre1"/>
      </w:pPr>
      <w:r w:rsidRPr="003B3332">
        <w:t>—I—</w:t>
      </w:r>
    </w:p>
    <w:p w14:paraId="3CCD9B94" w14:textId="67CCF996" w:rsidR="003F4C53" w:rsidRPr="003B3332" w:rsidRDefault="004713AB" w:rsidP="003F4C53">
      <w:pPr>
        <w:pStyle w:val="ECHRPara"/>
      </w:pPr>
      <w:hyperlink r:id="rId469" w:history="1">
        <w:r w:rsidR="009B638B" w:rsidRPr="003B3332">
          <w:rPr>
            <w:rStyle w:val="Hyperlink"/>
          </w:rPr>
          <w:t>I.C. împotriva României</w:t>
        </w:r>
      </w:hyperlink>
      <w:r w:rsidR="009B638B" w:rsidRPr="003B3332">
        <w:t>, nr. 36934/08, 24 mai 2016</w:t>
      </w:r>
    </w:p>
    <w:p w14:paraId="36D65F99" w14:textId="3D8FEFC5" w:rsidR="003F4C53" w:rsidRPr="003B3332" w:rsidRDefault="004713AB" w:rsidP="003F4C53">
      <w:pPr>
        <w:pStyle w:val="ECHRPara"/>
      </w:pPr>
      <w:hyperlink r:id="rId470" w:history="1">
        <w:r w:rsidR="009B638B" w:rsidRPr="003B3332">
          <w:rPr>
            <w:rStyle w:val="Hyperlink"/>
          </w:rPr>
          <w:t>I.E. împotriva Republicii Moldova</w:t>
        </w:r>
      </w:hyperlink>
      <w:r w:rsidR="009B638B" w:rsidRPr="003B3332">
        <w:t>, nr. 45422/13, 26 mai 2020</w:t>
      </w:r>
    </w:p>
    <w:p w14:paraId="4F4B2C3C" w14:textId="55EE3135" w:rsidR="00A215F6" w:rsidRPr="003B3332" w:rsidRDefault="004713AB" w:rsidP="000A4D42">
      <w:pPr>
        <w:pStyle w:val="ECHRPara"/>
      </w:pPr>
      <w:hyperlink r:id="rId471" w:history="1">
        <w:r w:rsidR="009B638B" w:rsidRPr="003B3332">
          <w:rPr>
            <w:rStyle w:val="Hyperlink"/>
          </w:rPr>
          <w:t>Idalov împotriva Rusiei</w:t>
        </w:r>
      </w:hyperlink>
      <w:r w:rsidR="009B638B" w:rsidRPr="003B3332">
        <w:t xml:space="preserve"> (MC), nr. 5826/03, 22 mai 2012</w:t>
      </w:r>
    </w:p>
    <w:p w14:paraId="38AAEC55" w14:textId="2DE29386" w:rsidR="009B6F0E" w:rsidRPr="003B3332" w:rsidRDefault="004713AB" w:rsidP="000A4D42">
      <w:pPr>
        <w:pStyle w:val="ECHRPara"/>
      </w:pPr>
      <w:hyperlink r:id="rId472" w:history="1">
        <w:r w:rsidR="009B638B" w:rsidRPr="003B3332">
          <w:rPr>
            <w:rStyle w:val="Hyperlink"/>
          </w:rPr>
          <w:t>Identoba și alții împotriva Georgiei</w:t>
        </w:r>
      </w:hyperlink>
      <w:r w:rsidR="009B638B" w:rsidRPr="003B3332">
        <w:t>, nr. 73235/12, 12 mai 2015</w:t>
      </w:r>
    </w:p>
    <w:p w14:paraId="10288B79" w14:textId="68424A47" w:rsidR="00C25B16" w:rsidRPr="003B3332" w:rsidRDefault="004713AB" w:rsidP="000A4D42">
      <w:pPr>
        <w:pStyle w:val="ECHRPara"/>
      </w:pPr>
      <w:hyperlink r:id="rId473" w:history="1">
        <w:r w:rsidR="009B638B" w:rsidRPr="003B3332">
          <w:rPr>
            <w:rStyle w:val="Hyperlink"/>
          </w:rPr>
          <w:t>Ilaşcu și alții împotriva Moldovei și Rusiei</w:t>
        </w:r>
      </w:hyperlink>
      <w:r w:rsidR="009B638B" w:rsidRPr="003B3332">
        <w:t xml:space="preserve"> (MC), nr. 48787/99, CEDO 2004</w:t>
      </w:r>
      <w:r w:rsidR="009B638B" w:rsidRPr="003B3332">
        <w:noBreakHyphen/>
        <w:t>VII</w:t>
      </w:r>
    </w:p>
    <w:p w14:paraId="41525114" w14:textId="52287463" w:rsidR="00F768C3" w:rsidRPr="003B3332" w:rsidRDefault="004713AB" w:rsidP="000A4D42">
      <w:pPr>
        <w:pStyle w:val="ECHRPara"/>
      </w:pPr>
      <w:hyperlink r:id="rId474" w:history="1">
        <w:r w:rsidR="009B638B" w:rsidRPr="003B3332">
          <w:rPr>
            <w:rStyle w:val="Hyperlink"/>
          </w:rPr>
          <w:t>İlhan împotriva Turciei</w:t>
        </w:r>
      </w:hyperlink>
      <w:r w:rsidR="009B638B" w:rsidRPr="003B3332">
        <w:t>(MC), nr. 22277/93, CEDO 2000</w:t>
      </w:r>
      <w:r w:rsidR="009B638B" w:rsidRPr="003B3332">
        <w:noBreakHyphen/>
        <w:t>VII</w:t>
      </w:r>
    </w:p>
    <w:p w14:paraId="550F152C" w14:textId="7505D7B2" w:rsidR="00675B8E" w:rsidRPr="003B3332" w:rsidRDefault="004713AB" w:rsidP="000A4D42">
      <w:pPr>
        <w:pStyle w:val="ECHRPara"/>
      </w:pPr>
      <w:hyperlink r:id="rId475" w:history="1">
        <w:r w:rsidR="009B638B" w:rsidRPr="003B3332">
          <w:rPr>
            <w:rStyle w:val="Hyperlink"/>
          </w:rPr>
          <w:t>Ilias și Ahmed împotriva Ungariei</w:t>
        </w:r>
      </w:hyperlink>
      <w:r w:rsidR="009B638B" w:rsidRPr="003B3332">
        <w:t xml:space="preserve"> (MC), nr. 47287/15, 21 noiembrie 2019</w:t>
      </w:r>
    </w:p>
    <w:p w14:paraId="25216446" w14:textId="7C30D0C8" w:rsidR="003B5996" w:rsidRPr="003B3332" w:rsidRDefault="004713AB" w:rsidP="000A4D42">
      <w:pPr>
        <w:pStyle w:val="ECHRPara"/>
      </w:pPr>
      <w:hyperlink r:id="rId476" w:history="1">
        <w:r w:rsidR="009B638B" w:rsidRPr="003B3332">
          <w:rPr>
            <w:rStyle w:val="Hyperlink"/>
          </w:rPr>
          <w:t>Ilievi și Ganchevi împotriva Bulgariei</w:t>
        </w:r>
      </w:hyperlink>
      <w:r w:rsidR="009B638B" w:rsidRPr="003B3332">
        <w:t>, nr. 69154/11 și 69163/11, 8 iunie 2021</w:t>
      </w:r>
    </w:p>
    <w:p w14:paraId="5F6E4FED" w14:textId="77C67214" w:rsidR="00A215F6" w:rsidRPr="003B3332" w:rsidRDefault="004713AB" w:rsidP="000A4D42">
      <w:pPr>
        <w:pStyle w:val="ECHRPara"/>
      </w:pPr>
      <w:hyperlink r:id="rId477" w:history="1">
        <w:r w:rsidR="009B638B" w:rsidRPr="003B3332">
          <w:rPr>
            <w:rStyle w:val="Hyperlink"/>
          </w:rPr>
          <w:t>Imakayeva împotriva Rusiei</w:t>
        </w:r>
      </w:hyperlink>
      <w:r w:rsidR="009B638B" w:rsidRPr="003B3332">
        <w:t>, nr. 7615/02, CEDO 2006</w:t>
      </w:r>
      <w:r w:rsidR="009B638B" w:rsidRPr="003B3332">
        <w:noBreakHyphen/>
        <w:t>XIII (extrase)</w:t>
      </w:r>
    </w:p>
    <w:p w14:paraId="603EFBE7" w14:textId="131358FD" w:rsidR="0070512F" w:rsidRPr="003B3332" w:rsidRDefault="004713AB" w:rsidP="000A4D42">
      <w:pPr>
        <w:pStyle w:val="ECHRPara"/>
      </w:pPr>
      <w:hyperlink r:id="rId478" w:history="1">
        <w:r w:rsidR="009B638B" w:rsidRPr="003B3332">
          <w:rPr>
            <w:rStyle w:val="Hyperlink"/>
          </w:rPr>
          <w:t>Indelicato împotriva Italiei</w:t>
        </w:r>
      </w:hyperlink>
      <w:r w:rsidR="009B638B" w:rsidRPr="003B3332">
        <w:t>, nr. 31143/96, 18 octombrie 2001</w:t>
      </w:r>
    </w:p>
    <w:p w14:paraId="6A04F2DF" w14:textId="68498ECA" w:rsidR="00F112CE" w:rsidRPr="003B3332" w:rsidRDefault="004713AB" w:rsidP="000A4D42">
      <w:pPr>
        <w:pStyle w:val="ECHRPara"/>
        <w:rPr>
          <w:iCs/>
        </w:rPr>
      </w:pPr>
      <w:hyperlink r:id="rId479" w:history="1">
        <w:r w:rsidR="009B638B" w:rsidRPr="003B3332">
          <w:rPr>
            <w:rStyle w:val="Hyperlink"/>
          </w:rPr>
          <w:t>Ioan Pop și alții împotriva României</w:t>
        </w:r>
      </w:hyperlink>
      <w:r w:rsidR="009B638B" w:rsidRPr="003B3332">
        <w:t>, nr. 52924/09, 6 decembrie 2016</w:t>
      </w:r>
    </w:p>
    <w:p w14:paraId="19784A94" w14:textId="68F7D404" w:rsidR="006019EB" w:rsidRPr="003B3332" w:rsidRDefault="004713AB" w:rsidP="000A4D42">
      <w:pPr>
        <w:pStyle w:val="ECHRPara"/>
      </w:pPr>
      <w:hyperlink r:id="rId480" w:history="1">
        <w:r w:rsidR="009B638B" w:rsidRPr="003B3332">
          <w:rPr>
            <w:rStyle w:val="Hyperlink"/>
          </w:rPr>
          <w:t>Irlanda împotriva Regatului Unit</w:t>
        </w:r>
      </w:hyperlink>
      <w:r w:rsidR="009B638B" w:rsidRPr="003B3332">
        <w:t>, 18 ianuarie 1978, seria A nr. 25</w:t>
      </w:r>
    </w:p>
    <w:p w14:paraId="1A56C96B" w14:textId="068D883B" w:rsidR="007771CA" w:rsidRPr="003B3332" w:rsidRDefault="004713AB" w:rsidP="007771CA">
      <w:pPr>
        <w:pStyle w:val="ECHRPara"/>
      </w:pPr>
      <w:hyperlink r:id="rId481" w:history="1">
        <w:r w:rsidR="009B638B" w:rsidRPr="003B3332">
          <w:rPr>
            <w:rStyle w:val="Hyperlink"/>
          </w:rPr>
          <w:t>Irlanda împotriva Regatului Unit</w:t>
        </w:r>
      </w:hyperlink>
      <w:r w:rsidR="009B638B" w:rsidRPr="003B3332">
        <w:t xml:space="preserve"> (revizuire), nr. 5310/71, 20 martie 2018</w:t>
      </w:r>
    </w:p>
    <w:p w14:paraId="0F7CCFE8" w14:textId="7EAFECB0" w:rsidR="00F85D0A" w:rsidRPr="003B3332" w:rsidRDefault="004713AB" w:rsidP="007771CA">
      <w:pPr>
        <w:pStyle w:val="ECHRPara"/>
      </w:pPr>
      <w:hyperlink r:id="rId482" w:history="1">
        <w:r w:rsidR="009B638B" w:rsidRPr="003B3332">
          <w:rPr>
            <w:rStyle w:val="Hyperlink"/>
          </w:rPr>
          <w:t>Irina Smirnova împotriva Ucrainei</w:t>
        </w:r>
      </w:hyperlink>
      <w:r w:rsidR="009B638B" w:rsidRPr="003B3332">
        <w:t>, nr. 1870/05, 13 octombrie 2016</w:t>
      </w:r>
    </w:p>
    <w:p w14:paraId="22B84255" w14:textId="3E18110D" w:rsidR="00952C9B" w:rsidRPr="003B3332" w:rsidRDefault="004713AB" w:rsidP="007771CA">
      <w:pPr>
        <w:pStyle w:val="ECHRPara"/>
      </w:pPr>
      <w:hyperlink r:id="rId483" w:history="1">
        <w:r w:rsidR="009B638B" w:rsidRPr="003B3332">
          <w:rPr>
            <w:rStyle w:val="Hyperlink"/>
          </w:rPr>
          <w:t>Isayeva împotriva Ucrainei</w:t>
        </w:r>
      </w:hyperlink>
      <w:r w:rsidR="009B638B" w:rsidRPr="003B3332">
        <w:t>, nr. 35523/06, 4 decembrie 2018</w:t>
      </w:r>
    </w:p>
    <w:bookmarkStart w:id="108" w:name="_cl43808"/>
    <w:p w14:paraId="3858987E" w14:textId="3C52F5F7" w:rsidR="0072717D" w:rsidRPr="003B3332" w:rsidRDefault="0072717D" w:rsidP="007771CA">
      <w:pPr>
        <w:pStyle w:val="ECHRPara"/>
      </w:pPr>
      <w:r w:rsidRPr="003B3332">
        <w:rPr>
          <w:i/>
        </w:rPr>
        <w:fldChar w:fldCharType="begin"/>
      </w:r>
      <w:r w:rsidRPr="003B3332">
        <w:rPr>
          <w:i/>
        </w:rPr>
        <w:instrText xml:space="preserve"> HYPERLINK "http://hudoc.echr.coe.int/eng?i=001-228349" </w:instrText>
      </w:r>
      <w:r w:rsidRPr="003B3332">
        <w:rPr>
          <w:i/>
        </w:rPr>
        <w:fldChar w:fldCharType="separate"/>
      </w:r>
      <w:r w:rsidRPr="003B3332">
        <w:rPr>
          <w:rStyle w:val="Hyperlink"/>
        </w:rPr>
        <w:t>Israilov împotriva Rusiei</w:t>
      </w:r>
      <w:r w:rsidRPr="003B3332">
        <w:rPr>
          <w:i/>
        </w:rPr>
        <w:fldChar w:fldCharType="end"/>
      </w:r>
      <w:bookmarkEnd w:id="108"/>
      <w:r w:rsidRPr="003B3332">
        <w:t>, nr. 21882/09 și 6189/10, 24 octombrie 2023</w:t>
      </w:r>
    </w:p>
    <w:p w14:paraId="23DF3020" w14:textId="0E3B8982" w:rsidR="00F112CE" w:rsidRPr="003B3332" w:rsidRDefault="004713AB" w:rsidP="007771CA">
      <w:pPr>
        <w:pStyle w:val="ECHRPara"/>
      </w:pPr>
      <w:hyperlink r:id="rId484" w:history="1">
        <w:r w:rsidR="009B638B" w:rsidRPr="003B3332">
          <w:rPr>
            <w:rStyle w:val="Hyperlink"/>
          </w:rPr>
          <w:t>Iwańczuk împotriva Poloniei</w:t>
        </w:r>
      </w:hyperlink>
      <w:r w:rsidR="009B638B" w:rsidRPr="003B3332">
        <w:t>, nr. 25196/94, 15 noiembrie 2001</w:t>
      </w:r>
    </w:p>
    <w:p w14:paraId="08A0C29D" w14:textId="1D16F14F" w:rsidR="007771CA" w:rsidRPr="003B3332" w:rsidRDefault="004713AB" w:rsidP="000A4D42">
      <w:pPr>
        <w:pStyle w:val="ECHRPara"/>
      </w:pPr>
      <w:hyperlink r:id="rId485" w:history="1">
        <w:r w:rsidR="009B638B" w:rsidRPr="003B3332">
          <w:rPr>
            <w:rStyle w:val="Hyperlink"/>
          </w:rPr>
          <w:t>İzci împotriva Turciei</w:t>
        </w:r>
      </w:hyperlink>
      <w:r w:rsidR="009B638B" w:rsidRPr="003B3332">
        <w:t>, nr. 42606/05, 23 iulie 2013</w:t>
      </w:r>
    </w:p>
    <w:p w14:paraId="36D1C93D" w14:textId="3CB5908A" w:rsidR="006019EB" w:rsidRPr="003B3332" w:rsidRDefault="006019EB" w:rsidP="006019EB">
      <w:pPr>
        <w:pStyle w:val="ECHRTitleCentre1"/>
      </w:pPr>
      <w:r w:rsidRPr="003B3332">
        <w:t>—J—</w:t>
      </w:r>
    </w:p>
    <w:p w14:paraId="1C76C937" w14:textId="14341634" w:rsidR="002A5E05" w:rsidRPr="003B3332" w:rsidRDefault="004713AB" w:rsidP="00D762B6">
      <w:pPr>
        <w:pStyle w:val="ECHRParaHanging"/>
      </w:pPr>
      <w:hyperlink r:id="rId486" w:history="1">
        <w:r w:rsidR="009B638B" w:rsidRPr="003B3332">
          <w:rPr>
            <w:i/>
            <w:color w:val="0072BC" w:themeColor="hyperlink"/>
          </w:rPr>
          <w:t>J.I. împotriva Croației</w:t>
        </w:r>
      </w:hyperlink>
      <w:r w:rsidR="009B638B" w:rsidRPr="003B3332">
        <w:rPr>
          <w:color w:val="2F2F2F" w:themeColor="accent3" w:themeShade="80"/>
        </w:rPr>
        <w:t>, nr. 35898/16, 8 septembrie 2022</w:t>
      </w:r>
    </w:p>
    <w:p w14:paraId="48490706" w14:textId="2D448CB4" w:rsidR="00E34048" w:rsidRPr="003B3332" w:rsidRDefault="004713AB" w:rsidP="006019EB">
      <w:pPr>
        <w:pStyle w:val="ECHRParaHanging"/>
      </w:pPr>
      <w:hyperlink r:id="rId487" w:history="1">
        <w:r w:rsidR="009B638B" w:rsidRPr="003B3332">
          <w:rPr>
            <w:rStyle w:val="Hyperlink"/>
          </w:rPr>
          <w:t>Jalloh împotriva Germaniei</w:t>
        </w:r>
      </w:hyperlink>
      <w:r w:rsidR="009B638B" w:rsidRPr="003B3332">
        <w:t>(MC), nr. 54810/00, CEDO 2006</w:t>
      </w:r>
      <w:r w:rsidR="009B638B" w:rsidRPr="003B3332">
        <w:noBreakHyphen/>
        <w:t>IX</w:t>
      </w:r>
    </w:p>
    <w:p w14:paraId="098D2E79" w14:textId="39D697A1" w:rsidR="00D341A1" w:rsidRPr="003B3332" w:rsidRDefault="004713AB" w:rsidP="006019EB">
      <w:pPr>
        <w:pStyle w:val="ECHRParaHanging"/>
      </w:pPr>
      <w:hyperlink r:id="rId488" w:history="1">
        <w:r w:rsidR="009B638B" w:rsidRPr="003B3332">
          <w:rPr>
            <w:rStyle w:val="Hyperlink"/>
          </w:rPr>
          <w:t>Janowiec și alții împotriva Rusiei</w:t>
        </w:r>
      </w:hyperlink>
      <w:r w:rsidR="009B638B" w:rsidRPr="003B3332">
        <w:t xml:space="preserve"> (MC), nr. 55508/07 și 29520/09, CEDO 2013</w:t>
      </w:r>
    </w:p>
    <w:p w14:paraId="72BC5067" w14:textId="7883C4D7" w:rsidR="006910AC" w:rsidRPr="003B3332" w:rsidRDefault="004713AB" w:rsidP="006019EB">
      <w:pPr>
        <w:pStyle w:val="ECHRParaHanging"/>
      </w:pPr>
      <w:hyperlink r:id="rId489" w:history="1">
        <w:r w:rsidR="009B638B" w:rsidRPr="003B3332">
          <w:rPr>
            <w:rStyle w:val="Hyperlink"/>
          </w:rPr>
          <w:t>Jeronovičs împotriva Letoniei</w:t>
        </w:r>
      </w:hyperlink>
      <w:r w:rsidR="009B638B" w:rsidRPr="003B3332">
        <w:t xml:space="preserve"> (MC), nr. 44898/10, 5 iulie 2016</w:t>
      </w:r>
    </w:p>
    <w:p w14:paraId="45346835" w14:textId="1E5239D6" w:rsidR="00996C29" w:rsidRPr="003B3332" w:rsidRDefault="006019EB" w:rsidP="00996C29">
      <w:pPr>
        <w:pStyle w:val="ECHRTitleCentre1"/>
      </w:pPr>
      <w:r w:rsidRPr="003B3332">
        <w:t>—K—</w:t>
      </w:r>
    </w:p>
    <w:p w14:paraId="48962E29" w14:textId="722365A3" w:rsidR="00C3027C" w:rsidRPr="003B3332" w:rsidRDefault="004713AB" w:rsidP="006019EB">
      <w:pPr>
        <w:pStyle w:val="ECHRParaHanging"/>
      </w:pPr>
      <w:hyperlink r:id="rId490" w:history="1">
        <w:r w:rsidR="009B638B" w:rsidRPr="003B3332">
          <w:rPr>
            <w:rStyle w:val="Hyperlink"/>
          </w:rPr>
          <w:t>Kagirov împotriva Rusiei</w:t>
        </w:r>
      </w:hyperlink>
      <w:r w:rsidR="009B638B" w:rsidRPr="003B3332">
        <w:t>, nr. 36367/09, 23 aprilie 2015</w:t>
      </w:r>
    </w:p>
    <w:p w14:paraId="7CC342C1" w14:textId="52FF1008" w:rsidR="00F112CE" w:rsidRPr="003B3332" w:rsidRDefault="004713AB" w:rsidP="00F112CE">
      <w:pPr>
        <w:pStyle w:val="ECHRPara"/>
      </w:pPr>
      <w:hyperlink r:id="rId491" w:history="1">
        <w:r w:rsidR="009B638B" w:rsidRPr="003B3332">
          <w:rPr>
            <w:rStyle w:val="Hyperlink"/>
          </w:rPr>
          <w:t>Kalashnikov împotriva Rusiei</w:t>
        </w:r>
      </w:hyperlink>
      <w:r w:rsidR="009B638B" w:rsidRPr="003B3332">
        <w:t>, nr. 47095/99, CEDO 2002</w:t>
      </w:r>
      <w:r w:rsidR="009B638B" w:rsidRPr="003B3332">
        <w:noBreakHyphen/>
        <w:t>VI</w:t>
      </w:r>
    </w:p>
    <w:p w14:paraId="6DD14A43" w14:textId="1E16D973" w:rsidR="00AF4D2B" w:rsidRPr="003B3332" w:rsidRDefault="004713AB" w:rsidP="00AF4D2B">
      <w:pPr>
        <w:pStyle w:val="ECHRParaHanging"/>
      </w:pPr>
      <w:hyperlink r:id="rId492" w:history="1">
        <w:r w:rsidR="009B638B" w:rsidRPr="003B3332">
          <w:rPr>
            <w:rStyle w:val="Hyperlink"/>
          </w:rPr>
          <w:t>Karachentsev împotriva Rusiei</w:t>
        </w:r>
      </w:hyperlink>
      <w:r w:rsidR="009B638B" w:rsidRPr="003B3332">
        <w:t>, nr. 23229/11, 17 aprilie 2018</w:t>
      </w:r>
    </w:p>
    <w:p w14:paraId="44127853" w14:textId="6DA0E2BF" w:rsidR="00687DF7" w:rsidRPr="003B3332" w:rsidRDefault="004713AB" w:rsidP="00687DF7">
      <w:pPr>
        <w:pStyle w:val="ECHRPara"/>
      </w:pPr>
      <w:hyperlink r:id="rId493" w:history="1">
        <w:r w:rsidR="009B638B" w:rsidRPr="003B3332">
          <w:rPr>
            <w:rStyle w:val="Hyperlink"/>
          </w:rPr>
          <w:t>Khadzhialiyev și alții împotriva Rusiei</w:t>
        </w:r>
      </w:hyperlink>
      <w:r w:rsidR="009B638B" w:rsidRPr="003B3332">
        <w:t>, nr. 3013/04, 6 noiembrie 2008</w:t>
      </w:r>
    </w:p>
    <w:p w14:paraId="1809F10E" w14:textId="5027AEA6" w:rsidR="00604C42" w:rsidRPr="003B3332" w:rsidRDefault="004713AB" w:rsidP="00604C42">
      <w:pPr>
        <w:pStyle w:val="ECHRParaHanging"/>
        <w:jc w:val="both"/>
      </w:pPr>
      <w:hyperlink r:id="rId494" w:history="1">
        <w:r w:rsidR="009B638B" w:rsidRPr="003B3332">
          <w:rPr>
            <w:rStyle w:val="Hyperlink"/>
          </w:rPr>
          <w:t>Khan împotriva Franței</w:t>
        </w:r>
      </w:hyperlink>
      <w:r w:rsidR="009B638B" w:rsidRPr="003B3332">
        <w:t>, nr. 12267/16, 28 februarie 2019</w:t>
      </w:r>
    </w:p>
    <w:p w14:paraId="580BC508" w14:textId="1D63FA7C" w:rsidR="00BF21A3" w:rsidRPr="003B3332" w:rsidRDefault="004713AB" w:rsidP="00BF21A3">
      <w:pPr>
        <w:pStyle w:val="ECHRPara"/>
        <w:rPr>
          <w:iCs/>
        </w:rPr>
      </w:pPr>
      <w:hyperlink r:id="rId495" w:history="1">
        <w:r w:rsidR="009B638B" w:rsidRPr="003B3332">
          <w:rPr>
            <w:rStyle w:val="Hyperlink"/>
          </w:rPr>
          <w:t>Khasanov și Rakhmanov împotriva Rusiei</w:t>
        </w:r>
      </w:hyperlink>
      <w:r w:rsidR="009B638B" w:rsidRPr="003B3332">
        <w:t xml:space="preserve"> (MC), nr. 28492/15 și 49975/15, 29 aprilie 2022</w:t>
      </w:r>
    </w:p>
    <w:p w14:paraId="63106870" w14:textId="1F8D3B45" w:rsidR="00D47299" w:rsidRPr="003B3332" w:rsidRDefault="004713AB" w:rsidP="00BF21A3">
      <w:pPr>
        <w:pStyle w:val="ECHRPara"/>
        <w:rPr>
          <w:rFonts w:cs="Times New Roman"/>
        </w:rPr>
      </w:pPr>
      <w:hyperlink r:id="rId496" w:history="1">
        <w:r w:rsidR="009B638B" w:rsidRPr="003B3332">
          <w:rPr>
            <w:rStyle w:val="Hyperlink"/>
          </w:rPr>
          <w:t>Khlaifia și alții împotriva Italiei</w:t>
        </w:r>
      </w:hyperlink>
      <w:r w:rsidR="009B638B" w:rsidRPr="003B3332">
        <w:t xml:space="preserve"> (MC), nr. 16483/12, CEDO 2016 (extrase)</w:t>
      </w:r>
    </w:p>
    <w:p w14:paraId="4228931F" w14:textId="08277FD7" w:rsidR="00783483" w:rsidRPr="003B3332" w:rsidRDefault="004713AB" w:rsidP="00783483">
      <w:pPr>
        <w:pStyle w:val="ECHRPara"/>
      </w:pPr>
      <w:hyperlink r:id="rId497" w:tgtFrame="_blank" w:history="1">
        <w:r w:rsidR="009B638B" w:rsidRPr="003B3332">
          <w:rPr>
            <w:rStyle w:val="Hyperlink"/>
          </w:rPr>
          <w:t>Konstantin Markin împotriva Rusiei</w:t>
        </w:r>
      </w:hyperlink>
      <w:r w:rsidR="009B638B" w:rsidRPr="003B3332">
        <w:t>, nr. 30078/06, 22 martie 2012</w:t>
      </w:r>
    </w:p>
    <w:p w14:paraId="24C18C09" w14:textId="6E60104D" w:rsidR="006019EB" w:rsidRPr="003B3332" w:rsidRDefault="004713AB" w:rsidP="006019EB">
      <w:pPr>
        <w:pStyle w:val="ECHRParaHanging"/>
      </w:pPr>
      <w:hyperlink r:id="rId498" w:history="1">
        <w:r w:rsidR="009B638B" w:rsidRPr="003B3332">
          <w:rPr>
            <w:rStyle w:val="Hyperlink"/>
          </w:rPr>
          <w:t>Kudła împotriva Poloniei</w:t>
        </w:r>
      </w:hyperlink>
      <w:r w:rsidR="009B638B" w:rsidRPr="003B3332">
        <w:t xml:space="preserve"> (MC), nr. 30210/96, CEDO 2000</w:t>
      </w:r>
      <w:r w:rsidR="009B638B" w:rsidRPr="003B3332">
        <w:noBreakHyphen/>
        <w:t>XI</w:t>
      </w:r>
    </w:p>
    <w:p w14:paraId="72F59ED7" w14:textId="765E58D3" w:rsidR="001D563A" w:rsidRPr="003B3332" w:rsidRDefault="004713AB" w:rsidP="006019EB">
      <w:pPr>
        <w:pStyle w:val="ECHRParaHanging"/>
      </w:pPr>
      <w:hyperlink r:id="rId499" w:history="1">
        <w:r w:rsidR="009B638B" w:rsidRPr="003B3332">
          <w:rPr>
            <w:rStyle w:val="Hyperlink"/>
          </w:rPr>
          <w:t>Kurt împotriva Austriei</w:t>
        </w:r>
      </w:hyperlink>
      <w:r w:rsidR="009B638B" w:rsidRPr="003B3332">
        <w:t xml:space="preserve"> (MC), nr. 62903/15, 15 iunie 2021</w:t>
      </w:r>
    </w:p>
    <w:p w14:paraId="3025F3D6" w14:textId="77777777" w:rsidR="006019EB" w:rsidRPr="003B3332" w:rsidRDefault="006019EB" w:rsidP="006019EB">
      <w:pPr>
        <w:pStyle w:val="ECHRTitleCentre1"/>
      </w:pPr>
      <w:r w:rsidRPr="003B3332">
        <w:t>—L—</w:t>
      </w:r>
    </w:p>
    <w:p w14:paraId="048A8C1E" w14:textId="1C82846D" w:rsidR="00582DCC" w:rsidRPr="003B3332" w:rsidRDefault="004713AB" w:rsidP="006019EB">
      <w:pPr>
        <w:pStyle w:val="ECHRParaHanging"/>
      </w:pPr>
      <w:hyperlink r:id="rId500" w:history="1">
        <w:r w:rsidR="009B638B" w:rsidRPr="003B3332">
          <w:rPr>
            <w:rStyle w:val="Hyperlink"/>
          </w:rPr>
          <w:t>Labita împotriva Italiei</w:t>
        </w:r>
      </w:hyperlink>
      <w:r w:rsidR="009B638B" w:rsidRPr="003B3332">
        <w:t xml:space="preserve"> (MC), nr. 26772/95, CEDO 2000</w:t>
      </w:r>
      <w:r w:rsidR="009B638B" w:rsidRPr="003B3332">
        <w:noBreakHyphen/>
        <w:t>IV</w:t>
      </w:r>
    </w:p>
    <w:bookmarkStart w:id="109" w:name="_cl42710"/>
    <w:p w14:paraId="481CD44C" w14:textId="561F011E" w:rsidR="0047191A" w:rsidRPr="003B3332" w:rsidRDefault="0047191A" w:rsidP="006019EB">
      <w:pPr>
        <w:pStyle w:val="ECHRParaHanging"/>
      </w:pPr>
      <w:r w:rsidRPr="003B3332">
        <w:rPr>
          <w:i/>
        </w:rPr>
        <w:fldChar w:fldCharType="begin"/>
      </w:r>
      <w:r w:rsidRPr="003B3332">
        <w:rPr>
          <w:i/>
        </w:rPr>
        <w:instrText xml:space="preserve"> HYPERLINK "http://hudoc.echr.coe.int/eng?i=001-226449" </w:instrText>
      </w:r>
      <w:r w:rsidRPr="003B3332">
        <w:rPr>
          <w:i/>
        </w:rPr>
        <w:fldChar w:fldCharType="separate"/>
      </w:r>
      <w:r w:rsidRPr="003B3332">
        <w:rPr>
          <w:rStyle w:val="Hyperlink"/>
        </w:rPr>
        <w:t>Lapunov împotriva Rusiei</w:t>
      </w:r>
      <w:r w:rsidRPr="003B3332">
        <w:rPr>
          <w:i/>
        </w:rPr>
        <w:fldChar w:fldCharType="end"/>
      </w:r>
      <w:bookmarkEnd w:id="109"/>
      <w:r w:rsidRPr="003B3332">
        <w:t>, nr. 28834/19, 12 septembrie 2023</w:t>
      </w:r>
    </w:p>
    <w:p w14:paraId="01AF7F95" w14:textId="59DFB594" w:rsidR="006168F0" w:rsidRPr="003B3332" w:rsidRDefault="004713AB" w:rsidP="006019EB">
      <w:pPr>
        <w:pStyle w:val="ECHRParaHanging"/>
      </w:pPr>
      <w:hyperlink r:id="rId501" w:history="1">
        <w:r w:rsidR="009B638B" w:rsidRPr="003B3332">
          <w:rPr>
            <w:rStyle w:val="Hyperlink"/>
          </w:rPr>
          <w:t>López Ostra împotriva Spaniei</w:t>
        </w:r>
      </w:hyperlink>
      <w:r w:rsidR="009B638B" w:rsidRPr="003B3332">
        <w:t>, 9 decembrie 1994, seria A nr. 303</w:t>
      </w:r>
      <w:r w:rsidR="009B638B" w:rsidRPr="003B3332">
        <w:noBreakHyphen/>
        <w:t>C</w:t>
      </w:r>
    </w:p>
    <w:bookmarkStart w:id="110" w:name="_cl43786"/>
    <w:p w14:paraId="43836592" w14:textId="7645D809" w:rsidR="00400176" w:rsidRPr="003B3332" w:rsidRDefault="00400176" w:rsidP="006019EB">
      <w:pPr>
        <w:pStyle w:val="ECHRParaHanging"/>
      </w:pPr>
      <w:r w:rsidRPr="003B3332">
        <w:rPr>
          <w:i/>
        </w:rPr>
        <w:fldChar w:fldCharType="begin"/>
      </w:r>
      <w:r w:rsidRPr="003B3332">
        <w:rPr>
          <w:i/>
        </w:rPr>
        <w:instrText xml:space="preserve"> HYPERLINK "http://hudoc.echr.coe.int/eng?i=001-228151" </w:instrText>
      </w:r>
      <w:r w:rsidRPr="003B3332">
        <w:rPr>
          <w:i/>
        </w:rPr>
        <w:fldChar w:fldCharType="separate"/>
      </w:r>
      <w:r w:rsidRPr="003B3332">
        <w:rPr>
          <w:rStyle w:val="Hyperlink"/>
        </w:rPr>
        <w:t>Luca împotriva Republicii Moldova</w:t>
      </w:r>
      <w:r w:rsidRPr="003B3332">
        <w:rPr>
          <w:i/>
        </w:rPr>
        <w:fldChar w:fldCharType="end"/>
      </w:r>
      <w:bookmarkEnd w:id="110"/>
      <w:r w:rsidRPr="003B3332">
        <w:t>, nr. 55351/17, 17 octombrie 2023</w:t>
      </w:r>
    </w:p>
    <w:p w14:paraId="3B0825EB" w14:textId="14CE3DE4" w:rsidR="006019EB" w:rsidRPr="003B3332" w:rsidRDefault="004713AB" w:rsidP="006019EB">
      <w:pPr>
        <w:pStyle w:val="ECHRParaHanging"/>
      </w:pPr>
      <w:hyperlink r:id="rId502" w:history="1">
        <w:r w:rsidR="009B638B" w:rsidRPr="003B3332">
          <w:rPr>
            <w:rStyle w:val="Hyperlink"/>
          </w:rPr>
          <w:t>Lutsenko și Verbytskyy împotriva Ucrainei</w:t>
        </w:r>
      </w:hyperlink>
      <w:r w:rsidR="009B638B" w:rsidRPr="003B3332">
        <w:t>, nr. 12482/14 și 39800/14, 21 ianuarie 2021</w:t>
      </w:r>
    </w:p>
    <w:p w14:paraId="5BACF55D" w14:textId="472912FE" w:rsidR="003702F8" w:rsidRPr="003B3332" w:rsidRDefault="004713AB" w:rsidP="003702F8">
      <w:pPr>
        <w:pStyle w:val="ECHRPara"/>
      </w:pPr>
      <w:hyperlink r:id="rId503" w:history="1">
        <w:r w:rsidR="009B638B" w:rsidRPr="003B3332">
          <w:rPr>
            <w:rStyle w:val="Hyperlink"/>
          </w:rPr>
          <w:t>Lyalyakin împotriva Rusiei</w:t>
        </w:r>
      </w:hyperlink>
      <w:r w:rsidR="009B638B" w:rsidRPr="003B3332">
        <w:t>, nr. 31305/09, 12 martie 2015</w:t>
      </w:r>
    </w:p>
    <w:p w14:paraId="5492D79A" w14:textId="0DCA78D6" w:rsidR="00085E8A" w:rsidRPr="003B3332" w:rsidRDefault="004713AB" w:rsidP="003702F8">
      <w:pPr>
        <w:pStyle w:val="ECHRPara"/>
      </w:pPr>
      <w:hyperlink r:id="rId504" w:history="1">
        <w:r w:rsidR="009B638B" w:rsidRPr="003B3332">
          <w:rPr>
            <w:rStyle w:val="Hyperlink"/>
          </w:rPr>
          <w:t>Lyapin împotriva Rusiei</w:t>
        </w:r>
      </w:hyperlink>
      <w:r w:rsidR="009B638B" w:rsidRPr="003B3332">
        <w:t>, nr. 46956/09, 24 iulie 2014</w:t>
      </w:r>
    </w:p>
    <w:p w14:paraId="42A385A8" w14:textId="77777777" w:rsidR="006019EB" w:rsidRPr="003B3332" w:rsidRDefault="006019EB" w:rsidP="006019EB">
      <w:pPr>
        <w:pStyle w:val="ECHRTitleCentre1"/>
      </w:pPr>
      <w:r w:rsidRPr="003B3332">
        <w:t>—M—</w:t>
      </w:r>
    </w:p>
    <w:p w14:paraId="78E33704" w14:textId="2B8A6610" w:rsidR="00783483" w:rsidRPr="003B3332" w:rsidRDefault="004713AB" w:rsidP="00783483">
      <w:pPr>
        <w:pStyle w:val="ECHRParaHanging"/>
      </w:pPr>
      <w:hyperlink r:id="rId505" w:history="1">
        <w:r w:rsidR="009B638B" w:rsidRPr="003B3332">
          <w:rPr>
            <w:rStyle w:val="Hyperlink"/>
          </w:rPr>
          <w:t>M. și alții împotriva Italiei și Bulgariei</w:t>
        </w:r>
      </w:hyperlink>
      <w:r w:rsidR="009B638B" w:rsidRPr="003B3332">
        <w:t>, nr. 40020/03, 17 decembrie 2021</w:t>
      </w:r>
    </w:p>
    <w:p w14:paraId="545A5D60" w14:textId="777A2FC1" w:rsidR="008912B0" w:rsidRPr="003B3332" w:rsidRDefault="004713AB" w:rsidP="008912B0">
      <w:pPr>
        <w:pStyle w:val="ECHRParaHanging"/>
      </w:pPr>
      <w:hyperlink r:id="rId506" w:history="1">
        <w:r w:rsidR="009B638B" w:rsidRPr="003B3332">
          <w:rPr>
            <w:rStyle w:val="Hyperlink"/>
          </w:rPr>
          <w:t>M.B. și alții împotriva Slovaciei</w:t>
        </w:r>
      </w:hyperlink>
      <w:r w:rsidR="009B638B" w:rsidRPr="003B3332">
        <w:t>, nr. 45322/17, 1 aprilie 2021</w:t>
      </w:r>
    </w:p>
    <w:p w14:paraId="3A14D877" w14:textId="2586E4F1" w:rsidR="008912B0" w:rsidRPr="003B3332" w:rsidRDefault="004713AB" w:rsidP="008912B0">
      <w:pPr>
        <w:pStyle w:val="ECHRParaHanging"/>
      </w:pPr>
      <w:hyperlink r:id="rId507" w:history="1">
        <w:r w:rsidR="009B638B" w:rsidRPr="003B3332">
          <w:rPr>
            <w:rStyle w:val="Hyperlink"/>
          </w:rPr>
          <w:t>M.C. împotriva Bulgariei</w:t>
        </w:r>
      </w:hyperlink>
      <w:r w:rsidR="009B638B" w:rsidRPr="003B3332">
        <w:t>, nr. 39272/98, CEDO 2003</w:t>
      </w:r>
      <w:r w:rsidR="009B638B" w:rsidRPr="003B3332">
        <w:noBreakHyphen/>
        <w:t>XII</w:t>
      </w:r>
    </w:p>
    <w:p w14:paraId="5AB9C45A" w14:textId="4309C5B2" w:rsidR="008912B0" w:rsidRPr="003B3332" w:rsidRDefault="004713AB" w:rsidP="008912B0">
      <w:pPr>
        <w:pStyle w:val="ECHRParaHanging"/>
      </w:pPr>
      <w:hyperlink r:id="rId508" w:history="1">
        <w:r w:rsidR="009B638B" w:rsidRPr="003B3332">
          <w:rPr>
            <w:rStyle w:val="Hyperlink"/>
          </w:rPr>
          <w:t>M.F. împotriva Ungariei</w:t>
        </w:r>
      </w:hyperlink>
      <w:r w:rsidR="009B638B" w:rsidRPr="003B3332">
        <w:t>, nr. 45855/12, 31 octombrie 2017</w:t>
      </w:r>
    </w:p>
    <w:p w14:paraId="547F5E06" w14:textId="68F216D4" w:rsidR="000953CF" w:rsidRPr="003B3332" w:rsidRDefault="004713AB" w:rsidP="008912B0">
      <w:pPr>
        <w:pStyle w:val="ECHRParaHanging"/>
      </w:pPr>
      <w:hyperlink r:id="rId509" w:history="1">
        <w:r w:rsidR="009B638B" w:rsidRPr="003B3332">
          <w:rPr>
            <w:rStyle w:val="Hyperlink"/>
          </w:rPr>
          <w:t>M.G. împotriva Lituaniei</w:t>
        </w:r>
      </w:hyperlink>
      <w:r w:rsidR="009B638B" w:rsidRPr="003B3332">
        <w:t>, nr. 6406/21, 20 februarie 2024</w:t>
      </w:r>
    </w:p>
    <w:p w14:paraId="75CDD2DA" w14:textId="2A62A2B3" w:rsidR="008912B0" w:rsidRPr="003B3332" w:rsidRDefault="004713AB" w:rsidP="008912B0">
      <w:pPr>
        <w:pStyle w:val="ECHRParaHanging"/>
      </w:pPr>
      <w:hyperlink r:id="rId510" w:history="1">
        <w:r w:rsidR="009B638B" w:rsidRPr="003B3332">
          <w:rPr>
            <w:rStyle w:val="Hyperlink"/>
          </w:rPr>
          <w:t>M.G.C. împotriva României</w:t>
        </w:r>
      </w:hyperlink>
      <w:r w:rsidR="009B638B" w:rsidRPr="003B3332">
        <w:t>, nr. 61495/11, 15 martie 2016</w:t>
      </w:r>
    </w:p>
    <w:p w14:paraId="64EB9C81" w14:textId="25088525" w:rsidR="008912B0" w:rsidRPr="003B3332" w:rsidRDefault="004713AB" w:rsidP="008912B0">
      <w:pPr>
        <w:pStyle w:val="ECHRPara"/>
      </w:pPr>
      <w:hyperlink r:id="rId511" w:history="1">
        <w:r w:rsidR="009B638B" w:rsidRPr="003B3332">
          <w:rPr>
            <w:rStyle w:val="Hyperlink"/>
          </w:rPr>
          <w:t>M.P. și alții împotriva Bulgariei</w:t>
        </w:r>
      </w:hyperlink>
      <w:r w:rsidR="009B638B" w:rsidRPr="003B3332">
        <w:t>, nr. 22457/08, 15 noiembrie 2011</w:t>
      </w:r>
    </w:p>
    <w:p w14:paraId="3DDFDB9A" w14:textId="52E8A74B" w:rsidR="008912B0" w:rsidRPr="003B3332" w:rsidRDefault="004713AB" w:rsidP="008912B0">
      <w:pPr>
        <w:pStyle w:val="ECHRParaHanging"/>
      </w:pPr>
      <w:hyperlink r:id="rId512" w:history="1">
        <w:r w:rsidR="009B638B" w:rsidRPr="003B3332">
          <w:rPr>
            <w:rStyle w:val="Hyperlink"/>
          </w:rPr>
          <w:t>M.S. împotriva Croației (nr. 2)</w:t>
        </w:r>
      </w:hyperlink>
      <w:r w:rsidR="009B638B" w:rsidRPr="003B3332">
        <w:t>, nr. 75450/12, 19 februarie 2015</w:t>
      </w:r>
    </w:p>
    <w:p w14:paraId="290ABD00" w14:textId="4266D3B2" w:rsidR="0091513B" w:rsidRPr="003B3332" w:rsidRDefault="004713AB" w:rsidP="008912B0">
      <w:pPr>
        <w:pStyle w:val="ECHRParaHanging"/>
      </w:pPr>
      <w:hyperlink r:id="rId513" w:history="1">
        <w:r w:rsidR="009B638B" w:rsidRPr="003B3332">
          <w:rPr>
            <w:i/>
            <w:color w:val="0072BC" w:themeColor="hyperlink"/>
          </w:rPr>
          <w:t>M.S. împotriva Italiei</w:t>
        </w:r>
      </w:hyperlink>
      <w:r w:rsidR="009B638B" w:rsidRPr="003B3332">
        <w:t>, nr. 32715/19, 7 iulie 2022</w:t>
      </w:r>
    </w:p>
    <w:p w14:paraId="4FF87B83" w14:textId="7DD41945" w:rsidR="008912B0" w:rsidRPr="003B3332" w:rsidRDefault="004713AB" w:rsidP="008912B0">
      <w:pPr>
        <w:pStyle w:val="ECHRPara"/>
      </w:pPr>
      <w:hyperlink r:id="rId514" w:history="1">
        <w:r w:rsidR="009B638B" w:rsidRPr="003B3332">
          <w:rPr>
            <w:rStyle w:val="Hyperlink"/>
          </w:rPr>
          <w:t>M.S.S. împotriva Belgiei și Greciei</w:t>
        </w:r>
      </w:hyperlink>
      <w:r w:rsidR="009B638B" w:rsidRPr="003B3332">
        <w:t xml:space="preserve"> (MC), nr. 30696/09, CEDO 2011</w:t>
      </w:r>
    </w:p>
    <w:p w14:paraId="7FE90B3D" w14:textId="4CDA6274" w:rsidR="00A1089A" w:rsidRPr="003B3332" w:rsidRDefault="004713AB" w:rsidP="00A1089A">
      <w:pPr>
        <w:pStyle w:val="ECHRPara"/>
      </w:pPr>
      <w:hyperlink r:id="rId515" w:history="1">
        <w:r w:rsidR="009B638B" w:rsidRPr="003B3332">
          <w:rPr>
            <w:rStyle w:val="Hyperlink"/>
          </w:rPr>
          <w:t>Mafalani împotriva Croației</w:t>
        </w:r>
      </w:hyperlink>
      <w:r w:rsidR="009B638B" w:rsidRPr="003B3332">
        <w:t>, nr. 32325/13, 9 iulie 2015</w:t>
      </w:r>
    </w:p>
    <w:p w14:paraId="6BADA552" w14:textId="70FFD5AD" w:rsidR="00965BDE" w:rsidRPr="003B3332" w:rsidRDefault="004713AB" w:rsidP="006019EB">
      <w:pPr>
        <w:pStyle w:val="ECHRParaHanging"/>
        <w:rPr>
          <w:iCs/>
        </w:rPr>
      </w:pPr>
      <w:hyperlink r:id="rId516" w:history="1">
        <w:r w:rsidR="009B638B" w:rsidRPr="003B3332">
          <w:rPr>
            <w:rStyle w:val="Hyperlink"/>
          </w:rPr>
          <w:t>Makaratzis împotriva Greciei</w:t>
        </w:r>
      </w:hyperlink>
      <w:r w:rsidR="009B638B" w:rsidRPr="003B3332">
        <w:t xml:space="preserve"> (MC), nr. 50385/99, CEDO 2004</w:t>
      </w:r>
      <w:r w:rsidR="009B638B" w:rsidRPr="003B3332">
        <w:noBreakHyphen/>
        <w:t>XI</w:t>
      </w:r>
    </w:p>
    <w:p w14:paraId="164B5D58" w14:textId="21B55060" w:rsidR="006019EB" w:rsidRPr="003B3332" w:rsidRDefault="004713AB" w:rsidP="006019EB">
      <w:pPr>
        <w:pStyle w:val="ECHRParaHanging"/>
      </w:pPr>
      <w:hyperlink r:id="rId517" w:history="1">
        <w:r w:rsidR="009B638B" w:rsidRPr="003B3332">
          <w:rPr>
            <w:rStyle w:val="Hyperlink"/>
          </w:rPr>
          <w:t>Maslova și Nalbandov împotriva Rusiei</w:t>
        </w:r>
      </w:hyperlink>
      <w:r w:rsidR="009B638B" w:rsidRPr="003B3332">
        <w:t>, nr. 839/02, 24 ianuarie 2008</w:t>
      </w:r>
    </w:p>
    <w:p w14:paraId="118700C2" w14:textId="43D93689" w:rsidR="0070512F" w:rsidRPr="003B3332" w:rsidRDefault="004713AB" w:rsidP="006019EB">
      <w:pPr>
        <w:pStyle w:val="ECHRParaHanging"/>
      </w:pPr>
      <w:hyperlink r:id="rId518" w:history="1">
        <w:r w:rsidR="009B638B" w:rsidRPr="003B3332">
          <w:rPr>
            <w:rStyle w:val="Hyperlink"/>
          </w:rPr>
          <w:t>Mătăsaru și Saviţchi împotriva Moldovei</w:t>
        </w:r>
      </w:hyperlink>
      <w:r w:rsidR="009B638B" w:rsidRPr="003B3332">
        <w:t>, nr. 38281/08, 2 noiembrie 2010</w:t>
      </w:r>
    </w:p>
    <w:p w14:paraId="0D9BF19E" w14:textId="7F0E006E" w:rsidR="0033026C" w:rsidRPr="003B3332" w:rsidRDefault="004713AB" w:rsidP="00711B3C">
      <w:pPr>
        <w:pStyle w:val="ECHRPara"/>
        <w:ind w:left="567" w:hanging="567"/>
      </w:pPr>
      <w:hyperlink r:id="rId519" w:history="1">
        <w:r w:rsidR="009B638B" w:rsidRPr="003B3332">
          <w:rPr>
            <w:rStyle w:val="Hyperlink"/>
          </w:rPr>
          <w:t>Membrii Congregației Martorilor lui Iehova din Gldani și alții împotriva Georgiei</w:t>
        </w:r>
      </w:hyperlink>
      <w:r w:rsidR="009B638B" w:rsidRPr="003B3332">
        <w:t>, nr. 71156/01, 3 mai 2007</w:t>
      </w:r>
    </w:p>
    <w:p w14:paraId="240CCF02" w14:textId="573373EC" w:rsidR="0033026C" w:rsidRPr="003B3332" w:rsidRDefault="004713AB" w:rsidP="00D05DF2">
      <w:pPr>
        <w:pStyle w:val="ECHRParaHanging"/>
      </w:pPr>
      <w:hyperlink r:id="rId520" w:history="1">
        <w:r w:rsidR="009B638B" w:rsidRPr="003B3332">
          <w:rPr>
            <w:rStyle w:val="Hyperlink"/>
          </w:rPr>
          <w:t>Milanović împotriva Serbiei</w:t>
        </w:r>
      </w:hyperlink>
      <w:r w:rsidR="009B638B" w:rsidRPr="003B3332">
        <w:t>, nr. 44614/07, 14 decembrie 2010</w:t>
      </w:r>
    </w:p>
    <w:p w14:paraId="646639A3" w14:textId="6BF2F73A" w:rsidR="00255829" w:rsidRPr="003B3332" w:rsidRDefault="004713AB" w:rsidP="006019EB">
      <w:pPr>
        <w:pStyle w:val="ECHRParaHanging"/>
      </w:pPr>
      <w:hyperlink r:id="rId521" w:history="1">
        <w:r w:rsidR="009B638B" w:rsidRPr="003B3332">
          <w:rPr>
            <w:rStyle w:val="Hyperlink"/>
          </w:rPr>
          <w:t xml:space="preserve">Mocanu și alții împotriva României </w:t>
        </w:r>
      </w:hyperlink>
      <w:r w:rsidR="009B638B" w:rsidRPr="003B3332">
        <w:t xml:space="preserve"> (MC), nr. 10865/09 și alte 2 cereri, CEDO 2014 (extrase)</w:t>
      </w:r>
    </w:p>
    <w:p w14:paraId="1967CDC0" w14:textId="63036BBF" w:rsidR="00A215F6" w:rsidRPr="003B3332" w:rsidRDefault="004713AB" w:rsidP="006019EB">
      <w:pPr>
        <w:pStyle w:val="ECHRParaHanging"/>
      </w:pPr>
      <w:hyperlink r:id="rId522" w:history="1">
        <w:r w:rsidR="009B638B" w:rsidRPr="003B3332">
          <w:rPr>
            <w:rStyle w:val="Hyperlink"/>
          </w:rPr>
          <w:t>Mozer împotriva Moldovei și Rusiei</w:t>
        </w:r>
      </w:hyperlink>
      <w:r w:rsidR="009B638B" w:rsidRPr="003B3332">
        <w:t xml:space="preserve"> (MC), nr. 11138/10, 23 februarie 2016</w:t>
      </w:r>
    </w:p>
    <w:p w14:paraId="30167B6B" w14:textId="15496C02" w:rsidR="00D17EA7" w:rsidRPr="003B3332" w:rsidRDefault="004713AB" w:rsidP="00C25B16">
      <w:pPr>
        <w:pStyle w:val="ECHRPara"/>
      </w:pPr>
      <w:hyperlink r:id="rId523" w:history="1">
        <w:r w:rsidR="009B638B" w:rsidRPr="003B3332">
          <w:rPr>
            <w:rStyle w:val="Hyperlink"/>
          </w:rPr>
          <w:t>Mubilanzila Mayeka și Kaniki Mitunga împotriva Belgiei</w:t>
        </w:r>
      </w:hyperlink>
      <w:r w:rsidR="009B638B" w:rsidRPr="003B3332">
        <w:t>, nr. 13178/03, ECHR 2006</w:t>
      </w:r>
      <w:r w:rsidR="009B638B" w:rsidRPr="003B3332">
        <w:noBreakHyphen/>
        <w:t>XI</w:t>
      </w:r>
    </w:p>
    <w:p w14:paraId="6A3CC292" w14:textId="3CC1589A" w:rsidR="007817FF" w:rsidRPr="003B3332" w:rsidRDefault="004713AB" w:rsidP="00C25B16">
      <w:pPr>
        <w:pStyle w:val="ECHRPara"/>
      </w:pPr>
      <w:hyperlink r:id="rId524" w:history="1">
        <w:r w:rsidR="009B638B" w:rsidRPr="003B3332">
          <w:rPr>
            <w:rStyle w:val="Hyperlink"/>
          </w:rPr>
          <w:t>Murray împotriva Țărilor de Jos</w:t>
        </w:r>
      </w:hyperlink>
      <w:r w:rsidR="009B638B" w:rsidRPr="003B3332">
        <w:t xml:space="preserve"> (MC), nr. 10511/10, 26 aprilie 2016</w:t>
      </w:r>
    </w:p>
    <w:p w14:paraId="53E45A36" w14:textId="6070D78C" w:rsidR="00B50478" w:rsidRPr="003B3332" w:rsidRDefault="004713AB" w:rsidP="00C25B16">
      <w:pPr>
        <w:pStyle w:val="ECHRPara"/>
      </w:pPr>
      <w:hyperlink r:id="rId525" w:history="1">
        <w:r w:rsidR="009B638B" w:rsidRPr="003B3332">
          <w:rPr>
            <w:rStyle w:val="Hyperlink"/>
          </w:rPr>
          <w:t>Muršić împotriva Croației</w:t>
        </w:r>
      </w:hyperlink>
      <w:r w:rsidR="009B638B" w:rsidRPr="003B3332">
        <w:t xml:space="preserve"> (MC), nr. 7334/13, CEDO 2016</w:t>
      </w:r>
    </w:p>
    <w:p w14:paraId="42BF872F" w14:textId="6409FA43" w:rsidR="00AE03E4" w:rsidRPr="003B3332" w:rsidRDefault="004713AB" w:rsidP="00C25B16">
      <w:pPr>
        <w:pStyle w:val="ECHRPara"/>
      </w:pPr>
      <w:hyperlink r:id="rId526" w:history="1">
        <w:r w:rsidR="009B638B" w:rsidRPr="003B3332">
          <w:rPr>
            <w:rStyle w:val="Hyperlink"/>
          </w:rPr>
          <w:t>Musayev și alții împotriva Rusiei</w:t>
        </w:r>
      </w:hyperlink>
      <w:r w:rsidR="009B638B" w:rsidRPr="003B3332">
        <w:t>, nr. 57941/00 și alte 2 cereri, 26 iulie 2007</w:t>
      </w:r>
    </w:p>
    <w:p w14:paraId="15E22E7E" w14:textId="6DD2C576" w:rsidR="0007338A" w:rsidRPr="003B3332" w:rsidRDefault="004713AB" w:rsidP="00C25B16">
      <w:pPr>
        <w:pStyle w:val="ECHRPara"/>
      </w:pPr>
      <w:hyperlink r:id="rId527" w:history="1">
        <w:r w:rsidR="009B638B" w:rsidRPr="003B3332">
          <w:rPr>
            <w:rStyle w:val="Hyperlink"/>
          </w:rPr>
          <w:t>Mustafa Tunç și Fecire Tunç împotriva Turciei</w:t>
        </w:r>
      </w:hyperlink>
      <w:r w:rsidR="009B638B" w:rsidRPr="003B3332">
        <w:t xml:space="preserve"> (MC), nr. 24014/05, 14 aprilie 2015</w:t>
      </w:r>
    </w:p>
    <w:p w14:paraId="29063777" w14:textId="49EE3A00" w:rsidR="004063BC" w:rsidRPr="003B3332" w:rsidRDefault="004713AB" w:rsidP="00C25B16">
      <w:pPr>
        <w:pStyle w:val="ECHRPara"/>
      </w:pPr>
      <w:hyperlink r:id="rId528" w:history="1">
        <w:r w:rsidR="009B638B" w:rsidRPr="003B3332">
          <w:rPr>
            <w:rStyle w:val="Hyperlink"/>
          </w:rPr>
          <w:t>Myumyun împotriva Bulgariei</w:t>
        </w:r>
      </w:hyperlink>
      <w:r w:rsidR="009B638B" w:rsidRPr="003B3332">
        <w:t>, nr. 67258/13, 3 noiembrie 2015</w:t>
      </w:r>
    </w:p>
    <w:p w14:paraId="6448AE3E" w14:textId="77777777" w:rsidR="006019EB" w:rsidRPr="003B3332" w:rsidRDefault="006019EB" w:rsidP="006019EB">
      <w:pPr>
        <w:pStyle w:val="ECHRTitleCentre1"/>
      </w:pPr>
      <w:r w:rsidRPr="003B3332">
        <w:t>—N—</w:t>
      </w:r>
    </w:p>
    <w:p w14:paraId="74FB3C58" w14:textId="5333EED6" w:rsidR="00864FAD" w:rsidRPr="003B3332" w:rsidRDefault="004713AB" w:rsidP="00864FAD">
      <w:pPr>
        <w:pStyle w:val="ECHRPara"/>
      </w:pPr>
      <w:hyperlink r:id="rId529" w:history="1">
        <w:r w:rsidR="009B638B" w:rsidRPr="003B3332">
          <w:rPr>
            <w:rStyle w:val="Hyperlink"/>
          </w:rPr>
          <w:t>N.B. împotriva Slovaciei</w:t>
        </w:r>
      </w:hyperlink>
      <w:r w:rsidR="009B638B" w:rsidRPr="003B3332">
        <w:t>, nr. 29518/10, 12 iunie 2012</w:t>
      </w:r>
    </w:p>
    <w:p w14:paraId="4FF5DF1E" w14:textId="0A5E639C" w:rsidR="00864FAD" w:rsidRPr="003B3332" w:rsidRDefault="004713AB" w:rsidP="00864FAD">
      <w:pPr>
        <w:pStyle w:val="ECHRPara"/>
      </w:pPr>
      <w:hyperlink r:id="rId530" w:history="1">
        <w:r w:rsidR="009B638B" w:rsidRPr="003B3332">
          <w:rPr>
            <w:rStyle w:val="Hyperlink"/>
          </w:rPr>
          <w:t>N.H. și alții împotriva Franței</w:t>
        </w:r>
      </w:hyperlink>
      <w:r w:rsidR="009B638B" w:rsidRPr="003B3332">
        <w:t>, nr. 28820/13 și alte 2 cereri, 2 iulie 2020</w:t>
      </w:r>
    </w:p>
    <w:p w14:paraId="3F86FB1B" w14:textId="621FFF4F" w:rsidR="00D46E0F" w:rsidRPr="003B3332" w:rsidRDefault="004713AB" w:rsidP="00A215F6">
      <w:pPr>
        <w:pStyle w:val="ECHRPara"/>
      </w:pPr>
      <w:hyperlink r:id="rId531" w:history="1">
        <w:r w:rsidR="009B638B" w:rsidRPr="003B3332">
          <w:rPr>
            <w:rStyle w:val="Hyperlink"/>
          </w:rPr>
          <w:t>Najafli împotriva Azerbaidjanului</w:t>
        </w:r>
      </w:hyperlink>
      <w:r w:rsidR="009B638B" w:rsidRPr="003B3332">
        <w:t>, nr. 2594/07, 2 octombrie 2012</w:t>
      </w:r>
    </w:p>
    <w:p w14:paraId="77C808B2" w14:textId="009256EA" w:rsidR="0064089D" w:rsidRPr="003B3332" w:rsidRDefault="004713AB" w:rsidP="00A215F6">
      <w:pPr>
        <w:pStyle w:val="ECHRPara"/>
      </w:pPr>
      <w:hyperlink r:id="rId532" w:history="1">
        <w:r w:rsidR="009B638B" w:rsidRPr="003B3332">
          <w:rPr>
            <w:rStyle w:val="Hyperlink"/>
          </w:rPr>
          <w:t>Naoumenko împotriva Ucrainei</w:t>
        </w:r>
      </w:hyperlink>
      <w:r w:rsidR="009B638B" w:rsidRPr="003B3332">
        <w:t>, nr. 42023/98, 10 februarie 2004</w:t>
      </w:r>
    </w:p>
    <w:p w14:paraId="7CBEEBD3" w14:textId="091D00FD" w:rsidR="00677D44" w:rsidRPr="003B3332" w:rsidRDefault="004713AB" w:rsidP="00A215F6">
      <w:pPr>
        <w:pStyle w:val="ECHRPara"/>
      </w:pPr>
      <w:hyperlink r:id="rId533" w:history="1">
        <w:r w:rsidR="009B638B" w:rsidRPr="003B3332">
          <w:rPr>
            <w:rStyle w:val="Hyperlink"/>
          </w:rPr>
          <w:t>Necdet Bulut împotriva Turciei</w:t>
        </w:r>
      </w:hyperlink>
      <w:r w:rsidR="009B638B" w:rsidRPr="003B3332">
        <w:t>, nr. 77092/01, 20 noiembrie 2007</w:t>
      </w:r>
    </w:p>
    <w:p w14:paraId="490D8672" w14:textId="38BBA34F" w:rsidR="00A20EA7" w:rsidRPr="003B3332" w:rsidRDefault="004713AB" w:rsidP="006019EB">
      <w:pPr>
        <w:pStyle w:val="ECHRParaHanging"/>
      </w:pPr>
      <w:hyperlink r:id="rId534" w:history="1">
        <w:r w:rsidR="009B638B" w:rsidRPr="003B3332">
          <w:rPr>
            <w:rStyle w:val="Hyperlink"/>
          </w:rPr>
          <w:t>Neshkov și alții împotriva Bulgariei</w:t>
        </w:r>
      </w:hyperlink>
      <w:r w:rsidR="009B638B" w:rsidRPr="003B3332">
        <w:t>, nr. 36925/10 și alte 5 cereri, 27 ianuarie 2015</w:t>
      </w:r>
    </w:p>
    <w:p w14:paraId="1FB07D2F" w14:textId="1174D1ED" w:rsidR="00A215F6" w:rsidRPr="003B3332" w:rsidRDefault="004713AB" w:rsidP="006019EB">
      <w:pPr>
        <w:pStyle w:val="ECHRParaHanging"/>
      </w:pPr>
      <w:hyperlink r:id="rId535" w:history="1">
        <w:r w:rsidR="009B638B" w:rsidRPr="003B3332">
          <w:rPr>
            <w:rStyle w:val="Hyperlink"/>
          </w:rPr>
          <w:t>Nesibe Haran împotriva Turciei</w:t>
        </w:r>
      </w:hyperlink>
      <w:r w:rsidR="009B638B" w:rsidRPr="003B3332">
        <w:t>, nr. 28299/95, 6 octombrie 2005</w:t>
      </w:r>
    </w:p>
    <w:p w14:paraId="6F63FA7B" w14:textId="49A62027" w:rsidR="00967F50" w:rsidRPr="003B3332" w:rsidRDefault="004713AB" w:rsidP="00967F50">
      <w:pPr>
        <w:pStyle w:val="ECHRPara"/>
      </w:pPr>
      <w:hyperlink r:id="rId536" w:history="1">
        <w:r w:rsidR="009B638B" w:rsidRPr="003B3332">
          <w:rPr>
            <w:rStyle w:val="Hyperlink"/>
          </w:rPr>
          <w:t>Nevmerzhitsky împotriva Ucrainei</w:t>
        </w:r>
      </w:hyperlink>
      <w:r w:rsidR="009B638B" w:rsidRPr="003B3332">
        <w:t>, nr. 54825/00, CEDO 2005</w:t>
      </w:r>
      <w:r w:rsidR="009B638B" w:rsidRPr="003B3332">
        <w:noBreakHyphen/>
        <w:t>II (extrase)</w:t>
      </w:r>
    </w:p>
    <w:p w14:paraId="53515FFB" w14:textId="052C54B5" w:rsidR="006019EB" w:rsidRPr="003B3332" w:rsidRDefault="004713AB" w:rsidP="006019EB">
      <w:pPr>
        <w:pStyle w:val="ECHRParaHanging"/>
      </w:pPr>
      <w:hyperlink r:id="rId537" w:history="1">
        <w:r w:rsidR="009B638B" w:rsidRPr="003B3332">
          <w:rPr>
            <w:rStyle w:val="Hyperlink"/>
          </w:rPr>
          <w:t xml:space="preserve">Nicolae Virgiliu Tănase împotriva României </w:t>
        </w:r>
      </w:hyperlink>
      <w:r w:rsidR="009B638B" w:rsidRPr="003B3332">
        <w:t>(MC), nr. 41720/13, 25 iunie 2019</w:t>
      </w:r>
    </w:p>
    <w:p w14:paraId="73DC09C1" w14:textId="710398C9" w:rsidR="006019EB" w:rsidRPr="003B3332" w:rsidRDefault="006019EB" w:rsidP="006019EB">
      <w:pPr>
        <w:pStyle w:val="ECHRTitleCentre1"/>
      </w:pPr>
      <w:r w:rsidRPr="003B3332">
        <w:t>—O—</w:t>
      </w:r>
    </w:p>
    <w:p w14:paraId="32095161" w14:textId="10BA63BF" w:rsidR="00F92283" w:rsidRPr="003B3332" w:rsidRDefault="004713AB" w:rsidP="00250D74">
      <w:pPr>
        <w:pStyle w:val="ECHRParaHanging"/>
      </w:pPr>
      <w:hyperlink r:id="rId538" w:history="1">
        <w:r w:rsidR="009B638B" w:rsidRPr="003B3332">
          <w:rPr>
            <w:rStyle w:val="Hyperlink"/>
          </w:rPr>
          <w:t>Ochigava împotriva Georgiei</w:t>
        </w:r>
      </w:hyperlink>
      <w:r w:rsidR="009B638B" w:rsidRPr="003B3332">
        <w:t>, nr. 14142/15, 16 februarie 2023</w:t>
      </w:r>
    </w:p>
    <w:p w14:paraId="672D2948" w14:textId="59914E82" w:rsidR="00586006" w:rsidRPr="003B3332" w:rsidRDefault="004713AB" w:rsidP="006019EB">
      <w:pPr>
        <w:pStyle w:val="ECHRParaHanging"/>
      </w:pPr>
      <w:hyperlink r:id="rId539" w:history="1">
        <w:r w:rsidR="009B638B" w:rsidRPr="003B3332">
          <w:rPr>
            <w:i/>
            <w:color w:val="0072BC" w:themeColor="hyperlink"/>
          </w:rPr>
          <w:t>Oganezova împotriva Armeniei</w:t>
        </w:r>
      </w:hyperlink>
      <w:r w:rsidR="009B638B" w:rsidRPr="003B3332">
        <w:t>, nr. 71367/12 și 72961/12, 17 mai 2022</w:t>
      </w:r>
    </w:p>
    <w:p w14:paraId="57B2C44F" w14:textId="367DACF1" w:rsidR="00B11DE4" w:rsidRPr="003B3332" w:rsidRDefault="004713AB" w:rsidP="006019EB">
      <w:pPr>
        <w:pStyle w:val="ECHRParaHanging"/>
      </w:pPr>
      <w:hyperlink r:id="rId540" w:history="1">
        <w:r w:rsidR="009B638B" w:rsidRPr="003B3332">
          <w:rPr>
            <w:rStyle w:val="Hyperlink"/>
          </w:rPr>
          <w:t>O’Keeffe împotriva Irlandei</w:t>
        </w:r>
      </w:hyperlink>
      <w:r w:rsidR="009B638B" w:rsidRPr="003B3332">
        <w:t xml:space="preserve"> (MC), nr. 35810/09, CEDO 2014(extrase)</w:t>
      </w:r>
    </w:p>
    <w:p w14:paraId="3F79CBF6" w14:textId="0E60599E" w:rsidR="002B7ED5" w:rsidRPr="003B3332" w:rsidRDefault="004713AB" w:rsidP="006019EB">
      <w:pPr>
        <w:pStyle w:val="ECHRParaHanging"/>
      </w:pPr>
      <w:hyperlink r:id="rId541" w:history="1">
        <w:r w:rsidR="009B638B" w:rsidRPr="003B3332">
          <w:rPr>
            <w:rStyle w:val="Hyperlink"/>
          </w:rPr>
          <w:t>Oleksii Mihailovici Zaharkin împotriva Ucrainei</w:t>
        </w:r>
      </w:hyperlink>
      <w:r w:rsidR="009B638B" w:rsidRPr="003B3332">
        <w:t>, nr. 1727/04, 24 iunie 2010</w:t>
      </w:r>
    </w:p>
    <w:p w14:paraId="71D95CED" w14:textId="215AC17E" w:rsidR="00DF3001" w:rsidRPr="003B3332" w:rsidRDefault="004713AB" w:rsidP="00DF3001">
      <w:pPr>
        <w:pStyle w:val="ECHRParaHanging"/>
      </w:pPr>
      <w:hyperlink r:id="rId542" w:history="1">
        <w:r w:rsidR="009B638B" w:rsidRPr="003B3332">
          <w:rPr>
            <w:rStyle w:val="Hyperlink"/>
          </w:rPr>
          <w:t>Öneryıldız împotriva Turciei</w:t>
        </w:r>
      </w:hyperlink>
      <w:r w:rsidR="009B638B" w:rsidRPr="003B3332">
        <w:t xml:space="preserve"> (MC), nr. 48939/99, CEDO 2004</w:t>
      </w:r>
      <w:r w:rsidR="009B638B" w:rsidRPr="003B3332">
        <w:noBreakHyphen/>
        <w:t>XII</w:t>
      </w:r>
    </w:p>
    <w:p w14:paraId="4BD8BDF2" w14:textId="31BDB001" w:rsidR="00F637DD" w:rsidRPr="003B3332" w:rsidRDefault="004713AB" w:rsidP="00B11DE4">
      <w:pPr>
        <w:pStyle w:val="ECHRParaHanging"/>
        <w:ind w:left="0" w:firstLine="0"/>
      </w:pPr>
      <w:hyperlink r:id="rId543" w:history="1">
        <w:r w:rsidR="009B638B" w:rsidRPr="003B3332">
          <w:rPr>
            <w:rStyle w:val="Hyperlink"/>
          </w:rPr>
          <w:t>Orhan împotriva Turciei</w:t>
        </w:r>
      </w:hyperlink>
      <w:r w:rsidR="009B638B" w:rsidRPr="003B3332">
        <w:t>, nr. 25656/94, 18 iunie 2002</w:t>
      </w:r>
    </w:p>
    <w:p w14:paraId="535F26A0" w14:textId="77777777" w:rsidR="006019EB" w:rsidRPr="003B3332" w:rsidRDefault="006019EB" w:rsidP="006019EB">
      <w:pPr>
        <w:pStyle w:val="ECHRTitleCentre1"/>
      </w:pPr>
      <w:r w:rsidRPr="003B3332">
        <w:t>—P—</w:t>
      </w:r>
    </w:p>
    <w:p w14:paraId="00059747" w14:textId="5515D6CD" w:rsidR="00240795" w:rsidRPr="003B3332" w:rsidRDefault="004713AB" w:rsidP="00240795">
      <w:pPr>
        <w:pStyle w:val="ECHRParaHanging"/>
      </w:pPr>
      <w:hyperlink r:id="rId544" w:history="1">
        <w:r w:rsidR="009B638B" w:rsidRPr="003B3332">
          <w:rPr>
            <w:rStyle w:val="Hyperlink"/>
          </w:rPr>
          <w:t>P.M. și F.F. împotriva Franței</w:t>
        </w:r>
      </w:hyperlink>
      <w:r w:rsidR="009B638B" w:rsidRPr="003B3332">
        <w:t>, nr. 60324/15 și 60335/15, 18 februarie 2021</w:t>
      </w:r>
    </w:p>
    <w:p w14:paraId="03B52E43" w14:textId="41DE5867" w:rsidR="00A4727E" w:rsidRPr="003B3332" w:rsidRDefault="004713AB" w:rsidP="006019EB">
      <w:pPr>
        <w:pStyle w:val="ECHRParaHanging"/>
      </w:pPr>
      <w:hyperlink r:id="rId545" w:history="1">
        <w:r w:rsidR="009B638B" w:rsidRPr="003B3332">
          <w:rPr>
            <w:rStyle w:val="Hyperlink"/>
          </w:rPr>
          <w:t>Pantea împotriva României</w:t>
        </w:r>
      </w:hyperlink>
      <w:r w:rsidR="009B638B" w:rsidRPr="003B3332">
        <w:t>, nr. 33343/96, CEDO 2003</w:t>
      </w:r>
      <w:r w:rsidR="009B638B" w:rsidRPr="003B3332">
        <w:noBreakHyphen/>
        <w:t>VI (extrase)</w:t>
      </w:r>
    </w:p>
    <w:p w14:paraId="28A87FC6" w14:textId="09F250C5" w:rsidR="00160F28" w:rsidRPr="003B3332" w:rsidRDefault="004713AB" w:rsidP="00160F28">
      <w:pPr>
        <w:pStyle w:val="ECHRPara"/>
      </w:pPr>
      <w:hyperlink r:id="rId546" w:history="1">
        <w:r w:rsidR="009B638B" w:rsidRPr="003B3332">
          <w:rPr>
            <w:rStyle w:val="Hyperlink"/>
          </w:rPr>
          <w:t>Petrosyan împotriva Azerbaidjanului</w:t>
        </w:r>
      </w:hyperlink>
      <w:r w:rsidR="009B638B" w:rsidRPr="003B3332">
        <w:t>, nr. 32427/16, 4 noiembrie 2021</w:t>
      </w:r>
    </w:p>
    <w:p w14:paraId="323EE5C7" w14:textId="301157E1" w:rsidR="00145169" w:rsidRPr="003B3332" w:rsidRDefault="004713AB" w:rsidP="006019EB">
      <w:pPr>
        <w:pStyle w:val="ECHRParaHanging"/>
      </w:pPr>
      <w:hyperlink r:id="rId547" w:history="1">
        <w:r w:rsidR="009B638B" w:rsidRPr="003B3332">
          <w:rPr>
            <w:rStyle w:val="Hyperlink"/>
          </w:rPr>
          <w:t>Pranjić-M-Lukić împotriva Bosniei și Herțegovinei</w:t>
        </w:r>
      </w:hyperlink>
      <w:r w:rsidR="009B638B" w:rsidRPr="003B3332">
        <w:t>, nr. 4938/16, 2 iunie 2020</w:t>
      </w:r>
    </w:p>
    <w:p w14:paraId="31EB80F1" w14:textId="24652310" w:rsidR="006449AE" w:rsidRPr="003B3332" w:rsidRDefault="004713AB" w:rsidP="006019EB">
      <w:pPr>
        <w:pStyle w:val="ECHRParaHanging"/>
      </w:pPr>
      <w:hyperlink r:id="rId548" w:history="1">
        <w:r w:rsidR="009B638B" w:rsidRPr="003B3332">
          <w:rPr>
            <w:rStyle w:val="Hyperlink"/>
          </w:rPr>
          <w:t>Premininy împotriva Rusiei</w:t>
        </w:r>
      </w:hyperlink>
      <w:r w:rsidR="009B638B" w:rsidRPr="003B3332">
        <w:t>, nr. 44973/04, 10 februarie 2011</w:t>
      </w:r>
    </w:p>
    <w:p w14:paraId="598E1131" w14:textId="56FEEBDC" w:rsidR="00783483" w:rsidRPr="003B3332" w:rsidRDefault="004713AB" w:rsidP="006019EB">
      <w:pPr>
        <w:pStyle w:val="ECHRParaHanging"/>
      </w:pPr>
      <w:hyperlink r:id="rId549" w:history="1">
        <w:r w:rsidR="009B638B" w:rsidRPr="003B3332">
          <w:rPr>
            <w:rStyle w:val="Hyperlink"/>
          </w:rPr>
          <w:t>Price împotriva Regatului Unit</w:t>
        </w:r>
      </w:hyperlink>
      <w:r w:rsidR="009B638B" w:rsidRPr="003B3332">
        <w:t>, nr. 33394/96, 10 octombrie 2001</w:t>
      </w:r>
    </w:p>
    <w:p w14:paraId="0BF47DFD" w14:textId="0CAB48F7" w:rsidR="00160F28" w:rsidRPr="003B3332" w:rsidRDefault="004713AB" w:rsidP="00160F28">
      <w:pPr>
        <w:pStyle w:val="ECHRParaHanging"/>
        <w:ind w:left="0" w:firstLine="0"/>
      </w:pPr>
      <w:hyperlink r:id="rId550" w:history="1">
        <w:r w:rsidR="009B638B" w:rsidRPr="003B3332">
          <w:rPr>
            <w:rStyle w:val="Hyperlink"/>
          </w:rPr>
          <w:t>Pulfer împotriva Albaniei</w:t>
        </w:r>
      </w:hyperlink>
      <w:r w:rsidR="009B638B" w:rsidRPr="003B3332">
        <w:t>, nr. 31959/13, 20 noiembrie 2018</w:t>
      </w:r>
    </w:p>
    <w:p w14:paraId="5B96F344" w14:textId="77777777" w:rsidR="006019EB" w:rsidRPr="003B3332" w:rsidRDefault="006019EB" w:rsidP="006019EB">
      <w:pPr>
        <w:pStyle w:val="ECHRTitleCentre1"/>
      </w:pPr>
      <w:r w:rsidRPr="003B3332">
        <w:t>—R—</w:t>
      </w:r>
    </w:p>
    <w:p w14:paraId="567DCDEB" w14:textId="221AF0BE" w:rsidR="00240795" w:rsidRPr="003B3332" w:rsidRDefault="004713AB" w:rsidP="00240795">
      <w:pPr>
        <w:pStyle w:val="ECHRPara"/>
      </w:pPr>
      <w:hyperlink r:id="rId551" w:history="1">
        <w:r w:rsidR="009B638B" w:rsidRPr="003B3332">
          <w:rPr>
            <w:rStyle w:val="Hyperlink"/>
          </w:rPr>
          <w:t>R.B. împotriva Estoniei</w:t>
        </w:r>
      </w:hyperlink>
      <w:r w:rsidR="009B638B" w:rsidRPr="003B3332">
        <w:rPr>
          <w:color w:val="000000"/>
        </w:rPr>
        <w:t>, nr. 22597/16, 22 iunie 2021</w:t>
      </w:r>
    </w:p>
    <w:p w14:paraId="3A7617FC" w14:textId="7E9267A9" w:rsidR="00240795" w:rsidRPr="003B3332" w:rsidRDefault="004713AB" w:rsidP="00240795">
      <w:pPr>
        <w:pStyle w:val="ECHRPara"/>
      </w:pPr>
      <w:hyperlink r:id="rId552" w:history="1">
        <w:r w:rsidR="009B638B" w:rsidRPr="003B3332">
          <w:rPr>
            <w:rStyle w:val="Hyperlink"/>
          </w:rPr>
          <w:t>R.R. împotriva Poloniei</w:t>
        </w:r>
      </w:hyperlink>
      <w:r w:rsidR="009B638B" w:rsidRPr="003B3332">
        <w:t>, nr. 27617/04, CEDO 2011 (extrase)</w:t>
      </w:r>
    </w:p>
    <w:p w14:paraId="43954E16" w14:textId="519FB8E7" w:rsidR="00240795" w:rsidRPr="003B3332" w:rsidRDefault="004713AB" w:rsidP="00240795">
      <w:pPr>
        <w:pStyle w:val="ECHRPara"/>
      </w:pPr>
      <w:hyperlink r:id="rId553" w:history="1">
        <w:r w:rsidR="009B638B" w:rsidRPr="003B3332">
          <w:rPr>
            <w:rStyle w:val="Hyperlink"/>
          </w:rPr>
          <w:t>R.R. și R.D. și alții împotriva Slovaciei</w:t>
        </w:r>
      </w:hyperlink>
      <w:r w:rsidR="009B638B" w:rsidRPr="003B3332">
        <w:t>, nr. 20649/18, 1 septembrie 2020</w:t>
      </w:r>
    </w:p>
    <w:p w14:paraId="2866541B" w14:textId="77854F28" w:rsidR="00240795" w:rsidRPr="003B3332" w:rsidRDefault="004713AB" w:rsidP="00240795">
      <w:pPr>
        <w:pStyle w:val="ECHRPara"/>
      </w:pPr>
      <w:hyperlink r:id="rId554" w:history="1">
        <w:r w:rsidR="009B638B" w:rsidRPr="003B3332">
          <w:rPr>
            <w:rStyle w:val="Hyperlink"/>
          </w:rPr>
          <w:t>R.S. împotriva Ungariei</w:t>
        </w:r>
      </w:hyperlink>
      <w:r w:rsidR="009B638B" w:rsidRPr="003B3332">
        <w:t>, nr. 65290/14, 2 iulie 2019</w:t>
      </w:r>
    </w:p>
    <w:p w14:paraId="43A7ED1E" w14:textId="503A982F" w:rsidR="007A42C7" w:rsidRPr="003B3332" w:rsidRDefault="004713AB" w:rsidP="006019EB">
      <w:pPr>
        <w:pStyle w:val="ECHRParaHanging"/>
      </w:pPr>
      <w:hyperlink r:id="rId555" w:history="1">
        <w:r w:rsidR="009B638B" w:rsidRPr="003B3332">
          <w:rPr>
            <w:rStyle w:val="Hyperlink"/>
          </w:rPr>
          <w:t>Ramirez Sanchez împotriva Franței</w:t>
        </w:r>
      </w:hyperlink>
      <w:r w:rsidR="009B638B" w:rsidRPr="003B3332">
        <w:t xml:space="preserve"> (MC), nr. 59450/00, CEDO 2006</w:t>
      </w:r>
      <w:r w:rsidR="009B638B" w:rsidRPr="003B3332">
        <w:noBreakHyphen/>
        <w:t>IX</w:t>
      </w:r>
    </w:p>
    <w:p w14:paraId="1EAA1164" w14:textId="72ED1737" w:rsidR="00123FB2" w:rsidRPr="003B3332" w:rsidRDefault="004713AB" w:rsidP="00DE7724">
      <w:pPr>
        <w:pStyle w:val="ECHRPara"/>
      </w:pPr>
      <w:hyperlink r:id="rId556" w:history="1">
        <w:r w:rsidR="009B638B" w:rsidRPr="003B3332">
          <w:rPr>
            <w:rStyle w:val="Hyperlink"/>
          </w:rPr>
          <w:t>Razzakov împotriva Rusiei</w:t>
        </w:r>
      </w:hyperlink>
      <w:r w:rsidR="009B638B" w:rsidRPr="003B3332">
        <w:t>, nr. 57519/09, 5 februarie 2015</w:t>
      </w:r>
    </w:p>
    <w:p w14:paraId="63982581" w14:textId="0CA09883" w:rsidR="00EE643A" w:rsidRPr="003B3332" w:rsidRDefault="004713AB" w:rsidP="00DE7724">
      <w:pPr>
        <w:pStyle w:val="ECHRPara"/>
      </w:pPr>
      <w:hyperlink r:id="rId557" w:history="1">
        <w:r w:rsidR="009B638B" w:rsidRPr="003B3332">
          <w:rPr>
            <w:rStyle w:val="Hyperlink"/>
          </w:rPr>
          <w:t>Rodić și alții împotriva Bosniei și Herțegovinei</w:t>
        </w:r>
      </w:hyperlink>
      <w:r w:rsidR="009B638B" w:rsidRPr="003B3332">
        <w:t>, nr. 22893/ 05, 27 mai 2008</w:t>
      </w:r>
    </w:p>
    <w:p w14:paraId="25B98629" w14:textId="08079310" w:rsidR="00F310C6" w:rsidRPr="003B3332" w:rsidRDefault="004713AB" w:rsidP="00DE7724">
      <w:pPr>
        <w:pStyle w:val="ECHRPara"/>
      </w:pPr>
      <w:hyperlink r:id="rId558" w:history="1">
        <w:r w:rsidR="009B638B" w:rsidRPr="003B3332">
          <w:rPr>
            <w:rStyle w:val="Hyperlink"/>
          </w:rPr>
          <w:t>Rooman împotriva Belgiei</w:t>
        </w:r>
      </w:hyperlink>
      <w:r w:rsidR="009B638B" w:rsidRPr="003B3332">
        <w:t xml:space="preserve"> (MC), nr. 18052/11, 31 ianuarie 2019</w:t>
      </w:r>
    </w:p>
    <w:bookmarkStart w:id="111" w:name="_cl42714"/>
    <w:p w14:paraId="6E09AF56" w14:textId="25A18C81" w:rsidR="008224E3" w:rsidRPr="003B3332" w:rsidRDefault="008224E3" w:rsidP="00DE7724">
      <w:pPr>
        <w:pStyle w:val="ECHRPara"/>
      </w:pPr>
      <w:r w:rsidRPr="003B3332">
        <w:rPr>
          <w:i/>
        </w:rPr>
        <w:fldChar w:fldCharType="begin"/>
      </w:r>
      <w:r w:rsidRPr="003B3332">
        <w:rPr>
          <w:i/>
        </w:rPr>
        <w:instrText xml:space="preserve"> HYPERLINK "http://hudoc.echr.coe.int/eng?i=001-226466" </w:instrText>
      </w:r>
      <w:r w:rsidRPr="003B3332">
        <w:rPr>
          <w:i/>
        </w:rPr>
        <w:fldChar w:fldCharType="separate"/>
      </w:r>
      <w:r w:rsidRPr="003B3332">
        <w:rPr>
          <w:rStyle w:val="Hyperlink"/>
        </w:rPr>
        <w:t>Romanov și alții împotriva Rusiei</w:t>
      </w:r>
      <w:r w:rsidRPr="003B3332">
        <w:rPr>
          <w:i/>
        </w:rPr>
        <w:fldChar w:fldCharType="end"/>
      </w:r>
      <w:bookmarkEnd w:id="111"/>
      <w:r w:rsidRPr="003B3332">
        <w:t>, nr. 58358/14 și alte 5 cereri, 12 septembrie 2023</w:t>
      </w:r>
    </w:p>
    <w:p w14:paraId="32C3F009" w14:textId="7ECA5B35" w:rsidR="001D4A90" w:rsidRPr="003B3332" w:rsidRDefault="004713AB" w:rsidP="00DE7724">
      <w:pPr>
        <w:pStyle w:val="ECHRPara"/>
      </w:pPr>
      <w:hyperlink r:id="rId559" w:history="1">
        <w:r w:rsidR="009B638B" w:rsidRPr="003B3332">
          <w:rPr>
            <w:rStyle w:val="Hyperlink"/>
          </w:rPr>
          <w:t>Roth împotriva Germaniei</w:t>
        </w:r>
      </w:hyperlink>
      <w:r w:rsidR="009B638B" w:rsidRPr="003B3332">
        <w:t>, nr. 6780/18 și 30776/18, 22 octombrie 2020</w:t>
      </w:r>
    </w:p>
    <w:p w14:paraId="08A293BF" w14:textId="77777777" w:rsidR="006019EB" w:rsidRPr="003B3332" w:rsidRDefault="006019EB" w:rsidP="006019EB">
      <w:pPr>
        <w:pStyle w:val="ECHRTitleCentre1"/>
      </w:pPr>
      <w:r w:rsidRPr="003B3332">
        <w:t>—S—</w:t>
      </w:r>
    </w:p>
    <w:p w14:paraId="0743890B" w14:textId="341A0E78" w:rsidR="005A7104" w:rsidRPr="003B3332" w:rsidRDefault="004713AB" w:rsidP="005A7104">
      <w:pPr>
        <w:pStyle w:val="ECHRPara"/>
      </w:pPr>
      <w:hyperlink r:id="rId560" w:history="1">
        <w:r w:rsidR="009B638B" w:rsidRPr="003B3332">
          <w:rPr>
            <w:rStyle w:val="Hyperlink"/>
          </w:rPr>
          <w:t>S.F.K. împotriva Rusiei</w:t>
        </w:r>
      </w:hyperlink>
      <w:r w:rsidR="009B638B" w:rsidRPr="003B3332">
        <w:t>, nr. 5578/12, 11 octombrie 2022</w:t>
      </w:r>
    </w:p>
    <w:p w14:paraId="54DAA544" w14:textId="66A9E224" w:rsidR="00677D44" w:rsidRPr="003B3332" w:rsidRDefault="004713AB" w:rsidP="00240795">
      <w:pPr>
        <w:pStyle w:val="ECHRParaHanging"/>
        <w:rPr>
          <w:iCs/>
        </w:rPr>
      </w:pPr>
      <w:hyperlink r:id="rId561" w:history="1">
        <w:r w:rsidR="009B638B" w:rsidRPr="003B3332">
          <w:rPr>
            <w:rStyle w:val="Hyperlink"/>
          </w:rPr>
          <w:t>S.M. împotriva Croației</w:t>
        </w:r>
      </w:hyperlink>
      <w:r w:rsidR="009B638B" w:rsidRPr="003B3332">
        <w:rPr>
          <w:i/>
        </w:rPr>
        <w:t xml:space="preserve"> </w:t>
      </w:r>
      <w:r w:rsidR="009B638B" w:rsidRPr="003B3332">
        <w:t>(MC), nr. 60561/14, 25 iunie 2020</w:t>
      </w:r>
    </w:p>
    <w:bookmarkStart w:id="112" w:name="_cl42446"/>
    <w:p w14:paraId="36EB1A1C" w14:textId="1E556309" w:rsidR="00AC37E4" w:rsidRPr="003B3332" w:rsidRDefault="00AC37E4" w:rsidP="00240795">
      <w:pPr>
        <w:pStyle w:val="ECHRParaHanging"/>
      </w:pPr>
      <w:r w:rsidRPr="003B3332">
        <w:rPr>
          <w:i/>
        </w:rPr>
        <w:fldChar w:fldCharType="begin"/>
      </w:r>
      <w:r w:rsidRPr="003B3332">
        <w:rPr>
          <w:i/>
        </w:rPr>
        <w:instrText xml:space="preserve"> HYPERLINK "http://hudoc.echr.coe.int/eng?i=001-224435" </w:instrText>
      </w:r>
      <w:r w:rsidRPr="003B3332">
        <w:rPr>
          <w:i/>
        </w:rPr>
        <w:fldChar w:fldCharType="separate"/>
      </w:r>
      <w:r w:rsidRPr="003B3332">
        <w:rPr>
          <w:rStyle w:val="Hyperlink"/>
        </w:rPr>
        <w:t>S.P. și alții împotriva Rusiei</w:t>
      </w:r>
      <w:r w:rsidRPr="003B3332">
        <w:rPr>
          <w:i/>
        </w:rPr>
        <w:fldChar w:fldCharType="end"/>
      </w:r>
      <w:bookmarkEnd w:id="112"/>
      <w:r w:rsidRPr="003B3332">
        <w:t>, nr. 36463/11 și alte 10 cereri, 2 mai 2023</w:t>
      </w:r>
    </w:p>
    <w:p w14:paraId="5AE62B88" w14:textId="19D74DBA" w:rsidR="0007338A" w:rsidRPr="003B3332" w:rsidRDefault="004713AB" w:rsidP="0007338A">
      <w:pPr>
        <w:pStyle w:val="ECHRPara"/>
        <w:rPr>
          <w:rFonts w:cstheme="minorHAnsi"/>
        </w:rPr>
      </w:pPr>
      <w:hyperlink r:id="rId562" w:history="1">
        <w:r w:rsidR="009B638B" w:rsidRPr="003B3332">
          <w:rPr>
            <w:rStyle w:val="Hyperlink"/>
          </w:rPr>
          <w:t>Sabalić împotriva Croației</w:t>
        </w:r>
      </w:hyperlink>
      <w:r w:rsidR="009B638B" w:rsidRPr="003B3332">
        <w:rPr>
          <w:color w:val="000000"/>
        </w:rPr>
        <w:t>, nr. 50231/13, 14 ianuarie 2021</w:t>
      </w:r>
    </w:p>
    <w:p w14:paraId="0D22370B" w14:textId="73CDA286" w:rsidR="003304EF" w:rsidRPr="003B3332" w:rsidRDefault="004713AB" w:rsidP="006019EB">
      <w:pPr>
        <w:pStyle w:val="ECHRParaHanging"/>
      </w:pPr>
      <w:hyperlink r:id="rId563" w:history="1">
        <w:r w:rsidR="009B638B" w:rsidRPr="003B3332">
          <w:rPr>
            <w:rStyle w:val="Hyperlink"/>
          </w:rPr>
          <w:t>Salakhov și Islyamova împotriva Ucrainei</w:t>
        </w:r>
      </w:hyperlink>
      <w:r w:rsidR="009B638B" w:rsidRPr="003B3332">
        <w:t>, nr. 28005/08, 14 martie 2013</w:t>
      </w:r>
    </w:p>
    <w:p w14:paraId="01B13BC0" w14:textId="32E0D33C" w:rsidR="00F768C3" w:rsidRPr="003B3332" w:rsidRDefault="004713AB" w:rsidP="006019EB">
      <w:pPr>
        <w:pStyle w:val="ECHRParaHanging"/>
      </w:pPr>
      <w:hyperlink r:id="rId564" w:history="1">
        <w:r w:rsidR="009B638B" w:rsidRPr="003B3332">
          <w:rPr>
            <w:rStyle w:val="Hyperlink"/>
          </w:rPr>
          <w:t>Salman împotriva Turciei</w:t>
        </w:r>
      </w:hyperlink>
      <w:r w:rsidR="009B638B" w:rsidRPr="003B3332">
        <w:t xml:space="preserve"> (MC), nr. 21986/93, CEDO 2000</w:t>
      </w:r>
      <w:r w:rsidR="009B638B" w:rsidRPr="003B3332">
        <w:noBreakHyphen/>
        <w:t>VII</w:t>
      </w:r>
    </w:p>
    <w:p w14:paraId="20F1C4CC" w14:textId="761475A4" w:rsidR="00F212FF" w:rsidRPr="003B3332" w:rsidRDefault="004713AB" w:rsidP="006019EB">
      <w:pPr>
        <w:pStyle w:val="ECHRParaHanging"/>
      </w:pPr>
      <w:hyperlink r:id="rId565" w:history="1">
        <w:r w:rsidR="009B638B" w:rsidRPr="003B3332">
          <w:rPr>
            <w:i/>
            <w:color w:val="0072BC" w:themeColor="hyperlink"/>
          </w:rPr>
          <w:t>Sanchez-Sanchez împotriva Regatului Unit</w:t>
        </w:r>
      </w:hyperlink>
      <w:r w:rsidR="009B638B" w:rsidRPr="003B3332">
        <w:t>, nr. 22854/20, 3 noiembrie 2022</w:t>
      </w:r>
    </w:p>
    <w:p w14:paraId="11068B19" w14:textId="09F21469" w:rsidR="007A42C7" w:rsidRPr="003B3332" w:rsidRDefault="004713AB" w:rsidP="007A42C7">
      <w:pPr>
        <w:pStyle w:val="ECHRParaHanging"/>
      </w:pPr>
      <w:hyperlink r:id="rId566" w:history="1">
        <w:r w:rsidR="009B638B" w:rsidRPr="003B3332">
          <w:rPr>
            <w:rStyle w:val="Hyperlink"/>
          </w:rPr>
          <w:t>Satybalova și alții împotriva Rusiei</w:t>
        </w:r>
      </w:hyperlink>
      <w:r w:rsidR="009B638B" w:rsidRPr="003B3332">
        <w:t>, nr. 79947/12, 30 iunie 2020</w:t>
      </w:r>
    </w:p>
    <w:p w14:paraId="42423971" w14:textId="2705AF20" w:rsidR="007C14F3" w:rsidRPr="003B3332" w:rsidRDefault="004713AB" w:rsidP="007A42C7">
      <w:pPr>
        <w:pStyle w:val="ECHRParaHanging"/>
      </w:pPr>
      <w:hyperlink r:id="rId567" w:history="1">
        <w:r w:rsidR="009B638B" w:rsidRPr="003B3332">
          <w:rPr>
            <w:rStyle w:val="Hyperlink"/>
          </w:rPr>
          <w:t>Savran împotriva Danemarcei</w:t>
        </w:r>
      </w:hyperlink>
      <w:r w:rsidR="009B638B" w:rsidRPr="003B3332">
        <w:t xml:space="preserve"> (MC)</w:t>
      </w:r>
      <w:r w:rsidR="009B638B" w:rsidRPr="003B3332">
        <w:rPr>
          <w:color w:val="000000"/>
        </w:rPr>
        <w:t>, nr. 57467/15, 7 decembrie 2021</w:t>
      </w:r>
    </w:p>
    <w:p w14:paraId="11287C40" w14:textId="201C3432" w:rsidR="006A152B" w:rsidRPr="003B3332" w:rsidRDefault="004713AB" w:rsidP="006019EB">
      <w:pPr>
        <w:pStyle w:val="ECHRParaHanging"/>
      </w:pPr>
      <w:hyperlink r:id="rId568" w:history="1">
        <w:r w:rsidR="009B638B" w:rsidRPr="003B3332">
          <w:rPr>
            <w:rStyle w:val="Hyperlink"/>
          </w:rPr>
          <w:t>Schmidt împotriva Germaniei</w:t>
        </w:r>
      </w:hyperlink>
      <w:r w:rsidR="009B638B" w:rsidRPr="003B3332">
        <w:t xml:space="preserve"> (dec.), nr. 32352/02, 5 ianuarie 2006</w:t>
      </w:r>
    </w:p>
    <w:p w14:paraId="3F9225C2" w14:textId="750B2645" w:rsidR="00736E40" w:rsidRPr="003B3332" w:rsidRDefault="004713AB" w:rsidP="006019EB">
      <w:pPr>
        <w:pStyle w:val="ECHRParaHanging"/>
      </w:pPr>
      <w:hyperlink r:id="rId569" w:history="1">
        <w:r w:rsidR="009B638B" w:rsidRPr="003B3332">
          <w:rPr>
            <w:rStyle w:val="Hyperlink"/>
          </w:rPr>
          <w:t>Selçuk și Asker împotriva Turciei</w:t>
        </w:r>
      </w:hyperlink>
      <w:r w:rsidR="009B638B" w:rsidRPr="003B3332">
        <w:t xml:space="preserve">, 24 aprilie 1998, </w:t>
      </w:r>
      <w:r w:rsidR="009B638B" w:rsidRPr="003B3332">
        <w:rPr>
          <w:i/>
        </w:rPr>
        <w:t>Culegere de hotărâri și decizii</w:t>
      </w:r>
      <w:r w:rsidR="009B638B" w:rsidRPr="003B3332">
        <w:t xml:space="preserve"> 1998</w:t>
      </w:r>
      <w:r w:rsidR="009B638B" w:rsidRPr="003B3332">
        <w:noBreakHyphen/>
        <w:t>II</w:t>
      </w:r>
    </w:p>
    <w:p w14:paraId="43F167E5" w14:textId="47C8298A" w:rsidR="00401249" w:rsidRPr="003B3332" w:rsidRDefault="004713AB" w:rsidP="00401249">
      <w:pPr>
        <w:pStyle w:val="ECHRParaHanging"/>
      </w:pPr>
      <w:hyperlink r:id="rId570" w:history="1">
        <w:r w:rsidR="009B638B" w:rsidRPr="003B3332">
          <w:rPr>
            <w:rStyle w:val="Hyperlink"/>
          </w:rPr>
          <w:t>Selmouni împotriva Franței</w:t>
        </w:r>
      </w:hyperlink>
      <w:r w:rsidR="009B638B" w:rsidRPr="003B3332">
        <w:t xml:space="preserve"> (MC), nr. 25803/94, CEDO 1999</w:t>
      </w:r>
      <w:r w:rsidR="009B638B" w:rsidRPr="003B3332">
        <w:noBreakHyphen/>
        <w:t>IV</w:t>
      </w:r>
    </w:p>
    <w:p w14:paraId="7B56689D" w14:textId="64EE725D" w:rsidR="007817FF" w:rsidRPr="003B3332" w:rsidRDefault="004713AB" w:rsidP="00E75C94">
      <w:pPr>
        <w:pStyle w:val="ECHRPara"/>
      </w:pPr>
      <w:hyperlink r:id="rId571" w:history="1">
        <w:r w:rsidR="009B638B" w:rsidRPr="003B3332">
          <w:rPr>
            <w:rStyle w:val="Hyperlink"/>
          </w:rPr>
          <w:t>Shamayev și alții împotriva Georgiei şi Rusiei</w:t>
        </w:r>
      </w:hyperlink>
      <w:r w:rsidR="009B638B" w:rsidRPr="003B3332">
        <w:t>, nr. 36378/02, CEDO 2005</w:t>
      </w:r>
      <w:r w:rsidR="009B638B" w:rsidRPr="003B3332">
        <w:noBreakHyphen/>
        <w:t>III</w:t>
      </w:r>
    </w:p>
    <w:p w14:paraId="6F8F6B8F" w14:textId="2AA654D2" w:rsidR="00FA03BB" w:rsidRPr="003B3332" w:rsidRDefault="004713AB" w:rsidP="00E75C94">
      <w:pPr>
        <w:pStyle w:val="ECHRPara"/>
        <w:rPr>
          <w:rFonts w:cstheme="minorHAnsi"/>
        </w:rPr>
      </w:pPr>
      <w:hyperlink r:id="rId572" w:history="1">
        <w:r w:rsidR="009B638B" w:rsidRPr="003B3332">
          <w:rPr>
            <w:rStyle w:val="Hyperlink"/>
          </w:rPr>
          <w:t>Shlykov și alții împotriva Rusiei</w:t>
        </w:r>
      </w:hyperlink>
      <w:r w:rsidR="009B638B" w:rsidRPr="003B3332">
        <w:rPr>
          <w:color w:val="000000"/>
        </w:rPr>
        <w:t>, nr. 78638/11 și alte 3 cereri, 19 ianuarie 2021</w:t>
      </w:r>
    </w:p>
    <w:p w14:paraId="5F9A0340" w14:textId="4A10B981" w:rsidR="00831216" w:rsidRPr="003B3332" w:rsidRDefault="004713AB" w:rsidP="00401249">
      <w:pPr>
        <w:pStyle w:val="ECHRParaHanging"/>
      </w:pPr>
      <w:hyperlink r:id="rId573" w:history="1">
        <w:r w:rsidR="009B638B" w:rsidRPr="003B3332">
          <w:rPr>
            <w:rStyle w:val="Hyperlink"/>
          </w:rPr>
          <w:t>Shmorgunov și alții împotriva Ucrainei</w:t>
        </w:r>
      </w:hyperlink>
      <w:r w:rsidR="009B638B" w:rsidRPr="003B3332">
        <w:t>, nr. 15367/14 și alte 13 cereri, 21 ianuarie 2021</w:t>
      </w:r>
    </w:p>
    <w:p w14:paraId="2E3A7D0B" w14:textId="7EA9730F" w:rsidR="003110EF" w:rsidRPr="003B3332" w:rsidRDefault="004713AB" w:rsidP="00401249">
      <w:pPr>
        <w:pStyle w:val="ECHRParaHanging"/>
      </w:pPr>
      <w:hyperlink r:id="rId574" w:history="1">
        <w:r w:rsidR="009B638B" w:rsidRPr="003B3332">
          <w:rPr>
            <w:rStyle w:val="Hyperlink"/>
          </w:rPr>
          <w:t>Simeonovi împotriva Bulgariei</w:t>
        </w:r>
      </w:hyperlink>
      <w:r w:rsidR="009B638B" w:rsidRPr="003B3332">
        <w:t xml:space="preserve"> (MC), nr. 21980/04, 12 mai 2017</w:t>
      </w:r>
    </w:p>
    <w:p w14:paraId="73C1368F" w14:textId="45B0078D" w:rsidR="005A32F9" w:rsidRPr="003B3332" w:rsidRDefault="004713AB" w:rsidP="00401249">
      <w:pPr>
        <w:pStyle w:val="ECHRParaHanging"/>
      </w:pPr>
      <w:hyperlink r:id="rId575" w:history="1">
        <w:r w:rsidR="009B638B" w:rsidRPr="003B3332">
          <w:rPr>
            <w:rStyle w:val="Hyperlink"/>
          </w:rPr>
          <w:t>Škorjanec împotriva Croației</w:t>
        </w:r>
      </w:hyperlink>
      <w:r w:rsidR="009B638B" w:rsidRPr="003B3332">
        <w:t>, nr. 25536/14, 28 martie 2017</w:t>
      </w:r>
    </w:p>
    <w:p w14:paraId="7D1FF50E" w14:textId="0D1E84DE" w:rsidR="005D3044" w:rsidRPr="003B3332" w:rsidRDefault="004713AB" w:rsidP="00401249">
      <w:pPr>
        <w:pStyle w:val="ECHRParaHanging"/>
      </w:pPr>
      <w:hyperlink r:id="rId576" w:history="1">
        <w:r w:rsidR="009B638B" w:rsidRPr="003B3332">
          <w:rPr>
            <w:rStyle w:val="Hyperlink"/>
          </w:rPr>
          <w:t>Slyusarev împotriva Rusiei</w:t>
        </w:r>
      </w:hyperlink>
      <w:r w:rsidR="009B638B" w:rsidRPr="003B3332">
        <w:t>, nr. 60333/00, 20 aprilie 2010</w:t>
      </w:r>
    </w:p>
    <w:p w14:paraId="2B6BDB0D" w14:textId="66DBE78D" w:rsidR="00B90E07" w:rsidRPr="003B3332" w:rsidRDefault="004713AB" w:rsidP="00B90E07">
      <w:pPr>
        <w:pStyle w:val="ECHRPara"/>
      </w:pPr>
      <w:hyperlink r:id="rId577" w:history="1">
        <w:r w:rsidR="009B638B" w:rsidRPr="003B3332">
          <w:rPr>
            <w:rStyle w:val="Hyperlink"/>
          </w:rPr>
          <w:t>Smith și Grady împotriva Regatului Unit</w:t>
        </w:r>
      </w:hyperlink>
      <w:r w:rsidR="009B638B" w:rsidRPr="003B3332">
        <w:t>, nr. 33985/96 și 33986/96, CEDO 1999</w:t>
      </w:r>
      <w:r w:rsidR="009B638B" w:rsidRPr="003B3332">
        <w:noBreakHyphen/>
        <w:t>VI</w:t>
      </w:r>
    </w:p>
    <w:p w14:paraId="4D25789B" w14:textId="1D4F0130" w:rsidR="00880FDC" w:rsidRPr="003B3332" w:rsidRDefault="004713AB" w:rsidP="007A42C7">
      <w:pPr>
        <w:pStyle w:val="ECHRPara"/>
      </w:pPr>
      <w:hyperlink r:id="rId578" w:history="1">
        <w:r w:rsidR="009B638B" w:rsidRPr="003B3332">
          <w:rPr>
            <w:rStyle w:val="Hyperlink"/>
          </w:rPr>
          <w:t>Soare și alții împotriva României</w:t>
        </w:r>
      </w:hyperlink>
      <w:r w:rsidR="009B638B" w:rsidRPr="003B3332">
        <w:t>, nr. 24329/02, 22 februarie 2011</w:t>
      </w:r>
    </w:p>
    <w:p w14:paraId="5143B304" w14:textId="7AED56AA" w:rsidR="007A42C7" w:rsidRPr="003B3332" w:rsidRDefault="004713AB" w:rsidP="007A42C7">
      <w:pPr>
        <w:pStyle w:val="ECHRPara"/>
      </w:pPr>
      <w:hyperlink r:id="rId579" w:history="1">
        <w:r w:rsidR="009B638B" w:rsidRPr="003B3332">
          <w:rPr>
            <w:rStyle w:val="Hyperlink"/>
          </w:rPr>
          <w:t>Soering împotriva Regatului Unit</w:t>
        </w:r>
      </w:hyperlink>
      <w:r w:rsidR="009B638B" w:rsidRPr="003B3332">
        <w:t>, 7 iulie 1989, seria A nr. 161</w:t>
      </w:r>
    </w:p>
    <w:p w14:paraId="5A1A591A" w14:textId="7E22BBDA" w:rsidR="00124593" w:rsidRPr="003B3332" w:rsidRDefault="004713AB" w:rsidP="006019EB">
      <w:pPr>
        <w:pStyle w:val="ECHRParaHanging"/>
      </w:pPr>
      <w:hyperlink r:id="rId580" w:history="1">
        <w:r w:rsidR="009B638B" w:rsidRPr="003B3332">
          <w:rPr>
            <w:rStyle w:val="Hyperlink"/>
          </w:rPr>
          <w:t>Stevan Petrović împotriva Serbiei</w:t>
        </w:r>
      </w:hyperlink>
      <w:r w:rsidR="009B638B" w:rsidRPr="003B3332">
        <w:t>, nr. 6097/16 și 28999/19, 20 aprilie 2021</w:t>
      </w:r>
    </w:p>
    <w:p w14:paraId="2AC03E93" w14:textId="158DA364" w:rsidR="00F53D62" w:rsidRPr="003B3332" w:rsidRDefault="004713AB" w:rsidP="002D0A92">
      <w:pPr>
        <w:pStyle w:val="ECHRParaHanging"/>
      </w:pPr>
      <w:hyperlink r:id="rId581" w:history="1">
        <w:r w:rsidR="009B638B" w:rsidRPr="003B3332">
          <w:rPr>
            <w:rStyle w:val="Hyperlink"/>
          </w:rPr>
          <w:t>Suleymanov împotriva Rusiei</w:t>
        </w:r>
      </w:hyperlink>
      <w:r w:rsidR="009B638B" w:rsidRPr="003B3332">
        <w:t>, nr. 32501/11, 22 ianuarie 2013</w:t>
      </w:r>
    </w:p>
    <w:p w14:paraId="632EDE67" w14:textId="75C1FD48" w:rsidR="00F310C6" w:rsidRPr="003B3332" w:rsidRDefault="004713AB" w:rsidP="006019EB">
      <w:pPr>
        <w:pStyle w:val="ECHRParaHanging"/>
      </w:pPr>
      <w:hyperlink r:id="rId582" w:history="1">
        <w:r w:rsidR="009B638B" w:rsidRPr="003B3332">
          <w:rPr>
            <w:rStyle w:val="Hyperlink"/>
          </w:rPr>
          <w:t>Svinarenko și Slyadnev împotriva Rusiei</w:t>
        </w:r>
      </w:hyperlink>
      <w:r w:rsidR="009B638B" w:rsidRPr="003B3332">
        <w:t xml:space="preserve"> (MC), nr. 32541/08 și 43441/08, CEDO 2014 (extrase)</w:t>
      </w:r>
    </w:p>
    <w:p w14:paraId="15DF8C97" w14:textId="77777777" w:rsidR="006019EB" w:rsidRPr="003B3332" w:rsidRDefault="006019EB" w:rsidP="006019EB">
      <w:pPr>
        <w:pStyle w:val="ECHRTitleCentre1"/>
      </w:pPr>
      <w:r w:rsidRPr="003B3332">
        <w:t>—T—</w:t>
      </w:r>
    </w:p>
    <w:p w14:paraId="2F29518F" w14:textId="2E1E97B6" w:rsidR="00240795" w:rsidRPr="003B3332" w:rsidRDefault="004713AB" w:rsidP="00240795">
      <w:pPr>
        <w:pStyle w:val="ECHRParaHanging"/>
      </w:pPr>
      <w:hyperlink r:id="rId583" w:history="1">
        <w:r w:rsidR="009B638B" w:rsidRPr="003B3332">
          <w:rPr>
            <w:rStyle w:val="Hyperlink"/>
          </w:rPr>
          <w:t>T. împotriva Regatului Unit</w:t>
        </w:r>
      </w:hyperlink>
      <w:r w:rsidR="009B638B" w:rsidRPr="003B3332">
        <w:rPr>
          <w:i/>
        </w:rPr>
        <w:t xml:space="preserve"> </w:t>
      </w:r>
      <w:r w:rsidR="009B638B" w:rsidRPr="003B3332">
        <w:t>(MC), nr. 24724/94, 16 decembrie 1999</w:t>
      </w:r>
    </w:p>
    <w:p w14:paraId="0AC6C4FF" w14:textId="66AEF1F6" w:rsidR="00240795" w:rsidRPr="003B3332" w:rsidRDefault="004713AB" w:rsidP="00240795">
      <w:pPr>
        <w:pStyle w:val="ECHRParaHanging"/>
      </w:pPr>
      <w:hyperlink r:id="rId584" w:history="1">
        <w:r w:rsidR="009B638B" w:rsidRPr="003B3332">
          <w:rPr>
            <w:rStyle w:val="Hyperlink"/>
          </w:rPr>
          <w:t>T.M. și C.M. împotriva Republicii Moldova</w:t>
        </w:r>
      </w:hyperlink>
      <w:r w:rsidR="009B638B" w:rsidRPr="003B3332">
        <w:t>, nr. 26608/11, 28 ianuarie 2014</w:t>
      </w:r>
    </w:p>
    <w:p w14:paraId="66639BBF" w14:textId="60856A31" w:rsidR="00C10B8A" w:rsidRPr="003B3332" w:rsidRDefault="004713AB" w:rsidP="006019EB">
      <w:pPr>
        <w:pStyle w:val="ECHRParaHanging"/>
      </w:pPr>
      <w:hyperlink r:id="rId585" w:history="1">
        <w:r w:rsidR="009B638B" w:rsidRPr="003B3332">
          <w:rPr>
            <w:rStyle w:val="Hyperlink"/>
          </w:rPr>
          <w:t>Tabesh împotriva Greciei</w:t>
        </w:r>
      </w:hyperlink>
      <w:r w:rsidR="009B638B" w:rsidRPr="003B3332">
        <w:t>, nr. 8256/07, 26 noiembrie 2009</w:t>
      </w:r>
    </w:p>
    <w:p w14:paraId="13923A0E" w14:textId="7947D55B" w:rsidR="003F4940" w:rsidRPr="003B3332" w:rsidRDefault="004713AB" w:rsidP="003F4940">
      <w:pPr>
        <w:pStyle w:val="ECHRPara"/>
      </w:pPr>
      <w:hyperlink r:id="rId586" w:history="1">
        <w:r w:rsidR="009B638B" w:rsidRPr="003B3332">
          <w:rPr>
            <w:rStyle w:val="Hyperlink"/>
          </w:rPr>
          <w:t>Tali împotriva Estoniei</w:t>
        </w:r>
      </w:hyperlink>
      <w:r w:rsidR="009B638B" w:rsidRPr="003B3332">
        <w:t>, nr. 66393/10, 13 februarie 2014</w:t>
      </w:r>
    </w:p>
    <w:p w14:paraId="5932508D" w14:textId="53D0F20D" w:rsidR="00760608" w:rsidRPr="003B3332" w:rsidRDefault="004713AB" w:rsidP="006019EB">
      <w:pPr>
        <w:pStyle w:val="ECHRParaHanging"/>
      </w:pPr>
      <w:hyperlink r:id="rId587" w:history="1">
        <w:r w:rsidR="009B638B" w:rsidRPr="003B3332">
          <w:rPr>
            <w:rStyle w:val="Hyperlink"/>
          </w:rPr>
          <w:t>Talpis împotriva Italiei</w:t>
        </w:r>
      </w:hyperlink>
      <w:r w:rsidR="009B638B" w:rsidRPr="003B3332">
        <w:t>, nr. 41237/14, 2 martie 2017</w:t>
      </w:r>
    </w:p>
    <w:p w14:paraId="6ED9C6B4" w14:textId="11E2CF71" w:rsidR="003304EF" w:rsidRPr="003B3332" w:rsidRDefault="004713AB" w:rsidP="003304EF">
      <w:pPr>
        <w:pStyle w:val="ECHRPara"/>
      </w:pPr>
      <w:hyperlink r:id="rId588" w:history="1">
        <w:r w:rsidR="009B638B" w:rsidRPr="003B3332">
          <w:rPr>
            <w:rStyle w:val="Hyperlink"/>
          </w:rPr>
          <w:t>Tarak și Depe împotriva Turcia</w:t>
        </w:r>
      </w:hyperlink>
      <w:r w:rsidR="009B638B" w:rsidRPr="003B3332">
        <w:t>, nr. 70472/12, 9 aprilie 2019</w:t>
      </w:r>
    </w:p>
    <w:p w14:paraId="214BF692" w14:textId="453CD90C" w:rsidR="003702F8" w:rsidRPr="003B3332" w:rsidRDefault="004713AB" w:rsidP="006019EB">
      <w:pPr>
        <w:pStyle w:val="ECHRParaHanging"/>
      </w:pPr>
      <w:hyperlink r:id="rId589" w:history="1">
        <w:r w:rsidR="009B638B" w:rsidRPr="003B3332">
          <w:rPr>
            <w:rStyle w:val="Hyperlink"/>
          </w:rPr>
          <w:t>Taştan împotriva Turciei</w:t>
        </w:r>
      </w:hyperlink>
      <w:r w:rsidR="009B638B" w:rsidRPr="003B3332">
        <w:t>, nr. 63748/00, 4 martie 2008</w:t>
      </w:r>
    </w:p>
    <w:p w14:paraId="46299107" w14:textId="4A5F87A3" w:rsidR="00880FDC" w:rsidRPr="003B3332" w:rsidRDefault="004713AB" w:rsidP="006019EB">
      <w:pPr>
        <w:pStyle w:val="ECHRParaHanging"/>
      </w:pPr>
      <w:hyperlink r:id="rId590" w:history="1">
        <w:r w:rsidR="009B638B" w:rsidRPr="003B3332">
          <w:rPr>
            <w:rStyle w:val="Hyperlink"/>
          </w:rPr>
          <w:t>Trévalec împotriva Belgiei</w:t>
        </w:r>
      </w:hyperlink>
      <w:r w:rsidR="009B638B" w:rsidRPr="003B3332">
        <w:t>, nr. 30812/07, 14 iunie 2011</w:t>
      </w:r>
    </w:p>
    <w:p w14:paraId="697D1752" w14:textId="247698C5" w:rsidR="00F85D0A" w:rsidRPr="003B3332" w:rsidRDefault="004713AB" w:rsidP="006019EB">
      <w:pPr>
        <w:pStyle w:val="ECHRParaHanging"/>
      </w:pPr>
      <w:hyperlink r:id="rId591" w:history="1">
        <w:r w:rsidR="009B638B" w:rsidRPr="003B3332">
          <w:rPr>
            <w:rStyle w:val="Hyperlink"/>
          </w:rPr>
          <w:t>Tunikova și alții împotriva Rusiei</w:t>
        </w:r>
      </w:hyperlink>
      <w:r w:rsidR="009B638B" w:rsidRPr="003B3332">
        <w:t xml:space="preserve">, nr. </w:t>
      </w:r>
      <w:hyperlink r:id="rId592" w:anchor="{%22appno%22:[%2255974/16%22]}" w:tgtFrame="_blank" w:history="1">
        <w:r w:rsidR="009B638B" w:rsidRPr="003B3332">
          <w:t>55974/16</w:t>
        </w:r>
      </w:hyperlink>
      <w:r w:rsidR="009B638B" w:rsidRPr="003B3332">
        <w:t xml:space="preserve"> și alte </w:t>
      </w:r>
      <w:r w:rsidR="009B638B" w:rsidRPr="003B3332">
        <w:rPr>
          <w:color w:val="000000" w:themeColor="text1"/>
          <w:shd w:val="clear" w:color="auto" w:fill="FFFFFF"/>
        </w:rPr>
        <w:t>3,</w:t>
      </w:r>
      <w:r w:rsidR="009B638B" w:rsidRPr="003B3332">
        <w:t xml:space="preserve"> 14 decembrie 2021</w:t>
      </w:r>
    </w:p>
    <w:p w14:paraId="3C213CD8" w14:textId="74CF7D41" w:rsidR="006019EB" w:rsidRPr="003B3332" w:rsidRDefault="004713AB" w:rsidP="006019EB">
      <w:pPr>
        <w:pStyle w:val="ECHRParaHanging"/>
      </w:pPr>
      <w:hyperlink r:id="rId593" w:history="1">
        <w:r w:rsidR="009B638B" w:rsidRPr="003B3332">
          <w:rPr>
            <w:rStyle w:val="Hyperlink"/>
          </w:rPr>
          <w:t>Tyrer împotriva Regatului Unit</w:t>
        </w:r>
      </w:hyperlink>
      <w:r w:rsidR="009B638B" w:rsidRPr="003B3332">
        <w:t>, 25 aprilie 1978, seria A nr. 26</w:t>
      </w:r>
    </w:p>
    <w:p w14:paraId="696CE71F" w14:textId="77777777" w:rsidR="006019EB" w:rsidRPr="003B3332" w:rsidRDefault="006019EB" w:rsidP="006019EB">
      <w:pPr>
        <w:pStyle w:val="ECHRTitleCentre1"/>
      </w:pPr>
      <w:r w:rsidRPr="003B3332">
        <w:t>— V —</w:t>
      </w:r>
    </w:p>
    <w:p w14:paraId="33D832A3" w14:textId="57050F96" w:rsidR="00240795" w:rsidRPr="003B3332" w:rsidRDefault="004713AB" w:rsidP="00240795">
      <w:pPr>
        <w:pStyle w:val="ECHRPara"/>
      </w:pPr>
      <w:hyperlink r:id="rId594" w:history="1">
        <w:r w:rsidR="009B638B" w:rsidRPr="003B3332">
          <w:rPr>
            <w:rStyle w:val="Hyperlink"/>
          </w:rPr>
          <w:t>V. împotriva Regatului Unit</w:t>
        </w:r>
      </w:hyperlink>
      <w:r w:rsidR="009B638B" w:rsidRPr="003B3332">
        <w:t xml:space="preserve"> (MC), nr. 24888/94, CEDO 1999</w:t>
      </w:r>
      <w:r w:rsidR="009B638B" w:rsidRPr="003B3332">
        <w:noBreakHyphen/>
        <w:t>IX</w:t>
      </w:r>
    </w:p>
    <w:p w14:paraId="78051244" w14:textId="7833D9C3" w:rsidR="00240795" w:rsidRPr="003B3332" w:rsidRDefault="004713AB" w:rsidP="00240795">
      <w:pPr>
        <w:pStyle w:val="ECHRPara"/>
      </w:pPr>
      <w:hyperlink r:id="rId595" w:history="1">
        <w:r w:rsidR="009B638B" w:rsidRPr="003B3332">
          <w:rPr>
            <w:rStyle w:val="Hyperlink"/>
          </w:rPr>
          <w:t>V.C. împotriva Slovaciei</w:t>
        </w:r>
      </w:hyperlink>
      <w:r w:rsidR="009B638B" w:rsidRPr="003B3332">
        <w:t>, nr. 18968/07, CEDO 2011 (extrase)</w:t>
      </w:r>
    </w:p>
    <w:p w14:paraId="7D958025" w14:textId="7835F9BC" w:rsidR="00240795" w:rsidRPr="003B3332" w:rsidRDefault="004713AB" w:rsidP="00240795">
      <w:pPr>
        <w:pStyle w:val="ECHRParaHanging"/>
      </w:pPr>
      <w:hyperlink r:id="rId596" w:history="1">
        <w:r w:rsidR="009B638B" w:rsidRPr="003B3332">
          <w:rPr>
            <w:rStyle w:val="Hyperlink"/>
          </w:rPr>
          <w:t>V.D. împotriva Croației (nr. 2)</w:t>
        </w:r>
      </w:hyperlink>
      <w:r w:rsidR="009B638B" w:rsidRPr="003B3332">
        <w:t>, nr. 19421/15, 15 noiembrie 2018</w:t>
      </w:r>
    </w:p>
    <w:p w14:paraId="6DDABF87" w14:textId="49BA90B7" w:rsidR="000E44F2" w:rsidRPr="003B3332" w:rsidRDefault="004713AB" w:rsidP="00240795">
      <w:pPr>
        <w:pStyle w:val="ECHRParaHanging"/>
      </w:pPr>
      <w:hyperlink r:id="rId597" w:history="1">
        <w:r w:rsidR="009B638B" w:rsidRPr="003B3332">
          <w:rPr>
            <w:rStyle w:val="Hyperlink"/>
          </w:rPr>
          <w:t>V.I. împotriva Republicii Moldova</w:t>
        </w:r>
      </w:hyperlink>
      <w:r w:rsidR="009B638B" w:rsidRPr="003B3332">
        <w:rPr>
          <w:i/>
        </w:rPr>
        <w:t xml:space="preserve">, </w:t>
      </w:r>
      <w:r w:rsidR="009B638B" w:rsidRPr="003B3332">
        <w:t>nr. 38963/18, 26 martie 2024</w:t>
      </w:r>
    </w:p>
    <w:p w14:paraId="51A12940" w14:textId="154E9A38" w:rsidR="00240795" w:rsidRPr="003B3332" w:rsidRDefault="004713AB" w:rsidP="00240795">
      <w:pPr>
        <w:pStyle w:val="ECHRParaHanging"/>
      </w:pPr>
      <w:hyperlink r:id="rId598" w:history="1">
        <w:r w:rsidR="009B638B" w:rsidRPr="003B3332">
          <w:rPr>
            <w:rStyle w:val="Hyperlink"/>
          </w:rPr>
          <w:t>V.K. împotriva Rusiei</w:t>
        </w:r>
      </w:hyperlink>
      <w:r w:rsidR="009B638B" w:rsidRPr="003B3332">
        <w:t>, nr. 68059/13, 7 martie 2017</w:t>
      </w:r>
    </w:p>
    <w:p w14:paraId="1143F140" w14:textId="037F12BD" w:rsidR="00F112CE" w:rsidRPr="003B3332" w:rsidRDefault="004713AB" w:rsidP="00F112CE">
      <w:pPr>
        <w:pStyle w:val="ECHRPara"/>
      </w:pPr>
      <w:hyperlink r:id="rId599" w:history="1">
        <w:r w:rsidR="009B638B" w:rsidRPr="003B3332">
          <w:rPr>
            <w:rStyle w:val="Hyperlink"/>
          </w:rPr>
          <w:t>Valašinas împotriva Lituaniei</w:t>
        </w:r>
      </w:hyperlink>
      <w:r w:rsidR="009B638B" w:rsidRPr="003B3332">
        <w:t>, nr. 44558/98, CEDO 2001</w:t>
      </w:r>
      <w:r w:rsidR="009B638B" w:rsidRPr="003B3332">
        <w:noBreakHyphen/>
        <w:t>VIII</w:t>
      </w:r>
    </w:p>
    <w:p w14:paraId="6740C3B5" w14:textId="3CFE9F92" w:rsidR="00012A21" w:rsidRPr="003B3332" w:rsidRDefault="004713AB" w:rsidP="006019EB">
      <w:pPr>
        <w:pStyle w:val="ECHRParaHanging"/>
      </w:pPr>
      <w:hyperlink r:id="rId600" w:history="1">
        <w:r w:rsidR="009B638B" w:rsidRPr="003B3332">
          <w:rPr>
            <w:rStyle w:val="Hyperlink"/>
          </w:rPr>
          <w:t>Varnava și alții împotriva Turciei</w:t>
        </w:r>
      </w:hyperlink>
      <w:r w:rsidR="009B638B" w:rsidRPr="003B3332">
        <w:t xml:space="preserve"> (MC), nr. 16064/90 și alte 8 cereri, CEDO 2009</w:t>
      </w:r>
    </w:p>
    <w:bookmarkStart w:id="113" w:name="_cl42693"/>
    <w:p w14:paraId="54C99929" w14:textId="0F3C85C0" w:rsidR="004B1E38" w:rsidRPr="003B3332" w:rsidRDefault="004B1E38" w:rsidP="006019EB">
      <w:pPr>
        <w:pStyle w:val="ECHRParaHanging"/>
      </w:pPr>
      <w:r w:rsidRPr="003B3332">
        <w:rPr>
          <w:i/>
        </w:rPr>
        <w:fldChar w:fldCharType="begin"/>
      </w:r>
      <w:r w:rsidRPr="003B3332">
        <w:rPr>
          <w:i/>
        </w:rPr>
        <w:instrText xml:space="preserve"> HYPERLINK "http://hudoc.echr.coe.int/eng?i=001-226385" </w:instrText>
      </w:r>
      <w:r w:rsidRPr="003B3332">
        <w:rPr>
          <w:i/>
        </w:rPr>
        <w:fldChar w:fldCharType="separate"/>
      </w:r>
      <w:r w:rsidRPr="003B3332">
        <w:rPr>
          <w:rStyle w:val="Hyperlink"/>
        </w:rPr>
        <w:t>Verzilov și alții împotriva Rusiei</w:t>
      </w:r>
      <w:r w:rsidRPr="003B3332">
        <w:rPr>
          <w:i/>
        </w:rPr>
        <w:fldChar w:fldCharType="end"/>
      </w:r>
      <w:bookmarkEnd w:id="113"/>
      <w:r w:rsidRPr="003B3332">
        <w:t>, nr. 25276/15, 29 august 2023</w:t>
      </w:r>
    </w:p>
    <w:p w14:paraId="092297E3" w14:textId="4AAA26B2" w:rsidR="00AE03E4" w:rsidRPr="003B3332" w:rsidRDefault="004713AB" w:rsidP="00AE03E4">
      <w:pPr>
        <w:pStyle w:val="ECHRPara"/>
      </w:pPr>
      <w:hyperlink r:id="rId601" w:history="1">
        <w:r w:rsidR="009B638B" w:rsidRPr="003B3332">
          <w:rPr>
            <w:rStyle w:val="Hyperlink"/>
          </w:rPr>
          <w:t>Vincent împotriva Franței</w:t>
        </w:r>
      </w:hyperlink>
      <w:r w:rsidR="009B638B" w:rsidRPr="003B3332">
        <w:t>, nr. 6253/03, 24 octombrie 2006</w:t>
      </w:r>
    </w:p>
    <w:p w14:paraId="78BFB6F3" w14:textId="7C9B515A" w:rsidR="007817FF" w:rsidRPr="003B3332" w:rsidRDefault="004713AB" w:rsidP="00AE03E4">
      <w:pPr>
        <w:pStyle w:val="ECHRPara"/>
      </w:pPr>
      <w:hyperlink r:id="rId602" w:history="1">
        <w:r w:rsidR="009B638B" w:rsidRPr="003B3332">
          <w:rPr>
            <w:rStyle w:val="Hyperlink"/>
          </w:rPr>
          <w:t>Vinter și alții</w:t>
        </w:r>
      </w:hyperlink>
      <w:r w:rsidR="009B638B" w:rsidRPr="003B3332">
        <w:rPr>
          <w:i/>
        </w:rPr>
        <w:t xml:space="preserve"> </w:t>
      </w:r>
      <w:r w:rsidR="009B638B" w:rsidRPr="003B3332">
        <w:t>(MC), nr. 66069/09 și alte 2 cereri, CEDO 2013 (extrase)</w:t>
      </w:r>
    </w:p>
    <w:p w14:paraId="023E4945" w14:textId="6D8CEFF7" w:rsidR="00B43A70" w:rsidRPr="003B3332" w:rsidRDefault="004713AB" w:rsidP="006019EB">
      <w:pPr>
        <w:pStyle w:val="ECHRParaHanging"/>
      </w:pPr>
      <w:hyperlink r:id="rId603" w:history="1">
        <w:r w:rsidR="009B638B" w:rsidRPr="003B3332">
          <w:rPr>
            <w:rStyle w:val="Hyperlink"/>
          </w:rPr>
          <w:t>Virabyan împotriva Armeniei</w:t>
        </w:r>
      </w:hyperlink>
      <w:r w:rsidR="009B638B" w:rsidRPr="003B3332">
        <w:t>, nr. 40094/05, 2 octombrie 2012</w:t>
      </w:r>
    </w:p>
    <w:p w14:paraId="11EB75B8" w14:textId="52DEC3C0" w:rsidR="006019EB" w:rsidRPr="003B3332" w:rsidRDefault="004713AB" w:rsidP="006019EB">
      <w:pPr>
        <w:pStyle w:val="ECHRParaHanging"/>
      </w:pPr>
      <w:hyperlink r:id="rId604" w:history="1">
        <w:r w:rsidR="009B638B" w:rsidRPr="003B3332">
          <w:rPr>
            <w:rStyle w:val="Hyperlink"/>
          </w:rPr>
          <w:t>Virgiliu Tănase împotriva României</w:t>
        </w:r>
      </w:hyperlink>
      <w:r w:rsidR="009B638B" w:rsidRPr="003B3332">
        <w:t xml:space="preserve"> (MC), nr. 41720/13, 25 iunie 2019</w:t>
      </w:r>
    </w:p>
    <w:p w14:paraId="6DBF11E5" w14:textId="470881AE" w:rsidR="004A423B" w:rsidRPr="003B3332" w:rsidRDefault="004713AB" w:rsidP="006019EB">
      <w:pPr>
        <w:pStyle w:val="ECHRParaHanging"/>
      </w:pPr>
      <w:hyperlink r:id="rId605" w:history="1">
        <w:r w:rsidR="009B638B" w:rsidRPr="003B3332">
          <w:rPr>
            <w:rStyle w:val="Hyperlink"/>
          </w:rPr>
          <w:t>Volodina împotriva Rusiei</w:t>
        </w:r>
      </w:hyperlink>
      <w:r w:rsidR="009B638B" w:rsidRPr="003B3332">
        <w:t>, nr. 41261/17, 9 iulie 2019</w:t>
      </w:r>
    </w:p>
    <w:bookmarkStart w:id="114" w:name="_cl43917"/>
    <w:p w14:paraId="28BBDCEC" w14:textId="2C63BD63" w:rsidR="00947765" w:rsidRPr="003B3332" w:rsidRDefault="00947765" w:rsidP="006019EB">
      <w:pPr>
        <w:pStyle w:val="ECHRParaHanging"/>
      </w:pPr>
      <w:r w:rsidRPr="003B3332">
        <w:rPr>
          <w:i/>
        </w:rPr>
        <w:fldChar w:fldCharType="begin"/>
      </w:r>
      <w:r w:rsidRPr="003B3332">
        <w:rPr>
          <w:i/>
        </w:rPr>
        <w:instrText xml:space="preserve"> HYPERLINK "http://hudoc.echr.coe.int/eng?i=001-229399" </w:instrText>
      </w:r>
      <w:r w:rsidRPr="003B3332">
        <w:rPr>
          <w:i/>
        </w:rPr>
        <w:fldChar w:fldCharType="separate"/>
      </w:r>
      <w:r w:rsidRPr="003B3332">
        <w:rPr>
          <w:rStyle w:val="Hyperlink"/>
        </w:rPr>
        <w:t>Vučković împotriva Croației</w:t>
      </w:r>
      <w:r w:rsidRPr="003B3332">
        <w:rPr>
          <w:i/>
        </w:rPr>
        <w:fldChar w:fldCharType="end"/>
      </w:r>
      <w:bookmarkEnd w:id="114"/>
      <w:r w:rsidRPr="003B3332">
        <w:t>, nr. 15798/20, 12 decembrie 2023</w:t>
      </w:r>
    </w:p>
    <w:p w14:paraId="110FC513" w14:textId="77777777" w:rsidR="006019EB" w:rsidRPr="003B3332" w:rsidRDefault="006019EB" w:rsidP="006019EB">
      <w:pPr>
        <w:pStyle w:val="ECHRTitleCentre1"/>
      </w:pPr>
      <w:r w:rsidRPr="003B3332">
        <w:t>—W—</w:t>
      </w:r>
    </w:p>
    <w:p w14:paraId="25082A58" w14:textId="5BB9830C" w:rsidR="006019EB" w:rsidRPr="003B3332" w:rsidRDefault="004713AB" w:rsidP="006019EB">
      <w:pPr>
        <w:pStyle w:val="ECHRParaHanging"/>
      </w:pPr>
      <w:hyperlink r:id="rId606" w:history="1">
        <w:r w:rsidR="009B638B" w:rsidRPr="003B3332">
          <w:rPr>
            <w:rStyle w:val="Hyperlink"/>
          </w:rPr>
          <w:t>Wainwright împotriva Regatului Unit</w:t>
        </w:r>
      </w:hyperlink>
      <w:r w:rsidR="009B638B" w:rsidRPr="003B3332">
        <w:t>, nr. 12350/04, CEDO</w:t>
      </w:r>
      <w:r w:rsidR="009B638B" w:rsidRPr="003B3332">
        <w:noBreakHyphen/>
        <w:t>2006</w:t>
      </w:r>
    </w:p>
    <w:p w14:paraId="6A023C06" w14:textId="76E55B3E" w:rsidR="001D4A90" w:rsidRPr="003B3332" w:rsidRDefault="004713AB" w:rsidP="001D4A90">
      <w:pPr>
        <w:pStyle w:val="ECHRPara"/>
      </w:pPr>
      <w:hyperlink r:id="rId607" w:history="1">
        <w:r w:rsidR="009B638B" w:rsidRPr="003B3332">
          <w:rPr>
            <w:rStyle w:val="Hyperlink"/>
          </w:rPr>
          <w:t>Wieser împotriva Austriei</w:t>
        </w:r>
      </w:hyperlink>
      <w:r w:rsidR="009B638B" w:rsidRPr="003B3332">
        <w:t>, nr. 2293/03, 22 februarie 2007</w:t>
      </w:r>
    </w:p>
    <w:p w14:paraId="555E2E6F" w14:textId="57EA4B57" w:rsidR="001F493D" w:rsidRPr="003B3332" w:rsidRDefault="004713AB" w:rsidP="001F493D">
      <w:pPr>
        <w:pStyle w:val="ECHRPara"/>
      </w:pPr>
      <w:hyperlink r:id="rId608" w:history="1">
        <w:r w:rsidR="009B638B" w:rsidRPr="003B3332">
          <w:rPr>
            <w:rStyle w:val="Hyperlink"/>
          </w:rPr>
          <w:t>Willcox și Hurford împotriva Regatului Unit</w:t>
        </w:r>
      </w:hyperlink>
      <w:r w:rsidR="009B638B" w:rsidRPr="003B3332">
        <w:t xml:space="preserve"> (dec.), nr. 43759/10 și 43771/12, CEDO 2013</w:t>
      </w:r>
    </w:p>
    <w:p w14:paraId="37FD5901" w14:textId="52591F26" w:rsidR="001F493D" w:rsidRPr="003B3332" w:rsidRDefault="004713AB" w:rsidP="00CF1212">
      <w:pPr>
        <w:pStyle w:val="ECHRPara"/>
        <w:ind w:left="567" w:hanging="567"/>
      </w:pPr>
      <w:hyperlink r:id="rId609" w:history="1">
        <w:r w:rsidR="009B638B" w:rsidRPr="003B3332">
          <w:rPr>
            <w:rStyle w:val="Hyperlink"/>
          </w:rPr>
          <w:t>Grupul de Sprijin al Inițiativelor Femeilor (Women’s Initiatives Supporting Group - WISG) și alții împotriva Georgiei</w:t>
        </w:r>
      </w:hyperlink>
      <w:r w:rsidR="009B638B" w:rsidRPr="003B3332">
        <w:t>, nr. 74959/ 13 și 74959/13, 16 decembrie 2021</w:t>
      </w:r>
    </w:p>
    <w:p w14:paraId="454D2D89" w14:textId="77777777" w:rsidR="006019EB" w:rsidRPr="003B3332" w:rsidRDefault="006019EB" w:rsidP="006019EB">
      <w:pPr>
        <w:pStyle w:val="ECHRTitleCentre1"/>
      </w:pPr>
      <w:r w:rsidRPr="003B3332">
        <w:t>—X—</w:t>
      </w:r>
    </w:p>
    <w:p w14:paraId="3CD8CA1F" w14:textId="400CC6C7" w:rsidR="006019EB" w:rsidRPr="003B3332" w:rsidRDefault="004713AB" w:rsidP="006019EB">
      <w:pPr>
        <w:pStyle w:val="ECHRParaHanging"/>
      </w:pPr>
      <w:hyperlink r:id="rId610" w:history="1">
        <w:r w:rsidR="009B638B" w:rsidRPr="003B3332">
          <w:rPr>
            <w:rStyle w:val="Hyperlink"/>
          </w:rPr>
          <w:t>X și alții împotriva Bulgariei</w:t>
        </w:r>
      </w:hyperlink>
      <w:r w:rsidR="009B638B" w:rsidRPr="003B3332">
        <w:t xml:space="preserve"> (MC), nr. 22457/16, 2 februarie 2021</w:t>
      </w:r>
    </w:p>
    <w:p w14:paraId="63CEC992" w14:textId="77777777" w:rsidR="006019EB" w:rsidRPr="003B3332" w:rsidRDefault="006019EB" w:rsidP="006019EB">
      <w:pPr>
        <w:pStyle w:val="ECHRTitleCentre1"/>
      </w:pPr>
      <w:r w:rsidRPr="003B3332">
        <w:t>—Y—</w:t>
      </w:r>
    </w:p>
    <w:p w14:paraId="36390E38" w14:textId="45328F31" w:rsidR="00240795" w:rsidRPr="003B3332" w:rsidRDefault="004713AB" w:rsidP="00240795">
      <w:pPr>
        <w:pStyle w:val="ECHRPara"/>
      </w:pPr>
      <w:hyperlink r:id="rId611" w:history="1">
        <w:r w:rsidR="009B638B" w:rsidRPr="003B3332">
          <w:rPr>
            <w:rStyle w:val="Hyperlink"/>
          </w:rPr>
          <w:t>Y. împotriva Slovaciei</w:t>
        </w:r>
      </w:hyperlink>
      <w:r w:rsidR="009B638B" w:rsidRPr="003B3332">
        <w:t>, nr. 41107/10, CEDO 2015 (extrase)</w:t>
      </w:r>
    </w:p>
    <w:p w14:paraId="21CC7700" w14:textId="3FAC2EE8" w:rsidR="0043110A" w:rsidRPr="003B3332" w:rsidRDefault="004713AB" w:rsidP="00240795">
      <w:pPr>
        <w:pStyle w:val="ECHRPara"/>
      </w:pPr>
      <w:hyperlink r:id="rId612" w:history="1">
        <w:r w:rsidR="009B638B" w:rsidRPr="003B3332">
          <w:rPr>
            <w:rStyle w:val="Hyperlink"/>
          </w:rPr>
          <w:t>Y.P. împotriva Rusiei</w:t>
        </w:r>
      </w:hyperlink>
      <w:r w:rsidR="009B638B" w:rsidRPr="003B3332">
        <w:t>, nr. 43399/13, 20 septembrie 2022</w:t>
      </w:r>
    </w:p>
    <w:p w14:paraId="6EA3FC1E" w14:textId="4B904788" w:rsidR="005158CF" w:rsidRPr="003B3332" w:rsidRDefault="004713AB" w:rsidP="00240795">
      <w:pPr>
        <w:pStyle w:val="ECHRPara"/>
      </w:pPr>
      <w:hyperlink r:id="rId613" w:history="1">
        <w:r w:rsidR="009B638B" w:rsidRPr="003B3332">
          <w:rPr>
            <w:i/>
            <w:color w:val="0072BC" w:themeColor="hyperlink"/>
          </w:rPr>
          <w:t>Yakovlyev împotriva Ucrainei</w:t>
        </w:r>
      </w:hyperlink>
      <w:r w:rsidR="009B638B" w:rsidRPr="003B3332">
        <w:t>, nr. 42010/18, 8 decembrie 2022</w:t>
      </w:r>
    </w:p>
    <w:p w14:paraId="45EC315D" w14:textId="791510A8" w:rsidR="00DD3B64" w:rsidRPr="003B3332" w:rsidRDefault="004713AB" w:rsidP="006019EB">
      <w:pPr>
        <w:pStyle w:val="ECHRParaHanging"/>
      </w:pPr>
      <w:hyperlink r:id="rId614" w:history="1">
        <w:r w:rsidR="009B638B" w:rsidRPr="003B3332">
          <w:rPr>
            <w:rStyle w:val="Hyperlink"/>
          </w:rPr>
          <w:t>Yankov împotriva Bulgariei</w:t>
        </w:r>
      </w:hyperlink>
      <w:r w:rsidR="009B638B" w:rsidRPr="003B3332">
        <w:t>, nr. 39084/97, CEDO 2003</w:t>
      </w:r>
      <w:r w:rsidR="009B638B" w:rsidRPr="003B3332">
        <w:noBreakHyphen/>
        <w:t>XII (extrase)</w:t>
      </w:r>
    </w:p>
    <w:p w14:paraId="5463D7FB" w14:textId="382CFE95" w:rsidR="00DE1C4B" w:rsidRPr="003B3332" w:rsidRDefault="004713AB" w:rsidP="006019EB">
      <w:pPr>
        <w:pStyle w:val="ECHRParaHanging"/>
      </w:pPr>
      <w:hyperlink r:id="rId615" w:history="1">
        <w:r w:rsidR="009B638B" w:rsidRPr="003B3332">
          <w:rPr>
            <w:rStyle w:val="Hyperlink"/>
          </w:rPr>
          <w:t>Yaroslav Belousov împotriva Rusiei</w:t>
        </w:r>
      </w:hyperlink>
      <w:r w:rsidR="009B638B" w:rsidRPr="003B3332">
        <w:t>, nr. 2653/13 și 60980/14, 4 octombrie 2016</w:t>
      </w:r>
    </w:p>
    <w:p w14:paraId="7C3EEA78" w14:textId="312F7638" w:rsidR="005158CF" w:rsidRPr="003B3332" w:rsidRDefault="004713AB" w:rsidP="00B90E07">
      <w:pPr>
        <w:pStyle w:val="ECHRPara"/>
      </w:pPr>
      <w:hyperlink r:id="rId616" w:history="1">
        <w:r w:rsidR="009B638B" w:rsidRPr="003B3332">
          <w:rPr>
            <w:rStyle w:val="Hyperlink"/>
          </w:rPr>
          <w:t>Yotova împotriva Bulgariei</w:t>
        </w:r>
      </w:hyperlink>
      <w:r w:rsidR="009B638B" w:rsidRPr="003B3332">
        <w:t>, nr. 43606/04, 23 octombrie 2012</w:t>
      </w:r>
    </w:p>
    <w:p w14:paraId="217B9A9F" w14:textId="77777777" w:rsidR="006019EB" w:rsidRPr="003B3332" w:rsidRDefault="006019EB" w:rsidP="006019EB">
      <w:pPr>
        <w:pStyle w:val="ECHRTitleCentre1"/>
      </w:pPr>
      <w:r w:rsidRPr="003B3332">
        <w:t>—Z—</w:t>
      </w:r>
    </w:p>
    <w:p w14:paraId="1F8088A9" w14:textId="04D6FEE4" w:rsidR="00634135" w:rsidRPr="003B3332" w:rsidRDefault="004713AB" w:rsidP="006019EB">
      <w:pPr>
        <w:pStyle w:val="ECHRParaHanging"/>
      </w:pPr>
      <w:hyperlink r:id="rId617" w:history="1">
        <w:r w:rsidR="009B638B" w:rsidRPr="003B3332">
          <w:rPr>
            <w:rStyle w:val="Hyperlink"/>
          </w:rPr>
          <w:t>Z împotriva Republicii Cehe</w:t>
        </w:r>
      </w:hyperlink>
      <w:r w:rsidR="009B638B" w:rsidRPr="003B3332">
        <w:t>, nr. 37782/21, 20 iunie 2024</w:t>
      </w:r>
    </w:p>
    <w:p w14:paraId="52AE76BC" w14:textId="46FD1B50" w:rsidR="007064EC" w:rsidRPr="003B3332" w:rsidRDefault="004713AB" w:rsidP="006019EB">
      <w:pPr>
        <w:pStyle w:val="ECHRParaHanging"/>
      </w:pPr>
      <w:hyperlink r:id="rId618" w:history="1">
        <w:r w:rsidR="009B638B" w:rsidRPr="003B3332">
          <w:rPr>
            <w:rStyle w:val="Hyperlink"/>
          </w:rPr>
          <w:t>Z și alții împotriva Regatului Unit</w:t>
        </w:r>
      </w:hyperlink>
      <w:r w:rsidR="009B638B" w:rsidRPr="003B3332">
        <w:t xml:space="preserve"> (MC), nr. 29392/95, CEDO 2001</w:t>
      </w:r>
      <w:r w:rsidR="009B638B" w:rsidRPr="003B3332">
        <w:noBreakHyphen/>
        <w:t>V</w:t>
      </w:r>
    </w:p>
    <w:p w14:paraId="6FA7F00E" w14:textId="770DA586" w:rsidR="00C753C9" w:rsidRPr="003B3332" w:rsidRDefault="004713AB" w:rsidP="006019EB">
      <w:pPr>
        <w:pStyle w:val="ECHRParaHanging"/>
      </w:pPr>
      <w:hyperlink r:id="rId619" w:history="1">
        <w:r w:rsidR="009B638B" w:rsidRPr="003B3332">
          <w:rPr>
            <w:rStyle w:val="Hyperlink"/>
          </w:rPr>
          <w:t>Z.A. și alții împotriva Rusiei</w:t>
        </w:r>
      </w:hyperlink>
      <w:r w:rsidR="009B638B" w:rsidRPr="003B3332">
        <w:t xml:space="preserve"> (MC), nr. 61411/15 și alte 3 cereri, 21 noiembrie 2019</w:t>
      </w:r>
    </w:p>
    <w:p w14:paraId="2581807F" w14:textId="4632CFEB" w:rsidR="00DB3C64" w:rsidRPr="003B3332" w:rsidRDefault="004713AB" w:rsidP="006019EB">
      <w:pPr>
        <w:pStyle w:val="ECHRParaHanging"/>
      </w:pPr>
      <w:hyperlink r:id="rId620" w:history="1">
        <w:r w:rsidR="009B638B" w:rsidRPr="003B3332">
          <w:rPr>
            <w:rStyle w:val="Hyperlink"/>
          </w:rPr>
          <w:t>Zontul împotriva Greciei</w:t>
        </w:r>
      </w:hyperlink>
      <w:r w:rsidR="009B638B" w:rsidRPr="003B3332">
        <w:t>, nr. 12294/07, 17 ianuarie 2012</w:t>
      </w:r>
    </w:p>
    <w:sectPr w:rsidR="00DB3C64" w:rsidRPr="003B3332" w:rsidSect="00FD318A">
      <w:headerReference w:type="even" r:id="rId621"/>
      <w:headerReference w:type="default" r:id="rId622"/>
      <w:footerReference w:type="even" r:id="rId623"/>
      <w:footerReference w:type="default" r:id="rId624"/>
      <w:headerReference w:type="first" r:id="rId625"/>
      <w:footerReference w:type="first" r:id="rId626"/>
      <w:pgSz w:w="11907" w:h="16840" w:code="9"/>
      <w:pgMar w:top="1440" w:right="1440" w:bottom="1440" w:left="144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8FFEC" w14:textId="77777777" w:rsidR="005918A9" w:rsidRPr="00923E23" w:rsidRDefault="005918A9" w:rsidP="00E255CC">
      <w:pPr>
        <w:rPr>
          <w:lang w:val="en-GB"/>
        </w:rPr>
      </w:pPr>
      <w:r w:rsidRPr="00923E23">
        <w:rPr>
          <w:lang w:val="en-GB"/>
        </w:rPr>
        <w:separator/>
      </w:r>
    </w:p>
  </w:endnote>
  <w:endnote w:type="continuationSeparator" w:id="0">
    <w:p w14:paraId="196316A5" w14:textId="77777777" w:rsidR="005918A9" w:rsidRPr="00923E23" w:rsidRDefault="005918A9" w:rsidP="00E255CC">
      <w:pPr>
        <w:rPr>
          <w:lang w:val="en-GB"/>
        </w:rPr>
      </w:pPr>
      <w:r w:rsidRPr="00923E2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C7767" w14:textId="77777777" w:rsidR="005918A9" w:rsidRPr="00923E23" w:rsidRDefault="005918A9" w:rsidP="00757E39">
    <w:pPr>
      <w:pStyle w:val="ECHRFooter"/>
    </w:pPr>
    <w:r w:rsidRPr="00923E23">
      <w:fldChar w:fldCharType="begin"/>
    </w:r>
    <w:r w:rsidRPr="00923E23">
      <w:instrText xml:space="preserve"> PAGE </w:instrText>
    </w:r>
    <w:r w:rsidRPr="00923E23">
      <w:fldChar w:fldCharType="separate"/>
    </w:r>
    <w:r>
      <w:t>1</w:t>
    </w:r>
    <w:r w:rsidRPr="00923E23">
      <w:fldChar w:fldCharType="end"/>
    </w:r>
    <w:r>
      <w:tab/>
      <w:t>© Consiliul Europei / Curtea Europeană a Drepturilor Omului, 2014</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658001"/>
      <w:docPartObj>
        <w:docPartGallery w:val="Page Numbers (Bottom of Page)"/>
        <w:docPartUnique/>
      </w:docPartObj>
    </w:sdtPr>
    <w:sdtEndPr/>
    <w:sdtContent>
      <w:p w14:paraId="419A8545" w14:textId="161B4313" w:rsidR="005918A9" w:rsidRPr="00DB3C64" w:rsidRDefault="005918A9" w:rsidP="00DB3C64">
        <w:pPr>
          <w:pStyle w:val="Footer"/>
          <w:spacing w:after="120"/>
          <w:jc w:val="center"/>
        </w:pPr>
        <w:r>
          <w:t>Curtea Europeană a Drepturilor Omului</w:t>
        </w:r>
        <w:r>
          <w:tab/>
        </w:r>
        <w:r w:rsidRPr="00D66E75">
          <w:fldChar w:fldCharType="begin"/>
        </w:r>
        <w:r w:rsidRPr="00D66E75">
          <w:instrText xml:space="preserve"> PAGE  </w:instrText>
        </w:r>
        <w:r w:rsidRPr="00D66E75">
          <w:fldChar w:fldCharType="separate"/>
        </w:r>
        <w:r w:rsidR="004713AB">
          <w:rPr>
            <w:noProof/>
          </w:rPr>
          <w:t>4</w:t>
        </w:r>
        <w:r w:rsidRPr="00D66E75">
          <w:fldChar w:fldCharType="end"/>
        </w:r>
        <w:r>
          <w:t>/</w:t>
        </w:r>
        <w:fldSimple w:instr=" NUMPAGES ">
          <w:r w:rsidR="004713AB">
            <w:rPr>
              <w:noProof/>
            </w:rPr>
            <w:t>45</w:t>
          </w:r>
        </w:fldSimple>
        <w:r>
          <w:tab/>
          <w:t xml:space="preserve">Ultima </w:t>
        </w:r>
        <w:r>
          <w:rPr>
            <w:rFonts w:ascii="Calibri" w:hAnsi="Calibri"/>
            <w:color w:val="000000"/>
            <w:sz w:val="20"/>
          </w:rPr>
          <w:t>actualizare: 31.08.2024</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6068"/>
    </w:tblGrid>
    <w:tr w:rsidR="005918A9" w14:paraId="5BA0B065" w14:textId="77777777" w:rsidTr="005918A9">
      <w:tc>
        <w:tcPr>
          <w:tcW w:w="4530" w:type="dxa"/>
        </w:tcPr>
        <w:p w14:paraId="3DF58B54" w14:textId="77777777" w:rsidR="005918A9" w:rsidRDefault="005918A9" w:rsidP="0052442B">
          <w:pPr>
            <w:pStyle w:val="Footer"/>
            <w:ind w:left="0"/>
            <w:jc w:val="center"/>
            <w:rPr>
              <w:lang w:val="en-GB"/>
            </w:rPr>
          </w:pPr>
          <w:r>
            <w:rPr>
              <w:rFonts w:eastAsiaTheme="minorHAnsi"/>
            </w:rPr>
            <w:object w:dxaOrig="1094" w:dyaOrig="1052" w14:anchorId="14A94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2.5pt">
                <v:imagedata r:id="rId1" o:title=""/>
              </v:shape>
              <o:OLEObject Type="Embed" ProgID="CorelDRAW.Graphic.11" ShapeID="_x0000_i1025" DrawAspect="Content" ObjectID="_1791719909" r:id="rId2"/>
            </w:object>
          </w:r>
        </w:p>
      </w:tc>
      <w:tc>
        <w:tcPr>
          <w:tcW w:w="6068" w:type="dxa"/>
        </w:tcPr>
        <w:p w14:paraId="0FEEEA56" w14:textId="77777777" w:rsidR="005918A9" w:rsidRDefault="005918A9" w:rsidP="0052442B">
          <w:pPr>
            <w:pStyle w:val="Footer"/>
            <w:ind w:left="0"/>
            <w:jc w:val="center"/>
            <w:rPr>
              <w:lang w:val="en-GB"/>
            </w:rPr>
          </w:pPr>
          <w:r>
            <w:rPr>
              <w:lang w:val="en-GB"/>
            </w:rPr>
            <w:t xml:space="preserve">  </w:t>
          </w:r>
          <w:r>
            <w:rPr>
              <w:noProof/>
              <w:sz w:val="4"/>
              <w:lang w:eastAsia="ro-RO"/>
            </w:rPr>
            <w:drawing>
              <wp:inline distT="0" distB="0" distL="0" distR="0" wp14:anchorId="3E9BF3A6" wp14:editId="7FDF02CA">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tc>
    </w:tr>
  </w:tbl>
  <w:p w14:paraId="3051FF45" w14:textId="548E3882" w:rsidR="005918A9" w:rsidRPr="00427D3D" w:rsidRDefault="005918A9" w:rsidP="00427D3D">
    <w:pPr>
      <w:tabs>
        <w:tab w:val="center" w:pos="4500"/>
      </w:tabs>
      <w:jc w:val="cen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F4921" w14:textId="77777777" w:rsidR="005918A9" w:rsidRPr="00923E23" w:rsidRDefault="005918A9" w:rsidP="00E255CC">
      <w:pPr>
        <w:rPr>
          <w:lang w:val="en-GB"/>
        </w:rPr>
      </w:pPr>
      <w:r w:rsidRPr="00923E23">
        <w:rPr>
          <w:lang w:val="en-GB"/>
        </w:rPr>
        <w:separator/>
      </w:r>
    </w:p>
  </w:footnote>
  <w:footnote w:type="continuationSeparator" w:id="0">
    <w:p w14:paraId="57EA70C6" w14:textId="77777777" w:rsidR="005918A9" w:rsidRPr="00923E23" w:rsidRDefault="005918A9" w:rsidP="00E255CC">
      <w:pPr>
        <w:rPr>
          <w:lang w:val="en-GB"/>
        </w:rPr>
      </w:pPr>
      <w:r w:rsidRPr="00923E23">
        <w:rPr>
          <w:lang w:val="en-GB"/>
        </w:rPr>
        <w:continuationSeparator/>
      </w:r>
    </w:p>
  </w:footnote>
  <w:footnote w:id="1">
    <w:p w14:paraId="0DBD7DA6" w14:textId="51B30A72" w:rsidR="005918A9" w:rsidRPr="00AC3788" w:rsidRDefault="005918A9">
      <w:pPr>
        <w:pStyle w:val="FootnoteText"/>
      </w:pPr>
      <w:r>
        <w:rPr>
          <w:rStyle w:val="FootnoteReference"/>
        </w:rPr>
        <w:footnoteRef/>
      </w:r>
      <w:r>
        <w:t xml:space="preserve"> Federația Rusă a încetat să mai fie stat membru al Consiliului Europei la 16 martie 2022 și a încetat să mai fie parte la Convenție la 16 septembrie 2022.  La data celei mai recente actualizări a acestui ghid, Protocolul nr. 13 a fost semnat de toate statele membre ale Consiliului Europei și ratificat de toate cu o excepție (Azerbaidjan).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0F4B0" w14:textId="77777777" w:rsidR="005918A9" w:rsidRPr="00923E23" w:rsidRDefault="005918A9" w:rsidP="00757E39">
    <w:pPr>
      <w:pStyle w:val="ECHRHeader"/>
    </w:pPr>
    <w:r>
      <w:t>Ghid privind art. 4 – Interzicerea sclaviei și a muncii forțate – ediția a 4-a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9367A" w14:textId="471219A0" w:rsidR="005918A9" w:rsidRPr="00593909" w:rsidRDefault="005918A9" w:rsidP="0010490A">
    <w:pPr>
      <w:pStyle w:val="ECHRHeader"/>
    </w:pPr>
    <w:r>
      <w:t xml:space="preserve">Ghid privind art. 3 din Convenție – Interzicerea torturii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DF36A" w14:textId="77777777" w:rsidR="005918A9" w:rsidRPr="00B46E90" w:rsidRDefault="005918A9" w:rsidP="00B46E90">
    <w:pPr>
      <w:pStyle w:val="ECHRTitleCentre1"/>
      <w:rPr>
        <w:sz w:val="4"/>
        <w:szCs w:val="4"/>
      </w:rPr>
    </w:pPr>
    <w:r>
      <w:rPr>
        <w:noProof/>
        <w:sz w:val="4"/>
        <w:lang w:eastAsia="ro-RO"/>
      </w:rPr>
      <w:drawing>
        <wp:inline distT="0" distB="0" distL="0" distR="0" wp14:anchorId="6B2851F7" wp14:editId="04DD57D6">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F200179" w14:textId="77777777" w:rsidR="005918A9" w:rsidRPr="00923E23" w:rsidRDefault="005918A9" w:rsidP="00E255CC">
    <w:pPr>
      <w:pStyle w:val="ECHRTitleCentre1"/>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E866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D26D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020D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85E6F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E690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5451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925D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4A53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08B4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5E6A40"/>
    <w:multiLevelType w:val="multilevel"/>
    <w:tmpl w:val="EAB0152A"/>
    <w:numStyleLink w:val="ECHRA1StyleList"/>
  </w:abstractNum>
  <w:abstractNum w:abstractNumId="12"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6B5801"/>
    <w:multiLevelType w:val="multilevel"/>
    <w:tmpl w:val="768675AA"/>
    <w:lvl w:ilvl="0">
      <w:start w:val="1"/>
      <w:numFmt w:val="upperRoman"/>
      <w:pStyle w:val="ECHRHeading1"/>
      <w:suff w:val="nothing"/>
      <w:lvlText w:val="%1.  "/>
      <w:lvlJc w:val="left"/>
      <w:pPr>
        <w:ind w:left="623" w:hanging="340"/>
      </w:pPr>
      <w:rPr>
        <w:rFonts w:hint="default"/>
      </w:rPr>
    </w:lvl>
    <w:lvl w:ilvl="1">
      <w:start w:val="1"/>
      <w:numFmt w:val="upperLetter"/>
      <w:pStyle w:val="ECHRHeading2"/>
      <w:suff w:val="nothing"/>
      <w:lvlText w:val="%2.  "/>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ECHRHeading3"/>
      <w:suff w:val="nothing"/>
      <w:lvlText w:val="%3.  "/>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abstractNumId w:val="14"/>
  </w:num>
  <w:num w:numId="2">
    <w:abstractNumId w:val="15"/>
  </w:num>
  <w:num w:numId="3">
    <w:abstractNumId w:val="14"/>
  </w:num>
  <w:num w:numId="4">
    <w:abstractNumId w:val="13"/>
  </w:num>
  <w:num w:numId="5">
    <w:abstractNumId w:val="12"/>
  </w:num>
  <w:num w:numId="6">
    <w:abstractNumId w:val="15"/>
  </w:num>
  <w:num w:numId="7">
    <w:abstractNumId w:val="7"/>
  </w:num>
  <w:num w:numId="8">
    <w:abstractNumId w:val="9"/>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edit="comments" w:enforcement="0"/>
  <w:defaultTabStop w:val="720"/>
  <w:hyphenationZone w:val="425"/>
  <w:drawingGridHorizontalSpacing w:val="110"/>
  <w:displayHorizontalDrawingGridEvery w:val="2"/>
  <w:displayVerticalDrawingGridEvery w:val="2"/>
  <w:characterSpacingControl w:val="doNotCompress"/>
  <w:hdrShapeDefaults>
    <o:shapedefaults v:ext="edit" spidmax="6307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90"/>
    <w:rsid w:val="0000309B"/>
    <w:rsid w:val="000042A8"/>
    <w:rsid w:val="00004308"/>
    <w:rsid w:val="00005937"/>
    <w:rsid w:val="00005B11"/>
    <w:rsid w:val="00005BF0"/>
    <w:rsid w:val="00006E12"/>
    <w:rsid w:val="00007154"/>
    <w:rsid w:val="000103AE"/>
    <w:rsid w:val="0001046C"/>
    <w:rsid w:val="00010808"/>
    <w:rsid w:val="00010BDF"/>
    <w:rsid w:val="00011D69"/>
    <w:rsid w:val="00011DEA"/>
    <w:rsid w:val="00012147"/>
    <w:rsid w:val="00012A21"/>
    <w:rsid w:val="00012AD3"/>
    <w:rsid w:val="00013087"/>
    <w:rsid w:val="000134E4"/>
    <w:rsid w:val="0001495B"/>
    <w:rsid w:val="0001537C"/>
    <w:rsid w:val="00015C2D"/>
    <w:rsid w:val="00015F00"/>
    <w:rsid w:val="000165A4"/>
    <w:rsid w:val="00017147"/>
    <w:rsid w:val="0001799B"/>
    <w:rsid w:val="0002020A"/>
    <w:rsid w:val="00021E60"/>
    <w:rsid w:val="00022036"/>
    <w:rsid w:val="00022155"/>
    <w:rsid w:val="00022C1D"/>
    <w:rsid w:val="00023444"/>
    <w:rsid w:val="0002552A"/>
    <w:rsid w:val="0002577D"/>
    <w:rsid w:val="000260C8"/>
    <w:rsid w:val="00026B32"/>
    <w:rsid w:val="00026E9A"/>
    <w:rsid w:val="0002754C"/>
    <w:rsid w:val="00027AB3"/>
    <w:rsid w:val="000314DC"/>
    <w:rsid w:val="00031659"/>
    <w:rsid w:val="00032671"/>
    <w:rsid w:val="00032EBA"/>
    <w:rsid w:val="00033235"/>
    <w:rsid w:val="0003349B"/>
    <w:rsid w:val="000337D3"/>
    <w:rsid w:val="00033E9E"/>
    <w:rsid w:val="00033FE7"/>
    <w:rsid w:val="00034987"/>
    <w:rsid w:val="000351DE"/>
    <w:rsid w:val="00035416"/>
    <w:rsid w:val="00035CFB"/>
    <w:rsid w:val="00036705"/>
    <w:rsid w:val="00037660"/>
    <w:rsid w:val="000402F8"/>
    <w:rsid w:val="000416D9"/>
    <w:rsid w:val="00041C15"/>
    <w:rsid w:val="00041F9F"/>
    <w:rsid w:val="000420FE"/>
    <w:rsid w:val="00042302"/>
    <w:rsid w:val="00042FCE"/>
    <w:rsid w:val="0004434F"/>
    <w:rsid w:val="00046DCB"/>
    <w:rsid w:val="000474B8"/>
    <w:rsid w:val="00047578"/>
    <w:rsid w:val="00047A9A"/>
    <w:rsid w:val="00051CDF"/>
    <w:rsid w:val="00055D1C"/>
    <w:rsid w:val="00056412"/>
    <w:rsid w:val="00056416"/>
    <w:rsid w:val="00056E0D"/>
    <w:rsid w:val="00057FBE"/>
    <w:rsid w:val="000602DF"/>
    <w:rsid w:val="000607B5"/>
    <w:rsid w:val="0006187D"/>
    <w:rsid w:val="00061B05"/>
    <w:rsid w:val="000632D5"/>
    <w:rsid w:val="00063536"/>
    <w:rsid w:val="000639D2"/>
    <w:rsid w:val="00063DA2"/>
    <w:rsid w:val="000644EE"/>
    <w:rsid w:val="0006482D"/>
    <w:rsid w:val="00065D71"/>
    <w:rsid w:val="00065EFC"/>
    <w:rsid w:val="00066026"/>
    <w:rsid w:val="00067438"/>
    <w:rsid w:val="0006750D"/>
    <w:rsid w:val="0007176C"/>
    <w:rsid w:val="00071A65"/>
    <w:rsid w:val="00071C82"/>
    <w:rsid w:val="00071F73"/>
    <w:rsid w:val="0007338A"/>
    <w:rsid w:val="00073C1F"/>
    <w:rsid w:val="00080085"/>
    <w:rsid w:val="000800C7"/>
    <w:rsid w:val="0008028B"/>
    <w:rsid w:val="00080520"/>
    <w:rsid w:val="00080A39"/>
    <w:rsid w:val="00080B13"/>
    <w:rsid w:val="00080F7C"/>
    <w:rsid w:val="0008201B"/>
    <w:rsid w:val="0008219B"/>
    <w:rsid w:val="00082AD4"/>
    <w:rsid w:val="00083008"/>
    <w:rsid w:val="00083227"/>
    <w:rsid w:val="000834E4"/>
    <w:rsid w:val="00083A22"/>
    <w:rsid w:val="00084527"/>
    <w:rsid w:val="00084BA7"/>
    <w:rsid w:val="00084CB5"/>
    <w:rsid w:val="000852B8"/>
    <w:rsid w:val="00085A64"/>
    <w:rsid w:val="00085B79"/>
    <w:rsid w:val="00085E8A"/>
    <w:rsid w:val="000862FF"/>
    <w:rsid w:val="00086549"/>
    <w:rsid w:val="000870B0"/>
    <w:rsid w:val="000878EE"/>
    <w:rsid w:val="00090106"/>
    <w:rsid w:val="00090661"/>
    <w:rsid w:val="000912A5"/>
    <w:rsid w:val="00091869"/>
    <w:rsid w:val="000925AD"/>
    <w:rsid w:val="00092CCF"/>
    <w:rsid w:val="00092CD4"/>
    <w:rsid w:val="00092D44"/>
    <w:rsid w:val="00093416"/>
    <w:rsid w:val="00094D91"/>
    <w:rsid w:val="00094DED"/>
    <w:rsid w:val="000953CF"/>
    <w:rsid w:val="0009573E"/>
    <w:rsid w:val="00095F3E"/>
    <w:rsid w:val="00095F95"/>
    <w:rsid w:val="00096363"/>
    <w:rsid w:val="00096F79"/>
    <w:rsid w:val="00097727"/>
    <w:rsid w:val="00097B89"/>
    <w:rsid w:val="00097EB9"/>
    <w:rsid w:val="000A0401"/>
    <w:rsid w:val="000A0A36"/>
    <w:rsid w:val="000A1502"/>
    <w:rsid w:val="000A232E"/>
    <w:rsid w:val="000A24D6"/>
    <w:rsid w:val="000A24EB"/>
    <w:rsid w:val="000A256B"/>
    <w:rsid w:val="000A25FC"/>
    <w:rsid w:val="000A2F6C"/>
    <w:rsid w:val="000A3523"/>
    <w:rsid w:val="000A38A8"/>
    <w:rsid w:val="000A4BEE"/>
    <w:rsid w:val="000A4D42"/>
    <w:rsid w:val="000A5BCC"/>
    <w:rsid w:val="000A72C8"/>
    <w:rsid w:val="000B0287"/>
    <w:rsid w:val="000B0869"/>
    <w:rsid w:val="000B08A9"/>
    <w:rsid w:val="000B1233"/>
    <w:rsid w:val="000B1899"/>
    <w:rsid w:val="000B1EC4"/>
    <w:rsid w:val="000B2138"/>
    <w:rsid w:val="000B56E1"/>
    <w:rsid w:val="000B5B4C"/>
    <w:rsid w:val="000B65D2"/>
    <w:rsid w:val="000B6923"/>
    <w:rsid w:val="000B6B20"/>
    <w:rsid w:val="000B6E48"/>
    <w:rsid w:val="000C14C7"/>
    <w:rsid w:val="000C2934"/>
    <w:rsid w:val="000C4682"/>
    <w:rsid w:val="000C55ED"/>
    <w:rsid w:val="000C5D8B"/>
    <w:rsid w:val="000C5F3C"/>
    <w:rsid w:val="000C6DCC"/>
    <w:rsid w:val="000C7866"/>
    <w:rsid w:val="000C79A0"/>
    <w:rsid w:val="000C7AE7"/>
    <w:rsid w:val="000D07DA"/>
    <w:rsid w:val="000D0CB5"/>
    <w:rsid w:val="000D0F04"/>
    <w:rsid w:val="000D153E"/>
    <w:rsid w:val="000D164A"/>
    <w:rsid w:val="000D1AFE"/>
    <w:rsid w:val="000D1DA6"/>
    <w:rsid w:val="000D2161"/>
    <w:rsid w:val="000D269D"/>
    <w:rsid w:val="000D2877"/>
    <w:rsid w:val="000D3479"/>
    <w:rsid w:val="000D3889"/>
    <w:rsid w:val="000D39CF"/>
    <w:rsid w:val="000D47AA"/>
    <w:rsid w:val="000D4AA5"/>
    <w:rsid w:val="000D721F"/>
    <w:rsid w:val="000D747C"/>
    <w:rsid w:val="000D7979"/>
    <w:rsid w:val="000D7E3A"/>
    <w:rsid w:val="000E069B"/>
    <w:rsid w:val="000E0B15"/>
    <w:rsid w:val="000E0E82"/>
    <w:rsid w:val="000E1218"/>
    <w:rsid w:val="000E16B9"/>
    <w:rsid w:val="000E1DC5"/>
    <w:rsid w:val="000E1EC8"/>
    <w:rsid w:val="000E223F"/>
    <w:rsid w:val="000E403E"/>
    <w:rsid w:val="000E44F2"/>
    <w:rsid w:val="000E4A30"/>
    <w:rsid w:val="000E552B"/>
    <w:rsid w:val="000E62F4"/>
    <w:rsid w:val="000E664B"/>
    <w:rsid w:val="000E6FE1"/>
    <w:rsid w:val="000E7D45"/>
    <w:rsid w:val="000F15E2"/>
    <w:rsid w:val="000F34A8"/>
    <w:rsid w:val="000F3AB0"/>
    <w:rsid w:val="000F3E63"/>
    <w:rsid w:val="000F4BE6"/>
    <w:rsid w:val="000F57FE"/>
    <w:rsid w:val="000F5F1D"/>
    <w:rsid w:val="000F7851"/>
    <w:rsid w:val="000F7913"/>
    <w:rsid w:val="001005C3"/>
    <w:rsid w:val="0010100E"/>
    <w:rsid w:val="0010191C"/>
    <w:rsid w:val="00101AB3"/>
    <w:rsid w:val="001022B7"/>
    <w:rsid w:val="001026ED"/>
    <w:rsid w:val="001037A2"/>
    <w:rsid w:val="00103C7A"/>
    <w:rsid w:val="00103E59"/>
    <w:rsid w:val="0010471A"/>
    <w:rsid w:val="0010490A"/>
    <w:rsid w:val="00104B8A"/>
    <w:rsid w:val="00104E23"/>
    <w:rsid w:val="001057E7"/>
    <w:rsid w:val="00105C43"/>
    <w:rsid w:val="00106A33"/>
    <w:rsid w:val="001106EF"/>
    <w:rsid w:val="00110FD6"/>
    <w:rsid w:val="0011140E"/>
    <w:rsid w:val="00111B0C"/>
    <w:rsid w:val="00112110"/>
    <w:rsid w:val="0011267A"/>
    <w:rsid w:val="001127DD"/>
    <w:rsid w:val="00113723"/>
    <w:rsid w:val="00114221"/>
    <w:rsid w:val="00114C01"/>
    <w:rsid w:val="00114E81"/>
    <w:rsid w:val="0011522E"/>
    <w:rsid w:val="00115A82"/>
    <w:rsid w:val="00120644"/>
    <w:rsid w:val="00120A08"/>
    <w:rsid w:val="00120D6C"/>
    <w:rsid w:val="00121177"/>
    <w:rsid w:val="00122086"/>
    <w:rsid w:val="001227ED"/>
    <w:rsid w:val="0012292F"/>
    <w:rsid w:val="00122C7F"/>
    <w:rsid w:val="00123FB2"/>
    <w:rsid w:val="00124593"/>
    <w:rsid w:val="001257EC"/>
    <w:rsid w:val="001268AF"/>
    <w:rsid w:val="00127D6B"/>
    <w:rsid w:val="001308C2"/>
    <w:rsid w:val="00133D33"/>
    <w:rsid w:val="00133FB9"/>
    <w:rsid w:val="00134412"/>
    <w:rsid w:val="00134B0C"/>
    <w:rsid w:val="00134D64"/>
    <w:rsid w:val="0013529F"/>
    <w:rsid w:val="00135A30"/>
    <w:rsid w:val="0013612C"/>
    <w:rsid w:val="00136E0A"/>
    <w:rsid w:val="00137EF7"/>
    <w:rsid w:val="00137FF6"/>
    <w:rsid w:val="00141650"/>
    <w:rsid w:val="001417E2"/>
    <w:rsid w:val="00141B27"/>
    <w:rsid w:val="00141CD6"/>
    <w:rsid w:val="0014204F"/>
    <w:rsid w:val="001421D5"/>
    <w:rsid w:val="00142A8D"/>
    <w:rsid w:val="00142D82"/>
    <w:rsid w:val="00142E52"/>
    <w:rsid w:val="0014327D"/>
    <w:rsid w:val="00144948"/>
    <w:rsid w:val="00145169"/>
    <w:rsid w:val="0014541F"/>
    <w:rsid w:val="0014619D"/>
    <w:rsid w:val="001473DF"/>
    <w:rsid w:val="0015048E"/>
    <w:rsid w:val="00151631"/>
    <w:rsid w:val="001526FE"/>
    <w:rsid w:val="00152F72"/>
    <w:rsid w:val="00152FCF"/>
    <w:rsid w:val="001536F2"/>
    <w:rsid w:val="00154356"/>
    <w:rsid w:val="00155814"/>
    <w:rsid w:val="001562FB"/>
    <w:rsid w:val="001568C1"/>
    <w:rsid w:val="00157184"/>
    <w:rsid w:val="00157427"/>
    <w:rsid w:val="00157CFE"/>
    <w:rsid w:val="00157D70"/>
    <w:rsid w:val="00160234"/>
    <w:rsid w:val="00160F28"/>
    <w:rsid w:val="001615DE"/>
    <w:rsid w:val="0016202D"/>
    <w:rsid w:val="00162A12"/>
    <w:rsid w:val="0016405E"/>
    <w:rsid w:val="00165C23"/>
    <w:rsid w:val="001662AE"/>
    <w:rsid w:val="00166530"/>
    <w:rsid w:val="00166647"/>
    <w:rsid w:val="00166802"/>
    <w:rsid w:val="00166C02"/>
    <w:rsid w:val="00167122"/>
    <w:rsid w:val="00170589"/>
    <w:rsid w:val="00170619"/>
    <w:rsid w:val="00172308"/>
    <w:rsid w:val="00173665"/>
    <w:rsid w:val="00173F7F"/>
    <w:rsid w:val="00174A4D"/>
    <w:rsid w:val="00174B22"/>
    <w:rsid w:val="00175216"/>
    <w:rsid w:val="00175F04"/>
    <w:rsid w:val="0017618D"/>
    <w:rsid w:val="0017736A"/>
    <w:rsid w:val="001820D0"/>
    <w:rsid w:val="001823B7"/>
    <w:rsid w:val="001827E4"/>
    <w:rsid w:val="001832BD"/>
    <w:rsid w:val="00183A97"/>
    <w:rsid w:val="00184B1D"/>
    <w:rsid w:val="00184CD4"/>
    <w:rsid w:val="00185849"/>
    <w:rsid w:val="001870CF"/>
    <w:rsid w:val="00187D63"/>
    <w:rsid w:val="001901DF"/>
    <w:rsid w:val="00190B01"/>
    <w:rsid w:val="00190B6D"/>
    <w:rsid w:val="00190F08"/>
    <w:rsid w:val="00191104"/>
    <w:rsid w:val="001915AE"/>
    <w:rsid w:val="0019183D"/>
    <w:rsid w:val="001920C3"/>
    <w:rsid w:val="0019259C"/>
    <w:rsid w:val="001943B5"/>
    <w:rsid w:val="00194E70"/>
    <w:rsid w:val="00195134"/>
    <w:rsid w:val="00195A98"/>
    <w:rsid w:val="00195D1E"/>
    <w:rsid w:val="0019731E"/>
    <w:rsid w:val="0019742E"/>
    <w:rsid w:val="00197500"/>
    <w:rsid w:val="00197767"/>
    <w:rsid w:val="00197D7F"/>
    <w:rsid w:val="00197DB3"/>
    <w:rsid w:val="001A024B"/>
    <w:rsid w:val="001A10B2"/>
    <w:rsid w:val="001A13EA"/>
    <w:rsid w:val="001A145B"/>
    <w:rsid w:val="001A247E"/>
    <w:rsid w:val="001A3CF3"/>
    <w:rsid w:val="001A3D54"/>
    <w:rsid w:val="001A4B14"/>
    <w:rsid w:val="001A56AB"/>
    <w:rsid w:val="001A5E4F"/>
    <w:rsid w:val="001A629A"/>
    <w:rsid w:val="001A674C"/>
    <w:rsid w:val="001A690F"/>
    <w:rsid w:val="001A6BBA"/>
    <w:rsid w:val="001A6C5D"/>
    <w:rsid w:val="001A7963"/>
    <w:rsid w:val="001B1860"/>
    <w:rsid w:val="001B1B12"/>
    <w:rsid w:val="001B27D4"/>
    <w:rsid w:val="001B2CE7"/>
    <w:rsid w:val="001B3B24"/>
    <w:rsid w:val="001B41CA"/>
    <w:rsid w:val="001B4403"/>
    <w:rsid w:val="001B4933"/>
    <w:rsid w:val="001B4F21"/>
    <w:rsid w:val="001B60E7"/>
    <w:rsid w:val="001B7BEE"/>
    <w:rsid w:val="001C0F98"/>
    <w:rsid w:val="001C1124"/>
    <w:rsid w:val="001C1518"/>
    <w:rsid w:val="001C16C1"/>
    <w:rsid w:val="001C18F6"/>
    <w:rsid w:val="001C2959"/>
    <w:rsid w:val="001C2A42"/>
    <w:rsid w:val="001C2BAA"/>
    <w:rsid w:val="001C2FFC"/>
    <w:rsid w:val="001C4364"/>
    <w:rsid w:val="001C5449"/>
    <w:rsid w:val="001C5571"/>
    <w:rsid w:val="001C614B"/>
    <w:rsid w:val="001C63F5"/>
    <w:rsid w:val="001C6446"/>
    <w:rsid w:val="001C67E0"/>
    <w:rsid w:val="001C6D0B"/>
    <w:rsid w:val="001C7E74"/>
    <w:rsid w:val="001D0D00"/>
    <w:rsid w:val="001D0FA7"/>
    <w:rsid w:val="001D1A54"/>
    <w:rsid w:val="001D1A98"/>
    <w:rsid w:val="001D2016"/>
    <w:rsid w:val="001D2687"/>
    <w:rsid w:val="001D37C3"/>
    <w:rsid w:val="001D4A90"/>
    <w:rsid w:val="001D5219"/>
    <w:rsid w:val="001D5402"/>
    <w:rsid w:val="001D563A"/>
    <w:rsid w:val="001D5BAB"/>
    <w:rsid w:val="001D63C6"/>
    <w:rsid w:val="001D63ED"/>
    <w:rsid w:val="001D7348"/>
    <w:rsid w:val="001E035B"/>
    <w:rsid w:val="001E0961"/>
    <w:rsid w:val="001E098D"/>
    <w:rsid w:val="001E218B"/>
    <w:rsid w:val="001E2A65"/>
    <w:rsid w:val="001E357F"/>
    <w:rsid w:val="001E3A9A"/>
    <w:rsid w:val="001E3EAE"/>
    <w:rsid w:val="001E490D"/>
    <w:rsid w:val="001E5104"/>
    <w:rsid w:val="001E594E"/>
    <w:rsid w:val="001E598F"/>
    <w:rsid w:val="001E5D2E"/>
    <w:rsid w:val="001E6F32"/>
    <w:rsid w:val="001E7B39"/>
    <w:rsid w:val="001E7E9A"/>
    <w:rsid w:val="001F079C"/>
    <w:rsid w:val="001F07D8"/>
    <w:rsid w:val="001F0B18"/>
    <w:rsid w:val="001F16B4"/>
    <w:rsid w:val="001F1D00"/>
    <w:rsid w:val="001F2145"/>
    <w:rsid w:val="001F2349"/>
    <w:rsid w:val="001F2EF3"/>
    <w:rsid w:val="001F3B24"/>
    <w:rsid w:val="001F3C9A"/>
    <w:rsid w:val="001F493D"/>
    <w:rsid w:val="001F49B6"/>
    <w:rsid w:val="001F5682"/>
    <w:rsid w:val="001F6262"/>
    <w:rsid w:val="001F67B0"/>
    <w:rsid w:val="001F7B3D"/>
    <w:rsid w:val="00200A85"/>
    <w:rsid w:val="00201BBC"/>
    <w:rsid w:val="00202599"/>
    <w:rsid w:val="002028CB"/>
    <w:rsid w:val="00202BCA"/>
    <w:rsid w:val="002035A1"/>
    <w:rsid w:val="0020528C"/>
    <w:rsid w:val="00205345"/>
    <w:rsid w:val="00205404"/>
    <w:rsid w:val="0020567F"/>
    <w:rsid w:val="00205F9F"/>
    <w:rsid w:val="00210338"/>
    <w:rsid w:val="002115FC"/>
    <w:rsid w:val="00211EAC"/>
    <w:rsid w:val="0021256E"/>
    <w:rsid w:val="00213907"/>
    <w:rsid w:val="00214495"/>
    <w:rsid w:val="002145C8"/>
    <w:rsid w:val="002156F9"/>
    <w:rsid w:val="00215F41"/>
    <w:rsid w:val="00216B8B"/>
    <w:rsid w:val="00220366"/>
    <w:rsid w:val="00220DB7"/>
    <w:rsid w:val="00221F1C"/>
    <w:rsid w:val="00221FF1"/>
    <w:rsid w:val="002228D1"/>
    <w:rsid w:val="00222A24"/>
    <w:rsid w:val="002231A3"/>
    <w:rsid w:val="002259BE"/>
    <w:rsid w:val="00226037"/>
    <w:rsid w:val="002267CA"/>
    <w:rsid w:val="00230D00"/>
    <w:rsid w:val="002316A7"/>
    <w:rsid w:val="00231C70"/>
    <w:rsid w:val="00231DF7"/>
    <w:rsid w:val="00231FD1"/>
    <w:rsid w:val="0023210B"/>
    <w:rsid w:val="00232447"/>
    <w:rsid w:val="00232A5E"/>
    <w:rsid w:val="00233BC6"/>
    <w:rsid w:val="00233CF8"/>
    <w:rsid w:val="00234A76"/>
    <w:rsid w:val="002350B2"/>
    <w:rsid w:val="002356FC"/>
    <w:rsid w:val="0023575D"/>
    <w:rsid w:val="002364E2"/>
    <w:rsid w:val="00237148"/>
    <w:rsid w:val="002401E1"/>
    <w:rsid w:val="0024053E"/>
    <w:rsid w:val="00240795"/>
    <w:rsid w:val="0024222D"/>
    <w:rsid w:val="00242778"/>
    <w:rsid w:val="002431E3"/>
    <w:rsid w:val="0024368C"/>
    <w:rsid w:val="00243AE9"/>
    <w:rsid w:val="002447C4"/>
    <w:rsid w:val="00244B0E"/>
    <w:rsid w:val="00244F6C"/>
    <w:rsid w:val="002450EA"/>
    <w:rsid w:val="00245514"/>
    <w:rsid w:val="00245DEF"/>
    <w:rsid w:val="00246281"/>
    <w:rsid w:val="0024694E"/>
    <w:rsid w:val="00246E39"/>
    <w:rsid w:val="002475A0"/>
    <w:rsid w:val="00247756"/>
    <w:rsid w:val="00250C92"/>
    <w:rsid w:val="00250D74"/>
    <w:rsid w:val="002514AC"/>
    <w:rsid w:val="00251E73"/>
    <w:rsid w:val="00251EB2"/>
    <w:rsid w:val="002524AE"/>
    <w:rsid w:val="00252AF2"/>
    <w:rsid w:val="002532C5"/>
    <w:rsid w:val="00253917"/>
    <w:rsid w:val="0025408C"/>
    <w:rsid w:val="00254224"/>
    <w:rsid w:val="00254C3A"/>
    <w:rsid w:val="002556D9"/>
    <w:rsid w:val="00255829"/>
    <w:rsid w:val="00255FB6"/>
    <w:rsid w:val="00260C03"/>
    <w:rsid w:val="00262B23"/>
    <w:rsid w:val="00264B50"/>
    <w:rsid w:val="0026540E"/>
    <w:rsid w:val="00265A9F"/>
    <w:rsid w:val="00265E5A"/>
    <w:rsid w:val="002662E5"/>
    <w:rsid w:val="00266421"/>
    <w:rsid w:val="00267789"/>
    <w:rsid w:val="00267D28"/>
    <w:rsid w:val="00270404"/>
    <w:rsid w:val="00270B0B"/>
    <w:rsid w:val="00271278"/>
    <w:rsid w:val="002712FF"/>
    <w:rsid w:val="00271915"/>
    <w:rsid w:val="00271EC7"/>
    <w:rsid w:val="00271FEE"/>
    <w:rsid w:val="00272106"/>
    <w:rsid w:val="00273C44"/>
    <w:rsid w:val="00274156"/>
    <w:rsid w:val="00275123"/>
    <w:rsid w:val="00276474"/>
    <w:rsid w:val="00280EDE"/>
    <w:rsid w:val="00282240"/>
    <w:rsid w:val="002825F1"/>
    <w:rsid w:val="00283669"/>
    <w:rsid w:val="0028378B"/>
    <w:rsid w:val="00283FC8"/>
    <w:rsid w:val="002845AE"/>
    <w:rsid w:val="00284813"/>
    <w:rsid w:val="0028540D"/>
    <w:rsid w:val="002854ED"/>
    <w:rsid w:val="00286503"/>
    <w:rsid w:val="00286954"/>
    <w:rsid w:val="00287599"/>
    <w:rsid w:val="002932FB"/>
    <w:rsid w:val="0029394F"/>
    <w:rsid w:val="002948AD"/>
    <w:rsid w:val="0029509E"/>
    <w:rsid w:val="00296622"/>
    <w:rsid w:val="00296F60"/>
    <w:rsid w:val="002970CD"/>
    <w:rsid w:val="002A01CC"/>
    <w:rsid w:val="002A041B"/>
    <w:rsid w:val="002A0775"/>
    <w:rsid w:val="002A0A73"/>
    <w:rsid w:val="002A0D75"/>
    <w:rsid w:val="002A1EF8"/>
    <w:rsid w:val="002A303D"/>
    <w:rsid w:val="002A32B0"/>
    <w:rsid w:val="002A394A"/>
    <w:rsid w:val="002A3C01"/>
    <w:rsid w:val="002A53F1"/>
    <w:rsid w:val="002A5ABF"/>
    <w:rsid w:val="002A5E05"/>
    <w:rsid w:val="002A61B1"/>
    <w:rsid w:val="002A663C"/>
    <w:rsid w:val="002A7071"/>
    <w:rsid w:val="002A75E2"/>
    <w:rsid w:val="002A780B"/>
    <w:rsid w:val="002B12A3"/>
    <w:rsid w:val="002B1847"/>
    <w:rsid w:val="002B2B5C"/>
    <w:rsid w:val="002B3176"/>
    <w:rsid w:val="002B4227"/>
    <w:rsid w:val="002B444B"/>
    <w:rsid w:val="002B5521"/>
    <w:rsid w:val="002B5605"/>
    <w:rsid w:val="002B5887"/>
    <w:rsid w:val="002B5C4A"/>
    <w:rsid w:val="002B6014"/>
    <w:rsid w:val="002B7ED5"/>
    <w:rsid w:val="002C01F6"/>
    <w:rsid w:val="002C0682"/>
    <w:rsid w:val="002C0A70"/>
    <w:rsid w:val="002C0D15"/>
    <w:rsid w:val="002C0E27"/>
    <w:rsid w:val="002C20EC"/>
    <w:rsid w:val="002C2A2A"/>
    <w:rsid w:val="002C3015"/>
    <w:rsid w:val="002C3040"/>
    <w:rsid w:val="002C38B8"/>
    <w:rsid w:val="002C39F8"/>
    <w:rsid w:val="002C3C4D"/>
    <w:rsid w:val="002C4140"/>
    <w:rsid w:val="002C463B"/>
    <w:rsid w:val="002C4854"/>
    <w:rsid w:val="002C4950"/>
    <w:rsid w:val="002C4E12"/>
    <w:rsid w:val="002C4FD2"/>
    <w:rsid w:val="002C6080"/>
    <w:rsid w:val="002C74B7"/>
    <w:rsid w:val="002D022D"/>
    <w:rsid w:val="002D0A92"/>
    <w:rsid w:val="002D0DD8"/>
    <w:rsid w:val="002D1447"/>
    <w:rsid w:val="002D33E5"/>
    <w:rsid w:val="002D3A7A"/>
    <w:rsid w:val="002D3F2A"/>
    <w:rsid w:val="002D4239"/>
    <w:rsid w:val="002D4951"/>
    <w:rsid w:val="002D5154"/>
    <w:rsid w:val="002D54FF"/>
    <w:rsid w:val="002D5C4A"/>
    <w:rsid w:val="002D6980"/>
    <w:rsid w:val="002D70FD"/>
    <w:rsid w:val="002D71FA"/>
    <w:rsid w:val="002D7E59"/>
    <w:rsid w:val="002D7E98"/>
    <w:rsid w:val="002E0046"/>
    <w:rsid w:val="002E0062"/>
    <w:rsid w:val="002E16D1"/>
    <w:rsid w:val="002E1D4E"/>
    <w:rsid w:val="002E2761"/>
    <w:rsid w:val="002E29A6"/>
    <w:rsid w:val="002E319C"/>
    <w:rsid w:val="002E331D"/>
    <w:rsid w:val="002E3F6B"/>
    <w:rsid w:val="002E5C5C"/>
    <w:rsid w:val="002E5D8E"/>
    <w:rsid w:val="002E741C"/>
    <w:rsid w:val="002E7852"/>
    <w:rsid w:val="002F0A5E"/>
    <w:rsid w:val="002F0A61"/>
    <w:rsid w:val="002F0B1D"/>
    <w:rsid w:val="002F18FD"/>
    <w:rsid w:val="002F1D00"/>
    <w:rsid w:val="002F2AF7"/>
    <w:rsid w:val="002F2BB3"/>
    <w:rsid w:val="002F2D99"/>
    <w:rsid w:val="002F336E"/>
    <w:rsid w:val="002F47C1"/>
    <w:rsid w:val="002F4D48"/>
    <w:rsid w:val="002F4D7C"/>
    <w:rsid w:val="002F666B"/>
    <w:rsid w:val="002F683C"/>
    <w:rsid w:val="002F7287"/>
    <w:rsid w:val="002F7747"/>
    <w:rsid w:val="002F7E1C"/>
    <w:rsid w:val="003005AC"/>
    <w:rsid w:val="00301987"/>
    <w:rsid w:val="00301A75"/>
    <w:rsid w:val="00302F32"/>
    <w:rsid w:val="00302F70"/>
    <w:rsid w:val="00303233"/>
    <w:rsid w:val="0030336F"/>
    <w:rsid w:val="00303452"/>
    <w:rsid w:val="0030375E"/>
    <w:rsid w:val="00304003"/>
    <w:rsid w:val="00304ABA"/>
    <w:rsid w:val="00304AE3"/>
    <w:rsid w:val="00304C18"/>
    <w:rsid w:val="00304F76"/>
    <w:rsid w:val="00305646"/>
    <w:rsid w:val="0030762D"/>
    <w:rsid w:val="003107F3"/>
    <w:rsid w:val="003110EF"/>
    <w:rsid w:val="00311CB8"/>
    <w:rsid w:val="00311F3B"/>
    <w:rsid w:val="003124F4"/>
    <w:rsid w:val="00312883"/>
    <w:rsid w:val="00312A30"/>
    <w:rsid w:val="00312B28"/>
    <w:rsid w:val="00313F2E"/>
    <w:rsid w:val="00314D59"/>
    <w:rsid w:val="00317B99"/>
    <w:rsid w:val="00317EF7"/>
    <w:rsid w:val="003205EC"/>
    <w:rsid w:val="00320B42"/>
    <w:rsid w:val="00320F72"/>
    <w:rsid w:val="0032111C"/>
    <w:rsid w:val="00321A60"/>
    <w:rsid w:val="00322848"/>
    <w:rsid w:val="0032376F"/>
    <w:rsid w:val="0032463E"/>
    <w:rsid w:val="00324DED"/>
    <w:rsid w:val="00324EC9"/>
    <w:rsid w:val="00325578"/>
    <w:rsid w:val="00326224"/>
    <w:rsid w:val="0033026C"/>
    <w:rsid w:val="003304EF"/>
    <w:rsid w:val="003307F5"/>
    <w:rsid w:val="00330AB3"/>
    <w:rsid w:val="0033330F"/>
    <w:rsid w:val="0033382B"/>
    <w:rsid w:val="0033481A"/>
    <w:rsid w:val="0033584A"/>
    <w:rsid w:val="003364FD"/>
    <w:rsid w:val="00336B19"/>
    <w:rsid w:val="003373F1"/>
    <w:rsid w:val="003378DF"/>
    <w:rsid w:val="00337A0E"/>
    <w:rsid w:val="00337EE4"/>
    <w:rsid w:val="00340E89"/>
    <w:rsid w:val="00340FFD"/>
    <w:rsid w:val="00343210"/>
    <w:rsid w:val="0034324C"/>
    <w:rsid w:val="00343755"/>
    <w:rsid w:val="00343A40"/>
    <w:rsid w:val="00343AA4"/>
    <w:rsid w:val="00344156"/>
    <w:rsid w:val="00344442"/>
    <w:rsid w:val="0034456B"/>
    <w:rsid w:val="00344699"/>
    <w:rsid w:val="00344A62"/>
    <w:rsid w:val="00344BA1"/>
    <w:rsid w:val="0034551D"/>
    <w:rsid w:val="00345D74"/>
    <w:rsid w:val="00346563"/>
    <w:rsid w:val="003472B3"/>
    <w:rsid w:val="00347E46"/>
    <w:rsid w:val="003506B1"/>
    <w:rsid w:val="00350B3F"/>
    <w:rsid w:val="0035273B"/>
    <w:rsid w:val="00353716"/>
    <w:rsid w:val="003541A5"/>
    <w:rsid w:val="00356AC7"/>
    <w:rsid w:val="00356C36"/>
    <w:rsid w:val="00357028"/>
    <w:rsid w:val="003571C3"/>
    <w:rsid w:val="003578E4"/>
    <w:rsid w:val="00357B1E"/>
    <w:rsid w:val="00360008"/>
    <w:rsid w:val="003609FA"/>
    <w:rsid w:val="003614A0"/>
    <w:rsid w:val="00361752"/>
    <w:rsid w:val="00362667"/>
    <w:rsid w:val="00363456"/>
    <w:rsid w:val="00367C3E"/>
    <w:rsid w:val="003700CF"/>
    <w:rsid w:val="003702F8"/>
    <w:rsid w:val="00370507"/>
    <w:rsid w:val="0037072D"/>
    <w:rsid w:val="003710C8"/>
    <w:rsid w:val="00371173"/>
    <w:rsid w:val="00372D95"/>
    <w:rsid w:val="003736C7"/>
    <w:rsid w:val="00374054"/>
    <w:rsid w:val="00374672"/>
    <w:rsid w:val="00374E2A"/>
    <w:rsid w:val="003750BE"/>
    <w:rsid w:val="00375449"/>
    <w:rsid w:val="003772D7"/>
    <w:rsid w:val="00382233"/>
    <w:rsid w:val="0038342A"/>
    <w:rsid w:val="00384241"/>
    <w:rsid w:val="00386652"/>
    <w:rsid w:val="003868E3"/>
    <w:rsid w:val="00386E1E"/>
    <w:rsid w:val="00387B9D"/>
    <w:rsid w:val="00390C06"/>
    <w:rsid w:val="003912C1"/>
    <w:rsid w:val="00391C7E"/>
    <w:rsid w:val="00391F09"/>
    <w:rsid w:val="003924A5"/>
    <w:rsid w:val="0039364F"/>
    <w:rsid w:val="003936C6"/>
    <w:rsid w:val="003944CD"/>
    <w:rsid w:val="00394A43"/>
    <w:rsid w:val="00395D14"/>
    <w:rsid w:val="00395D9D"/>
    <w:rsid w:val="003961BD"/>
    <w:rsid w:val="00396686"/>
    <w:rsid w:val="00396762"/>
    <w:rsid w:val="00396BE9"/>
    <w:rsid w:val="0039778E"/>
    <w:rsid w:val="003A0BAD"/>
    <w:rsid w:val="003A0BD4"/>
    <w:rsid w:val="003A16D4"/>
    <w:rsid w:val="003A1ED6"/>
    <w:rsid w:val="003A1F43"/>
    <w:rsid w:val="003A305E"/>
    <w:rsid w:val="003A321B"/>
    <w:rsid w:val="003A3EBE"/>
    <w:rsid w:val="003A4B7B"/>
    <w:rsid w:val="003A5394"/>
    <w:rsid w:val="003A7685"/>
    <w:rsid w:val="003A76CA"/>
    <w:rsid w:val="003B0360"/>
    <w:rsid w:val="003B0883"/>
    <w:rsid w:val="003B2DDD"/>
    <w:rsid w:val="003B3332"/>
    <w:rsid w:val="003B4689"/>
    <w:rsid w:val="003B4941"/>
    <w:rsid w:val="003B5996"/>
    <w:rsid w:val="003B77DC"/>
    <w:rsid w:val="003B797D"/>
    <w:rsid w:val="003B7B76"/>
    <w:rsid w:val="003C1D96"/>
    <w:rsid w:val="003C27BC"/>
    <w:rsid w:val="003C2EE8"/>
    <w:rsid w:val="003C3CA6"/>
    <w:rsid w:val="003C4EB1"/>
    <w:rsid w:val="003C5076"/>
    <w:rsid w:val="003C5347"/>
    <w:rsid w:val="003C5714"/>
    <w:rsid w:val="003C5BCE"/>
    <w:rsid w:val="003C6B9F"/>
    <w:rsid w:val="003C6CED"/>
    <w:rsid w:val="003C6E2A"/>
    <w:rsid w:val="003C6FCD"/>
    <w:rsid w:val="003C7D1D"/>
    <w:rsid w:val="003C7DE1"/>
    <w:rsid w:val="003C7F84"/>
    <w:rsid w:val="003D0299"/>
    <w:rsid w:val="003D03A5"/>
    <w:rsid w:val="003D1C48"/>
    <w:rsid w:val="003D24FE"/>
    <w:rsid w:val="003D3419"/>
    <w:rsid w:val="003D412C"/>
    <w:rsid w:val="003D43F4"/>
    <w:rsid w:val="003D48E1"/>
    <w:rsid w:val="003D64EF"/>
    <w:rsid w:val="003D687F"/>
    <w:rsid w:val="003D7034"/>
    <w:rsid w:val="003D74DF"/>
    <w:rsid w:val="003D759C"/>
    <w:rsid w:val="003D7ADC"/>
    <w:rsid w:val="003E041F"/>
    <w:rsid w:val="003E0CA3"/>
    <w:rsid w:val="003E1311"/>
    <w:rsid w:val="003E30E2"/>
    <w:rsid w:val="003E34AD"/>
    <w:rsid w:val="003E57B0"/>
    <w:rsid w:val="003F0355"/>
    <w:rsid w:val="003F05FA"/>
    <w:rsid w:val="003F09F2"/>
    <w:rsid w:val="003F0E47"/>
    <w:rsid w:val="003F17DD"/>
    <w:rsid w:val="003F1DB2"/>
    <w:rsid w:val="003F1E82"/>
    <w:rsid w:val="003F1FD6"/>
    <w:rsid w:val="003F23AD"/>
    <w:rsid w:val="003F2400"/>
    <w:rsid w:val="003F244A"/>
    <w:rsid w:val="003F2E03"/>
    <w:rsid w:val="003F30B8"/>
    <w:rsid w:val="003F3245"/>
    <w:rsid w:val="003F4940"/>
    <w:rsid w:val="003F4C45"/>
    <w:rsid w:val="003F4C53"/>
    <w:rsid w:val="003F5F7B"/>
    <w:rsid w:val="003F6BF8"/>
    <w:rsid w:val="003F7B0C"/>
    <w:rsid w:val="003F7D64"/>
    <w:rsid w:val="00400074"/>
    <w:rsid w:val="00400176"/>
    <w:rsid w:val="0040076C"/>
    <w:rsid w:val="0040090B"/>
    <w:rsid w:val="00401249"/>
    <w:rsid w:val="00402556"/>
    <w:rsid w:val="0040305F"/>
    <w:rsid w:val="004041FC"/>
    <w:rsid w:val="004045D8"/>
    <w:rsid w:val="00404798"/>
    <w:rsid w:val="00404DD7"/>
    <w:rsid w:val="0040531F"/>
    <w:rsid w:val="004063BC"/>
    <w:rsid w:val="0040777B"/>
    <w:rsid w:val="00407AC6"/>
    <w:rsid w:val="0041188C"/>
    <w:rsid w:val="00412A18"/>
    <w:rsid w:val="00412B2C"/>
    <w:rsid w:val="004132A6"/>
    <w:rsid w:val="00413874"/>
    <w:rsid w:val="00413E30"/>
    <w:rsid w:val="004140B5"/>
    <w:rsid w:val="00414300"/>
    <w:rsid w:val="004148BC"/>
    <w:rsid w:val="00415365"/>
    <w:rsid w:val="00420BC7"/>
    <w:rsid w:val="00420DA7"/>
    <w:rsid w:val="004210DC"/>
    <w:rsid w:val="0042135B"/>
    <w:rsid w:val="00421826"/>
    <w:rsid w:val="00422571"/>
    <w:rsid w:val="00422A3A"/>
    <w:rsid w:val="00423DD8"/>
    <w:rsid w:val="00424420"/>
    <w:rsid w:val="00424659"/>
    <w:rsid w:val="00425C67"/>
    <w:rsid w:val="0042646E"/>
    <w:rsid w:val="00426F1B"/>
    <w:rsid w:val="0042747E"/>
    <w:rsid w:val="0042764A"/>
    <w:rsid w:val="00427D3D"/>
    <w:rsid w:val="00427E7A"/>
    <w:rsid w:val="004303FC"/>
    <w:rsid w:val="0043063C"/>
    <w:rsid w:val="0043110A"/>
    <w:rsid w:val="00431188"/>
    <w:rsid w:val="00431B04"/>
    <w:rsid w:val="00431D29"/>
    <w:rsid w:val="004324A6"/>
    <w:rsid w:val="004324F7"/>
    <w:rsid w:val="00432C49"/>
    <w:rsid w:val="00433D2C"/>
    <w:rsid w:val="00436C49"/>
    <w:rsid w:val="004377E3"/>
    <w:rsid w:val="00437E8B"/>
    <w:rsid w:val="00440E5C"/>
    <w:rsid w:val="00441821"/>
    <w:rsid w:val="004420E0"/>
    <w:rsid w:val="00442256"/>
    <w:rsid w:val="00442D38"/>
    <w:rsid w:val="00442F1A"/>
    <w:rsid w:val="00442F3C"/>
    <w:rsid w:val="0044454D"/>
    <w:rsid w:val="00445D27"/>
    <w:rsid w:val="00446921"/>
    <w:rsid w:val="0044702A"/>
    <w:rsid w:val="0044727B"/>
    <w:rsid w:val="0044755D"/>
    <w:rsid w:val="00447AC6"/>
    <w:rsid w:val="00447BAD"/>
    <w:rsid w:val="00447C95"/>
    <w:rsid w:val="00447F5B"/>
    <w:rsid w:val="00450723"/>
    <w:rsid w:val="0045073F"/>
    <w:rsid w:val="00451335"/>
    <w:rsid w:val="00451EC8"/>
    <w:rsid w:val="00454D3F"/>
    <w:rsid w:val="00454EB5"/>
    <w:rsid w:val="004564FF"/>
    <w:rsid w:val="004569E8"/>
    <w:rsid w:val="00456B0A"/>
    <w:rsid w:val="0045768B"/>
    <w:rsid w:val="00457A4F"/>
    <w:rsid w:val="004604C9"/>
    <w:rsid w:val="00461030"/>
    <w:rsid w:val="004611E7"/>
    <w:rsid w:val="00461DB0"/>
    <w:rsid w:val="00462106"/>
    <w:rsid w:val="00462FB2"/>
    <w:rsid w:val="00463926"/>
    <w:rsid w:val="004640DE"/>
    <w:rsid w:val="004645D8"/>
    <w:rsid w:val="0046497E"/>
    <w:rsid w:val="00464C6E"/>
    <w:rsid w:val="00464C9A"/>
    <w:rsid w:val="004650F9"/>
    <w:rsid w:val="004655B0"/>
    <w:rsid w:val="004658AD"/>
    <w:rsid w:val="00466518"/>
    <w:rsid w:val="004705C4"/>
    <w:rsid w:val="004713AB"/>
    <w:rsid w:val="004714B5"/>
    <w:rsid w:val="0047191A"/>
    <w:rsid w:val="004720E0"/>
    <w:rsid w:val="004726C9"/>
    <w:rsid w:val="004733E3"/>
    <w:rsid w:val="00473C57"/>
    <w:rsid w:val="00474F3D"/>
    <w:rsid w:val="00475543"/>
    <w:rsid w:val="00475F05"/>
    <w:rsid w:val="00475F5E"/>
    <w:rsid w:val="00477E3A"/>
    <w:rsid w:val="0048040A"/>
    <w:rsid w:val="00480833"/>
    <w:rsid w:val="004808E8"/>
    <w:rsid w:val="0048099D"/>
    <w:rsid w:val="00480A7E"/>
    <w:rsid w:val="00481A7E"/>
    <w:rsid w:val="00481A8D"/>
    <w:rsid w:val="00481AC5"/>
    <w:rsid w:val="004839C9"/>
    <w:rsid w:val="00483E5F"/>
    <w:rsid w:val="00485F7B"/>
    <w:rsid w:val="00485FF9"/>
    <w:rsid w:val="004864CA"/>
    <w:rsid w:val="00486942"/>
    <w:rsid w:val="00486A15"/>
    <w:rsid w:val="00487281"/>
    <w:rsid w:val="004907F0"/>
    <w:rsid w:val="00490FF2"/>
    <w:rsid w:val="0049140B"/>
    <w:rsid w:val="004916D8"/>
    <w:rsid w:val="004923A5"/>
    <w:rsid w:val="004938D9"/>
    <w:rsid w:val="004956E7"/>
    <w:rsid w:val="00495A38"/>
    <w:rsid w:val="00496BFB"/>
    <w:rsid w:val="004970F1"/>
    <w:rsid w:val="004A15C7"/>
    <w:rsid w:val="004A1A69"/>
    <w:rsid w:val="004A2954"/>
    <w:rsid w:val="004A423B"/>
    <w:rsid w:val="004A4ED6"/>
    <w:rsid w:val="004A531A"/>
    <w:rsid w:val="004A5759"/>
    <w:rsid w:val="004A639F"/>
    <w:rsid w:val="004A77FB"/>
    <w:rsid w:val="004B013B"/>
    <w:rsid w:val="004B016E"/>
    <w:rsid w:val="004B112B"/>
    <w:rsid w:val="004B1E38"/>
    <w:rsid w:val="004B3435"/>
    <w:rsid w:val="004B5027"/>
    <w:rsid w:val="004B621C"/>
    <w:rsid w:val="004B655F"/>
    <w:rsid w:val="004B7099"/>
    <w:rsid w:val="004B7D01"/>
    <w:rsid w:val="004C01E4"/>
    <w:rsid w:val="004C0556"/>
    <w:rsid w:val="004C0619"/>
    <w:rsid w:val="004C086C"/>
    <w:rsid w:val="004C120A"/>
    <w:rsid w:val="004C18F5"/>
    <w:rsid w:val="004C1F56"/>
    <w:rsid w:val="004C27BC"/>
    <w:rsid w:val="004C30F5"/>
    <w:rsid w:val="004C4B63"/>
    <w:rsid w:val="004C548D"/>
    <w:rsid w:val="004C596A"/>
    <w:rsid w:val="004C5EED"/>
    <w:rsid w:val="004C6BD9"/>
    <w:rsid w:val="004C797F"/>
    <w:rsid w:val="004C7D4E"/>
    <w:rsid w:val="004D0167"/>
    <w:rsid w:val="004D019F"/>
    <w:rsid w:val="004D15F3"/>
    <w:rsid w:val="004D2522"/>
    <w:rsid w:val="004D384C"/>
    <w:rsid w:val="004D5311"/>
    <w:rsid w:val="004D5DCC"/>
    <w:rsid w:val="004D5DCD"/>
    <w:rsid w:val="004D5FB6"/>
    <w:rsid w:val="004E2AD7"/>
    <w:rsid w:val="004E3A3F"/>
    <w:rsid w:val="004E47C0"/>
    <w:rsid w:val="004E5306"/>
    <w:rsid w:val="004E65E0"/>
    <w:rsid w:val="004E6C05"/>
    <w:rsid w:val="004E6C7D"/>
    <w:rsid w:val="004E6D6E"/>
    <w:rsid w:val="004E73E6"/>
    <w:rsid w:val="004E7877"/>
    <w:rsid w:val="004E7FB4"/>
    <w:rsid w:val="004F0F4B"/>
    <w:rsid w:val="004F1011"/>
    <w:rsid w:val="004F10AF"/>
    <w:rsid w:val="004F11A4"/>
    <w:rsid w:val="004F2389"/>
    <w:rsid w:val="004F2587"/>
    <w:rsid w:val="004F304D"/>
    <w:rsid w:val="004F3F3D"/>
    <w:rsid w:val="004F410B"/>
    <w:rsid w:val="004F489D"/>
    <w:rsid w:val="004F4C21"/>
    <w:rsid w:val="004F4C64"/>
    <w:rsid w:val="004F5E39"/>
    <w:rsid w:val="004F60AA"/>
    <w:rsid w:val="004F61BE"/>
    <w:rsid w:val="004F66B1"/>
    <w:rsid w:val="00500D09"/>
    <w:rsid w:val="00500D27"/>
    <w:rsid w:val="0050167A"/>
    <w:rsid w:val="00501D1F"/>
    <w:rsid w:val="0050246E"/>
    <w:rsid w:val="00502E39"/>
    <w:rsid w:val="00503A51"/>
    <w:rsid w:val="00503BAF"/>
    <w:rsid w:val="00503BD1"/>
    <w:rsid w:val="0050418F"/>
    <w:rsid w:val="005048CA"/>
    <w:rsid w:val="00505778"/>
    <w:rsid w:val="005059B0"/>
    <w:rsid w:val="005061D3"/>
    <w:rsid w:val="005062EF"/>
    <w:rsid w:val="00506BDA"/>
    <w:rsid w:val="0051009F"/>
    <w:rsid w:val="005102CF"/>
    <w:rsid w:val="005110DD"/>
    <w:rsid w:val="00511C07"/>
    <w:rsid w:val="00512313"/>
    <w:rsid w:val="00512A7D"/>
    <w:rsid w:val="005139F3"/>
    <w:rsid w:val="00513B0C"/>
    <w:rsid w:val="0051406A"/>
    <w:rsid w:val="00515420"/>
    <w:rsid w:val="005157FE"/>
    <w:rsid w:val="005158CF"/>
    <w:rsid w:val="00515F56"/>
    <w:rsid w:val="00515FC9"/>
    <w:rsid w:val="00516750"/>
    <w:rsid w:val="005167F3"/>
    <w:rsid w:val="00516B21"/>
    <w:rsid w:val="005173A6"/>
    <w:rsid w:val="00520167"/>
    <w:rsid w:val="00520193"/>
    <w:rsid w:val="00520B80"/>
    <w:rsid w:val="00520BAA"/>
    <w:rsid w:val="00521F97"/>
    <w:rsid w:val="0052212F"/>
    <w:rsid w:val="00523420"/>
    <w:rsid w:val="0052354D"/>
    <w:rsid w:val="0052385A"/>
    <w:rsid w:val="0052442B"/>
    <w:rsid w:val="005244EA"/>
    <w:rsid w:val="00524788"/>
    <w:rsid w:val="00524F68"/>
    <w:rsid w:val="005251D7"/>
    <w:rsid w:val="00525208"/>
    <w:rsid w:val="005253A0"/>
    <w:rsid w:val="005257A5"/>
    <w:rsid w:val="00525905"/>
    <w:rsid w:val="00525CF6"/>
    <w:rsid w:val="005263A4"/>
    <w:rsid w:val="005264B1"/>
    <w:rsid w:val="005264C0"/>
    <w:rsid w:val="00526A8A"/>
    <w:rsid w:val="00526B5F"/>
    <w:rsid w:val="00526C40"/>
    <w:rsid w:val="00526D5C"/>
    <w:rsid w:val="005276F8"/>
    <w:rsid w:val="00530294"/>
    <w:rsid w:val="00530F27"/>
    <w:rsid w:val="00531DF2"/>
    <w:rsid w:val="00532227"/>
    <w:rsid w:val="00533B0D"/>
    <w:rsid w:val="00533B22"/>
    <w:rsid w:val="00533C11"/>
    <w:rsid w:val="00534B2E"/>
    <w:rsid w:val="005357C4"/>
    <w:rsid w:val="00535D2F"/>
    <w:rsid w:val="00536680"/>
    <w:rsid w:val="00536BCA"/>
    <w:rsid w:val="005377CF"/>
    <w:rsid w:val="00541824"/>
    <w:rsid w:val="00543215"/>
    <w:rsid w:val="00543F30"/>
    <w:rsid w:val="00543F54"/>
    <w:rsid w:val="005442EE"/>
    <w:rsid w:val="0054443B"/>
    <w:rsid w:val="00544552"/>
    <w:rsid w:val="005449E7"/>
    <w:rsid w:val="00544C64"/>
    <w:rsid w:val="0054573F"/>
    <w:rsid w:val="00546489"/>
    <w:rsid w:val="00547353"/>
    <w:rsid w:val="005474E7"/>
    <w:rsid w:val="0054755E"/>
    <w:rsid w:val="005478C1"/>
    <w:rsid w:val="00550C20"/>
    <w:rsid w:val="00550D40"/>
    <w:rsid w:val="005512A3"/>
    <w:rsid w:val="00551754"/>
    <w:rsid w:val="0055297D"/>
    <w:rsid w:val="00552D54"/>
    <w:rsid w:val="00554714"/>
    <w:rsid w:val="00554822"/>
    <w:rsid w:val="00554BD8"/>
    <w:rsid w:val="00554E16"/>
    <w:rsid w:val="00555664"/>
    <w:rsid w:val="00555D9A"/>
    <w:rsid w:val="005578CE"/>
    <w:rsid w:val="00561905"/>
    <w:rsid w:val="00562781"/>
    <w:rsid w:val="0056334D"/>
    <w:rsid w:val="0056386B"/>
    <w:rsid w:val="00564861"/>
    <w:rsid w:val="00564F50"/>
    <w:rsid w:val="00565690"/>
    <w:rsid w:val="00565E6E"/>
    <w:rsid w:val="00566167"/>
    <w:rsid w:val="00566394"/>
    <w:rsid w:val="0056669D"/>
    <w:rsid w:val="005673AF"/>
    <w:rsid w:val="005673FD"/>
    <w:rsid w:val="00567B84"/>
    <w:rsid w:val="00567CB8"/>
    <w:rsid w:val="00567E77"/>
    <w:rsid w:val="00567FFC"/>
    <w:rsid w:val="0057025D"/>
    <w:rsid w:val="00571817"/>
    <w:rsid w:val="00571A60"/>
    <w:rsid w:val="00572845"/>
    <w:rsid w:val="0057287E"/>
    <w:rsid w:val="00573C44"/>
    <w:rsid w:val="00574463"/>
    <w:rsid w:val="00574A54"/>
    <w:rsid w:val="00574CDD"/>
    <w:rsid w:val="0057563E"/>
    <w:rsid w:val="0057651A"/>
    <w:rsid w:val="005771B5"/>
    <w:rsid w:val="005773A9"/>
    <w:rsid w:val="00577C83"/>
    <w:rsid w:val="0058131D"/>
    <w:rsid w:val="005817C5"/>
    <w:rsid w:val="00581E6D"/>
    <w:rsid w:val="00582383"/>
    <w:rsid w:val="00582CC0"/>
    <w:rsid w:val="00582DCC"/>
    <w:rsid w:val="00583449"/>
    <w:rsid w:val="00583657"/>
    <w:rsid w:val="0058475E"/>
    <w:rsid w:val="00584BA5"/>
    <w:rsid w:val="00584EBA"/>
    <w:rsid w:val="005857E9"/>
    <w:rsid w:val="00586006"/>
    <w:rsid w:val="00586614"/>
    <w:rsid w:val="005901E3"/>
    <w:rsid w:val="005912E5"/>
    <w:rsid w:val="005918A9"/>
    <w:rsid w:val="00591CAE"/>
    <w:rsid w:val="00592772"/>
    <w:rsid w:val="00593909"/>
    <w:rsid w:val="00593A37"/>
    <w:rsid w:val="005946C5"/>
    <w:rsid w:val="00594724"/>
    <w:rsid w:val="00595449"/>
    <w:rsid w:val="0059574A"/>
    <w:rsid w:val="0059605C"/>
    <w:rsid w:val="00596B53"/>
    <w:rsid w:val="00596D56"/>
    <w:rsid w:val="00597586"/>
    <w:rsid w:val="005A0869"/>
    <w:rsid w:val="005A1A11"/>
    <w:rsid w:val="005A1B9B"/>
    <w:rsid w:val="005A1D97"/>
    <w:rsid w:val="005A2AED"/>
    <w:rsid w:val="005A32F9"/>
    <w:rsid w:val="005A36E7"/>
    <w:rsid w:val="005A442F"/>
    <w:rsid w:val="005A4A08"/>
    <w:rsid w:val="005A52C7"/>
    <w:rsid w:val="005A57A4"/>
    <w:rsid w:val="005A5FF3"/>
    <w:rsid w:val="005A6751"/>
    <w:rsid w:val="005A701E"/>
    <w:rsid w:val="005A7104"/>
    <w:rsid w:val="005A7BB8"/>
    <w:rsid w:val="005A7E91"/>
    <w:rsid w:val="005B092E"/>
    <w:rsid w:val="005B0EF9"/>
    <w:rsid w:val="005B152C"/>
    <w:rsid w:val="005B1EE0"/>
    <w:rsid w:val="005B201D"/>
    <w:rsid w:val="005B2224"/>
    <w:rsid w:val="005B250E"/>
    <w:rsid w:val="005B28FC"/>
    <w:rsid w:val="005B2B24"/>
    <w:rsid w:val="005B2CFE"/>
    <w:rsid w:val="005B38E6"/>
    <w:rsid w:val="005B3933"/>
    <w:rsid w:val="005B3BD0"/>
    <w:rsid w:val="005B3C01"/>
    <w:rsid w:val="005B4425"/>
    <w:rsid w:val="005B44A0"/>
    <w:rsid w:val="005B4AA7"/>
    <w:rsid w:val="005B4B94"/>
    <w:rsid w:val="005B5D7A"/>
    <w:rsid w:val="005B6757"/>
    <w:rsid w:val="005B698E"/>
    <w:rsid w:val="005C1E50"/>
    <w:rsid w:val="005C23D8"/>
    <w:rsid w:val="005C3EE8"/>
    <w:rsid w:val="005C40A2"/>
    <w:rsid w:val="005C5E28"/>
    <w:rsid w:val="005C615A"/>
    <w:rsid w:val="005C6AAB"/>
    <w:rsid w:val="005C6BC8"/>
    <w:rsid w:val="005C7073"/>
    <w:rsid w:val="005D019B"/>
    <w:rsid w:val="005D0E08"/>
    <w:rsid w:val="005D19BA"/>
    <w:rsid w:val="005D2498"/>
    <w:rsid w:val="005D3044"/>
    <w:rsid w:val="005D34F9"/>
    <w:rsid w:val="005D4190"/>
    <w:rsid w:val="005D5A63"/>
    <w:rsid w:val="005D6172"/>
    <w:rsid w:val="005D67A3"/>
    <w:rsid w:val="005D6C66"/>
    <w:rsid w:val="005E034A"/>
    <w:rsid w:val="005E1C6A"/>
    <w:rsid w:val="005E2016"/>
    <w:rsid w:val="005E2988"/>
    <w:rsid w:val="005E2AE6"/>
    <w:rsid w:val="005E2B58"/>
    <w:rsid w:val="005E2F78"/>
    <w:rsid w:val="005E3085"/>
    <w:rsid w:val="005E33FE"/>
    <w:rsid w:val="005E377A"/>
    <w:rsid w:val="005E39C1"/>
    <w:rsid w:val="005E409B"/>
    <w:rsid w:val="005E4BBB"/>
    <w:rsid w:val="005E66F9"/>
    <w:rsid w:val="005E7107"/>
    <w:rsid w:val="005E741E"/>
    <w:rsid w:val="005E76B5"/>
    <w:rsid w:val="005E7D53"/>
    <w:rsid w:val="005F07FB"/>
    <w:rsid w:val="005F0F8A"/>
    <w:rsid w:val="005F0FF0"/>
    <w:rsid w:val="005F2712"/>
    <w:rsid w:val="005F2B38"/>
    <w:rsid w:val="005F2DF5"/>
    <w:rsid w:val="005F3372"/>
    <w:rsid w:val="005F41F3"/>
    <w:rsid w:val="005F4446"/>
    <w:rsid w:val="005F4996"/>
    <w:rsid w:val="005F51E1"/>
    <w:rsid w:val="005F5BA1"/>
    <w:rsid w:val="005F5E15"/>
    <w:rsid w:val="005F5E9C"/>
    <w:rsid w:val="005F7492"/>
    <w:rsid w:val="006010BF"/>
    <w:rsid w:val="006011CC"/>
    <w:rsid w:val="0060145F"/>
    <w:rsid w:val="006019EB"/>
    <w:rsid w:val="00602265"/>
    <w:rsid w:val="0060289D"/>
    <w:rsid w:val="00604C42"/>
    <w:rsid w:val="00604F2D"/>
    <w:rsid w:val="006051EB"/>
    <w:rsid w:val="00605323"/>
    <w:rsid w:val="006053F4"/>
    <w:rsid w:val="00605CDD"/>
    <w:rsid w:val="00606D18"/>
    <w:rsid w:val="00606F8E"/>
    <w:rsid w:val="00607D91"/>
    <w:rsid w:val="00610016"/>
    <w:rsid w:val="00611C80"/>
    <w:rsid w:val="00612247"/>
    <w:rsid w:val="0061264A"/>
    <w:rsid w:val="006145CD"/>
    <w:rsid w:val="00614793"/>
    <w:rsid w:val="00614A20"/>
    <w:rsid w:val="00614BD0"/>
    <w:rsid w:val="00614D9E"/>
    <w:rsid w:val="00615931"/>
    <w:rsid w:val="006168F0"/>
    <w:rsid w:val="006179F4"/>
    <w:rsid w:val="00620692"/>
    <w:rsid w:val="006229AD"/>
    <w:rsid w:val="00622FD9"/>
    <w:rsid w:val="00623BA1"/>
    <w:rsid w:val="006242CA"/>
    <w:rsid w:val="006253E8"/>
    <w:rsid w:val="00625731"/>
    <w:rsid w:val="006259EF"/>
    <w:rsid w:val="00625AA7"/>
    <w:rsid w:val="0062613F"/>
    <w:rsid w:val="00626B64"/>
    <w:rsid w:val="00627452"/>
    <w:rsid w:val="00627507"/>
    <w:rsid w:val="00627B97"/>
    <w:rsid w:val="006312B4"/>
    <w:rsid w:val="006312E9"/>
    <w:rsid w:val="0063140C"/>
    <w:rsid w:val="00631851"/>
    <w:rsid w:val="0063346D"/>
    <w:rsid w:val="00633717"/>
    <w:rsid w:val="00634135"/>
    <w:rsid w:val="006344E1"/>
    <w:rsid w:val="00634D45"/>
    <w:rsid w:val="00635246"/>
    <w:rsid w:val="0063528B"/>
    <w:rsid w:val="00636031"/>
    <w:rsid w:val="00636757"/>
    <w:rsid w:val="00636D9F"/>
    <w:rsid w:val="006402D6"/>
    <w:rsid w:val="006403F6"/>
    <w:rsid w:val="0064071A"/>
    <w:rsid w:val="00640782"/>
    <w:rsid w:val="0064089D"/>
    <w:rsid w:val="006410F3"/>
    <w:rsid w:val="00642355"/>
    <w:rsid w:val="00642A5F"/>
    <w:rsid w:val="00642CA2"/>
    <w:rsid w:val="006442FD"/>
    <w:rsid w:val="00644528"/>
    <w:rsid w:val="00644654"/>
    <w:rsid w:val="006449AE"/>
    <w:rsid w:val="00645F51"/>
    <w:rsid w:val="00646F5F"/>
    <w:rsid w:val="006476D3"/>
    <w:rsid w:val="00651520"/>
    <w:rsid w:val="006544E8"/>
    <w:rsid w:val="006545C4"/>
    <w:rsid w:val="006545C6"/>
    <w:rsid w:val="00655554"/>
    <w:rsid w:val="00655FF2"/>
    <w:rsid w:val="00656351"/>
    <w:rsid w:val="00657163"/>
    <w:rsid w:val="00657723"/>
    <w:rsid w:val="00657EFC"/>
    <w:rsid w:val="00661971"/>
    <w:rsid w:val="00661CE8"/>
    <w:rsid w:val="00661E73"/>
    <w:rsid w:val="006623D9"/>
    <w:rsid w:val="006623FA"/>
    <w:rsid w:val="0066403C"/>
    <w:rsid w:val="00664424"/>
    <w:rsid w:val="0066462A"/>
    <w:rsid w:val="00664812"/>
    <w:rsid w:val="0066550C"/>
    <w:rsid w:val="00665F64"/>
    <w:rsid w:val="00666AB7"/>
    <w:rsid w:val="00666E36"/>
    <w:rsid w:val="00667097"/>
    <w:rsid w:val="00670A06"/>
    <w:rsid w:val="0067107E"/>
    <w:rsid w:val="006716E6"/>
    <w:rsid w:val="006716F2"/>
    <w:rsid w:val="00672D89"/>
    <w:rsid w:val="00672FA7"/>
    <w:rsid w:val="00673184"/>
    <w:rsid w:val="00673A74"/>
    <w:rsid w:val="0067403A"/>
    <w:rsid w:val="006751F0"/>
    <w:rsid w:val="006759EA"/>
    <w:rsid w:val="00675B8E"/>
    <w:rsid w:val="00676C88"/>
    <w:rsid w:val="00677ADD"/>
    <w:rsid w:val="00677D44"/>
    <w:rsid w:val="00680CC5"/>
    <w:rsid w:val="00682BF2"/>
    <w:rsid w:val="00682EB4"/>
    <w:rsid w:val="00684578"/>
    <w:rsid w:val="00684B32"/>
    <w:rsid w:val="006852A1"/>
    <w:rsid w:val="006859CE"/>
    <w:rsid w:val="00685CBB"/>
    <w:rsid w:val="00686153"/>
    <w:rsid w:val="0068756E"/>
    <w:rsid w:val="00687689"/>
    <w:rsid w:val="00687DF7"/>
    <w:rsid w:val="006910AC"/>
    <w:rsid w:val="00691270"/>
    <w:rsid w:val="00692905"/>
    <w:rsid w:val="0069382B"/>
    <w:rsid w:val="00693F70"/>
    <w:rsid w:val="006947F4"/>
    <w:rsid w:val="00694BA8"/>
    <w:rsid w:val="006960E7"/>
    <w:rsid w:val="006964B2"/>
    <w:rsid w:val="00696805"/>
    <w:rsid w:val="00696E2A"/>
    <w:rsid w:val="00696EB7"/>
    <w:rsid w:val="006A023A"/>
    <w:rsid w:val="006A037C"/>
    <w:rsid w:val="006A099F"/>
    <w:rsid w:val="006A0BFD"/>
    <w:rsid w:val="006A0D52"/>
    <w:rsid w:val="006A1026"/>
    <w:rsid w:val="006A11D5"/>
    <w:rsid w:val="006A152B"/>
    <w:rsid w:val="006A285B"/>
    <w:rsid w:val="006A36F4"/>
    <w:rsid w:val="006A406F"/>
    <w:rsid w:val="006A4690"/>
    <w:rsid w:val="006A48DC"/>
    <w:rsid w:val="006A4910"/>
    <w:rsid w:val="006A5211"/>
    <w:rsid w:val="006A5D3A"/>
    <w:rsid w:val="006A5FFD"/>
    <w:rsid w:val="006A6098"/>
    <w:rsid w:val="006A6C15"/>
    <w:rsid w:val="006A6D95"/>
    <w:rsid w:val="006A78F9"/>
    <w:rsid w:val="006A7919"/>
    <w:rsid w:val="006B083C"/>
    <w:rsid w:val="006B2696"/>
    <w:rsid w:val="006B2FD2"/>
    <w:rsid w:val="006B3417"/>
    <w:rsid w:val="006B3806"/>
    <w:rsid w:val="006B393F"/>
    <w:rsid w:val="006B3CEC"/>
    <w:rsid w:val="006B3FDE"/>
    <w:rsid w:val="006B44D5"/>
    <w:rsid w:val="006B4E44"/>
    <w:rsid w:val="006B5562"/>
    <w:rsid w:val="006B6455"/>
    <w:rsid w:val="006B7479"/>
    <w:rsid w:val="006B775A"/>
    <w:rsid w:val="006B79A4"/>
    <w:rsid w:val="006B79A7"/>
    <w:rsid w:val="006B7EA1"/>
    <w:rsid w:val="006C0AD5"/>
    <w:rsid w:val="006C0F3B"/>
    <w:rsid w:val="006C12F7"/>
    <w:rsid w:val="006C23D4"/>
    <w:rsid w:val="006C4136"/>
    <w:rsid w:val="006C4F43"/>
    <w:rsid w:val="006C5CFB"/>
    <w:rsid w:val="006C64DA"/>
    <w:rsid w:val="006C6C16"/>
    <w:rsid w:val="006C7BB0"/>
    <w:rsid w:val="006D0707"/>
    <w:rsid w:val="006D0BDC"/>
    <w:rsid w:val="006D1788"/>
    <w:rsid w:val="006D3237"/>
    <w:rsid w:val="006D4678"/>
    <w:rsid w:val="006D62AE"/>
    <w:rsid w:val="006D6910"/>
    <w:rsid w:val="006D6F74"/>
    <w:rsid w:val="006D7081"/>
    <w:rsid w:val="006E1B25"/>
    <w:rsid w:val="006E1EF1"/>
    <w:rsid w:val="006E1FD9"/>
    <w:rsid w:val="006E2BB0"/>
    <w:rsid w:val="006E2BEA"/>
    <w:rsid w:val="006E2CD7"/>
    <w:rsid w:val="006E2E37"/>
    <w:rsid w:val="006E30A9"/>
    <w:rsid w:val="006E3260"/>
    <w:rsid w:val="006E3CF1"/>
    <w:rsid w:val="006E4327"/>
    <w:rsid w:val="006E49CD"/>
    <w:rsid w:val="006E4D0E"/>
    <w:rsid w:val="006E6423"/>
    <w:rsid w:val="006E6F69"/>
    <w:rsid w:val="006E7C48"/>
    <w:rsid w:val="006E7E80"/>
    <w:rsid w:val="006E7FF1"/>
    <w:rsid w:val="006F087C"/>
    <w:rsid w:val="006F1502"/>
    <w:rsid w:val="006F2167"/>
    <w:rsid w:val="006F28A1"/>
    <w:rsid w:val="006F2EBC"/>
    <w:rsid w:val="006F367A"/>
    <w:rsid w:val="006F48CA"/>
    <w:rsid w:val="006F48E9"/>
    <w:rsid w:val="006F5866"/>
    <w:rsid w:val="006F64DD"/>
    <w:rsid w:val="006F67E4"/>
    <w:rsid w:val="006F6EDC"/>
    <w:rsid w:val="006F764D"/>
    <w:rsid w:val="006F7D96"/>
    <w:rsid w:val="007039B2"/>
    <w:rsid w:val="00703B4A"/>
    <w:rsid w:val="00703CA0"/>
    <w:rsid w:val="0070512F"/>
    <w:rsid w:val="00705451"/>
    <w:rsid w:val="00706451"/>
    <w:rsid w:val="007064EC"/>
    <w:rsid w:val="0070664D"/>
    <w:rsid w:val="00706B70"/>
    <w:rsid w:val="007079F9"/>
    <w:rsid w:val="00707DAB"/>
    <w:rsid w:val="00711564"/>
    <w:rsid w:val="00711715"/>
    <w:rsid w:val="00711B3C"/>
    <w:rsid w:val="00711FF3"/>
    <w:rsid w:val="00713BD9"/>
    <w:rsid w:val="007144F3"/>
    <w:rsid w:val="0071499A"/>
    <w:rsid w:val="00715127"/>
    <w:rsid w:val="007157F3"/>
    <w:rsid w:val="00715BC1"/>
    <w:rsid w:val="00715DFE"/>
    <w:rsid w:val="00715E8E"/>
    <w:rsid w:val="00715F54"/>
    <w:rsid w:val="0071771B"/>
    <w:rsid w:val="007218C4"/>
    <w:rsid w:val="00721A5A"/>
    <w:rsid w:val="00722522"/>
    <w:rsid w:val="00723580"/>
    <w:rsid w:val="00723755"/>
    <w:rsid w:val="00723A6A"/>
    <w:rsid w:val="00725341"/>
    <w:rsid w:val="007257FC"/>
    <w:rsid w:val="00725E2A"/>
    <w:rsid w:val="00726227"/>
    <w:rsid w:val="007265B3"/>
    <w:rsid w:val="0072717D"/>
    <w:rsid w:val="00727E22"/>
    <w:rsid w:val="0073136C"/>
    <w:rsid w:val="007314A4"/>
    <w:rsid w:val="007314D1"/>
    <w:rsid w:val="00731F0F"/>
    <w:rsid w:val="007328B4"/>
    <w:rsid w:val="00733250"/>
    <w:rsid w:val="00733D29"/>
    <w:rsid w:val="007366F2"/>
    <w:rsid w:val="00736786"/>
    <w:rsid w:val="00736CA0"/>
    <w:rsid w:val="00736E40"/>
    <w:rsid w:val="0073702E"/>
    <w:rsid w:val="00737939"/>
    <w:rsid w:val="00737B01"/>
    <w:rsid w:val="00740836"/>
    <w:rsid w:val="00740B09"/>
    <w:rsid w:val="00740CD8"/>
    <w:rsid w:val="00740EF2"/>
    <w:rsid w:val="00741404"/>
    <w:rsid w:val="00741660"/>
    <w:rsid w:val="007416A2"/>
    <w:rsid w:val="0074176A"/>
    <w:rsid w:val="007421F2"/>
    <w:rsid w:val="00743BB5"/>
    <w:rsid w:val="00743E9D"/>
    <w:rsid w:val="00744186"/>
    <w:rsid w:val="007449E5"/>
    <w:rsid w:val="00744D2B"/>
    <w:rsid w:val="007455A6"/>
    <w:rsid w:val="007459E2"/>
    <w:rsid w:val="00747239"/>
    <w:rsid w:val="00747FF0"/>
    <w:rsid w:val="007509F9"/>
    <w:rsid w:val="0075121F"/>
    <w:rsid w:val="00752837"/>
    <w:rsid w:val="00752EFA"/>
    <w:rsid w:val="007532C3"/>
    <w:rsid w:val="00753868"/>
    <w:rsid w:val="00753F04"/>
    <w:rsid w:val="007543D8"/>
    <w:rsid w:val="007544BE"/>
    <w:rsid w:val="007548E4"/>
    <w:rsid w:val="00754D0C"/>
    <w:rsid w:val="00754E01"/>
    <w:rsid w:val="0075608F"/>
    <w:rsid w:val="007560EA"/>
    <w:rsid w:val="00756E18"/>
    <w:rsid w:val="007573FD"/>
    <w:rsid w:val="00757E39"/>
    <w:rsid w:val="00760608"/>
    <w:rsid w:val="007617FB"/>
    <w:rsid w:val="00761F82"/>
    <w:rsid w:val="0076249B"/>
    <w:rsid w:val="007638D6"/>
    <w:rsid w:val="00764083"/>
    <w:rsid w:val="00764120"/>
    <w:rsid w:val="00764D4E"/>
    <w:rsid w:val="00765731"/>
    <w:rsid w:val="00765A1F"/>
    <w:rsid w:val="00765C61"/>
    <w:rsid w:val="007678B9"/>
    <w:rsid w:val="00767C0C"/>
    <w:rsid w:val="00770CF5"/>
    <w:rsid w:val="00771BBB"/>
    <w:rsid w:val="007723BE"/>
    <w:rsid w:val="00773B70"/>
    <w:rsid w:val="00774EA7"/>
    <w:rsid w:val="00775B6D"/>
    <w:rsid w:val="00775D75"/>
    <w:rsid w:val="00776D68"/>
    <w:rsid w:val="007771CA"/>
    <w:rsid w:val="0077740B"/>
    <w:rsid w:val="0077749E"/>
    <w:rsid w:val="00777CDC"/>
    <w:rsid w:val="007804A5"/>
    <w:rsid w:val="007817FF"/>
    <w:rsid w:val="00782E94"/>
    <w:rsid w:val="00783483"/>
    <w:rsid w:val="00783A3E"/>
    <w:rsid w:val="00784F6B"/>
    <w:rsid w:val="007850EE"/>
    <w:rsid w:val="00785B95"/>
    <w:rsid w:val="00786030"/>
    <w:rsid w:val="007867C5"/>
    <w:rsid w:val="00790502"/>
    <w:rsid w:val="0079060D"/>
    <w:rsid w:val="007907DB"/>
    <w:rsid w:val="00790E96"/>
    <w:rsid w:val="0079148B"/>
    <w:rsid w:val="007930C9"/>
    <w:rsid w:val="00793366"/>
    <w:rsid w:val="00793F82"/>
    <w:rsid w:val="007946F5"/>
    <w:rsid w:val="00794D0A"/>
    <w:rsid w:val="00794DB2"/>
    <w:rsid w:val="00794DEF"/>
    <w:rsid w:val="0079501C"/>
    <w:rsid w:val="007951E1"/>
    <w:rsid w:val="00795297"/>
    <w:rsid w:val="007952CE"/>
    <w:rsid w:val="00795DAE"/>
    <w:rsid w:val="0079603A"/>
    <w:rsid w:val="00796EDD"/>
    <w:rsid w:val="00797405"/>
    <w:rsid w:val="0079781B"/>
    <w:rsid w:val="00797B4A"/>
    <w:rsid w:val="00797C0E"/>
    <w:rsid w:val="007A0437"/>
    <w:rsid w:val="007A087D"/>
    <w:rsid w:val="007A0AF8"/>
    <w:rsid w:val="007A1900"/>
    <w:rsid w:val="007A22B6"/>
    <w:rsid w:val="007A266F"/>
    <w:rsid w:val="007A33DC"/>
    <w:rsid w:val="007A42C7"/>
    <w:rsid w:val="007A716F"/>
    <w:rsid w:val="007B02C6"/>
    <w:rsid w:val="007B0713"/>
    <w:rsid w:val="007B15F1"/>
    <w:rsid w:val="007B1B8D"/>
    <w:rsid w:val="007B1F19"/>
    <w:rsid w:val="007B270A"/>
    <w:rsid w:val="007B319E"/>
    <w:rsid w:val="007B33BE"/>
    <w:rsid w:val="007B47CB"/>
    <w:rsid w:val="007B4DEA"/>
    <w:rsid w:val="007B4E45"/>
    <w:rsid w:val="007B53DE"/>
    <w:rsid w:val="007B5C28"/>
    <w:rsid w:val="007B5E7C"/>
    <w:rsid w:val="007B5FD4"/>
    <w:rsid w:val="007B6109"/>
    <w:rsid w:val="007B7F86"/>
    <w:rsid w:val="007C0695"/>
    <w:rsid w:val="007C0DE3"/>
    <w:rsid w:val="007C14F3"/>
    <w:rsid w:val="007C152B"/>
    <w:rsid w:val="007C38E5"/>
    <w:rsid w:val="007C3ABC"/>
    <w:rsid w:val="007C419A"/>
    <w:rsid w:val="007C44A7"/>
    <w:rsid w:val="007C4BF2"/>
    <w:rsid w:val="007C4BFC"/>
    <w:rsid w:val="007C4CC8"/>
    <w:rsid w:val="007C51C5"/>
    <w:rsid w:val="007C5426"/>
    <w:rsid w:val="007C5798"/>
    <w:rsid w:val="007C58CB"/>
    <w:rsid w:val="007C5ACB"/>
    <w:rsid w:val="007C6298"/>
    <w:rsid w:val="007C6350"/>
    <w:rsid w:val="007C6652"/>
    <w:rsid w:val="007C6725"/>
    <w:rsid w:val="007C6A37"/>
    <w:rsid w:val="007C6A7C"/>
    <w:rsid w:val="007C6EED"/>
    <w:rsid w:val="007C70BC"/>
    <w:rsid w:val="007D0234"/>
    <w:rsid w:val="007D047D"/>
    <w:rsid w:val="007D1B6D"/>
    <w:rsid w:val="007D239B"/>
    <w:rsid w:val="007D2712"/>
    <w:rsid w:val="007D286E"/>
    <w:rsid w:val="007D2F3B"/>
    <w:rsid w:val="007D3D50"/>
    <w:rsid w:val="007D4629"/>
    <w:rsid w:val="007D4832"/>
    <w:rsid w:val="007D48C8"/>
    <w:rsid w:val="007D63E1"/>
    <w:rsid w:val="007D7427"/>
    <w:rsid w:val="007D7AD5"/>
    <w:rsid w:val="007D7CA8"/>
    <w:rsid w:val="007E1EBB"/>
    <w:rsid w:val="007E208F"/>
    <w:rsid w:val="007E21B2"/>
    <w:rsid w:val="007E247D"/>
    <w:rsid w:val="007E2B21"/>
    <w:rsid w:val="007E2C4E"/>
    <w:rsid w:val="007E2F68"/>
    <w:rsid w:val="007E3B4E"/>
    <w:rsid w:val="007E3CC2"/>
    <w:rsid w:val="007E5A16"/>
    <w:rsid w:val="007E5F6C"/>
    <w:rsid w:val="007E7197"/>
    <w:rsid w:val="007E765C"/>
    <w:rsid w:val="007E772B"/>
    <w:rsid w:val="007F12D0"/>
    <w:rsid w:val="007F1905"/>
    <w:rsid w:val="007F2E8A"/>
    <w:rsid w:val="007F3085"/>
    <w:rsid w:val="007F34AA"/>
    <w:rsid w:val="007F3F99"/>
    <w:rsid w:val="007F454A"/>
    <w:rsid w:val="007F4843"/>
    <w:rsid w:val="007F4F86"/>
    <w:rsid w:val="007F5596"/>
    <w:rsid w:val="007F60BF"/>
    <w:rsid w:val="007F7404"/>
    <w:rsid w:val="007F7A20"/>
    <w:rsid w:val="00802576"/>
    <w:rsid w:val="00802C64"/>
    <w:rsid w:val="00802C88"/>
    <w:rsid w:val="00803787"/>
    <w:rsid w:val="008039FF"/>
    <w:rsid w:val="00803CDC"/>
    <w:rsid w:val="008041DA"/>
    <w:rsid w:val="00804A7B"/>
    <w:rsid w:val="00804CD4"/>
    <w:rsid w:val="0080550A"/>
    <w:rsid w:val="00805BD1"/>
    <w:rsid w:val="00805E52"/>
    <w:rsid w:val="00806091"/>
    <w:rsid w:val="008061C4"/>
    <w:rsid w:val="008061D0"/>
    <w:rsid w:val="00806F83"/>
    <w:rsid w:val="00807386"/>
    <w:rsid w:val="00807CD2"/>
    <w:rsid w:val="00810AE4"/>
    <w:rsid w:val="00810B38"/>
    <w:rsid w:val="00811168"/>
    <w:rsid w:val="00811877"/>
    <w:rsid w:val="00812D28"/>
    <w:rsid w:val="008131C6"/>
    <w:rsid w:val="008134D6"/>
    <w:rsid w:val="00814C6A"/>
    <w:rsid w:val="00815BEC"/>
    <w:rsid w:val="0081731C"/>
    <w:rsid w:val="0081757B"/>
    <w:rsid w:val="008204C7"/>
    <w:rsid w:val="00820992"/>
    <w:rsid w:val="00820CB7"/>
    <w:rsid w:val="00820CD3"/>
    <w:rsid w:val="008224E3"/>
    <w:rsid w:val="00822A6B"/>
    <w:rsid w:val="00822C8E"/>
    <w:rsid w:val="00822CEF"/>
    <w:rsid w:val="008230A9"/>
    <w:rsid w:val="00823602"/>
    <w:rsid w:val="0082406B"/>
    <w:rsid w:val="00824F7A"/>
    <w:rsid w:val="008255F5"/>
    <w:rsid w:val="008259E7"/>
    <w:rsid w:val="00825FDE"/>
    <w:rsid w:val="00826087"/>
    <w:rsid w:val="00826755"/>
    <w:rsid w:val="00826F99"/>
    <w:rsid w:val="0082758A"/>
    <w:rsid w:val="0083014E"/>
    <w:rsid w:val="00830EEC"/>
    <w:rsid w:val="00831216"/>
    <w:rsid w:val="0083211B"/>
    <w:rsid w:val="0083214A"/>
    <w:rsid w:val="00832FD0"/>
    <w:rsid w:val="008335CE"/>
    <w:rsid w:val="0083365D"/>
    <w:rsid w:val="00834220"/>
    <w:rsid w:val="00835475"/>
    <w:rsid w:val="00835577"/>
    <w:rsid w:val="00835EFD"/>
    <w:rsid w:val="00836EE3"/>
    <w:rsid w:val="00840003"/>
    <w:rsid w:val="008400CC"/>
    <w:rsid w:val="008403CD"/>
    <w:rsid w:val="00840DBB"/>
    <w:rsid w:val="00841A40"/>
    <w:rsid w:val="008420E1"/>
    <w:rsid w:val="0084289B"/>
    <w:rsid w:val="00842A35"/>
    <w:rsid w:val="00842A65"/>
    <w:rsid w:val="008431A0"/>
    <w:rsid w:val="00843DCA"/>
    <w:rsid w:val="00844920"/>
    <w:rsid w:val="00844F3E"/>
    <w:rsid w:val="00845723"/>
    <w:rsid w:val="0084583A"/>
    <w:rsid w:val="00846D05"/>
    <w:rsid w:val="008526CB"/>
    <w:rsid w:val="00852F0E"/>
    <w:rsid w:val="00853112"/>
    <w:rsid w:val="008536FC"/>
    <w:rsid w:val="00853DD5"/>
    <w:rsid w:val="00854CA6"/>
    <w:rsid w:val="00854EE7"/>
    <w:rsid w:val="00854FF3"/>
    <w:rsid w:val="008554DE"/>
    <w:rsid w:val="0085572A"/>
    <w:rsid w:val="00855B4E"/>
    <w:rsid w:val="0085652D"/>
    <w:rsid w:val="0085667E"/>
    <w:rsid w:val="00857101"/>
    <w:rsid w:val="00857814"/>
    <w:rsid w:val="00857A9D"/>
    <w:rsid w:val="00857F0F"/>
    <w:rsid w:val="00860700"/>
    <w:rsid w:val="00861235"/>
    <w:rsid w:val="0086145E"/>
    <w:rsid w:val="00861B70"/>
    <w:rsid w:val="008631A6"/>
    <w:rsid w:val="008645E8"/>
    <w:rsid w:val="0086497A"/>
    <w:rsid w:val="00864C1A"/>
    <w:rsid w:val="00864FAD"/>
    <w:rsid w:val="008661AD"/>
    <w:rsid w:val="008678DF"/>
    <w:rsid w:val="00867EF5"/>
    <w:rsid w:val="008700FE"/>
    <w:rsid w:val="008713A1"/>
    <w:rsid w:val="008713DF"/>
    <w:rsid w:val="0087206E"/>
    <w:rsid w:val="008725FB"/>
    <w:rsid w:val="0087383B"/>
    <w:rsid w:val="00873CAF"/>
    <w:rsid w:val="00874CA5"/>
    <w:rsid w:val="008754AB"/>
    <w:rsid w:val="00875585"/>
    <w:rsid w:val="008767CC"/>
    <w:rsid w:val="0087685C"/>
    <w:rsid w:val="0087767D"/>
    <w:rsid w:val="00877CDC"/>
    <w:rsid w:val="00877F41"/>
    <w:rsid w:val="008801EF"/>
    <w:rsid w:val="0088060C"/>
    <w:rsid w:val="00880FDC"/>
    <w:rsid w:val="00881C29"/>
    <w:rsid w:val="0088238B"/>
    <w:rsid w:val="008823DF"/>
    <w:rsid w:val="008832F7"/>
    <w:rsid w:val="00885A19"/>
    <w:rsid w:val="0088605E"/>
    <w:rsid w:val="008867C4"/>
    <w:rsid w:val="00887143"/>
    <w:rsid w:val="0088729B"/>
    <w:rsid w:val="008873CC"/>
    <w:rsid w:val="0089039A"/>
    <w:rsid w:val="00890641"/>
    <w:rsid w:val="0089116B"/>
    <w:rsid w:val="0089124F"/>
    <w:rsid w:val="008912B0"/>
    <w:rsid w:val="00892181"/>
    <w:rsid w:val="00892731"/>
    <w:rsid w:val="00892D54"/>
    <w:rsid w:val="0089319E"/>
    <w:rsid w:val="008934AA"/>
    <w:rsid w:val="00893576"/>
    <w:rsid w:val="00893994"/>
    <w:rsid w:val="00893E73"/>
    <w:rsid w:val="00894077"/>
    <w:rsid w:val="008941B6"/>
    <w:rsid w:val="00894496"/>
    <w:rsid w:val="00895804"/>
    <w:rsid w:val="0089590E"/>
    <w:rsid w:val="00895A72"/>
    <w:rsid w:val="00896D29"/>
    <w:rsid w:val="008A1C7E"/>
    <w:rsid w:val="008A325F"/>
    <w:rsid w:val="008A3449"/>
    <w:rsid w:val="008A48CB"/>
    <w:rsid w:val="008A4DD8"/>
    <w:rsid w:val="008A5CA3"/>
    <w:rsid w:val="008A5E4C"/>
    <w:rsid w:val="008A6CEE"/>
    <w:rsid w:val="008A74F6"/>
    <w:rsid w:val="008A7FD8"/>
    <w:rsid w:val="008B02DC"/>
    <w:rsid w:val="008B1510"/>
    <w:rsid w:val="008B27B2"/>
    <w:rsid w:val="008B4C0E"/>
    <w:rsid w:val="008B57CE"/>
    <w:rsid w:val="008B6B25"/>
    <w:rsid w:val="008C04C6"/>
    <w:rsid w:val="008C0F25"/>
    <w:rsid w:val="008C26DE"/>
    <w:rsid w:val="008C2816"/>
    <w:rsid w:val="008C3356"/>
    <w:rsid w:val="008C450A"/>
    <w:rsid w:val="008C4929"/>
    <w:rsid w:val="008C4EDE"/>
    <w:rsid w:val="008C4F3B"/>
    <w:rsid w:val="008C5B91"/>
    <w:rsid w:val="008C608D"/>
    <w:rsid w:val="008C6143"/>
    <w:rsid w:val="008C657A"/>
    <w:rsid w:val="008C7274"/>
    <w:rsid w:val="008D06E1"/>
    <w:rsid w:val="008D0E94"/>
    <w:rsid w:val="008D148E"/>
    <w:rsid w:val="008D1D70"/>
    <w:rsid w:val="008D2225"/>
    <w:rsid w:val="008D4752"/>
    <w:rsid w:val="008D5041"/>
    <w:rsid w:val="008D64FE"/>
    <w:rsid w:val="008E08F7"/>
    <w:rsid w:val="008E10A8"/>
    <w:rsid w:val="008E171A"/>
    <w:rsid w:val="008E23A5"/>
    <w:rsid w:val="008E2554"/>
    <w:rsid w:val="008E271C"/>
    <w:rsid w:val="008E2892"/>
    <w:rsid w:val="008E3E14"/>
    <w:rsid w:val="008E40DE"/>
    <w:rsid w:val="008E418E"/>
    <w:rsid w:val="008E4A1D"/>
    <w:rsid w:val="008E51DF"/>
    <w:rsid w:val="008E5BC6"/>
    <w:rsid w:val="008E6A25"/>
    <w:rsid w:val="008E6C5C"/>
    <w:rsid w:val="008E7722"/>
    <w:rsid w:val="008E7FBD"/>
    <w:rsid w:val="008F051E"/>
    <w:rsid w:val="008F0CE3"/>
    <w:rsid w:val="008F1584"/>
    <w:rsid w:val="008F43C3"/>
    <w:rsid w:val="008F45BB"/>
    <w:rsid w:val="008F509F"/>
    <w:rsid w:val="008F5193"/>
    <w:rsid w:val="008F5D42"/>
    <w:rsid w:val="008F669D"/>
    <w:rsid w:val="008F7222"/>
    <w:rsid w:val="008F73B9"/>
    <w:rsid w:val="008F7995"/>
    <w:rsid w:val="0090127C"/>
    <w:rsid w:val="009013A7"/>
    <w:rsid w:val="009014C9"/>
    <w:rsid w:val="009017FB"/>
    <w:rsid w:val="009017FC"/>
    <w:rsid w:val="009018BC"/>
    <w:rsid w:val="00901AE0"/>
    <w:rsid w:val="00903261"/>
    <w:rsid w:val="009038D9"/>
    <w:rsid w:val="009038E4"/>
    <w:rsid w:val="00903A58"/>
    <w:rsid w:val="00903AE0"/>
    <w:rsid w:val="009043AE"/>
    <w:rsid w:val="00904929"/>
    <w:rsid w:val="00904F40"/>
    <w:rsid w:val="0090506B"/>
    <w:rsid w:val="009050C9"/>
    <w:rsid w:val="00905CDE"/>
    <w:rsid w:val="00905E7B"/>
    <w:rsid w:val="009066FC"/>
    <w:rsid w:val="00911010"/>
    <w:rsid w:val="00911D85"/>
    <w:rsid w:val="00911F61"/>
    <w:rsid w:val="009122C4"/>
    <w:rsid w:val="00912D1E"/>
    <w:rsid w:val="009137C4"/>
    <w:rsid w:val="009140A3"/>
    <w:rsid w:val="009144A2"/>
    <w:rsid w:val="00914D50"/>
    <w:rsid w:val="0091510C"/>
    <w:rsid w:val="0091513B"/>
    <w:rsid w:val="0091727E"/>
    <w:rsid w:val="00917989"/>
    <w:rsid w:val="00921D9A"/>
    <w:rsid w:val="00923CC6"/>
    <w:rsid w:val="00923E23"/>
    <w:rsid w:val="00924802"/>
    <w:rsid w:val="00925509"/>
    <w:rsid w:val="009259AC"/>
    <w:rsid w:val="0092686D"/>
    <w:rsid w:val="00926C86"/>
    <w:rsid w:val="00926F38"/>
    <w:rsid w:val="009274B2"/>
    <w:rsid w:val="00930980"/>
    <w:rsid w:val="00930CB2"/>
    <w:rsid w:val="00930DA1"/>
    <w:rsid w:val="0093308C"/>
    <w:rsid w:val="009333FC"/>
    <w:rsid w:val="00934301"/>
    <w:rsid w:val="00935574"/>
    <w:rsid w:val="00935C35"/>
    <w:rsid w:val="00936BCE"/>
    <w:rsid w:val="00936CD1"/>
    <w:rsid w:val="00936F24"/>
    <w:rsid w:val="009370E3"/>
    <w:rsid w:val="00937E06"/>
    <w:rsid w:val="00937EF0"/>
    <w:rsid w:val="0094140E"/>
    <w:rsid w:val="00941747"/>
    <w:rsid w:val="00941EFB"/>
    <w:rsid w:val="0094327E"/>
    <w:rsid w:val="00944116"/>
    <w:rsid w:val="009444D1"/>
    <w:rsid w:val="00944B55"/>
    <w:rsid w:val="009453B8"/>
    <w:rsid w:val="009459D9"/>
    <w:rsid w:val="0094722D"/>
    <w:rsid w:val="00947765"/>
    <w:rsid w:val="00947A4C"/>
    <w:rsid w:val="00947AFB"/>
    <w:rsid w:val="009500F3"/>
    <w:rsid w:val="009501E7"/>
    <w:rsid w:val="00950610"/>
    <w:rsid w:val="009513FE"/>
    <w:rsid w:val="00951B45"/>
    <w:rsid w:val="00951D7D"/>
    <w:rsid w:val="00951D8B"/>
    <w:rsid w:val="00951ED3"/>
    <w:rsid w:val="009527CB"/>
    <w:rsid w:val="00952C9B"/>
    <w:rsid w:val="00952F08"/>
    <w:rsid w:val="00953914"/>
    <w:rsid w:val="00953D51"/>
    <w:rsid w:val="0095416B"/>
    <w:rsid w:val="00954DC3"/>
    <w:rsid w:val="00955207"/>
    <w:rsid w:val="0095573B"/>
    <w:rsid w:val="009565E3"/>
    <w:rsid w:val="00956F2C"/>
    <w:rsid w:val="009574AA"/>
    <w:rsid w:val="00960886"/>
    <w:rsid w:val="009613BC"/>
    <w:rsid w:val="0096186A"/>
    <w:rsid w:val="00962247"/>
    <w:rsid w:val="009630C7"/>
    <w:rsid w:val="00963975"/>
    <w:rsid w:val="00963ED3"/>
    <w:rsid w:val="009641B1"/>
    <w:rsid w:val="0096469D"/>
    <w:rsid w:val="009650E7"/>
    <w:rsid w:val="00965481"/>
    <w:rsid w:val="00965BDE"/>
    <w:rsid w:val="00966620"/>
    <w:rsid w:val="00966F9D"/>
    <w:rsid w:val="00967AE3"/>
    <w:rsid w:val="00967F50"/>
    <w:rsid w:val="00970A79"/>
    <w:rsid w:val="00971B2D"/>
    <w:rsid w:val="00972831"/>
    <w:rsid w:val="00972B55"/>
    <w:rsid w:val="00973036"/>
    <w:rsid w:val="00973310"/>
    <w:rsid w:val="00974004"/>
    <w:rsid w:val="009743B7"/>
    <w:rsid w:val="009744EB"/>
    <w:rsid w:val="00974ABC"/>
    <w:rsid w:val="00976EFC"/>
    <w:rsid w:val="009802BF"/>
    <w:rsid w:val="00980AFB"/>
    <w:rsid w:val="00980B6A"/>
    <w:rsid w:val="0098228B"/>
    <w:rsid w:val="00982614"/>
    <w:rsid w:val="0098271F"/>
    <w:rsid w:val="009828DA"/>
    <w:rsid w:val="00982FC4"/>
    <w:rsid w:val="00984349"/>
    <w:rsid w:val="00985BAB"/>
    <w:rsid w:val="00985C56"/>
    <w:rsid w:val="009866F9"/>
    <w:rsid w:val="00987A25"/>
    <w:rsid w:val="009913CB"/>
    <w:rsid w:val="0099196F"/>
    <w:rsid w:val="00991A7E"/>
    <w:rsid w:val="00991F96"/>
    <w:rsid w:val="00991FF3"/>
    <w:rsid w:val="00992A09"/>
    <w:rsid w:val="00992F1A"/>
    <w:rsid w:val="009937A6"/>
    <w:rsid w:val="00993BEE"/>
    <w:rsid w:val="00993DAE"/>
    <w:rsid w:val="0099451D"/>
    <w:rsid w:val="00994E64"/>
    <w:rsid w:val="009964E7"/>
    <w:rsid w:val="00996C29"/>
    <w:rsid w:val="009A1F01"/>
    <w:rsid w:val="009A23B6"/>
    <w:rsid w:val="009A26E7"/>
    <w:rsid w:val="009A3ABF"/>
    <w:rsid w:val="009A460C"/>
    <w:rsid w:val="009A488D"/>
    <w:rsid w:val="009A4C12"/>
    <w:rsid w:val="009A5236"/>
    <w:rsid w:val="009A5CB2"/>
    <w:rsid w:val="009A68EB"/>
    <w:rsid w:val="009A6B73"/>
    <w:rsid w:val="009A76F4"/>
    <w:rsid w:val="009A7F67"/>
    <w:rsid w:val="009B026B"/>
    <w:rsid w:val="009B0CA2"/>
    <w:rsid w:val="009B0FBC"/>
    <w:rsid w:val="009B1A9F"/>
    <w:rsid w:val="009B1B5F"/>
    <w:rsid w:val="009B1DED"/>
    <w:rsid w:val="009B25F0"/>
    <w:rsid w:val="009B3992"/>
    <w:rsid w:val="009B52A5"/>
    <w:rsid w:val="009B56E1"/>
    <w:rsid w:val="009B5C90"/>
    <w:rsid w:val="009B638B"/>
    <w:rsid w:val="009B6673"/>
    <w:rsid w:val="009B69C4"/>
    <w:rsid w:val="009B6F0E"/>
    <w:rsid w:val="009B74CD"/>
    <w:rsid w:val="009C05A5"/>
    <w:rsid w:val="009C153F"/>
    <w:rsid w:val="009C1699"/>
    <w:rsid w:val="009C191B"/>
    <w:rsid w:val="009C2BD6"/>
    <w:rsid w:val="009C307A"/>
    <w:rsid w:val="009C4505"/>
    <w:rsid w:val="009C6212"/>
    <w:rsid w:val="009D002D"/>
    <w:rsid w:val="009D03EF"/>
    <w:rsid w:val="009D0CF5"/>
    <w:rsid w:val="009D1EC9"/>
    <w:rsid w:val="009D2B3D"/>
    <w:rsid w:val="009D3BB6"/>
    <w:rsid w:val="009D3DB0"/>
    <w:rsid w:val="009D4DC1"/>
    <w:rsid w:val="009D54B1"/>
    <w:rsid w:val="009D6257"/>
    <w:rsid w:val="009D70BE"/>
    <w:rsid w:val="009D7D85"/>
    <w:rsid w:val="009E041F"/>
    <w:rsid w:val="009E1B6A"/>
    <w:rsid w:val="009E1E40"/>
    <w:rsid w:val="009E1F32"/>
    <w:rsid w:val="009E43F3"/>
    <w:rsid w:val="009E4664"/>
    <w:rsid w:val="009E4A16"/>
    <w:rsid w:val="009E4AF7"/>
    <w:rsid w:val="009E66A5"/>
    <w:rsid w:val="009E6909"/>
    <w:rsid w:val="009E6B36"/>
    <w:rsid w:val="009E7672"/>
    <w:rsid w:val="009E776C"/>
    <w:rsid w:val="009E7CC0"/>
    <w:rsid w:val="009F0B27"/>
    <w:rsid w:val="009F17E5"/>
    <w:rsid w:val="009F236B"/>
    <w:rsid w:val="009F25EF"/>
    <w:rsid w:val="009F2AC3"/>
    <w:rsid w:val="009F5E57"/>
    <w:rsid w:val="009F64AA"/>
    <w:rsid w:val="009F7130"/>
    <w:rsid w:val="009F71AB"/>
    <w:rsid w:val="00A00211"/>
    <w:rsid w:val="00A01369"/>
    <w:rsid w:val="00A01384"/>
    <w:rsid w:val="00A01A4E"/>
    <w:rsid w:val="00A037E3"/>
    <w:rsid w:val="00A03A37"/>
    <w:rsid w:val="00A04890"/>
    <w:rsid w:val="00A04C9D"/>
    <w:rsid w:val="00A04EF9"/>
    <w:rsid w:val="00A051F7"/>
    <w:rsid w:val="00A078DD"/>
    <w:rsid w:val="00A100D1"/>
    <w:rsid w:val="00A1089A"/>
    <w:rsid w:val="00A108B5"/>
    <w:rsid w:val="00A145F6"/>
    <w:rsid w:val="00A14BD4"/>
    <w:rsid w:val="00A15618"/>
    <w:rsid w:val="00A1672E"/>
    <w:rsid w:val="00A1673F"/>
    <w:rsid w:val="00A167CD"/>
    <w:rsid w:val="00A1726E"/>
    <w:rsid w:val="00A1765A"/>
    <w:rsid w:val="00A17F36"/>
    <w:rsid w:val="00A204CF"/>
    <w:rsid w:val="00A20EA7"/>
    <w:rsid w:val="00A215F6"/>
    <w:rsid w:val="00A239F6"/>
    <w:rsid w:val="00A23C02"/>
    <w:rsid w:val="00A23D49"/>
    <w:rsid w:val="00A2447D"/>
    <w:rsid w:val="00A24A57"/>
    <w:rsid w:val="00A24A80"/>
    <w:rsid w:val="00A25018"/>
    <w:rsid w:val="00A256FF"/>
    <w:rsid w:val="00A2594A"/>
    <w:rsid w:val="00A26388"/>
    <w:rsid w:val="00A27004"/>
    <w:rsid w:val="00A27772"/>
    <w:rsid w:val="00A30C29"/>
    <w:rsid w:val="00A3151A"/>
    <w:rsid w:val="00A3200A"/>
    <w:rsid w:val="00A334AC"/>
    <w:rsid w:val="00A33EAA"/>
    <w:rsid w:val="00A34DD6"/>
    <w:rsid w:val="00A3577C"/>
    <w:rsid w:val="00A35BAD"/>
    <w:rsid w:val="00A36359"/>
    <w:rsid w:val="00A36819"/>
    <w:rsid w:val="00A36989"/>
    <w:rsid w:val="00A3763D"/>
    <w:rsid w:val="00A37718"/>
    <w:rsid w:val="00A37BC8"/>
    <w:rsid w:val="00A37DA4"/>
    <w:rsid w:val="00A408CE"/>
    <w:rsid w:val="00A40FE7"/>
    <w:rsid w:val="00A41993"/>
    <w:rsid w:val="00A43628"/>
    <w:rsid w:val="00A43BC1"/>
    <w:rsid w:val="00A44E35"/>
    <w:rsid w:val="00A451E7"/>
    <w:rsid w:val="00A454C3"/>
    <w:rsid w:val="00A466AD"/>
    <w:rsid w:val="00A46A4F"/>
    <w:rsid w:val="00A46AA1"/>
    <w:rsid w:val="00A46DFD"/>
    <w:rsid w:val="00A4727E"/>
    <w:rsid w:val="00A51ED7"/>
    <w:rsid w:val="00A52325"/>
    <w:rsid w:val="00A52B98"/>
    <w:rsid w:val="00A540B8"/>
    <w:rsid w:val="00A54192"/>
    <w:rsid w:val="00A542A0"/>
    <w:rsid w:val="00A55943"/>
    <w:rsid w:val="00A564FE"/>
    <w:rsid w:val="00A57793"/>
    <w:rsid w:val="00A5787A"/>
    <w:rsid w:val="00A6035E"/>
    <w:rsid w:val="00A60887"/>
    <w:rsid w:val="00A6135A"/>
    <w:rsid w:val="00A6144C"/>
    <w:rsid w:val="00A6164E"/>
    <w:rsid w:val="00A61E7E"/>
    <w:rsid w:val="00A633F9"/>
    <w:rsid w:val="00A64980"/>
    <w:rsid w:val="00A64D82"/>
    <w:rsid w:val="00A65B36"/>
    <w:rsid w:val="00A66617"/>
    <w:rsid w:val="00A66D8D"/>
    <w:rsid w:val="00A66E27"/>
    <w:rsid w:val="00A671F8"/>
    <w:rsid w:val="00A673A4"/>
    <w:rsid w:val="00A70265"/>
    <w:rsid w:val="00A70713"/>
    <w:rsid w:val="00A709A2"/>
    <w:rsid w:val="00A71748"/>
    <w:rsid w:val="00A71F16"/>
    <w:rsid w:val="00A724AE"/>
    <w:rsid w:val="00A726E9"/>
    <w:rsid w:val="00A73186"/>
    <w:rsid w:val="00A7322F"/>
    <w:rsid w:val="00A73329"/>
    <w:rsid w:val="00A7396D"/>
    <w:rsid w:val="00A73A0C"/>
    <w:rsid w:val="00A73EC0"/>
    <w:rsid w:val="00A73F52"/>
    <w:rsid w:val="00A74CBD"/>
    <w:rsid w:val="00A74E8E"/>
    <w:rsid w:val="00A75C07"/>
    <w:rsid w:val="00A770C2"/>
    <w:rsid w:val="00A7780B"/>
    <w:rsid w:val="00A809C4"/>
    <w:rsid w:val="00A80B09"/>
    <w:rsid w:val="00A80E91"/>
    <w:rsid w:val="00A81294"/>
    <w:rsid w:val="00A81799"/>
    <w:rsid w:val="00A817E1"/>
    <w:rsid w:val="00A82359"/>
    <w:rsid w:val="00A844A6"/>
    <w:rsid w:val="00A849A1"/>
    <w:rsid w:val="00A858FF"/>
    <w:rsid w:val="00A85DA0"/>
    <w:rsid w:val="00A863BF"/>
    <w:rsid w:val="00A865D2"/>
    <w:rsid w:val="00A87ED6"/>
    <w:rsid w:val="00A87FC9"/>
    <w:rsid w:val="00A9081D"/>
    <w:rsid w:val="00A9105F"/>
    <w:rsid w:val="00A927A2"/>
    <w:rsid w:val="00A93CAB"/>
    <w:rsid w:val="00A9413C"/>
    <w:rsid w:val="00A94C20"/>
    <w:rsid w:val="00A952F3"/>
    <w:rsid w:val="00A9769C"/>
    <w:rsid w:val="00AA0954"/>
    <w:rsid w:val="00AA1101"/>
    <w:rsid w:val="00AA1C7A"/>
    <w:rsid w:val="00AA1F1D"/>
    <w:rsid w:val="00AA227F"/>
    <w:rsid w:val="00AA2722"/>
    <w:rsid w:val="00AA2B62"/>
    <w:rsid w:val="00AA2F43"/>
    <w:rsid w:val="00AA30C0"/>
    <w:rsid w:val="00AA3185"/>
    <w:rsid w:val="00AA3BC7"/>
    <w:rsid w:val="00AA513A"/>
    <w:rsid w:val="00AA5E50"/>
    <w:rsid w:val="00AA5FF0"/>
    <w:rsid w:val="00AA754A"/>
    <w:rsid w:val="00AB0410"/>
    <w:rsid w:val="00AB07DC"/>
    <w:rsid w:val="00AB099E"/>
    <w:rsid w:val="00AB189B"/>
    <w:rsid w:val="00AB25E0"/>
    <w:rsid w:val="00AB3594"/>
    <w:rsid w:val="00AB3B10"/>
    <w:rsid w:val="00AB4328"/>
    <w:rsid w:val="00AB5B39"/>
    <w:rsid w:val="00AB6A39"/>
    <w:rsid w:val="00AB7008"/>
    <w:rsid w:val="00AC04A2"/>
    <w:rsid w:val="00AC08C0"/>
    <w:rsid w:val="00AC0A73"/>
    <w:rsid w:val="00AC1BF6"/>
    <w:rsid w:val="00AC2AFB"/>
    <w:rsid w:val="00AC3788"/>
    <w:rsid w:val="00AC37E4"/>
    <w:rsid w:val="00AC4318"/>
    <w:rsid w:val="00AC6A99"/>
    <w:rsid w:val="00AD1246"/>
    <w:rsid w:val="00AD1D02"/>
    <w:rsid w:val="00AD2083"/>
    <w:rsid w:val="00AD3184"/>
    <w:rsid w:val="00AD33DF"/>
    <w:rsid w:val="00AD3BD8"/>
    <w:rsid w:val="00AD3CD2"/>
    <w:rsid w:val="00AD4368"/>
    <w:rsid w:val="00AD439E"/>
    <w:rsid w:val="00AD4BBF"/>
    <w:rsid w:val="00AD52A0"/>
    <w:rsid w:val="00AD6232"/>
    <w:rsid w:val="00AD6C06"/>
    <w:rsid w:val="00AD7B57"/>
    <w:rsid w:val="00AD7F3F"/>
    <w:rsid w:val="00AE03E4"/>
    <w:rsid w:val="00AE0A2E"/>
    <w:rsid w:val="00AE1013"/>
    <w:rsid w:val="00AE116D"/>
    <w:rsid w:val="00AE1728"/>
    <w:rsid w:val="00AE354C"/>
    <w:rsid w:val="00AE3DC0"/>
    <w:rsid w:val="00AE45B4"/>
    <w:rsid w:val="00AE4B50"/>
    <w:rsid w:val="00AE5170"/>
    <w:rsid w:val="00AE59BA"/>
    <w:rsid w:val="00AE6FF0"/>
    <w:rsid w:val="00AF00F1"/>
    <w:rsid w:val="00AF2489"/>
    <w:rsid w:val="00AF31EB"/>
    <w:rsid w:val="00AF331D"/>
    <w:rsid w:val="00AF4B07"/>
    <w:rsid w:val="00AF4D2B"/>
    <w:rsid w:val="00AF509F"/>
    <w:rsid w:val="00AF50B2"/>
    <w:rsid w:val="00AF5641"/>
    <w:rsid w:val="00AF5706"/>
    <w:rsid w:val="00AF6186"/>
    <w:rsid w:val="00AF62E7"/>
    <w:rsid w:val="00AF6601"/>
    <w:rsid w:val="00AF6751"/>
    <w:rsid w:val="00AF6FFE"/>
    <w:rsid w:val="00AF75E4"/>
    <w:rsid w:val="00AF7A3A"/>
    <w:rsid w:val="00AF7BC8"/>
    <w:rsid w:val="00B0094F"/>
    <w:rsid w:val="00B00ECE"/>
    <w:rsid w:val="00B014ED"/>
    <w:rsid w:val="00B01A05"/>
    <w:rsid w:val="00B04107"/>
    <w:rsid w:val="00B04226"/>
    <w:rsid w:val="00B05289"/>
    <w:rsid w:val="00B064E3"/>
    <w:rsid w:val="00B07A0E"/>
    <w:rsid w:val="00B103A9"/>
    <w:rsid w:val="00B11DE4"/>
    <w:rsid w:val="00B1368C"/>
    <w:rsid w:val="00B139F2"/>
    <w:rsid w:val="00B159FC"/>
    <w:rsid w:val="00B160DB"/>
    <w:rsid w:val="00B160EF"/>
    <w:rsid w:val="00B20395"/>
    <w:rsid w:val="00B204AF"/>
    <w:rsid w:val="00B20836"/>
    <w:rsid w:val="00B20969"/>
    <w:rsid w:val="00B214E9"/>
    <w:rsid w:val="00B227D2"/>
    <w:rsid w:val="00B235BB"/>
    <w:rsid w:val="00B23AF8"/>
    <w:rsid w:val="00B23FD2"/>
    <w:rsid w:val="00B24D7D"/>
    <w:rsid w:val="00B2551D"/>
    <w:rsid w:val="00B2569B"/>
    <w:rsid w:val="00B25BD1"/>
    <w:rsid w:val="00B26859"/>
    <w:rsid w:val="00B26F3F"/>
    <w:rsid w:val="00B270DC"/>
    <w:rsid w:val="00B27A44"/>
    <w:rsid w:val="00B30BB1"/>
    <w:rsid w:val="00B30BBF"/>
    <w:rsid w:val="00B31A7F"/>
    <w:rsid w:val="00B32300"/>
    <w:rsid w:val="00B33654"/>
    <w:rsid w:val="00B33995"/>
    <w:rsid w:val="00B33C03"/>
    <w:rsid w:val="00B36028"/>
    <w:rsid w:val="00B376BA"/>
    <w:rsid w:val="00B37832"/>
    <w:rsid w:val="00B37F14"/>
    <w:rsid w:val="00B40B3E"/>
    <w:rsid w:val="00B41E9B"/>
    <w:rsid w:val="00B43485"/>
    <w:rsid w:val="00B436E5"/>
    <w:rsid w:val="00B43A70"/>
    <w:rsid w:val="00B43E74"/>
    <w:rsid w:val="00B44E56"/>
    <w:rsid w:val="00B44EED"/>
    <w:rsid w:val="00B459D5"/>
    <w:rsid w:val="00B46543"/>
    <w:rsid w:val="00B469CF"/>
    <w:rsid w:val="00B46C86"/>
    <w:rsid w:val="00B46E90"/>
    <w:rsid w:val="00B474C7"/>
    <w:rsid w:val="00B47D33"/>
    <w:rsid w:val="00B50478"/>
    <w:rsid w:val="00B5217F"/>
    <w:rsid w:val="00B52EDE"/>
    <w:rsid w:val="00B539E1"/>
    <w:rsid w:val="00B54133"/>
    <w:rsid w:val="00B546B0"/>
    <w:rsid w:val="00B55004"/>
    <w:rsid w:val="00B56B61"/>
    <w:rsid w:val="00B57772"/>
    <w:rsid w:val="00B60700"/>
    <w:rsid w:val="00B60A32"/>
    <w:rsid w:val="00B6107B"/>
    <w:rsid w:val="00B62F9F"/>
    <w:rsid w:val="00B64051"/>
    <w:rsid w:val="00B64D3D"/>
    <w:rsid w:val="00B65655"/>
    <w:rsid w:val="00B6594A"/>
    <w:rsid w:val="00B65DA0"/>
    <w:rsid w:val="00B66347"/>
    <w:rsid w:val="00B664A7"/>
    <w:rsid w:val="00B67868"/>
    <w:rsid w:val="00B701ED"/>
    <w:rsid w:val="00B71559"/>
    <w:rsid w:val="00B7246E"/>
    <w:rsid w:val="00B727FB"/>
    <w:rsid w:val="00B72BFD"/>
    <w:rsid w:val="00B73973"/>
    <w:rsid w:val="00B74211"/>
    <w:rsid w:val="00B74E73"/>
    <w:rsid w:val="00B75456"/>
    <w:rsid w:val="00B758A5"/>
    <w:rsid w:val="00B75908"/>
    <w:rsid w:val="00B76420"/>
    <w:rsid w:val="00B80816"/>
    <w:rsid w:val="00B8086C"/>
    <w:rsid w:val="00B80B32"/>
    <w:rsid w:val="00B80BDB"/>
    <w:rsid w:val="00B80DB6"/>
    <w:rsid w:val="00B81093"/>
    <w:rsid w:val="00B816D9"/>
    <w:rsid w:val="00B8171D"/>
    <w:rsid w:val="00B83D27"/>
    <w:rsid w:val="00B83E74"/>
    <w:rsid w:val="00B848C0"/>
    <w:rsid w:val="00B8502C"/>
    <w:rsid w:val="00B852B4"/>
    <w:rsid w:val="00B856C0"/>
    <w:rsid w:val="00B85A16"/>
    <w:rsid w:val="00B861B4"/>
    <w:rsid w:val="00B865EB"/>
    <w:rsid w:val="00B86D38"/>
    <w:rsid w:val="00B86DFE"/>
    <w:rsid w:val="00B86EC3"/>
    <w:rsid w:val="00B86EDA"/>
    <w:rsid w:val="00B8798F"/>
    <w:rsid w:val="00B87FC3"/>
    <w:rsid w:val="00B907EB"/>
    <w:rsid w:val="00B90990"/>
    <w:rsid w:val="00B90E07"/>
    <w:rsid w:val="00B916DB"/>
    <w:rsid w:val="00B922FF"/>
    <w:rsid w:val="00B92342"/>
    <w:rsid w:val="00B924F1"/>
    <w:rsid w:val="00B92781"/>
    <w:rsid w:val="00B9281E"/>
    <w:rsid w:val="00B93011"/>
    <w:rsid w:val="00B930DD"/>
    <w:rsid w:val="00B93925"/>
    <w:rsid w:val="00B944F2"/>
    <w:rsid w:val="00B95187"/>
    <w:rsid w:val="00B966B9"/>
    <w:rsid w:val="00B96EE5"/>
    <w:rsid w:val="00BA12BB"/>
    <w:rsid w:val="00BA1781"/>
    <w:rsid w:val="00BA19F6"/>
    <w:rsid w:val="00BA1BAA"/>
    <w:rsid w:val="00BA1C40"/>
    <w:rsid w:val="00BA26E4"/>
    <w:rsid w:val="00BA27EA"/>
    <w:rsid w:val="00BA2D55"/>
    <w:rsid w:val="00BA3643"/>
    <w:rsid w:val="00BA5139"/>
    <w:rsid w:val="00BA60B9"/>
    <w:rsid w:val="00BA627A"/>
    <w:rsid w:val="00BA62E5"/>
    <w:rsid w:val="00BA63D2"/>
    <w:rsid w:val="00BA6897"/>
    <w:rsid w:val="00BA71B1"/>
    <w:rsid w:val="00BB0637"/>
    <w:rsid w:val="00BB0F16"/>
    <w:rsid w:val="00BB13F4"/>
    <w:rsid w:val="00BB345F"/>
    <w:rsid w:val="00BB3652"/>
    <w:rsid w:val="00BB5752"/>
    <w:rsid w:val="00BB58F4"/>
    <w:rsid w:val="00BB5F60"/>
    <w:rsid w:val="00BB682C"/>
    <w:rsid w:val="00BB68EA"/>
    <w:rsid w:val="00BC0926"/>
    <w:rsid w:val="00BC14B0"/>
    <w:rsid w:val="00BC1C27"/>
    <w:rsid w:val="00BC211A"/>
    <w:rsid w:val="00BC3829"/>
    <w:rsid w:val="00BC38FD"/>
    <w:rsid w:val="00BC3A29"/>
    <w:rsid w:val="00BC4367"/>
    <w:rsid w:val="00BC4E8E"/>
    <w:rsid w:val="00BC6BBF"/>
    <w:rsid w:val="00BD07B4"/>
    <w:rsid w:val="00BD0B4B"/>
    <w:rsid w:val="00BD0D95"/>
    <w:rsid w:val="00BD0DFD"/>
    <w:rsid w:val="00BD1572"/>
    <w:rsid w:val="00BD2453"/>
    <w:rsid w:val="00BD24DD"/>
    <w:rsid w:val="00BD2A7F"/>
    <w:rsid w:val="00BD3781"/>
    <w:rsid w:val="00BD3855"/>
    <w:rsid w:val="00BD3D45"/>
    <w:rsid w:val="00BD3EF4"/>
    <w:rsid w:val="00BD4932"/>
    <w:rsid w:val="00BD5AE5"/>
    <w:rsid w:val="00BD7D23"/>
    <w:rsid w:val="00BE0229"/>
    <w:rsid w:val="00BE3774"/>
    <w:rsid w:val="00BE40F9"/>
    <w:rsid w:val="00BE41E5"/>
    <w:rsid w:val="00BE4391"/>
    <w:rsid w:val="00BE4B74"/>
    <w:rsid w:val="00BE578F"/>
    <w:rsid w:val="00BE75FB"/>
    <w:rsid w:val="00BE78B1"/>
    <w:rsid w:val="00BF21A3"/>
    <w:rsid w:val="00BF2714"/>
    <w:rsid w:val="00BF4109"/>
    <w:rsid w:val="00BF4CC3"/>
    <w:rsid w:val="00BF595E"/>
    <w:rsid w:val="00C00A17"/>
    <w:rsid w:val="00C02295"/>
    <w:rsid w:val="00C02CB3"/>
    <w:rsid w:val="00C02ED0"/>
    <w:rsid w:val="00C041FD"/>
    <w:rsid w:val="00C047E3"/>
    <w:rsid w:val="00C04BEB"/>
    <w:rsid w:val="00C04FF7"/>
    <w:rsid w:val="00C054C7"/>
    <w:rsid w:val="00C057B5"/>
    <w:rsid w:val="00C05A3A"/>
    <w:rsid w:val="00C06482"/>
    <w:rsid w:val="00C06DDB"/>
    <w:rsid w:val="00C10B8A"/>
    <w:rsid w:val="00C12EC6"/>
    <w:rsid w:val="00C131E5"/>
    <w:rsid w:val="00C13D8C"/>
    <w:rsid w:val="00C14BA0"/>
    <w:rsid w:val="00C1513B"/>
    <w:rsid w:val="00C15FAB"/>
    <w:rsid w:val="00C169E2"/>
    <w:rsid w:val="00C16D16"/>
    <w:rsid w:val="00C17546"/>
    <w:rsid w:val="00C17857"/>
    <w:rsid w:val="00C21FF2"/>
    <w:rsid w:val="00C22687"/>
    <w:rsid w:val="00C230F9"/>
    <w:rsid w:val="00C232F7"/>
    <w:rsid w:val="00C2488E"/>
    <w:rsid w:val="00C25B16"/>
    <w:rsid w:val="00C25C0F"/>
    <w:rsid w:val="00C263B4"/>
    <w:rsid w:val="00C2758D"/>
    <w:rsid w:val="00C27AA5"/>
    <w:rsid w:val="00C3027C"/>
    <w:rsid w:val="00C318E3"/>
    <w:rsid w:val="00C31E85"/>
    <w:rsid w:val="00C32E4D"/>
    <w:rsid w:val="00C330DE"/>
    <w:rsid w:val="00C333A0"/>
    <w:rsid w:val="00C33B47"/>
    <w:rsid w:val="00C3531A"/>
    <w:rsid w:val="00C35460"/>
    <w:rsid w:val="00C355B4"/>
    <w:rsid w:val="00C355C3"/>
    <w:rsid w:val="00C35678"/>
    <w:rsid w:val="00C36A81"/>
    <w:rsid w:val="00C36FEB"/>
    <w:rsid w:val="00C40EAF"/>
    <w:rsid w:val="00C41974"/>
    <w:rsid w:val="00C420DC"/>
    <w:rsid w:val="00C42442"/>
    <w:rsid w:val="00C42456"/>
    <w:rsid w:val="00C42679"/>
    <w:rsid w:val="00C43B60"/>
    <w:rsid w:val="00C447EE"/>
    <w:rsid w:val="00C45044"/>
    <w:rsid w:val="00C45B37"/>
    <w:rsid w:val="00C47627"/>
    <w:rsid w:val="00C47D12"/>
    <w:rsid w:val="00C47D19"/>
    <w:rsid w:val="00C508BA"/>
    <w:rsid w:val="00C53458"/>
    <w:rsid w:val="00C53CD3"/>
    <w:rsid w:val="00C53D89"/>
    <w:rsid w:val="00C53F4A"/>
    <w:rsid w:val="00C54125"/>
    <w:rsid w:val="00C547C0"/>
    <w:rsid w:val="00C547C1"/>
    <w:rsid w:val="00C55B54"/>
    <w:rsid w:val="00C55F11"/>
    <w:rsid w:val="00C566EB"/>
    <w:rsid w:val="00C57898"/>
    <w:rsid w:val="00C60067"/>
    <w:rsid w:val="00C6098E"/>
    <w:rsid w:val="00C6152C"/>
    <w:rsid w:val="00C62030"/>
    <w:rsid w:val="00C62894"/>
    <w:rsid w:val="00C63D66"/>
    <w:rsid w:val="00C6427C"/>
    <w:rsid w:val="00C64365"/>
    <w:rsid w:val="00C65222"/>
    <w:rsid w:val="00C65CDB"/>
    <w:rsid w:val="00C66A30"/>
    <w:rsid w:val="00C7051A"/>
    <w:rsid w:val="00C72291"/>
    <w:rsid w:val="00C72B55"/>
    <w:rsid w:val="00C73B94"/>
    <w:rsid w:val="00C73E91"/>
    <w:rsid w:val="00C742EC"/>
    <w:rsid w:val="00C74800"/>
    <w:rsid w:val="00C74810"/>
    <w:rsid w:val="00C748D2"/>
    <w:rsid w:val="00C74B98"/>
    <w:rsid w:val="00C753C9"/>
    <w:rsid w:val="00C762D4"/>
    <w:rsid w:val="00C77916"/>
    <w:rsid w:val="00C80D1A"/>
    <w:rsid w:val="00C81268"/>
    <w:rsid w:val="00C81AF4"/>
    <w:rsid w:val="00C82065"/>
    <w:rsid w:val="00C820B3"/>
    <w:rsid w:val="00C83048"/>
    <w:rsid w:val="00C830D7"/>
    <w:rsid w:val="00C831A2"/>
    <w:rsid w:val="00C84568"/>
    <w:rsid w:val="00C84FC2"/>
    <w:rsid w:val="00C85654"/>
    <w:rsid w:val="00C85727"/>
    <w:rsid w:val="00C8677C"/>
    <w:rsid w:val="00C86DF9"/>
    <w:rsid w:val="00C86EFE"/>
    <w:rsid w:val="00C87541"/>
    <w:rsid w:val="00C87BB7"/>
    <w:rsid w:val="00C87D92"/>
    <w:rsid w:val="00C900B5"/>
    <w:rsid w:val="00C901E1"/>
    <w:rsid w:val="00C9076E"/>
    <w:rsid w:val="00C90BD5"/>
    <w:rsid w:val="00C90D68"/>
    <w:rsid w:val="00C90F3F"/>
    <w:rsid w:val="00C9181B"/>
    <w:rsid w:val="00C91CA5"/>
    <w:rsid w:val="00C938AB"/>
    <w:rsid w:val="00C938F1"/>
    <w:rsid w:val="00C939FE"/>
    <w:rsid w:val="00C93A6B"/>
    <w:rsid w:val="00C93D01"/>
    <w:rsid w:val="00C93F35"/>
    <w:rsid w:val="00C942AC"/>
    <w:rsid w:val="00C94BD7"/>
    <w:rsid w:val="00C94D18"/>
    <w:rsid w:val="00C94F29"/>
    <w:rsid w:val="00C95C90"/>
    <w:rsid w:val="00C96ECF"/>
    <w:rsid w:val="00C9744C"/>
    <w:rsid w:val="00C976FB"/>
    <w:rsid w:val="00CA1FC4"/>
    <w:rsid w:val="00CA2691"/>
    <w:rsid w:val="00CA31FF"/>
    <w:rsid w:val="00CA326E"/>
    <w:rsid w:val="00CA4807"/>
    <w:rsid w:val="00CA48E2"/>
    <w:rsid w:val="00CA4BDA"/>
    <w:rsid w:val="00CA50CC"/>
    <w:rsid w:val="00CA7CF2"/>
    <w:rsid w:val="00CB06C1"/>
    <w:rsid w:val="00CB1004"/>
    <w:rsid w:val="00CB13C4"/>
    <w:rsid w:val="00CB1C86"/>
    <w:rsid w:val="00CB2951"/>
    <w:rsid w:val="00CB2FEE"/>
    <w:rsid w:val="00CB33A8"/>
    <w:rsid w:val="00CB3ECA"/>
    <w:rsid w:val="00CB4BD6"/>
    <w:rsid w:val="00CB4DD3"/>
    <w:rsid w:val="00CB5B2A"/>
    <w:rsid w:val="00CB6406"/>
    <w:rsid w:val="00CB7353"/>
    <w:rsid w:val="00CB7F46"/>
    <w:rsid w:val="00CC0DE2"/>
    <w:rsid w:val="00CC2514"/>
    <w:rsid w:val="00CC3313"/>
    <w:rsid w:val="00CC4574"/>
    <w:rsid w:val="00CC493A"/>
    <w:rsid w:val="00CC4E88"/>
    <w:rsid w:val="00CC5078"/>
    <w:rsid w:val="00CC5BF8"/>
    <w:rsid w:val="00CC6206"/>
    <w:rsid w:val="00CC62FF"/>
    <w:rsid w:val="00CC6510"/>
    <w:rsid w:val="00CC6DF0"/>
    <w:rsid w:val="00CC77ED"/>
    <w:rsid w:val="00CC7BF1"/>
    <w:rsid w:val="00CC7FD3"/>
    <w:rsid w:val="00CD0EA6"/>
    <w:rsid w:val="00CD1001"/>
    <w:rsid w:val="00CD12F4"/>
    <w:rsid w:val="00CD1F5E"/>
    <w:rsid w:val="00CD2490"/>
    <w:rsid w:val="00CD282B"/>
    <w:rsid w:val="00CD3DA7"/>
    <w:rsid w:val="00CD4B44"/>
    <w:rsid w:val="00CD4C35"/>
    <w:rsid w:val="00CD4D0E"/>
    <w:rsid w:val="00CD53D6"/>
    <w:rsid w:val="00CD5601"/>
    <w:rsid w:val="00CD5826"/>
    <w:rsid w:val="00CD6180"/>
    <w:rsid w:val="00CD622A"/>
    <w:rsid w:val="00CD65F8"/>
    <w:rsid w:val="00CD717D"/>
    <w:rsid w:val="00CD7369"/>
    <w:rsid w:val="00CE04FC"/>
    <w:rsid w:val="00CE0FE9"/>
    <w:rsid w:val="00CE15B1"/>
    <w:rsid w:val="00CE1704"/>
    <w:rsid w:val="00CE198D"/>
    <w:rsid w:val="00CE1DA6"/>
    <w:rsid w:val="00CE2A2C"/>
    <w:rsid w:val="00CE2BC6"/>
    <w:rsid w:val="00CE3831"/>
    <w:rsid w:val="00CE40E7"/>
    <w:rsid w:val="00CE434F"/>
    <w:rsid w:val="00CE51F8"/>
    <w:rsid w:val="00CE654C"/>
    <w:rsid w:val="00CE6B93"/>
    <w:rsid w:val="00CE74FE"/>
    <w:rsid w:val="00CE7820"/>
    <w:rsid w:val="00CF0ECF"/>
    <w:rsid w:val="00CF1212"/>
    <w:rsid w:val="00CF1350"/>
    <w:rsid w:val="00CF154E"/>
    <w:rsid w:val="00CF18EA"/>
    <w:rsid w:val="00CF1D44"/>
    <w:rsid w:val="00CF3076"/>
    <w:rsid w:val="00CF34B6"/>
    <w:rsid w:val="00CF3696"/>
    <w:rsid w:val="00CF4849"/>
    <w:rsid w:val="00CF518F"/>
    <w:rsid w:val="00CF61D2"/>
    <w:rsid w:val="00CF63B2"/>
    <w:rsid w:val="00CF713C"/>
    <w:rsid w:val="00D00426"/>
    <w:rsid w:val="00D00ABB"/>
    <w:rsid w:val="00D01B42"/>
    <w:rsid w:val="00D0213C"/>
    <w:rsid w:val="00D02EEC"/>
    <w:rsid w:val="00D031D1"/>
    <w:rsid w:val="00D03551"/>
    <w:rsid w:val="00D047F7"/>
    <w:rsid w:val="00D05216"/>
    <w:rsid w:val="00D05DF2"/>
    <w:rsid w:val="00D05EBA"/>
    <w:rsid w:val="00D0653D"/>
    <w:rsid w:val="00D06A63"/>
    <w:rsid w:val="00D06C43"/>
    <w:rsid w:val="00D07793"/>
    <w:rsid w:val="00D07834"/>
    <w:rsid w:val="00D07E0E"/>
    <w:rsid w:val="00D11478"/>
    <w:rsid w:val="00D14407"/>
    <w:rsid w:val="00D14F70"/>
    <w:rsid w:val="00D15ED0"/>
    <w:rsid w:val="00D1721C"/>
    <w:rsid w:val="00D17EA7"/>
    <w:rsid w:val="00D206AB"/>
    <w:rsid w:val="00D20795"/>
    <w:rsid w:val="00D21B3E"/>
    <w:rsid w:val="00D21C4B"/>
    <w:rsid w:val="00D21C4C"/>
    <w:rsid w:val="00D21FED"/>
    <w:rsid w:val="00D22528"/>
    <w:rsid w:val="00D229DC"/>
    <w:rsid w:val="00D22AAE"/>
    <w:rsid w:val="00D2350B"/>
    <w:rsid w:val="00D24251"/>
    <w:rsid w:val="00D255A7"/>
    <w:rsid w:val="00D26005"/>
    <w:rsid w:val="00D305A0"/>
    <w:rsid w:val="00D305F3"/>
    <w:rsid w:val="00D32155"/>
    <w:rsid w:val="00D32F93"/>
    <w:rsid w:val="00D3359D"/>
    <w:rsid w:val="00D341A1"/>
    <w:rsid w:val="00D343A0"/>
    <w:rsid w:val="00D343E2"/>
    <w:rsid w:val="00D348AE"/>
    <w:rsid w:val="00D3553F"/>
    <w:rsid w:val="00D361A2"/>
    <w:rsid w:val="00D367F2"/>
    <w:rsid w:val="00D41D07"/>
    <w:rsid w:val="00D422D1"/>
    <w:rsid w:val="00D42B28"/>
    <w:rsid w:val="00D442EF"/>
    <w:rsid w:val="00D44C2E"/>
    <w:rsid w:val="00D45414"/>
    <w:rsid w:val="00D461E7"/>
    <w:rsid w:val="00D46557"/>
    <w:rsid w:val="00D46E0F"/>
    <w:rsid w:val="00D47299"/>
    <w:rsid w:val="00D47977"/>
    <w:rsid w:val="00D479E0"/>
    <w:rsid w:val="00D508FF"/>
    <w:rsid w:val="00D50C44"/>
    <w:rsid w:val="00D521C9"/>
    <w:rsid w:val="00D5256C"/>
    <w:rsid w:val="00D538A9"/>
    <w:rsid w:val="00D53ADF"/>
    <w:rsid w:val="00D53C40"/>
    <w:rsid w:val="00D5436E"/>
    <w:rsid w:val="00D566BD"/>
    <w:rsid w:val="00D56B2E"/>
    <w:rsid w:val="00D57325"/>
    <w:rsid w:val="00D57625"/>
    <w:rsid w:val="00D57A4D"/>
    <w:rsid w:val="00D57B34"/>
    <w:rsid w:val="00D60942"/>
    <w:rsid w:val="00D60AA7"/>
    <w:rsid w:val="00D610EA"/>
    <w:rsid w:val="00D62388"/>
    <w:rsid w:val="00D6299C"/>
    <w:rsid w:val="00D62A47"/>
    <w:rsid w:val="00D62F3A"/>
    <w:rsid w:val="00D63BC8"/>
    <w:rsid w:val="00D64125"/>
    <w:rsid w:val="00D6420C"/>
    <w:rsid w:val="00D645C6"/>
    <w:rsid w:val="00D64F35"/>
    <w:rsid w:val="00D65652"/>
    <w:rsid w:val="00D656F0"/>
    <w:rsid w:val="00D65B27"/>
    <w:rsid w:val="00D66E75"/>
    <w:rsid w:val="00D6727E"/>
    <w:rsid w:val="00D67D47"/>
    <w:rsid w:val="00D701C3"/>
    <w:rsid w:val="00D7059B"/>
    <w:rsid w:val="00D709CD"/>
    <w:rsid w:val="00D71210"/>
    <w:rsid w:val="00D71C2C"/>
    <w:rsid w:val="00D72154"/>
    <w:rsid w:val="00D74906"/>
    <w:rsid w:val="00D75E28"/>
    <w:rsid w:val="00D762B6"/>
    <w:rsid w:val="00D76814"/>
    <w:rsid w:val="00D772C2"/>
    <w:rsid w:val="00D8008E"/>
    <w:rsid w:val="00D81104"/>
    <w:rsid w:val="00D81BB1"/>
    <w:rsid w:val="00D81CF6"/>
    <w:rsid w:val="00D823C4"/>
    <w:rsid w:val="00D82C45"/>
    <w:rsid w:val="00D83B8E"/>
    <w:rsid w:val="00D84AD8"/>
    <w:rsid w:val="00D861D3"/>
    <w:rsid w:val="00D8630F"/>
    <w:rsid w:val="00D879ED"/>
    <w:rsid w:val="00D9011B"/>
    <w:rsid w:val="00D903F8"/>
    <w:rsid w:val="00D908A8"/>
    <w:rsid w:val="00D93C84"/>
    <w:rsid w:val="00D95D0F"/>
    <w:rsid w:val="00D97141"/>
    <w:rsid w:val="00D977B6"/>
    <w:rsid w:val="00D97A4F"/>
    <w:rsid w:val="00DA0C17"/>
    <w:rsid w:val="00DA0F34"/>
    <w:rsid w:val="00DA1653"/>
    <w:rsid w:val="00DA166E"/>
    <w:rsid w:val="00DA1A99"/>
    <w:rsid w:val="00DA2766"/>
    <w:rsid w:val="00DA2D88"/>
    <w:rsid w:val="00DA3742"/>
    <w:rsid w:val="00DA467F"/>
    <w:rsid w:val="00DA4A31"/>
    <w:rsid w:val="00DA6F7F"/>
    <w:rsid w:val="00DA7093"/>
    <w:rsid w:val="00DA76CD"/>
    <w:rsid w:val="00DA7B04"/>
    <w:rsid w:val="00DB18CB"/>
    <w:rsid w:val="00DB1BAB"/>
    <w:rsid w:val="00DB201B"/>
    <w:rsid w:val="00DB36C2"/>
    <w:rsid w:val="00DB3C64"/>
    <w:rsid w:val="00DB46E7"/>
    <w:rsid w:val="00DB4AA6"/>
    <w:rsid w:val="00DB4ACD"/>
    <w:rsid w:val="00DB4BEF"/>
    <w:rsid w:val="00DB4D20"/>
    <w:rsid w:val="00DB4EDF"/>
    <w:rsid w:val="00DB51D1"/>
    <w:rsid w:val="00DB57FB"/>
    <w:rsid w:val="00DB6ED7"/>
    <w:rsid w:val="00DC02C2"/>
    <w:rsid w:val="00DC169B"/>
    <w:rsid w:val="00DC1B73"/>
    <w:rsid w:val="00DC1E8F"/>
    <w:rsid w:val="00DC2559"/>
    <w:rsid w:val="00DC26A9"/>
    <w:rsid w:val="00DC2AB9"/>
    <w:rsid w:val="00DC43B7"/>
    <w:rsid w:val="00DC4F6D"/>
    <w:rsid w:val="00DC50CA"/>
    <w:rsid w:val="00DC511A"/>
    <w:rsid w:val="00DC593B"/>
    <w:rsid w:val="00DC63F0"/>
    <w:rsid w:val="00DC6C0E"/>
    <w:rsid w:val="00DD173A"/>
    <w:rsid w:val="00DD179D"/>
    <w:rsid w:val="00DD1F08"/>
    <w:rsid w:val="00DD1FE5"/>
    <w:rsid w:val="00DD3999"/>
    <w:rsid w:val="00DD3B64"/>
    <w:rsid w:val="00DD4D0F"/>
    <w:rsid w:val="00DD6EE5"/>
    <w:rsid w:val="00DD72D3"/>
    <w:rsid w:val="00DE056A"/>
    <w:rsid w:val="00DE0723"/>
    <w:rsid w:val="00DE1ACF"/>
    <w:rsid w:val="00DE1C4B"/>
    <w:rsid w:val="00DE2724"/>
    <w:rsid w:val="00DE2B10"/>
    <w:rsid w:val="00DE319E"/>
    <w:rsid w:val="00DE386C"/>
    <w:rsid w:val="00DE4BE4"/>
    <w:rsid w:val="00DE4D35"/>
    <w:rsid w:val="00DE4F63"/>
    <w:rsid w:val="00DE51E3"/>
    <w:rsid w:val="00DE5802"/>
    <w:rsid w:val="00DE5808"/>
    <w:rsid w:val="00DE5D48"/>
    <w:rsid w:val="00DE7724"/>
    <w:rsid w:val="00DF041B"/>
    <w:rsid w:val="00DF098B"/>
    <w:rsid w:val="00DF1185"/>
    <w:rsid w:val="00DF11C4"/>
    <w:rsid w:val="00DF15F5"/>
    <w:rsid w:val="00DF210C"/>
    <w:rsid w:val="00DF283C"/>
    <w:rsid w:val="00DF3001"/>
    <w:rsid w:val="00DF31A4"/>
    <w:rsid w:val="00DF33F1"/>
    <w:rsid w:val="00DF38D3"/>
    <w:rsid w:val="00DF3C5E"/>
    <w:rsid w:val="00DF420F"/>
    <w:rsid w:val="00DF45DB"/>
    <w:rsid w:val="00DF4B6A"/>
    <w:rsid w:val="00DF4E9A"/>
    <w:rsid w:val="00DF51B1"/>
    <w:rsid w:val="00DF58D7"/>
    <w:rsid w:val="00DF5FCD"/>
    <w:rsid w:val="00DF66D1"/>
    <w:rsid w:val="00DF6D84"/>
    <w:rsid w:val="00DF7E1D"/>
    <w:rsid w:val="00E0104D"/>
    <w:rsid w:val="00E012D0"/>
    <w:rsid w:val="00E012DF"/>
    <w:rsid w:val="00E01562"/>
    <w:rsid w:val="00E022CD"/>
    <w:rsid w:val="00E02445"/>
    <w:rsid w:val="00E02A9F"/>
    <w:rsid w:val="00E02C09"/>
    <w:rsid w:val="00E04839"/>
    <w:rsid w:val="00E04D59"/>
    <w:rsid w:val="00E05B25"/>
    <w:rsid w:val="00E06FF8"/>
    <w:rsid w:val="00E07757"/>
    <w:rsid w:val="00E07DA1"/>
    <w:rsid w:val="00E10793"/>
    <w:rsid w:val="00E10EE4"/>
    <w:rsid w:val="00E123CB"/>
    <w:rsid w:val="00E125F6"/>
    <w:rsid w:val="00E12F88"/>
    <w:rsid w:val="00E13378"/>
    <w:rsid w:val="00E14BF9"/>
    <w:rsid w:val="00E14EEB"/>
    <w:rsid w:val="00E15C46"/>
    <w:rsid w:val="00E1610C"/>
    <w:rsid w:val="00E172F4"/>
    <w:rsid w:val="00E17E54"/>
    <w:rsid w:val="00E17FAC"/>
    <w:rsid w:val="00E20B87"/>
    <w:rsid w:val="00E20E13"/>
    <w:rsid w:val="00E219E1"/>
    <w:rsid w:val="00E21DBC"/>
    <w:rsid w:val="00E2343C"/>
    <w:rsid w:val="00E249FB"/>
    <w:rsid w:val="00E255CC"/>
    <w:rsid w:val="00E257C6"/>
    <w:rsid w:val="00E26124"/>
    <w:rsid w:val="00E26595"/>
    <w:rsid w:val="00E275D7"/>
    <w:rsid w:val="00E27DBE"/>
    <w:rsid w:val="00E32AB1"/>
    <w:rsid w:val="00E33107"/>
    <w:rsid w:val="00E34048"/>
    <w:rsid w:val="00E34135"/>
    <w:rsid w:val="00E34C82"/>
    <w:rsid w:val="00E34CC7"/>
    <w:rsid w:val="00E35332"/>
    <w:rsid w:val="00E363A1"/>
    <w:rsid w:val="00E36C71"/>
    <w:rsid w:val="00E37169"/>
    <w:rsid w:val="00E40404"/>
    <w:rsid w:val="00E404B4"/>
    <w:rsid w:val="00E406F2"/>
    <w:rsid w:val="00E40AAB"/>
    <w:rsid w:val="00E40C1F"/>
    <w:rsid w:val="00E40E6C"/>
    <w:rsid w:val="00E415C2"/>
    <w:rsid w:val="00E419E9"/>
    <w:rsid w:val="00E42097"/>
    <w:rsid w:val="00E42D0E"/>
    <w:rsid w:val="00E42E50"/>
    <w:rsid w:val="00E43CA7"/>
    <w:rsid w:val="00E4425A"/>
    <w:rsid w:val="00E452B3"/>
    <w:rsid w:val="00E45594"/>
    <w:rsid w:val="00E4571A"/>
    <w:rsid w:val="00E467C8"/>
    <w:rsid w:val="00E47589"/>
    <w:rsid w:val="00E47BE4"/>
    <w:rsid w:val="00E507C4"/>
    <w:rsid w:val="00E50F50"/>
    <w:rsid w:val="00E51C88"/>
    <w:rsid w:val="00E51D33"/>
    <w:rsid w:val="00E51E07"/>
    <w:rsid w:val="00E525A3"/>
    <w:rsid w:val="00E52BC8"/>
    <w:rsid w:val="00E53509"/>
    <w:rsid w:val="00E543BF"/>
    <w:rsid w:val="00E5445D"/>
    <w:rsid w:val="00E549F8"/>
    <w:rsid w:val="00E55512"/>
    <w:rsid w:val="00E558E5"/>
    <w:rsid w:val="00E559F0"/>
    <w:rsid w:val="00E56A0D"/>
    <w:rsid w:val="00E573B7"/>
    <w:rsid w:val="00E57BFB"/>
    <w:rsid w:val="00E57E2A"/>
    <w:rsid w:val="00E600C3"/>
    <w:rsid w:val="00E610D1"/>
    <w:rsid w:val="00E61818"/>
    <w:rsid w:val="00E61D33"/>
    <w:rsid w:val="00E62583"/>
    <w:rsid w:val="00E64915"/>
    <w:rsid w:val="00E64D8F"/>
    <w:rsid w:val="00E6586B"/>
    <w:rsid w:val="00E65DC1"/>
    <w:rsid w:val="00E661D4"/>
    <w:rsid w:val="00E6667C"/>
    <w:rsid w:val="00E668BD"/>
    <w:rsid w:val="00E66F33"/>
    <w:rsid w:val="00E67D04"/>
    <w:rsid w:val="00E67E46"/>
    <w:rsid w:val="00E70091"/>
    <w:rsid w:val="00E720F5"/>
    <w:rsid w:val="00E72F87"/>
    <w:rsid w:val="00E7362C"/>
    <w:rsid w:val="00E73CD6"/>
    <w:rsid w:val="00E73D3C"/>
    <w:rsid w:val="00E75C94"/>
    <w:rsid w:val="00E76D47"/>
    <w:rsid w:val="00E801D3"/>
    <w:rsid w:val="00E80896"/>
    <w:rsid w:val="00E80BDB"/>
    <w:rsid w:val="00E80D6A"/>
    <w:rsid w:val="00E82922"/>
    <w:rsid w:val="00E83121"/>
    <w:rsid w:val="00E8345E"/>
    <w:rsid w:val="00E845EB"/>
    <w:rsid w:val="00E84681"/>
    <w:rsid w:val="00E849F7"/>
    <w:rsid w:val="00E8546B"/>
    <w:rsid w:val="00E85D74"/>
    <w:rsid w:val="00E85D7D"/>
    <w:rsid w:val="00E85F50"/>
    <w:rsid w:val="00E86664"/>
    <w:rsid w:val="00E867B6"/>
    <w:rsid w:val="00E86876"/>
    <w:rsid w:val="00E86DD3"/>
    <w:rsid w:val="00E86F6A"/>
    <w:rsid w:val="00E86FCC"/>
    <w:rsid w:val="00E87ACB"/>
    <w:rsid w:val="00E87F56"/>
    <w:rsid w:val="00E90302"/>
    <w:rsid w:val="00E90568"/>
    <w:rsid w:val="00E9117C"/>
    <w:rsid w:val="00E91958"/>
    <w:rsid w:val="00E93397"/>
    <w:rsid w:val="00E94075"/>
    <w:rsid w:val="00E9440F"/>
    <w:rsid w:val="00E94E34"/>
    <w:rsid w:val="00E955A2"/>
    <w:rsid w:val="00E96D2B"/>
    <w:rsid w:val="00E97396"/>
    <w:rsid w:val="00E976B6"/>
    <w:rsid w:val="00EA044D"/>
    <w:rsid w:val="00EA0E08"/>
    <w:rsid w:val="00EA1043"/>
    <w:rsid w:val="00EA1289"/>
    <w:rsid w:val="00EA185E"/>
    <w:rsid w:val="00EA30FE"/>
    <w:rsid w:val="00EA3530"/>
    <w:rsid w:val="00EA42BA"/>
    <w:rsid w:val="00EA45B9"/>
    <w:rsid w:val="00EA54CA"/>
    <w:rsid w:val="00EA591B"/>
    <w:rsid w:val="00EA592A"/>
    <w:rsid w:val="00EA5FA2"/>
    <w:rsid w:val="00EA6410"/>
    <w:rsid w:val="00EA72A0"/>
    <w:rsid w:val="00EA7736"/>
    <w:rsid w:val="00EB32A5"/>
    <w:rsid w:val="00EB34ED"/>
    <w:rsid w:val="00EB44C5"/>
    <w:rsid w:val="00EB4886"/>
    <w:rsid w:val="00EB6719"/>
    <w:rsid w:val="00EB7BE0"/>
    <w:rsid w:val="00EC1CC3"/>
    <w:rsid w:val="00EC1D42"/>
    <w:rsid w:val="00EC2B4A"/>
    <w:rsid w:val="00EC3003"/>
    <w:rsid w:val="00EC315E"/>
    <w:rsid w:val="00EC3308"/>
    <w:rsid w:val="00EC48B1"/>
    <w:rsid w:val="00EC49DA"/>
    <w:rsid w:val="00EC564D"/>
    <w:rsid w:val="00EC5869"/>
    <w:rsid w:val="00EC6177"/>
    <w:rsid w:val="00EC65B2"/>
    <w:rsid w:val="00EC722E"/>
    <w:rsid w:val="00EC7418"/>
    <w:rsid w:val="00EC74BC"/>
    <w:rsid w:val="00EC7634"/>
    <w:rsid w:val="00EC7690"/>
    <w:rsid w:val="00EC7DB3"/>
    <w:rsid w:val="00EC7E40"/>
    <w:rsid w:val="00ED056A"/>
    <w:rsid w:val="00ED077C"/>
    <w:rsid w:val="00ED0787"/>
    <w:rsid w:val="00ED1190"/>
    <w:rsid w:val="00ED14AC"/>
    <w:rsid w:val="00ED1A2B"/>
    <w:rsid w:val="00ED2628"/>
    <w:rsid w:val="00ED3801"/>
    <w:rsid w:val="00ED4841"/>
    <w:rsid w:val="00ED4C9E"/>
    <w:rsid w:val="00ED556B"/>
    <w:rsid w:val="00ED5ECA"/>
    <w:rsid w:val="00ED5FE3"/>
    <w:rsid w:val="00ED6544"/>
    <w:rsid w:val="00ED72B5"/>
    <w:rsid w:val="00EE0277"/>
    <w:rsid w:val="00EE179C"/>
    <w:rsid w:val="00EE1849"/>
    <w:rsid w:val="00EE1A44"/>
    <w:rsid w:val="00EE28F6"/>
    <w:rsid w:val="00EE35BE"/>
    <w:rsid w:val="00EE3910"/>
    <w:rsid w:val="00EE3E00"/>
    <w:rsid w:val="00EE420E"/>
    <w:rsid w:val="00EE435D"/>
    <w:rsid w:val="00EE5175"/>
    <w:rsid w:val="00EE6331"/>
    <w:rsid w:val="00EE6364"/>
    <w:rsid w:val="00EE643A"/>
    <w:rsid w:val="00EE73FC"/>
    <w:rsid w:val="00EE7555"/>
    <w:rsid w:val="00EE76FB"/>
    <w:rsid w:val="00EF023A"/>
    <w:rsid w:val="00EF0667"/>
    <w:rsid w:val="00EF173C"/>
    <w:rsid w:val="00EF2115"/>
    <w:rsid w:val="00EF21A4"/>
    <w:rsid w:val="00EF25AD"/>
    <w:rsid w:val="00EF26EA"/>
    <w:rsid w:val="00EF47A9"/>
    <w:rsid w:val="00EF4EA6"/>
    <w:rsid w:val="00EF61E4"/>
    <w:rsid w:val="00EF623C"/>
    <w:rsid w:val="00EF7CFF"/>
    <w:rsid w:val="00F00A79"/>
    <w:rsid w:val="00F00E86"/>
    <w:rsid w:val="00F01357"/>
    <w:rsid w:val="00F02005"/>
    <w:rsid w:val="00F020B0"/>
    <w:rsid w:val="00F02AFF"/>
    <w:rsid w:val="00F02C9F"/>
    <w:rsid w:val="00F0350A"/>
    <w:rsid w:val="00F03775"/>
    <w:rsid w:val="00F04A57"/>
    <w:rsid w:val="00F04B98"/>
    <w:rsid w:val="00F05A4A"/>
    <w:rsid w:val="00F05A6E"/>
    <w:rsid w:val="00F05FC3"/>
    <w:rsid w:val="00F06380"/>
    <w:rsid w:val="00F06633"/>
    <w:rsid w:val="00F07A41"/>
    <w:rsid w:val="00F07C1E"/>
    <w:rsid w:val="00F07EF8"/>
    <w:rsid w:val="00F105DB"/>
    <w:rsid w:val="00F10D88"/>
    <w:rsid w:val="00F111F7"/>
    <w:rsid w:val="00F112CE"/>
    <w:rsid w:val="00F121ED"/>
    <w:rsid w:val="00F12269"/>
    <w:rsid w:val="00F12401"/>
    <w:rsid w:val="00F132BC"/>
    <w:rsid w:val="00F13658"/>
    <w:rsid w:val="00F149A8"/>
    <w:rsid w:val="00F15AF9"/>
    <w:rsid w:val="00F160C6"/>
    <w:rsid w:val="00F16AAA"/>
    <w:rsid w:val="00F17327"/>
    <w:rsid w:val="00F177E6"/>
    <w:rsid w:val="00F20476"/>
    <w:rsid w:val="00F20EFD"/>
    <w:rsid w:val="00F21161"/>
    <w:rsid w:val="00F212FF"/>
    <w:rsid w:val="00F215E0"/>
    <w:rsid w:val="00F218EF"/>
    <w:rsid w:val="00F21BC7"/>
    <w:rsid w:val="00F22501"/>
    <w:rsid w:val="00F24E19"/>
    <w:rsid w:val="00F25AA5"/>
    <w:rsid w:val="00F266A2"/>
    <w:rsid w:val="00F26BB9"/>
    <w:rsid w:val="00F26C3A"/>
    <w:rsid w:val="00F2752E"/>
    <w:rsid w:val="00F27F08"/>
    <w:rsid w:val="00F3017B"/>
    <w:rsid w:val="00F30628"/>
    <w:rsid w:val="00F310C6"/>
    <w:rsid w:val="00F32269"/>
    <w:rsid w:val="00F323FF"/>
    <w:rsid w:val="00F3339A"/>
    <w:rsid w:val="00F33D56"/>
    <w:rsid w:val="00F3404E"/>
    <w:rsid w:val="00F34BFD"/>
    <w:rsid w:val="00F34FA7"/>
    <w:rsid w:val="00F35D0E"/>
    <w:rsid w:val="00F36486"/>
    <w:rsid w:val="00F37141"/>
    <w:rsid w:val="00F37D41"/>
    <w:rsid w:val="00F402D0"/>
    <w:rsid w:val="00F4214F"/>
    <w:rsid w:val="00F42441"/>
    <w:rsid w:val="00F42E96"/>
    <w:rsid w:val="00F449EE"/>
    <w:rsid w:val="00F44FC3"/>
    <w:rsid w:val="00F452A0"/>
    <w:rsid w:val="00F45FB1"/>
    <w:rsid w:val="00F46225"/>
    <w:rsid w:val="00F46E20"/>
    <w:rsid w:val="00F4730C"/>
    <w:rsid w:val="00F47AD7"/>
    <w:rsid w:val="00F50055"/>
    <w:rsid w:val="00F50162"/>
    <w:rsid w:val="00F50589"/>
    <w:rsid w:val="00F50BC7"/>
    <w:rsid w:val="00F51C17"/>
    <w:rsid w:val="00F52785"/>
    <w:rsid w:val="00F52AEF"/>
    <w:rsid w:val="00F534AA"/>
    <w:rsid w:val="00F53D62"/>
    <w:rsid w:val="00F543CB"/>
    <w:rsid w:val="00F5483E"/>
    <w:rsid w:val="00F5665D"/>
    <w:rsid w:val="00F566BA"/>
    <w:rsid w:val="00F56A6F"/>
    <w:rsid w:val="00F5709C"/>
    <w:rsid w:val="00F572D9"/>
    <w:rsid w:val="00F57611"/>
    <w:rsid w:val="00F60490"/>
    <w:rsid w:val="00F61191"/>
    <w:rsid w:val="00F61AD5"/>
    <w:rsid w:val="00F625FF"/>
    <w:rsid w:val="00F63002"/>
    <w:rsid w:val="00F63391"/>
    <w:rsid w:val="00F637DD"/>
    <w:rsid w:val="00F63A69"/>
    <w:rsid w:val="00F640C8"/>
    <w:rsid w:val="00F644AD"/>
    <w:rsid w:val="00F6455A"/>
    <w:rsid w:val="00F64EF1"/>
    <w:rsid w:val="00F64F79"/>
    <w:rsid w:val="00F66420"/>
    <w:rsid w:val="00F676F2"/>
    <w:rsid w:val="00F70204"/>
    <w:rsid w:val="00F70FDF"/>
    <w:rsid w:val="00F71387"/>
    <w:rsid w:val="00F71846"/>
    <w:rsid w:val="00F71A69"/>
    <w:rsid w:val="00F731A4"/>
    <w:rsid w:val="00F7384E"/>
    <w:rsid w:val="00F73A18"/>
    <w:rsid w:val="00F73F68"/>
    <w:rsid w:val="00F74197"/>
    <w:rsid w:val="00F74251"/>
    <w:rsid w:val="00F7517F"/>
    <w:rsid w:val="00F753EF"/>
    <w:rsid w:val="00F757F6"/>
    <w:rsid w:val="00F75A7F"/>
    <w:rsid w:val="00F768C3"/>
    <w:rsid w:val="00F77D82"/>
    <w:rsid w:val="00F8012D"/>
    <w:rsid w:val="00F813B0"/>
    <w:rsid w:val="00F819C5"/>
    <w:rsid w:val="00F81C58"/>
    <w:rsid w:val="00F8220E"/>
    <w:rsid w:val="00F82705"/>
    <w:rsid w:val="00F82D6D"/>
    <w:rsid w:val="00F83DA3"/>
    <w:rsid w:val="00F84B69"/>
    <w:rsid w:val="00F85753"/>
    <w:rsid w:val="00F85D0A"/>
    <w:rsid w:val="00F86367"/>
    <w:rsid w:val="00F866D0"/>
    <w:rsid w:val="00F87605"/>
    <w:rsid w:val="00F8765F"/>
    <w:rsid w:val="00F87E7C"/>
    <w:rsid w:val="00F90767"/>
    <w:rsid w:val="00F90A07"/>
    <w:rsid w:val="00F90D18"/>
    <w:rsid w:val="00F91039"/>
    <w:rsid w:val="00F91C22"/>
    <w:rsid w:val="00F92283"/>
    <w:rsid w:val="00F92D21"/>
    <w:rsid w:val="00F9329B"/>
    <w:rsid w:val="00F9363B"/>
    <w:rsid w:val="00F950BB"/>
    <w:rsid w:val="00F95CC9"/>
    <w:rsid w:val="00F96967"/>
    <w:rsid w:val="00FA029D"/>
    <w:rsid w:val="00FA03BB"/>
    <w:rsid w:val="00FA121A"/>
    <w:rsid w:val="00FA16B0"/>
    <w:rsid w:val="00FA170D"/>
    <w:rsid w:val="00FA24A2"/>
    <w:rsid w:val="00FA2ED7"/>
    <w:rsid w:val="00FA3338"/>
    <w:rsid w:val="00FA4EC9"/>
    <w:rsid w:val="00FA556A"/>
    <w:rsid w:val="00FA617D"/>
    <w:rsid w:val="00FA6360"/>
    <w:rsid w:val="00FA685B"/>
    <w:rsid w:val="00FA6926"/>
    <w:rsid w:val="00FA6F04"/>
    <w:rsid w:val="00FA7743"/>
    <w:rsid w:val="00FB0528"/>
    <w:rsid w:val="00FB0C01"/>
    <w:rsid w:val="00FB12D0"/>
    <w:rsid w:val="00FB17F7"/>
    <w:rsid w:val="00FB1A7D"/>
    <w:rsid w:val="00FB259D"/>
    <w:rsid w:val="00FB27BC"/>
    <w:rsid w:val="00FB39AB"/>
    <w:rsid w:val="00FB3FCE"/>
    <w:rsid w:val="00FB42EB"/>
    <w:rsid w:val="00FB5934"/>
    <w:rsid w:val="00FB6044"/>
    <w:rsid w:val="00FB6252"/>
    <w:rsid w:val="00FB7EB4"/>
    <w:rsid w:val="00FC027C"/>
    <w:rsid w:val="00FC18F2"/>
    <w:rsid w:val="00FC2175"/>
    <w:rsid w:val="00FC39E5"/>
    <w:rsid w:val="00FC3A78"/>
    <w:rsid w:val="00FC3CA0"/>
    <w:rsid w:val="00FC44F1"/>
    <w:rsid w:val="00FC4D51"/>
    <w:rsid w:val="00FC5D37"/>
    <w:rsid w:val="00FC7231"/>
    <w:rsid w:val="00FD1005"/>
    <w:rsid w:val="00FD1DF2"/>
    <w:rsid w:val="00FD28C2"/>
    <w:rsid w:val="00FD2AE2"/>
    <w:rsid w:val="00FD318A"/>
    <w:rsid w:val="00FD3F49"/>
    <w:rsid w:val="00FD43D0"/>
    <w:rsid w:val="00FD63F6"/>
    <w:rsid w:val="00FD6887"/>
    <w:rsid w:val="00FD6C75"/>
    <w:rsid w:val="00FD7357"/>
    <w:rsid w:val="00FD7359"/>
    <w:rsid w:val="00FD7360"/>
    <w:rsid w:val="00FE0AEB"/>
    <w:rsid w:val="00FE2104"/>
    <w:rsid w:val="00FE2665"/>
    <w:rsid w:val="00FE30D0"/>
    <w:rsid w:val="00FE42BE"/>
    <w:rsid w:val="00FE42F0"/>
    <w:rsid w:val="00FE43AB"/>
    <w:rsid w:val="00FE44EE"/>
    <w:rsid w:val="00FE4867"/>
    <w:rsid w:val="00FE4DBC"/>
    <w:rsid w:val="00FE62ED"/>
    <w:rsid w:val="00FE6DD3"/>
    <w:rsid w:val="00FE703A"/>
    <w:rsid w:val="00FE71B3"/>
    <w:rsid w:val="00FE7BAF"/>
    <w:rsid w:val="00FF109D"/>
    <w:rsid w:val="00FF42C5"/>
    <w:rsid w:val="00FF4410"/>
    <w:rsid w:val="00FF45A6"/>
    <w:rsid w:val="00FF473C"/>
    <w:rsid w:val="00FF4998"/>
    <w:rsid w:val="00FF4A3B"/>
    <w:rsid w:val="00FF61B0"/>
    <w:rsid w:val="00F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0786"/>
    <o:shapelayout v:ext="edit">
      <o:idmap v:ext="edit" data="1"/>
    </o:shapelayout>
  </w:shapeDefaults>
  <w:decimalSymbol w:val=","/>
  <w:listSeparator w:val=";"/>
  <w14:docId w14:val="2138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48"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142A8D"/>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
    <w:qFormat/>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
    <w:qFormat/>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6A5211"/>
    <w:pPr>
      <w:jc w:val="center"/>
    </w:pPr>
    <w:rPr>
      <w:sz w:val="20"/>
    </w:rPr>
  </w:style>
  <w:style w:type="paragraph" w:customStyle="1" w:styleId="ECHRFooter">
    <w:name w:val="ECHR_Footer"/>
    <w:aliases w:val="Footer_ECHR"/>
    <w:basedOn w:val="Footer"/>
    <w:uiPriority w:val="40"/>
    <w:rsid w:val="006A5211"/>
    <w:pPr>
      <w:tabs>
        <w:tab w:val="clear" w:pos="9696"/>
        <w:tab w:val="right" w:pos="9072"/>
      </w:tabs>
      <w:ind w:left="0" w:right="0"/>
    </w:pPr>
    <w:rPr>
      <w:sz w:val="20"/>
    </w:rPr>
  </w:style>
  <w:style w:type="paragraph" w:customStyle="1" w:styleId="ECHRCoverTitle1">
    <w:name w:val="ECHR_Cover_Title_1"/>
    <w:aliases w:val="Cover_1"/>
    <w:basedOn w:val="Normal"/>
    <w:next w:val="ECHRCoverTitle2"/>
    <w:uiPriority w:val="24"/>
    <w:qFormat/>
    <w:rsid w:val="006A5211"/>
    <w:pPr>
      <w:spacing w:before="1800"/>
      <w:contextualSpacing/>
      <w:jc w:val="center"/>
    </w:pPr>
    <w:rPr>
      <w:color w:val="2F2F2F" w:themeColor="accent3" w:themeShade="80"/>
      <w:sz w:val="36"/>
    </w:rPr>
  </w:style>
  <w:style w:type="paragraph" w:customStyle="1" w:styleId="ECHRCoverTitle2">
    <w:name w:val="ECHR_Cover_Title_2"/>
    <w:aliases w:val="Cover_2"/>
    <w:basedOn w:val="Normal"/>
    <w:next w:val="ECHRCoverTitle3"/>
    <w:uiPriority w:val="24"/>
    <w:qFormat/>
    <w:rsid w:val="006A5211"/>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6A5211"/>
    <w:pPr>
      <w:spacing w:before="1680" w:after="1080"/>
      <w:contextualSpacing/>
      <w:jc w:val="center"/>
    </w:pPr>
    <w:rPr>
      <w:color w:val="2F2F2F" w:themeColor="accent3" w:themeShade="80"/>
      <w:sz w:val="24"/>
    </w:rPr>
  </w:style>
  <w:style w:type="paragraph" w:customStyle="1" w:styleId="ECHRTitle2">
    <w:name w:val="ECHR_Title_2"/>
    <w:aliases w:val="Title_L_2"/>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Normal"/>
    <w:next w:val="ECHRParaSpaced"/>
    <w:uiPriority w:val="20"/>
    <w:qFormat/>
    <w:rsid w:val="006A5211"/>
    <w:pPr>
      <w:keepNext/>
      <w:keepLines/>
      <w:spacing w:before="240"/>
      <w:contextualSpacing/>
    </w:pPr>
    <w:rPr>
      <w:rFonts w:asciiTheme="majorHAnsi" w:hAnsiTheme="majorHAnsi"/>
      <w:b/>
      <w:color w:val="474747" w:themeColor="accent3" w:themeShade="BF"/>
      <w:sz w:val="28"/>
    </w:rPr>
  </w:style>
  <w:style w:type="paragraph" w:customStyle="1" w:styleId="ECHRDivisionName">
    <w:name w:val="ECHR_DivisionName"/>
    <w:aliases w:val="Div_Name,_Div_Name"/>
    <w:basedOn w:val="Normal"/>
    <w:link w:val="ECHRDivisionNameChar"/>
    <w:uiPriority w:val="41"/>
    <w:qFormat/>
    <w:rsid w:val="006A5211"/>
    <w:rPr>
      <w:b/>
      <w:color w:val="0072BC" w:themeColor="accent1"/>
    </w:rPr>
  </w:style>
  <w:style w:type="character" w:customStyle="1" w:styleId="ECHRDivisionNameChar">
    <w:name w:val="ECHR_DivisionName Char"/>
    <w:aliases w:val="Div_Name Char,_Div_Name Char"/>
    <w:basedOn w:val="DefaultParagraphFont"/>
    <w:link w:val="ECHRDivisionName"/>
    <w:uiPriority w:val="41"/>
    <w:rsid w:val="006A5211"/>
    <w:rPr>
      <w:b/>
      <w:color w:val="0072BC" w:themeColor="accent1"/>
    </w:rPr>
  </w:style>
  <w:style w:type="paragraph" w:customStyle="1" w:styleId="ECHRParaSpaced">
    <w:name w:val="ECHR_Para_Spaced"/>
    <w:aliases w:val="Para_Spaced,_Para_Spaced"/>
    <w:basedOn w:val="ECHRPara"/>
    <w:link w:val="ECHRParaSpacedChar"/>
    <w:uiPriority w:val="5"/>
    <w:qFormat/>
    <w:rsid w:val="006A5211"/>
    <w:pPr>
      <w:spacing w:before="120" w:after="120"/>
    </w:p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6A5211"/>
    <w:pPr>
      <w:keepNext/>
      <w:keepLines/>
      <w:numPr>
        <w:numId w:val="4"/>
      </w:numPr>
      <w:spacing w:before="600"/>
    </w:pPr>
    <w:rPr>
      <w:bCs w:val="0"/>
      <w:color w:val="2F2F2F" w:themeColor="accent3" w:themeShade="80"/>
      <w:sz w:val="36"/>
    </w:rPr>
  </w:style>
  <w:style w:type="paragraph" w:customStyle="1" w:styleId="ECHRHeading2">
    <w:name w:val="ECHR_Heading_2"/>
    <w:aliases w:val="Head_2"/>
    <w:basedOn w:val="Heading2"/>
    <w:next w:val="ECHRParaSpaced"/>
    <w:uiPriority w:val="14"/>
    <w:qFormat/>
    <w:rsid w:val="00C02ED0"/>
    <w:pPr>
      <w:keepNext/>
      <w:keepLines/>
      <w:numPr>
        <w:ilvl w:val="1"/>
        <w:numId w:val="4"/>
      </w:numPr>
      <w:spacing w:before="240"/>
      <w:ind w:left="538"/>
      <w:contextualSpacing/>
    </w:pPr>
    <w:rPr>
      <w:bCs w:val="0"/>
      <w:color w:val="2F2F2F" w:themeColor="accent3" w:themeShade="80"/>
      <w:sz w:val="32"/>
    </w:rPr>
  </w:style>
  <w:style w:type="character" w:customStyle="1" w:styleId="Heading2Char">
    <w:name w:val="Heading 2 Char"/>
    <w:basedOn w:val="DefaultParagraphFont"/>
    <w:link w:val="Heading2"/>
    <w:uiPriority w:val="9"/>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591CAE"/>
    <w:pPr>
      <w:keepNext/>
      <w:keepLines/>
      <w:numPr>
        <w:ilvl w:val="2"/>
        <w:numId w:val="4"/>
      </w:numPr>
      <w:spacing w:before="240" w:line="240" w:lineRule="auto"/>
      <w:ind w:left="340"/>
      <w:contextualSpacing/>
    </w:pPr>
    <w:rPr>
      <w:bCs w:val="0"/>
      <w:color w:val="2F2F2F" w:themeColor="accent3" w:themeShade="80"/>
      <w:sz w:val="28"/>
    </w:rPr>
  </w:style>
  <w:style w:type="paragraph" w:customStyle="1" w:styleId="ECHRHeading4">
    <w:name w:val="ECHR_Heading_4"/>
    <w:aliases w:val="Head_4"/>
    <w:basedOn w:val="Heading4"/>
    <w:next w:val="ECHRParaSpaced"/>
    <w:uiPriority w:val="14"/>
    <w:qFormat/>
    <w:rsid w:val="006A5211"/>
    <w:pPr>
      <w:keepNext/>
      <w:keepLines/>
      <w:numPr>
        <w:ilvl w:val="3"/>
        <w:numId w:val="4"/>
      </w:numPr>
      <w:spacing w:before="240"/>
      <w:contextualSpacing/>
    </w:pPr>
    <w:rPr>
      <w:bCs w:val="0"/>
      <w:i w:val="0"/>
      <w:iCs w:val="0"/>
      <w:color w:val="2F2F2F" w:themeColor="accent3" w:themeShade="80"/>
      <w:sz w:val="26"/>
    </w:rPr>
  </w:style>
  <w:style w:type="character" w:customStyle="1" w:styleId="Heading3Char">
    <w:name w:val="Heading 3 Char"/>
    <w:basedOn w:val="DefaultParagraphFont"/>
    <w:link w:val="Heading3"/>
    <w:uiPriority w:val="9"/>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6A5211"/>
    <w:pPr>
      <w:keepNext/>
      <w:keepLines/>
      <w:numPr>
        <w:ilvl w:val="4"/>
        <w:numId w:val="4"/>
      </w:numPr>
      <w:spacing w:before="240"/>
      <w:contextualSpacing/>
    </w:pPr>
    <w:rPr>
      <w:bCs w:val="0"/>
      <w:color w:val="2F2F2F" w:themeColor="accent3" w:themeShade="80"/>
      <w:sz w:val="24"/>
    </w:rPr>
  </w:style>
  <w:style w:type="paragraph" w:customStyle="1" w:styleId="ECHRHeading6">
    <w:name w:val="ECHR_Heading_6"/>
    <w:aliases w:val="Head_6"/>
    <w:basedOn w:val="Heading6"/>
    <w:next w:val="ECHRParaSpaced"/>
    <w:uiPriority w:val="14"/>
    <w:rsid w:val="006A5211"/>
    <w:pPr>
      <w:keepNext/>
      <w:keepLines/>
      <w:numPr>
        <w:ilvl w:val="5"/>
        <w:numId w:val="4"/>
      </w:numPr>
      <w:spacing w:before="240" w:line="240" w:lineRule="auto"/>
      <w:contextualSpacing/>
    </w:pPr>
    <w:rPr>
      <w:color w:val="2F2F2F" w:themeColor="accent3" w:themeShade="80"/>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6A5211"/>
    <w:pPr>
      <w:keepNext/>
      <w:keepLines/>
      <w:numPr>
        <w:ilvl w:val="6"/>
        <w:numId w:val="4"/>
      </w:numPr>
      <w:spacing w:before="240"/>
      <w:contextualSpacing/>
    </w:pPr>
    <w:rPr>
      <w:color w:val="2F2F2F" w:themeColor="accent3" w:themeShade="80"/>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6A5211"/>
    <w:rPr>
      <w:color w:val="C00000" w:themeColor="accent2"/>
    </w:rPr>
  </w:style>
  <w:style w:type="table" w:customStyle="1" w:styleId="ECHRTable">
    <w:name w:val="ECHR_Table"/>
    <w:basedOn w:val="TableNormal"/>
    <w:rsid w:val="006A52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6A5211"/>
    <w:pPr>
      <w:keepNext/>
      <w:keepLines/>
      <w:spacing w:before="600"/>
      <w:contextualSpacing/>
    </w:pPr>
    <w:rPr>
      <w:rFonts w:asciiTheme="majorHAnsi" w:hAnsiTheme="majorHAnsi"/>
      <w:b/>
      <w:color w:val="2F2F2F" w:themeColor="accent3" w:themeShade="80"/>
      <w:sz w:val="36"/>
    </w:rPr>
  </w:style>
  <w:style w:type="paragraph" w:customStyle="1" w:styleId="ECHRConfidential">
    <w:name w:val="ECHR_Confidential"/>
    <w:aliases w:val="Confidential"/>
    <w:basedOn w:val="ECHRPara"/>
    <w:next w:val="ECHRPara"/>
    <w:uiPriority w:val="30"/>
    <w:qFormat/>
    <w:rsid w:val="006A5211"/>
    <w:pPr>
      <w:jc w:val="right"/>
    </w:pPr>
    <w:rPr>
      <w:color w:val="C00000"/>
      <w:sz w:val="20"/>
    </w:rPr>
  </w:style>
  <w:style w:type="paragraph" w:customStyle="1" w:styleId="ECHRTitleCentre2">
    <w:name w:val="ECHR_Title_Centre_2"/>
    <w:aliases w:val="Title_C_2"/>
    <w:basedOn w:val="Normal"/>
    <w:next w:val="ECHRParaSpaced"/>
    <w:uiPriority w:val="17"/>
    <w:qFormat/>
    <w:rsid w:val="006A5211"/>
    <w:pPr>
      <w:keepNext/>
      <w:keepLines/>
      <w:spacing w:before="240"/>
      <w:contextualSpacing/>
      <w:jc w:val="center"/>
    </w:pPr>
    <w:rPr>
      <w:rFonts w:asciiTheme="majorHAnsi" w:hAnsiTheme="majorHAnsi"/>
      <w:b/>
      <w:color w:val="474747" w:themeColor="accent3" w:themeShade="BF"/>
      <w:sz w:val="32"/>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99"/>
    <w:rsid w:val="006A5211"/>
    <w:pPr>
      <w:tabs>
        <w:tab w:val="center" w:pos="4536"/>
        <w:tab w:val="right" w:pos="9696"/>
      </w:tabs>
      <w:ind w:left="-680" w:right="-680"/>
    </w:pPr>
  </w:style>
  <w:style w:type="character" w:customStyle="1" w:styleId="FooterChar">
    <w:name w:val="Footer Char"/>
    <w:basedOn w:val="DefaultParagraphFont"/>
    <w:link w:val="Footer"/>
    <w:uiPriority w:val="99"/>
    <w:rsid w:val="006A5211"/>
  </w:style>
  <w:style w:type="character" w:styleId="FootnoteReference">
    <w:name w:val="footnote reference"/>
    <w:aliases w:val="a Footnote Reference,FZ,Footnotes refss,Texto de nota al pie,Appel note de bas de page,Footnote number,referencia nota al pie,BVI fnr,f,4_G,16 Point,Superscript 6 Point,Texto nota al pie,Footnote Reference Char3,Ref. de nota al"/>
    <w:basedOn w:val="DefaultParagraphFont"/>
    <w:uiPriority w:val="99"/>
    <w:qFormat/>
    <w:rsid w:val="006A5211"/>
    <w:rPr>
      <w:vertAlign w:val="superscript"/>
    </w:rPr>
  </w:style>
  <w:style w:type="paragraph" w:styleId="FootnoteText">
    <w:name w:val="footnote text"/>
    <w:aliases w:val="Footnote Text Char Char Char Char,FA,FA Fußnotentext,Note de bas de page Car Car,Footnote reference,FA Fu,Footnote Text Char Char Char,Footnote Text Cha,FA Fuﬂnotentext,Texto nota pie Car,FA Fu?notentext,Ca"/>
    <w:basedOn w:val="NormalJustified"/>
    <w:link w:val="FootnoteTextChar"/>
    <w:uiPriority w:val="99"/>
    <w:qFormat/>
    <w:rsid w:val="006A5211"/>
    <w:rPr>
      <w:sz w:val="20"/>
      <w:szCs w:val="20"/>
    </w:rPr>
  </w:style>
  <w:style w:type="character" w:customStyle="1" w:styleId="FootnoteTextChar">
    <w:name w:val="Footnote Text Char"/>
    <w:aliases w:val="Footnote Text Char Char Char Char Char1,FA Char1,FA Fußnotentext Char1,Note de bas de page Car Car Char1,Footnote reference Char1,FA Fu Char1,Footnote Text Char Char Char Char2,Footnote Text Cha Char1,FA Fuﬂnotentext Char,Ca Char1"/>
    <w:basedOn w:val="DefaultParagraphFont"/>
    <w:link w:val="FootnoteText"/>
    <w:uiPriority w:val="99"/>
    <w:rsid w:val="006A5211"/>
    <w:rPr>
      <w:sz w:val="20"/>
      <w:szCs w:val="20"/>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142A8D"/>
    <w:rPr>
      <w:i/>
      <w:color w:val="0072BC" w:themeColor="accent1"/>
      <w:u w:val="none"/>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34"/>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6A5211"/>
    <w:pPr>
      <w:spacing w:before="240"/>
      <w:ind w:left="340" w:right="340" w:hanging="340"/>
    </w:pPr>
    <w:rPr>
      <w:b/>
      <w:color w:val="474747" w:themeColor="accent3" w:themeShade="BF"/>
      <w:sz w:val="28"/>
    </w:rPr>
  </w:style>
  <w:style w:type="paragraph" w:styleId="TOC2">
    <w:name w:val="toc 2"/>
    <w:basedOn w:val="Normal"/>
    <w:next w:val="Normal"/>
    <w:autoRedefine/>
    <w:uiPriority w:val="39"/>
    <w:rsid w:val="006A5211"/>
    <w:pPr>
      <w:spacing w:before="60"/>
      <w:ind w:left="680" w:right="340" w:hanging="340"/>
    </w:pPr>
  </w:style>
  <w:style w:type="paragraph" w:styleId="TOC3">
    <w:name w:val="toc 3"/>
    <w:basedOn w:val="Normal"/>
    <w:next w:val="Normal"/>
    <w:autoRedefine/>
    <w:uiPriority w:val="39"/>
    <w:rsid w:val="006A5211"/>
    <w:pPr>
      <w:ind w:left="1020" w:right="340" w:hanging="340"/>
    </w:pPr>
  </w:style>
  <w:style w:type="paragraph" w:styleId="TOC4">
    <w:name w:val="toc 4"/>
    <w:basedOn w:val="Normal"/>
    <w:next w:val="Normal"/>
    <w:autoRedefine/>
    <w:uiPriority w:val="39"/>
    <w:rsid w:val="006A5211"/>
    <w:pPr>
      <w:tabs>
        <w:tab w:val="right" w:leader="dot" w:pos="9017"/>
      </w:tabs>
      <w:ind w:left="1361" w:right="340" w:hanging="340"/>
    </w:pPr>
  </w:style>
  <w:style w:type="paragraph" w:styleId="TOC5">
    <w:name w:val="toc 5"/>
    <w:basedOn w:val="Normal"/>
    <w:next w:val="Normal"/>
    <w:autoRedefine/>
    <w:uiPriority w:val="39"/>
    <w:rsid w:val="006A5211"/>
    <w:pPr>
      <w:ind w:left="1701" w:right="340" w:hanging="340"/>
    </w:pPr>
  </w:style>
  <w:style w:type="paragraph" w:styleId="TOCHeading">
    <w:name w:val="TOC Heading"/>
    <w:basedOn w:val="ECHRTitleCentre2"/>
    <w:next w:val="Normal"/>
    <w:uiPriority w:val="39"/>
    <w:semiHidden/>
    <w:qFormat/>
    <w:rsid w:val="006A5211"/>
  </w:style>
  <w:style w:type="table" w:customStyle="1" w:styleId="UGTable">
    <w:name w:val="UG_Table"/>
    <w:basedOn w:val="TableNormal"/>
    <w:uiPriority w:val="99"/>
    <w:rsid w:val="006A5211"/>
    <w:rPr>
      <w:rFonts w:eastAsiaTheme="minorEastAsia"/>
      <w:sz w:val="20"/>
      <w:lang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5"/>
      </w:numPr>
    </w:pPr>
  </w:style>
  <w:style w:type="paragraph" w:customStyle="1" w:styleId="ECHRCoverTitle4">
    <w:name w:val="ECHR_Cover_Title_4"/>
    <w:aliases w:val="Cover_4,_Title_4"/>
    <w:basedOn w:val="NormalJustified"/>
    <w:uiPriority w:val="24"/>
    <w:qFormat/>
    <w:rsid w:val="006A5211"/>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6A5211"/>
    <w:pPr>
      <w:ind w:left="567"/>
    </w:pPr>
    <w:rPr>
      <w:sz w:val="20"/>
    </w:rPr>
  </w:style>
  <w:style w:type="paragraph" w:customStyle="1" w:styleId="ECHRPara">
    <w:name w:val="ECHR_Para"/>
    <w:aliases w:val="Para,Ju_Para,_Para,Left,First line:  0 cm,Normal + TimesNewRomanPSMT,10 pt,Left:  1,27 cm,Line spacing:  1.5 l...,N_Para,First line"/>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6A5211"/>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rsid w:val="006A5211"/>
    <w:pPr>
      <w:tabs>
        <w:tab w:val="clear" w:pos="4536"/>
        <w:tab w:val="clear" w:pos="9696"/>
        <w:tab w:val="center" w:pos="6787"/>
        <w:tab w:val="right" w:pos="14640"/>
      </w:tabs>
    </w:pPr>
  </w:style>
  <w:style w:type="paragraph" w:customStyle="1" w:styleId="ECHRHeaderLandscape">
    <w:name w:val="ECHR_Header_Landscape"/>
    <w:aliases w:val="Header_Landscape"/>
    <w:basedOn w:val="Header"/>
    <w:uiPriority w:val="39"/>
    <w:rsid w:val="006A5211"/>
    <w:pPr>
      <w:tabs>
        <w:tab w:val="clear" w:pos="4536"/>
        <w:tab w:val="clear" w:pos="9696"/>
        <w:tab w:val="center" w:pos="6787"/>
        <w:tab w:val="right" w:pos="14640"/>
      </w:tabs>
    </w:p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8"/>
    <w:qFormat/>
    <w:rsid w:val="006A5211"/>
    <w:pPr>
      <w:numPr>
        <w:numId w:val="3"/>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Normal"/>
    <w:uiPriority w:val="9"/>
    <w:qFormat/>
    <w:rsid w:val="006A5211"/>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6A5211"/>
    <w:pPr>
      <w:outlineLvl w:val="0"/>
    </w:pPr>
  </w:style>
  <w:style w:type="paragraph" w:customStyle="1" w:styleId="ECHRTitleTOC1">
    <w:name w:val="ECHR_Title_TOC_1"/>
    <w:aliases w:val="Title_L_TOC"/>
    <w:basedOn w:val="ECHRTitle1"/>
    <w:next w:val="ECHRHeading1"/>
    <w:uiPriority w:val="19"/>
    <w:qFormat/>
    <w:rsid w:val="006A5211"/>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6A5211"/>
    <w:pPr>
      <w:ind w:left="567"/>
    </w:pPr>
  </w:style>
  <w:style w:type="character" w:styleId="FollowedHyperlink">
    <w:name w:val="FollowedHyperlink"/>
    <w:basedOn w:val="DefaultParagraphFont"/>
    <w:uiPriority w:val="99"/>
    <w:semiHidden/>
    <w:rsid w:val="00142A8D"/>
    <w:rPr>
      <w:i/>
      <w:color w:val="0072BC" w:themeColor="accent1"/>
      <w:u w:val="none"/>
    </w:rPr>
  </w:style>
  <w:style w:type="character" w:styleId="CommentReference">
    <w:name w:val="annotation reference"/>
    <w:basedOn w:val="DefaultParagraphFont"/>
    <w:semiHidden/>
    <w:rsid w:val="00D84AD8"/>
    <w:rPr>
      <w:sz w:val="16"/>
      <w:szCs w:val="16"/>
    </w:rPr>
  </w:style>
  <w:style w:type="paragraph" w:styleId="CommentText">
    <w:name w:val="annotation text"/>
    <w:basedOn w:val="Normal"/>
    <w:link w:val="CommentTextChar"/>
    <w:semiHidden/>
    <w:rsid w:val="00D84AD8"/>
    <w:rPr>
      <w:sz w:val="20"/>
      <w:szCs w:val="20"/>
    </w:rPr>
  </w:style>
  <w:style w:type="character" w:customStyle="1" w:styleId="CommentTextChar">
    <w:name w:val="Comment Text Char"/>
    <w:basedOn w:val="DefaultParagraphFont"/>
    <w:link w:val="CommentText"/>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6A5211"/>
    <w:pPr>
      <w:ind w:left="2041" w:right="340" w:hanging="340"/>
    </w:pPr>
  </w:style>
  <w:style w:type="paragraph" w:styleId="TOC7">
    <w:name w:val="toc 7"/>
    <w:basedOn w:val="Normal"/>
    <w:next w:val="Normal"/>
    <w:autoRedefine/>
    <w:uiPriority w:val="39"/>
    <w:rsid w:val="006A5211"/>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6A5211"/>
    <w:pPr>
      <w:ind w:left="567" w:hanging="567"/>
      <w:jc w:val="left"/>
    </w:p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paragraph" w:customStyle="1" w:styleId="Default">
    <w:name w:val="Default"/>
    <w:rsid w:val="001F07D8"/>
    <w:pPr>
      <w:autoSpaceDE w:val="0"/>
      <w:autoSpaceDN w:val="0"/>
      <w:adjustRightInd w:val="0"/>
    </w:pPr>
    <w:rPr>
      <w:rFonts w:ascii="Calibri" w:hAnsi="Calibri" w:cs="Calibri"/>
      <w:color w:val="000000"/>
      <w:sz w:val="24"/>
      <w:szCs w:val="24"/>
    </w:rPr>
  </w:style>
  <w:style w:type="character" w:customStyle="1" w:styleId="sfbbfee58">
    <w:name w:val="sfbbfee58"/>
    <w:basedOn w:val="DefaultParagraphFont"/>
    <w:rsid w:val="0057025D"/>
  </w:style>
  <w:style w:type="character" w:customStyle="1" w:styleId="s6b621b36">
    <w:name w:val="s6b621b36"/>
    <w:basedOn w:val="DefaultParagraphFont"/>
    <w:rsid w:val="00DB4BEF"/>
  </w:style>
  <w:style w:type="character" w:customStyle="1" w:styleId="sae070d1d">
    <w:name w:val="sae070d1d"/>
    <w:basedOn w:val="DefaultParagraphFont"/>
    <w:rsid w:val="00EC48B1"/>
  </w:style>
  <w:style w:type="character" w:customStyle="1" w:styleId="UnresolvedMention">
    <w:name w:val="Unresolved Mention"/>
    <w:basedOn w:val="DefaultParagraphFont"/>
    <w:uiPriority w:val="99"/>
    <w:semiHidden/>
    <w:unhideWhenUsed/>
    <w:rsid w:val="00172308"/>
    <w:rPr>
      <w:color w:val="605E5C"/>
      <w:shd w:val="clear" w:color="auto" w:fill="E1DFDD"/>
    </w:rPr>
  </w:style>
  <w:style w:type="table" w:styleId="ColorfulShading-Accent6">
    <w:name w:val="Colorful Shading Accent 6"/>
    <w:basedOn w:val="TableNormal"/>
    <w:uiPriority w:val="71"/>
    <w:semiHidden/>
    <w:rsid w:val="0045072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ListBullet2">
    <w:name w:val="List Bullet 2"/>
    <w:basedOn w:val="Normal"/>
    <w:uiPriority w:val="98"/>
    <w:semiHidden/>
    <w:rsid w:val="00450723"/>
    <w:pPr>
      <w:numPr>
        <w:numId w:val="7"/>
      </w:numPr>
      <w:contextualSpacing/>
    </w:pPr>
    <w:rPr>
      <w:sz w:val="24"/>
      <w:szCs w:val="24"/>
    </w:rPr>
  </w:style>
  <w:style w:type="paragraph" w:styleId="Revision">
    <w:name w:val="Revision"/>
    <w:hidden/>
    <w:uiPriority w:val="99"/>
    <w:semiHidden/>
    <w:rsid w:val="00FA16B0"/>
  </w:style>
  <w:style w:type="paragraph" w:styleId="HTMLPreformatted">
    <w:name w:val="HTML Preformatted"/>
    <w:basedOn w:val="Normal"/>
    <w:link w:val="HTMLPreformattedChar"/>
    <w:uiPriority w:val="99"/>
    <w:semiHidden/>
    <w:unhideWhenUsed/>
    <w:rsid w:val="006145C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145CD"/>
    <w:rPr>
      <w:rFonts w:ascii="Consolas" w:hAnsi="Consolas"/>
      <w:sz w:val="20"/>
      <w:szCs w:val="20"/>
    </w:rPr>
  </w:style>
  <w:style w:type="paragraph" w:customStyle="1" w:styleId="s30eec3f8">
    <w:name w:val="s30eec3f8"/>
    <w:basedOn w:val="Normal"/>
    <w:rsid w:val="005E2016"/>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JuParaChar1">
    <w:name w:val="Ju_Para Char1"/>
    <w:basedOn w:val="Normal"/>
    <w:rsid w:val="00530294"/>
    <w:pPr>
      <w:suppressAutoHyphens/>
      <w:ind w:firstLine="284"/>
      <w:jc w:val="both"/>
    </w:pPr>
    <w:rPr>
      <w:rFonts w:ascii="Times New Roman" w:eastAsia="Times New Roman" w:hAnsi="Times New Roman" w:cs="Times New Roman"/>
      <w:sz w:val="24"/>
      <w:szCs w:val="20"/>
      <w:lang w:eastAsia="fr-FR"/>
    </w:rPr>
  </w:style>
  <w:style w:type="character" w:customStyle="1" w:styleId="FootnoteTextChar1">
    <w:name w:val="Footnote Text Char1"/>
    <w:aliases w:val="Footnote Text Char Char Char Char Char,Footnote Text Char Char,FA Char,FA Fußnotentext Char,Note de bas de page Car Car Char,Footnote reference Char,FA Fu Char,Footnote Text Char Char Char Char1,Footnote Text Cha Char,Ca Char"/>
    <w:basedOn w:val="DefaultParagraphFont"/>
    <w:uiPriority w:val="99"/>
    <w:rsid w:val="00056E0D"/>
    <w:rPr>
      <w:lang w:val="ro-RO"/>
    </w:rPr>
  </w:style>
  <w:style w:type="character" w:customStyle="1" w:styleId="JuParaChar">
    <w:name w:val="Ju_Para Char"/>
    <w:aliases w:val="ECHR_Para Char"/>
    <w:rsid w:val="003F09F2"/>
    <w:rPr>
      <w:sz w:val="24"/>
      <w:lang w:val="ro-RO" w:eastAsia="fr-FR" w:bidi="ar-SA"/>
    </w:rPr>
  </w:style>
  <w:style w:type="character" w:customStyle="1" w:styleId="s7d2086b4">
    <w:name w:val="s7d2086b4"/>
    <w:rsid w:val="008E2554"/>
  </w:style>
  <w:style w:type="character" w:customStyle="1" w:styleId="s38c10080">
    <w:name w:val="s38c10080"/>
    <w:rsid w:val="008E2554"/>
  </w:style>
  <w:style w:type="paragraph" w:customStyle="1" w:styleId="msonormal0">
    <w:name w:val="msonormal"/>
    <w:basedOn w:val="Normal"/>
    <w:rsid w:val="00B5217F"/>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branch">
    <w:name w:val="branch"/>
    <w:basedOn w:val="Normal"/>
    <w:rsid w:val="00B5217F"/>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expanderandcheckbox">
    <w:name w:val="expanderandcheckbox"/>
    <w:basedOn w:val="DefaultParagraphFont"/>
    <w:rsid w:val="00B5217F"/>
  </w:style>
  <w:style w:type="character" w:customStyle="1" w:styleId="branchname">
    <w:name w:val="branchname"/>
    <w:basedOn w:val="DefaultParagraphFont"/>
    <w:rsid w:val="00B5217F"/>
  </w:style>
  <w:style w:type="character" w:customStyle="1" w:styleId="branchcount">
    <w:name w:val="branchcount"/>
    <w:basedOn w:val="DefaultParagraphFont"/>
    <w:rsid w:val="00B5217F"/>
  </w:style>
  <w:style w:type="character" w:customStyle="1" w:styleId="helpiconplaceholder">
    <w:name w:val="helpiconplaceholder"/>
    <w:basedOn w:val="DefaultParagraphFont"/>
    <w:rsid w:val="00B5217F"/>
  </w:style>
  <w:style w:type="character" w:customStyle="1" w:styleId="branchexpander">
    <w:name w:val="branchexpander"/>
    <w:basedOn w:val="DefaultParagraphFont"/>
    <w:rsid w:val="00B5217F"/>
  </w:style>
  <w:style w:type="character" w:customStyle="1" w:styleId="branch1">
    <w:name w:val="branch1"/>
    <w:basedOn w:val="DefaultParagraphFont"/>
    <w:rsid w:val="00B5217F"/>
  </w:style>
  <w:style w:type="character" w:customStyle="1" w:styleId="helpiconstyle">
    <w:name w:val="helpiconstyle"/>
    <w:basedOn w:val="DefaultParagraphFont"/>
    <w:rsid w:val="00B5217F"/>
  </w:style>
  <w:style w:type="character" w:customStyle="1" w:styleId="helpicon">
    <w:name w:val="helpicon"/>
    <w:basedOn w:val="DefaultParagraphFont"/>
    <w:rsid w:val="00B5217F"/>
  </w:style>
  <w:style w:type="character" w:customStyle="1" w:styleId="heading-text">
    <w:name w:val="heading-text"/>
    <w:basedOn w:val="DefaultParagraphFont"/>
    <w:rsid w:val="00B5217F"/>
  </w:style>
  <w:style w:type="character" w:customStyle="1" w:styleId="counttext">
    <w:name w:val="counttext"/>
    <w:basedOn w:val="DefaultParagraphFont"/>
    <w:rsid w:val="00B5217F"/>
  </w:style>
  <w:style w:type="character" w:customStyle="1" w:styleId="resultnumber">
    <w:name w:val="resultnumber"/>
    <w:basedOn w:val="DefaultParagraphFont"/>
    <w:rsid w:val="00B5217F"/>
  </w:style>
  <w:style w:type="character" w:customStyle="1" w:styleId="resultsfoundtext">
    <w:name w:val="resultsfoundtext"/>
    <w:basedOn w:val="DefaultParagraphFont"/>
    <w:rsid w:val="00B5217F"/>
  </w:style>
  <w:style w:type="character" w:customStyle="1" w:styleId="printbutton">
    <w:name w:val="printbutton"/>
    <w:basedOn w:val="DefaultParagraphFont"/>
    <w:rsid w:val="00B5217F"/>
  </w:style>
  <w:style w:type="character" w:customStyle="1" w:styleId="icon">
    <w:name w:val="icon"/>
    <w:basedOn w:val="DefaultParagraphFont"/>
    <w:rsid w:val="00B5217F"/>
  </w:style>
  <w:style w:type="character" w:customStyle="1" w:styleId="icontext">
    <w:name w:val="icontext"/>
    <w:basedOn w:val="DefaultParagraphFont"/>
    <w:rsid w:val="00B5217F"/>
  </w:style>
  <w:style w:type="character" w:customStyle="1" w:styleId="exportbutton">
    <w:name w:val="exportbutton"/>
    <w:basedOn w:val="DefaultParagraphFont"/>
    <w:rsid w:val="00B5217F"/>
  </w:style>
  <w:style w:type="character" w:customStyle="1" w:styleId="sorttitle">
    <w:name w:val="sorttitle"/>
    <w:basedOn w:val="DefaultParagraphFont"/>
    <w:rsid w:val="00B5217F"/>
  </w:style>
  <w:style w:type="character" w:customStyle="1" w:styleId="criteriatitle">
    <w:name w:val="criteriatitle"/>
    <w:basedOn w:val="DefaultParagraphFont"/>
    <w:rsid w:val="00B5217F"/>
  </w:style>
  <w:style w:type="character" w:customStyle="1" w:styleId="criteriavalue">
    <w:name w:val="criteriavalue"/>
    <w:basedOn w:val="DefaultParagraphFont"/>
    <w:rsid w:val="00B5217F"/>
  </w:style>
  <w:style w:type="character" w:customStyle="1" w:styleId="column">
    <w:name w:val="column"/>
    <w:basedOn w:val="DefaultParagraphFont"/>
    <w:rsid w:val="00B5217F"/>
  </w:style>
  <w:style w:type="character" w:customStyle="1" w:styleId="summarytext">
    <w:name w:val="summarytext"/>
    <w:basedOn w:val="DefaultParagraphFont"/>
    <w:rsid w:val="00B5217F"/>
  </w:style>
  <w:style w:type="character" w:customStyle="1" w:styleId="textcolumn">
    <w:name w:val="textcolumn"/>
    <w:basedOn w:val="DefaultParagraphFont"/>
    <w:rsid w:val="00B5217F"/>
  </w:style>
  <w:style w:type="character" w:customStyle="1" w:styleId="more">
    <w:name w:val="more"/>
    <w:basedOn w:val="DefaultParagraphFont"/>
    <w:rsid w:val="00B5217F"/>
  </w:style>
  <w:style w:type="character" w:customStyle="1" w:styleId="summaryblock">
    <w:name w:val="summaryblock"/>
    <w:basedOn w:val="DefaultParagraphFont"/>
    <w:rsid w:val="00B5217F"/>
  </w:style>
  <w:style w:type="character" w:customStyle="1" w:styleId="wordhighlighted">
    <w:name w:val="wordhighlighted"/>
    <w:basedOn w:val="DefaultParagraphFont"/>
    <w:rsid w:val="00FE62ED"/>
  </w:style>
  <w:style w:type="character" w:customStyle="1" w:styleId="s92b8cad9">
    <w:name w:val="s92b8cad9"/>
    <w:basedOn w:val="DefaultParagraphFont"/>
    <w:rsid w:val="009F2AC3"/>
  </w:style>
  <w:style w:type="character" w:customStyle="1" w:styleId="sea881cdf">
    <w:name w:val="sea881cdf"/>
    <w:basedOn w:val="DefaultParagraphFont"/>
    <w:rsid w:val="009F2AC3"/>
  </w:style>
  <w:style w:type="character" w:customStyle="1" w:styleId="s68f5eaef">
    <w:name w:val="s68f5eaef"/>
    <w:basedOn w:val="DefaultParagraphFont"/>
    <w:rsid w:val="00C230F9"/>
  </w:style>
  <w:style w:type="character" w:customStyle="1" w:styleId="sbc73225d">
    <w:name w:val="sbc73225d"/>
    <w:basedOn w:val="DefaultParagraphFont"/>
    <w:rsid w:val="00A23C02"/>
  </w:style>
  <w:style w:type="character" w:customStyle="1" w:styleId="ECHRParaSpacedChar">
    <w:name w:val="ECHR_Para_Spaced Char"/>
    <w:aliases w:val="Para_Spaced Char"/>
    <w:basedOn w:val="DefaultParagraphFont"/>
    <w:link w:val="ECHRParaSpaced"/>
    <w:uiPriority w:val="5"/>
    <w:locked/>
    <w:rsid w:val="00CC6510"/>
  </w:style>
  <w:style w:type="numbering" w:customStyle="1" w:styleId="ECHRA1StyleList">
    <w:name w:val="ECHR_A1_Style_List"/>
    <w:basedOn w:val="NoList"/>
    <w:rsid w:val="00B26F3F"/>
    <w:pPr>
      <w:numPr>
        <w:numId w:val="17"/>
      </w:numPr>
    </w:pPr>
  </w:style>
  <w:style w:type="paragraph" w:customStyle="1" w:styleId="ECHRList1">
    <w:name w:val="ECHR_List_1"/>
    <w:aliases w:val="_List_1"/>
    <w:basedOn w:val="NormalJustified"/>
    <w:uiPriority w:val="23"/>
    <w:qFormat/>
    <w:rsid w:val="00B26F3F"/>
    <w:pPr>
      <w:numPr>
        <w:numId w:val="18"/>
      </w:numPr>
      <w:spacing w:before="60" w:after="60"/>
    </w:pPr>
  </w:style>
  <w:style w:type="paragraph" w:customStyle="1" w:styleId="ECHRList2">
    <w:name w:val="ECHR_List_2"/>
    <w:aliases w:val="_List_2"/>
    <w:basedOn w:val="ECHRList1"/>
    <w:uiPriority w:val="23"/>
    <w:rsid w:val="00B26F3F"/>
    <w:pPr>
      <w:numPr>
        <w:ilvl w:val="1"/>
      </w:numPr>
    </w:pPr>
  </w:style>
  <w:style w:type="paragraph" w:customStyle="1" w:styleId="ECHRList3">
    <w:name w:val="ECHR_List_3"/>
    <w:aliases w:val="_List_3"/>
    <w:basedOn w:val="ECHRList2"/>
    <w:uiPriority w:val="23"/>
    <w:rsid w:val="00B26F3F"/>
    <w:pPr>
      <w:numPr>
        <w:ilvl w:val="2"/>
      </w:numPr>
    </w:pPr>
  </w:style>
  <w:style w:type="character" w:customStyle="1" w:styleId="sbb9ee52a">
    <w:name w:val="sbb9ee52a"/>
    <w:basedOn w:val="DefaultParagraphFont"/>
    <w:rsid w:val="0067107E"/>
  </w:style>
  <w:style w:type="character" w:customStyle="1" w:styleId="s29100277">
    <w:name w:val="s29100277"/>
    <w:basedOn w:val="DefaultParagraphFont"/>
    <w:rsid w:val="00095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4071">
      <w:bodyDiv w:val="1"/>
      <w:marLeft w:val="0"/>
      <w:marRight w:val="0"/>
      <w:marTop w:val="0"/>
      <w:marBottom w:val="0"/>
      <w:divBdr>
        <w:top w:val="none" w:sz="0" w:space="0" w:color="auto"/>
        <w:left w:val="none" w:sz="0" w:space="0" w:color="auto"/>
        <w:bottom w:val="none" w:sz="0" w:space="0" w:color="auto"/>
        <w:right w:val="none" w:sz="0" w:space="0" w:color="auto"/>
      </w:divBdr>
    </w:div>
    <w:div w:id="72506006">
      <w:bodyDiv w:val="1"/>
      <w:marLeft w:val="0"/>
      <w:marRight w:val="0"/>
      <w:marTop w:val="0"/>
      <w:marBottom w:val="0"/>
      <w:divBdr>
        <w:top w:val="none" w:sz="0" w:space="0" w:color="auto"/>
        <w:left w:val="none" w:sz="0" w:space="0" w:color="auto"/>
        <w:bottom w:val="none" w:sz="0" w:space="0" w:color="auto"/>
        <w:right w:val="none" w:sz="0" w:space="0" w:color="auto"/>
      </w:divBdr>
    </w:div>
    <w:div w:id="76942914">
      <w:bodyDiv w:val="1"/>
      <w:marLeft w:val="0"/>
      <w:marRight w:val="0"/>
      <w:marTop w:val="0"/>
      <w:marBottom w:val="0"/>
      <w:divBdr>
        <w:top w:val="none" w:sz="0" w:space="0" w:color="auto"/>
        <w:left w:val="none" w:sz="0" w:space="0" w:color="auto"/>
        <w:bottom w:val="none" w:sz="0" w:space="0" w:color="auto"/>
        <w:right w:val="none" w:sz="0" w:space="0" w:color="auto"/>
      </w:divBdr>
    </w:div>
    <w:div w:id="84376906">
      <w:bodyDiv w:val="1"/>
      <w:marLeft w:val="0"/>
      <w:marRight w:val="0"/>
      <w:marTop w:val="0"/>
      <w:marBottom w:val="0"/>
      <w:divBdr>
        <w:top w:val="none" w:sz="0" w:space="0" w:color="auto"/>
        <w:left w:val="none" w:sz="0" w:space="0" w:color="auto"/>
        <w:bottom w:val="none" w:sz="0" w:space="0" w:color="auto"/>
        <w:right w:val="none" w:sz="0" w:space="0" w:color="auto"/>
      </w:divBdr>
    </w:div>
    <w:div w:id="98187341">
      <w:bodyDiv w:val="1"/>
      <w:marLeft w:val="0"/>
      <w:marRight w:val="0"/>
      <w:marTop w:val="0"/>
      <w:marBottom w:val="0"/>
      <w:divBdr>
        <w:top w:val="none" w:sz="0" w:space="0" w:color="auto"/>
        <w:left w:val="none" w:sz="0" w:space="0" w:color="auto"/>
        <w:bottom w:val="none" w:sz="0" w:space="0" w:color="auto"/>
        <w:right w:val="none" w:sz="0" w:space="0" w:color="auto"/>
      </w:divBdr>
    </w:div>
    <w:div w:id="200702877">
      <w:bodyDiv w:val="1"/>
      <w:marLeft w:val="0"/>
      <w:marRight w:val="0"/>
      <w:marTop w:val="0"/>
      <w:marBottom w:val="0"/>
      <w:divBdr>
        <w:top w:val="none" w:sz="0" w:space="0" w:color="auto"/>
        <w:left w:val="none" w:sz="0" w:space="0" w:color="auto"/>
        <w:bottom w:val="none" w:sz="0" w:space="0" w:color="auto"/>
        <w:right w:val="none" w:sz="0" w:space="0" w:color="auto"/>
      </w:divBdr>
    </w:div>
    <w:div w:id="250744689">
      <w:bodyDiv w:val="1"/>
      <w:marLeft w:val="0"/>
      <w:marRight w:val="0"/>
      <w:marTop w:val="0"/>
      <w:marBottom w:val="0"/>
      <w:divBdr>
        <w:top w:val="none" w:sz="0" w:space="0" w:color="auto"/>
        <w:left w:val="none" w:sz="0" w:space="0" w:color="auto"/>
        <w:bottom w:val="none" w:sz="0" w:space="0" w:color="auto"/>
        <w:right w:val="none" w:sz="0" w:space="0" w:color="auto"/>
      </w:divBdr>
    </w:div>
    <w:div w:id="339502460">
      <w:bodyDiv w:val="1"/>
      <w:marLeft w:val="0"/>
      <w:marRight w:val="0"/>
      <w:marTop w:val="0"/>
      <w:marBottom w:val="0"/>
      <w:divBdr>
        <w:top w:val="none" w:sz="0" w:space="0" w:color="auto"/>
        <w:left w:val="none" w:sz="0" w:space="0" w:color="auto"/>
        <w:bottom w:val="none" w:sz="0" w:space="0" w:color="auto"/>
        <w:right w:val="none" w:sz="0" w:space="0" w:color="auto"/>
      </w:divBdr>
    </w:div>
    <w:div w:id="395981500">
      <w:bodyDiv w:val="1"/>
      <w:marLeft w:val="0"/>
      <w:marRight w:val="0"/>
      <w:marTop w:val="0"/>
      <w:marBottom w:val="0"/>
      <w:divBdr>
        <w:top w:val="none" w:sz="0" w:space="0" w:color="auto"/>
        <w:left w:val="none" w:sz="0" w:space="0" w:color="auto"/>
        <w:bottom w:val="none" w:sz="0" w:space="0" w:color="auto"/>
        <w:right w:val="none" w:sz="0" w:space="0" w:color="auto"/>
      </w:divBdr>
    </w:div>
    <w:div w:id="439835292">
      <w:bodyDiv w:val="1"/>
      <w:marLeft w:val="0"/>
      <w:marRight w:val="0"/>
      <w:marTop w:val="0"/>
      <w:marBottom w:val="0"/>
      <w:divBdr>
        <w:top w:val="none" w:sz="0" w:space="0" w:color="auto"/>
        <w:left w:val="none" w:sz="0" w:space="0" w:color="auto"/>
        <w:bottom w:val="none" w:sz="0" w:space="0" w:color="auto"/>
        <w:right w:val="none" w:sz="0" w:space="0" w:color="auto"/>
      </w:divBdr>
      <w:divsChild>
        <w:div w:id="1950622940">
          <w:marLeft w:val="0"/>
          <w:marRight w:val="0"/>
          <w:marTop w:val="0"/>
          <w:marBottom w:val="0"/>
          <w:divBdr>
            <w:top w:val="none" w:sz="0" w:space="0" w:color="auto"/>
            <w:left w:val="none" w:sz="0" w:space="0" w:color="auto"/>
            <w:bottom w:val="none" w:sz="0" w:space="0" w:color="auto"/>
            <w:right w:val="none" w:sz="0" w:space="0" w:color="auto"/>
          </w:divBdr>
          <w:divsChild>
            <w:div w:id="535771750">
              <w:marLeft w:val="0"/>
              <w:marRight w:val="0"/>
              <w:marTop w:val="0"/>
              <w:marBottom w:val="0"/>
              <w:divBdr>
                <w:top w:val="none" w:sz="0" w:space="0" w:color="auto"/>
                <w:left w:val="none" w:sz="0" w:space="0" w:color="auto"/>
                <w:bottom w:val="none" w:sz="0" w:space="0" w:color="auto"/>
                <w:right w:val="none" w:sz="0" w:space="0" w:color="auto"/>
              </w:divBdr>
              <w:divsChild>
                <w:div w:id="932859140">
                  <w:marLeft w:val="0"/>
                  <w:marRight w:val="0"/>
                  <w:marTop w:val="0"/>
                  <w:marBottom w:val="0"/>
                  <w:divBdr>
                    <w:top w:val="none" w:sz="0" w:space="0" w:color="auto"/>
                    <w:left w:val="none" w:sz="0" w:space="0" w:color="auto"/>
                    <w:bottom w:val="none" w:sz="0" w:space="0" w:color="auto"/>
                    <w:right w:val="none" w:sz="0" w:space="0" w:color="auto"/>
                  </w:divBdr>
                  <w:divsChild>
                    <w:div w:id="339354851">
                      <w:marLeft w:val="0"/>
                      <w:marRight w:val="0"/>
                      <w:marTop w:val="0"/>
                      <w:marBottom w:val="0"/>
                      <w:divBdr>
                        <w:top w:val="none" w:sz="0" w:space="0" w:color="auto"/>
                        <w:left w:val="none" w:sz="0" w:space="0" w:color="auto"/>
                        <w:bottom w:val="none" w:sz="0" w:space="0" w:color="auto"/>
                        <w:right w:val="none" w:sz="0" w:space="0" w:color="auto"/>
                      </w:divBdr>
                      <w:divsChild>
                        <w:div w:id="1180582907">
                          <w:marLeft w:val="0"/>
                          <w:marRight w:val="0"/>
                          <w:marTop w:val="0"/>
                          <w:marBottom w:val="0"/>
                          <w:divBdr>
                            <w:top w:val="none" w:sz="0" w:space="0" w:color="auto"/>
                            <w:left w:val="none" w:sz="0" w:space="0" w:color="auto"/>
                            <w:bottom w:val="none" w:sz="0" w:space="0" w:color="auto"/>
                            <w:right w:val="none" w:sz="0" w:space="0" w:color="auto"/>
                          </w:divBdr>
                          <w:divsChild>
                            <w:div w:id="1605527833">
                              <w:marLeft w:val="0"/>
                              <w:marRight w:val="0"/>
                              <w:marTop w:val="0"/>
                              <w:marBottom w:val="0"/>
                              <w:divBdr>
                                <w:top w:val="none" w:sz="0" w:space="0" w:color="auto"/>
                                <w:left w:val="none" w:sz="0" w:space="0" w:color="auto"/>
                                <w:bottom w:val="none" w:sz="0" w:space="0" w:color="auto"/>
                                <w:right w:val="none" w:sz="0" w:space="0" w:color="auto"/>
                              </w:divBdr>
                              <w:divsChild>
                                <w:div w:id="1920675836">
                                  <w:marLeft w:val="0"/>
                                  <w:marRight w:val="0"/>
                                  <w:marTop w:val="0"/>
                                  <w:marBottom w:val="0"/>
                                  <w:divBdr>
                                    <w:top w:val="none" w:sz="0" w:space="0" w:color="auto"/>
                                    <w:left w:val="none" w:sz="0" w:space="0" w:color="auto"/>
                                    <w:bottom w:val="none" w:sz="0" w:space="0" w:color="auto"/>
                                    <w:right w:val="none" w:sz="0" w:space="0" w:color="auto"/>
                                  </w:divBdr>
                                  <w:divsChild>
                                    <w:div w:id="154535095">
                                      <w:marLeft w:val="0"/>
                                      <w:marRight w:val="0"/>
                                      <w:marTop w:val="0"/>
                                      <w:marBottom w:val="0"/>
                                      <w:divBdr>
                                        <w:top w:val="none" w:sz="0" w:space="0" w:color="auto"/>
                                        <w:left w:val="none" w:sz="0" w:space="0" w:color="auto"/>
                                        <w:bottom w:val="none" w:sz="0" w:space="0" w:color="auto"/>
                                        <w:right w:val="none" w:sz="0" w:space="0" w:color="auto"/>
                                      </w:divBdr>
                                      <w:divsChild>
                                        <w:div w:id="1298142840">
                                          <w:marLeft w:val="0"/>
                                          <w:marRight w:val="0"/>
                                          <w:marTop w:val="0"/>
                                          <w:marBottom w:val="0"/>
                                          <w:divBdr>
                                            <w:top w:val="none" w:sz="0" w:space="0" w:color="auto"/>
                                            <w:left w:val="none" w:sz="0" w:space="0" w:color="auto"/>
                                            <w:bottom w:val="none" w:sz="0" w:space="0" w:color="auto"/>
                                            <w:right w:val="none" w:sz="0" w:space="0" w:color="auto"/>
                                          </w:divBdr>
                                          <w:divsChild>
                                            <w:div w:id="1489055382">
                                              <w:marLeft w:val="0"/>
                                              <w:marRight w:val="0"/>
                                              <w:marTop w:val="0"/>
                                              <w:marBottom w:val="0"/>
                                              <w:divBdr>
                                                <w:top w:val="none" w:sz="0" w:space="0" w:color="auto"/>
                                                <w:left w:val="none" w:sz="0" w:space="0" w:color="auto"/>
                                                <w:bottom w:val="none" w:sz="0" w:space="0" w:color="auto"/>
                                                <w:right w:val="none" w:sz="0" w:space="0" w:color="auto"/>
                                              </w:divBdr>
                                              <w:divsChild>
                                                <w:div w:id="1887569129">
                                                  <w:marLeft w:val="0"/>
                                                  <w:marRight w:val="0"/>
                                                  <w:marTop w:val="0"/>
                                                  <w:marBottom w:val="0"/>
                                                  <w:divBdr>
                                                    <w:top w:val="none" w:sz="0" w:space="0" w:color="auto"/>
                                                    <w:left w:val="none" w:sz="0" w:space="0" w:color="auto"/>
                                                    <w:bottom w:val="none" w:sz="0" w:space="0" w:color="auto"/>
                                                    <w:right w:val="none" w:sz="0" w:space="0" w:color="auto"/>
                                                  </w:divBdr>
                                                  <w:divsChild>
                                                    <w:div w:id="447774378">
                                                      <w:marLeft w:val="0"/>
                                                      <w:marRight w:val="0"/>
                                                      <w:marTop w:val="0"/>
                                                      <w:marBottom w:val="0"/>
                                                      <w:divBdr>
                                                        <w:top w:val="none" w:sz="0" w:space="0" w:color="auto"/>
                                                        <w:left w:val="none" w:sz="0" w:space="0" w:color="auto"/>
                                                        <w:bottom w:val="none" w:sz="0" w:space="0" w:color="auto"/>
                                                        <w:right w:val="none" w:sz="0" w:space="0" w:color="auto"/>
                                                      </w:divBdr>
                                                      <w:divsChild>
                                                        <w:div w:id="90054982">
                                                          <w:marLeft w:val="0"/>
                                                          <w:marRight w:val="0"/>
                                                          <w:marTop w:val="0"/>
                                                          <w:marBottom w:val="0"/>
                                                          <w:divBdr>
                                                            <w:top w:val="none" w:sz="0" w:space="0" w:color="auto"/>
                                                            <w:left w:val="none" w:sz="0" w:space="0" w:color="auto"/>
                                                            <w:bottom w:val="none" w:sz="0" w:space="0" w:color="auto"/>
                                                            <w:right w:val="none" w:sz="0" w:space="0" w:color="auto"/>
                                                          </w:divBdr>
                                                          <w:divsChild>
                                                            <w:div w:id="462233963">
                                                              <w:marLeft w:val="0"/>
                                                              <w:marRight w:val="0"/>
                                                              <w:marTop w:val="0"/>
                                                              <w:marBottom w:val="0"/>
                                                              <w:divBdr>
                                                                <w:top w:val="none" w:sz="0" w:space="0" w:color="auto"/>
                                                                <w:left w:val="none" w:sz="0" w:space="0" w:color="auto"/>
                                                                <w:bottom w:val="none" w:sz="0" w:space="0" w:color="auto"/>
                                                                <w:right w:val="none" w:sz="0" w:space="0" w:color="auto"/>
                                                              </w:divBdr>
                                                              <w:divsChild>
                                                                <w:div w:id="2048144815">
                                                                  <w:marLeft w:val="0"/>
                                                                  <w:marRight w:val="0"/>
                                                                  <w:marTop w:val="0"/>
                                                                  <w:marBottom w:val="0"/>
                                                                  <w:divBdr>
                                                                    <w:top w:val="none" w:sz="0" w:space="0" w:color="auto"/>
                                                                    <w:left w:val="none" w:sz="0" w:space="0" w:color="auto"/>
                                                                    <w:bottom w:val="none" w:sz="0" w:space="0" w:color="auto"/>
                                                                    <w:right w:val="none" w:sz="0" w:space="0" w:color="auto"/>
                                                                  </w:divBdr>
                                                                  <w:divsChild>
                                                                    <w:div w:id="1426998036">
                                                                      <w:marLeft w:val="0"/>
                                                                      <w:marRight w:val="0"/>
                                                                      <w:marTop w:val="0"/>
                                                                      <w:marBottom w:val="0"/>
                                                                      <w:divBdr>
                                                                        <w:top w:val="none" w:sz="0" w:space="0" w:color="auto"/>
                                                                        <w:left w:val="none" w:sz="0" w:space="0" w:color="auto"/>
                                                                        <w:bottom w:val="none" w:sz="0" w:space="0" w:color="auto"/>
                                                                        <w:right w:val="none" w:sz="0" w:space="0" w:color="auto"/>
                                                                      </w:divBdr>
                                                                      <w:divsChild>
                                                                        <w:div w:id="24006689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985993">
      <w:bodyDiv w:val="1"/>
      <w:marLeft w:val="0"/>
      <w:marRight w:val="0"/>
      <w:marTop w:val="0"/>
      <w:marBottom w:val="0"/>
      <w:divBdr>
        <w:top w:val="none" w:sz="0" w:space="0" w:color="auto"/>
        <w:left w:val="none" w:sz="0" w:space="0" w:color="auto"/>
        <w:bottom w:val="none" w:sz="0" w:space="0" w:color="auto"/>
        <w:right w:val="none" w:sz="0" w:space="0" w:color="auto"/>
      </w:divBdr>
    </w:div>
    <w:div w:id="547691843">
      <w:bodyDiv w:val="1"/>
      <w:marLeft w:val="0"/>
      <w:marRight w:val="0"/>
      <w:marTop w:val="0"/>
      <w:marBottom w:val="0"/>
      <w:divBdr>
        <w:top w:val="none" w:sz="0" w:space="0" w:color="auto"/>
        <w:left w:val="none" w:sz="0" w:space="0" w:color="auto"/>
        <w:bottom w:val="none" w:sz="0" w:space="0" w:color="auto"/>
        <w:right w:val="none" w:sz="0" w:space="0" w:color="auto"/>
      </w:divBdr>
    </w:div>
    <w:div w:id="612595865">
      <w:bodyDiv w:val="1"/>
      <w:marLeft w:val="0"/>
      <w:marRight w:val="0"/>
      <w:marTop w:val="0"/>
      <w:marBottom w:val="0"/>
      <w:divBdr>
        <w:top w:val="none" w:sz="0" w:space="0" w:color="auto"/>
        <w:left w:val="none" w:sz="0" w:space="0" w:color="auto"/>
        <w:bottom w:val="none" w:sz="0" w:space="0" w:color="auto"/>
        <w:right w:val="none" w:sz="0" w:space="0" w:color="auto"/>
      </w:divBdr>
      <w:divsChild>
        <w:div w:id="130292368">
          <w:marLeft w:val="0"/>
          <w:marRight w:val="0"/>
          <w:marTop w:val="0"/>
          <w:marBottom w:val="0"/>
          <w:divBdr>
            <w:top w:val="none" w:sz="0" w:space="0" w:color="auto"/>
            <w:left w:val="none" w:sz="0" w:space="0" w:color="auto"/>
            <w:bottom w:val="none" w:sz="0" w:space="0" w:color="auto"/>
            <w:right w:val="none" w:sz="0" w:space="0" w:color="auto"/>
          </w:divBdr>
          <w:divsChild>
            <w:div w:id="2142384308">
              <w:marLeft w:val="0"/>
              <w:marRight w:val="0"/>
              <w:marTop w:val="0"/>
              <w:marBottom w:val="0"/>
              <w:divBdr>
                <w:top w:val="none" w:sz="0" w:space="0" w:color="auto"/>
                <w:left w:val="none" w:sz="0" w:space="0" w:color="auto"/>
                <w:bottom w:val="none" w:sz="0" w:space="0" w:color="auto"/>
                <w:right w:val="none" w:sz="0" w:space="0" w:color="auto"/>
              </w:divBdr>
              <w:divsChild>
                <w:div w:id="1250383391">
                  <w:marLeft w:val="0"/>
                  <w:marRight w:val="0"/>
                  <w:marTop w:val="0"/>
                  <w:marBottom w:val="0"/>
                  <w:divBdr>
                    <w:top w:val="none" w:sz="0" w:space="0" w:color="auto"/>
                    <w:left w:val="none" w:sz="0" w:space="0" w:color="auto"/>
                    <w:bottom w:val="none" w:sz="0" w:space="0" w:color="auto"/>
                    <w:right w:val="none" w:sz="0" w:space="0" w:color="auto"/>
                  </w:divBdr>
                  <w:divsChild>
                    <w:div w:id="815604427">
                      <w:marLeft w:val="0"/>
                      <w:marRight w:val="0"/>
                      <w:marTop w:val="0"/>
                      <w:marBottom w:val="0"/>
                      <w:divBdr>
                        <w:top w:val="none" w:sz="0" w:space="0" w:color="auto"/>
                        <w:left w:val="none" w:sz="0" w:space="0" w:color="auto"/>
                        <w:bottom w:val="none" w:sz="0" w:space="0" w:color="auto"/>
                        <w:right w:val="none" w:sz="0" w:space="0" w:color="auto"/>
                      </w:divBdr>
                      <w:divsChild>
                        <w:div w:id="892694367">
                          <w:marLeft w:val="0"/>
                          <w:marRight w:val="0"/>
                          <w:marTop w:val="0"/>
                          <w:marBottom w:val="0"/>
                          <w:divBdr>
                            <w:top w:val="none" w:sz="0" w:space="0" w:color="auto"/>
                            <w:left w:val="none" w:sz="0" w:space="0" w:color="auto"/>
                            <w:bottom w:val="none" w:sz="0" w:space="0" w:color="auto"/>
                            <w:right w:val="none" w:sz="0" w:space="0" w:color="auto"/>
                          </w:divBdr>
                          <w:divsChild>
                            <w:div w:id="9781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417844">
      <w:bodyDiv w:val="1"/>
      <w:marLeft w:val="0"/>
      <w:marRight w:val="0"/>
      <w:marTop w:val="0"/>
      <w:marBottom w:val="0"/>
      <w:divBdr>
        <w:top w:val="none" w:sz="0" w:space="0" w:color="auto"/>
        <w:left w:val="none" w:sz="0" w:space="0" w:color="auto"/>
        <w:bottom w:val="none" w:sz="0" w:space="0" w:color="auto"/>
        <w:right w:val="none" w:sz="0" w:space="0" w:color="auto"/>
      </w:divBdr>
      <w:divsChild>
        <w:div w:id="1815021196">
          <w:marLeft w:val="0"/>
          <w:marRight w:val="0"/>
          <w:marTop w:val="0"/>
          <w:marBottom w:val="0"/>
          <w:divBdr>
            <w:top w:val="none" w:sz="0" w:space="0" w:color="auto"/>
            <w:left w:val="none" w:sz="0" w:space="0" w:color="auto"/>
            <w:bottom w:val="none" w:sz="0" w:space="0" w:color="auto"/>
            <w:right w:val="none" w:sz="0" w:space="0" w:color="auto"/>
          </w:divBdr>
          <w:divsChild>
            <w:div w:id="1136066633">
              <w:marLeft w:val="0"/>
              <w:marRight w:val="0"/>
              <w:marTop w:val="0"/>
              <w:marBottom w:val="0"/>
              <w:divBdr>
                <w:top w:val="none" w:sz="0" w:space="0" w:color="auto"/>
                <w:left w:val="none" w:sz="0" w:space="0" w:color="auto"/>
                <w:bottom w:val="none" w:sz="0" w:space="0" w:color="auto"/>
                <w:right w:val="none" w:sz="0" w:space="0" w:color="auto"/>
              </w:divBdr>
              <w:divsChild>
                <w:div w:id="439301005">
                  <w:marLeft w:val="0"/>
                  <w:marRight w:val="0"/>
                  <w:marTop w:val="0"/>
                  <w:marBottom w:val="0"/>
                  <w:divBdr>
                    <w:top w:val="none" w:sz="0" w:space="0" w:color="auto"/>
                    <w:left w:val="none" w:sz="0" w:space="0" w:color="auto"/>
                    <w:bottom w:val="none" w:sz="0" w:space="0" w:color="auto"/>
                    <w:right w:val="none" w:sz="0" w:space="0" w:color="auto"/>
                  </w:divBdr>
                  <w:divsChild>
                    <w:div w:id="22051762">
                      <w:marLeft w:val="0"/>
                      <w:marRight w:val="0"/>
                      <w:marTop w:val="0"/>
                      <w:marBottom w:val="0"/>
                      <w:divBdr>
                        <w:top w:val="none" w:sz="0" w:space="0" w:color="auto"/>
                        <w:left w:val="none" w:sz="0" w:space="0" w:color="auto"/>
                        <w:bottom w:val="none" w:sz="0" w:space="0" w:color="auto"/>
                        <w:right w:val="none" w:sz="0" w:space="0" w:color="auto"/>
                      </w:divBdr>
                      <w:divsChild>
                        <w:div w:id="1728989376">
                          <w:marLeft w:val="0"/>
                          <w:marRight w:val="0"/>
                          <w:marTop w:val="0"/>
                          <w:marBottom w:val="0"/>
                          <w:divBdr>
                            <w:top w:val="none" w:sz="0" w:space="0" w:color="auto"/>
                            <w:left w:val="none" w:sz="0" w:space="0" w:color="auto"/>
                            <w:bottom w:val="none" w:sz="0" w:space="0" w:color="auto"/>
                            <w:right w:val="none" w:sz="0" w:space="0" w:color="auto"/>
                          </w:divBdr>
                          <w:divsChild>
                            <w:div w:id="110862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583100">
      <w:bodyDiv w:val="1"/>
      <w:marLeft w:val="0"/>
      <w:marRight w:val="0"/>
      <w:marTop w:val="0"/>
      <w:marBottom w:val="0"/>
      <w:divBdr>
        <w:top w:val="none" w:sz="0" w:space="0" w:color="auto"/>
        <w:left w:val="none" w:sz="0" w:space="0" w:color="auto"/>
        <w:bottom w:val="none" w:sz="0" w:space="0" w:color="auto"/>
        <w:right w:val="none" w:sz="0" w:space="0" w:color="auto"/>
      </w:divBdr>
    </w:div>
    <w:div w:id="676540441">
      <w:bodyDiv w:val="1"/>
      <w:marLeft w:val="0"/>
      <w:marRight w:val="0"/>
      <w:marTop w:val="0"/>
      <w:marBottom w:val="0"/>
      <w:divBdr>
        <w:top w:val="none" w:sz="0" w:space="0" w:color="auto"/>
        <w:left w:val="none" w:sz="0" w:space="0" w:color="auto"/>
        <w:bottom w:val="none" w:sz="0" w:space="0" w:color="auto"/>
        <w:right w:val="none" w:sz="0" w:space="0" w:color="auto"/>
      </w:divBdr>
    </w:div>
    <w:div w:id="700327908">
      <w:bodyDiv w:val="1"/>
      <w:marLeft w:val="0"/>
      <w:marRight w:val="0"/>
      <w:marTop w:val="0"/>
      <w:marBottom w:val="0"/>
      <w:divBdr>
        <w:top w:val="none" w:sz="0" w:space="0" w:color="auto"/>
        <w:left w:val="none" w:sz="0" w:space="0" w:color="auto"/>
        <w:bottom w:val="none" w:sz="0" w:space="0" w:color="auto"/>
        <w:right w:val="none" w:sz="0" w:space="0" w:color="auto"/>
      </w:divBdr>
    </w:div>
    <w:div w:id="714738172">
      <w:bodyDiv w:val="1"/>
      <w:marLeft w:val="0"/>
      <w:marRight w:val="0"/>
      <w:marTop w:val="0"/>
      <w:marBottom w:val="0"/>
      <w:divBdr>
        <w:top w:val="none" w:sz="0" w:space="0" w:color="auto"/>
        <w:left w:val="none" w:sz="0" w:space="0" w:color="auto"/>
        <w:bottom w:val="none" w:sz="0" w:space="0" w:color="auto"/>
        <w:right w:val="none" w:sz="0" w:space="0" w:color="auto"/>
      </w:divBdr>
      <w:divsChild>
        <w:div w:id="801119619">
          <w:marLeft w:val="0"/>
          <w:marRight w:val="0"/>
          <w:marTop w:val="0"/>
          <w:marBottom w:val="0"/>
          <w:divBdr>
            <w:top w:val="none" w:sz="0" w:space="0" w:color="auto"/>
            <w:left w:val="none" w:sz="0" w:space="0" w:color="auto"/>
            <w:bottom w:val="none" w:sz="0" w:space="0" w:color="auto"/>
            <w:right w:val="none" w:sz="0" w:space="0" w:color="auto"/>
          </w:divBdr>
          <w:divsChild>
            <w:div w:id="29305630">
              <w:marLeft w:val="0"/>
              <w:marRight w:val="0"/>
              <w:marTop w:val="0"/>
              <w:marBottom w:val="0"/>
              <w:divBdr>
                <w:top w:val="none" w:sz="0" w:space="0" w:color="auto"/>
                <w:left w:val="none" w:sz="0" w:space="0" w:color="auto"/>
                <w:bottom w:val="none" w:sz="0" w:space="0" w:color="auto"/>
                <w:right w:val="none" w:sz="0" w:space="0" w:color="auto"/>
              </w:divBdr>
              <w:divsChild>
                <w:div w:id="2025129674">
                  <w:marLeft w:val="0"/>
                  <w:marRight w:val="0"/>
                  <w:marTop w:val="0"/>
                  <w:marBottom w:val="0"/>
                  <w:divBdr>
                    <w:top w:val="none" w:sz="0" w:space="0" w:color="auto"/>
                    <w:left w:val="none" w:sz="0" w:space="0" w:color="auto"/>
                    <w:bottom w:val="none" w:sz="0" w:space="0" w:color="auto"/>
                    <w:right w:val="none" w:sz="0" w:space="0" w:color="auto"/>
                  </w:divBdr>
                  <w:divsChild>
                    <w:div w:id="1836144172">
                      <w:marLeft w:val="0"/>
                      <w:marRight w:val="0"/>
                      <w:marTop w:val="0"/>
                      <w:marBottom w:val="0"/>
                      <w:divBdr>
                        <w:top w:val="none" w:sz="0" w:space="0" w:color="auto"/>
                        <w:left w:val="none" w:sz="0" w:space="0" w:color="auto"/>
                        <w:bottom w:val="none" w:sz="0" w:space="0" w:color="auto"/>
                        <w:right w:val="none" w:sz="0" w:space="0" w:color="auto"/>
                      </w:divBdr>
                      <w:divsChild>
                        <w:div w:id="1496874071">
                          <w:marLeft w:val="0"/>
                          <w:marRight w:val="0"/>
                          <w:marTop w:val="0"/>
                          <w:marBottom w:val="0"/>
                          <w:divBdr>
                            <w:top w:val="none" w:sz="0" w:space="0" w:color="auto"/>
                            <w:left w:val="none" w:sz="0" w:space="0" w:color="auto"/>
                            <w:bottom w:val="none" w:sz="0" w:space="0" w:color="auto"/>
                            <w:right w:val="none" w:sz="0" w:space="0" w:color="auto"/>
                          </w:divBdr>
                        </w:div>
                        <w:div w:id="8276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835882">
      <w:bodyDiv w:val="1"/>
      <w:marLeft w:val="0"/>
      <w:marRight w:val="0"/>
      <w:marTop w:val="0"/>
      <w:marBottom w:val="0"/>
      <w:divBdr>
        <w:top w:val="none" w:sz="0" w:space="0" w:color="auto"/>
        <w:left w:val="none" w:sz="0" w:space="0" w:color="auto"/>
        <w:bottom w:val="none" w:sz="0" w:space="0" w:color="auto"/>
        <w:right w:val="none" w:sz="0" w:space="0" w:color="auto"/>
      </w:divBdr>
      <w:divsChild>
        <w:div w:id="379675016">
          <w:marLeft w:val="0"/>
          <w:marRight w:val="0"/>
          <w:marTop w:val="0"/>
          <w:marBottom w:val="0"/>
          <w:divBdr>
            <w:top w:val="none" w:sz="0" w:space="0" w:color="auto"/>
            <w:left w:val="none" w:sz="0" w:space="0" w:color="auto"/>
            <w:bottom w:val="none" w:sz="0" w:space="0" w:color="auto"/>
            <w:right w:val="none" w:sz="0" w:space="0" w:color="auto"/>
          </w:divBdr>
          <w:divsChild>
            <w:div w:id="1090079062">
              <w:marLeft w:val="0"/>
              <w:marRight w:val="0"/>
              <w:marTop w:val="0"/>
              <w:marBottom w:val="0"/>
              <w:divBdr>
                <w:top w:val="single" w:sz="6" w:space="8" w:color="DAD4D4"/>
                <w:left w:val="single" w:sz="6" w:space="8" w:color="DAD4D4"/>
                <w:bottom w:val="single" w:sz="6" w:space="8" w:color="DAD4D4"/>
                <w:right w:val="single" w:sz="6" w:space="8" w:color="DAD4D4"/>
              </w:divBdr>
              <w:divsChild>
                <w:div w:id="282422321">
                  <w:marLeft w:val="-225"/>
                  <w:marRight w:val="-225"/>
                  <w:marTop w:val="0"/>
                  <w:marBottom w:val="0"/>
                  <w:divBdr>
                    <w:top w:val="none" w:sz="0" w:space="0" w:color="auto"/>
                    <w:left w:val="none" w:sz="0" w:space="0" w:color="auto"/>
                    <w:bottom w:val="none" w:sz="0" w:space="0" w:color="auto"/>
                    <w:right w:val="none" w:sz="0" w:space="0" w:color="auto"/>
                  </w:divBdr>
                  <w:divsChild>
                    <w:div w:id="1095050408">
                      <w:marLeft w:val="0"/>
                      <w:marRight w:val="0"/>
                      <w:marTop w:val="0"/>
                      <w:marBottom w:val="0"/>
                      <w:divBdr>
                        <w:top w:val="none" w:sz="0" w:space="0" w:color="auto"/>
                        <w:left w:val="none" w:sz="0" w:space="0" w:color="auto"/>
                        <w:bottom w:val="none" w:sz="0" w:space="0" w:color="auto"/>
                        <w:right w:val="none" w:sz="0" w:space="0" w:color="auto"/>
                      </w:divBdr>
                      <w:divsChild>
                        <w:div w:id="258222778">
                          <w:marLeft w:val="0"/>
                          <w:marRight w:val="0"/>
                          <w:marTop w:val="0"/>
                          <w:marBottom w:val="0"/>
                          <w:divBdr>
                            <w:top w:val="none" w:sz="0" w:space="0" w:color="auto"/>
                            <w:left w:val="none" w:sz="0" w:space="0" w:color="auto"/>
                            <w:bottom w:val="none" w:sz="0" w:space="0" w:color="auto"/>
                            <w:right w:val="none" w:sz="0" w:space="0" w:color="auto"/>
                          </w:divBdr>
                          <w:divsChild>
                            <w:div w:id="1830900655">
                              <w:marLeft w:val="0"/>
                              <w:marRight w:val="0"/>
                              <w:marTop w:val="0"/>
                              <w:marBottom w:val="0"/>
                              <w:divBdr>
                                <w:top w:val="single" w:sz="6" w:space="0" w:color="D3D3D3"/>
                                <w:left w:val="single" w:sz="6" w:space="0" w:color="D3D3D3"/>
                                <w:bottom w:val="single" w:sz="6" w:space="0" w:color="D3D3D3"/>
                                <w:right w:val="single" w:sz="6" w:space="0" w:color="D3D3D3"/>
                              </w:divBdr>
                              <w:divsChild>
                                <w:div w:id="1892307738">
                                  <w:marLeft w:val="0"/>
                                  <w:marRight w:val="0"/>
                                  <w:marTop w:val="0"/>
                                  <w:marBottom w:val="0"/>
                                  <w:divBdr>
                                    <w:top w:val="none" w:sz="0" w:space="0" w:color="auto"/>
                                    <w:left w:val="none" w:sz="0" w:space="0" w:color="auto"/>
                                    <w:bottom w:val="none" w:sz="0" w:space="0" w:color="auto"/>
                                    <w:right w:val="none" w:sz="0" w:space="0" w:color="auto"/>
                                  </w:divBdr>
                                  <w:divsChild>
                                    <w:div w:id="527832669">
                                      <w:marLeft w:val="0"/>
                                      <w:marRight w:val="0"/>
                                      <w:marTop w:val="0"/>
                                      <w:marBottom w:val="0"/>
                                      <w:divBdr>
                                        <w:top w:val="none" w:sz="0" w:space="0" w:color="auto"/>
                                        <w:left w:val="none" w:sz="0" w:space="0" w:color="auto"/>
                                        <w:bottom w:val="none" w:sz="0" w:space="0" w:color="auto"/>
                                        <w:right w:val="none" w:sz="0" w:space="0" w:color="auto"/>
                                      </w:divBdr>
                                      <w:divsChild>
                                        <w:div w:id="1351761291">
                                          <w:marLeft w:val="0"/>
                                          <w:marRight w:val="0"/>
                                          <w:marTop w:val="0"/>
                                          <w:marBottom w:val="0"/>
                                          <w:divBdr>
                                            <w:top w:val="none" w:sz="0" w:space="0" w:color="auto"/>
                                            <w:left w:val="none" w:sz="0" w:space="0" w:color="auto"/>
                                            <w:bottom w:val="none" w:sz="0" w:space="0" w:color="auto"/>
                                            <w:right w:val="none" w:sz="0" w:space="0" w:color="auto"/>
                                          </w:divBdr>
                                          <w:divsChild>
                                            <w:div w:id="283928755">
                                              <w:marLeft w:val="0"/>
                                              <w:marRight w:val="0"/>
                                              <w:marTop w:val="0"/>
                                              <w:marBottom w:val="0"/>
                                              <w:divBdr>
                                                <w:top w:val="none" w:sz="0" w:space="0" w:color="auto"/>
                                                <w:left w:val="none" w:sz="0" w:space="0" w:color="auto"/>
                                                <w:bottom w:val="none" w:sz="0" w:space="0" w:color="auto"/>
                                                <w:right w:val="none" w:sz="0" w:space="0" w:color="auto"/>
                                              </w:divBdr>
                                              <w:divsChild>
                                                <w:div w:id="140923399">
                                                  <w:marLeft w:val="0"/>
                                                  <w:marRight w:val="0"/>
                                                  <w:marTop w:val="0"/>
                                                  <w:marBottom w:val="0"/>
                                                  <w:divBdr>
                                                    <w:top w:val="none" w:sz="0" w:space="0" w:color="auto"/>
                                                    <w:left w:val="none" w:sz="0" w:space="0" w:color="auto"/>
                                                    <w:bottom w:val="none" w:sz="0" w:space="0" w:color="auto"/>
                                                    <w:right w:val="none" w:sz="0" w:space="0" w:color="auto"/>
                                                  </w:divBdr>
                                                </w:div>
                                                <w:div w:id="2103604675">
                                                  <w:marLeft w:val="0"/>
                                                  <w:marRight w:val="0"/>
                                                  <w:marTop w:val="0"/>
                                                  <w:marBottom w:val="0"/>
                                                  <w:divBdr>
                                                    <w:top w:val="none" w:sz="0" w:space="0" w:color="auto"/>
                                                    <w:left w:val="none" w:sz="0" w:space="0" w:color="auto"/>
                                                    <w:bottom w:val="none" w:sz="0" w:space="0" w:color="auto"/>
                                                    <w:right w:val="none" w:sz="0" w:space="0" w:color="auto"/>
                                                  </w:divBdr>
                                                </w:div>
                                                <w:div w:id="1720008861">
                                                  <w:marLeft w:val="0"/>
                                                  <w:marRight w:val="0"/>
                                                  <w:marTop w:val="0"/>
                                                  <w:marBottom w:val="0"/>
                                                  <w:divBdr>
                                                    <w:top w:val="none" w:sz="0" w:space="0" w:color="auto"/>
                                                    <w:left w:val="none" w:sz="0" w:space="0" w:color="auto"/>
                                                    <w:bottom w:val="none" w:sz="0" w:space="0" w:color="auto"/>
                                                    <w:right w:val="none" w:sz="0" w:space="0" w:color="auto"/>
                                                  </w:divBdr>
                                                </w:div>
                                                <w:div w:id="1543011961">
                                                  <w:marLeft w:val="0"/>
                                                  <w:marRight w:val="0"/>
                                                  <w:marTop w:val="0"/>
                                                  <w:marBottom w:val="0"/>
                                                  <w:divBdr>
                                                    <w:top w:val="none" w:sz="0" w:space="0" w:color="auto"/>
                                                    <w:left w:val="none" w:sz="0" w:space="0" w:color="auto"/>
                                                    <w:bottom w:val="none" w:sz="0" w:space="0" w:color="auto"/>
                                                    <w:right w:val="none" w:sz="0" w:space="0" w:color="auto"/>
                                                  </w:divBdr>
                                                </w:div>
                                                <w:div w:id="206265587">
                                                  <w:marLeft w:val="0"/>
                                                  <w:marRight w:val="0"/>
                                                  <w:marTop w:val="0"/>
                                                  <w:marBottom w:val="0"/>
                                                  <w:divBdr>
                                                    <w:top w:val="none" w:sz="0" w:space="0" w:color="auto"/>
                                                    <w:left w:val="none" w:sz="0" w:space="0" w:color="auto"/>
                                                    <w:bottom w:val="none" w:sz="0" w:space="0" w:color="auto"/>
                                                    <w:right w:val="none" w:sz="0" w:space="0" w:color="auto"/>
                                                  </w:divBdr>
                                                </w:div>
                                                <w:div w:id="55015243">
                                                  <w:marLeft w:val="0"/>
                                                  <w:marRight w:val="0"/>
                                                  <w:marTop w:val="0"/>
                                                  <w:marBottom w:val="0"/>
                                                  <w:divBdr>
                                                    <w:top w:val="none" w:sz="0" w:space="0" w:color="auto"/>
                                                    <w:left w:val="none" w:sz="0" w:space="0" w:color="auto"/>
                                                    <w:bottom w:val="none" w:sz="0" w:space="0" w:color="auto"/>
                                                    <w:right w:val="none" w:sz="0" w:space="0" w:color="auto"/>
                                                  </w:divBdr>
                                                </w:div>
                                                <w:div w:id="506793002">
                                                  <w:marLeft w:val="0"/>
                                                  <w:marRight w:val="0"/>
                                                  <w:marTop w:val="0"/>
                                                  <w:marBottom w:val="0"/>
                                                  <w:divBdr>
                                                    <w:top w:val="none" w:sz="0" w:space="0" w:color="auto"/>
                                                    <w:left w:val="none" w:sz="0" w:space="0" w:color="auto"/>
                                                    <w:bottom w:val="none" w:sz="0" w:space="0" w:color="auto"/>
                                                    <w:right w:val="none" w:sz="0" w:space="0" w:color="auto"/>
                                                  </w:divBdr>
                                                </w:div>
                                                <w:div w:id="925647404">
                                                  <w:marLeft w:val="0"/>
                                                  <w:marRight w:val="0"/>
                                                  <w:marTop w:val="0"/>
                                                  <w:marBottom w:val="0"/>
                                                  <w:divBdr>
                                                    <w:top w:val="none" w:sz="0" w:space="0" w:color="auto"/>
                                                    <w:left w:val="none" w:sz="0" w:space="0" w:color="auto"/>
                                                    <w:bottom w:val="none" w:sz="0" w:space="0" w:color="auto"/>
                                                    <w:right w:val="none" w:sz="0" w:space="0" w:color="auto"/>
                                                  </w:divBdr>
                                                </w:div>
                                                <w:div w:id="526797909">
                                                  <w:marLeft w:val="0"/>
                                                  <w:marRight w:val="0"/>
                                                  <w:marTop w:val="0"/>
                                                  <w:marBottom w:val="0"/>
                                                  <w:divBdr>
                                                    <w:top w:val="none" w:sz="0" w:space="0" w:color="auto"/>
                                                    <w:left w:val="none" w:sz="0" w:space="0" w:color="auto"/>
                                                    <w:bottom w:val="none" w:sz="0" w:space="0" w:color="auto"/>
                                                    <w:right w:val="none" w:sz="0" w:space="0" w:color="auto"/>
                                                  </w:divBdr>
                                                </w:div>
                                                <w:div w:id="2113935280">
                                                  <w:marLeft w:val="0"/>
                                                  <w:marRight w:val="0"/>
                                                  <w:marTop w:val="0"/>
                                                  <w:marBottom w:val="0"/>
                                                  <w:divBdr>
                                                    <w:top w:val="none" w:sz="0" w:space="0" w:color="auto"/>
                                                    <w:left w:val="none" w:sz="0" w:space="0" w:color="auto"/>
                                                    <w:bottom w:val="none" w:sz="0" w:space="0" w:color="auto"/>
                                                    <w:right w:val="none" w:sz="0" w:space="0" w:color="auto"/>
                                                  </w:divBdr>
                                                </w:div>
                                                <w:div w:id="1547990149">
                                                  <w:marLeft w:val="0"/>
                                                  <w:marRight w:val="0"/>
                                                  <w:marTop w:val="0"/>
                                                  <w:marBottom w:val="0"/>
                                                  <w:divBdr>
                                                    <w:top w:val="none" w:sz="0" w:space="0" w:color="auto"/>
                                                    <w:left w:val="none" w:sz="0" w:space="0" w:color="auto"/>
                                                    <w:bottom w:val="none" w:sz="0" w:space="0" w:color="auto"/>
                                                    <w:right w:val="none" w:sz="0" w:space="0" w:color="auto"/>
                                                  </w:divBdr>
                                                </w:div>
                                                <w:div w:id="1053580836">
                                                  <w:marLeft w:val="0"/>
                                                  <w:marRight w:val="0"/>
                                                  <w:marTop w:val="0"/>
                                                  <w:marBottom w:val="0"/>
                                                  <w:divBdr>
                                                    <w:top w:val="none" w:sz="0" w:space="0" w:color="auto"/>
                                                    <w:left w:val="none" w:sz="0" w:space="0" w:color="auto"/>
                                                    <w:bottom w:val="none" w:sz="0" w:space="0" w:color="auto"/>
                                                    <w:right w:val="none" w:sz="0" w:space="0" w:color="auto"/>
                                                  </w:divBdr>
                                                </w:div>
                                                <w:div w:id="825240638">
                                                  <w:marLeft w:val="0"/>
                                                  <w:marRight w:val="0"/>
                                                  <w:marTop w:val="0"/>
                                                  <w:marBottom w:val="0"/>
                                                  <w:divBdr>
                                                    <w:top w:val="none" w:sz="0" w:space="0" w:color="auto"/>
                                                    <w:left w:val="none" w:sz="0" w:space="0" w:color="auto"/>
                                                    <w:bottom w:val="none" w:sz="0" w:space="0" w:color="auto"/>
                                                    <w:right w:val="none" w:sz="0" w:space="0" w:color="auto"/>
                                                  </w:divBdr>
                                                </w:div>
                                                <w:div w:id="1380472674">
                                                  <w:marLeft w:val="0"/>
                                                  <w:marRight w:val="0"/>
                                                  <w:marTop w:val="0"/>
                                                  <w:marBottom w:val="0"/>
                                                  <w:divBdr>
                                                    <w:top w:val="none" w:sz="0" w:space="0" w:color="auto"/>
                                                    <w:left w:val="none" w:sz="0" w:space="0" w:color="auto"/>
                                                    <w:bottom w:val="none" w:sz="0" w:space="0" w:color="auto"/>
                                                    <w:right w:val="none" w:sz="0" w:space="0" w:color="auto"/>
                                                  </w:divBdr>
                                                </w:div>
                                                <w:div w:id="1674524478">
                                                  <w:marLeft w:val="0"/>
                                                  <w:marRight w:val="0"/>
                                                  <w:marTop w:val="0"/>
                                                  <w:marBottom w:val="0"/>
                                                  <w:divBdr>
                                                    <w:top w:val="none" w:sz="0" w:space="0" w:color="auto"/>
                                                    <w:left w:val="none" w:sz="0" w:space="0" w:color="auto"/>
                                                    <w:bottom w:val="none" w:sz="0" w:space="0" w:color="auto"/>
                                                    <w:right w:val="none" w:sz="0" w:space="0" w:color="auto"/>
                                                  </w:divBdr>
                                                </w:div>
                                                <w:div w:id="12780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20635">
                                          <w:marLeft w:val="0"/>
                                          <w:marRight w:val="0"/>
                                          <w:marTop w:val="0"/>
                                          <w:marBottom w:val="75"/>
                                          <w:divBdr>
                                            <w:top w:val="none" w:sz="0" w:space="0" w:color="auto"/>
                                            <w:left w:val="none" w:sz="0" w:space="0" w:color="auto"/>
                                            <w:bottom w:val="none" w:sz="0" w:space="0" w:color="auto"/>
                                            <w:right w:val="none" w:sz="0" w:space="0" w:color="auto"/>
                                          </w:divBdr>
                                          <w:divsChild>
                                            <w:div w:id="130440247">
                                              <w:marLeft w:val="0"/>
                                              <w:marRight w:val="0"/>
                                              <w:marTop w:val="0"/>
                                              <w:marBottom w:val="0"/>
                                              <w:divBdr>
                                                <w:top w:val="none" w:sz="0" w:space="0" w:color="auto"/>
                                                <w:left w:val="none" w:sz="0" w:space="0" w:color="auto"/>
                                                <w:bottom w:val="none" w:sz="0" w:space="0" w:color="auto"/>
                                                <w:right w:val="none" w:sz="0" w:space="0" w:color="auto"/>
                                              </w:divBdr>
                                            </w:div>
                                            <w:div w:id="1287659424">
                                              <w:marLeft w:val="0"/>
                                              <w:marRight w:val="0"/>
                                              <w:marTop w:val="0"/>
                                              <w:marBottom w:val="0"/>
                                              <w:divBdr>
                                                <w:top w:val="none" w:sz="0" w:space="0" w:color="auto"/>
                                                <w:left w:val="none" w:sz="0" w:space="0" w:color="auto"/>
                                                <w:bottom w:val="none" w:sz="0" w:space="0" w:color="auto"/>
                                                <w:right w:val="none" w:sz="0" w:space="0" w:color="auto"/>
                                              </w:divBdr>
                                            </w:div>
                                            <w:div w:id="13855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6469">
                                  <w:marLeft w:val="0"/>
                                  <w:marRight w:val="0"/>
                                  <w:marTop w:val="0"/>
                                  <w:marBottom w:val="0"/>
                                  <w:divBdr>
                                    <w:top w:val="none" w:sz="0" w:space="0" w:color="auto"/>
                                    <w:left w:val="none" w:sz="0" w:space="0" w:color="auto"/>
                                    <w:bottom w:val="none" w:sz="0" w:space="0" w:color="auto"/>
                                    <w:right w:val="none" w:sz="0" w:space="0" w:color="auto"/>
                                  </w:divBdr>
                                  <w:divsChild>
                                    <w:div w:id="301931333">
                                      <w:marLeft w:val="0"/>
                                      <w:marRight w:val="0"/>
                                      <w:marTop w:val="0"/>
                                      <w:marBottom w:val="0"/>
                                      <w:divBdr>
                                        <w:top w:val="none" w:sz="0" w:space="0" w:color="auto"/>
                                        <w:left w:val="none" w:sz="0" w:space="0" w:color="auto"/>
                                        <w:bottom w:val="none" w:sz="0" w:space="0" w:color="auto"/>
                                        <w:right w:val="none" w:sz="0" w:space="0" w:color="auto"/>
                                      </w:divBdr>
                                      <w:divsChild>
                                        <w:div w:id="640496954">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748764939">
                                  <w:marLeft w:val="0"/>
                                  <w:marRight w:val="0"/>
                                  <w:marTop w:val="0"/>
                                  <w:marBottom w:val="0"/>
                                  <w:divBdr>
                                    <w:top w:val="none" w:sz="0" w:space="0" w:color="auto"/>
                                    <w:left w:val="none" w:sz="0" w:space="0" w:color="auto"/>
                                    <w:bottom w:val="none" w:sz="0" w:space="0" w:color="auto"/>
                                    <w:right w:val="none" w:sz="0" w:space="0" w:color="auto"/>
                                  </w:divBdr>
                                  <w:divsChild>
                                    <w:div w:id="332032173">
                                      <w:marLeft w:val="0"/>
                                      <w:marRight w:val="0"/>
                                      <w:marTop w:val="0"/>
                                      <w:marBottom w:val="0"/>
                                      <w:divBdr>
                                        <w:top w:val="none" w:sz="0" w:space="0" w:color="auto"/>
                                        <w:left w:val="none" w:sz="0" w:space="0" w:color="auto"/>
                                        <w:bottom w:val="none" w:sz="0" w:space="0" w:color="auto"/>
                                        <w:right w:val="none" w:sz="0" w:space="0" w:color="auto"/>
                                      </w:divBdr>
                                      <w:divsChild>
                                        <w:div w:id="1030299254">
                                          <w:marLeft w:val="0"/>
                                          <w:marRight w:val="-75"/>
                                          <w:marTop w:val="0"/>
                                          <w:marBottom w:val="0"/>
                                          <w:divBdr>
                                            <w:top w:val="none" w:sz="0" w:space="0" w:color="auto"/>
                                            <w:left w:val="none" w:sz="0" w:space="0" w:color="auto"/>
                                            <w:bottom w:val="none" w:sz="0" w:space="0" w:color="auto"/>
                                            <w:right w:val="none" w:sz="0" w:space="0" w:color="auto"/>
                                          </w:divBdr>
                                          <w:divsChild>
                                            <w:div w:id="608708742">
                                              <w:marLeft w:val="0"/>
                                              <w:marRight w:val="0"/>
                                              <w:marTop w:val="0"/>
                                              <w:marBottom w:val="0"/>
                                              <w:divBdr>
                                                <w:top w:val="none" w:sz="0" w:space="0" w:color="auto"/>
                                                <w:left w:val="none" w:sz="0" w:space="0" w:color="auto"/>
                                                <w:bottom w:val="none" w:sz="0" w:space="0" w:color="auto"/>
                                                <w:right w:val="none" w:sz="0" w:space="0" w:color="auto"/>
                                              </w:divBdr>
                                              <w:divsChild>
                                                <w:div w:id="1978871649">
                                                  <w:marLeft w:val="0"/>
                                                  <w:marRight w:val="0"/>
                                                  <w:marTop w:val="0"/>
                                                  <w:marBottom w:val="0"/>
                                                  <w:divBdr>
                                                    <w:top w:val="none" w:sz="0" w:space="0" w:color="auto"/>
                                                    <w:left w:val="none" w:sz="0" w:space="0" w:color="auto"/>
                                                    <w:bottom w:val="none" w:sz="0" w:space="0" w:color="auto"/>
                                                    <w:right w:val="none" w:sz="0" w:space="0" w:color="auto"/>
                                                  </w:divBdr>
                                                  <w:divsChild>
                                                    <w:div w:id="1033381273">
                                                      <w:marLeft w:val="0"/>
                                                      <w:marRight w:val="0"/>
                                                      <w:marTop w:val="0"/>
                                                      <w:marBottom w:val="75"/>
                                                      <w:divBdr>
                                                        <w:top w:val="none" w:sz="0" w:space="0" w:color="auto"/>
                                                        <w:left w:val="none" w:sz="0" w:space="0" w:color="auto"/>
                                                        <w:bottom w:val="none" w:sz="0" w:space="0" w:color="auto"/>
                                                        <w:right w:val="none" w:sz="0" w:space="0" w:color="auto"/>
                                                      </w:divBdr>
                                                      <w:divsChild>
                                                        <w:div w:id="1718898659">
                                                          <w:marLeft w:val="0"/>
                                                          <w:marRight w:val="0"/>
                                                          <w:marTop w:val="0"/>
                                                          <w:marBottom w:val="0"/>
                                                          <w:divBdr>
                                                            <w:top w:val="none" w:sz="0" w:space="0" w:color="auto"/>
                                                            <w:left w:val="none" w:sz="0" w:space="0" w:color="auto"/>
                                                            <w:bottom w:val="none" w:sz="0" w:space="0" w:color="auto"/>
                                                            <w:right w:val="none" w:sz="0" w:space="0" w:color="auto"/>
                                                          </w:divBdr>
                                                        </w:div>
                                                        <w:div w:id="1168793063">
                                                          <w:marLeft w:val="0"/>
                                                          <w:marRight w:val="0"/>
                                                          <w:marTop w:val="0"/>
                                                          <w:marBottom w:val="0"/>
                                                          <w:divBdr>
                                                            <w:top w:val="none" w:sz="0" w:space="0" w:color="auto"/>
                                                            <w:left w:val="none" w:sz="0" w:space="0" w:color="auto"/>
                                                            <w:bottom w:val="none" w:sz="0" w:space="0" w:color="auto"/>
                                                            <w:right w:val="none" w:sz="0" w:space="0" w:color="auto"/>
                                                          </w:divBdr>
                                                        </w:div>
                                                        <w:div w:id="267087454">
                                                          <w:marLeft w:val="0"/>
                                                          <w:marRight w:val="0"/>
                                                          <w:marTop w:val="0"/>
                                                          <w:marBottom w:val="0"/>
                                                          <w:divBdr>
                                                            <w:top w:val="none" w:sz="0" w:space="0" w:color="auto"/>
                                                            <w:left w:val="none" w:sz="0" w:space="0" w:color="auto"/>
                                                            <w:bottom w:val="none" w:sz="0" w:space="0" w:color="auto"/>
                                                            <w:right w:val="none" w:sz="0" w:space="0" w:color="auto"/>
                                                          </w:divBdr>
                                                        </w:div>
                                                        <w:div w:id="113478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00309">
                                              <w:marLeft w:val="0"/>
                                              <w:marRight w:val="0"/>
                                              <w:marTop w:val="0"/>
                                              <w:marBottom w:val="0"/>
                                              <w:divBdr>
                                                <w:top w:val="none" w:sz="0" w:space="0" w:color="auto"/>
                                                <w:left w:val="none" w:sz="0" w:space="0" w:color="auto"/>
                                                <w:bottom w:val="none" w:sz="0" w:space="0" w:color="auto"/>
                                                <w:right w:val="none" w:sz="0" w:space="0" w:color="auto"/>
                                              </w:divBdr>
                                              <w:divsChild>
                                                <w:div w:id="1469589611">
                                                  <w:marLeft w:val="0"/>
                                                  <w:marRight w:val="0"/>
                                                  <w:marTop w:val="0"/>
                                                  <w:marBottom w:val="0"/>
                                                  <w:divBdr>
                                                    <w:top w:val="none" w:sz="0" w:space="0" w:color="auto"/>
                                                    <w:left w:val="none" w:sz="0" w:space="0" w:color="auto"/>
                                                    <w:bottom w:val="none" w:sz="0" w:space="0" w:color="auto"/>
                                                    <w:right w:val="none" w:sz="0" w:space="0" w:color="auto"/>
                                                  </w:divBdr>
                                                  <w:divsChild>
                                                    <w:div w:id="921723763">
                                                      <w:marLeft w:val="0"/>
                                                      <w:marRight w:val="0"/>
                                                      <w:marTop w:val="0"/>
                                                      <w:marBottom w:val="75"/>
                                                      <w:divBdr>
                                                        <w:top w:val="none" w:sz="0" w:space="0" w:color="auto"/>
                                                        <w:left w:val="none" w:sz="0" w:space="0" w:color="auto"/>
                                                        <w:bottom w:val="none" w:sz="0" w:space="0" w:color="auto"/>
                                                        <w:right w:val="none" w:sz="0" w:space="0" w:color="auto"/>
                                                      </w:divBdr>
                                                      <w:divsChild>
                                                        <w:div w:id="888152491">
                                                          <w:marLeft w:val="0"/>
                                                          <w:marRight w:val="0"/>
                                                          <w:marTop w:val="0"/>
                                                          <w:marBottom w:val="0"/>
                                                          <w:divBdr>
                                                            <w:top w:val="none" w:sz="0" w:space="0" w:color="auto"/>
                                                            <w:left w:val="none" w:sz="0" w:space="0" w:color="auto"/>
                                                            <w:bottom w:val="none" w:sz="0" w:space="0" w:color="auto"/>
                                                            <w:right w:val="none" w:sz="0" w:space="0" w:color="auto"/>
                                                          </w:divBdr>
                                                        </w:div>
                                                        <w:div w:id="1100444592">
                                                          <w:marLeft w:val="0"/>
                                                          <w:marRight w:val="0"/>
                                                          <w:marTop w:val="0"/>
                                                          <w:marBottom w:val="0"/>
                                                          <w:divBdr>
                                                            <w:top w:val="none" w:sz="0" w:space="0" w:color="auto"/>
                                                            <w:left w:val="none" w:sz="0" w:space="0" w:color="auto"/>
                                                            <w:bottom w:val="none" w:sz="0" w:space="0" w:color="auto"/>
                                                            <w:right w:val="none" w:sz="0" w:space="0" w:color="auto"/>
                                                          </w:divBdr>
                                                        </w:div>
                                                        <w:div w:id="1289320527">
                                                          <w:marLeft w:val="0"/>
                                                          <w:marRight w:val="0"/>
                                                          <w:marTop w:val="0"/>
                                                          <w:marBottom w:val="0"/>
                                                          <w:divBdr>
                                                            <w:top w:val="none" w:sz="0" w:space="0" w:color="auto"/>
                                                            <w:left w:val="none" w:sz="0" w:space="0" w:color="auto"/>
                                                            <w:bottom w:val="none" w:sz="0" w:space="0" w:color="auto"/>
                                                            <w:right w:val="none" w:sz="0" w:space="0" w:color="auto"/>
                                                          </w:divBdr>
                                                        </w:div>
                                                        <w:div w:id="567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799904">
                                  <w:marLeft w:val="0"/>
                                  <w:marRight w:val="0"/>
                                  <w:marTop w:val="0"/>
                                  <w:marBottom w:val="0"/>
                                  <w:divBdr>
                                    <w:top w:val="none" w:sz="0" w:space="0" w:color="auto"/>
                                    <w:left w:val="none" w:sz="0" w:space="0" w:color="auto"/>
                                    <w:bottom w:val="none" w:sz="0" w:space="0" w:color="auto"/>
                                    <w:right w:val="none" w:sz="0" w:space="0" w:color="auto"/>
                                  </w:divBdr>
                                  <w:divsChild>
                                    <w:div w:id="607322548">
                                      <w:marLeft w:val="0"/>
                                      <w:marRight w:val="0"/>
                                      <w:marTop w:val="0"/>
                                      <w:marBottom w:val="0"/>
                                      <w:divBdr>
                                        <w:top w:val="none" w:sz="0" w:space="0" w:color="auto"/>
                                        <w:left w:val="none" w:sz="0" w:space="0" w:color="auto"/>
                                        <w:bottom w:val="none" w:sz="0" w:space="0" w:color="auto"/>
                                        <w:right w:val="none" w:sz="0" w:space="0" w:color="auto"/>
                                      </w:divBdr>
                                      <w:divsChild>
                                        <w:div w:id="1752502294">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741323170">
                                  <w:marLeft w:val="0"/>
                                  <w:marRight w:val="0"/>
                                  <w:marTop w:val="0"/>
                                  <w:marBottom w:val="0"/>
                                  <w:divBdr>
                                    <w:top w:val="none" w:sz="0" w:space="0" w:color="auto"/>
                                    <w:left w:val="none" w:sz="0" w:space="0" w:color="auto"/>
                                    <w:bottom w:val="none" w:sz="0" w:space="0" w:color="auto"/>
                                    <w:right w:val="none" w:sz="0" w:space="0" w:color="auto"/>
                                  </w:divBdr>
                                  <w:divsChild>
                                    <w:div w:id="1638800485">
                                      <w:marLeft w:val="0"/>
                                      <w:marRight w:val="0"/>
                                      <w:marTop w:val="0"/>
                                      <w:marBottom w:val="0"/>
                                      <w:divBdr>
                                        <w:top w:val="none" w:sz="0" w:space="0" w:color="auto"/>
                                        <w:left w:val="none" w:sz="0" w:space="0" w:color="auto"/>
                                        <w:bottom w:val="none" w:sz="0" w:space="0" w:color="auto"/>
                                        <w:right w:val="none" w:sz="0" w:space="0" w:color="auto"/>
                                      </w:divBdr>
                                      <w:divsChild>
                                        <w:div w:id="746265401">
                                          <w:marLeft w:val="0"/>
                                          <w:marRight w:val="-75"/>
                                          <w:marTop w:val="0"/>
                                          <w:marBottom w:val="0"/>
                                          <w:divBdr>
                                            <w:top w:val="none" w:sz="0" w:space="0" w:color="auto"/>
                                            <w:left w:val="none" w:sz="0" w:space="0" w:color="auto"/>
                                            <w:bottom w:val="none" w:sz="0" w:space="0" w:color="auto"/>
                                            <w:right w:val="none" w:sz="0" w:space="0" w:color="auto"/>
                                          </w:divBdr>
                                          <w:divsChild>
                                            <w:div w:id="560018828">
                                              <w:marLeft w:val="0"/>
                                              <w:marRight w:val="0"/>
                                              <w:marTop w:val="0"/>
                                              <w:marBottom w:val="0"/>
                                              <w:divBdr>
                                                <w:top w:val="none" w:sz="0" w:space="0" w:color="auto"/>
                                                <w:left w:val="none" w:sz="0" w:space="0" w:color="auto"/>
                                                <w:bottom w:val="none" w:sz="0" w:space="0" w:color="auto"/>
                                                <w:right w:val="none" w:sz="0" w:space="0" w:color="auto"/>
                                              </w:divBdr>
                                              <w:divsChild>
                                                <w:div w:id="1048605802">
                                                  <w:marLeft w:val="0"/>
                                                  <w:marRight w:val="0"/>
                                                  <w:marTop w:val="0"/>
                                                  <w:marBottom w:val="0"/>
                                                  <w:divBdr>
                                                    <w:top w:val="none" w:sz="0" w:space="0" w:color="auto"/>
                                                    <w:left w:val="none" w:sz="0" w:space="0" w:color="auto"/>
                                                    <w:bottom w:val="none" w:sz="0" w:space="0" w:color="auto"/>
                                                    <w:right w:val="none" w:sz="0" w:space="0" w:color="auto"/>
                                                  </w:divBdr>
                                                  <w:divsChild>
                                                    <w:div w:id="1006446246">
                                                      <w:marLeft w:val="0"/>
                                                      <w:marRight w:val="0"/>
                                                      <w:marTop w:val="0"/>
                                                      <w:marBottom w:val="0"/>
                                                      <w:divBdr>
                                                        <w:top w:val="none" w:sz="0" w:space="0" w:color="auto"/>
                                                        <w:left w:val="none" w:sz="0" w:space="0" w:color="auto"/>
                                                        <w:bottom w:val="none" w:sz="0" w:space="0" w:color="auto"/>
                                                        <w:right w:val="none" w:sz="0" w:space="0" w:color="auto"/>
                                                      </w:divBdr>
                                                      <w:divsChild>
                                                        <w:div w:id="1505783693">
                                                          <w:marLeft w:val="0"/>
                                                          <w:marRight w:val="0"/>
                                                          <w:marTop w:val="0"/>
                                                          <w:marBottom w:val="0"/>
                                                          <w:divBdr>
                                                            <w:top w:val="none" w:sz="0" w:space="0" w:color="auto"/>
                                                            <w:left w:val="none" w:sz="0" w:space="0" w:color="auto"/>
                                                            <w:bottom w:val="none" w:sz="0" w:space="0" w:color="auto"/>
                                                            <w:right w:val="none" w:sz="0" w:space="0" w:color="auto"/>
                                                          </w:divBdr>
                                                        </w:div>
                                                        <w:div w:id="2078355793">
                                                          <w:marLeft w:val="0"/>
                                                          <w:marRight w:val="0"/>
                                                          <w:marTop w:val="0"/>
                                                          <w:marBottom w:val="0"/>
                                                          <w:divBdr>
                                                            <w:top w:val="none" w:sz="0" w:space="0" w:color="auto"/>
                                                            <w:left w:val="none" w:sz="0" w:space="0" w:color="auto"/>
                                                            <w:bottom w:val="none" w:sz="0" w:space="0" w:color="auto"/>
                                                            <w:right w:val="none" w:sz="0" w:space="0" w:color="auto"/>
                                                          </w:divBdr>
                                                          <w:divsChild>
                                                            <w:div w:id="553539539">
                                                              <w:marLeft w:val="0"/>
                                                              <w:marRight w:val="0"/>
                                                              <w:marTop w:val="0"/>
                                                              <w:marBottom w:val="0"/>
                                                              <w:divBdr>
                                                                <w:top w:val="none" w:sz="0" w:space="0" w:color="auto"/>
                                                                <w:left w:val="none" w:sz="0" w:space="0" w:color="auto"/>
                                                                <w:bottom w:val="none" w:sz="0" w:space="0" w:color="auto"/>
                                                                <w:right w:val="none" w:sz="0" w:space="0" w:color="auto"/>
                                                              </w:divBdr>
                                                            </w:div>
                                                            <w:div w:id="1862474357">
                                                              <w:marLeft w:val="0"/>
                                                              <w:marRight w:val="0"/>
                                                              <w:marTop w:val="0"/>
                                                              <w:marBottom w:val="0"/>
                                                              <w:divBdr>
                                                                <w:top w:val="none" w:sz="0" w:space="0" w:color="auto"/>
                                                                <w:left w:val="none" w:sz="0" w:space="0" w:color="auto"/>
                                                                <w:bottom w:val="none" w:sz="0" w:space="0" w:color="auto"/>
                                                                <w:right w:val="none" w:sz="0" w:space="0" w:color="auto"/>
                                                              </w:divBdr>
                                                            </w:div>
                                                          </w:divsChild>
                                                        </w:div>
                                                        <w:div w:id="155075497">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731927056">
                                              <w:marLeft w:val="0"/>
                                              <w:marRight w:val="0"/>
                                              <w:marTop w:val="0"/>
                                              <w:marBottom w:val="0"/>
                                              <w:divBdr>
                                                <w:top w:val="none" w:sz="0" w:space="0" w:color="auto"/>
                                                <w:left w:val="none" w:sz="0" w:space="0" w:color="auto"/>
                                                <w:bottom w:val="none" w:sz="0" w:space="0" w:color="auto"/>
                                                <w:right w:val="none" w:sz="0" w:space="0" w:color="auto"/>
                                              </w:divBdr>
                                              <w:divsChild>
                                                <w:div w:id="588776804">
                                                  <w:marLeft w:val="0"/>
                                                  <w:marRight w:val="0"/>
                                                  <w:marTop w:val="0"/>
                                                  <w:marBottom w:val="0"/>
                                                  <w:divBdr>
                                                    <w:top w:val="none" w:sz="0" w:space="0" w:color="auto"/>
                                                    <w:left w:val="none" w:sz="0" w:space="0" w:color="auto"/>
                                                    <w:bottom w:val="none" w:sz="0" w:space="0" w:color="auto"/>
                                                    <w:right w:val="none" w:sz="0" w:space="0" w:color="auto"/>
                                                  </w:divBdr>
                                                  <w:divsChild>
                                                    <w:div w:id="2095128616">
                                                      <w:marLeft w:val="0"/>
                                                      <w:marRight w:val="0"/>
                                                      <w:marTop w:val="0"/>
                                                      <w:marBottom w:val="0"/>
                                                      <w:divBdr>
                                                        <w:top w:val="none" w:sz="0" w:space="0" w:color="auto"/>
                                                        <w:left w:val="none" w:sz="0" w:space="0" w:color="auto"/>
                                                        <w:bottom w:val="none" w:sz="0" w:space="0" w:color="auto"/>
                                                        <w:right w:val="none" w:sz="0" w:space="0" w:color="auto"/>
                                                      </w:divBdr>
                                                      <w:divsChild>
                                                        <w:div w:id="1681666058">
                                                          <w:marLeft w:val="0"/>
                                                          <w:marRight w:val="0"/>
                                                          <w:marTop w:val="0"/>
                                                          <w:marBottom w:val="0"/>
                                                          <w:divBdr>
                                                            <w:top w:val="none" w:sz="0" w:space="0" w:color="auto"/>
                                                            <w:left w:val="none" w:sz="0" w:space="0" w:color="auto"/>
                                                            <w:bottom w:val="none" w:sz="0" w:space="0" w:color="auto"/>
                                                            <w:right w:val="none" w:sz="0" w:space="0" w:color="auto"/>
                                                          </w:divBdr>
                                                        </w:div>
                                                        <w:div w:id="2109277072">
                                                          <w:marLeft w:val="0"/>
                                                          <w:marRight w:val="0"/>
                                                          <w:marTop w:val="0"/>
                                                          <w:marBottom w:val="0"/>
                                                          <w:divBdr>
                                                            <w:top w:val="none" w:sz="0" w:space="0" w:color="auto"/>
                                                            <w:left w:val="none" w:sz="0" w:space="0" w:color="auto"/>
                                                            <w:bottom w:val="none" w:sz="0" w:space="0" w:color="auto"/>
                                                            <w:right w:val="none" w:sz="0" w:space="0" w:color="auto"/>
                                                          </w:divBdr>
                                                          <w:divsChild>
                                                            <w:div w:id="2065978422">
                                                              <w:marLeft w:val="0"/>
                                                              <w:marRight w:val="0"/>
                                                              <w:marTop w:val="0"/>
                                                              <w:marBottom w:val="0"/>
                                                              <w:divBdr>
                                                                <w:top w:val="none" w:sz="0" w:space="0" w:color="auto"/>
                                                                <w:left w:val="none" w:sz="0" w:space="0" w:color="auto"/>
                                                                <w:bottom w:val="none" w:sz="0" w:space="0" w:color="auto"/>
                                                                <w:right w:val="none" w:sz="0" w:space="0" w:color="auto"/>
                                                              </w:divBdr>
                                                            </w:div>
                                                            <w:div w:id="791561637">
                                                              <w:marLeft w:val="0"/>
                                                              <w:marRight w:val="0"/>
                                                              <w:marTop w:val="0"/>
                                                              <w:marBottom w:val="0"/>
                                                              <w:divBdr>
                                                                <w:top w:val="none" w:sz="0" w:space="0" w:color="auto"/>
                                                                <w:left w:val="none" w:sz="0" w:space="0" w:color="auto"/>
                                                                <w:bottom w:val="none" w:sz="0" w:space="0" w:color="auto"/>
                                                                <w:right w:val="none" w:sz="0" w:space="0" w:color="auto"/>
                                                              </w:divBdr>
                                                            </w:div>
                                                            <w:div w:id="1586650083">
                                                              <w:marLeft w:val="0"/>
                                                              <w:marRight w:val="0"/>
                                                              <w:marTop w:val="0"/>
                                                              <w:marBottom w:val="0"/>
                                                              <w:divBdr>
                                                                <w:top w:val="none" w:sz="0" w:space="0" w:color="auto"/>
                                                                <w:left w:val="none" w:sz="0" w:space="0" w:color="auto"/>
                                                                <w:bottom w:val="none" w:sz="0" w:space="0" w:color="auto"/>
                                                                <w:right w:val="none" w:sz="0" w:space="0" w:color="auto"/>
                                                              </w:divBdr>
                                                            </w:div>
                                                            <w:div w:id="718362703">
                                                              <w:marLeft w:val="0"/>
                                                              <w:marRight w:val="0"/>
                                                              <w:marTop w:val="0"/>
                                                              <w:marBottom w:val="0"/>
                                                              <w:divBdr>
                                                                <w:top w:val="none" w:sz="0" w:space="0" w:color="auto"/>
                                                                <w:left w:val="none" w:sz="0" w:space="0" w:color="auto"/>
                                                                <w:bottom w:val="none" w:sz="0" w:space="0" w:color="auto"/>
                                                                <w:right w:val="none" w:sz="0" w:space="0" w:color="auto"/>
                                                              </w:divBdr>
                                                            </w:div>
                                                          </w:divsChild>
                                                        </w:div>
                                                        <w:div w:id="817379996">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132986070">
                                          <w:marLeft w:val="0"/>
                                          <w:marRight w:val="-75"/>
                                          <w:marTop w:val="0"/>
                                          <w:marBottom w:val="0"/>
                                          <w:divBdr>
                                            <w:top w:val="none" w:sz="0" w:space="0" w:color="auto"/>
                                            <w:left w:val="none" w:sz="0" w:space="0" w:color="auto"/>
                                            <w:bottom w:val="none" w:sz="0" w:space="0" w:color="auto"/>
                                            <w:right w:val="none" w:sz="0" w:space="0" w:color="auto"/>
                                          </w:divBdr>
                                          <w:divsChild>
                                            <w:div w:id="480541340">
                                              <w:marLeft w:val="0"/>
                                              <w:marRight w:val="0"/>
                                              <w:marTop w:val="0"/>
                                              <w:marBottom w:val="0"/>
                                              <w:divBdr>
                                                <w:top w:val="none" w:sz="0" w:space="0" w:color="auto"/>
                                                <w:left w:val="none" w:sz="0" w:space="0" w:color="auto"/>
                                                <w:bottom w:val="none" w:sz="0" w:space="0" w:color="auto"/>
                                                <w:right w:val="none" w:sz="0" w:space="0" w:color="auto"/>
                                              </w:divBdr>
                                              <w:divsChild>
                                                <w:div w:id="570316119">
                                                  <w:marLeft w:val="0"/>
                                                  <w:marRight w:val="0"/>
                                                  <w:marTop w:val="0"/>
                                                  <w:marBottom w:val="0"/>
                                                  <w:divBdr>
                                                    <w:top w:val="none" w:sz="0" w:space="0" w:color="auto"/>
                                                    <w:left w:val="none" w:sz="0" w:space="0" w:color="auto"/>
                                                    <w:bottom w:val="none" w:sz="0" w:space="0" w:color="auto"/>
                                                    <w:right w:val="none" w:sz="0" w:space="0" w:color="auto"/>
                                                  </w:divBdr>
                                                  <w:divsChild>
                                                    <w:div w:id="820466071">
                                                      <w:marLeft w:val="0"/>
                                                      <w:marRight w:val="0"/>
                                                      <w:marTop w:val="60"/>
                                                      <w:marBottom w:val="0"/>
                                                      <w:divBdr>
                                                        <w:top w:val="none" w:sz="0" w:space="0" w:color="auto"/>
                                                        <w:left w:val="none" w:sz="0" w:space="0" w:color="auto"/>
                                                        <w:bottom w:val="none" w:sz="0" w:space="0" w:color="auto"/>
                                                        <w:right w:val="none" w:sz="0" w:space="0" w:color="auto"/>
                                                      </w:divBdr>
                                                      <w:divsChild>
                                                        <w:div w:id="1504277415">
                                                          <w:marLeft w:val="0"/>
                                                          <w:marRight w:val="0"/>
                                                          <w:marTop w:val="0"/>
                                                          <w:marBottom w:val="0"/>
                                                          <w:divBdr>
                                                            <w:top w:val="none" w:sz="0" w:space="0" w:color="auto"/>
                                                            <w:left w:val="none" w:sz="0" w:space="0" w:color="auto"/>
                                                            <w:bottom w:val="none" w:sz="0" w:space="0" w:color="auto"/>
                                                            <w:right w:val="none" w:sz="0" w:space="0" w:color="auto"/>
                                                          </w:divBdr>
                                                        </w:div>
                                                        <w:div w:id="847138264">
                                                          <w:marLeft w:val="0"/>
                                                          <w:marRight w:val="0"/>
                                                          <w:marTop w:val="0"/>
                                                          <w:marBottom w:val="0"/>
                                                          <w:divBdr>
                                                            <w:top w:val="none" w:sz="0" w:space="0" w:color="auto"/>
                                                            <w:left w:val="none" w:sz="0" w:space="0" w:color="auto"/>
                                                            <w:bottom w:val="none" w:sz="0" w:space="0" w:color="auto"/>
                                                            <w:right w:val="none" w:sz="0" w:space="0" w:color="auto"/>
                                                          </w:divBdr>
                                                          <w:divsChild>
                                                            <w:div w:id="1707634522">
                                                              <w:marLeft w:val="0"/>
                                                              <w:marRight w:val="0"/>
                                                              <w:marTop w:val="0"/>
                                                              <w:marBottom w:val="0"/>
                                                              <w:divBdr>
                                                                <w:top w:val="none" w:sz="0" w:space="0" w:color="auto"/>
                                                                <w:left w:val="none" w:sz="0" w:space="0" w:color="auto"/>
                                                                <w:bottom w:val="none" w:sz="0" w:space="0" w:color="auto"/>
                                                                <w:right w:val="none" w:sz="0" w:space="0" w:color="auto"/>
                                                              </w:divBdr>
                                                            </w:div>
                                                            <w:div w:id="57244205">
                                                              <w:marLeft w:val="0"/>
                                                              <w:marRight w:val="0"/>
                                                              <w:marTop w:val="0"/>
                                                              <w:marBottom w:val="0"/>
                                                              <w:divBdr>
                                                                <w:top w:val="none" w:sz="0" w:space="0" w:color="auto"/>
                                                                <w:left w:val="none" w:sz="0" w:space="0" w:color="auto"/>
                                                                <w:bottom w:val="none" w:sz="0" w:space="0" w:color="auto"/>
                                                                <w:right w:val="none" w:sz="0" w:space="0" w:color="auto"/>
                                                              </w:divBdr>
                                                            </w:div>
                                                            <w:div w:id="898630814">
                                                              <w:marLeft w:val="0"/>
                                                              <w:marRight w:val="0"/>
                                                              <w:marTop w:val="0"/>
                                                              <w:marBottom w:val="0"/>
                                                              <w:divBdr>
                                                                <w:top w:val="none" w:sz="0" w:space="0" w:color="auto"/>
                                                                <w:left w:val="none" w:sz="0" w:space="0" w:color="auto"/>
                                                                <w:bottom w:val="none" w:sz="0" w:space="0" w:color="auto"/>
                                                                <w:right w:val="none" w:sz="0" w:space="0" w:color="auto"/>
                                                              </w:divBdr>
                                                            </w:div>
                                                            <w:div w:id="555555106">
                                                              <w:marLeft w:val="0"/>
                                                              <w:marRight w:val="0"/>
                                                              <w:marTop w:val="0"/>
                                                              <w:marBottom w:val="0"/>
                                                              <w:divBdr>
                                                                <w:top w:val="none" w:sz="0" w:space="0" w:color="auto"/>
                                                                <w:left w:val="none" w:sz="0" w:space="0" w:color="auto"/>
                                                                <w:bottom w:val="none" w:sz="0" w:space="0" w:color="auto"/>
                                                                <w:right w:val="none" w:sz="0" w:space="0" w:color="auto"/>
                                                              </w:divBdr>
                                                            </w:div>
                                                          </w:divsChild>
                                                        </w:div>
                                                        <w:div w:id="1818372610">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637299306">
                                              <w:marLeft w:val="0"/>
                                              <w:marRight w:val="0"/>
                                              <w:marTop w:val="0"/>
                                              <w:marBottom w:val="0"/>
                                              <w:divBdr>
                                                <w:top w:val="none" w:sz="0" w:space="0" w:color="auto"/>
                                                <w:left w:val="none" w:sz="0" w:space="0" w:color="auto"/>
                                                <w:bottom w:val="none" w:sz="0" w:space="0" w:color="auto"/>
                                                <w:right w:val="none" w:sz="0" w:space="0" w:color="auto"/>
                                              </w:divBdr>
                                              <w:divsChild>
                                                <w:div w:id="200215974">
                                                  <w:marLeft w:val="0"/>
                                                  <w:marRight w:val="0"/>
                                                  <w:marTop w:val="0"/>
                                                  <w:marBottom w:val="0"/>
                                                  <w:divBdr>
                                                    <w:top w:val="none" w:sz="0" w:space="0" w:color="auto"/>
                                                    <w:left w:val="none" w:sz="0" w:space="0" w:color="auto"/>
                                                    <w:bottom w:val="none" w:sz="0" w:space="0" w:color="auto"/>
                                                    <w:right w:val="none" w:sz="0" w:space="0" w:color="auto"/>
                                                  </w:divBdr>
                                                  <w:divsChild>
                                                    <w:div w:id="1082331211">
                                                      <w:marLeft w:val="0"/>
                                                      <w:marRight w:val="0"/>
                                                      <w:marTop w:val="60"/>
                                                      <w:marBottom w:val="0"/>
                                                      <w:divBdr>
                                                        <w:top w:val="none" w:sz="0" w:space="0" w:color="auto"/>
                                                        <w:left w:val="none" w:sz="0" w:space="0" w:color="auto"/>
                                                        <w:bottom w:val="none" w:sz="0" w:space="0" w:color="auto"/>
                                                        <w:right w:val="none" w:sz="0" w:space="0" w:color="auto"/>
                                                      </w:divBdr>
                                                      <w:divsChild>
                                                        <w:div w:id="1411806786">
                                                          <w:marLeft w:val="0"/>
                                                          <w:marRight w:val="0"/>
                                                          <w:marTop w:val="0"/>
                                                          <w:marBottom w:val="0"/>
                                                          <w:divBdr>
                                                            <w:top w:val="none" w:sz="0" w:space="0" w:color="auto"/>
                                                            <w:left w:val="none" w:sz="0" w:space="0" w:color="auto"/>
                                                            <w:bottom w:val="none" w:sz="0" w:space="0" w:color="auto"/>
                                                            <w:right w:val="none" w:sz="0" w:space="0" w:color="auto"/>
                                                          </w:divBdr>
                                                        </w:div>
                                                        <w:div w:id="1290622982">
                                                          <w:marLeft w:val="0"/>
                                                          <w:marRight w:val="0"/>
                                                          <w:marTop w:val="0"/>
                                                          <w:marBottom w:val="0"/>
                                                          <w:divBdr>
                                                            <w:top w:val="none" w:sz="0" w:space="0" w:color="auto"/>
                                                            <w:left w:val="none" w:sz="0" w:space="0" w:color="auto"/>
                                                            <w:bottom w:val="none" w:sz="0" w:space="0" w:color="auto"/>
                                                            <w:right w:val="none" w:sz="0" w:space="0" w:color="auto"/>
                                                          </w:divBdr>
                                                          <w:divsChild>
                                                            <w:div w:id="1668896566">
                                                              <w:marLeft w:val="0"/>
                                                              <w:marRight w:val="0"/>
                                                              <w:marTop w:val="0"/>
                                                              <w:marBottom w:val="0"/>
                                                              <w:divBdr>
                                                                <w:top w:val="none" w:sz="0" w:space="0" w:color="auto"/>
                                                                <w:left w:val="none" w:sz="0" w:space="0" w:color="auto"/>
                                                                <w:bottom w:val="none" w:sz="0" w:space="0" w:color="auto"/>
                                                                <w:right w:val="none" w:sz="0" w:space="0" w:color="auto"/>
                                                              </w:divBdr>
                                                            </w:div>
                                                            <w:div w:id="1150095617">
                                                              <w:marLeft w:val="0"/>
                                                              <w:marRight w:val="0"/>
                                                              <w:marTop w:val="0"/>
                                                              <w:marBottom w:val="0"/>
                                                              <w:divBdr>
                                                                <w:top w:val="none" w:sz="0" w:space="0" w:color="auto"/>
                                                                <w:left w:val="none" w:sz="0" w:space="0" w:color="auto"/>
                                                                <w:bottom w:val="none" w:sz="0" w:space="0" w:color="auto"/>
                                                                <w:right w:val="none" w:sz="0" w:space="0" w:color="auto"/>
                                                              </w:divBdr>
                                                            </w:div>
                                                            <w:div w:id="1684045810">
                                                              <w:marLeft w:val="0"/>
                                                              <w:marRight w:val="0"/>
                                                              <w:marTop w:val="0"/>
                                                              <w:marBottom w:val="0"/>
                                                              <w:divBdr>
                                                                <w:top w:val="none" w:sz="0" w:space="0" w:color="auto"/>
                                                                <w:left w:val="none" w:sz="0" w:space="0" w:color="auto"/>
                                                                <w:bottom w:val="none" w:sz="0" w:space="0" w:color="auto"/>
                                                                <w:right w:val="none" w:sz="0" w:space="0" w:color="auto"/>
                                                              </w:divBdr>
                                                            </w:div>
                                                            <w:div w:id="178006067">
                                                              <w:marLeft w:val="0"/>
                                                              <w:marRight w:val="0"/>
                                                              <w:marTop w:val="0"/>
                                                              <w:marBottom w:val="0"/>
                                                              <w:divBdr>
                                                                <w:top w:val="none" w:sz="0" w:space="0" w:color="auto"/>
                                                                <w:left w:val="none" w:sz="0" w:space="0" w:color="auto"/>
                                                                <w:bottom w:val="none" w:sz="0" w:space="0" w:color="auto"/>
                                                                <w:right w:val="none" w:sz="0" w:space="0" w:color="auto"/>
                                                              </w:divBdr>
                                                            </w:div>
                                                          </w:divsChild>
                                                        </w:div>
                                                        <w:div w:id="24113847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205141569">
                                          <w:marLeft w:val="0"/>
                                          <w:marRight w:val="-75"/>
                                          <w:marTop w:val="0"/>
                                          <w:marBottom w:val="0"/>
                                          <w:divBdr>
                                            <w:top w:val="none" w:sz="0" w:space="0" w:color="auto"/>
                                            <w:left w:val="none" w:sz="0" w:space="0" w:color="auto"/>
                                            <w:bottom w:val="none" w:sz="0" w:space="0" w:color="auto"/>
                                            <w:right w:val="none" w:sz="0" w:space="0" w:color="auto"/>
                                          </w:divBdr>
                                          <w:divsChild>
                                            <w:div w:id="618298407">
                                              <w:marLeft w:val="0"/>
                                              <w:marRight w:val="0"/>
                                              <w:marTop w:val="0"/>
                                              <w:marBottom w:val="0"/>
                                              <w:divBdr>
                                                <w:top w:val="none" w:sz="0" w:space="0" w:color="auto"/>
                                                <w:left w:val="none" w:sz="0" w:space="0" w:color="auto"/>
                                                <w:bottom w:val="none" w:sz="0" w:space="0" w:color="auto"/>
                                                <w:right w:val="none" w:sz="0" w:space="0" w:color="auto"/>
                                              </w:divBdr>
                                              <w:divsChild>
                                                <w:div w:id="1796287435">
                                                  <w:marLeft w:val="0"/>
                                                  <w:marRight w:val="0"/>
                                                  <w:marTop w:val="0"/>
                                                  <w:marBottom w:val="0"/>
                                                  <w:divBdr>
                                                    <w:top w:val="none" w:sz="0" w:space="0" w:color="auto"/>
                                                    <w:left w:val="none" w:sz="0" w:space="0" w:color="auto"/>
                                                    <w:bottom w:val="none" w:sz="0" w:space="0" w:color="auto"/>
                                                    <w:right w:val="none" w:sz="0" w:space="0" w:color="auto"/>
                                                  </w:divBdr>
                                                  <w:divsChild>
                                                    <w:div w:id="1358043741">
                                                      <w:marLeft w:val="0"/>
                                                      <w:marRight w:val="0"/>
                                                      <w:marTop w:val="60"/>
                                                      <w:marBottom w:val="0"/>
                                                      <w:divBdr>
                                                        <w:top w:val="none" w:sz="0" w:space="0" w:color="auto"/>
                                                        <w:left w:val="none" w:sz="0" w:space="0" w:color="auto"/>
                                                        <w:bottom w:val="none" w:sz="0" w:space="0" w:color="auto"/>
                                                        <w:right w:val="none" w:sz="0" w:space="0" w:color="auto"/>
                                                      </w:divBdr>
                                                      <w:divsChild>
                                                        <w:div w:id="72629402">
                                                          <w:marLeft w:val="0"/>
                                                          <w:marRight w:val="0"/>
                                                          <w:marTop w:val="0"/>
                                                          <w:marBottom w:val="0"/>
                                                          <w:divBdr>
                                                            <w:top w:val="none" w:sz="0" w:space="0" w:color="auto"/>
                                                            <w:left w:val="none" w:sz="0" w:space="0" w:color="auto"/>
                                                            <w:bottom w:val="none" w:sz="0" w:space="0" w:color="auto"/>
                                                            <w:right w:val="none" w:sz="0" w:space="0" w:color="auto"/>
                                                          </w:divBdr>
                                                        </w:div>
                                                        <w:div w:id="827357843">
                                                          <w:marLeft w:val="0"/>
                                                          <w:marRight w:val="0"/>
                                                          <w:marTop w:val="0"/>
                                                          <w:marBottom w:val="0"/>
                                                          <w:divBdr>
                                                            <w:top w:val="none" w:sz="0" w:space="0" w:color="auto"/>
                                                            <w:left w:val="none" w:sz="0" w:space="0" w:color="auto"/>
                                                            <w:bottom w:val="none" w:sz="0" w:space="0" w:color="auto"/>
                                                            <w:right w:val="none" w:sz="0" w:space="0" w:color="auto"/>
                                                          </w:divBdr>
                                                          <w:divsChild>
                                                            <w:div w:id="1807701756">
                                                              <w:marLeft w:val="0"/>
                                                              <w:marRight w:val="0"/>
                                                              <w:marTop w:val="0"/>
                                                              <w:marBottom w:val="0"/>
                                                              <w:divBdr>
                                                                <w:top w:val="none" w:sz="0" w:space="0" w:color="auto"/>
                                                                <w:left w:val="none" w:sz="0" w:space="0" w:color="auto"/>
                                                                <w:bottom w:val="none" w:sz="0" w:space="0" w:color="auto"/>
                                                                <w:right w:val="none" w:sz="0" w:space="0" w:color="auto"/>
                                                              </w:divBdr>
                                                            </w:div>
                                                            <w:div w:id="643582743">
                                                              <w:marLeft w:val="0"/>
                                                              <w:marRight w:val="0"/>
                                                              <w:marTop w:val="0"/>
                                                              <w:marBottom w:val="0"/>
                                                              <w:divBdr>
                                                                <w:top w:val="none" w:sz="0" w:space="0" w:color="auto"/>
                                                                <w:left w:val="none" w:sz="0" w:space="0" w:color="auto"/>
                                                                <w:bottom w:val="none" w:sz="0" w:space="0" w:color="auto"/>
                                                                <w:right w:val="none" w:sz="0" w:space="0" w:color="auto"/>
                                                              </w:divBdr>
                                                            </w:div>
                                                            <w:div w:id="1277367191">
                                                              <w:marLeft w:val="0"/>
                                                              <w:marRight w:val="0"/>
                                                              <w:marTop w:val="0"/>
                                                              <w:marBottom w:val="0"/>
                                                              <w:divBdr>
                                                                <w:top w:val="none" w:sz="0" w:space="0" w:color="auto"/>
                                                                <w:left w:val="none" w:sz="0" w:space="0" w:color="auto"/>
                                                                <w:bottom w:val="none" w:sz="0" w:space="0" w:color="auto"/>
                                                                <w:right w:val="none" w:sz="0" w:space="0" w:color="auto"/>
                                                              </w:divBdr>
                                                            </w:div>
                                                            <w:div w:id="498546376">
                                                              <w:marLeft w:val="0"/>
                                                              <w:marRight w:val="0"/>
                                                              <w:marTop w:val="0"/>
                                                              <w:marBottom w:val="0"/>
                                                              <w:divBdr>
                                                                <w:top w:val="none" w:sz="0" w:space="0" w:color="auto"/>
                                                                <w:left w:val="none" w:sz="0" w:space="0" w:color="auto"/>
                                                                <w:bottom w:val="none" w:sz="0" w:space="0" w:color="auto"/>
                                                                <w:right w:val="none" w:sz="0" w:space="0" w:color="auto"/>
                                                              </w:divBdr>
                                                            </w:div>
                                                          </w:divsChild>
                                                        </w:div>
                                                        <w:div w:id="1936209859">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2067024334">
                                              <w:marLeft w:val="0"/>
                                              <w:marRight w:val="0"/>
                                              <w:marTop w:val="0"/>
                                              <w:marBottom w:val="0"/>
                                              <w:divBdr>
                                                <w:top w:val="none" w:sz="0" w:space="0" w:color="auto"/>
                                                <w:left w:val="none" w:sz="0" w:space="0" w:color="auto"/>
                                                <w:bottom w:val="none" w:sz="0" w:space="0" w:color="auto"/>
                                                <w:right w:val="none" w:sz="0" w:space="0" w:color="auto"/>
                                              </w:divBdr>
                                              <w:divsChild>
                                                <w:div w:id="1336031062">
                                                  <w:marLeft w:val="0"/>
                                                  <w:marRight w:val="0"/>
                                                  <w:marTop w:val="0"/>
                                                  <w:marBottom w:val="0"/>
                                                  <w:divBdr>
                                                    <w:top w:val="none" w:sz="0" w:space="0" w:color="auto"/>
                                                    <w:left w:val="none" w:sz="0" w:space="0" w:color="auto"/>
                                                    <w:bottom w:val="none" w:sz="0" w:space="0" w:color="auto"/>
                                                    <w:right w:val="none" w:sz="0" w:space="0" w:color="auto"/>
                                                  </w:divBdr>
                                                  <w:divsChild>
                                                    <w:div w:id="1082949349">
                                                      <w:marLeft w:val="0"/>
                                                      <w:marRight w:val="0"/>
                                                      <w:marTop w:val="60"/>
                                                      <w:marBottom w:val="0"/>
                                                      <w:divBdr>
                                                        <w:top w:val="none" w:sz="0" w:space="0" w:color="auto"/>
                                                        <w:left w:val="none" w:sz="0" w:space="0" w:color="auto"/>
                                                        <w:bottom w:val="none" w:sz="0" w:space="0" w:color="auto"/>
                                                        <w:right w:val="none" w:sz="0" w:space="0" w:color="auto"/>
                                                      </w:divBdr>
                                                      <w:divsChild>
                                                        <w:div w:id="487743588">
                                                          <w:marLeft w:val="0"/>
                                                          <w:marRight w:val="0"/>
                                                          <w:marTop w:val="0"/>
                                                          <w:marBottom w:val="0"/>
                                                          <w:divBdr>
                                                            <w:top w:val="none" w:sz="0" w:space="0" w:color="auto"/>
                                                            <w:left w:val="none" w:sz="0" w:space="0" w:color="auto"/>
                                                            <w:bottom w:val="none" w:sz="0" w:space="0" w:color="auto"/>
                                                            <w:right w:val="none" w:sz="0" w:space="0" w:color="auto"/>
                                                          </w:divBdr>
                                                        </w:div>
                                                        <w:div w:id="1529181327">
                                                          <w:marLeft w:val="0"/>
                                                          <w:marRight w:val="0"/>
                                                          <w:marTop w:val="0"/>
                                                          <w:marBottom w:val="0"/>
                                                          <w:divBdr>
                                                            <w:top w:val="none" w:sz="0" w:space="0" w:color="auto"/>
                                                            <w:left w:val="none" w:sz="0" w:space="0" w:color="auto"/>
                                                            <w:bottom w:val="none" w:sz="0" w:space="0" w:color="auto"/>
                                                            <w:right w:val="none" w:sz="0" w:space="0" w:color="auto"/>
                                                          </w:divBdr>
                                                          <w:divsChild>
                                                            <w:div w:id="1916550950">
                                                              <w:marLeft w:val="0"/>
                                                              <w:marRight w:val="0"/>
                                                              <w:marTop w:val="0"/>
                                                              <w:marBottom w:val="0"/>
                                                              <w:divBdr>
                                                                <w:top w:val="none" w:sz="0" w:space="0" w:color="auto"/>
                                                                <w:left w:val="none" w:sz="0" w:space="0" w:color="auto"/>
                                                                <w:bottom w:val="none" w:sz="0" w:space="0" w:color="auto"/>
                                                                <w:right w:val="none" w:sz="0" w:space="0" w:color="auto"/>
                                                              </w:divBdr>
                                                            </w:div>
                                                            <w:div w:id="745417003">
                                                              <w:marLeft w:val="0"/>
                                                              <w:marRight w:val="0"/>
                                                              <w:marTop w:val="0"/>
                                                              <w:marBottom w:val="0"/>
                                                              <w:divBdr>
                                                                <w:top w:val="none" w:sz="0" w:space="0" w:color="auto"/>
                                                                <w:left w:val="none" w:sz="0" w:space="0" w:color="auto"/>
                                                                <w:bottom w:val="none" w:sz="0" w:space="0" w:color="auto"/>
                                                                <w:right w:val="none" w:sz="0" w:space="0" w:color="auto"/>
                                                              </w:divBdr>
                                                            </w:div>
                                                            <w:div w:id="1787309315">
                                                              <w:marLeft w:val="0"/>
                                                              <w:marRight w:val="0"/>
                                                              <w:marTop w:val="0"/>
                                                              <w:marBottom w:val="0"/>
                                                              <w:divBdr>
                                                                <w:top w:val="none" w:sz="0" w:space="0" w:color="auto"/>
                                                                <w:left w:val="none" w:sz="0" w:space="0" w:color="auto"/>
                                                                <w:bottom w:val="none" w:sz="0" w:space="0" w:color="auto"/>
                                                                <w:right w:val="none" w:sz="0" w:space="0" w:color="auto"/>
                                                              </w:divBdr>
                                                            </w:div>
                                                            <w:div w:id="1658147104">
                                                              <w:marLeft w:val="0"/>
                                                              <w:marRight w:val="0"/>
                                                              <w:marTop w:val="0"/>
                                                              <w:marBottom w:val="0"/>
                                                              <w:divBdr>
                                                                <w:top w:val="none" w:sz="0" w:space="0" w:color="auto"/>
                                                                <w:left w:val="none" w:sz="0" w:space="0" w:color="auto"/>
                                                                <w:bottom w:val="none" w:sz="0" w:space="0" w:color="auto"/>
                                                                <w:right w:val="none" w:sz="0" w:space="0" w:color="auto"/>
                                                              </w:divBdr>
                                                            </w:div>
                                                          </w:divsChild>
                                                        </w:div>
                                                        <w:div w:id="102675697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176815">
                                  <w:marLeft w:val="0"/>
                                  <w:marRight w:val="0"/>
                                  <w:marTop w:val="0"/>
                                  <w:marBottom w:val="0"/>
                                  <w:divBdr>
                                    <w:top w:val="none" w:sz="0" w:space="0" w:color="auto"/>
                                    <w:left w:val="none" w:sz="0" w:space="0" w:color="auto"/>
                                    <w:bottom w:val="none" w:sz="0" w:space="0" w:color="auto"/>
                                    <w:right w:val="none" w:sz="0" w:space="0" w:color="auto"/>
                                  </w:divBdr>
                                  <w:divsChild>
                                    <w:div w:id="485709542">
                                      <w:marLeft w:val="0"/>
                                      <w:marRight w:val="0"/>
                                      <w:marTop w:val="0"/>
                                      <w:marBottom w:val="0"/>
                                      <w:divBdr>
                                        <w:top w:val="none" w:sz="0" w:space="0" w:color="auto"/>
                                        <w:left w:val="none" w:sz="0" w:space="0" w:color="auto"/>
                                        <w:bottom w:val="none" w:sz="0" w:space="0" w:color="auto"/>
                                        <w:right w:val="none" w:sz="0" w:space="0" w:color="auto"/>
                                      </w:divBdr>
                                      <w:divsChild>
                                        <w:div w:id="728848531">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572083281">
                                  <w:marLeft w:val="75"/>
                                  <w:marRight w:val="0"/>
                                  <w:marTop w:val="0"/>
                                  <w:marBottom w:val="0"/>
                                  <w:divBdr>
                                    <w:top w:val="none" w:sz="0" w:space="0" w:color="auto"/>
                                    <w:left w:val="none" w:sz="0" w:space="0" w:color="auto"/>
                                    <w:bottom w:val="none" w:sz="0" w:space="0" w:color="auto"/>
                                    <w:right w:val="none" w:sz="0" w:space="0" w:color="auto"/>
                                  </w:divBdr>
                                  <w:divsChild>
                                    <w:div w:id="2020541012">
                                      <w:marLeft w:val="0"/>
                                      <w:marRight w:val="0"/>
                                      <w:marTop w:val="0"/>
                                      <w:marBottom w:val="0"/>
                                      <w:divBdr>
                                        <w:top w:val="none" w:sz="0" w:space="0" w:color="auto"/>
                                        <w:left w:val="none" w:sz="0" w:space="0" w:color="auto"/>
                                        <w:bottom w:val="none" w:sz="0" w:space="0" w:color="auto"/>
                                        <w:right w:val="none" w:sz="0" w:space="0" w:color="auto"/>
                                      </w:divBdr>
                                      <w:divsChild>
                                        <w:div w:id="705368609">
                                          <w:marLeft w:val="0"/>
                                          <w:marRight w:val="0"/>
                                          <w:marTop w:val="0"/>
                                          <w:marBottom w:val="0"/>
                                          <w:divBdr>
                                            <w:top w:val="none" w:sz="0" w:space="0" w:color="auto"/>
                                            <w:left w:val="none" w:sz="0" w:space="0" w:color="auto"/>
                                            <w:bottom w:val="none" w:sz="0" w:space="0" w:color="auto"/>
                                            <w:right w:val="none" w:sz="0" w:space="0" w:color="auto"/>
                                          </w:divBdr>
                                          <w:divsChild>
                                            <w:div w:id="1492059822">
                                              <w:marLeft w:val="0"/>
                                              <w:marRight w:val="75"/>
                                              <w:marTop w:val="30"/>
                                              <w:marBottom w:val="0"/>
                                              <w:divBdr>
                                                <w:top w:val="none" w:sz="0" w:space="0" w:color="auto"/>
                                                <w:left w:val="none" w:sz="0" w:space="0" w:color="auto"/>
                                                <w:bottom w:val="none" w:sz="0" w:space="0" w:color="auto"/>
                                                <w:right w:val="none" w:sz="0" w:space="0" w:color="auto"/>
                                              </w:divBdr>
                                              <w:divsChild>
                                                <w:div w:id="60175983">
                                                  <w:marLeft w:val="0"/>
                                                  <w:marRight w:val="0"/>
                                                  <w:marTop w:val="0"/>
                                                  <w:marBottom w:val="0"/>
                                                  <w:divBdr>
                                                    <w:top w:val="none" w:sz="0" w:space="0" w:color="auto"/>
                                                    <w:left w:val="none" w:sz="0" w:space="0" w:color="auto"/>
                                                    <w:bottom w:val="none" w:sz="0" w:space="0" w:color="auto"/>
                                                    <w:right w:val="none" w:sz="0" w:space="0" w:color="auto"/>
                                                  </w:divBdr>
                                                </w:div>
                                                <w:div w:id="1286691882">
                                                  <w:marLeft w:val="0"/>
                                                  <w:marRight w:val="0"/>
                                                  <w:marTop w:val="0"/>
                                                  <w:marBottom w:val="0"/>
                                                  <w:divBdr>
                                                    <w:top w:val="none" w:sz="0" w:space="0" w:color="auto"/>
                                                    <w:left w:val="none" w:sz="0" w:space="0" w:color="auto"/>
                                                    <w:bottom w:val="none" w:sz="0" w:space="0" w:color="auto"/>
                                                    <w:right w:val="none" w:sz="0" w:space="0" w:color="auto"/>
                                                  </w:divBdr>
                                                </w:div>
                                                <w:div w:id="1778523983">
                                                  <w:marLeft w:val="0"/>
                                                  <w:marRight w:val="0"/>
                                                  <w:marTop w:val="0"/>
                                                  <w:marBottom w:val="0"/>
                                                  <w:divBdr>
                                                    <w:top w:val="none" w:sz="0" w:space="0" w:color="auto"/>
                                                    <w:left w:val="none" w:sz="0" w:space="0" w:color="auto"/>
                                                    <w:bottom w:val="none" w:sz="0" w:space="0" w:color="auto"/>
                                                    <w:right w:val="none" w:sz="0" w:space="0" w:color="auto"/>
                                                  </w:divBdr>
                                                </w:div>
                                                <w:div w:id="702101317">
                                                  <w:marLeft w:val="0"/>
                                                  <w:marRight w:val="0"/>
                                                  <w:marTop w:val="0"/>
                                                  <w:marBottom w:val="0"/>
                                                  <w:divBdr>
                                                    <w:top w:val="none" w:sz="0" w:space="0" w:color="auto"/>
                                                    <w:left w:val="none" w:sz="0" w:space="0" w:color="auto"/>
                                                    <w:bottom w:val="none" w:sz="0" w:space="0" w:color="auto"/>
                                                    <w:right w:val="none" w:sz="0" w:space="0" w:color="auto"/>
                                                  </w:divBdr>
                                                </w:div>
                                              </w:divsChild>
                                            </w:div>
                                            <w:div w:id="1476946385">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594322126">
                                  <w:marLeft w:val="0"/>
                                  <w:marRight w:val="0"/>
                                  <w:marTop w:val="0"/>
                                  <w:marBottom w:val="0"/>
                                  <w:divBdr>
                                    <w:top w:val="none" w:sz="0" w:space="0" w:color="auto"/>
                                    <w:left w:val="none" w:sz="0" w:space="0" w:color="auto"/>
                                    <w:bottom w:val="none" w:sz="0" w:space="0" w:color="auto"/>
                                    <w:right w:val="none" w:sz="0" w:space="0" w:color="auto"/>
                                  </w:divBdr>
                                  <w:divsChild>
                                    <w:div w:id="1713768988">
                                      <w:marLeft w:val="0"/>
                                      <w:marRight w:val="0"/>
                                      <w:marTop w:val="0"/>
                                      <w:marBottom w:val="0"/>
                                      <w:divBdr>
                                        <w:top w:val="none" w:sz="0" w:space="0" w:color="auto"/>
                                        <w:left w:val="none" w:sz="0" w:space="0" w:color="auto"/>
                                        <w:bottom w:val="none" w:sz="0" w:space="0" w:color="auto"/>
                                        <w:right w:val="none" w:sz="0" w:space="0" w:color="auto"/>
                                      </w:divBdr>
                                      <w:divsChild>
                                        <w:div w:id="1086269008">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821464565">
                                  <w:marLeft w:val="0"/>
                                  <w:marRight w:val="0"/>
                                  <w:marTop w:val="0"/>
                                  <w:marBottom w:val="0"/>
                                  <w:divBdr>
                                    <w:top w:val="none" w:sz="0" w:space="0" w:color="auto"/>
                                    <w:left w:val="none" w:sz="0" w:space="0" w:color="auto"/>
                                    <w:bottom w:val="none" w:sz="0" w:space="0" w:color="auto"/>
                                    <w:right w:val="none" w:sz="0" w:space="0" w:color="auto"/>
                                  </w:divBdr>
                                  <w:divsChild>
                                    <w:div w:id="185100208">
                                      <w:marLeft w:val="0"/>
                                      <w:marRight w:val="0"/>
                                      <w:marTop w:val="0"/>
                                      <w:marBottom w:val="0"/>
                                      <w:divBdr>
                                        <w:top w:val="none" w:sz="0" w:space="0" w:color="auto"/>
                                        <w:left w:val="none" w:sz="0" w:space="0" w:color="auto"/>
                                        <w:bottom w:val="none" w:sz="0" w:space="0" w:color="auto"/>
                                        <w:right w:val="none" w:sz="0" w:space="0" w:color="auto"/>
                                      </w:divBdr>
                                      <w:divsChild>
                                        <w:div w:id="210844611">
                                          <w:marLeft w:val="0"/>
                                          <w:marRight w:val="-75"/>
                                          <w:marTop w:val="0"/>
                                          <w:marBottom w:val="0"/>
                                          <w:divBdr>
                                            <w:top w:val="none" w:sz="0" w:space="0" w:color="auto"/>
                                            <w:left w:val="none" w:sz="0" w:space="0" w:color="auto"/>
                                            <w:bottom w:val="none" w:sz="0" w:space="0" w:color="auto"/>
                                            <w:right w:val="none" w:sz="0" w:space="0" w:color="auto"/>
                                          </w:divBdr>
                                          <w:divsChild>
                                            <w:div w:id="565795897">
                                              <w:marLeft w:val="0"/>
                                              <w:marRight w:val="0"/>
                                              <w:marTop w:val="0"/>
                                              <w:marBottom w:val="0"/>
                                              <w:divBdr>
                                                <w:top w:val="none" w:sz="0" w:space="0" w:color="auto"/>
                                                <w:left w:val="none" w:sz="0" w:space="0" w:color="auto"/>
                                                <w:bottom w:val="none" w:sz="0" w:space="0" w:color="auto"/>
                                                <w:right w:val="none" w:sz="0" w:space="0" w:color="auto"/>
                                              </w:divBdr>
                                              <w:divsChild>
                                                <w:div w:id="1817989994">
                                                  <w:marLeft w:val="0"/>
                                                  <w:marRight w:val="0"/>
                                                  <w:marTop w:val="0"/>
                                                  <w:marBottom w:val="0"/>
                                                  <w:divBdr>
                                                    <w:top w:val="none" w:sz="0" w:space="0" w:color="auto"/>
                                                    <w:left w:val="none" w:sz="0" w:space="0" w:color="auto"/>
                                                    <w:bottom w:val="none" w:sz="0" w:space="0" w:color="auto"/>
                                                    <w:right w:val="none" w:sz="0" w:space="0" w:color="auto"/>
                                                  </w:divBdr>
                                                  <w:divsChild>
                                                    <w:div w:id="1095246166">
                                                      <w:marLeft w:val="0"/>
                                                      <w:marRight w:val="0"/>
                                                      <w:marTop w:val="0"/>
                                                      <w:marBottom w:val="0"/>
                                                      <w:divBdr>
                                                        <w:top w:val="none" w:sz="0" w:space="0" w:color="auto"/>
                                                        <w:left w:val="none" w:sz="0" w:space="0" w:color="auto"/>
                                                        <w:bottom w:val="none" w:sz="0" w:space="0" w:color="auto"/>
                                                        <w:right w:val="none" w:sz="0" w:space="0" w:color="auto"/>
                                                      </w:divBdr>
                                                      <w:divsChild>
                                                        <w:div w:id="894774469">
                                                          <w:marLeft w:val="0"/>
                                                          <w:marRight w:val="0"/>
                                                          <w:marTop w:val="0"/>
                                                          <w:marBottom w:val="0"/>
                                                          <w:divBdr>
                                                            <w:top w:val="none" w:sz="0" w:space="0" w:color="auto"/>
                                                            <w:left w:val="none" w:sz="0" w:space="0" w:color="auto"/>
                                                            <w:bottom w:val="none" w:sz="0" w:space="0" w:color="auto"/>
                                                            <w:right w:val="none" w:sz="0" w:space="0" w:color="auto"/>
                                                          </w:divBdr>
                                                        </w:div>
                                                        <w:div w:id="1578203363">
                                                          <w:marLeft w:val="0"/>
                                                          <w:marRight w:val="0"/>
                                                          <w:marTop w:val="0"/>
                                                          <w:marBottom w:val="0"/>
                                                          <w:divBdr>
                                                            <w:top w:val="none" w:sz="0" w:space="0" w:color="auto"/>
                                                            <w:left w:val="none" w:sz="0" w:space="0" w:color="auto"/>
                                                            <w:bottom w:val="none" w:sz="0" w:space="0" w:color="auto"/>
                                                            <w:right w:val="none" w:sz="0" w:space="0" w:color="auto"/>
                                                          </w:divBdr>
                                                          <w:divsChild>
                                                            <w:div w:id="439684431">
                                                              <w:marLeft w:val="0"/>
                                                              <w:marRight w:val="0"/>
                                                              <w:marTop w:val="0"/>
                                                              <w:marBottom w:val="0"/>
                                                              <w:divBdr>
                                                                <w:top w:val="none" w:sz="0" w:space="0" w:color="auto"/>
                                                                <w:left w:val="none" w:sz="0" w:space="0" w:color="auto"/>
                                                                <w:bottom w:val="none" w:sz="0" w:space="0" w:color="auto"/>
                                                                <w:right w:val="none" w:sz="0" w:space="0" w:color="auto"/>
                                                              </w:divBdr>
                                                            </w:div>
                                                            <w:div w:id="396708317">
                                                              <w:marLeft w:val="0"/>
                                                              <w:marRight w:val="0"/>
                                                              <w:marTop w:val="0"/>
                                                              <w:marBottom w:val="0"/>
                                                              <w:divBdr>
                                                                <w:top w:val="none" w:sz="0" w:space="0" w:color="auto"/>
                                                                <w:left w:val="none" w:sz="0" w:space="0" w:color="auto"/>
                                                                <w:bottom w:val="none" w:sz="0" w:space="0" w:color="auto"/>
                                                                <w:right w:val="none" w:sz="0" w:space="0" w:color="auto"/>
                                                              </w:divBdr>
                                                            </w:div>
                                                            <w:div w:id="831523967">
                                                              <w:marLeft w:val="0"/>
                                                              <w:marRight w:val="0"/>
                                                              <w:marTop w:val="0"/>
                                                              <w:marBottom w:val="0"/>
                                                              <w:divBdr>
                                                                <w:top w:val="none" w:sz="0" w:space="0" w:color="auto"/>
                                                                <w:left w:val="none" w:sz="0" w:space="0" w:color="auto"/>
                                                                <w:bottom w:val="none" w:sz="0" w:space="0" w:color="auto"/>
                                                                <w:right w:val="none" w:sz="0" w:space="0" w:color="auto"/>
                                                              </w:divBdr>
                                                            </w:div>
                                                            <w:div w:id="2144539962">
                                                              <w:marLeft w:val="0"/>
                                                              <w:marRight w:val="0"/>
                                                              <w:marTop w:val="0"/>
                                                              <w:marBottom w:val="0"/>
                                                              <w:divBdr>
                                                                <w:top w:val="none" w:sz="0" w:space="0" w:color="auto"/>
                                                                <w:left w:val="none" w:sz="0" w:space="0" w:color="auto"/>
                                                                <w:bottom w:val="none" w:sz="0" w:space="0" w:color="auto"/>
                                                                <w:right w:val="none" w:sz="0" w:space="0" w:color="auto"/>
                                                              </w:divBdr>
                                                            </w:div>
                                                          </w:divsChild>
                                                        </w:div>
                                                        <w:div w:id="101792718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478887610">
                                              <w:marLeft w:val="0"/>
                                              <w:marRight w:val="0"/>
                                              <w:marTop w:val="0"/>
                                              <w:marBottom w:val="0"/>
                                              <w:divBdr>
                                                <w:top w:val="none" w:sz="0" w:space="0" w:color="auto"/>
                                                <w:left w:val="none" w:sz="0" w:space="0" w:color="auto"/>
                                                <w:bottom w:val="none" w:sz="0" w:space="0" w:color="auto"/>
                                                <w:right w:val="none" w:sz="0" w:space="0" w:color="auto"/>
                                              </w:divBdr>
                                              <w:divsChild>
                                                <w:div w:id="1274821016">
                                                  <w:marLeft w:val="0"/>
                                                  <w:marRight w:val="0"/>
                                                  <w:marTop w:val="0"/>
                                                  <w:marBottom w:val="0"/>
                                                  <w:divBdr>
                                                    <w:top w:val="none" w:sz="0" w:space="0" w:color="auto"/>
                                                    <w:left w:val="none" w:sz="0" w:space="0" w:color="auto"/>
                                                    <w:bottom w:val="none" w:sz="0" w:space="0" w:color="auto"/>
                                                    <w:right w:val="none" w:sz="0" w:space="0" w:color="auto"/>
                                                  </w:divBdr>
                                                  <w:divsChild>
                                                    <w:div w:id="664938804">
                                                      <w:marLeft w:val="0"/>
                                                      <w:marRight w:val="0"/>
                                                      <w:marTop w:val="0"/>
                                                      <w:marBottom w:val="0"/>
                                                      <w:divBdr>
                                                        <w:top w:val="none" w:sz="0" w:space="0" w:color="auto"/>
                                                        <w:left w:val="none" w:sz="0" w:space="0" w:color="auto"/>
                                                        <w:bottom w:val="none" w:sz="0" w:space="0" w:color="auto"/>
                                                        <w:right w:val="none" w:sz="0" w:space="0" w:color="auto"/>
                                                      </w:divBdr>
                                                      <w:divsChild>
                                                        <w:div w:id="260719764">
                                                          <w:marLeft w:val="0"/>
                                                          <w:marRight w:val="0"/>
                                                          <w:marTop w:val="0"/>
                                                          <w:marBottom w:val="0"/>
                                                          <w:divBdr>
                                                            <w:top w:val="none" w:sz="0" w:space="0" w:color="auto"/>
                                                            <w:left w:val="none" w:sz="0" w:space="0" w:color="auto"/>
                                                            <w:bottom w:val="none" w:sz="0" w:space="0" w:color="auto"/>
                                                            <w:right w:val="none" w:sz="0" w:space="0" w:color="auto"/>
                                                          </w:divBdr>
                                                        </w:div>
                                                        <w:div w:id="1347898848">
                                                          <w:marLeft w:val="0"/>
                                                          <w:marRight w:val="0"/>
                                                          <w:marTop w:val="0"/>
                                                          <w:marBottom w:val="0"/>
                                                          <w:divBdr>
                                                            <w:top w:val="none" w:sz="0" w:space="0" w:color="auto"/>
                                                            <w:left w:val="none" w:sz="0" w:space="0" w:color="auto"/>
                                                            <w:bottom w:val="none" w:sz="0" w:space="0" w:color="auto"/>
                                                            <w:right w:val="none" w:sz="0" w:space="0" w:color="auto"/>
                                                          </w:divBdr>
                                                          <w:divsChild>
                                                            <w:div w:id="11301093">
                                                              <w:marLeft w:val="0"/>
                                                              <w:marRight w:val="0"/>
                                                              <w:marTop w:val="0"/>
                                                              <w:marBottom w:val="0"/>
                                                              <w:divBdr>
                                                                <w:top w:val="none" w:sz="0" w:space="0" w:color="auto"/>
                                                                <w:left w:val="none" w:sz="0" w:space="0" w:color="auto"/>
                                                                <w:bottom w:val="none" w:sz="0" w:space="0" w:color="auto"/>
                                                                <w:right w:val="none" w:sz="0" w:space="0" w:color="auto"/>
                                                              </w:divBdr>
                                                            </w:div>
                                                            <w:div w:id="869222009">
                                                              <w:marLeft w:val="0"/>
                                                              <w:marRight w:val="0"/>
                                                              <w:marTop w:val="0"/>
                                                              <w:marBottom w:val="0"/>
                                                              <w:divBdr>
                                                                <w:top w:val="none" w:sz="0" w:space="0" w:color="auto"/>
                                                                <w:left w:val="none" w:sz="0" w:space="0" w:color="auto"/>
                                                                <w:bottom w:val="none" w:sz="0" w:space="0" w:color="auto"/>
                                                                <w:right w:val="none" w:sz="0" w:space="0" w:color="auto"/>
                                                              </w:divBdr>
                                                            </w:div>
                                                            <w:div w:id="929856485">
                                                              <w:marLeft w:val="0"/>
                                                              <w:marRight w:val="0"/>
                                                              <w:marTop w:val="0"/>
                                                              <w:marBottom w:val="0"/>
                                                              <w:divBdr>
                                                                <w:top w:val="none" w:sz="0" w:space="0" w:color="auto"/>
                                                                <w:left w:val="none" w:sz="0" w:space="0" w:color="auto"/>
                                                                <w:bottom w:val="none" w:sz="0" w:space="0" w:color="auto"/>
                                                                <w:right w:val="none" w:sz="0" w:space="0" w:color="auto"/>
                                                              </w:divBdr>
                                                            </w:div>
                                                            <w:div w:id="9833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82349">
                                          <w:marLeft w:val="0"/>
                                          <w:marRight w:val="-75"/>
                                          <w:marTop w:val="0"/>
                                          <w:marBottom w:val="0"/>
                                          <w:divBdr>
                                            <w:top w:val="none" w:sz="0" w:space="0" w:color="auto"/>
                                            <w:left w:val="none" w:sz="0" w:space="0" w:color="auto"/>
                                            <w:bottom w:val="none" w:sz="0" w:space="0" w:color="auto"/>
                                            <w:right w:val="none" w:sz="0" w:space="0" w:color="auto"/>
                                          </w:divBdr>
                                          <w:divsChild>
                                            <w:div w:id="905065941">
                                              <w:marLeft w:val="0"/>
                                              <w:marRight w:val="0"/>
                                              <w:marTop w:val="0"/>
                                              <w:marBottom w:val="0"/>
                                              <w:divBdr>
                                                <w:top w:val="none" w:sz="0" w:space="0" w:color="auto"/>
                                                <w:left w:val="none" w:sz="0" w:space="0" w:color="auto"/>
                                                <w:bottom w:val="none" w:sz="0" w:space="0" w:color="auto"/>
                                                <w:right w:val="none" w:sz="0" w:space="0" w:color="auto"/>
                                              </w:divBdr>
                                              <w:divsChild>
                                                <w:div w:id="924916349">
                                                  <w:marLeft w:val="0"/>
                                                  <w:marRight w:val="0"/>
                                                  <w:marTop w:val="0"/>
                                                  <w:marBottom w:val="0"/>
                                                  <w:divBdr>
                                                    <w:top w:val="none" w:sz="0" w:space="0" w:color="auto"/>
                                                    <w:left w:val="none" w:sz="0" w:space="0" w:color="auto"/>
                                                    <w:bottom w:val="none" w:sz="0" w:space="0" w:color="auto"/>
                                                    <w:right w:val="none" w:sz="0" w:space="0" w:color="auto"/>
                                                  </w:divBdr>
                                                  <w:divsChild>
                                                    <w:div w:id="675235122">
                                                      <w:marLeft w:val="0"/>
                                                      <w:marRight w:val="0"/>
                                                      <w:marTop w:val="60"/>
                                                      <w:marBottom w:val="0"/>
                                                      <w:divBdr>
                                                        <w:top w:val="none" w:sz="0" w:space="0" w:color="auto"/>
                                                        <w:left w:val="none" w:sz="0" w:space="0" w:color="auto"/>
                                                        <w:bottom w:val="none" w:sz="0" w:space="0" w:color="auto"/>
                                                        <w:right w:val="none" w:sz="0" w:space="0" w:color="auto"/>
                                                      </w:divBdr>
                                                      <w:divsChild>
                                                        <w:div w:id="1246189672">
                                                          <w:marLeft w:val="0"/>
                                                          <w:marRight w:val="0"/>
                                                          <w:marTop w:val="0"/>
                                                          <w:marBottom w:val="0"/>
                                                          <w:divBdr>
                                                            <w:top w:val="none" w:sz="0" w:space="0" w:color="auto"/>
                                                            <w:left w:val="none" w:sz="0" w:space="0" w:color="auto"/>
                                                            <w:bottom w:val="none" w:sz="0" w:space="0" w:color="auto"/>
                                                            <w:right w:val="none" w:sz="0" w:space="0" w:color="auto"/>
                                                          </w:divBdr>
                                                        </w:div>
                                                        <w:div w:id="260842756">
                                                          <w:marLeft w:val="0"/>
                                                          <w:marRight w:val="0"/>
                                                          <w:marTop w:val="0"/>
                                                          <w:marBottom w:val="0"/>
                                                          <w:divBdr>
                                                            <w:top w:val="none" w:sz="0" w:space="0" w:color="auto"/>
                                                            <w:left w:val="none" w:sz="0" w:space="0" w:color="auto"/>
                                                            <w:bottom w:val="none" w:sz="0" w:space="0" w:color="auto"/>
                                                            <w:right w:val="none" w:sz="0" w:space="0" w:color="auto"/>
                                                          </w:divBdr>
                                                          <w:divsChild>
                                                            <w:div w:id="769277714">
                                                              <w:marLeft w:val="0"/>
                                                              <w:marRight w:val="0"/>
                                                              <w:marTop w:val="0"/>
                                                              <w:marBottom w:val="0"/>
                                                              <w:divBdr>
                                                                <w:top w:val="none" w:sz="0" w:space="0" w:color="auto"/>
                                                                <w:left w:val="none" w:sz="0" w:space="0" w:color="auto"/>
                                                                <w:bottom w:val="none" w:sz="0" w:space="0" w:color="auto"/>
                                                                <w:right w:val="none" w:sz="0" w:space="0" w:color="auto"/>
                                                              </w:divBdr>
                                                            </w:div>
                                                            <w:div w:id="752165622">
                                                              <w:marLeft w:val="0"/>
                                                              <w:marRight w:val="0"/>
                                                              <w:marTop w:val="0"/>
                                                              <w:marBottom w:val="0"/>
                                                              <w:divBdr>
                                                                <w:top w:val="none" w:sz="0" w:space="0" w:color="auto"/>
                                                                <w:left w:val="none" w:sz="0" w:space="0" w:color="auto"/>
                                                                <w:bottom w:val="none" w:sz="0" w:space="0" w:color="auto"/>
                                                                <w:right w:val="none" w:sz="0" w:space="0" w:color="auto"/>
                                                              </w:divBdr>
                                                            </w:div>
                                                            <w:div w:id="1338772469">
                                                              <w:marLeft w:val="0"/>
                                                              <w:marRight w:val="0"/>
                                                              <w:marTop w:val="0"/>
                                                              <w:marBottom w:val="0"/>
                                                              <w:divBdr>
                                                                <w:top w:val="none" w:sz="0" w:space="0" w:color="auto"/>
                                                                <w:left w:val="none" w:sz="0" w:space="0" w:color="auto"/>
                                                                <w:bottom w:val="none" w:sz="0" w:space="0" w:color="auto"/>
                                                                <w:right w:val="none" w:sz="0" w:space="0" w:color="auto"/>
                                                              </w:divBdr>
                                                            </w:div>
                                                            <w:div w:id="1302077736">
                                                              <w:marLeft w:val="0"/>
                                                              <w:marRight w:val="0"/>
                                                              <w:marTop w:val="0"/>
                                                              <w:marBottom w:val="0"/>
                                                              <w:divBdr>
                                                                <w:top w:val="none" w:sz="0" w:space="0" w:color="auto"/>
                                                                <w:left w:val="none" w:sz="0" w:space="0" w:color="auto"/>
                                                                <w:bottom w:val="none" w:sz="0" w:space="0" w:color="auto"/>
                                                                <w:right w:val="none" w:sz="0" w:space="0" w:color="auto"/>
                                                              </w:divBdr>
                                                            </w:div>
                                                          </w:divsChild>
                                                        </w:div>
                                                        <w:div w:id="30161969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448279941">
                                              <w:marLeft w:val="0"/>
                                              <w:marRight w:val="0"/>
                                              <w:marTop w:val="0"/>
                                              <w:marBottom w:val="0"/>
                                              <w:divBdr>
                                                <w:top w:val="none" w:sz="0" w:space="0" w:color="auto"/>
                                                <w:left w:val="none" w:sz="0" w:space="0" w:color="auto"/>
                                                <w:bottom w:val="none" w:sz="0" w:space="0" w:color="auto"/>
                                                <w:right w:val="none" w:sz="0" w:space="0" w:color="auto"/>
                                              </w:divBdr>
                                              <w:divsChild>
                                                <w:div w:id="1866669195">
                                                  <w:marLeft w:val="0"/>
                                                  <w:marRight w:val="0"/>
                                                  <w:marTop w:val="0"/>
                                                  <w:marBottom w:val="0"/>
                                                  <w:divBdr>
                                                    <w:top w:val="none" w:sz="0" w:space="0" w:color="auto"/>
                                                    <w:left w:val="none" w:sz="0" w:space="0" w:color="auto"/>
                                                    <w:bottom w:val="none" w:sz="0" w:space="0" w:color="auto"/>
                                                    <w:right w:val="none" w:sz="0" w:space="0" w:color="auto"/>
                                                  </w:divBdr>
                                                  <w:divsChild>
                                                    <w:div w:id="965355319">
                                                      <w:marLeft w:val="0"/>
                                                      <w:marRight w:val="0"/>
                                                      <w:marTop w:val="60"/>
                                                      <w:marBottom w:val="0"/>
                                                      <w:divBdr>
                                                        <w:top w:val="none" w:sz="0" w:space="0" w:color="auto"/>
                                                        <w:left w:val="none" w:sz="0" w:space="0" w:color="auto"/>
                                                        <w:bottom w:val="none" w:sz="0" w:space="0" w:color="auto"/>
                                                        <w:right w:val="none" w:sz="0" w:space="0" w:color="auto"/>
                                                      </w:divBdr>
                                                      <w:divsChild>
                                                        <w:div w:id="858472419">
                                                          <w:marLeft w:val="0"/>
                                                          <w:marRight w:val="0"/>
                                                          <w:marTop w:val="0"/>
                                                          <w:marBottom w:val="0"/>
                                                          <w:divBdr>
                                                            <w:top w:val="none" w:sz="0" w:space="0" w:color="auto"/>
                                                            <w:left w:val="none" w:sz="0" w:space="0" w:color="auto"/>
                                                            <w:bottom w:val="none" w:sz="0" w:space="0" w:color="auto"/>
                                                            <w:right w:val="none" w:sz="0" w:space="0" w:color="auto"/>
                                                          </w:divBdr>
                                                        </w:div>
                                                        <w:div w:id="535697118">
                                                          <w:marLeft w:val="0"/>
                                                          <w:marRight w:val="0"/>
                                                          <w:marTop w:val="0"/>
                                                          <w:marBottom w:val="0"/>
                                                          <w:divBdr>
                                                            <w:top w:val="none" w:sz="0" w:space="0" w:color="auto"/>
                                                            <w:left w:val="none" w:sz="0" w:space="0" w:color="auto"/>
                                                            <w:bottom w:val="none" w:sz="0" w:space="0" w:color="auto"/>
                                                            <w:right w:val="none" w:sz="0" w:space="0" w:color="auto"/>
                                                          </w:divBdr>
                                                          <w:divsChild>
                                                            <w:div w:id="2019959681">
                                                              <w:marLeft w:val="0"/>
                                                              <w:marRight w:val="0"/>
                                                              <w:marTop w:val="0"/>
                                                              <w:marBottom w:val="0"/>
                                                              <w:divBdr>
                                                                <w:top w:val="none" w:sz="0" w:space="0" w:color="auto"/>
                                                                <w:left w:val="none" w:sz="0" w:space="0" w:color="auto"/>
                                                                <w:bottom w:val="none" w:sz="0" w:space="0" w:color="auto"/>
                                                                <w:right w:val="none" w:sz="0" w:space="0" w:color="auto"/>
                                                              </w:divBdr>
                                                            </w:div>
                                                            <w:div w:id="198012199">
                                                              <w:marLeft w:val="0"/>
                                                              <w:marRight w:val="0"/>
                                                              <w:marTop w:val="0"/>
                                                              <w:marBottom w:val="0"/>
                                                              <w:divBdr>
                                                                <w:top w:val="none" w:sz="0" w:space="0" w:color="auto"/>
                                                                <w:left w:val="none" w:sz="0" w:space="0" w:color="auto"/>
                                                                <w:bottom w:val="none" w:sz="0" w:space="0" w:color="auto"/>
                                                                <w:right w:val="none" w:sz="0" w:space="0" w:color="auto"/>
                                                              </w:divBdr>
                                                            </w:div>
                                                            <w:div w:id="396973919">
                                                              <w:marLeft w:val="0"/>
                                                              <w:marRight w:val="0"/>
                                                              <w:marTop w:val="0"/>
                                                              <w:marBottom w:val="0"/>
                                                              <w:divBdr>
                                                                <w:top w:val="none" w:sz="0" w:space="0" w:color="auto"/>
                                                                <w:left w:val="none" w:sz="0" w:space="0" w:color="auto"/>
                                                                <w:bottom w:val="none" w:sz="0" w:space="0" w:color="auto"/>
                                                                <w:right w:val="none" w:sz="0" w:space="0" w:color="auto"/>
                                                              </w:divBdr>
                                                            </w:div>
                                                            <w:div w:id="1951815283">
                                                              <w:marLeft w:val="0"/>
                                                              <w:marRight w:val="0"/>
                                                              <w:marTop w:val="0"/>
                                                              <w:marBottom w:val="0"/>
                                                              <w:divBdr>
                                                                <w:top w:val="none" w:sz="0" w:space="0" w:color="auto"/>
                                                                <w:left w:val="none" w:sz="0" w:space="0" w:color="auto"/>
                                                                <w:bottom w:val="none" w:sz="0" w:space="0" w:color="auto"/>
                                                                <w:right w:val="none" w:sz="0" w:space="0" w:color="auto"/>
                                                              </w:divBdr>
                                                            </w:div>
                                                          </w:divsChild>
                                                        </w:div>
                                                        <w:div w:id="1532263544">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571043654">
                                          <w:marLeft w:val="0"/>
                                          <w:marRight w:val="-75"/>
                                          <w:marTop w:val="0"/>
                                          <w:marBottom w:val="0"/>
                                          <w:divBdr>
                                            <w:top w:val="none" w:sz="0" w:space="0" w:color="auto"/>
                                            <w:left w:val="none" w:sz="0" w:space="0" w:color="auto"/>
                                            <w:bottom w:val="none" w:sz="0" w:space="0" w:color="auto"/>
                                            <w:right w:val="none" w:sz="0" w:space="0" w:color="auto"/>
                                          </w:divBdr>
                                          <w:divsChild>
                                            <w:div w:id="61568466">
                                              <w:marLeft w:val="0"/>
                                              <w:marRight w:val="0"/>
                                              <w:marTop w:val="0"/>
                                              <w:marBottom w:val="0"/>
                                              <w:divBdr>
                                                <w:top w:val="none" w:sz="0" w:space="0" w:color="auto"/>
                                                <w:left w:val="none" w:sz="0" w:space="0" w:color="auto"/>
                                                <w:bottom w:val="none" w:sz="0" w:space="0" w:color="auto"/>
                                                <w:right w:val="none" w:sz="0" w:space="0" w:color="auto"/>
                                              </w:divBdr>
                                              <w:divsChild>
                                                <w:div w:id="141776635">
                                                  <w:marLeft w:val="0"/>
                                                  <w:marRight w:val="0"/>
                                                  <w:marTop w:val="0"/>
                                                  <w:marBottom w:val="0"/>
                                                  <w:divBdr>
                                                    <w:top w:val="none" w:sz="0" w:space="0" w:color="auto"/>
                                                    <w:left w:val="none" w:sz="0" w:space="0" w:color="auto"/>
                                                    <w:bottom w:val="none" w:sz="0" w:space="0" w:color="auto"/>
                                                    <w:right w:val="none" w:sz="0" w:space="0" w:color="auto"/>
                                                  </w:divBdr>
                                                  <w:divsChild>
                                                    <w:div w:id="1450051234">
                                                      <w:marLeft w:val="0"/>
                                                      <w:marRight w:val="0"/>
                                                      <w:marTop w:val="60"/>
                                                      <w:marBottom w:val="0"/>
                                                      <w:divBdr>
                                                        <w:top w:val="none" w:sz="0" w:space="0" w:color="auto"/>
                                                        <w:left w:val="none" w:sz="0" w:space="0" w:color="auto"/>
                                                        <w:bottom w:val="none" w:sz="0" w:space="0" w:color="auto"/>
                                                        <w:right w:val="none" w:sz="0" w:space="0" w:color="auto"/>
                                                      </w:divBdr>
                                                      <w:divsChild>
                                                        <w:div w:id="1521970765">
                                                          <w:marLeft w:val="0"/>
                                                          <w:marRight w:val="0"/>
                                                          <w:marTop w:val="0"/>
                                                          <w:marBottom w:val="0"/>
                                                          <w:divBdr>
                                                            <w:top w:val="none" w:sz="0" w:space="0" w:color="auto"/>
                                                            <w:left w:val="none" w:sz="0" w:space="0" w:color="auto"/>
                                                            <w:bottom w:val="none" w:sz="0" w:space="0" w:color="auto"/>
                                                            <w:right w:val="none" w:sz="0" w:space="0" w:color="auto"/>
                                                          </w:divBdr>
                                                        </w:div>
                                                        <w:div w:id="999768409">
                                                          <w:marLeft w:val="0"/>
                                                          <w:marRight w:val="0"/>
                                                          <w:marTop w:val="0"/>
                                                          <w:marBottom w:val="0"/>
                                                          <w:divBdr>
                                                            <w:top w:val="none" w:sz="0" w:space="0" w:color="auto"/>
                                                            <w:left w:val="none" w:sz="0" w:space="0" w:color="auto"/>
                                                            <w:bottom w:val="none" w:sz="0" w:space="0" w:color="auto"/>
                                                            <w:right w:val="none" w:sz="0" w:space="0" w:color="auto"/>
                                                          </w:divBdr>
                                                          <w:divsChild>
                                                            <w:div w:id="946077820">
                                                              <w:marLeft w:val="0"/>
                                                              <w:marRight w:val="0"/>
                                                              <w:marTop w:val="0"/>
                                                              <w:marBottom w:val="0"/>
                                                              <w:divBdr>
                                                                <w:top w:val="none" w:sz="0" w:space="0" w:color="auto"/>
                                                                <w:left w:val="none" w:sz="0" w:space="0" w:color="auto"/>
                                                                <w:bottom w:val="none" w:sz="0" w:space="0" w:color="auto"/>
                                                                <w:right w:val="none" w:sz="0" w:space="0" w:color="auto"/>
                                                              </w:divBdr>
                                                            </w:div>
                                                            <w:div w:id="524290047">
                                                              <w:marLeft w:val="0"/>
                                                              <w:marRight w:val="0"/>
                                                              <w:marTop w:val="0"/>
                                                              <w:marBottom w:val="0"/>
                                                              <w:divBdr>
                                                                <w:top w:val="none" w:sz="0" w:space="0" w:color="auto"/>
                                                                <w:left w:val="none" w:sz="0" w:space="0" w:color="auto"/>
                                                                <w:bottom w:val="none" w:sz="0" w:space="0" w:color="auto"/>
                                                                <w:right w:val="none" w:sz="0" w:space="0" w:color="auto"/>
                                                              </w:divBdr>
                                                            </w:div>
                                                            <w:div w:id="1467818621">
                                                              <w:marLeft w:val="0"/>
                                                              <w:marRight w:val="0"/>
                                                              <w:marTop w:val="0"/>
                                                              <w:marBottom w:val="0"/>
                                                              <w:divBdr>
                                                                <w:top w:val="none" w:sz="0" w:space="0" w:color="auto"/>
                                                                <w:left w:val="none" w:sz="0" w:space="0" w:color="auto"/>
                                                                <w:bottom w:val="none" w:sz="0" w:space="0" w:color="auto"/>
                                                                <w:right w:val="none" w:sz="0" w:space="0" w:color="auto"/>
                                                              </w:divBdr>
                                                            </w:div>
                                                            <w:div w:id="584151066">
                                                              <w:marLeft w:val="0"/>
                                                              <w:marRight w:val="0"/>
                                                              <w:marTop w:val="0"/>
                                                              <w:marBottom w:val="0"/>
                                                              <w:divBdr>
                                                                <w:top w:val="none" w:sz="0" w:space="0" w:color="auto"/>
                                                                <w:left w:val="none" w:sz="0" w:space="0" w:color="auto"/>
                                                                <w:bottom w:val="none" w:sz="0" w:space="0" w:color="auto"/>
                                                                <w:right w:val="none" w:sz="0" w:space="0" w:color="auto"/>
                                                              </w:divBdr>
                                                            </w:div>
                                                          </w:divsChild>
                                                        </w:div>
                                                        <w:div w:id="338779528">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459645218">
                                              <w:marLeft w:val="0"/>
                                              <w:marRight w:val="0"/>
                                              <w:marTop w:val="0"/>
                                              <w:marBottom w:val="0"/>
                                              <w:divBdr>
                                                <w:top w:val="none" w:sz="0" w:space="0" w:color="auto"/>
                                                <w:left w:val="none" w:sz="0" w:space="0" w:color="auto"/>
                                                <w:bottom w:val="none" w:sz="0" w:space="0" w:color="auto"/>
                                                <w:right w:val="none" w:sz="0" w:space="0" w:color="auto"/>
                                              </w:divBdr>
                                              <w:divsChild>
                                                <w:div w:id="105319190">
                                                  <w:marLeft w:val="0"/>
                                                  <w:marRight w:val="0"/>
                                                  <w:marTop w:val="0"/>
                                                  <w:marBottom w:val="0"/>
                                                  <w:divBdr>
                                                    <w:top w:val="none" w:sz="0" w:space="0" w:color="auto"/>
                                                    <w:left w:val="none" w:sz="0" w:space="0" w:color="auto"/>
                                                    <w:bottom w:val="none" w:sz="0" w:space="0" w:color="auto"/>
                                                    <w:right w:val="none" w:sz="0" w:space="0" w:color="auto"/>
                                                  </w:divBdr>
                                                  <w:divsChild>
                                                    <w:div w:id="1485314593">
                                                      <w:marLeft w:val="0"/>
                                                      <w:marRight w:val="0"/>
                                                      <w:marTop w:val="60"/>
                                                      <w:marBottom w:val="0"/>
                                                      <w:divBdr>
                                                        <w:top w:val="none" w:sz="0" w:space="0" w:color="auto"/>
                                                        <w:left w:val="none" w:sz="0" w:space="0" w:color="auto"/>
                                                        <w:bottom w:val="none" w:sz="0" w:space="0" w:color="auto"/>
                                                        <w:right w:val="none" w:sz="0" w:space="0" w:color="auto"/>
                                                      </w:divBdr>
                                                      <w:divsChild>
                                                        <w:div w:id="782766360">
                                                          <w:marLeft w:val="0"/>
                                                          <w:marRight w:val="0"/>
                                                          <w:marTop w:val="0"/>
                                                          <w:marBottom w:val="0"/>
                                                          <w:divBdr>
                                                            <w:top w:val="none" w:sz="0" w:space="0" w:color="auto"/>
                                                            <w:left w:val="none" w:sz="0" w:space="0" w:color="auto"/>
                                                            <w:bottom w:val="none" w:sz="0" w:space="0" w:color="auto"/>
                                                            <w:right w:val="none" w:sz="0" w:space="0" w:color="auto"/>
                                                          </w:divBdr>
                                                        </w:div>
                                                        <w:div w:id="768425795">
                                                          <w:marLeft w:val="0"/>
                                                          <w:marRight w:val="0"/>
                                                          <w:marTop w:val="0"/>
                                                          <w:marBottom w:val="0"/>
                                                          <w:divBdr>
                                                            <w:top w:val="none" w:sz="0" w:space="0" w:color="auto"/>
                                                            <w:left w:val="none" w:sz="0" w:space="0" w:color="auto"/>
                                                            <w:bottom w:val="none" w:sz="0" w:space="0" w:color="auto"/>
                                                            <w:right w:val="none" w:sz="0" w:space="0" w:color="auto"/>
                                                          </w:divBdr>
                                                          <w:divsChild>
                                                            <w:div w:id="1528642082">
                                                              <w:marLeft w:val="0"/>
                                                              <w:marRight w:val="0"/>
                                                              <w:marTop w:val="0"/>
                                                              <w:marBottom w:val="0"/>
                                                              <w:divBdr>
                                                                <w:top w:val="none" w:sz="0" w:space="0" w:color="auto"/>
                                                                <w:left w:val="none" w:sz="0" w:space="0" w:color="auto"/>
                                                                <w:bottom w:val="none" w:sz="0" w:space="0" w:color="auto"/>
                                                                <w:right w:val="none" w:sz="0" w:space="0" w:color="auto"/>
                                                              </w:divBdr>
                                                            </w:div>
                                                            <w:div w:id="1151480434">
                                                              <w:marLeft w:val="0"/>
                                                              <w:marRight w:val="0"/>
                                                              <w:marTop w:val="0"/>
                                                              <w:marBottom w:val="0"/>
                                                              <w:divBdr>
                                                                <w:top w:val="none" w:sz="0" w:space="0" w:color="auto"/>
                                                                <w:left w:val="none" w:sz="0" w:space="0" w:color="auto"/>
                                                                <w:bottom w:val="none" w:sz="0" w:space="0" w:color="auto"/>
                                                                <w:right w:val="none" w:sz="0" w:space="0" w:color="auto"/>
                                                              </w:divBdr>
                                                            </w:div>
                                                            <w:div w:id="1340616377">
                                                              <w:marLeft w:val="0"/>
                                                              <w:marRight w:val="0"/>
                                                              <w:marTop w:val="0"/>
                                                              <w:marBottom w:val="0"/>
                                                              <w:divBdr>
                                                                <w:top w:val="none" w:sz="0" w:space="0" w:color="auto"/>
                                                                <w:left w:val="none" w:sz="0" w:space="0" w:color="auto"/>
                                                                <w:bottom w:val="none" w:sz="0" w:space="0" w:color="auto"/>
                                                                <w:right w:val="none" w:sz="0" w:space="0" w:color="auto"/>
                                                              </w:divBdr>
                                                            </w:div>
                                                            <w:div w:id="60061685">
                                                              <w:marLeft w:val="0"/>
                                                              <w:marRight w:val="0"/>
                                                              <w:marTop w:val="0"/>
                                                              <w:marBottom w:val="0"/>
                                                              <w:divBdr>
                                                                <w:top w:val="none" w:sz="0" w:space="0" w:color="auto"/>
                                                                <w:left w:val="none" w:sz="0" w:space="0" w:color="auto"/>
                                                                <w:bottom w:val="none" w:sz="0" w:space="0" w:color="auto"/>
                                                                <w:right w:val="none" w:sz="0" w:space="0" w:color="auto"/>
                                                              </w:divBdr>
                                                            </w:div>
                                                          </w:divsChild>
                                                        </w:div>
                                                        <w:div w:id="383142889">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874107">
                      <w:marLeft w:val="0"/>
                      <w:marRight w:val="0"/>
                      <w:marTop w:val="0"/>
                      <w:marBottom w:val="0"/>
                      <w:divBdr>
                        <w:top w:val="none" w:sz="0" w:space="0" w:color="auto"/>
                        <w:left w:val="none" w:sz="0" w:space="0" w:color="auto"/>
                        <w:bottom w:val="none" w:sz="0" w:space="0" w:color="auto"/>
                        <w:right w:val="none" w:sz="0" w:space="0" w:color="auto"/>
                      </w:divBdr>
                      <w:divsChild>
                        <w:div w:id="61105189">
                          <w:marLeft w:val="0"/>
                          <w:marRight w:val="0"/>
                          <w:marTop w:val="0"/>
                          <w:marBottom w:val="0"/>
                          <w:divBdr>
                            <w:top w:val="none" w:sz="0" w:space="0" w:color="auto"/>
                            <w:left w:val="none" w:sz="0" w:space="0" w:color="auto"/>
                            <w:bottom w:val="none" w:sz="0" w:space="0" w:color="auto"/>
                            <w:right w:val="none" w:sz="0" w:space="0" w:color="auto"/>
                          </w:divBdr>
                          <w:divsChild>
                            <w:div w:id="1955556810">
                              <w:marLeft w:val="0"/>
                              <w:marRight w:val="0"/>
                              <w:marTop w:val="0"/>
                              <w:marBottom w:val="150"/>
                              <w:divBdr>
                                <w:top w:val="single" w:sz="6" w:space="0" w:color="BFBBBB"/>
                                <w:left w:val="single" w:sz="6" w:space="0" w:color="BFBBBB"/>
                                <w:bottom w:val="single" w:sz="6" w:space="0" w:color="BFBBBB"/>
                                <w:right w:val="single" w:sz="6" w:space="0" w:color="BFBBBB"/>
                              </w:divBdr>
                              <w:divsChild>
                                <w:div w:id="534319388">
                                  <w:marLeft w:val="0"/>
                                  <w:marRight w:val="0"/>
                                  <w:marTop w:val="0"/>
                                  <w:marBottom w:val="0"/>
                                  <w:divBdr>
                                    <w:top w:val="none" w:sz="0" w:space="0" w:color="auto"/>
                                    <w:left w:val="none" w:sz="0" w:space="0" w:color="auto"/>
                                    <w:bottom w:val="none" w:sz="0" w:space="0" w:color="auto"/>
                                    <w:right w:val="none" w:sz="0" w:space="0" w:color="auto"/>
                                  </w:divBdr>
                                  <w:divsChild>
                                    <w:div w:id="1135101939">
                                      <w:marLeft w:val="0"/>
                                      <w:marRight w:val="0"/>
                                      <w:marTop w:val="300"/>
                                      <w:marBottom w:val="600"/>
                                      <w:divBdr>
                                        <w:top w:val="none" w:sz="0" w:space="0" w:color="auto"/>
                                        <w:left w:val="none" w:sz="0" w:space="0" w:color="auto"/>
                                        <w:bottom w:val="none" w:sz="0" w:space="0" w:color="auto"/>
                                        <w:right w:val="none" w:sz="0" w:space="0" w:color="auto"/>
                                      </w:divBdr>
                                      <w:divsChild>
                                        <w:div w:id="1671565181">
                                          <w:marLeft w:val="0"/>
                                          <w:marRight w:val="0"/>
                                          <w:marTop w:val="0"/>
                                          <w:marBottom w:val="0"/>
                                          <w:divBdr>
                                            <w:top w:val="none" w:sz="0" w:space="0" w:color="auto"/>
                                            <w:left w:val="none" w:sz="0" w:space="0" w:color="auto"/>
                                            <w:bottom w:val="none" w:sz="0" w:space="0" w:color="auto"/>
                                            <w:right w:val="none" w:sz="0" w:space="0" w:color="auto"/>
                                          </w:divBdr>
                                          <w:divsChild>
                                            <w:div w:id="1071923133">
                                              <w:marLeft w:val="0"/>
                                              <w:marRight w:val="0"/>
                                              <w:marTop w:val="0"/>
                                              <w:marBottom w:val="0"/>
                                              <w:divBdr>
                                                <w:top w:val="none" w:sz="0" w:space="0" w:color="auto"/>
                                                <w:left w:val="none" w:sz="0" w:space="0" w:color="auto"/>
                                                <w:bottom w:val="none" w:sz="0" w:space="0" w:color="auto"/>
                                                <w:right w:val="none" w:sz="0" w:space="0" w:color="auto"/>
                                              </w:divBdr>
                                              <w:divsChild>
                                                <w:div w:id="428088738">
                                                  <w:marLeft w:val="0"/>
                                                  <w:marRight w:val="0"/>
                                                  <w:marTop w:val="0"/>
                                                  <w:marBottom w:val="0"/>
                                                  <w:divBdr>
                                                    <w:top w:val="none" w:sz="0" w:space="0" w:color="auto"/>
                                                    <w:left w:val="none" w:sz="0" w:space="0" w:color="auto"/>
                                                    <w:bottom w:val="none" w:sz="0" w:space="0" w:color="auto"/>
                                                    <w:right w:val="none" w:sz="0" w:space="0" w:color="auto"/>
                                                  </w:divBdr>
                                                  <w:divsChild>
                                                    <w:div w:id="366568269">
                                                      <w:marLeft w:val="0"/>
                                                      <w:marRight w:val="0"/>
                                                      <w:marTop w:val="0"/>
                                                      <w:marBottom w:val="0"/>
                                                      <w:divBdr>
                                                        <w:top w:val="none" w:sz="0" w:space="0" w:color="auto"/>
                                                        <w:left w:val="none" w:sz="0" w:space="0" w:color="auto"/>
                                                        <w:bottom w:val="none" w:sz="0" w:space="0" w:color="auto"/>
                                                        <w:right w:val="none" w:sz="0" w:space="0" w:color="auto"/>
                                                      </w:divBdr>
                                                      <w:divsChild>
                                                        <w:div w:id="686713100">
                                                          <w:marLeft w:val="0"/>
                                                          <w:marRight w:val="0"/>
                                                          <w:marTop w:val="0"/>
                                                          <w:marBottom w:val="0"/>
                                                          <w:divBdr>
                                                            <w:top w:val="none" w:sz="0" w:space="0" w:color="auto"/>
                                                            <w:left w:val="none" w:sz="0" w:space="0" w:color="auto"/>
                                                            <w:bottom w:val="none" w:sz="0" w:space="0" w:color="auto"/>
                                                            <w:right w:val="none" w:sz="0" w:space="0" w:color="auto"/>
                                                          </w:divBdr>
                                                          <w:divsChild>
                                                            <w:div w:id="15186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16765">
                                                  <w:marLeft w:val="0"/>
                                                  <w:marRight w:val="0"/>
                                                  <w:marTop w:val="0"/>
                                                  <w:marBottom w:val="0"/>
                                                  <w:divBdr>
                                                    <w:top w:val="none" w:sz="0" w:space="0" w:color="auto"/>
                                                    <w:left w:val="none" w:sz="0" w:space="0" w:color="auto"/>
                                                    <w:bottom w:val="none" w:sz="0" w:space="0" w:color="auto"/>
                                                    <w:right w:val="none" w:sz="0" w:space="0" w:color="auto"/>
                                                  </w:divBdr>
                                                  <w:divsChild>
                                                    <w:div w:id="1892881915">
                                                      <w:marLeft w:val="0"/>
                                                      <w:marRight w:val="0"/>
                                                      <w:marTop w:val="0"/>
                                                      <w:marBottom w:val="0"/>
                                                      <w:divBdr>
                                                        <w:top w:val="none" w:sz="0" w:space="0" w:color="auto"/>
                                                        <w:left w:val="none" w:sz="0" w:space="0" w:color="auto"/>
                                                        <w:bottom w:val="none" w:sz="0" w:space="0" w:color="auto"/>
                                                        <w:right w:val="none" w:sz="0" w:space="0" w:color="auto"/>
                                                      </w:divBdr>
                                                      <w:divsChild>
                                                        <w:div w:id="778337522">
                                                          <w:marLeft w:val="0"/>
                                                          <w:marRight w:val="0"/>
                                                          <w:marTop w:val="0"/>
                                                          <w:marBottom w:val="0"/>
                                                          <w:divBdr>
                                                            <w:top w:val="none" w:sz="0" w:space="0" w:color="auto"/>
                                                            <w:left w:val="none" w:sz="0" w:space="0" w:color="auto"/>
                                                            <w:bottom w:val="none" w:sz="0" w:space="0" w:color="auto"/>
                                                            <w:right w:val="none" w:sz="0" w:space="0" w:color="auto"/>
                                                          </w:divBdr>
                                                          <w:divsChild>
                                                            <w:div w:id="155786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259460">
                                                  <w:marLeft w:val="0"/>
                                                  <w:marRight w:val="0"/>
                                                  <w:marTop w:val="0"/>
                                                  <w:marBottom w:val="0"/>
                                                  <w:divBdr>
                                                    <w:top w:val="none" w:sz="0" w:space="0" w:color="auto"/>
                                                    <w:left w:val="none" w:sz="0" w:space="0" w:color="auto"/>
                                                    <w:bottom w:val="none" w:sz="0" w:space="0" w:color="auto"/>
                                                    <w:right w:val="none" w:sz="0" w:space="0" w:color="auto"/>
                                                  </w:divBdr>
                                                  <w:divsChild>
                                                    <w:div w:id="1978024337">
                                                      <w:marLeft w:val="0"/>
                                                      <w:marRight w:val="0"/>
                                                      <w:marTop w:val="0"/>
                                                      <w:marBottom w:val="0"/>
                                                      <w:divBdr>
                                                        <w:top w:val="none" w:sz="0" w:space="0" w:color="auto"/>
                                                        <w:left w:val="none" w:sz="0" w:space="0" w:color="auto"/>
                                                        <w:bottom w:val="none" w:sz="0" w:space="0" w:color="auto"/>
                                                        <w:right w:val="none" w:sz="0" w:space="0" w:color="auto"/>
                                                      </w:divBdr>
                                                      <w:divsChild>
                                                        <w:div w:id="594703778">
                                                          <w:marLeft w:val="0"/>
                                                          <w:marRight w:val="0"/>
                                                          <w:marTop w:val="0"/>
                                                          <w:marBottom w:val="0"/>
                                                          <w:divBdr>
                                                            <w:top w:val="none" w:sz="0" w:space="0" w:color="auto"/>
                                                            <w:left w:val="none" w:sz="0" w:space="0" w:color="auto"/>
                                                            <w:bottom w:val="none" w:sz="0" w:space="0" w:color="auto"/>
                                                            <w:right w:val="none" w:sz="0" w:space="0" w:color="auto"/>
                                                          </w:divBdr>
                                                          <w:divsChild>
                                                            <w:div w:id="17148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6286">
                                                  <w:marLeft w:val="0"/>
                                                  <w:marRight w:val="0"/>
                                                  <w:marTop w:val="0"/>
                                                  <w:marBottom w:val="0"/>
                                                  <w:divBdr>
                                                    <w:top w:val="none" w:sz="0" w:space="0" w:color="auto"/>
                                                    <w:left w:val="none" w:sz="0" w:space="0" w:color="auto"/>
                                                    <w:bottom w:val="none" w:sz="0" w:space="0" w:color="auto"/>
                                                    <w:right w:val="none" w:sz="0" w:space="0" w:color="auto"/>
                                                  </w:divBdr>
                                                  <w:divsChild>
                                                    <w:div w:id="718669406">
                                                      <w:marLeft w:val="0"/>
                                                      <w:marRight w:val="0"/>
                                                      <w:marTop w:val="0"/>
                                                      <w:marBottom w:val="0"/>
                                                      <w:divBdr>
                                                        <w:top w:val="none" w:sz="0" w:space="0" w:color="auto"/>
                                                        <w:left w:val="none" w:sz="0" w:space="0" w:color="auto"/>
                                                        <w:bottom w:val="none" w:sz="0" w:space="0" w:color="auto"/>
                                                        <w:right w:val="none" w:sz="0" w:space="0" w:color="auto"/>
                                                      </w:divBdr>
                                                      <w:divsChild>
                                                        <w:div w:id="1024554217">
                                                          <w:marLeft w:val="0"/>
                                                          <w:marRight w:val="0"/>
                                                          <w:marTop w:val="0"/>
                                                          <w:marBottom w:val="0"/>
                                                          <w:divBdr>
                                                            <w:top w:val="none" w:sz="0" w:space="0" w:color="auto"/>
                                                            <w:left w:val="none" w:sz="0" w:space="0" w:color="auto"/>
                                                            <w:bottom w:val="none" w:sz="0" w:space="0" w:color="auto"/>
                                                            <w:right w:val="none" w:sz="0" w:space="0" w:color="auto"/>
                                                          </w:divBdr>
                                                          <w:divsChild>
                                                            <w:div w:id="45136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25155">
                                                  <w:marLeft w:val="0"/>
                                                  <w:marRight w:val="0"/>
                                                  <w:marTop w:val="0"/>
                                                  <w:marBottom w:val="0"/>
                                                  <w:divBdr>
                                                    <w:top w:val="none" w:sz="0" w:space="0" w:color="auto"/>
                                                    <w:left w:val="none" w:sz="0" w:space="0" w:color="auto"/>
                                                    <w:bottom w:val="none" w:sz="0" w:space="0" w:color="auto"/>
                                                    <w:right w:val="none" w:sz="0" w:space="0" w:color="auto"/>
                                                  </w:divBdr>
                                                  <w:divsChild>
                                                    <w:div w:id="2115206490">
                                                      <w:marLeft w:val="0"/>
                                                      <w:marRight w:val="0"/>
                                                      <w:marTop w:val="0"/>
                                                      <w:marBottom w:val="0"/>
                                                      <w:divBdr>
                                                        <w:top w:val="none" w:sz="0" w:space="0" w:color="auto"/>
                                                        <w:left w:val="none" w:sz="0" w:space="0" w:color="auto"/>
                                                        <w:bottom w:val="none" w:sz="0" w:space="0" w:color="auto"/>
                                                        <w:right w:val="none" w:sz="0" w:space="0" w:color="auto"/>
                                                      </w:divBdr>
                                                      <w:divsChild>
                                                        <w:div w:id="177760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9426">
                                                  <w:marLeft w:val="0"/>
                                                  <w:marRight w:val="0"/>
                                                  <w:marTop w:val="0"/>
                                                  <w:marBottom w:val="0"/>
                                                  <w:divBdr>
                                                    <w:top w:val="none" w:sz="0" w:space="0" w:color="auto"/>
                                                    <w:left w:val="none" w:sz="0" w:space="0" w:color="auto"/>
                                                    <w:bottom w:val="none" w:sz="0" w:space="0" w:color="auto"/>
                                                    <w:right w:val="none" w:sz="0" w:space="0" w:color="auto"/>
                                                  </w:divBdr>
                                                  <w:divsChild>
                                                    <w:div w:id="1524392899">
                                                      <w:marLeft w:val="0"/>
                                                      <w:marRight w:val="0"/>
                                                      <w:marTop w:val="0"/>
                                                      <w:marBottom w:val="0"/>
                                                      <w:divBdr>
                                                        <w:top w:val="none" w:sz="0" w:space="0" w:color="auto"/>
                                                        <w:left w:val="none" w:sz="0" w:space="0" w:color="auto"/>
                                                        <w:bottom w:val="none" w:sz="0" w:space="0" w:color="auto"/>
                                                        <w:right w:val="none" w:sz="0" w:space="0" w:color="auto"/>
                                                      </w:divBdr>
                                                      <w:divsChild>
                                                        <w:div w:id="146604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12597">
                                                  <w:marLeft w:val="0"/>
                                                  <w:marRight w:val="0"/>
                                                  <w:marTop w:val="0"/>
                                                  <w:marBottom w:val="0"/>
                                                  <w:divBdr>
                                                    <w:top w:val="none" w:sz="0" w:space="0" w:color="auto"/>
                                                    <w:left w:val="none" w:sz="0" w:space="0" w:color="auto"/>
                                                    <w:bottom w:val="none" w:sz="0" w:space="0" w:color="auto"/>
                                                    <w:right w:val="none" w:sz="0" w:space="0" w:color="auto"/>
                                                  </w:divBdr>
                                                  <w:divsChild>
                                                    <w:div w:id="858592692">
                                                      <w:marLeft w:val="0"/>
                                                      <w:marRight w:val="0"/>
                                                      <w:marTop w:val="0"/>
                                                      <w:marBottom w:val="0"/>
                                                      <w:divBdr>
                                                        <w:top w:val="none" w:sz="0" w:space="0" w:color="auto"/>
                                                        <w:left w:val="none" w:sz="0" w:space="0" w:color="auto"/>
                                                        <w:bottom w:val="none" w:sz="0" w:space="0" w:color="auto"/>
                                                        <w:right w:val="none" w:sz="0" w:space="0" w:color="auto"/>
                                                      </w:divBdr>
                                                      <w:divsChild>
                                                        <w:div w:id="559898572">
                                                          <w:marLeft w:val="0"/>
                                                          <w:marRight w:val="0"/>
                                                          <w:marTop w:val="0"/>
                                                          <w:marBottom w:val="0"/>
                                                          <w:divBdr>
                                                            <w:top w:val="none" w:sz="0" w:space="0" w:color="auto"/>
                                                            <w:left w:val="none" w:sz="0" w:space="0" w:color="auto"/>
                                                            <w:bottom w:val="none" w:sz="0" w:space="0" w:color="auto"/>
                                                            <w:right w:val="none" w:sz="0" w:space="0" w:color="auto"/>
                                                          </w:divBdr>
                                                          <w:divsChild>
                                                            <w:div w:id="20686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28429">
                                              <w:marLeft w:val="0"/>
                                              <w:marRight w:val="0"/>
                                              <w:marTop w:val="0"/>
                                              <w:marBottom w:val="0"/>
                                              <w:divBdr>
                                                <w:top w:val="none" w:sz="0" w:space="0" w:color="auto"/>
                                                <w:left w:val="none" w:sz="0" w:space="0" w:color="auto"/>
                                                <w:bottom w:val="none" w:sz="0" w:space="0" w:color="auto"/>
                                                <w:right w:val="none" w:sz="0" w:space="0" w:color="auto"/>
                                              </w:divBdr>
                                              <w:divsChild>
                                                <w:div w:id="481166231">
                                                  <w:marLeft w:val="0"/>
                                                  <w:marRight w:val="0"/>
                                                  <w:marTop w:val="0"/>
                                                  <w:marBottom w:val="0"/>
                                                  <w:divBdr>
                                                    <w:top w:val="none" w:sz="0" w:space="0" w:color="auto"/>
                                                    <w:left w:val="none" w:sz="0" w:space="0" w:color="auto"/>
                                                    <w:bottom w:val="none" w:sz="0" w:space="0" w:color="auto"/>
                                                    <w:right w:val="none" w:sz="0" w:space="0" w:color="auto"/>
                                                  </w:divBdr>
                                                  <w:divsChild>
                                                    <w:div w:id="1882936977">
                                                      <w:marLeft w:val="0"/>
                                                      <w:marRight w:val="0"/>
                                                      <w:marTop w:val="0"/>
                                                      <w:marBottom w:val="0"/>
                                                      <w:divBdr>
                                                        <w:top w:val="none" w:sz="0" w:space="0" w:color="auto"/>
                                                        <w:left w:val="none" w:sz="0" w:space="0" w:color="auto"/>
                                                        <w:bottom w:val="none" w:sz="0" w:space="0" w:color="auto"/>
                                                        <w:right w:val="none" w:sz="0" w:space="0" w:color="auto"/>
                                                      </w:divBdr>
                                                      <w:divsChild>
                                                        <w:div w:id="12849873">
                                                          <w:marLeft w:val="0"/>
                                                          <w:marRight w:val="0"/>
                                                          <w:marTop w:val="0"/>
                                                          <w:marBottom w:val="0"/>
                                                          <w:divBdr>
                                                            <w:top w:val="none" w:sz="0" w:space="0" w:color="auto"/>
                                                            <w:left w:val="none" w:sz="0" w:space="0" w:color="auto"/>
                                                            <w:bottom w:val="none" w:sz="0" w:space="0" w:color="auto"/>
                                                            <w:right w:val="none" w:sz="0" w:space="0" w:color="auto"/>
                                                          </w:divBdr>
                                                          <w:divsChild>
                                                            <w:div w:id="12231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91981">
                                                  <w:marLeft w:val="0"/>
                                                  <w:marRight w:val="0"/>
                                                  <w:marTop w:val="0"/>
                                                  <w:marBottom w:val="0"/>
                                                  <w:divBdr>
                                                    <w:top w:val="none" w:sz="0" w:space="0" w:color="auto"/>
                                                    <w:left w:val="none" w:sz="0" w:space="0" w:color="auto"/>
                                                    <w:bottom w:val="none" w:sz="0" w:space="0" w:color="auto"/>
                                                    <w:right w:val="none" w:sz="0" w:space="0" w:color="auto"/>
                                                  </w:divBdr>
                                                  <w:divsChild>
                                                    <w:div w:id="1370490029">
                                                      <w:marLeft w:val="0"/>
                                                      <w:marRight w:val="0"/>
                                                      <w:marTop w:val="0"/>
                                                      <w:marBottom w:val="0"/>
                                                      <w:divBdr>
                                                        <w:top w:val="none" w:sz="0" w:space="0" w:color="auto"/>
                                                        <w:left w:val="none" w:sz="0" w:space="0" w:color="auto"/>
                                                        <w:bottom w:val="none" w:sz="0" w:space="0" w:color="auto"/>
                                                        <w:right w:val="none" w:sz="0" w:space="0" w:color="auto"/>
                                                      </w:divBdr>
                                                      <w:divsChild>
                                                        <w:div w:id="450977627">
                                                          <w:marLeft w:val="0"/>
                                                          <w:marRight w:val="0"/>
                                                          <w:marTop w:val="0"/>
                                                          <w:marBottom w:val="0"/>
                                                          <w:divBdr>
                                                            <w:top w:val="none" w:sz="0" w:space="0" w:color="auto"/>
                                                            <w:left w:val="none" w:sz="0" w:space="0" w:color="auto"/>
                                                            <w:bottom w:val="none" w:sz="0" w:space="0" w:color="auto"/>
                                                            <w:right w:val="none" w:sz="0" w:space="0" w:color="auto"/>
                                                          </w:divBdr>
                                                          <w:divsChild>
                                                            <w:div w:id="14051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1640">
                                                  <w:marLeft w:val="0"/>
                                                  <w:marRight w:val="0"/>
                                                  <w:marTop w:val="0"/>
                                                  <w:marBottom w:val="0"/>
                                                  <w:divBdr>
                                                    <w:top w:val="none" w:sz="0" w:space="0" w:color="auto"/>
                                                    <w:left w:val="none" w:sz="0" w:space="0" w:color="auto"/>
                                                    <w:bottom w:val="none" w:sz="0" w:space="0" w:color="auto"/>
                                                    <w:right w:val="none" w:sz="0" w:space="0" w:color="auto"/>
                                                  </w:divBdr>
                                                  <w:divsChild>
                                                    <w:div w:id="1223910344">
                                                      <w:marLeft w:val="0"/>
                                                      <w:marRight w:val="0"/>
                                                      <w:marTop w:val="0"/>
                                                      <w:marBottom w:val="0"/>
                                                      <w:divBdr>
                                                        <w:top w:val="none" w:sz="0" w:space="0" w:color="auto"/>
                                                        <w:left w:val="none" w:sz="0" w:space="0" w:color="auto"/>
                                                        <w:bottom w:val="none" w:sz="0" w:space="0" w:color="auto"/>
                                                        <w:right w:val="none" w:sz="0" w:space="0" w:color="auto"/>
                                                      </w:divBdr>
                                                      <w:divsChild>
                                                        <w:div w:id="106942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59625">
                                                  <w:marLeft w:val="0"/>
                                                  <w:marRight w:val="0"/>
                                                  <w:marTop w:val="0"/>
                                                  <w:marBottom w:val="0"/>
                                                  <w:divBdr>
                                                    <w:top w:val="none" w:sz="0" w:space="0" w:color="auto"/>
                                                    <w:left w:val="none" w:sz="0" w:space="0" w:color="auto"/>
                                                    <w:bottom w:val="none" w:sz="0" w:space="0" w:color="auto"/>
                                                    <w:right w:val="none" w:sz="0" w:space="0" w:color="auto"/>
                                                  </w:divBdr>
                                                  <w:divsChild>
                                                    <w:div w:id="1067874004">
                                                      <w:marLeft w:val="0"/>
                                                      <w:marRight w:val="0"/>
                                                      <w:marTop w:val="0"/>
                                                      <w:marBottom w:val="0"/>
                                                      <w:divBdr>
                                                        <w:top w:val="none" w:sz="0" w:space="0" w:color="auto"/>
                                                        <w:left w:val="none" w:sz="0" w:space="0" w:color="auto"/>
                                                        <w:bottom w:val="none" w:sz="0" w:space="0" w:color="auto"/>
                                                        <w:right w:val="none" w:sz="0" w:space="0" w:color="auto"/>
                                                      </w:divBdr>
                                                      <w:divsChild>
                                                        <w:div w:id="458497314">
                                                          <w:marLeft w:val="0"/>
                                                          <w:marRight w:val="0"/>
                                                          <w:marTop w:val="0"/>
                                                          <w:marBottom w:val="0"/>
                                                          <w:divBdr>
                                                            <w:top w:val="none" w:sz="0" w:space="0" w:color="auto"/>
                                                            <w:left w:val="none" w:sz="0" w:space="0" w:color="auto"/>
                                                            <w:bottom w:val="none" w:sz="0" w:space="0" w:color="auto"/>
                                                            <w:right w:val="none" w:sz="0" w:space="0" w:color="auto"/>
                                                          </w:divBdr>
                                                          <w:divsChild>
                                                            <w:div w:id="120194920">
                                                              <w:marLeft w:val="0"/>
                                                              <w:marRight w:val="0"/>
                                                              <w:marTop w:val="0"/>
                                                              <w:marBottom w:val="0"/>
                                                              <w:divBdr>
                                                                <w:top w:val="none" w:sz="0" w:space="0" w:color="auto"/>
                                                                <w:left w:val="none" w:sz="0" w:space="0" w:color="auto"/>
                                                                <w:bottom w:val="none" w:sz="0" w:space="0" w:color="auto"/>
                                                                <w:right w:val="none" w:sz="0" w:space="0" w:color="auto"/>
                                                              </w:divBdr>
                                                              <w:divsChild>
                                                                <w:div w:id="1529878623">
                                                                  <w:marLeft w:val="0"/>
                                                                  <w:marRight w:val="0"/>
                                                                  <w:marTop w:val="0"/>
                                                                  <w:marBottom w:val="0"/>
                                                                  <w:divBdr>
                                                                    <w:top w:val="none" w:sz="0" w:space="0" w:color="auto"/>
                                                                    <w:left w:val="none" w:sz="0" w:space="0" w:color="auto"/>
                                                                    <w:bottom w:val="none" w:sz="0" w:space="0" w:color="auto"/>
                                                                    <w:right w:val="none" w:sz="0" w:space="0" w:color="auto"/>
                                                                  </w:divBdr>
                                                                </w:div>
                                                                <w:div w:id="20979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921963">
                                                  <w:marLeft w:val="0"/>
                                                  <w:marRight w:val="0"/>
                                                  <w:marTop w:val="0"/>
                                                  <w:marBottom w:val="0"/>
                                                  <w:divBdr>
                                                    <w:top w:val="none" w:sz="0" w:space="0" w:color="auto"/>
                                                    <w:left w:val="none" w:sz="0" w:space="0" w:color="auto"/>
                                                    <w:bottom w:val="none" w:sz="0" w:space="0" w:color="auto"/>
                                                    <w:right w:val="none" w:sz="0" w:space="0" w:color="auto"/>
                                                  </w:divBdr>
                                                  <w:divsChild>
                                                    <w:div w:id="820344406">
                                                      <w:marLeft w:val="0"/>
                                                      <w:marRight w:val="0"/>
                                                      <w:marTop w:val="0"/>
                                                      <w:marBottom w:val="0"/>
                                                      <w:divBdr>
                                                        <w:top w:val="none" w:sz="0" w:space="0" w:color="auto"/>
                                                        <w:left w:val="none" w:sz="0" w:space="0" w:color="auto"/>
                                                        <w:bottom w:val="none" w:sz="0" w:space="0" w:color="auto"/>
                                                        <w:right w:val="none" w:sz="0" w:space="0" w:color="auto"/>
                                                      </w:divBdr>
                                                      <w:divsChild>
                                                        <w:div w:id="1838374903">
                                                          <w:marLeft w:val="0"/>
                                                          <w:marRight w:val="0"/>
                                                          <w:marTop w:val="0"/>
                                                          <w:marBottom w:val="0"/>
                                                          <w:divBdr>
                                                            <w:top w:val="none" w:sz="0" w:space="0" w:color="auto"/>
                                                            <w:left w:val="none" w:sz="0" w:space="0" w:color="auto"/>
                                                            <w:bottom w:val="none" w:sz="0" w:space="0" w:color="auto"/>
                                                            <w:right w:val="none" w:sz="0" w:space="0" w:color="auto"/>
                                                          </w:divBdr>
                                                          <w:divsChild>
                                                            <w:div w:id="19633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43123">
                                                  <w:marLeft w:val="0"/>
                                                  <w:marRight w:val="0"/>
                                                  <w:marTop w:val="0"/>
                                                  <w:marBottom w:val="0"/>
                                                  <w:divBdr>
                                                    <w:top w:val="none" w:sz="0" w:space="0" w:color="auto"/>
                                                    <w:left w:val="none" w:sz="0" w:space="0" w:color="auto"/>
                                                    <w:bottom w:val="none" w:sz="0" w:space="0" w:color="auto"/>
                                                    <w:right w:val="none" w:sz="0" w:space="0" w:color="auto"/>
                                                  </w:divBdr>
                                                  <w:divsChild>
                                                    <w:div w:id="1084646085">
                                                      <w:marLeft w:val="0"/>
                                                      <w:marRight w:val="0"/>
                                                      <w:marTop w:val="0"/>
                                                      <w:marBottom w:val="0"/>
                                                      <w:divBdr>
                                                        <w:top w:val="none" w:sz="0" w:space="0" w:color="auto"/>
                                                        <w:left w:val="none" w:sz="0" w:space="0" w:color="auto"/>
                                                        <w:bottom w:val="none" w:sz="0" w:space="0" w:color="auto"/>
                                                        <w:right w:val="none" w:sz="0" w:space="0" w:color="auto"/>
                                                      </w:divBdr>
                                                      <w:divsChild>
                                                        <w:div w:id="771971573">
                                                          <w:marLeft w:val="0"/>
                                                          <w:marRight w:val="0"/>
                                                          <w:marTop w:val="0"/>
                                                          <w:marBottom w:val="0"/>
                                                          <w:divBdr>
                                                            <w:top w:val="none" w:sz="0" w:space="0" w:color="auto"/>
                                                            <w:left w:val="none" w:sz="0" w:space="0" w:color="auto"/>
                                                            <w:bottom w:val="none" w:sz="0" w:space="0" w:color="auto"/>
                                                            <w:right w:val="none" w:sz="0" w:space="0" w:color="auto"/>
                                                          </w:divBdr>
                                                          <w:divsChild>
                                                            <w:div w:id="10563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82076">
                                                  <w:marLeft w:val="0"/>
                                                  <w:marRight w:val="0"/>
                                                  <w:marTop w:val="0"/>
                                                  <w:marBottom w:val="0"/>
                                                  <w:divBdr>
                                                    <w:top w:val="none" w:sz="0" w:space="0" w:color="auto"/>
                                                    <w:left w:val="none" w:sz="0" w:space="0" w:color="auto"/>
                                                    <w:bottom w:val="none" w:sz="0" w:space="0" w:color="auto"/>
                                                    <w:right w:val="none" w:sz="0" w:space="0" w:color="auto"/>
                                                  </w:divBdr>
                                                  <w:divsChild>
                                                    <w:div w:id="1517503510">
                                                      <w:marLeft w:val="0"/>
                                                      <w:marRight w:val="0"/>
                                                      <w:marTop w:val="0"/>
                                                      <w:marBottom w:val="0"/>
                                                      <w:divBdr>
                                                        <w:top w:val="none" w:sz="0" w:space="0" w:color="auto"/>
                                                        <w:left w:val="none" w:sz="0" w:space="0" w:color="auto"/>
                                                        <w:bottom w:val="none" w:sz="0" w:space="0" w:color="auto"/>
                                                        <w:right w:val="none" w:sz="0" w:space="0" w:color="auto"/>
                                                      </w:divBdr>
                                                      <w:divsChild>
                                                        <w:div w:id="118289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17818">
                                                  <w:marLeft w:val="0"/>
                                                  <w:marRight w:val="0"/>
                                                  <w:marTop w:val="0"/>
                                                  <w:marBottom w:val="0"/>
                                                  <w:divBdr>
                                                    <w:top w:val="none" w:sz="0" w:space="0" w:color="auto"/>
                                                    <w:left w:val="none" w:sz="0" w:space="0" w:color="auto"/>
                                                    <w:bottom w:val="none" w:sz="0" w:space="0" w:color="auto"/>
                                                    <w:right w:val="none" w:sz="0" w:space="0" w:color="auto"/>
                                                  </w:divBdr>
                                                  <w:divsChild>
                                                    <w:div w:id="643509643">
                                                      <w:marLeft w:val="0"/>
                                                      <w:marRight w:val="0"/>
                                                      <w:marTop w:val="0"/>
                                                      <w:marBottom w:val="0"/>
                                                      <w:divBdr>
                                                        <w:top w:val="none" w:sz="0" w:space="0" w:color="auto"/>
                                                        <w:left w:val="none" w:sz="0" w:space="0" w:color="auto"/>
                                                        <w:bottom w:val="none" w:sz="0" w:space="0" w:color="auto"/>
                                                        <w:right w:val="none" w:sz="0" w:space="0" w:color="auto"/>
                                                      </w:divBdr>
                                                      <w:divsChild>
                                                        <w:div w:id="693925313">
                                                          <w:marLeft w:val="0"/>
                                                          <w:marRight w:val="0"/>
                                                          <w:marTop w:val="0"/>
                                                          <w:marBottom w:val="0"/>
                                                          <w:divBdr>
                                                            <w:top w:val="none" w:sz="0" w:space="0" w:color="auto"/>
                                                            <w:left w:val="none" w:sz="0" w:space="0" w:color="auto"/>
                                                            <w:bottom w:val="none" w:sz="0" w:space="0" w:color="auto"/>
                                                            <w:right w:val="none" w:sz="0" w:space="0" w:color="auto"/>
                                                          </w:divBdr>
                                                          <w:divsChild>
                                                            <w:div w:id="7708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398243">
                                      <w:marLeft w:val="0"/>
                                      <w:marRight w:val="0"/>
                                      <w:marTop w:val="0"/>
                                      <w:marBottom w:val="600"/>
                                      <w:divBdr>
                                        <w:top w:val="none" w:sz="0" w:space="0" w:color="auto"/>
                                        <w:left w:val="none" w:sz="0" w:space="0" w:color="auto"/>
                                        <w:bottom w:val="none" w:sz="0" w:space="0" w:color="auto"/>
                                        <w:right w:val="none" w:sz="0" w:space="0" w:color="auto"/>
                                      </w:divBdr>
                                      <w:divsChild>
                                        <w:div w:id="1230919351">
                                          <w:marLeft w:val="0"/>
                                          <w:marRight w:val="0"/>
                                          <w:marTop w:val="0"/>
                                          <w:marBottom w:val="0"/>
                                          <w:divBdr>
                                            <w:top w:val="none" w:sz="0" w:space="0" w:color="auto"/>
                                            <w:left w:val="none" w:sz="0" w:space="0" w:color="auto"/>
                                            <w:bottom w:val="none" w:sz="0" w:space="0" w:color="auto"/>
                                            <w:right w:val="none" w:sz="0" w:space="0" w:color="auto"/>
                                          </w:divBdr>
                                          <w:divsChild>
                                            <w:div w:id="1515071640">
                                              <w:marLeft w:val="0"/>
                                              <w:marRight w:val="0"/>
                                              <w:marTop w:val="0"/>
                                              <w:marBottom w:val="0"/>
                                              <w:divBdr>
                                                <w:top w:val="none" w:sz="0" w:space="0" w:color="auto"/>
                                                <w:left w:val="none" w:sz="0" w:space="0" w:color="auto"/>
                                                <w:bottom w:val="none" w:sz="0" w:space="0" w:color="auto"/>
                                                <w:right w:val="none" w:sz="0" w:space="0" w:color="auto"/>
                                              </w:divBdr>
                                              <w:divsChild>
                                                <w:div w:id="1234312723">
                                                  <w:marLeft w:val="0"/>
                                                  <w:marRight w:val="0"/>
                                                  <w:marTop w:val="0"/>
                                                  <w:marBottom w:val="0"/>
                                                  <w:divBdr>
                                                    <w:top w:val="none" w:sz="0" w:space="0" w:color="auto"/>
                                                    <w:left w:val="none" w:sz="0" w:space="0" w:color="auto"/>
                                                    <w:bottom w:val="none" w:sz="0" w:space="0" w:color="auto"/>
                                                    <w:right w:val="none" w:sz="0" w:space="0" w:color="auto"/>
                                                  </w:divBdr>
                                                  <w:divsChild>
                                                    <w:div w:id="1362393495">
                                                      <w:marLeft w:val="0"/>
                                                      <w:marRight w:val="0"/>
                                                      <w:marTop w:val="0"/>
                                                      <w:marBottom w:val="0"/>
                                                      <w:divBdr>
                                                        <w:top w:val="none" w:sz="0" w:space="0" w:color="auto"/>
                                                        <w:left w:val="none" w:sz="0" w:space="0" w:color="auto"/>
                                                        <w:bottom w:val="none" w:sz="0" w:space="0" w:color="auto"/>
                                                        <w:right w:val="none" w:sz="0" w:space="0" w:color="auto"/>
                                                      </w:divBdr>
                                                      <w:divsChild>
                                                        <w:div w:id="456484456">
                                                          <w:marLeft w:val="0"/>
                                                          <w:marRight w:val="0"/>
                                                          <w:marTop w:val="0"/>
                                                          <w:marBottom w:val="0"/>
                                                          <w:divBdr>
                                                            <w:top w:val="none" w:sz="0" w:space="0" w:color="auto"/>
                                                            <w:left w:val="none" w:sz="0" w:space="0" w:color="auto"/>
                                                            <w:bottom w:val="none" w:sz="0" w:space="0" w:color="auto"/>
                                                            <w:right w:val="none" w:sz="0" w:space="0" w:color="auto"/>
                                                          </w:divBdr>
                                                          <w:divsChild>
                                                            <w:div w:id="16553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265048">
                                                  <w:marLeft w:val="0"/>
                                                  <w:marRight w:val="0"/>
                                                  <w:marTop w:val="0"/>
                                                  <w:marBottom w:val="0"/>
                                                  <w:divBdr>
                                                    <w:top w:val="none" w:sz="0" w:space="0" w:color="auto"/>
                                                    <w:left w:val="none" w:sz="0" w:space="0" w:color="auto"/>
                                                    <w:bottom w:val="none" w:sz="0" w:space="0" w:color="auto"/>
                                                    <w:right w:val="none" w:sz="0" w:space="0" w:color="auto"/>
                                                  </w:divBdr>
                                                  <w:divsChild>
                                                    <w:div w:id="768744831">
                                                      <w:marLeft w:val="0"/>
                                                      <w:marRight w:val="0"/>
                                                      <w:marTop w:val="0"/>
                                                      <w:marBottom w:val="0"/>
                                                      <w:divBdr>
                                                        <w:top w:val="none" w:sz="0" w:space="0" w:color="auto"/>
                                                        <w:left w:val="none" w:sz="0" w:space="0" w:color="auto"/>
                                                        <w:bottom w:val="none" w:sz="0" w:space="0" w:color="auto"/>
                                                        <w:right w:val="none" w:sz="0" w:space="0" w:color="auto"/>
                                                      </w:divBdr>
                                                      <w:divsChild>
                                                        <w:div w:id="338848783">
                                                          <w:marLeft w:val="0"/>
                                                          <w:marRight w:val="0"/>
                                                          <w:marTop w:val="0"/>
                                                          <w:marBottom w:val="0"/>
                                                          <w:divBdr>
                                                            <w:top w:val="none" w:sz="0" w:space="0" w:color="auto"/>
                                                            <w:left w:val="none" w:sz="0" w:space="0" w:color="auto"/>
                                                            <w:bottom w:val="none" w:sz="0" w:space="0" w:color="auto"/>
                                                            <w:right w:val="none" w:sz="0" w:space="0" w:color="auto"/>
                                                          </w:divBdr>
                                                          <w:divsChild>
                                                            <w:div w:id="10261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3742">
                                                  <w:marLeft w:val="0"/>
                                                  <w:marRight w:val="0"/>
                                                  <w:marTop w:val="0"/>
                                                  <w:marBottom w:val="0"/>
                                                  <w:divBdr>
                                                    <w:top w:val="none" w:sz="0" w:space="0" w:color="auto"/>
                                                    <w:left w:val="none" w:sz="0" w:space="0" w:color="auto"/>
                                                    <w:bottom w:val="none" w:sz="0" w:space="0" w:color="auto"/>
                                                    <w:right w:val="none" w:sz="0" w:space="0" w:color="auto"/>
                                                  </w:divBdr>
                                                  <w:divsChild>
                                                    <w:div w:id="1726680836">
                                                      <w:marLeft w:val="0"/>
                                                      <w:marRight w:val="0"/>
                                                      <w:marTop w:val="0"/>
                                                      <w:marBottom w:val="0"/>
                                                      <w:divBdr>
                                                        <w:top w:val="none" w:sz="0" w:space="0" w:color="auto"/>
                                                        <w:left w:val="none" w:sz="0" w:space="0" w:color="auto"/>
                                                        <w:bottom w:val="none" w:sz="0" w:space="0" w:color="auto"/>
                                                        <w:right w:val="none" w:sz="0" w:space="0" w:color="auto"/>
                                                      </w:divBdr>
                                                      <w:divsChild>
                                                        <w:div w:id="1256403484">
                                                          <w:marLeft w:val="0"/>
                                                          <w:marRight w:val="0"/>
                                                          <w:marTop w:val="0"/>
                                                          <w:marBottom w:val="0"/>
                                                          <w:divBdr>
                                                            <w:top w:val="none" w:sz="0" w:space="0" w:color="auto"/>
                                                            <w:left w:val="none" w:sz="0" w:space="0" w:color="auto"/>
                                                            <w:bottom w:val="none" w:sz="0" w:space="0" w:color="auto"/>
                                                            <w:right w:val="none" w:sz="0" w:space="0" w:color="auto"/>
                                                          </w:divBdr>
                                                          <w:divsChild>
                                                            <w:div w:id="162989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7888">
                                                  <w:marLeft w:val="0"/>
                                                  <w:marRight w:val="0"/>
                                                  <w:marTop w:val="0"/>
                                                  <w:marBottom w:val="0"/>
                                                  <w:divBdr>
                                                    <w:top w:val="none" w:sz="0" w:space="0" w:color="auto"/>
                                                    <w:left w:val="none" w:sz="0" w:space="0" w:color="auto"/>
                                                    <w:bottom w:val="none" w:sz="0" w:space="0" w:color="auto"/>
                                                    <w:right w:val="none" w:sz="0" w:space="0" w:color="auto"/>
                                                  </w:divBdr>
                                                  <w:divsChild>
                                                    <w:div w:id="571158286">
                                                      <w:marLeft w:val="0"/>
                                                      <w:marRight w:val="0"/>
                                                      <w:marTop w:val="0"/>
                                                      <w:marBottom w:val="0"/>
                                                      <w:divBdr>
                                                        <w:top w:val="none" w:sz="0" w:space="0" w:color="auto"/>
                                                        <w:left w:val="none" w:sz="0" w:space="0" w:color="auto"/>
                                                        <w:bottom w:val="none" w:sz="0" w:space="0" w:color="auto"/>
                                                        <w:right w:val="none" w:sz="0" w:space="0" w:color="auto"/>
                                                      </w:divBdr>
                                                      <w:divsChild>
                                                        <w:div w:id="354380762">
                                                          <w:marLeft w:val="0"/>
                                                          <w:marRight w:val="0"/>
                                                          <w:marTop w:val="0"/>
                                                          <w:marBottom w:val="0"/>
                                                          <w:divBdr>
                                                            <w:top w:val="none" w:sz="0" w:space="0" w:color="auto"/>
                                                            <w:left w:val="none" w:sz="0" w:space="0" w:color="auto"/>
                                                            <w:bottom w:val="none" w:sz="0" w:space="0" w:color="auto"/>
                                                            <w:right w:val="none" w:sz="0" w:space="0" w:color="auto"/>
                                                          </w:divBdr>
                                                          <w:divsChild>
                                                            <w:div w:id="20058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89115">
                                              <w:marLeft w:val="0"/>
                                              <w:marRight w:val="0"/>
                                              <w:marTop w:val="0"/>
                                              <w:marBottom w:val="0"/>
                                              <w:divBdr>
                                                <w:top w:val="none" w:sz="0" w:space="0" w:color="auto"/>
                                                <w:left w:val="none" w:sz="0" w:space="0" w:color="auto"/>
                                                <w:bottom w:val="none" w:sz="0" w:space="0" w:color="auto"/>
                                                <w:right w:val="none" w:sz="0" w:space="0" w:color="auto"/>
                                              </w:divBdr>
                                              <w:divsChild>
                                                <w:div w:id="181170786">
                                                  <w:marLeft w:val="0"/>
                                                  <w:marRight w:val="0"/>
                                                  <w:marTop w:val="0"/>
                                                  <w:marBottom w:val="0"/>
                                                  <w:divBdr>
                                                    <w:top w:val="none" w:sz="0" w:space="0" w:color="auto"/>
                                                    <w:left w:val="none" w:sz="0" w:space="0" w:color="auto"/>
                                                    <w:bottom w:val="none" w:sz="0" w:space="0" w:color="auto"/>
                                                    <w:right w:val="none" w:sz="0" w:space="0" w:color="auto"/>
                                                  </w:divBdr>
                                                  <w:divsChild>
                                                    <w:div w:id="1182890383">
                                                      <w:marLeft w:val="0"/>
                                                      <w:marRight w:val="0"/>
                                                      <w:marTop w:val="0"/>
                                                      <w:marBottom w:val="0"/>
                                                      <w:divBdr>
                                                        <w:top w:val="none" w:sz="0" w:space="0" w:color="auto"/>
                                                        <w:left w:val="none" w:sz="0" w:space="0" w:color="auto"/>
                                                        <w:bottom w:val="none" w:sz="0" w:space="0" w:color="auto"/>
                                                        <w:right w:val="none" w:sz="0" w:space="0" w:color="auto"/>
                                                      </w:divBdr>
                                                      <w:divsChild>
                                                        <w:div w:id="1469859767">
                                                          <w:marLeft w:val="0"/>
                                                          <w:marRight w:val="0"/>
                                                          <w:marTop w:val="0"/>
                                                          <w:marBottom w:val="0"/>
                                                          <w:divBdr>
                                                            <w:top w:val="none" w:sz="0" w:space="0" w:color="auto"/>
                                                            <w:left w:val="none" w:sz="0" w:space="0" w:color="auto"/>
                                                            <w:bottom w:val="none" w:sz="0" w:space="0" w:color="auto"/>
                                                            <w:right w:val="none" w:sz="0" w:space="0" w:color="auto"/>
                                                          </w:divBdr>
                                                          <w:divsChild>
                                                            <w:div w:id="14389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25100">
                                                  <w:marLeft w:val="0"/>
                                                  <w:marRight w:val="0"/>
                                                  <w:marTop w:val="0"/>
                                                  <w:marBottom w:val="0"/>
                                                  <w:divBdr>
                                                    <w:top w:val="none" w:sz="0" w:space="0" w:color="auto"/>
                                                    <w:left w:val="none" w:sz="0" w:space="0" w:color="auto"/>
                                                    <w:bottom w:val="none" w:sz="0" w:space="0" w:color="auto"/>
                                                    <w:right w:val="none" w:sz="0" w:space="0" w:color="auto"/>
                                                  </w:divBdr>
                                                  <w:divsChild>
                                                    <w:div w:id="1049258632">
                                                      <w:marLeft w:val="0"/>
                                                      <w:marRight w:val="0"/>
                                                      <w:marTop w:val="0"/>
                                                      <w:marBottom w:val="0"/>
                                                      <w:divBdr>
                                                        <w:top w:val="none" w:sz="0" w:space="0" w:color="auto"/>
                                                        <w:left w:val="none" w:sz="0" w:space="0" w:color="auto"/>
                                                        <w:bottom w:val="none" w:sz="0" w:space="0" w:color="auto"/>
                                                        <w:right w:val="none" w:sz="0" w:space="0" w:color="auto"/>
                                                      </w:divBdr>
                                                      <w:divsChild>
                                                        <w:div w:id="1306349215">
                                                          <w:marLeft w:val="0"/>
                                                          <w:marRight w:val="0"/>
                                                          <w:marTop w:val="0"/>
                                                          <w:marBottom w:val="0"/>
                                                          <w:divBdr>
                                                            <w:top w:val="none" w:sz="0" w:space="0" w:color="auto"/>
                                                            <w:left w:val="none" w:sz="0" w:space="0" w:color="auto"/>
                                                            <w:bottom w:val="none" w:sz="0" w:space="0" w:color="auto"/>
                                                            <w:right w:val="none" w:sz="0" w:space="0" w:color="auto"/>
                                                          </w:divBdr>
                                                          <w:divsChild>
                                                            <w:div w:id="9106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3877">
                                                  <w:marLeft w:val="0"/>
                                                  <w:marRight w:val="0"/>
                                                  <w:marTop w:val="0"/>
                                                  <w:marBottom w:val="0"/>
                                                  <w:divBdr>
                                                    <w:top w:val="none" w:sz="0" w:space="0" w:color="auto"/>
                                                    <w:left w:val="none" w:sz="0" w:space="0" w:color="auto"/>
                                                    <w:bottom w:val="none" w:sz="0" w:space="0" w:color="auto"/>
                                                    <w:right w:val="none" w:sz="0" w:space="0" w:color="auto"/>
                                                  </w:divBdr>
                                                  <w:divsChild>
                                                    <w:div w:id="1007484943">
                                                      <w:marLeft w:val="0"/>
                                                      <w:marRight w:val="0"/>
                                                      <w:marTop w:val="0"/>
                                                      <w:marBottom w:val="0"/>
                                                      <w:divBdr>
                                                        <w:top w:val="none" w:sz="0" w:space="0" w:color="auto"/>
                                                        <w:left w:val="none" w:sz="0" w:space="0" w:color="auto"/>
                                                        <w:bottom w:val="none" w:sz="0" w:space="0" w:color="auto"/>
                                                        <w:right w:val="none" w:sz="0" w:space="0" w:color="auto"/>
                                                      </w:divBdr>
                                                      <w:divsChild>
                                                        <w:div w:id="1990750077">
                                                          <w:marLeft w:val="0"/>
                                                          <w:marRight w:val="0"/>
                                                          <w:marTop w:val="0"/>
                                                          <w:marBottom w:val="0"/>
                                                          <w:divBdr>
                                                            <w:top w:val="none" w:sz="0" w:space="0" w:color="auto"/>
                                                            <w:left w:val="none" w:sz="0" w:space="0" w:color="auto"/>
                                                            <w:bottom w:val="none" w:sz="0" w:space="0" w:color="auto"/>
                                                            <w:right w:val="none" w:sz="0" w:space="0" w:color="auto"/>
                                                          </w:divBdr>
                                                          <w:divsChild>
                                                            <w:div w:id="18938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062934">
                          <w:marLeft w:val="0"/>
                          <w:marRight w:val="0"/>
                          <w:marTop w:val="0"/>
                          <w:marBottom w:val="0"/>
                          <w:divBdr>
                            <w:top w:val="none" w:sz="0" w:space="0" w:color="auto"/>
                            <w:left w:val="none" w:sz="0" w:space="0" w:color="auto"/>
                            <w:bottom w:val="none" w:sz="0" w:space="0" w:color="auto"/>
                            <w:right w:val="none" w:sz="0" w:space="0" w:color="auto"/>
                          </w:divBdr>
                          <w:divsChild>
                            <w:div w:id="331840013">
                              <w:marLeft w:val="0"/>
                              <w:marRight w:val="0"/>
                              <w:marTop w:val="0"/>
                              <w:marBottom w:val="0"/>
                              <w:divBdr>
                                <w:top w:val="none" w:sz="0" w:space="0" w:color="auto"/>
                                <w:left w:val="none" w:sz="0" w:space="0" w:color="auto"/>
                                <w:bottom w:val="none" w:sz="0" w:space="0" w:color="auto"/>
                                <w:right w:val="none" w:sz="0" w:space="0" w:color="auto"/>
                              </w:divBdr>
                              <w:divsChild>
                                <w:div w:id="996108352">
                                  <w:marLeft w:val="0"/>
                                  <w:marRight w:val="0"/>
                                  <w:marTop w:val="0"/>
                                  <w:marBottom w:val="0"/>
                                  <w:divBdr>
                                    <w:top w:val="single" w:sz="6" w:space="1" w:color="CEC8C8"/>
                                    <w:left w:val="single" w:sz="6" w:space="0" w:color="CEC8C8"/>
                                    <w:bottom w:val="single" w:sz="6" w:space="1" w:color="CEC8C8"/>
                                    <w:right w:val="single" w:sz="6" w:space="0" w:color="CEC8C8"/>
                                  </w:divBdr>
                                  <w:divsChild>
                                    <w:div w:id="367341553">
                                      <w:marLeft w:val="0"/>
                                      <w:marRight w:val="0"/>
                                      <w:marTop w:val="0"/>
                                      <w:marBottom w:val="0"/>
                                      <w:divBdr>
                                        <w:top w:val="none" w:sz="0" w:space="0" w:color="auto"/>
                                        <w:left w:val="none" w:sz="0" w:space="0" w:color="auto"/>
                                        <w:bottom w:val="none" w:sz="0" w:space="0" w:color="auto"/>
                                        <w:right w:val="none" w:sz="0" w:space="0" w:color="auto"/>
                                      </w:divBdr>
                                    </w:div>
                                    <w:div w:id="1582333165">
                                      <w:marLeft w:val="0"/>
                                      <w:marRight w:val="0"/>
                                      <w:marTop w:val="0"/>
                                      <w:marBottom w:val="0"/>
                                      <w:divBdr>
                                        <w:top w:val="none" w:sz="0" w:space="0" w:color="auto"/>
                                        <w:left w:val="none" w:sz="0" w:space="0" w:color="auto"/>
                                        <w:bottom w:val="none" w:sz="0" w:space="0" w:color="auto"/>
                                        <w:right w:val="none" w:sz="0" w:space="0" w:color="auto"/>
                                      </w:divBdr>
                                      <w:divsChild>
                                        <w:div w:id="11522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631217">
                          <w:marLeft w:val="0"/>
                          <w:marRight w:val="0"/>
                          <w:marTop w:val="0"/>
                          <w:marBottom w:val="0"/>
                          <w:divBdr>
                            <w:top w:val="none" w:sz="0" w:space="0" w:color="auto"/>
                            <w:left w:val="none" w:sz="0" w:space="0" w:color="auto"/>
                            <w:bottom w:val="none" w:sz="0" w:space="0" w:color="auto"/>
                            <w:right w:val="none" w:sz="0" w:space="0" w:color="auto"/>
                          </w:divBdr>
                          <w:divsChild>
                            <w:div w:id="1479883240">
                              <w:marLeft w:val="-150"/>
                              <w:marRight w:val="150"/>
                              <w:marTop w:val="0"/>
                              <w:marBottom w:val="0"/>
                              <w:divBdr>
                                <w:top w:val="none" w:sz="0" w:space="0" w:color="auto"/>
                                <w:left w:val="none" w:sz="0" w:space="0" w:color="auto"/>
                                <w:bottom w:val="none" w:sz="0" w:space="0" w:color="auto"/>
                                <w:right w:val="none" w:sz="0" w:space="0" w:color="auto"/>
                              </w:divBdr>
                              <w:divsChild>
                                <w:div w:id="1488785768">
                                  <w:marLeft w:val="0"/>
                                  <w:marRight w:val="0"/>
                                  <w:marTop w:val="0"/>
                                  <w:marBottom w:val="0"/>
                                  <w:divBdr>
                                    <w:top w:val="none" w:sz="0" w:space="0" w:color="auto"/>
                                    <w:left w:val="none" w:sz="0" w:space="0" w:color="auto"/>
                                    <w:bottom w:val="none" w:sz="0" w:space="0" w:color="auto"/>
                                    <w:right w:val="none" w:sz="0" w:space="0" w:color="auto"/>
                                  </w:divBdr>
                                  <w:divsChild>
                                    <w:div w:id="2011715888">
                                      <w:marLeft w:val="0"/>
                                      <w:marRight w:val="-105"/>
                                      <w:marTop w:val="75"/>
                                      <w:marBottom w:val="0"/>
                                      <w:divBdr>
                                        <w:top w:val="none" w:sz="0" w:space="0" w:color="auto"/>
                                        <w:left w:val="none" w:sz="0" w:space="0" w:color="auto"/>
                                        <w:bottom w:val="none" w:sz="0" w:space="0" w:color="auto"/>
                                        <w:right w:val="none" w:sz="0" w:space="0" w:color="auto"/>
                                      </w:divBdr>
                                      <w:divsChild>
                                        <w:div w:id="219757135">
                                          <w:marLeft w:val="0"/>
                                          <w:marRight w:val="0"/>
                                          <w:marTop w:val="0"/>
                                          <w:marBottom w:val="0"/>
                                          <w:divBdr>
                                            <w:top w:val="single" w:sz="6" w:space="0" w:color="156DB7"/>
                                            <w:left w:val="none" w:sz="0" w:space="0" w:color="auto"/>
                                            <w:bottom w:val="none" w:sz="0" w:space="0" w:color="auto"/>
                                            <w:right w:val="none" w:sz="0" w:space="0" w:color="auto"/>
                                          </w:divBdr>
                                          <w:divsChild>
                                            <w:div w:id="128098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5575">
                                      <w:marLeft w:val="0"/>
                                      <w:marRight w:val="-105"/>
                                      <w:marTop w:val="75"/>
                                      <w:marBottom w:val="0"/>
                                      <w:divBdr>
                                        <w:top w:val="none" w:sz="0" w:space="0" w:color="auto"/>
                                        <w:left w:val="none" w:sz="0" w:space="0" w:color="auto"/>
                                        <w:bottom w:val="none" w:sz="0" w:space="0" w:color="auto"/>
                                        <w:right w:val="none" w:sz="0" w:space="0" w:color="auto"/>
                                      </w:divBdr>
                                      <w:divsChild>
                                        <w:div w:id="1070229877">
                                          <w:marLeft w:val="0"/>
                                          <w:marRight w:val="0"/>
                                          <w:marTop w:val="0"/>
                                          <w:marBottom w:val="0"/>
                                          <w:divBdr>
                                            <w:top w:val="single" w:sz="6" w:space="0" w:color="156DB7"/>
                                            <w:left w:val="none" w:sz="0" w:space="0" w:color="auto"/>
                                            <w:bottom w:val="none" w:sz="0" w:space="0" w:color="auto"/>
                                            <w:right w:val="none" w:sz="0" w:space="0" w:color="auto"/>
                                          </w:divBdr>
                                          <w:divsChild>
                                            <w:div w:id="64404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322">
                                  <w:marLeft w:val="0"/>
                                  <w:marRight w:val="0"/>
                                  <w:marTop w:val="0"/>
                                  <w:marBottom w:val="0"/>
                                  <w:divBdr>
                                    <w:top w:val="none" w:sz="0" w:space="0" w:color="auto"/>
                                    <w:left w:val="none" w:sz="0" w:space="0" w:color="auto"/>
                                    <w:bottom w:val="none" w:sz="0" w:space="0" w:color="auto"/>
                                    <w:right w:val="none" w:sz="0" w:space="0" w:color="auto"/>
                                  </w:divBdr>
                                  <w:divsChild>
                                    <w:div w:id="1483228564">
                                      <w:marLeft w:val="165"/>
                                      <w:marRight w:val="60"/>
                                      <w:marTop w:val="75"/>
                                      <w:marBottom w:val="0"/>
                                      <w:divBdr>
                                        <w:top w:val="none" w:sz="0" w:space="0" w:color="auto"/>
                                        <w:left w:val="none" w:sz="0" w:space="0" w:color="auto"/>
                                        <w:bottom w:val="none" w:sz="0" w:space="0" w:color="auto"/>
                                        <w:right w:val="none" w:sz="0" w:space="0" w:color="auto"/>
                                      </w:divBdr>
                                      <w:divsChild>
                                        <w:div w:id="1521820239">
                                          <w:marLeft w:val="0"/>
                                          <w:marRight w:val="0"/>
                                          <w:marTop w:val="0"/>
                                          <w:marBottom w:val="0"/>
                                          <w:divBdr>
                                            <w:top w:val="none" w:sz="0" w:space="0" w:color="auto"/>
                                            <w:left w:val="none" w:sz="0" w:space="0" w:color="auto"/>
                                            <w:bottom w:val="none" w:sz="0" w:space="0" w:color="auto"/>
                                            <w:right w:val="none" w:sz="0" w:space="0" w:color="auto"/>
                                          </w:divBdr>
                                        </w:div>
                                        <w:div w:id="1111172204">
                                          <w:marLeft w:val="0"/>
                                          <w:marRight w:val="0"/>
                                          <w:marTop w:val="0"/>
                                          <w:marBottom w:val="0"/>
                                          <w:divBdr>
                                            <w:top w:val="none" w:sz="0" w:space="0" w:color="auto"/>
                                            <w:left w:val="none" w:sz="0" w:space="0" w:color="auto"/>
                                            <w:bottom w:val="none" w:sz="0" w:space="0" w:color="auto"/>
                                            <w:right w:val="none" w:sz="0" w:space="0" w:color="auto"/>
                                          </w:divBdr>
                                        </w:div>
                                      </w:divsChild>
                                    </w:div>
                                    <w:div w:id="1534265824">
                                      <w:marLeft w:val="165"/>
                                      <w:marRight w:val="60"/>
                                      <w:marTop w:val="75"/>
                                      <w:marBottom w:val="0"/>
                                      <w:divBdr>
                                        <w:top w:val="none" w:sz="0" w:space="0" w:color="auto"/>
                                        <w:left w:val="none" w:sz="0" w:space="0" w:color="auto"/>
                                        <w:bottom w:val="none" w:sz="0" w:space="0" w:color="auto"/>
                                        <w:right w:val="none" w:sz="0" w:space="0" w:color="auto"/>
                                      </w:divBdr>
                                      <w:divsChild>
                                        <w:div w:id="1630671338">
                                          <w:marLeft w:val="0"/>
                                          <w:marRight w:val="0"/>
                                          <w:marTop w:val="0"/>
                                          <w:marBottom w:val="0"/>
                                          <w:divBdr>
                                            <w:top w:val="none" w:sz="0" w:space="0" w:color="auto"/>
                                            <w:left w:val="none" w:sz="0" w:space="0" w:color="auto"/>
                                            <w:bottom w:val="none" w:sz="0" w:space="0" w:color="auto"/>
                                            <w:right w:val="none" w:sz="0" w:space="0" w:color="auto"/>
                                          </w:divBdr>
                                        </w:div>
                                        <w:div w:id="1186402174">
                                          <w:marLeft w:val="0"/>
                                          <w:marRight w:val="0"/>
                                          <w:marTop w:val="0"/>
                                          <w:marBottom w:val="0"/>
                                          <w:divBdr>
                                            <w:top w:val="none" w:sz="0" w:space="0" w:color="auto"/>
                                            <w:left w:val="none" w:sz="0" w:space="0" w:color="auto"/>
                                            <w:bottom w:val="none" w:sz="0" w:space="0" w:color="auto"/>
                                            <w:right w:val="none" w:sz="0" w:space="0" w:color="auto"/>
                                          </w:divBdr>
                                        </w:div>
                                      </w:divsChild>
                                    </w:div>
                                    <w:div w:id="1980265243">
                                      <w:marLeft w:val="165"/>
                                      <w:marRight w:val="60"/>
                                      <w:marTop w:val="75"/>
                                      <w:marBottom w:val="0"/>
                                      <w:divBdr>
                                        <w:top w:val="none" w:sz="0" w:space="0" w:color="auto"/>
                                        <w:left w:val="none" w:sz="0" w:space="0" w:color="auto"/>
                                        <w:bottom w:val="none" w:sz="0" w:space="0" w:color="auto"/>
                                        <w:right w:val="none" w:sz="0" w:space="0" w:color="auto"/>
                                      </w:divBdr>
                                      <w:divsChild>
                                        <w:div w:id="1441298823">
                                          <w:marLeft w:val="0"/>
                                          <w:marRight w:val="0"/>
                                          <w:marTop w:val="0"/>
                                          <w:marBottom w:val="0"/>
                                          <w:divBdr>
                                            <w:top w:val="none" w:sz="0" w:space="0" w:color="auto"/>
                                            <w:left w:val="none" w:sz="0" w:space="0" w:color="auto"/>
                                            <w:bottom w:val="none" w:sz="0" w:space="0" w:color="auto"/>
                                            <w:right w:val="none" w:sz="0" w:space="0" w:color="auto"/>
                                          </w:divBdr>
                                        </w:div>
                                        <w:div w:id="18561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9379">
                          <w:marLeft w:val="0"/>
                          <w:marRight w:val="0"/>
                          <w:marTop w:val="0"/>
                          <w:marBottom w:val="0"/>
                          <w:divBdr>
                            <w:top w:val="none" w:sz="0" w:space="0" w:color="auto"/>
                            <w:left w:val="none" w:sz="0" w:space="0" w:color="auto"/>
                            <w:bottom w:val="none" w:sz="0" w:space="0" w:color="auto"/>
                            <w:right w:val="none" w:sz="0" w:space="0" w:color="auto"/>
                          </w:divBdr>
                          <w:divsChild>
                            <w:div w:id="1764453704">
                              <w:marLeft w:val="0"/>
                              <w:marRight w:val="0"/>
                              <w:marTop w:val="0"/>
                              <w:marBottom w:val="0"/>
                              <w:divBdr>
                                <w:top w:val="none" w:sz="0" w:space="0" w:color="auto"/>
                                <w:left w:val="none" w:sz="0" w:space="0" w:color="auto"/>
                                <w:bottom w:val="none" w:sz="0" w:space="0" w:color="auto"/>
                                <w:right w:val="none" w:sz="0" w:space="0" w:color="auto"/>
                              </w:divBdr>
                              <w:divsChild>
                                <w:div w:id="210308777">
                                  <w:marLeft w:val="0"/>
                                  <w:marRight w:val="0"/>
                                  <w:marTop w:val="0"/>
                                  <w:marBottom w:val="0"/>
                                  <w:divBdr>
                                    <w:top w:val="none" w:sz="0" w:space="0" w:color="auto"/>
                                    <w:left w:val="none" w:sz="0" w:space="0" w:color="auto"/>
                                    <w:bottom w:val="none" w:sz="0" w:space="0" w:color="auto"/>
                                    <w:right w:val="none" w:sz="0" w:space="0" w:color="auto"/>
                                  </w:divBdr>
                                  <w:divsChild>
                                    <w:div w:id="987396204">
                                      <w:marLeft w:val="0"/>
                                      <w:marRight w:val="0"/>
                                      <w:marTop w:val="0"/>
                                      <w:marBottom w:val="0"/>
                                      <w:divBdr>
                                        <w:top w:val="none" w:sz="0" w:space="0" w:color="auto"/>
                                        <w:left w:val="none" w:sz="0" w:space="0" w:color="auto"/>
                                        <w:bottom w:val="none" w:sz="0" w:space="0" w:color="auto"/>
                                        <w:right w:val="none" w:sz="0" w:space="0" w:color="auto"/>
                                      </w:divBdr>
                                      <w:divsChild>
                                        <w:div w:id="138419867">
                                          <w:marLeft w:val="0"/>
                                          <w:marRight w:val="0"/>
                                          <w:marTop w:val="0"/>
                                          <w:marBottom w:val="450"/>
                                          <w:divBdr>
                                            <w:top w:val="none" w:sz="0" w:space="0" w:color="auto"/>
                                            <w:left w:val="none" w:sz="0" w:space="0" w:color="auto"/>
                                            <w:bottom w:val="none" w:sz="0" w:space="0" w:color="auto"/>
                                            <w:right w:val="none" w:sz="0" w:space="0" w:color="auto"/>
                                          </w:divBdr>
                                          <w:divsChild>
                                            <w:div w:id="862865906">
                                              <w:marLeft w:val="0"/>
                                              <w:marRight w:val="0"/>
                                              <w:marTop w:val="0"/>
                                              <w:marBottom w:val="0"/>
                                              <w:divBdr>
                                                <w:top w:val="none" w:sz="0" w:space="0" w:color="auto"/>
                                                <w:left w:val="none" w:sz="0" w:space="0" w:color="auto"/>
                                                <w:bottom w:val="single" w:sz="6" w:space="0" w:color="D3D3D3"/>
                                                <w:right w:val="none" w:sz="0" w:space="0" w:color="auto"/>
                                              </w:divBdr>
                                              <w:divsChild>
                                                <w:div w:id="674261704">
                                                  <w:marLeft w:val="0"/>
                                                  <w:marRight w:val="600"/>
                                                  <w:marTop w:val="0"/>
                                                  <w:marBottom w:val="0"/>
                                                  <w:divBdr>
                                                    <w:top w:val="none" w:sz="0" w:space="0" w:color="auto"/>
                                                    <w:left w:val="none" w:sz="0" w:space="0" w:color="auto"/>
                                                    <w:bottom w:val="none" w:sz="0" w:space="0" w:color="auto"/>
                                                    <w:right w:val="none" w:sz="0" w:space="0" w:color="auto"/>
                                                  </w:divBdr>
                                                </w:div>
                                              </w:divsChild>
                                            </w:div>
                                            <w:div w:id="1540780996">
                                              <w:marLeft w:val="0"/>
                                              <w:marRight w:val="0"/>
                                              <w:marTop w:val="0"/>
                                              <w:marBottom w:val="0"/>
                                              <w:divBdr>
                                                <w:top w:val="none" w:sz="0" w:space="0" w:color="auto"/>
                                                <w:left w:val="none" w:sz="0" w:space="0" w:color="auto"/>
                                                <w:bottom w:val="none" w:sz="0" w:space="0" w:color="auto"/>
                                                <w:right w:val="none" w:sz="0" w:space="0" w:color="auto"/>
                                              </w:divBdr>
                                            </w:div>
                                            <w:div w:id="1265841944">
                                              <w:marLeft w:val="0"/>
                                              <w:marRight w:val="0"/>
                                              <w:marTop w:val="0"/>
                                              <w:marBottom w:val="0"/>
                                              <w:divBdr>
                                                <w:top w:val="none" w:sz="0" w:space="0" w:color="auto"/>
                                                <w:left w:val="none" w:sz="0" w:space="0" w:color="auto"/>
                                                <w:bottom w:val="none" w:sz="0" w:space="0" w:color="auto"/>
                                                <w:right w:val="none" w:sz="0" w:space="0" w:color="auto"/>
                                              </w:divBdr>
                                            </w:div>
                                            <w:div w:id="1550529269">
                                              <w:marLeft w:val="0"/>
                                              <w:marRight w:val="0"/>
                                              <w:marTop w:val="0"/>
                                              <w:marBottom w:val="0"/>
                                              <w:divBdr>
                                                <w:top w:val="none" w:sz="0" w:space="0" w:color="auto"/>
                                                <w:left w:val="none" w:sz="0" w:space="0" w:color="auto"/>
                                                <w:bottom w:val="none" w:sz="0" w:space="0" w:color="auto"/>
                                                <w:right w:val="none" w:sz="0" w:space="0" w:color="auto"/>
                                              </w:divBdr>
                                              <w:divsChild>
                                                <w:div w:id="10381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03735">
                                      <w:marLeft w:val="0"/>
                                      <w:marRight w:val="0"/>
                                      <w:marTop w:val="0"/>
                                      <w:marBottom w:val="0"/>
                                      <w:divBdr>
                                        <w:top w:val="none" w:sz="0" w:space="0" w:color="auto"/>
                                        <w:left w:val="none" w:sz="0" w:space="0" w:color="auto"/>
                                        <w:bottom w:val="none" w:sz="0" w:space="0" w:color="auto"/>
                                        <w:right w:val="none" w:sz="0" w:space="0" w:color="auto"/>
                                      </w:divBdr>
                                      <w:divsChild>
                                        <w:div w:id="119810069">
                                          <w:marLeft w:val="0"/>
                                          <w:marRight w:val="0"/>
                                          <w:marTop w:val="0"/>
                                          <w:marBottom w:val="450"/>
                                          <w:divBdr>
                                            <w:top w:val="none" w:sz="0" w:space="0" w:color="auto"/>
                                            <w:left w:val="none" w:sz="0" w:space="0" w:color="auto"/>
                                            <w:bottom w:val="none" w:sz="0" w:space="0" w:color="auto"/>
                                            <w:right w:val="none" w:sz="0" w:space="0" w:color="auto"/>
                                          </w:divBdr>
                                          <w:divsChild>
                                            <w:div w:id="896747158">
                                              <w:marLeft w:val="0"/>
                                              <w:marRight w:val="0"/>
                                              <w:marTop w:val="0"/>
                                              <w:marBottom w:val="0"/>
                                              <w:divBdr>
                                                <w:top w:val="none" w:sz="0" w:space="0" w:color="auto"/>
                                                <w:left w:val="none" w:sz="0" w:space="0" w:color="auto"/>
                                                <w:bottom w:val="single" w:sz="6" w:space="0" w:color="D3D3D3"/>
                                                <w:right w:val="none" w:sz="0" w:space="0" w:color="auto"/>
                                              </w:divBdr>
                                              <w:divsChild>
                                                <w:div w:id="1918906236">
                                                  <w:marLeft w:val="0"/>
                                                  <w:marRight w:val="600"/>
                                                  <w:marTop w:val="0"/>
                                                  <w:marBottom w:val="0"/>
                                                  <w:divBdr>
                                                    <w:top w:val="none" w:sz="0" w:space="0" w:color="auto"/>
                                                    <w:left w:val="none" w:sz="0" w:space="0" w:color="auto"/>
                                                    <w:bottom w:val="none" w:sz="0" w:space="0" w:color="auto"/>
                                                    <w:right w:val="none" w:sz="0" w:space="0" w:color="auto"/>
                                                  </w:divBdr>
                                                </w:div>
                                              </w:divsChild>
                                            </w:div>
                                            <w:div w:id="147482771">
                                              <w:marLeft w:val="0"/>
                                              <w:marRight w:val="0"/>
                                              <w:marTop w:val="0"/>
                                              <w:marBottom w:val="0"/>
                                              <w:divBdr>
                                                <w:top w:val="none" w:sz="0" w:space="0" w:color="auto"/>
                                                <w:left w:val="none" w:sz="0" w:space="0" w:color="auto"/>
                                                <w:bottom w:val="none" w:sz="0" w:space="0" w:color="auto"/>
                                                <w:right w:val="none" w:sz="0" w:space="0" w:color="auto"/>
                                              </w:divBdr>
                                            </w:div>
                                            <w:div w:id="1724870147">
                                              <w:marLeft w:val="0"/>
                                              <w:marRight w:val="0"/>
                                              <w:marTop w:val="0"/>
                                              <w:marBottom w:val="0"/>
                                              <w:divBdr>
                                                <w:top w:val="none" w:sz="0" w:space="0" w:color="auto"/>
                                                <w:left w:val="none" w:sz="0" w:space="0" w:color="auto"/>
                                                <w:bottom w:val="none" w:sz="0" w:space="0" w:color="auto"/>
                                                <w:right w:val="none" w:sz="0" w:space="0" w:color="auto"/>
                                              </w:divBdr>
                                            </w:div>
                                            <w:div w:id="1596741391">
                                              <w:marLeft w:val="0"/>
                                              <w:marRight w:val="0"/>
                                              <w:marTop w:val="0"/>
                                              <w:marBottom w:val="0"/>
                                              <w:divBdr>
                                                <w:top w:val="none" w:sz="0" w:space="0" w:color="auto"/>
                                                <w:left w:val="none" w:sz="0" w:space="0" w:color="auto"/>
                                                <w:bottom w:val="none" w:sz="0" w:space="0" w:color="auto"/>
                                                <w:right w:val="none" w:sz="0" w:space="0" w:color="auto"/>
                                              </w:divBdr>
                                              <w:divsChild>
                                                <w:div w:id="45417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33026">
                                      <w:marLeft w:val="0"/>
                                      <w:marRight w:val="0"/>
                                      <w:marTop w:val="0"/>
                                      <w:marBottom w:val="0"/>
                                      <w:divBdr>
                                        <w:top w:val="none" w:sz="0" w:space="0" w:color="auto"/>
                                        <w:left w:val="none" w:sz="0" w:space="0" w:color="auto"/>
                                        <w:bottom w:val="none" w:sz="0" w:space="0" w:color="auto"/>
                                        <w:right w:val="none" w:sz="0" w:space="0" w:color="auto"/>
                                      </w:divBdr>
                                      <w:divsChild>
                                        <w:div w:id="27922611">
                                          <w:marLeft w:val="0"/>
                                          <w:marRight w:val="0"/>
                                          <w:marTop w:val="0"/>
                                          <w:marBottom w:val="450"/>
                                          <w:divBdr>
                                            <w:top w:val="none" w:sz="0" w:space="0" w:color="auto"/>
                                            <w:left w:val="none" w:sz="0" w:space="0" w:color="auto"/>
                                            <w:bottom w:val="none" w:sz="0" w:space="0" w:color="auto"/>
                                            <w:right w:val="none" w:sz="0" w:space="0" w:color="auto"/>
                                          </w:divBdr>
                                          <w:divsChild>
                                            <w:div w:id="1093672603">
                                              <w:marLeft w:val="0"/>
                                              <w:marRight w:val="0"/>
                                              <w:marTop w:val="0"/>
                                              <w:marBottom w:val="0"/>
                                              <w:divBdr>
                                                <w:top w:val="none" w:sz="0" w:space="0" w:color="auto"/>
                                                <w:left w:val="none" w:sz="0" w:space="0" w:color="auto"/>
                                                <w:bottom w:val="single" w:sz="6" w:space="0" w:color="D3D3D3"/>
                                                <w:right w:val="none" w:sz="0" w:space="0" w:color="auto"/>
                                              </w:divBdr>
                                              <w:divsChild>
                                                <w:div w:id="1984968649">
                                                  <w:marLeft w:val="0"/>
                                                  <w:marRight w:val="600"/>
                                                  <w:marTop w:val="0"/>
                                                  <w:marBottom w:val="0"/>
                                                  <w:divBdr>
                                                    <w:top w:val="none" w:sz="0" w:space="0" w:color="auto"/>
                                                    <w:left w:val="none" w:sz="0" w:space="0" w:color="auto"/>
                                                    <w:bottom w:val="none" w:sz="0" w:space="0" w:color="auto"/>
                                                    <w:right w:val="none" w:sz="0" w:space="0" w:color="auto"/>
                                                  </w:divBdr>
                                                </w:div>
                                              </w:divsChild>
                                            </w:div>
                                            <w:div w:id="632709286">
                                              <w:marLeft w:val="0"/>
                                              <w:marRight w:val="0"/>
                                              <w:marTop w:val="0"/>
                                              <w:marBottom w:val="0"/>
                                              <w:divBdr>
                                                <w:top w:val="none" w:sz="0" w:space="0" w:color="auto"/>
                                                <w:left w:val="none" w:sz="0" w:space="0" w:color="auto"/>
                                                <w:bottom w:val="none" w:sz="0" w:space="0" w:color="auto"/>
                                                <w:right w:val="none" w:sz="0" w:space="0" w:color="auto"/>
                                              </w:divBdr>
                                            </w:div>
                                            <w:div w:id="1807698135">
                                              <w:marLeft w:val="0"/>
                                              <w:marRight w:val="0"/>
                                              <w:marTop w:val="0"/>
                                              <w:marBottom w:val="0"/>
                                              <w:divBdr>
                                                <w:top w:val="none" w:sz="0" w:space="0" w:color="auto"/>
                                                <w:left w:val="none" w:sz="0" w:space="0" w:color="auto"/>
                                                <w:bottom w:val="none" w:sz="0" w:space="0" w:color="auto"/>
                                                <w:right w:val="none" w:sz="0" w:space="0" w:color="auto"/>
                                              </w:divBdr>
                                            </w:div>
                                            <w:div w:id="74908465">
                                              <w:marLeft w:val="0"/>
                                              <w:marRight w:val="0"/>
                                              <w:marTop w:val="0"/>
                                              <w:marBottom w:val="0"/>
                                              <w:divBdr>
                                                <w:top w:val="none" w:sz="0" w:space="0" w:color="auto"/>
                                                <w:left w:val="none" w:sz="0" w:space="0" w:color="auto"/>
                                                <w:bottom w:val="none" w:sz="0" w:space="0" w:color="auto"/>
                                                <w:right w:val="none" w:sz="0" w:space="0" w:color="auto"/>
                                              </w:divBdr>
                                              <w:divsChild>
                                                <w:div w:id="20364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74034">
                                      <w:marLeft w:val="0"/>
                                      <w:marRight w:val="0"/>
                                      <w:marTop w:val="0"/>
                                      <w:marBottom w:val="0"/>
                                      <w:divBdr>
                                        <w:top w:val="none" w:sz="0" w:space="0" w:color="auto"/>
                                        <w:left w:val="none" w:sz="0" w:space="0" w:color="auto"/>
                                        <w:bottom w:val="none" w:sz="0" w:space="0" w:color="auto"/>
                                        <w:right w:val="none" w:sz="0" w:space="0" w:color="auto"/>
                                      </w:divBdr>
                                      <w:divsChild>
                                        <w:div w:id="2077512479">
                                          <w:marLeft w:val="0"/>
                                          <w:marRight w:val="0"/>
                                          <w:marTop w:val="0"/>
                                          <w:marBottom w:val="450"/>
                                          <w:divBdr>
                                            <w:top w:val="none" w:sz="0" w:space="0" w:color="auto"/>
                                            <w:left w:val="none" w:sz="0" w:space="0" w:color="auto"/>
                                            <w:bottom w:val="none" w:sz="0" w:space="0" w:color="auto"/>
                                            <w:right w:val="none" w:sz="0" w:space="0" w:color="auto"/>
                                          </w:divBdr>
                                          <w:divsChild>
                                            <w:div w:id="804010018">
                                              <w:marLeft w:val="0"/>
                                              <w:marRight w:val="0"/>
                                              <w:marTop w:val="0"/>
                                              <w:marBottom w:val="0"/>
                                              <w:divBdr>
                                                <w:top w:val="none" w:sz="0" w:space="0" w:color="auto"/>
                                                <w:left w:val="none" w:sz="0" w:space="0" w:color="auto"/>
                                                <w:bottom w:val="single" w:sz="6" w:space="0" w:color="D3D3D3"/>
                                                <w:right w:val="none" w:sz="0" w:space="0" w:color="auto"/>
                                              </w:divBdr>
                                              <w:divsChild>
                                                <w:div w:id="1947804008">
                                                  <w:marLeft w:val="0"/>
                                                  <w:marRight w:val="600"/>
                                                  <w:marTop w:val="0"/>
                                                  <w:marBottom w:val="0"/>
                                                  <w:divBdr>
                                                    <w:top w:val="none" w:sz="0" w:space="0" w:color="auto"/>
                                                    <w:left w:val="none" w:sz="0" w:space="0" w:color="auto"/>
                                                    <w:bottom w:val="none" w:sz="0" w:space="0" w:color="auto"/>
                                                    <w:right w:val="none" w:sz="0" w:space="0" w:color="auto"/>
                                                  </w:divBdr>
                                                </w:div>
                                              </w:divsChild>
                                            </w:div>
                                            <w:div w:id="4787220">
                                              <w:marLeft w:val="0"/>
                                              <w:marRight w:val="0"/>
                                              <w:marTop w:val="0"/>
                                              <w:marBottom w:val="0"/>
                                              <w:divBdr>
                                                <w:top w:val="none" w:sz="0" w:space="0" w:color="auto"/>
                                                <w:left w:val="none" w:sz="0" w:space="0" w:color="auto"/>
                                                <w:bottom w:val="none" w:sz="0" w:space="0" w:color="auto"/>
                                                <w:right w:val="none" w:sz="0" w:space="0" w:color="auto"/>
                                              </w:divBdr>
                                            </w:div>
                                            <w:div w:id="1999571494">
                                              <w:marLeft w:val="0"/>
                                              <w:marRight w:val="0"/>
                                              <w:marTop w:val="0"/>
                                              <w:marBottom w:val="0"/>
                                              <w:divBdr>
                                                <w:top w:val="none" w:sz="0" w:space="0" w:color="auto"/>
                                                <w:left w:val="none" w:sz="0" w:space="0" w:color="auto"/>
                                                <w:bottom w:val="none" w:sz="0" w:space="0" w:color="auto"/>
                                                <w:right w:val="none" w:sz="0" w:space="0" w:color="auto"/>
                                              </w:divBdr>
                                            </w:div>
                                            <w:div w:id="866410659">
                                              <w:marLeft w:val="0"/>
                                              <w:marRight w:val="0"/>
                                              <w:marTop w:val="0"/>
                                              <w:marBottom w:val="0"/>
                                              <w:divBdr>
                                                <w:top w:val="none" w:sz="0" w:space="0" w:color="auto"/>
                                                <w:left w:val="none" w:sz="0" w:space="0" w:color="auto"/>
                                                <w:bottom w:val="none" w:sz="0" w:space="0" w:color="auto"/>
                                                <w:right w:val="none" w:sz="0" w:space="0" w:color="auto"/>
                                              </w:divBdr>
                                              <w:divsChild>
                                                <w:div w:id="163613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431233">
                                      <w:marLeft w:val="0"/>
                                      <w:marRight w:val="0"/>
                                      <w:marTop w:val="0"/>
                                      <w:marBottom w:val="0"/>
                                      <w:divBdr>
                                        <w:top w:val="none" w:sz="0" w:space="0" w:color="auto"/>
                                        <w:left w:val="none" w:sz="0" w:space="0" w:color="auto"/>
                                        <w:bottom w:val="none" w:sz="0" w:space="0" w:color="auto"/>
                                        <w:right w:val="none" w:sz="0" w:space="0" w:color="auto"/>
                                      </w:divBdr>
                                      <w:divsChild>
                                        <w:div w:id="2031686506">
                                          <w:marLeft w:val="0"/>
                                          <w:marRight w:val="0"/>
                                          <w:marTop w:val="0"/>
                                          <w:marBottom w:val="450"/>
                                          <w:divBdr>
                                            <w:top w:val="none" w:sz="0" w:space="0" w:color="auto"/>
                                            <w:left w:val="none" w:sz="0" w:space="0" w:color="auto"/>
                                            <w:bottom w:val="none" w:sz="0" w:space="0" w:color="auto"/>
                                            <w:right w:val="none" w:sz="0" w:space="0" w:color="auto"/>
                                          </w:divBdr>
                                          <w:divsChild>
                                            <w:div w:id="135225028">
                                              <w:marLeft w:val="0"/>
                                              <w:marRight w:val="0"/>
                                              <w:marTop w:val="0"/>
                                              <w:marBottom w:val="0"/>
                                              <w:divBdr>
                                                <w:top w:val="none" w:sz="0" w:space="0" w:color="auto"/>
                                                <w:left w:val="none" w:sz="0" w:space="0" w:color="auto"/>
                                                <w:bottom w:val="single" w:sz="6" w:space="0" w:color="D3D3D3"/>
                                                <w:right w:val="none" w:sz="0" w:space="0" w:color="auto"/>
                                              </w:divBdr>
                                              <w:divsChild>
                                                <w:div w:id="1265262152">
                                                  <w:marLeft w:val="0"/>
                                                  <w:marRight w:val="600"/>
                                                  <w:marTop w:val="0"/>
                                                  <w:marBottom w:val="0"/>
                                                  <w:divBdr>
                                                    <w:top w:val="none" w:sz="0" w:space="0" w:color="auto"/>
                                                    <w:left w:val="none" w:sz="0" w:space="0" w:color="auto"/>
                                                    <w:bottom w:val="none" w:sz="0" w:space="0" w:color="auto"/>
                                                    <w:right w:val="none" w:sz="0" w:space="0" w:color="auto"/>
                                                  </w:divBdr>
                                                </w:div>
                                              </w:divsChild>
                                            </w:div>
                                            <w:div w:id="939096433">
                                              <w:marLeft w:val="0"/>
                                              <w:marRight w:val="0"/>
                                              <w:marTop w:val="0"/>
                                              <w:marBottom w:val="0"/>
                                              <w:divBdr>
                                                <w:top w:val="none" w:sz="0" w:space="0" w:color="auto"/>
                                                <w:left w:val="none" w:sz="0" w:space="0" w:color="auto"/>
                                                <w:bottom w:val="none" w:sz="0" w:space="0" w:color="auto"/>
                                                <w:right w:val="none" w:sz="0" w:space="0" w:color="auto"/>
                                              </w:divBdr>
                                            </w:div>
                                            <w:div w:id="237449465">
                                              <w:marLeft w:val="0"/>
                                              <w:marRight w:val="0"/>
                                              <w:marTop w:val="0"/>
                                              <w:marBottom w:val="0"/>
                                              <w:divBdr>
                                                <w:top w:val="none" w:sz="0" w:space="0" w:color="auto"/>
                                                <w:left w:val="none" w:sz="0" w:space="0" w:color="auto"/>
                                                <w:bottom w:val="none" w:sz="0" w:space="0" w:color="auto"/>
                                                <w:right w:val="none" w:sz="0" w:space="0" w:color="auto"/>
                                              </w:divBdr>
                                            </w:div>
                                            <w:div w:id="272173390">
                                              <w:marLeft w:val="0"/>
                                              <w:marRight w:val="0"/>
                                              <w:marTop w:val="0"/>
                                              <w:marBottom w:val="0"/>
                                              <w:divBdr>
                                                <w:top w:val="none" w:sz="0" w:space="0" w:color="auto"/>
                                                <w:left w:val="none" w:sz="0" w:space="0" w:color="auto"/>
                                                <w:bottom w:val="none" w:sz="0" w:space="0" w:color="auto"/>
                                                <w:right w:val="none" w:sz="0" w:space="0" w:color="auto"/>
                                              </w:divBdr>
                                              <w:divsChild>
                                                <w:div w:id="16574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8851">
                                      <w:marLeft w:val="0"/>
                                      <w:marRight w:val="0"/>
                                      <w:marTop w:val="0"/>
                                      <w:marBottom w:val="0"/>
                                      <w:divBdr>
                                        <w:top w:val="none" w:sz="0" w:space="0" w:color="auto"/>
                                        <w:left w:val="none" w:sz="0" w:space="0" w:color="auto"/>
                                        <w:bottom w:val="none" w:sz="0" w:space="0" w:color="auto"/>
                                        <w:right w:val="none" w:sz="0" w:space="0" w:color="auto"/>
                                      </w:divBdr>
                                      <w:divsChild>
                                        <w:div w:id="1087650700">
                                          <w:marLeft w:val="0"/>
                                          <w:marRight w:val="0"/>
                                          <w:marTop w:val="0"/>
                                          <w:marBottom w:val="450"/>
                                          <w:divBdr>
                                            <w:top w:val="none" w:sz="0" w:space="0" w:color="auto"/>
                                            <w:left w:val="none" w:sz="0" w:space="0" w:color="auto"/>
                                            <w:bottom w:val="none" w:sz="0" w:space="0" w:color="auto"/>
                                            <w:right w:val="none" w:sz="0" w:space="0" w:color="auto"/>
                                          </w:divBdr>
                                          <w:divsChild>
                                            <w:div w:id="1804075470">
                                              <w:marLeft w:val="0"/>
                                              <w:marRight w:val="0"/>
                                              <w:marTop w:val="0"/>
                                              <w:marBottom w:val="0"/>
                                              <w:divBdr>
                                                <w:top w:val="none" w:sz="0" w:space="0" w:color="auto"/>
                                                <w:left w:val="none" w:sz="0" w:space="0" w:color="auto"/>
                                                <w:bottom w:val="single" w:sz="6" w:space="0" w:color="D3D3D3"/>
                                                <w:right w:val="none" w:sz="0" w:space="0" w:color="auto"/>
                                              </w:divBdr>
                                              <w:divsChild>
                                                <w:div w:id="1112096602">
                                                  <w:marLeft w:val="0"/>
                                                  <w:marRight w:val="600"/>
                                                  <w:marTop w:val="0"/>
                                                  <w:marBottom w:val="0"/>
                                                  <w:divBdr>
                                                    <w:top w:val="none" w:sz="0" w:space="0" w:color="auto"/>
                                                    <w:left w:val="none" w:sz="0" w:space="0" w:color="auto"/>
                                                    <w:bottom w:val="none" w:sz="0" w:space="0" w:color="auto"/>
                                                    <w:right w:val="none" w:sz="0" w:space="0" w:color="auto"/>
                                                  </w:divBdr>
                                                </w:div>
                                              </w:divsChild>
                                            </w:div>
                                            <w:div w:id="1064718642">
                                              <w:marLeft w:val="0"/>
                                              <w:marRight w:val="0"/>
                                              <w:marTop w:val="0"/>
                                              <w:marBottom w:val="0"/>
                                              <w:divBdr>
                                                <w:top w:val="none" w:sz="0" w:space="0" w:color="auto"/>
                                                <w:left w:val="none" w:sz="0" w:space="0" w:color="auto"/>
                                                <w:bottom w:val="none" w:sz="0" w:space="0" w:color="auto"/>
                                                <w:right w:val="none" w:sz="0" w:space="0" w:color="auto"/>
                                              </w:divBdr>
                                            </w:div>
                                            <w:div w:id="280965672">
                                              <w:marLeft w:val="0"/>
                                              <w:marRight w:val="0"/>
                                              <w:marTop w:val="0"/>
                                              <w:marBottom w:val="0"/>
                                              <w:divBdr>
                                                <w:top w:val="none" w:sz="0" w:space="0" w:color="auto"/>
                                                <w:left w:val="none" w:sz="0" w:space="0" w:color="auto"/>
                                                <w:bottom w:val="none" w:sz="0" w:space="0" w:color="auto"/>
                                                <w:right w:val="none" w:sz="0" w:space="0" w:color="auto"/>
                                              </w:divBdr>
                                            </w:div>
                                            <w:div w:id="828643021">
                                              <w:marLeft w:val="0"/>
                                              <w:marRight w:val="0"/>
                                              <w:marTop w:val="0"/>
                                              <w:marBottom w:val="0"/>
                                              <w:divBdr>
                                                <w:top w:val="none" w:sz="0" w:space="0" w:color="auto"/>
                                                <w:left w:val="none" w:sz="0" w:space="0" w:color="auto"/>
                                                <w:bottom w:val="none" w:sz="0" w:space="0" w:color="auto"/>
                                                <w:right w:val="none" w:sz="0" w:space="0" w:color="auto"/>
                                              </w:divBdr>
                                              <w:divsChild>
                                                <w:div w:id="7589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121">
                                      <w:marLeft w:val="0"/>
                                      <w:marRight w:val="0"/>
                                      <w:marTop w:val="0"/>
                                      <w:marBottom w:val="0"/>
                                      <w:divBdr>
                                        <w:top w:val="none" w:sz="0" w:space="0" w:color="auto"/>
                                        <w:left w:val="none" w:sz="0" w:space="0" w:color="auto"/>
                                        <w:bottom w:val="none" w:sz="0" w:space="0" w:color="auto"/>
                                        <w:right w:val="none" w:sz="0" w:space="0" w:color="auto"/>
                                      </w:divBdr>
                                      <w:divsChild>
                                        <w:div w:id="1110777438">
                                          <w:marLeft w:val="0"/>
                                          <w:marRight w:val="0"/>
                                          <w:marTop w:val="0"/>
                                          <w:marBottom w:val="450"/>
                                          <w:divBdr>
                                            <w:top w:val="none" w:sz="0" w:space="0" w:color="auto"/>
                                            <w:left w:val="none" w:sz="0" w:space="0" w:color="auto"/>
                                            <w:bottom w:val="none" w:sz="0" w:space="0" w:color="auto"/>
                                            <w:right w:val="none" w:sz="0" w:space="0" w:color="auto"/>
                                          </w:divBdr>
                                          <w:divsChild>
                                            <w:div w:id="146481231">
                                              <w:marLeft w:val="0"/>
                                              <w:marRight w:val="0"/>
                                              <w:marTop w:val="0"/>
                                              <w:marBottom w:val="0"/>
                                              <w:divBdr>
                                                <w:top w:val="none" w:sz="0" w:space="0" w:color="auto"/>
                                                <w:left w:val="none" w:sz="0" w:space="0" w:color="auto"/>
                                                <w:bottom w:val="single" w:sz="6" w:space="0" w:color="D3D3D3"/>
                                                <w:right w:val="none" w:sz="0" w:space="0" w:color="auto"/>
                                              </w:divBdr>
                                              <w:divsChild>
                                                <w:div w:id="1842038569">
                                                  <w:marLeft w:val="0"/>
                                                  <w:marRight w:val="600"/>
                                                  <w:marTop w:val="0"/>
                                                  <w:marBottom w:val="0"/>
                                                  <w:divBdr>
                                                    <w:top w:val="none" w:sz="0" w:space="0" w:color="auto"/>
                                                    <w:left w:val="none" w:sz="0" w:space="0" w:color="auto"/>
                                                    <w:bottom w:val="none" w:sz="0" w:space="0" w:color="auto"/>
                                                    <w:right w:val="none" w:sz="0" w:space="0" w:color="auto"/>
                                                  </w:divBdr>
                                                </w:div>
                                              </w:divsChild>
                                            </w:div>
                                            <w:div w:id="2093118364">
                                              <w:marLeft w:val="0"/>
                                              <w:marRight w:val="0"/>
                                              <w:marTop w:val="0"/>
                                              <w:marBottom w:val="0"/>
                                              <w:divBdr>
                                                <w:top w:val="none" w:sz="0" w:space="0" w:color="auto"/>
                                                <w:left w:val="none" w:sz="0" w:space="0" w:color="auto"/>
                                                <w:bottom w:val="none" w:sz="0" w:space="0" w:color="auto"/>
                                                <w:right w:val="none" w:sz="0" w:space="0" w:color="auto"/>
                                              </w:divBdr>
                                            </w:div>
                                            <w:div w:id="1440182211">
                                              <w:marLeft w:val="0"/>
                                              <w:marRight w:val="0"/>
                                              <w:marTop w:val="0"/>
                                              <w:marBottom w:val="0"/>
                                              <w:divBdr>
                                                <w:top w:val="none" w:sz="0" w:space="0" w:color="auto"/>
                                                <w:left w:val="none" w:sz="0" w:space="0" w:color="auto"/>
                                                <w:bottom w:val="none" w:sz="0" w:space="0" w:color="auto"/>
                                                <w:right w:val="none" w:sz="0" w:space="0" w:color="auto"/>
                                              </w:divBdr>
                                            </w:div>
                                            <w:div w:id="761729487">
                                              <w:marLeft w:val="0"/>
                                              <w:marRight w:val="0"/>
                                              <w:marTop w:val="0"/>
                                              <w:marBottom w:val="0"/>
                                              <w:divBdr>
                                                <w:top w:val="none" w:sz="0" w:space="0" w:color="auto"/>
                                                <w:left w:val="none" w:sz="0" w:space="0" w:color="auto"/>
                                                <w:bottom w:val="none" w:sz="0" w:space="0" w:color="auto"/>
                                                <w:right w:val="none" w:sz="0" w:space="0" w:color="auto"/>
                                              </w:divBdr>
                                              <w:divsChild>
                                                <w:div w:id="9165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33783">
                                      <w:marLeft w:val="0"/>
                                      <w:marRight w:val="0"/>
                                      <w:marTop w:val="0"/>
                                      <w:marBottom w:val="0"/>
                                      <w:divBdr>
                                        <w:top w:val="none" w:sz="0" w:space="0" w:color="auto"/>
                                        <w:left w:val="none" w:sz="0" w:space="0" w:color="auto"/>
                                        <w:bottom w:val="none" w:sz="0" w:space="0" w:color="auto"/>
                                        <w:right w:val="none" w:sz="0" w:space="0" w:color="auto"/>
                                      </w:divBdr>
                                      <w:divsChild>
                                        <w:div w:id="1980527771">
                                          <w:marLeft w:val="0"/>
                                          <w:marRight w:val="0"/>
                                          <w:marTop w:val="0"/>
                                          <w:marBottom w:val="450"/>
                                          <w:divBdr>
                                            <w:top w:val="none" w:sz="0" w:space="0" w:color="auto"/>
                                            <w:left w:val="none" w:sz="0" w:space="0" w:color="auto"/>
                                            <w:bottom w:val="none" w:sz="0" w:space="0" w:color="auto"/>
                                            <w:right w:val="none" w:sz="0" w:space="0" w:color="auto"/>
                                          </w:divBdr>
                                          <w:divsChild>
                                            <w:div w:id="1957711780">
                                              <w:marLeft w:val="0"/>
                                              <w:marRight w:val="0"/>
                                              <w:marTop w:val="0"/>
                                              <w:marBottom w:val="0"/>
                                              <w:divBdr>
                                                <w:top w:val="none" w:sz="0" w:space="0" w:color="auto"/>
                                                <w:left w:val="none" w:sz="0" w:space="0" w:color="auto"/>
                                                <w:bottom w:val="single" w:sz="6" w:space="0" w:color="D3D3D3"/>
                                                <w:right w:val="none" w:sz="0" w:space="0" w:color="auto"/>
                                              </w:divBdr>
                                              <w:divsChild>
                                                <w:div w:id="98571111">
                                                  <w:marLeft w:val="0"/>
                                                  <w:marRight w:val="600"/>
                                                  <w:marTop w:val="0"/>
                                                  <w:marBottom w:val="0"/>
                                                  <w:divBdr>
                                                    <w:top w:val="none" w:sz="0" w:space="0" w:color="auto"/>
                                                    <w:left w:val="none" w:sz="0" w:space="0" w:color="auto"/>
                                                    <w:bottom w:val="none" w:sz="0" w:space="0" w:color="auto"/>
                                                    <w:right w:val="none" w:sz="0" w:space="0" w:color="auto"/>
                                                  </w:divBdr>
                                                </w:div>
                                              </w:divsChild>
                                            </w:div>
                                            <w:div w:id="1688632729">
                                              <w:marLeft w:val="0"/>
                                              <w:marRight w:val="0"/>
                                              <w:marTop w:val="0"/>
                                              <w:marBottom w:val="0"/>
                                              <w:divBdr>
                                                <w:top w:val="none" w:sz="0" w:space="0" w:color="auto"/>
                                                <w:left w:val="none" w:sz="0" w:space="0" w:color="auto"/>
                                                <w:bottom w:val="none" w:sz="0" w:space="0" w:color="auto"/>
                                                <w:right w:val="none" w:sz="0" w:space="0" w:color="auto"/>
                                              </w:divBdr>
                                            </w:div>
                                            <w:div w:id="298195143">
                                              <w:marLeft w:val="0"/>
                                              <w:marRight w:val="0"/>
                                              <w:marTop w:val="0"/>
                                              <w:marBottom w:val="0"/>
                                              <w:divBdr>
                                                <w:top w:val="none" w:sz="0" w:space="0" w:color="auto"/>
                                                <w:left w:val="none" w:sz="0" w:space="0" w:color="auto"/>
                                                <w:bottom w:val="none" w:sz="0" w:space="0" w:color="auto"/>
                                                <w:right w:val="none" w:sz="0" w:space="0" w:color="auto"/>
                                              </w:divBdr>
                                            </w:div>
                                            <w:div w:id="250045557">
                                              <w:marLeft w:val="0"/>
                                              <w:marRight w:val="0"/>
                                              <w:marTop w:val="0"/>
                                              <w:marBottom w:val="0"/>
                                              <w:divBdr>
                                                <w:top w:val="none" w:sz="0" w:space="0" w:color="auto"/>
                                                <w:left w:val="none" w:sz="0" w:space="0" w:color="auto"/>
                                                <w:bottom w:val="none" w:sz="0" w:space="0" w:color="auto"/>
                                                <w:right w:val="none" w:sz="0" w:space="0" w:color="auto"/>
                                              </w:divBdr>
                                              <w:divsChild>
                                                <w:div w:id="445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8504">
                                      <w:marLeft w:val="0"/>
                                      <w:marRight w:val="0"/>
                                      <w:marTop w:val="0"/>
                                      <w:marBottom w:val="0"/>
                                      <w:divBdr>
                                        <w:top w:val="none" w:sz="0" w:space="0" w:color="auto"/>
                                        <w:left w:val="none" w:sz="0" w:space="0" w:color="auto"/>
                                        <w:bottom w:val="none" w:sz="0" w:space="0" w:color="auto"/>
                                        <w:right w:val="none" w:sz="0" w:space="0" w:color="auto"/>
                                      </w:divBdr>
                                      <w:divsChild>
                                        <w:div w:id="44380057">
                                          <w:marLeft w:val="0"/>
                                          <w:marRight w:val="0"/>
                                          <w:marTop w:val="0"/>
                                          <w:marBottom w:val="450"/>
                                          <w:divBdr>
                                            <w:top w:val="none" w:sz="0" w:space="0" w:color="auto"/>
                                            <w:left w:val="none" w:sz="0" w:space="0" w:color="auto"/>
                                            <w:bottom w:val="none" w:sz="0" w:space="0" w:color="auto"/>
                                            <w:right w:val="none" w:sz="0" w:space="0" w:color="auto"/>
                                          </w:divBdr>
                                          <w:divsChild>
                                            <w:div w:id="2057503285">
                                              <w:marLeft w:val="0"/>
                                              <w:marRight w:val="0"/>
                                              <w:marTop w:val="0"/>
                                              <w:marBottom w:val="0"/>
                                              <w:divBdr>
                                                <w:top w:val="none" w:sz="0" w:space="0" w:color="auto"/>
                                                <w:left w:val="none" w:sz="0" w:space="0" w:color="auto"/>
                                                <w:bottom w:val="single" w:sz="6" w:space="0" w:color="D3D3D3"/>
                                                <w:right w:val="none" w:sz="0" w:space="0" w:color="auto"/>
                                              </w:divBdr>
                                              <w:divsChild>
                                                <w:div w:id="1419254288">
                                                  <w:marLeft w:val="0"/>
                                                  <w:marRight w:val="600"/>
                                                  <w:marTop w:val="0"/>
                                                  <w:marBottom w:val="0"/>
                                                  <w:divBdr>
                                                    <w:top w:val="none" w:sz="0" w:space="0" w:color="auto"/>
                                                    <w:left w:val="none" w:sz="0" w:space="0" w:color="auto"/>
                                                    <w:bottom w:val="none" w:sz="0" w:space="0" w:color="auto"/>
                                                    <w:right w:val="none" w:sz="0" w:space="0" w:color="auto"/>
                                                  </w:divBdr>
                                                </w:div>
                                              </w:divsChild>
                                            </w:div>
                                            <w:div w:id="832139806">
                                              <w:marLeft w:val="0"/>
                                              <w:marRight w:val="0"/>
                                              <w:marTop w:val="0"/>
                                              <w:marBottom w:val="0"/>
                                              <w:divBdr>
                                                <w:top w:val="none" w:sz="0" w:space="0" w:color="auto"/>
                                                <w:left w:val="none" w:sz="0" w:space="0" w:color="auto"/>
                                                <w:bottom w:val="none" w:sz="0" w:space="0" w:color="auto"/>
                                                <w:right w:val="none" w:sz="0" w:space="0" w:color="auto"/>
                                              </w:divBdr>
                                            </w:div>
                                            <w:div w:id="601959831">
                                              <w:marLeft w:val="0"/>
                                              <w:marRight w:val="0"/>
                                              <w:marTop w:val="0"/>
                                              <w:marBottom w:val="0"/>
                                              <w:divBdr>
                                                <w:top w:val="none" w:sz="0" w:space="0" w:color="auto"/>
                                                <w:left w:val="none" w:sz="0" w:space="0" w:color="auto"/>
                                                <w:bottom w:val="none" w:sz="0" w:space="0" w:color="auto"/>
                                                <w:right w:val="none" w:sz="0" w:space="0" w:color="auto"/>
                                              </w:divBdr>
                                            </w:div>
                                            <w:div w:id="1552040137">
                                              <w:marLeft w:val="0"/>
                                              <w:marRight w:val="0"/>
                                              <w:marTop w:val="0"/>
                                              <w:marBottom w:val="0"/>
                                              <w:divBdr>
                                                <w:top w:val="none" w:sz="0" w:space="0" w:color="auto"/>
                                                <w:left w:val="none" w:sz="0" w:space="0" w:color="auto"/>
                                                <w:bottom w:val="none" w:sz="0" w:space="0" w:color="auto"/>
                                                <w:right w:val="none" w:sz="0" w:space="0" w:color="auto"/>
                                              </w:divBdr>
                                              <w:divsChild>
                                                <w:div w:id="4096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47866">
                                      <w:marLeft w:val="0"/>
                                      <w:marRight w:val="0"/>
                                      <w:marTop w:val="0"/>
                                      <w:marBottom w:val="0"/>
                                      <w:divBdr>
                                        <w:top w:val="none" w:sz="0" w:space="0" w:color="auto"/>
                                        <w:left w:val="none" w:sz="0" w:space="0" w:color="auto"/>
                                        <w:bottom w:val="none" w:sz="0" w:space="0" w:color="auto"/>
                                        <w:right w:val="none" w:sz="0" w:space="0" w:color="auto"/>
                                      </w:divBdr>
                                      <w:divsChild>
                                        <w:div w:id="2001231122">
                                          <w:marLeft w:val="0"/>
                                          <w:marRight w:val="0"/>
                                          <w:marTop w:val="0"/>
                                          <w:marBottom w:val="450"/>
                                          <w:divBdr>
                                            <w:top w:val="none" w:sz="0" w:space="0" w:color="auto"/>
                                            <w:left w:val="none" w:sz="0" w:space="0" w:color="auto"/>
                                            <w:bottom w:val="none" w:sz="0" w:space="0" w:color="auto"/>
                                            <w:right w:val="none" w:sz="0" w:space="0" w:color="auto"/>
                                          </w:divBdr>
                                          <w:divsChild>
                                            <w:div w:id="498346659">
                                              <w:marLeft w:val="0"/>
                                              <w:marRight w:val="0"/>
                                              <w:marTop w:val="0"/>
                                              <w:marBottom w:val="0"/>
                                              <w:divBdr>
                                                <w:top w:val="none" w:sz="0" w:space="0" w:color="auto"/>
                                                <w:left w:val="none" w:sz="0" w:space="0" w:color="auto"/>
                                                <w:bottom w:val="single" w:sz="6" w:space="0" w:color="D3D3D3"/>
                                                <w:right w:val="none" w:sz="0" w:space="0" w:color="auto"/>
                                              </w:divBdr>
                                              <w:divsChild>
                                                <w:div w:id="765660769">
                                                  <w:marLeft w:val="0"/>
                                                  <w:marRight w:val="600"/>
                                                  <w:marTop w:val="0"/>
                                                  <w:marBottom w:val="0"/>
                                                  <w:divBdr>
                                                    <w:top w:val="none" w:sz="0" w:space="0" w:color="auto"/>
                                                    <w:left w:val="none" w:sz="0" w:space="0" w:color="auto"/>
                                                    <w:bottom w:val="none" w:sz="0" w:space="0" w:color="auto"/>
                                                    <w:right w:val="none" w:sz="0" w:space="0" w:color="auto"/>
                                                  </w:divBdr>
                                                </w:div>
                                              </w:divsChild>
                                            </w:div>
                                            <w:div w:id="909999585">
                                              <w:marLeft w:val="0"/>
                                              <w:marRight w:val="0"/>
                                              <w:marTop w:val="0"/>
                                              <w:marBottom w:val="0"/>
                                              <w:divBdr>
                                                <w:top w:val="none" w:sz="0" w:space="0" w:color="auto"/>
                                                <w:left w:val="none" w:sz="0" w:space="0" w:color="auto"/>
                                                <w:bottom w:val="none" w:sz="0" w:space="0" w:color="auto"/>
                                                <w:right w:val="none" w:sz="0" w:space="0" w:color="auto"/>
                                              </w:divBdr>
                                            </w:div>
                                            <w:div w:id="1450976332">
                                              <w:marLeft w:val="0"/>
                                              <w:marRight w:val="0"/>
                                              <w:marTop w:val="0"/>
                                              <w:marBottom w:val="0"/>
                                              <w:divBdr>
                                                <w:top w:val="none" w:sz="0" w:space="0" w:color="auto"/>
                                                <w:left w:val="none" w:sz="0" w:space="0" w:color="auto"/>
                                                <w:bottom w:val="none" w:sz="0" w:space="0" w:color="auto"/>
                                                <w:right w:val="none" w:sz="0" w:space="0" w:color="auto"/>
                                              </w:divBdr>
                                            </w:div>
                                            <w:div w:id="736899155">
                                              <w:marLeft w:val="0"/>
                                              <w:marRight w:val="0"/>
                                              <w:marTop w:val="0"/>
                                              <w:marBottom w:val="0"/>
                                              <w:divBdr>
                                                <w:top w:val="none" w:sz="0" w:space="0" w:color="auto"/>
                                                <w:left w:val="none" w:sz="0" w:space="0" w:color="auto"/>
                                                <w:bottom w:val="none" w:sz="0" w:space="0" w:color="auto"/>
                                                <w:right w:val="none" w:sz="0" w:space="0" w:color="auto"/>
                                              </w:divBdr>
                                              <w:divsChild>
                                                <w:div w:id="21524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73994">
                                      <w:marLeft w:val="0"/>
                                      <w:marRight w:val="0"/>
                                      <w:marTop w:val="0"/>
                                      <w:marBottom w:val="0"/>
                                      <w:divBdr>
                                        <w:top w:val="none" w:sz="0" w:space="0" w:color="auto"/>
                                        <w:left w:val="none" w:sz="0" w:space="0" w:color="auto"/>
                                        <w:bottom w:val="none" w:sz="0" w:space="0" w:color="auto"/>
                                        <w:right w:val="none" w:sz="0" w:space="0" w:color="auto"/>
                                      </w:divBdr>
                                      <w:divsChild>
                                        <w:div w:id="1881277798">
                                          <w:marLeft w:val="0"/>
                                          <w:marRight w:val="0"/>
                                          <w:marTop w:val="0"/>
                                          <w:marBottom w:val="450"/>
                                          <w:divBdr>
                                            <w:top w:val="none" w:sz="0" w:space="0" w:color="auto"/>
                                            <w:left w:val="none" w:sz="0" w:space="0" w:color="auto"/>
                                            <w:bottom w:val="none" w:sz="0" w:space="0" w:color="auto"/>
                                            <w:right w:val="none" w:sz="0" w:space="0" w:color="auto"/>
                                          </w:divBdr>
                                          <w:divsChild>
                                            <w:div w:id="848640870">
                                              <w:marLeft w:val="0"/>
                                              <w:marRight w:val="0"/>
                                              <w:marTop w:val="0"/>
                                              <w:marBottom w:val="0"/>
                                              <w:divBdr>
                                                <w:top w:val="none" w:sz="0" w:space="0" w:color="auto"/>
                                                <w:left w:val="none" w:sz="0" w:space="0" w:color="auto"/>
                                                <w:bottom w:val="single" w:sz="6" w:space="0" w:color="D3D3D3"/>
                                                <w:right w:val="none" w:sz="0" w:space="0" w:color="auto"/>
                                              </w:divBdr>
                                              <w:divsChild>
                                                <w:div w:id="1091050125">
                                                  <w:marLeft w:val="0"/>
                                                  <w:marRight w:val="600"/>
                                                  <w:marTop w:val="0"/>
                                                  <w:marBottom w:val="0"/>
                                                  <w:divBdr>
                                                    <w:top w:val="none" w:sz="0" w:space="0" w:color="auto"/>
                                                    <w:left w:val="none" w:sz="0" w:space="0" w:color="auto"/>
                                                    <w:bottom w:val="none" w:sz="0" w:space="0" w:color="auto"/>
                                                    <w:right w:val="none" w:sz="0" w:space="0" w:color="auto"/>
                                                  </w:divBdr>
                                                </w:div>
                                              </w:divsChild>
                                            </w:div>
                                            <w:div w:id="1346320786">
                                              <w:marLeft w:val="0"/>
                                              <w:marRight w:val="0"/>
                                              <w:marTop w:val="0"/>
                                              <w:marBottom w:val="0"/>
                                              <w:divBdr>
                                                <w:top w:val="none" w:sz="0" w:space="0" w:color="auto"/>
                                                <w:left w:val="none" w:sz="0" w:space="0" w:color="auto"/>
                                                <w:bottom w:val="none" w:sz="0" w:space="0" w:color="auto"/>
                                                <w:right w:val="none" w:sz="0" w:space="0" w:color="auto"/>
                                              </w:divBdr>
                                            </w:div>
                                            <w:div w:id="877158150">
                                              <w:marLeft w:val="0"/>
                                              <w:marRight w:val="0"/>
                                              <w:marTop w:val="0"/>
                                              <w:marBottom w:val="0"/>
                                              <w:divBdr>
                                                <w:top w:val="none" w:sz="0" w:space="0" w:color="auto"/>
                                                <w:left w:val="none" w:sz="0" w:space="0" w:color="auto"/>
                                                <w:bottom w:val="none" w:sz="0" w:space="0" w:color="auto"/>
                                                <w:right w:val="none" w:sz="0" w:space="0" w:color="auto"/>
                                              </w:divBdr>
                                            </w:div>
                                            <w:div w:id="1905992582">
                                              <w:marLeft w:val="0"/>
                                              <w:marRight w:val="0"/>
                                              <w:marTop w:val="0"/>
                                              <w:marBottom w:val="0"/>
                                              <w:divBdr>
                                                <w:top w:val="none" w:sz="0" w:space="0" w:color="auto"/>
                                                <w:left w:val="none" w:sz="0" w:space="0" w:color="auto"/>
                                                <w:bottom w:val="none" w:sz="0" w:space="0" w:color="auto"/>
                                                <w:right w:val="none" w:sz="0" w:space="0" w:color="auto"/>
                                              </w:divBdr>
                                              <w:divsChild>
                                                <w:div w:id="46871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56834">
                                      <w:marLeft w:val="0"/>
                                      <w:marRight w:val="0"/>
                                      <w:marTop w:val="0"/>
                                      <w:marBottom w:val="0"/>
                                      <w:divBdr>
                                        <w:top w:val="none" w:sz="0" w:space="0" w:color="auto"/>
                                        <w:left w:val="none" w:sz="0" w:space="0" w:color="auto"/>
                                        <w:bottom w:val="none" w:sz="0" w:space="0" w:color="auto"/>
                                        <w:right w:val="none" w:sz="0" w:space="0" w:color="auto"/>
                                      </w:divBdr>
                                      <w:divsChild>
                                        <w:div w:id="1764259956">
                                          <w:marLeft w:val="0"/>
                                          <w:marRight w:val="0"/>
                                          <w:marTop w:val="0"/>
                                          <w:marBottom w:val="450"/>
                                          <w:divBdr>
                                            <w:top w:val="none" w:sz="0" w:space="0" w:color="auto"/>
                                            <w:left w:val="none" w:sz="0" w:space="0" w:color="auto"/>
                                            <w:bottom w:val="none" w:sz="0" w:space="0" w:color="auto"/>
                                            <w:right w:val="none" w:sz="0" w:space="0" w:color="auto"/>
                                          </w:divBdr>
                                          <w:divsChild>
                                            <w:div w:id="803616131">
                                              <w:marLeft w:val="0"/>
                                              <w:marRight w:val="0"/>
                                              <w:marTop w:val="0"/>
                                              <w:marBottom w:val="0"/>
                                              <w:divBdr>
                                                <w:top w:val="none" w:sz="0" w:space="0" w:color="auto"/>
                                                <w:left w:val="none" w:sz="0" w:space="0" w:color="auto"/>
                                                <w:bottom w:val="single" w:sz="6" w:space="0" w:color="D3D3D3"/>
                                                <w:right w:val="none" w:sz="0" w:space="0" w:color="auto"/>
                                              </w:divBdr>
                                              <w:divsChild>
                                                <w:div w:id="1992295742">
                                                  <w:marLeft w:val="0"/>
                                                  <w:marRight w:val="600"/>
                                                  <w:marTop w:val="0"/>
                                                  <w:marBottom w:val="0"/>
                                                  <w:divBdr>
                                                    <w:top w:val="none" w:sz="0" w:space="0" w:color="auto"/>
                                                    <w:left w:val="none" w:sz="0" w:space="0" w:color="auto"/>
                                                    <w:bottom w:val="none" w:sz="0" w:space="0" w:color="auto"/>
                                                    <w:right w:val="none" w:sz="0" w:space="0" w:color="auto"/>
                                                  </w:divBdr>
                                                </w:div>
                                              </w:divsChild>
                                            </w:div>
                                            <w:div w:id="39744933">
                                              <w:marLeft w:val="0"/>
                                              <w:marRight w:val="0"/>
                                              <w:marTop w:val="0"/>
                                              <w:marBottom w:val="0"/>
                                              <w:divBdr>
                                                <w:top w:val="none" w:sz="0" w:space="0" w:color="auto"/>
                                                <w:left w:val="none" w:sz="0" w:space="0" w:color="auto"/>
                                                <w:bottom w:val="none" w:sz="0" w:space="0" w:color="auto"/>
                                                <w:right w:val="none" w:sz="0" w:space="0" w:color="auto"/>
                                              </w:divBdr>
                                            </w:div>
                                            <w:div w:id="1403140633">
                                              <w:marLeft w:val="0"/>
                                              <w:marRight w:val="0"/>
                                              <w:marTop w:val="0"/>
                                              <w:marBottom w:val="0"/>
                                              <w:divBdr>
                                                <w:top w:val="none" w:sz="0" w:space="0" w:color="auto"/>
                                                <w:left w:val="none" w:sz="0" w:space="0" w:color="auto"/>
                                                <w:bottom w:val="none" w:sz="0" w:space="0" w:color="auto"/>
                                                <w:right w:val="none" w:sz="0" w:space="0" w:color="auto"/>
                                              </w:divBdr>
                                            </w:div>
                                            <w:div w:id="1988826103">
                                              <w:marLeft w:val="0"/>
                                              <w:marRight w:val="0"/>
                                              <w:marTop w:val="0"/>
                                              <w:marBottom w:val="0"/>
                                              <w:divBdr>
                                                <w:top w:val="none" w:sz="0" w:space="0" w:color="auto"/>
                                                <w:left w:val="none" w:sz="0" w:space="0" w:color="auto"/>
                                                <w:bottom w:val="none" w:sz="0" w:space="0" w:color="auto"/>
                                                <w:right w:val="none" w:sz="0" w:space="0" w:color="auto"/>
                                              </w:divBdr>
                                              <w:divsChild>
                                                <w:div w:id="18080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89289">
                                      <w:marLeft w:val="0"/>
                                      <w:marRight w:val="0"/>
                                      <w:marTop w:val="0"/>
                                      <w:marBottom w:val="0"/>
                                      <w:divBdr>
                                        <w:top w:val="none" w:sz="0" w:space="0" w:color="auto"/>
                                        <w:left w:val="none" w:sz="0" w:space="0" w:color="auto"/>
                                        <w:bottom w:val="none" w:sz="0" w:space="0" w:color="auto"/>
                                        <w:right w:val="none" w:sz="0" w:space="0" w:color="auto"/>
                                      </w:divBdr>
                                      <w:divsChild>
                                        <w:div w:id="547255714">
                                          <w:marLeft w:val="0"/>
                                          <w:marRight w:val="0"/>
                                          <w:marTop w:val="0"/>
                                          <w:marBottom w:val="450"/>
                                          <w:divBdr>
                                            <w:top w:val="none" w:sz="0" w:space="0" w:color="auto"/>
                                            <w:left w:val="none" w:sz="0" w:space="0" w:color="auto"/>
                                            <w:bottom w:val="none" w:sz="0" w:space="0" w:color="auto"/>
                                            <w:right w:val="none" w:sz="0" w:space="0" w:color="auto"/>
                                          </w:divBdr>
                                          <w:divsChild>
                                            <w:div w:id="1468662410">
                                              <w:marLeft w:val="0"/>
                                              <w:marRight w:val="0"/>
                                              <w:marTop w:val="0"/>
                                              <w:marBottom w:val="0"/>
                                              <w:divBdr>
                                                <w:top w:val="none" w:sz="0" w:space="0" w:color="auto"/>
                                                <w:left w:val="none" w:sz="0" w:space="0" w:color="auto"/>
                                                <w:bottom w:val="single" w:sz="6" w:space="0" w:color="D3D3D3"/>
                                                <w:right w:val="none" w:sz="0" w:space="0" w:color="auto"/>
                                              </w:divBdr>
                                              <w:divsChild>
                                                <w:div w:id="306858949">
                                                  <w:marLeft w:val="0"/>
                                                  <w:marRight w:val="600"/>
                                                  <w:marTop w:val="0"/>
                                                  <w:marBottom w:val="0"/>
                                                  <w:divBdr>
                                                    <w:top w:val="none" w:sz="0" w:space="0" w:color="auto"/>
                                                    <w:left w:val="none" w:sz="0" w:space="0" w:color="auto"/>
                                                    <w:bottom w:val="none" w:sz="0" w:space="0" w:color="auto"/>
                                                    <w:right w:val="none" w:sz="0" w:space="0" w:color="auto"/>
                                                  </w:divBdr>
                                                </w:div>
                                              </w:divsChild>
                                            </w:div>
                                            <w:div w:id="1705667443">
                                              <w:marLeft w:val="0"/>
                                              <w:marRight w:val="0"/>
                                              <w:marTop w:val="0"/>
                                              <w:marBottom w:val="0"/>
                                              <w:divBdr>
                                                <w:top w:val="none" w:sz="0" w:space="0" w:color="auto"/>
                                                <w:left w:val="none" w:sz="0" w:space="0" w:color="auto"/>
                                                <w:bottom w:val="none" w:sz="0" w:space="0" w:color="auto"/>
                                                <w:right w:val="none" w:sz="0" w:space="0" w:color="auto"/>
                                              </w:divBdr>
                                            </w:div>
                                            <w:div w:id="1315529503">
                                              <w:marLeft w:val="0"/>
                                              <w:marRight w:val="0"/>
                                              <w:marTop w:val="0"/>
                                              <w:marBottom w:val="0"/>
                                              <w:divBdr>
                                                <w:top w:val="none" w:sz="0" w:space="0" w:color="auto"/>
                                                <w:left w:val="none" w:sz="0" w:space="0" w:color="auto"/>
                                                <w:bottom w:val="none" w:sz="0" w:space="0" w:color="auto"/>
                                                <w:right w:val="none" w:sz="0" w:space="0" w:color="auto"/>
                                              </w:divBdr>
                                            </w:div>
                                            <w:div w:id="1666014215">
                                              <w:marLeft w:val="0"/>
                                              <w:marRight w:val="0"/>
                                              <w:marTop w:val="0"/>
                                              <w:marBottom w:val="0"/>
                                              <w:divBdr>
                                                <w:top w:val="none" w:sz="0" w:space="0" w:color="auto"/>
                                                <w:left w:val="none" w:sz="0" w:space="0" w:color="auto"/>
                                                <w:bottom w:val="none" w:sz="0" w:space="0" w:color="auto"/>
                                                <w:right w:val="none" w:sz="0" w:space="0" w:color="auto"/>
                                              </w:divBdr>
                                              <w:divsChild>
                                                <w:div w:id="10878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7422">
                                      <w:marLeft w:val="0"/>
                                      <w:marRight w:val="0"/>
                                      <w:marTop w:val="0"/>
                                      <w:marBottom w:val="0"/>
                                      <w:divBdr>
                                        <w:top w:val="none" w:sz="0" w:space="0" w:color="auto"/>
                                        <w:left w:val="none" w:sz="0" w:space="0" w:color="auto"/>
                                        <w:bottom w:val="none" w:sz="0" w:space="0" w:color="auto"/>
                                        <w:right w:val="none" w:sz="0" w:space="0" w:color="auto"/>
                                      </w:divBdr>
                                      <w:divsChild>
                                        <w:div w:id="1525095493">
                                          <w:marLeft w:val="0"/>
                                          <w:marRight w:val="0"/>
                                          <w:marTop w:val="0"/>
                                          <w:marBottom w:val="450"/>
                                          <w:divBdr>
                                            <w:top w:val="none" w:sz="0" w:space="0" w:color="auto"/>
                                            <w:left w:val="none" w:sz="0" w:space="0" w:color="auto"/>
                                            <w:bottom w:val="none" w:sz="0" w:space="0" w:color="auto"/>
                                            <w:right w:val="none" w:sz="0" w:space="0" w:color="auto"/>
                                          </w:divBdr>
                                          <w:divsChild>
                                            <w:div w:id="1909152343">
                                              <w:marLeft w:val="0"/>
                                              <w:marRight w:val="0"/>
                                              <w:marTop w:val="0"/>
                                              <w:marBottom w:val="0"/>
                                              <w:divBdr>
                                                <w:top w:val="none" w:sz="0" w:space="0" w:color="auto"/>
                                                <w:left w:val="none" w:sz="0" w:space="0" w:color="auto"/>
                                                <w:bottom w:val="single" w:sz="6" w:space="0" w:color="D3D3D3"/>
                                                <w:right w:val="none" w:sz="0" w:space="0" w:color="auto"/>
                                              </w:divBdr>
                                              <w:divsChild>
                                                <w:div w:id="213471764">
                                                  <w:marLeft w:val="0"/>
                                                  <w:marRight w:val="600"/>
                                                  <w:marTop w:val="0"/>
                                                  <w:marBottom w:val="0"/>
                                                  <w:divBdr>
                                                    <w:top w:val="none" w:sz="0" w:space="0" w:color="auto"/>
                                                    <w:left w:val="none" w:sz="0" w:space="0" w:color="auto"/>
                                                    <w:bottom w:val="none" w:sz="0" w:space="0" w:color="auto"/>
                                                    <w:right w:val="none" w:sz="0" w:space="0" w:color="auto"/>
                                                  </w:divBdr>
                                                </w:div>
                                              </w:divsChild>
                                            </w:div>
                                            <w:div w:id="1376737063">
                                              <w:marLeft w:val="0"/>
                                              <w:marRight w:val="0"/>
                                              <w:marTop w:val="0"/>
                                              <w:marBottom w:val="0"/>
                                              <w:divBdr>
                                                <w:top w:val="none" w:sz="0" w:space="0" w:color="auto"/>
                                                <w:left w:val="none" w:sz="0" w:space="0" w:color="auto"/>
                                                <w:bottom w:val="none" w:sz="0" w:space="0" w:color="auto"/>
                                                <w:right w:val="none" w:sz="0" w:space="0" w:color="auto"/>
                                              </w:divBdr>
                                            </w:div>
                                            <w:div w:id="612058185">
                                              <w:marLeft w:val="0"/>
                                              <w:marRight w:val="0"/>
                                              <w:marTop w:val="0"/>
                                              <w:marBottom w:val="0"/>
                                              <w:divBdr>
                                                <w:top w:val="none" w:sz="0" w:space="0" w:color="auto"/>
                                                <w:left w:val="none" w:sz="0" w:space="0" w:color="auto"/>
                                                <w:bottom w:val="none" w:sz="0" w:space="0" w:color="auto"/>
                                                <w:right w:val="none" w:sz="0" w:space="0" w:color="auto"/>
                                              </w:divBdr>
                                            </w:div>
                                            <w:div w:id="185289178">
                                              <w:marLeft w:val="0"/>
                                              <w:marRight w:val="0"/>
                                              <w:marTop w:val="0"/>
                                              <w:marBottom w:val="0"/>
                                              <w:divBdr>
                                                <w:top w:val="none" w:sz="0" w:space="0" w:color="auto"/>
                                                <w:left w:val="none" w:sz="0" w:space="0" w:color="auto"/>
                                                <w:bottom w:val="none" w:sz="0" w:space="0" w:color="auto"/>
                                                <w:right w:val="none" w:sz="0" w:space="0" w:color="auto"/>
                                              </w:divBdr>
                                              <w:divsChild>
                                                <w:div w:id="10221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830660">
                                      <w:marLeft w:val="0"/>
                                      <w:marRight w:val="0"/>
                                      <w:marTop w:val="0"/>
                                      <w:marBottom w:val="0"/>
                                      <w:divBdr>
                                        <w:top w:val="none" w:sz="0" w:space="0" w:color="auto"/>
                                        <w:left w:val="none" w:sz="0" w:space="0" w:color="auto"/>
                                        <w:bottom w:val="none" w:sz="0" w:space="0" w:color="auto"/>
                                        <w:right w:val="none" w:sz="0" w:space="0" w:color="auto"/>
                                      </w:divBdr>
                                      <w:divsChild>
                                        <w:div w:id="1119496649">
                                          <w:marLeft w:val="0"/>
                                          <w:marRight w:val="0"/>
                                          <w:marTop w:val="0"/>
                                          <w:marBottom w:val="450"/>
                                          <w:divBdr>
                                            <w:top w:val="none" w:sz="0" w:space="0" w:color="auto"/>
                                            <w:left w:val="none" w:sz="0" w:space="0" w:color="auto"/>
                                            <w:bottom w:val="none" w:sz="0" w:space="0" w:color="auto"/>
                                            <w:right w:val="none" w:sz="0" w:space="0" w:color="auto"/>
                                          </w:divBdr>
                                          <w:divsChild>
                                            <w:div w:id="124781397">
                                              <w:marLeft w:val="0"/>
                                              <w:marRight w:val="0"/>
                                              <w:marTop w:val="0"/>
                                              <w:marBottom w:val="0"/>
                                              <w:divBdr>
                                                <w:top w:val="none" w:sz="0" w:space="0" w:color="auto"/>
                                                <w:left w:val="none" w:sz="0" w:space="0" w:color="auto"/>
                                                <w:bottom w:val="single" w:sz="6" w:space="0" w:color="D3D3D3"/>
                                                <w:right w:val="none" w:sz="0" w:space="0" w:color="auto"/>
                                              </w:divBdr>
                                              <w:divsChild>
                                                <w:div w:id="710035514">
                                                  <w:marLeft w:val="0"/>
                                                  <w:marRight w:val="600"/>
                                                  <w:marTop w:val="0"/>
                                                  <w:marBottom w:val="0"/>
                                                  <w:divBdr>
                                                    <w:top w:val="none" w:sz="0" w:space="0" w:color="auto"/>
                                                    <w:left w:val="none" w:sz="0" w:space="0" w:color="auto"/>
                                                    <w:bottom w:val="none" w:sz="0" w:space="0" w:color="auto"/>
                                                    <w:right w:val="none" w:sz="0" w:space="0" w:color="auto"/>
                                                  </w:divBdr>
                                                </w:div>
                                              </w:divsChild>
                                            </w:div>
                                            <w:div w:id="1629048148">
                                              <w:marLeft w:val="0"/>
                                              <w:marRight w:val="0"/>
                                              <w:marTop w:val="0"/>
                                              <w:marBottom w:val="0"/>
                                              <w:divBdr>
                                                <w:top w:val="none" w:sz="0" w:space="0" w:color="auto"/>
                                                <w:left w:val="none" w:sz="0" w:space="0" w:color="auto"/>
                                                <w:bottom w:val="none" w:sz="0" w:space="0" w:color="auto"/>
                                                <w:right w:val="none" w:sz="0" w:space="0" w:color="auto"/>
                                              </w:divBdr>
                                            </w:div>
                                            <w:div w:id="504327633">
                                              <w:marLeft w:val="0"/>
                                              <w:marRight w:val="0"/>
                                              <w:marTop w:val="0"/>
                                              <w:marBottom w:val="0"/>
                                              <w:divBdr>
                                                <w:top w:val="none" w:sz="0" w:space="0" w:color="auto"/>
                                                <w:left w:val="none" w:sz="0" w:space="0" w:color="auto"/>
                                                <w:bottom w:val="none" w:sz="0" w:space="0" w:color="auto"/>
                                                <w:right w:val="none" w:sz="0" w:space="0" w:color="auto"/>
                                              </w:divBdr>
                                            </w:div>
                                            <w:div w:id="692458359">
                                              <w:marLeft w:val="0"/>
                                              <w:marRight w:val="0"/>
                                              <w:marTop w:val="0"/>
                                              <w:marBottom w:val="0"/>
                                              <w:divBdr>
                                                <w:top w:val="none" w:sz="0" w:space="0" w:color="auto"/>
                                                <w:left w:val="none" w:sz="0" w:space="0" w:color="auto"/>
                                                <w:bottom w:val="none" w:sz="0" w:space="0" w:color="auto"/>
                                                <w:right w:val="none" w:sz="0" w:space="0" w:color="auto"/>
                                              </w:divBdr>
                                              <w:divsChild>
                                                <w:div w:id="3165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3162">
                                      <w:marLeft w:val="0"/>
                                      <w:marRight w:val="0"/>
                                      <w:marTop w:val="0"/>
                                      <w:marBottom w:val="0"/>
                                      <w:divBdr>
                                        <w:top w:val="none" w:sz="0" w:space="0" w:color="auto"/>
                                        <w:left w:val="none" w:sz="0" w:space="0" w:color="auto"/>
                                        <w:bottom w:val="none" w:sz="0" w:space="0" w:color="auto"/>
                                        <w:right w:val="none" w:sz="0" w:space="0" w:color="auto"/>
                                      </w:divBdr>
                                      <w:divsChild>
                                        <w:div w:id="1395816040">
                                          <w:marLeft w:val="0"/>
                                          <w:marRight w:val="0"/>
                                          <w:marTop w:val="0"/>
                                          <w:marBottom w:val="450"/>
                                          <w:divBdr>
                                            <w:top w:val="none" w:sz="0" w:space="0" w:color="auto"/>
                                            <w:left w:val="none" w:sz="0" w:space="0" w:color="auto"/>
                                            <w:bottom w:val="none" w:sz="0" w:space="0" w:color="auto"/>
                                            <w:right w:val="none" w:sz="0" w:space="0" w:color="auto"/>
                                          </w:divBdr>
                                          <w:divsChild>
                                            <w:div w:id="735053127">
                                              <w:marLeft w:val="0"/>
                                              <w:marRight w:val="0"/>
                                              <w:marTop w:val="0"/>
                                              <w:marBottom w:val="0"/>
                                              <w:divBdr>
                                                <w:top w:val="none" w:sz="0" w:space="0" w:color="auto"/>
                                                <w:left w:val="none" w:sz="0" w:space="0" w:color="auto"/>
                                                <w:bottom w:val="single" w:sz="6" w:space="0" w:color="D3D3D3"/>
                                                <w:right w:val="none" w:sz="0" w:space="0" w:color="auto"/>
                                              </w:divBdr>
                                              <w:divsChild>
                                                <w:div w:id="877549852">
                                                  <w:marLeft w:val="0"/>
                                                  <w:marRight w:val="600"/>
                                                  <w:marTop w:val="0"/>
                                                  <w:marBottom w:val="0"/>
                                                  <w:divBdr>
                                                    <w:top w:val="none" w:sz="0" w:space="0" w:color="auto"/>
                                                    <w:left w:val="none" w:sz="0" w:space="0" w:color="auto"/>
                                                    <w:bottom w:val="none" w:sz="0" w:space="0" w:color="auto"/>
                                                    <w:right w:val="none" w:sz="0" w:space="0" w:color="auto"/>
                                                  </w:divBdr>
                                                </w:div>
                                              </w:divsChild>
                                            </w:div>
                                            <w:div w:id="2088110191">
                                              <w:marLeft w:val="0"/>
                                              <w:marRight w:val="0"/>
                                              <w:marTop w:val="0"/>
                                              <w:marBottom w:val="0"/>
                                              <w:divBdr>
                                                <w:top w:val="none" w:sz="0" w:space="0" w:color="auto"/>
                                                <w:left w:val="none" w:sz="0" w:space="0" w:color="auto"/>
                                                <w:bottom w:val="none" w:sz="0" w:space="0" w:color="auto"/>
                                                <w:right w:val="none" w:sz="0" w:space="0" w:color="auto"/>
                                              </w:divBdr>
                                            </w:div>
                                            <w:div w:id="50420683">
                                              <w:marLeft w:val="0"/>
                                              <w:marRight w:val="0"/>
                                              <w:marTop w:val="0"/>
                                              <w:marBottom w:val="0"/>
                                              <w:divBdr>
                                                <w:top w:val="none" w:sz="0" w:space="0" w:color="auto"/>
                                                <w:left w:val="none" w:sz="0" w:space="0" w:color="auto"/>
                                                <w:bottom w:val="none" w:sz="0" w:space="0" w:color="auto"/>
                                                <w:right w:val="none" w:sz="0" w:space="0" w:color="auto"/>
                                              </w:divBdr>
                                            </w:div>
                                            <w:div w:id="715928425">
                                              <w:marLeft w:val="0"/>
                                              <w:marRight w:val="0"/>
                                              <w:marTop w:val="0"/>
                                              <w:marBottom w:val="0"/>
                                              <w:divBdr>
                                                <w:top w:val="none" w:sz="0" w:space="0" w:color="auto"/>
                                                <w:left w:val="none" w:sz="0" w:space="0" w:color="auto"/>
                                                <w:bottom w:val="none" w:sz="0" w:space="0" w:color="auto"/>
                                                <w:right w:val="none" w:sz="0" w:space="0" w:color="auto"/>
                                              </w:divBdr>
                                              <w:divsChild>
                                                <w:div w:id="6833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60933">
                                      <w:marLeft w:val="0"/>
                                      <w:marRight w:val="0"/>
                                      <w:marTop w:val="0"/>
                                      <w:marBottom w:val="0"/>
                                      <w:divBdr>
                                        <w:top w:val="none" w:sz="0" w:space="0" w:color="auto"/>
                                        <w:left w:val="none" w:sz="0" w:space="0" w:color="auto"/>
                                        <w:bottom w:val="none" w:sz="0" w:space="0" w:color="auto"/>
                                        <w:right w:val="none" w:sz="0" w:space="0" w:color="auto"/>
                                      </w:divBdr>
                                      <w:divsChild>
                                        <w:div w:id="1099526388">
                                          <w:marLeft w:val="0"/>
                                          <w:marRight w:val="0"/>
                                          <w:marTop w:val="0"/>
                                          <w:marBottom w:val="450"/>
                                          <w:divBdr>
                                            <w:top w:val="none" w:sz="0" w:space="0" w:color="auto"/>
                                            <w:left w:val="none" w:sz="0" w:space="0" w:color="auto"/>
                                            <w:bottom w:val="none" w:sz="0" w:space="0" w:color="auto"/>
                                            <w:right w:val="none" w:sz="0" w:space="0" w:color="auto"/>
                                          </w:divBdr>
                                          <w:divsChild>
                                            <w:div w:id="281230933">
                                              <w:marLeft w:val="0"/>
                                              <w:marRight w:val="0"/>
                                              <w:marTop w:val="0"/>
                                              <w:marBottom w:val="0"/>
                                              <w:divBdr>
                                                <w:top w:val="none" w:sz="0" w:space="0" w:color="auto"/>
                                                <w:left w:val="none" w:sz="0" w:space="0" w:color="auto"/>
                                                <w:bottom w:val="single" w:sz="6" w:space="0" w:color="D3D3D3"/>
                                                <w:right w:val="none" w:sz="0" w:space="0" w:color="auto"/>
                                              </w:divBdr>
                                              <w:divsChild>
                                                <w:div w:id="1208646805">
                                                  <w:marLeft w:val="0"/>
                                                  <w:marRight w:val="600"/>
                                                  <w:marTop w:val="0"/>
                                                  <w:marBottom w:val="0"/>
                                                  <w:divBdr>
                                                    <w:top w:val="none" w:sz="0" w:space="0" w:color="auto"/>
                                                    <w:left w:val="none" w:sz="0" w:space="0" w:color="auto"/>
                                                    <w:bottom w:val="none" w:sz="0" w:space="0" w:color="auto"/>
                                                    <w:right w:val="none" w:sz="0" w:space="0" w:color="auto"/>
                                                  </w:divBdr>
                                                </w:div>
                                              </w:divsChild>
                                            </w:div>
                                            <w:div w:id="1366103003">
                                              <w:marLeft w:val="0"/>
                                              <w:marRight w:val="0"/>
                                              <w:marTop w:val="0"/>
                                              <w:marBottom w:val="0"/>
                                              <w:divBdr>
                                                <w:top w:val="none" w:sz="0" w:space="0" w:color="auto"/>
                                                <w:left w:val="none" w:sz="0" w:space="0" w:color="auto"/>
                                                <w:bottom w:val="none" w:sz="0" w:space="0" w:color="auto"/>
                                                <w:right w:val="none" w:sz="0" w:space="0" w:color="auto"/>
                                              </w:divBdr>
                                            </w:div>
                                            <w:div w:id="894388569">
                                              <w:marLeft w:val="0"/>
                                              <w:marRight w:val="0"/>
                                              <w:marTop w:val="0"/>
                                              <w:marBottom w:val="0"/>
                                              <w:divBdr>
                                                <w:top w:val="none" w:sz="0" w:space="0" w:color="auto"/>
                                                <w:left w:val="none" w:sz="0" w:space="0" w:color="auto"/>
                                                <w:bottom w:val="none" w:sz="0" w:space="0" w:color="auto"/>
                                                <w:right w:val="none" w:sz="0" w:space="0" w:color="auto"/>
                                              </w:divBdr>
                                            </w:div>
                                            <w:div w:id="2078631191">
                                              <w:marLeft w:val="0"/>
                                              <w:marRight w:val="0"/>
                                              <w:marTop w:val="0"/>
                                              <w:marBottom w:val="0"/>
                                              <w:divBdr>
                                                <w:top w:val="none" w:sz="0" w:space="0" w:color="auto"/>
                                                <w:left w:val="none" w:sz="0" w:space="0" w:color="auto"/>
                                                <w:bottom w:val="none" w:sz="0" w:space="0" w:color="auto"/>
                                                <w:right w:val="none" w:sz="0" w:space="0" w:color="auto"/>
                                              </w:divBdr>
                                              <w:divsChild>
                                                <w:div w:id="19969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46564">
                                      <w:marLeft w:val="0"/>
                                      <w:marRight w:val="0"/>
                                      <w:marTop w:val="0"/>
                                      <w:marBottom w:val="0"/>
                                      <w:divBdr>
                                        <w:top w:val="none" w:sz="0" w:space="0" w:color="auto"/>
                                        <w:left w:val="none" w:sz="0" w:space="0" w:color="auto"/>
                                        <w:bottom w:val="none" w:sz="0" w:space="0" w:color="auto"/>
                                        <w:right w:val="none" w:sz="0" w:space="0" w:color="auto"/>
                                      </w:divBdr>
                                      <w:divsChild>
                                        <w:div w:id="1714886623">
                                          <w:marLeft w:val="0"/>
                                          <w:marRight w:val="0"/>
                                          <w:marTop w:val="0"/>
                                          <w:marBottom w:val="450"/>
                                          <w:divBdr>
                                            <w:top w:val="none" w:sz="0" w:space="0" w:color="auto"/>
                                            <w:left w:val="none" w:sz="0" w:space="0" w:color="auto"/>
                                            <w:bottom w:val="none" w:sz="0" w:space="0" w:color="auto"/>
                                            <w:right w:val="none" w:sz="0" w:space="0" w:color="auto"/>
                                          </w:divBdr>
                                          <w:divsChild>
                                            <w:div w:id="863830352">
                                              <w:marLeft w:val="0"/>
                                              <w:marRight w:val="0"/>
                                              <w:marTop w:val="0"/>
                                              <w:marBottom w:val="0"/>
                                              <w:divBdr>
                                                <w:top w:val="none" w:sz="0" w:space="0" w:color="auto"/>
                                                <w:left w:val="none" w:sz="0" w:space="0" w:color="auto"/>
                                                <w:bottom w:val="single" w:sz="6" w:space="0" w:color="D3D3D3"/>
                                                <w:right w:val="none" w:sz="0" w:space="0" w:color="auto"/>
                                              </w:divBdr>
                                              <w:divsChild>
                                                <w:div w:id="7952608">
                                                  <w:marLeft w:val="0"/>
                                                  <w:marRight w:val="600"/>
                                                  <w:marTop w:val="0"/>
                                                  <w:marBottom w:val="0"/>
                                                  <w:divBdr>
                                                    <w:top w:val="none" w:sz="0" w:space="0" w:color="auto"/>
                                                    <w:left w:val="none" w:sz="0" w:space="0" w:color="auto"/>
                                                    <w:bottom w:val="none" w:sz="0" w:space="0" w:color="auto"/>
                                                    <w:right w:val="none" w:sz="0" w:space="0" w:color="auto"/>
                                                  </w:divBdr>
                                                </w:div>
                                              </w:divsChild>
                                            </w:div>
                                            <w:div w:id="1631280490">
                                              <w:marLeft w:val="0"/>
                                              <w:marRight w:val="0"/>
                                              <w:marTop w:val="0"/>
                                              <w:marBottom w:val="0"/>
                                              <w:divBdr>
                                                <w:top w:val="none" w:sz="0" w:space="0" w:color="auto"/>
                                                <w:left w:val="none" w:sz="0" w:space="0" w:color="auto"/>
                                                <w:bottom w:val="none" w:sz="0" w:space="0" w:color="auto"/>
                                                <w:right w:val="none" w:sz="0" w:space="0" w:color="auto"/>
                                              </w:divBdr>
                                            </w:div>
                                            <w:div w:id="1095325995">
                                              <w:marLeft w:val="0"/>
                                              <w:marRight w:val="0"/>
                                              <w:marTop w:val="0"/>
                                              <w:marBottom w:val="0"/>
                                              <w:divBdr>
                                                <w:top w:val="none" w:sz="0" w:space="0" w:color="auto"/>
                                                <w:left w:val="none" w:sz="0" w:space="0" w:color="auto"/>
                                                <w:bottom w:val="none" w:sz="0" w:space="0" w:color="auto"/>
                                                <w:right w:val="none" w:sz="0" w:space="0" w:color="auto"/>
                                              </w:divBdr>
                                            </w:div>
                                            <w:div w:id="1780367597">
                                              <w:marLeft w:val="0"/>
                                              <w:marRight w:val="0"/>
                                              <w:marTop w:val="0"/>
                                              <w:marBottom w:val="0"/>
                                              <w:divBdr>
                                                <w:top w:val="none" w:sz="0" w:space="0" w:color="auto"/>
                                                <w:left w:val="none" w:sz="0" w:space="0" w:color="auto"/>
                                                <w:bottom w:val="none" w:sz="0" w:space="0" w:color="auto"/>
                                                <w:right w:val="none" w:sz="0" w:space="0" w:color="auto"/>
                                              </w:divBdr>
                                              <w:divsChild>
                                                <w:div w:id="173199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82875">
                                      <w:marLeft w:val="0"/>
                                      <w:marRight w:val="0"/>
                                      <w:marTop w:val="0"/>
                                      <w:marBottom w:val="0"/>
                                      <w:divBdr>
                                        <w:top w:val="none" w:sz="0" w:space="0" w:color="auto"/>
                                        <w:left w:val="none" w:sz="0" w:space="0" w:color="auto"/>
                                        <w:bottom w:val="none" w:sz="0" w:space="0" w:color="auto"/>
                                        <w:right w:val="none" w:sz="0" w:space="0" w:color="auto"/>
                                      </w:divBdr>
                                      <w:divsChild>
                                        <w:div w:id="181819907">
                                          <w:marLeft w:val="0"/>
                                          <w:marRight w:val="0"/>
                                          <w:marTop w:val="0"/>
                                          <w:marBottom w:val="450"/>
                                          <w:divBdr>
                                            <w:top w:val="none" w:sz="0" w:space="0" w:color="auto"/>
                                            <w:left w:val="none" w:sz="0" w:space="0" w:color="auto"/>
                                            <w:bottom w:val="none" w:sz="0" w:space="0" w:color="auto"/>
                                            <w:right w:val="none" w:sz="0" w:space="0" w:color="auto"/>
                                          </w:divBdr>
                                          <w:divsChild>
                                            <w:div w:id="1688873930">
                                              <w:marLeft w:val="0"/>
                                              <w:marRight w:val="0"/>
                                              <w:marTop w:val="0"/>
                                              <w:marBottom w:val="0"/>
                                              <w:divBdr>
                                                <w:top w:val="none" w:sz="0" w:space="0" w:color="auto"/>
                                                <w:left w:val="none" w:sz="0" w:space="0" w:color="auto"/>
                                                <w:bottom w:val="single" w:sz="6" w:space="0" w:color="D3D3D3"/>
                                                <w:right w:val="none" w:sz="0" w:space="0" w:color="auto"/>
                                              </w:divBdr>
                                              <w:divsChild>
                                                <w:div w:id="1863281694">
                                                  <w:marLeft w:val="0"/>
                                                  <w:marRight w:val="600"/>
                                                  <w:marTop w:val="0"/>
                                                  <w:marBottom w:val="0"/>
                                                  <w:divBdr>
                                                    <w:top w:val="none" w:sz="0" w:space="0" w:color="auto"/>
                                                    <w:left w:val="none" w:sz="0" w:space="0" w:color="auto"/>
                                                    <w:bottom w:val="none" w:sz="0" w:space="0" w:color="auto"/>
                                                    <w:right w:val="none" w:sz="0" w:space="0" w:color="auto"/>
                                                  </w:divBdr>
                                                </w:div>
                                              </w:divsChild>
                                            </w:div>
                                            <w:div w:id="1993295248">
                                              <w:marLeft w:val="0"/>
                                              <w:marRight w:val="0"/>
                                              <w:marTop w:val="0"/>
                                              <w:marBottom w:val="0"/>
                                              <w:divBdr>
                                                <w:top w:val="none" w:sz="0" w:space="0" w:color="auto"/>
                                                <w:left w:val="none" w:sz="0" w:space="0" w:color="auto"/>
                                                <w:bottom w:val="none" w:sz="0" w:space="0" w:color="auto"/>
                                                <w:right w:val="none" w:sz="0" w:space="0" w:color="auto"/>
                                              </w:divBdr>
                                            </w:div>
                                            <w:div w:id="1419016755">
                                              <w:marLeft w:val="0"/>
                                              <w:marRight w:val="0"/>
                                              <w:marTop w:val="0"/>
                                              <w:marBottom w:val="0"/>
                                              <w:divBdr>
                                                <w:top w:val="none" w:sz="0" w:space="0" w:color="auto"/>
                                                <w:left w:val="none" w:sz="0" w:space="0" w:color="auto"/>
                                                <w:bottom w:val="none" w:sz="0" w:space="0" w:color="auto"/>
                                                <w:right w:val="none" w:sz="0" w:space="0" w:color="auto"/>
                                              </w:divBdr>
                                            </w:div>
                                            <w:div w:id="748381608">
                                              <w:marLeft w:val="0"/>
                                              <w:marRight w:val="0"/>
                                              <w:marTop w:val="0"/>
                                              <w:marBottom w:val="0"/>
                                              <w:divBdr>
                                                <w:top w:val="none" w:sz="0" w:space="0" w:color="auto"/>
                                                <w:left w:val="none" w:sz="0" w:space="0" w:color="auto"/>
                                                <w:bottom w:val="none" w:sz="0" w:space="0" w:color="auto"/>
                                                <w:right w:val="none" w:sz="0" w:space="0" w:color="auto"/>
                                              </w:divBdr>
                                              <w:divsChild>
                                                <w:div w:id="4849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9991">
                                      <w:marLeft w:val="0"/>
                                      <w:marRight w:val="0"/>
                                      <w:marTop w:val="0"/>
                                      <w:marBottom w:val="0"/>
                                      <w:divBdr>
                                        <w:top w:val="none" w:sz="0" w:space="0" w:color="auto"/>
                                        <w:left w:val="none" w:sz="0" w:space="0" w:color="auto"/>
                                        <w:bottom w:val="none" w:sz="0" w:space="0" w:color="auto"/>
                                        <w:right w:val="none" w:sz="0" w:space="0" w:color="auto"/>
                                      </w:divBdr>
                                      <w:divsChild>
                                        <w:div w:id="1435326083">
                                          <w:marLeft w:val="0"/>
                                          <w:marRight w:val="0"/>
                                          <w:marTop w:val="0"/>
                                          <w:marBottom w:val="450"/>
                                          <w:divBdr>
                                            <w:top w:val="none" w:sz="0" w:space="0" w:color="auto"/>
                                            <w:left w:val="none" w:sz="0" w:space="0" w:color="auto"/>
                                            <w:bottom w:val="none" w:sz="0" w:space="0" w:color="auto"/>
                                            <w:right w:val="none" w:sz="0" w:space="0" w:color="auto"/>
                                          </w:divBdr>
                                          <w:divsChild>
                                            <w:div w:id="871842071">
                                              <w:marLeft w:val="0"/>
                                              <w:marRight w:val="0"/>
                                              <w:marTop w:val="0"/>
                                              <w:marBottom w:val="0"/>
                                              <w:divBdr>
                                                <w:top w:val="none" w:sz="0" w:space="0" w:color="auto"/>
                                                <w:left w:val="none" w:sz="0" w:space="0" w:color="auto"/>
                                                <w:bottom w:val="single" w:sz="6" w:space="0" w:color="D3D3D3"/>
                                                <w:right w:val="none" w:sz="0" w:space="0" w:color="auto"/>
                                              </w:divBdr>
                                              <w:divsChild>
                                                <w:div w:id="1428228281">
                                                  <w:marLeft w:val="0"/>
                                                  <w:marRight w:val="600"/>
                                                  <w:marTop w:val="0"/>
                                                  <w:marBottom w:val="0"/>
                                                  <w:divBdr>
                                                    <w:top w:val="none" w:sz="0" w:space="0" w:color="auto"/>
                                                    <w:left w:val="none" w:sz="0" w:space="0" w:color="auto"/>
                                                    <w:bottom w:val="none" w:sz="0" w:space="0" w:color="auto"/>
                                                    <w:right w:val="none" w:sz="0" w:space="0" w:color="auto"/>
                                                  </w:divBdr>
                                                </w:div>
                                              </w:divsChild>
                                            </w:div>
                                            <w:div w:id="902721851">
                                              <w:marLeft w:val="0"/>
                                              <w:marRight w:val="0"/>
                                              <w:marTop w:val="0"/>
                                              <w:marBottom w:val="0"/>
                                              <w:divBdr>
                                                <w:top w:val="none" w:sz="0" w:space="0" w:color="auto"/>
                                                <w:left w:val="none" w:sz="0" w:space="0" w:color="auto"/>
                                                <w:bottom w:val="none" w:sz="0" w:space="0" w:color="auto"/>
                                                <w:right w:val="none" w:sz="0" w:space="0" w:color="auto"/>
                                              </w:divBdr>
                                            </w:div>
                                            <w:div w:id="48312274">
                                              <w:marLeft w:val="0"/>
                                              <w:marRight w:val="0"/>
                                              <w:marTop w:val="0"/>
                                              <w:marBottom w:val="0"/>
                                              <w:divBdr>
                                                <w:top w:val="none" w:sz="0" w:space="0" w:color="auto"/>
                                                <w:left w:val="none" w:sz="0" w:space="0" w:color="auto"/>
                                                <w:bottom w:val="none" w:sz="0" w:space="0" w:color="auto"/>
                                                <w:right w:val="none" w:sz="0" w:space="0" w:color="auto"/>
                                              </w:divBdr>
                                            </w:div>
                                            <w:div w:id="433356254">
                                              <w:marLeft w:val="0"/>
                                              <w:marRight w:val="0"/>
                                              <w:marTop w:val="0"/>
                                              <w:marBottom w:val="0"/>
                                              <w:divBdr>
                                                <w:top w:val="none" w:sz="0" w:space="0" w:color="auto"/>
                                                <w:left w:val="none" w:sz="0" w:space="0" w:color="auto"/>
                                                <w:bottom w:val="none" w:sz="0" w:space="0" w:color="auto"/>
                                                <w:right w:val="none" w:sz="0" w:space="0" w:color="auto"/>
                                              </w:divBdr>
                                              <w:divsChild>
                                                <w:div w:id="8185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776817">
          <w:marLeft w:val="0"/>
          <w:marRight w:val="0"/>
          <w:marTop w:val="0"/>
          <w:marBottom w:val="0"/>
          <w:divBdr>
            <w:top w:val="none" w:sz="0" w:space="0" w:color="auto"/>
            <w:left w:val="none" w:sz="0" w:space="0" w:color="auto"/>
            <w:bottom w:val="none" w:sz="0" w:space="0" w:color="auto"/>
            <w:right w:val="none" w:sz="0" w:space="16" w:color="auto"/>
          </w:divBdr>
          <w:divsChild>
            <w:div w:id="535898174">
              <w:marLeft w:val="0"/>
              <w:marRight w:val="0"/>
              <w:marTop w:val="0"/>
              <w:marBottom w:val="0"/>
              <w:divBdr>
                <w:top w:val="none" w:sz="0" w:space="0" w:color="auto"/>
                <w:left w:val="none" w:sz="0" w:space="0" w:color="auto"/>
                <w:bottom w:val="single" w:sz="2" w:space="0" w:color="D3D3D3"/>
                <w:right w:val="none" w:sz="0" w:space="0" w:color="auto"/>
              </w:divBdr>
              <w:divsChild>
                <w:div w:id="322515258">
                  <w:marLeft w:val="0"/>
                  <w:marRight w:val="0"/>
                  <w:marTop w:val="0"/>
                  <w:marBottom w:val="0"/>
                  <w:divBdr>
                    <w:top w:val="none" w:sz="0" w:space="0" w:color="auto"/>
                    <w:left w:val="none" w:sz="0" w:space="0" w:color="auto"/>
                    <w:bottom w:val="none" w:sz="0" w:space="0" w:color="auto"/>
                    <w:right w:val="none" w:sz="0" w:space="0" w:color="auto"/>
                  </w:divBdr>
                  <w:divsChild>
                    <w:div w:id="494686481">
                      <w:marLeft w:val="0"/>
                      <w:marRight w:val="0"/>
                      <w:marTop w:val="0"/>
                      <w:marBottom w:val="0"/>
                      <w:divBdr>
                        <w:top w:val="none" w:sz="0" w:space="0" w:color="auto"/>
                        <w:left w:val="none" w:sz="0" w:space="0" w:color="auto"/>
                        <w:bottom w:val="none" w:sz="0" w:space="0" w:color="auto"/>
                        <w:right w:val="none" w:sz="0" w:space="0" w:color="auto"/>
                      </w:divBdr>
                      <w:divsChild>
                        <w:div w:id="1454133689">
                          <w:marLeft w:val="0"/>
                          <w:marRight w:val="0"/>
                          <w:marTop w:val="0"/>
                          <w:marBottom w:val="0"/>
                          <w:divBdr>
                            <w:top w:val="none" w:sz="0" w:space="0" w:color="auto"/>
                            <w:left w:val="none" w:sz="0" w:space="0" w:color="auto"/>
                            <w:bottom w:val="none" w:sz="0" w:space="0" w:color="auto"/>
                            <w:right w:val="none" w:sz="0" w:space="0" w:color="auto"/>
                          </w:divBdr>
                        </w:div>
                        <w:div w:id="11018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349619">
      <w:bodyDiv w:val="1"/>
      <w:marLeft w:val="0"/>
      <w:marRight w:val="0"/>
      <w:marTop w:val="0"/>
      <w:marBottom w:val="0"/>
      <w:divBdr>
        <w:top w:val="none" w:sz="0" w:space="0" w:color="auto"/>
        <w:left w:val="none" w:sz="0" w:space="0" w:color="auto"/>
        <w:bottom w:val="none" w:sz="0" w:space="0" w:color="auto"/>
        <w:right w:val="none" w:sz="0" w:space="0" w:color="auto"/>
      </w:divBdr>
      <w:divsChild>
        <w:div w:id="1554468003">
          <w:marLeft w:val="0"/>
          <w:marRight w:val="0"/>
          <w:marTop w:val="0"/>
          <w:marBottom w:val="0"/>
          <w:divBdr>
            <w:top w:val="none" w:sz="0" w:space="0" w:color="auto"/>
            <w:left w:val="none" w:sz="0" w:space="0" w:color="auto"/>
            <w:bottom w:val="none" w:sz="0" w:space="0" w:color="auto"/>
            <w:right w:val="none" w:sz="0" w:space="0" w:color="auto"/>
          </w:divBdr>
          <w:divsChild>
            <w:div w:id="1266881923">
              <w:marLeft w:val="0"/>
              <w:marRight w:val="0"/>
              <w:marTop w:val="0"/>
              <w:marBottom w:val="0"/>
              <w:divBdr>
                <w:top w:val="none" w:sz="0" w:space="0" w:color="auto"/>
                <w:left w:val="none" w:sz="0" w:space="0" w:color="auto"/>
                <w:bottom w:val="none" w:sz="0" w:space="0" w:color="auto"/>
                <w:right w:val="none" w:sz="0" w:space="0" w:color="auto"/>
              </w:divBdr>
              <w:divsChild>
                <w:div w:id="907111840">
                  <w:marLeft w:val="0"/>
                  <w:marRight w:val="0"/>
                  <w:marTop w:val="0"/>
                  <w:marBottom w:val="0"/>
                  <w:divBdr>
                    <w:top w:val="none" w:sz="0" w:space="0" w:color="auto"/>
                    <w:left w:val="none" w:sz="0" w:space="0" w:color="auto"/>
                    <w:bottom w:val="none" w:sz="0" w:space="0" w:color="auto"/>
                    <w:right w:val="none" w:sz="0" w:space="0" w:color="auto"/>
                  </w:divBdr>
                  <w:divsChild>
                    <w:div w:id="2070229584">
                      <w:marLeft w:val="0"/>
                      <w:marRight w:val="0"/>
                      <w:marTop w:val="0"/>
                      <w:marBottom w:val="0"/>
                      <w:divBdr>
                        <w:top w:val="none" w:sz="0" w:space="0" w:color="auto"/>
                        <w:left w:val="none" w:sz="0" w:space="0" w:color="auto"/>
                        <w:bottom w:val="none" w:sz="0" w:space="0" w:color="auto"/>
                        <w:right w:val="none" w:sz="0" w:space="0" w:color="auto"/>
                      </w:divBdr>
                      <w:divsChild>
                        <w:div w:id="241569748">
                          <w:marLeft w:val="0"/>
                          <w:marRight w:val="0"/>
                          <w:marTop w:val="0"/>
                          <w:marBottom w:val="0"/>
                          <w:divBdr>
                            <w:top w:val="none" w:sz="0" w:space="0" w:color="auto"/>
                            <w:left w:val="none" w:sz="0" w:space="0" w:color="auto"/>
                            <w:bottom w:val="none" w:sz="0" w:space="0" w:color="auto"/>
                            <w:right w:val="none" w:sz="0" w:space="0" w:color="auto"/>
                          </w:divBdr>
                        </w:div>
                        <w:div w:id="11669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772458">
      <w:bodyDiv w:val="1"/>
      <w:marLeft w:val="0"/>
      <w:marRight w:val="0"/>
      <w:marTop w:val="0"/>
      <w:marBottom w:val="0"/>
      <w:divBdr>
        <w:top w:val="none" w:sz="0" w:space="0" w:color="auto"/>
        <w:left w:val="none" w:sz="0" w:space="0" w:color="auto"/>
        <w:bottom w:val="none" w:sz="0" w:space="0" w:color="auto"/>
        <w:right w:val="none" w:sz="0" w:space="0" w:color="auto"/>
      </w:divBdr>
    </w:div>
    <w:div w:id="902373565">
      <w:bodyDiv w:val="1"/>
      <w:marLeft w:val="0"/>
      <w:marRight w:val="0"/>
      <w:marTop w:val="0"/>
      <w:marBottom w:val="0"/>
      <w:divBdr>
        <w:top w:val="none" w:sz="0" w:space="0" w:color="auto"/>
        <w:left w:val="none" w:sz="0" w:space="0" w:color="auto"/>
        <w:bottom w:val="none" w:sz="0" w:space="0" w:color="auto"/>
        <w:right w:val="none" w:sz="0" w:space="0" w:color="auto"/>
      </w:divBdr>
    </w:div>
    <w:div w:id="994988685">
      <w:bodyDiv w:val="1"/>
      <w:marLeft w:val="0"/>
      <w:marRight w:val="0"/>
      <w:marTop w:val="0"/>
      <w:marBottom w:val="0"/>
      <w:divBdr>
        <w:top w:val="none" w:sz="0" w:space="0" w:color="auto"/>
        <w:left w:val="none" w:sz="0" w:space="0" w:color="auto"/>
        <w:bottom w:val="none" w:sz="0" w:space="0" w:color="auto"/>
        <w:right w:val="none" w:sz="0" w:space="0" w:color="auto"/>
      </w:divBdr>
    </w:div>
    <w:div w:id="1021738718">
      <w:bodyDiv w:val="1"/>
      <w:marLeft w:val="0"/>
      <w:marRight w:val="0"/>
      <w:marTop w:val="0"/>
      <w:marBottom w:val="0"/>
      <w:divBdr>
        <w:top w:val="none" w:sz="0" w:space="0" w:color="auto"/>
        <w:left w:val="none" w:sz="0" w:space="0" w:color="auto"/>
        <w:bottom w:val="none" w:sz="0" w:space="0" w:color="auto"/>
        <w:right w:val="none" w:sz="0" w:space="0" w:color="auto"/>
      </w:divBdr>
    </w:div>
    <w:div w:id="1039748200">
      <w:bodyDiv w:val="1"/>
      <w:marLeft w:val="0"/>
      <w:marRight w:val="0"/>
      <w:marTop w:val="0"/>
      <w:marBottom w:val="0"/>
      <w:divBdr>
        <w:top w:val="none" w:sz="0" w:space="0" w:color="auto"/>
        <w:left w:val="none" w:sz="0" w:space="0" w:color="auto"/>
        <w:bottom w:val="none" w:sz="0" w:space="0" w:color="auto"/>
        <w:right w:val="none" w:sz="0" w:space="0" w:color="auto"/>
      </w:divBdr>
    </w:div>
    <w:div w:id="1122766063">
      <w:bodyDiv w:val="1"/>
      <w:marLeft w:val="0"/>
      <w:marRight w:val="0"/>
      <w:marTop w:val="0"/>
      <w:marBottom w:val="0"/>
      <w:divBdr>
        <w:top w:val="none" w:sz="0" w:space="0" w:color="auto"/>
        <w:left w:val="none" w:sz="0" w:space="0" w:color="auto"/>
        <w:bottom w:val="none" w:sz="0" w:space="0" w:color="auto"/>
        <w:right w:val="none" w:sz="0" w:space="0" w:color="auto"/>
      </w:divBdr>
    </w:div>
    <w:div w:id="1150907031">
      <w:bodyDiv w:val="1"/>
      <w:marLeft w:val="0"/>
      <w:marRight w:val="0"/>
      <w:marTop w:val="0"/>
      <w:marBottom w:val="0"/>
      <w:divBdr>
        <w:top w:val="none" w:sz="0" w:space="0" w:color="auto"/>
        <w:left w:val="none" w:sz="0" w:space="0" w:color="auto"/>
        <w:bottom w:val="none" w:sz="0" w:space="0" w:color="auto"/>
        <w:right w:val="none" w:sz="0" w:space="0" w:color="auto"/>
      </w:divBdr>
    </w:div>
    <w:div w:id="1193688170">
      <w:bodyDiv w:val="1"/>
      <w:marLeft w:val="0"/>
      <w:marRight w:val="0"/>
      <w:marTop w:val="0"/>
      <w:marBottom w:val="0"/>
      <w:divBdr>
        <w:top w:val="none" w:sz="0" w:space="0" w:color="auto"/>
        <w:left w:val="none" w:sz="0" w:space="0" w:color="auto"/>
        <w:bottom w:val="none" w:sz="0" w:space="0" w:color="auto"/>
        <w:right w:val="none" w:sz="0" w:space="0" w:color="auto"/>
      </w:divBdr>
    </w:div>
    <w:div w:id="1254046932">
      <w:bodyDiv w:val="1"/>
      <w:marLeft w:val="0"/>
      <w:marRight w:val="0"/>
      <w:marTop w:val="0"/>
      <w:marBottom w:val="0"/>
      <w:divBdr>
        <w:top w:val="none" w:sz="0" w:space="0" w:color="auto"/>
        <w:left w:val="none" w:sz="0" w:space="0" w:color="auto"/>
        <w:bottom w:val="none" w:sz="0" w:space="0" w:color="auto"/>
        <w:right w:val="none" w:sz="0" w:space="0" w:color="auto"/>
      </w:divBdr>
    </w:div>
    <w:div w:id="1261067824">
      <w:bodyDiv w:val="1"/>
      <w:marLeft w:val="0"/>
      <w:marRight w:val="0"/>
      <w:marTop w:val="0"/>
      <w:marBottom w:val="0"/>
      <w:divBdr>
        <w:top w:val="none" w:sz="0" w:space="0" w:color="auto"/>
        <w:left w:val="none" w:sz="0" w:space="0" w:color="auto"/>
        <w:bottom w:val="none" w:sz="0" w:space="0" w:color="auto"/>
        <w:right w:val="none" w:sz="0" w:space="0" w:color="auto"/>
      </w:divBdr>
      <w:divsChild>
        <w:div w:id="970942833">
          <w:marLeft w:val="0"/>
          <w:marRight w:val="0"/>
          <w:marTop w:val="0"/>
          <w:marBottom w:val="0"/>
          <w:divBdr>
            <w:top w:val="none" w:sz="0" w:space="0" w:color="auto"/>
            <w:left w:val="none" w:sz="0" w:space="0" w:color="auto"/>
            <w:bottom w:val="none" w:sz="0" w:space="0" w:color="auto"/>
            <w:right w:val="none" w:sz="0" w:space="0" w:color="auto"/>
          </w:divBdr>
          <w:divsChild>
            <w:div w:id="888616445">
              <w:marLeft w:val="0"/>
              <w:marRight w:val="0"/>
              <w:marTop w:val="0"/>
              <w:marBottom w:val="0"/>
              <w:divBdr>
                <w:top w:val="none" w:sz="0" w:space="0" w:color="auto"/>
                <w:left w:val="none" w:sz="0" w:space="0" w:color="auto"/>
                <w:bottom w:val="none" w:sz="0" w:space="0" w:color="auto"/>
                <w:right w:val="none" w:sz="0" w:space="0" w:color="auto"/>
              </w:divBdr>
              <w:divsChild>
                <w:div w:id="966010814">
                  <w:marLeft w:val="0"/>
                  <w:marRight w:val="0"/>
                  <w:marTop w:val="0"/>
                  <w:marBottom w:val="0"/>
                  <w:divBdr>
                    <w:top w:val="none" w:sz="0" w:space="0" w:color="auto"/>
                    <w:left w:val="none" w:sz="0" w:space="0" w:color="auto"/>
                    <w:bottom w:val="none" w:sz="0" w:space="0" w:color="auto"/>
                    <w:right w:val="none" w:sz="0" w:space="0" w:color="auto"/>
                  </w:divBdr>
                  <w:divsChild>
                    <w:div w:id="1272668835">
                      <w:marLeft w:val="0"/>
                      <w:marRight w:val="0"/>
                      <w:marTop w:val="0"/>
                      <w:marBottom w:val="0"/>
                      <w:divBdr>
                        <w:top w:val="none" w:sz="0" w:space="0" w:color="auto"/>
                        <w:left w:val="none" w:sz="0" w:space="0" w:color="auto"/>
                        <w:bottom w:val="none" w:sz="0" w:space="0" w:color="auto"/>
                        <w:right w:val="none" w:sz="0" w:space="0" w:color="auto"/>
                      </w:divBdr>
                      <w:divsChild>
                        <w:div w:id="1973827713">
                          <w:marLeft w:val="0"/>
                          <w:marRight w:val="0"/>
                          <w:marTop w:val="0"/>
                          <w:marBottom w:val="0"/>
                          <w:divBdr>
                            <w:top w:val="none" w:sz="0" w:space="0" w:color="auto"/>
                            <w:left w:val="none" w:sz="0" w:space="0" w:color="auto"/>
                            <w:bottom w:val="none" w:sz="0" w:space="0" w:color="auto"/>
                            <w:right w:val="none" w:sz="0" w:space="0" w:color="auto"/>
                          </w:divBdr>
                          <w:divsChild>
                            <w:div w:id="21034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347552">
      <w:bodyDiv w:val="1"/>
      <w:marLeft w:val="0"/>
      <w:marRight w:val="0"/>
      <w:marTop w:val="0"/>
      <w:marBottom w:val="0"/>
      <w:divBdr>
        <w:top w:val="none" w:sz="0" w:space="0" w:color="auto"/>
        <w:left w:val="none" w:sz="0" w:space="0" w:color="auto"/>
        <w:bottom w:val="none" w:sz="0" w:space="0" w:color="auto"/>
        <w:right w:val="none" w:sz="0" w:space="0" w:color="auto"/>
      </w:divBdr>
      <w:divsChild>
        <w:div w:id="402917605">
          <w:marLeft w:val="0"/>
          <w:marRight w:val="0"/>
          <w:marTop w:val="0"/>
          <w:marBottom w:val="0"/>
          <w:divBdr>
            <w:top w:val="none" w:sz="0" w:space="0" w:color="auto"/>
            <w:left w:val="none" w:sz="0" w:space="0" w:color="auto"/>
            <w:bottom w:val="none" w:sz="0" w:space="0" w:color="auto"/>
            <w:right w:val="none" w:sz="0" w:space="0" w:color="auto"/>
          </w:divBdr>
          <w:divsChild>
            <w:div w:id="2042778797">
              <w:marLeft w:val="0"/>
              <w:marRight w:val="0"/>
              <w:marTop w:val="0"/>
              <w:marBottom w:val="0"/>
              <w:divBdr>
                <w:top w:val="none" w:sz="0" w:space="0" w:color="auto"/>
                <w:left w:val="none" w:sz="0" w:space="0" w:color="auto"/>
                <w:bottom w:val="none" w:sz="0" w:space="0" w:color="auto"/>
                <w:right w:val="none" w:sz="0" w:space="0" w:color="auto"/>
              </w:divBdr>
              <w:divsChild>
                <w:div w:id="712536482">
                  <w:marLeft w:val="0"/>
                  <w:marRight w:val="0"/>
                  <w:marTop w:val="0"/>
                  <w:marBottom w:val="0"/>
                  <w:divBdr>
                    <w:top w:val="none" w:sz="0" w:space="0" w:color="auto"/>
                    <w:left w:val="none" w:sz="0" w:space="0" w:color="auto"/>
                    <w:bottom w:val="none" w:sz="0" w:space="0" w:color="auto"/>
                    <w:right w:val="none" w:sz="0" w:space="0" w:color="auto"/>
                  </w:divBdr>
                  <w:divsChild>
                    <w:div w:id="1579486320">
                      <w:marLeft w:val="0"/>
                      <w:marRight w:val="0"/>
                      <w:marTop w:val="0"/>
                      <w:marBottom w:val="0"/>
                      <w:divBdr>
                        <w:top w:val="none" w:sz="0" w:space="0" w:color="auto"/>
                        <w:left w:val="none" w:sz="0" w:space="0" w:color="auto"/>
                        <w:bottom w:val="none" w:sz="0" w:space="0" w:color="auto"/>
                        <w:right w:val="none" w:sz="0" w:space="0" w:color="auto"/>
                      </w:divBdr>
                      <w:divsChild>
                        <w:div w:id="449982214">
                          <w:marLeft w:val="0"/>
                          <w:marRight w:val="0"/>
                          <w:marTop w:val="0"/>
                          <w:marBottom w:val="0"/>
                          <w:divBdr>
                            <w:top w:val="none" w:sz="0" w:space="0" w:color="auto"/>
                            <w:left w:val="none" w:sz="0" w:space="0" w:color="auto"/>
                            <w:bottom w:val="none" w:sz="0" w:space="0" w:color="auto"/>
                            <w:right w:val="none" w:sz="0" w:space="0" w:color="auto"/>
                          </w:divBdr>
                        </w:div>
                        <w:div w:id="1968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463856">
      <w:bodyDiv w:val="1"/>
      <w:marLeft w:val="0"/>
      <w:marRight w:val="0"/>
      <w:marTop w:val="0"/>
      <w:marBottom w:val="0"/>
      <w:divBdr>
        <w:top w:val="none" w:sz="0" w:space="0" w:color="auto"/>
        <w:left w:val="none" w:sz="0" w:space="0" w:color="auto"/>
        <w:bottom w:val="none" w:sz="0" w:space="0" w:color="auto"/>
        <w:right w:val="none" w:sz="0" w:space="0" w:color="auto"/>
      </w:divBdr>
    </w:div>
    <w:div w:id="1291521466">
      <w:bodyDiv w:val="1"/>
      <w:marLeft w:val="0"/>
      <w:marRight w:val="0"/>
      <w:marTop w:val="0"/>
      <w:marBottom w:val="0"/>
      <w:divBdr>
        <w:top w:val="none" w:sz="0" w:space="0" w:color="auto"/>
        <w:left w:val="none" w:sz="0" w:space="0" w:color="auto"/>
        <w:bottom w:val="none" w:sz="0" w:space="0" w:color="auto"/>
        <w:right w:val="none" w:sz="0" w:space="0" w:color="auto"/>
      </w:divBdr>
    </w:div>
    <w:div w:id="1325818644">
      <w:bodyDiv w:val="1"/>
      <w:marLeft w:val="0"/>
      <w:marRight w:val="0"/>
      <w:marTop w:val="0"/>
      <w:marBottom w:val="0"/>
      <w:divBdr>
        <w:top w:val="none" w:sz="0" w:space="0" w:color="auto"/>
        <w:left w:val="none" w:sz="0" w:space="0" w:color="auto"/>
        <w:bottom w:val="none" w:sz="0" w:space="0" w:color="auto"/>
        <w:right w:val="none" w:sz="0" w:space="0" w:color="auto"/>
      </w:divBdr>
    </w:div>
    <w:div w:id="1335760415">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491559733">
      <w:bodyDiv w:val="1"/>
      <w:marLeft w:val="0"/>
      <w:marRight w:val="0"/>
      <w:marTop w:val="0"/>
      <w:marBottom w:val="0"/>
      <w:divBdr>
        <w:top w:val="none" w:sz="0" w:space="0" w:color="auto"/>
        <w:left w:val="none" w:sz="0" w:space="0" w:color="auto"/>
        <w:bottom w:val="none" w:sz="0" w:space="0" w:color="auto"/>
        <w:right w:val="none" w:sz="0" w:space="0" w:color="auto"/>
      </w:divBdr>
    </w:div>
    <w:div w:id="1491750502">
      <w:bodyDiv w:val="1"/>
      <w:marLeft w:val="0"/>
      <w:marRight w:val="0"/>
      <w:marTop w:val="0"/>
      <w:marBottom w:val="0"/>
      <w:divBdr>
        <w:top w:val="none" w:sz="0" w:space="0" w:color="auto"/>
        <w:left w:val="none" w:sz="0" w:space="0" w:color="auto"/>
        <w:bottom w:val="none" w:sz="0" w:space="0" w:color="auto"/>
        <w:right w:val="none" w:sz="0" w:space="0" w:color="auto"/>
      </w:divBdr>
    </w:div>
    <w:div w:id="1496533117">
      <w:bodyDiv w:val="1"/>
      <w:marLeft w:val="0"/>
      <w:marRight w:val="0"/>
      <w:marTop w:val="0"/>
      <w:marBottom w:val="0"/>
      <w:divBdr>
        <w:top w:val="none" w:sz="0" w:space="0" w:color="auto"/>
        <w:left w:val="none" w:sz="0" w:space="0" w:color="auto"/>
        <w:bottom w:val="none" w:sz="0" w:space="0" w:color="auto"/>
        <w:right w:val="none" w:sz="0" w:space="0" w:color="auto"/>
      </w:divBdr>
      <w:divsChild>
        <w:div w:id="1619338401">
          <w:marLeft w:val="0"/>
          <w:marRight w:val="0"/>
          <w:marTop w:val="0"/>
          <w:marBottom w:val="0"/>
          <w:divBdr>
            <w:top w:val="none" w:sz="0" w:space="0" w:color="auto"/>
            <w:left w:val="none" w:sz="0" w:space="0" w:color="auto"/>
            <w:bottom w:val="none" w:sz="0" w:space="0" w:color="auto"/>
            <w:right w:val="none" w:sz="0" w:space="0" w:color="auto"/>
          </w:divBdr>
          <w:divsChild>
            <w:div w:id="354045079">
              <w:marLeft w:val="0"/>
              <w:marRight w:val="0"/>
              <w:marTop w:val="0"/>
              <w:marBottom w:val="0"/>
              <w:divBdr>
                <w:top w:val="none" w:sz="0" w:space="0" w:color="auto"/>
                <w:left w:val="none" w:sz="0" w:space="0" w:color="auto"/>
                <w:bottom w:val="none" w:sz="0" w:space="0" w:color="auto"/>
                <w:right w:val="none" w:sz="0" w:space="0" w:color="auto"/>
              </w:divBdr>
              <w:divsChild>
                <w:div w:id="1434278779">
                  <w:marLeft w:val="0"/>
                  <w:marRight w:val="0"/>
                  <w:marTop w:val="0"/>
                  <w:marBottom w:val="0"/>
                  <w:divBdr>
                    <w:top w:val="none" w:sz="0" w:space="0" w:color="auto"/>
                    <w:left w:val="none" w:sz="0" w:space="0" w:color="auto"/>
                    <w:bottom w:val="none" w:sz="0" w:space="0" w:color="auto"/>
                    <w:right w:val="none" w:sz="0" w:space="0" w:color="auto"/>
                  </w:divBdr>
                  <w:divsChild>
                    <w:div w:id="1546720336">
                      <w:marLeft w:val="0"/>
                      <w:marRight w:val="0"/>
                      <w:marTop w:val="0"/>
                      <w:marBottom w:val="0"/>
                      <w:divBdr>
                        <w:top w:val="none" w:sz="0" w:space="0" w:color="auto"/>
                        <w:left w:val="none" w:sz="0" w:space="0" w:color="auto"/>
                        <w:bottom w:val="none" w:sz="0" w:space="0" w:color="auto"/>
                        <w:right w:val="none" w:sz="0" w:space="0" w:color="auto"/>
                      </w:divBdr>
                      <w:divsChild>
                        <w:div w:id="2041084892">
                          <w:marLeft w:val="0"/>
                          <w:marRight w:val="0"/>
                          <w:marTop w:val="0"/>
                          <w:marBottom w:val="0"/>
                          <w:divBdr>
                            <w:top w:val="none" w:sz="0" w:space="0" w:color="auto"/>
                            <w:left w:val="none" w:sz="0" w:space="0" w:color="auto"/>
                            <w:bottom w:val="none" w:sz="0" w:space="0" w:color="auto"/>
                            <w:right w:val="none" w:sz="0" w:space="0" w:color="auto"/>
                          </w:divBdr>
                          <w:divsChild>
                            <w:div w:id="15864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15873">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85980067">
      <w:bodyDiv w:val="1"/>
      <w:marLeft w:val="0"/>
      <w:marRight w:val="0"/>
      <w:marTop w:val="0"/>
      <w:marBottom w:val="0"/>
      <w:divBdr>
        <w:top w:val="none" w:sz="0" w:space="0" w:color="auto"/>
        <w:left w:val="none" w:sz="0" w:space="0" w:color="auto"/>
        <w:bottom w:val="none" w:sz="0" w:space="0" w:color="auto"/>
        <w:right w:val="none" w:sz="0" w:space="0" w:color="auto"/>
      </w:divBdr>
    </w:div>
    <w:div w:id="1713269681">
      <w:bodyDiv w:val="1"/>
      <w:marLeft w:val="0"/>
      <w:marRight w:val="0"/>
      <w:marTop w:val="0"/>
      <w:marBottom w:val="0"/>
      <w:divBdr>
        <w:top w:val="none" w:sz="0" w:space="0" w:color="auto"/>
        <w:left w:val="none" w:sz="0" w:space="0" w:color="auto"/>
        <w:bottom w:val="none" w:sz="0" w:space="0" w:color="auto"/>
        <w:right w:val="none" w:sz="0" w:space="0" w:color="auto"/>
      </w:divBdr>
    </w:div>
    <w:div w:id="1720745704">
      <w:bodyDiv w:val="1"/>
      <w:marLeft w:val="0"/>
      <w:marRight w:val="0"/>
      <w:marTop w:val="0"/>
      <w:marBottom w:val="0"/>
      <w:divBdr>
        <w:top w:val="none" w:sz="0" w:space="0" w:color="auto"/>
        <w:left w:val="none" w:sz="0" w:space="0" w:color="auto"/>
        <w:bottom w:val="none" w:sz="0" w:space="0" w:color="auto"/>
        <w:right w:val="none" w:sz="0" w:space="0" w:color="auto"/>
      </w:divBdr>
    </w:div>
    <w:div w:id="1747149316">
      <w:bodyDiv w:val="1"/>
      <w:marLeft w:val="0"/>
      <w:marRight w:val="0"/>
      <w:marTop w:val="0"/>
      <w:marBottom w:val="0"/>
      <w:divBdr>
        <w:top w:val="none" w:sz="0" w:space="0" w:color="auto"/>
        <w:left w:val="none" w:sz="0" w:space="0" w:color="auto"/>
        <w:bottom w:val="none" w:sz="0" w:space="0" w:color="auto"/>
        <w:right w:val="none" w:sz="0" w:space="0" w:color="auto"/>
      </w:divBdr>
    </w:div>
    <w:div w:id="1760591686">
      <w:bodyDiv w:val="1"/>
      <w:marLeft w:val="0"/>
      <w:marRight w:val="0"/>
      <w:marTop w:val="0"/>
      <w:marBottom w:val="0"/>
      <w:divBdr>
        <w:top w:val="none" w:sz="0" w:space="0" w:color="auto"/>
        <w:left w:val="none" w:sz="0" w:space="0" w:color="auto"/>
        <w:bottom w:val="none" w:sz="0" w:space="0" w:color="auto"/>
        <w:right w:val="none" w:sz="0" w:space="0" w:color="auto"/>
      </w:divBdr>
      <w:divsChild>
        <w:div w:id="1811750076">
          <w:marLeft w:val="0"/>
          <w:marRight w:val="0"/>
          <w:marTop w:val="0"/>
          <w:marBottom w:val="0"/>
          <w:divBdr>
            <w:top w:val="none" w:sz="0" w:space="0" w:color="auto"/>
            <w:left w:val="none" w:sz="0" w:space="0" w:color="auto"/>
            <w:bottom w:val="none" w:sz="0" w:space="0" w:color="auto"/>
            <w:right w:val="none" w:sz="0" w:space="0" w:color="auto"/>
          </w:divBdr>
          <w:divsChild>
            <w:div w:id="857231995">
              <w:marLeft w:val="0"/>
              <w:marRight w:val="0"/>
              <w:marTop w:val="0"/>
              <w:marBottom w:val="0"/>
              <w:divBdr>
                <w:top w:val="none" w:sz="0" w:space="0" w:color="auto"/>
                <w:left w:val="none" w:sz="0" w:space="0" w:color="auto"/>
                <w:bottom w:val="none" w:sz="0" w:space="0" w:color="auto"/>
                <w:right w:val="none" w:sz="0" w:space="0" w:color="auto"/>
              </w:divBdr>
              <w:divsChild>
                <w:div w:id="1495026084">
                  <w:marLeft w:val="0"/>
                  <w:marRight w:val="0"/>
                  <w:marTop w:val="0"/>
                  <w:marBottom w:val="0"/>
                  <w:divBdr>
                    <w:top w:val="none" w:sz="0" w:space="0" w:color="auto"/>
                    <w:left w:val="none" w:sz="0" w:space="0" w:color="auto"/>
                    <w:bottom w:val="none" w:sz="0" w:space="0" w:color="auto"/>
                    <w:right w:val="none" w:sz="0" w:space="0" w:color="auto"/>
                  </w:divBdr>
                  <w:divsChild>
                    <w:div w:id="752553116">
                      <w:marLeft w:val="0"/>
                      <w:marRight w:val="0"/>
                      <w:marTop w:val="0"/>
                      <w:marBottom w:val="0"/>
                      <w:divBdr>
                        <w:top w:val="none" w:sz="0" w:space="0" w:color="auto"/>
                        <w:left w:val="none" w:sz="0" w:space="0" w:color="auto"/>
                        <w:bottom w:val="none" w:sz="0" w:space="0" w:color="auto"/>
                        <w:right w:val="none" w:sz="0" w:space="0" w:color="auto"/>
                      </w:divBdr>
                      <w:divsChild>
                        <w:div w:id="1782726081">
                          <w:marLeft w:val="0"/>
                          <w:marRight w:val="0"/>
                          <w:marTop w:val="0"/>
                          <w:marBottom w:val="0"/>
                          <w:divBdr>
                            <w:top w:val="none" w:sz="0" w:space="0" w:color="auto"/>
                            <w:left w:val="none" w:sz="0" w:space="0" w:color="auto"/>
                            <w:bottom w:val="none" w:sz="0" w:space="0" w:color="auto"/>
                            <w:right w:val="none" w:sz="0" w:space="0" w:color="auto"/>
                          </w:divBdr>
                          <w:divsChild>
                            <w:div w:id="16306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472924">
      <w:bodyDiv w:val="1"/>
      <w:marLeft w:val="0"/>
      <w:marRight w:val="0"/>
      <w:marTop w:val="0"/>
      <w:marBottom w:val="0"/>
      <w:divBdr>
        <w:top w:val="none" w:sz="0" w:space="0" w:color="auto"/>
        <w:left w:val="none" w:sz="0" w:space="0" w:color="auto"/>
        <w:bottom w:val="none" w:sz="0" w:space="0" w:color="auto"/>
        <w:right w:val="none" w:sz="0" w:space="0" w:color="auto"/>
      </w:divBdr>
    </w:div>
    <w:div w:id="1826166201">
      <w:bodyDiv w:val="1"/>
      <w:marLeft w:val="0"/>
      <w:marRight w:val="0"/>
      <w:marTop w:val="0"/>
      <w:marBottom w:val="0"/>
      <w:divBdr>
        <w:top w:val="none" w:sz="0" w:space="0" w:color="auto"/>
        <w:left w:val="none" w:sz="0" w:space="0" w:color="auto"/>
        <w:bottom w:val="none" w:sz="0" w:space="0" w:color="auto"/>
        <w:right w:val="none" w:sz="0" w:space="0" w:color="auto"/>
      </w:divBdr>
    </w:div>
    <w:div w:id="1862010709">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870407764">
      <w:bodyDiv w:val="1"/>
      <w:marLeft w:val="0"/>
      <w:marRight w:val="0"/>
      <w:marTop w:val="0"/>
      <w:marBottom w:val="0"/>
      <w:divBdr>
        <w:top w:val="none" w:sz="0" w:space="0" w:color="auto"/>
        <w:left w:val="none" w:sz="0" w:space="0" w:color="auto"/>
        <w:bottom w:val="none" w:sz="0" w:space="0" w:color="auto"/>
        <w:right w:val="none" w:sz="0" w:space="0" w:color="auto"/>
      </w:divBdr>
    </w:div>
    <w:div w:id="1929535514">
      <w:bodyDiv w:val="1"/>
      <w:marLeft w:val="0"/>
      <w:marRight w:val="0"/>
      <w:marTop w:val="0"/>
      <w:marBottom w:val="0"/>
      <w:divBdr>
        <w:top w:val="none" w:sz="0" w:space="0" w:color="auto"/>
        <w:left w:val="none" w:sz="0" w:space="0" w:color="auto"/>
        <w:bottom w:val="none" w:sz="0" w:space="0" w:color="auto"/>
        <w:right w:val="none" w:sz="0" w:space="0" w:color="auto"/>
      </w:divBdr>
    </w:div>
    <w:div w:id="1932736971">
      <w:bodyDiv w:val="1"/>
      <w:marLeft w:val="0"/>
      <w:marRight w:val="0"/>
      <w:marTop w:val="0"/>
      <w:marBottom w:val="0"/>
      <w:divBdr>
        <w:top w:val="none" w:sz="0" w:space="0" w:color="auto"/>
        <w:left w:val="none" w:sz="0" w:space="0" w:color="auto"/>
        <w:bottom w:val="none" w:sz="0" w:space="0" w:color="auto"/>
        <w:right w:val="none" w:sz="0" w:space="0" w:color="auto"/>
      </w:divBdr>
    </w:div>
    <w:div w:id="1940407497">
      <w:bodyDiv w:val="1"/>
      <w:marLeft w:val="0"/>
      <w:marRight w:val="0"/>
      <w:marTop w:val="0"/>
      <w:marBottom w:val="0"/>
      <w:divBdr>
        <w:top w:val="none" w:sz="0" w:space="0" w:color="auto"/>
        <w:left w:val="none" w:sz="0" w:space="0" w:color="auto"/>
        <w:bottom w:val="none" w:sz="0" w:space="0" w:color="auto"/>
        <w:right w:val="none" w:sz="0" w:space="0" w:color="auto"/>
      </w:divBdr>
      <w:divsChild>
        <w:div w:id="976911835">
          <w:marLeft w:val="0"/>
          <w:marRight w:val="0"/>
          <w:marTop w:val="0"/>
          <w:marBottom w:val="0"/>
          <w:divBdr>
            <w:top w:val="none" w:sz="0" w:space="0" w:color="auto"/>
            <w:left w:val="none" w:sz="0" w:space="0" w:color="auto"/>
            <w:bottom w:val="none" w:sz="0" w:space="0" w:color="auto"/>
            <w:right w:val="none" w:sz="0" w:space="0" w:color="auto"/>
          </w:divBdr>
          <w:divsChild>
            <w:div w:id="265239114">
              <w:marLeft w:val="0"/>
              <w:marRight w:val="0"/>
              <w:marTop w:val="0"/>
              <w:marBottom w:val="0"/>
              <w:divBdr>
                <w:top w:val="none" w:sz="0" w:space="0" w:color="auto"/>
                <w:left w:val="none" w:sz="0" w:space="0" w:color="auto"/>
                <w:bottom w:val="none" w:sz="0" w:space="0" w:color="auto"/>
                <w:right w:val="none" w:sz="0" w:space="0" w:color="auto"/>
              </w:divBdr>
              <w:divsChild>
                <w:div w:id="401417806">
                  <w:marLeft w:val="0"/>
                  <w:marRight w:val="0"/>
                  <w:marTop w:val="0"/>
                  <w:marBottom w:val="0"/>
                  <w:divBdr>
                    <w:top w:val="none" w:sz="0" w:space="0" w:color="auto"/>
                    <w:left w:val="none" w:sz="0" w:space="0" w:color="auto"/>
                    <w:bottom w:val="none" w:sz="0" w:space="0" w:color="auto"/>
                    <w:right w:val="none" w:sz="0" w:space="0" w:color="auto"/>
                  </w:divBdr>
                  <w:divsChild>
                    <w:div w:id="1320957466">
                      <w:marLeft w:val="0"/>
                      <w:marRight w:val="0"/>
                      <w:marTop w:val="0"/>
                      <w:marBottom w:val="0"/>
                      <w:divBdr>
                        <w:top w:val="none" w:sz="0" w:space="0" w:color="auto"/>
                        <w:left w:val="none" w:sz="0" w:space="0" w:color="auto"/>
                        <w:bottom w:val="none" w:sz="0" w:space="0" w:color="auto"/>
                        <w:right w:val="none" w:sz="0" w:space="0" w:color="auto"/>
                      </w:divBdr>
                      <w:divsChild>
                        <w:div w:id="1794202878">
                          <w:marLeft w:val="0"/>
                          <w:marRight w:val="0"/>
                          <w:marTop w:val="0"/>
                          <w:marBottom w:val="0"/>
                          <w:divBdr>
                            <w:top w:val="none" w:sz="0" w:space="0" w:color="auto"/>
                            <w:left w:val="none" w:sz="0" w:space="0" w:color="auto"/>
                            <w:bottom w:val="none" w:sz="0" w:space="0" w:color="auto"/>
                            <w:right w:val="none" w:sz="0" w:space="0" w:color="auto"/>
                          </w:divBdr>
                        </w:div>
                        <w:div w:id="27625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465700">
      <w:bodyDiv w:val="1"/>
      <w:marLeft w:val="0"/>
      <w:marRight w:val="0"/>
      <w:marTop w:val="0"/>
      <w:marBottom w:val="0"/>
      <w:divBdr>
        <w:top w:val="none" w:sz="0" w:space="0" w:color="auto"/>
        <w:left w:val="none" w:sz="0" w:space="0" w:color="auto"/>
        <w:bottom w:val="none" w:sz="0" w:space="0" w:color="auto"/>
        <w:right w:val="none" w:sz="0" w:space="0" w:color="auto"/>
      </w:divBdr>
    </w:div>
    <w:div w:id="2015494430">
      <w:bodyDiv w:val="1"/>
      <w:marLeft w:val="0"/>
      <w:marRight w:val="0"/>
      <w:marTop w:val="0"/>
      <w:marBottom w:val="0"/>
      <w:divBdr>
        <w:top w:val="none" w:sz="0" w:space="0" w:color="auto"/>
        <w:left w:val="none" w:sz="0" w:space="0" w:color="auto"/>
        <w:bottom w:val="none" w:sz="0" w:space="0" w:color="auto"/>
        <w:right w:val="none" w:sz="0" w:space="0" w:color="auto"/>
      </w:divBdr>
    </w:div>
    <w:div w:id="2078237691">
      <w:bodyDiv w:val="1"/>
      <w:marLeft w:val="0"/>
      <w:marRight w:val="0"/>
      <w:marTop w:val="0"/>
      <w:marBottom w:val="0"/>
      <w:divBdr>
        <w:top w:val="none" w:sz="0" w:space="0" w:color="auto"/>
        <w:left w:val="none" w:sz="0" w:space="0" w:color="auto"/>
        <w:bottom w:val="none" w:sz="0" w:space="0" w:color="auto"/>
        <w:right w:val="none" w:sz="0" w:space="0" w:color="auto"/>
      </w:divBdr>
    </w:div>
    <w:div w:id="2096903118">
      <w:bodyDiv w:val="1"/>
      <w:marLeft w:val="0"/>
      <w:marRight w:val="0"/>
      <w:marTop w:val="0"/>
      <w:marBottom w:val="0"/>
      <w:divBdr>
        <w:top w:val="none" w:sz="0" w:space="0" w:color="auto"/>
        <w:left w:val="none" w:sz="0" w:space="0" w:color="auto"/>
        <w:bottom w:val="none" w:sz="0" w:space="0" w:color="auto"/>
        <w:right w:val="none" w:sz="0" w:space="0" w:color="auto"/>
      </w:divBdr>
    </w:div>
    <w:div w:id="2121365635">
      <w:bodyDiv w:val="1"/>
      <w:marLeft w:val="0"/>
      <w:marRight w:val="0"/>
      <w:marTop w:val="0"/>
      <w:marBottom w:val="0"/>
      <w:divBdr>
        <w:top w:val="none" w:sz="0" w:space="0" w:color="auto"/>
        <w:left w:val="none" w:sz="0" w:space="0" w:color="auto"/>
        <w:bottom w:val="none" w:sz="0" w:space="0" w:color="auto"/>
        <w:right w:val="none" w:sz="0" w:space="0" w:color="auto"/>
      </w:divBdr>
    </w:div>
    <w:div w:id="214303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58735" TargetMode="External"/><Relationship Id="rId299" Type="http://schemas.openxmlformats.org/officeDocument/2006/relationships/hyperlink" Target="http://hudoc.echr.coe.int/eng?i=001-207953" TargetMode="External"/><Relationship Id="rId21" Type="http://schemas.openxmlformats.org/officeDocument/2006/relationships/hyperlink" Target="https://hudoc.echr.coe.int/eng?i=001-57619" TargetMode="External"/><Relationship Id="rId63" Type="http://schemas.openxmlformats.org/officeDocument/2006/relationships/hyperlink" Target="https://hudoc.echr.coe.int/eng?i=001-183685" TargetMode="External"/><Relationship Id="rId159" Type="http://schemas.openxmlformats.org/officeDocument/2006/relationships/hyperlink" Target="http://hudoc.echr.coe.int/eng?i=001-167483" TargetMode="External"/><Relationship Id="rId324" Type="http://schemas.openxmlformats.org/officeDocument/2006/relationships/hyperlink" Target="http://hudoc.echr.coe.int/eng?i=001-153901" TargetMode="External"/><Relationship Id="rId366" Type="http://schemas.openxmlformats.org/officeDocument/2006/relationships/hyperlink" Target="http://hudoc.echr.coe.int/eng?i=001-99015" TargetMode="External"/><Relationship Id="rId531" Type="http://schemas.openxmlformats.org/officeDocument/2006/relationships/hyperlink" Target="https://hudoc.echr.coe.int/eng?i=001-113299" TargetMode="External"/><Relationship Id="rId573" Type="http://schemas.openxmlformats.org/officeDocument/2006/relationships/hyperlink" Target="http://hudoc.echr.coe.int/eng?i=001-207418" TargetMode="External"/><Relationship Id="rId170" Type="http://schemas.openxmlformats.org/officeDocument/2006/relationships/hyperlink" Target="http://hudoc.echr.coe.int/fre?i=001-94162" TargetMode="External"/><Relationship Id="rId226" Type="http://schemas.openxmlformats.org/officeDocument/2006/relationships/hyperlink" Target="https://hudoc.echr.coe.int/eng?i=001-68715" TargetMode="External"/><Relationship Id="rId433" Type="http://schemas.openxmlformats.org/officeDocument/2006/relationships/hyperlink" Target="https://hudoc.echr.coe.int/eng?i=001-162199" TargetMode="External"/><Relationship Id="rId268" Type="http://schemas.openxmlformats.org/officeDocument/2006/relationships/hyperlink" Target="http://hudoc.echr.coe.int/eng?i=001-187508" TargetMode="External"/><Relationship Id="rId475" Type="http://schemas.openxmlformats.org/officeDocument/2006/relationships/hyperlink" Target="http://hudoc.echr.coe.int/eng?i=001-198760" TargetMode="External"/><Relationship Id="rId32" Type="http://schemas.openxmlformats.org/officeDocument/2006/relationships/hyperlink" Target="http://hudoc.echr.coe.int/eng?i=001-167483" TargetMode="External"/><Relationship Id="rId74" Type="http://schemas.openxmlformats.org/officeDocument/2006/relationships/hyperlink" Target="http://hudoc.echr.coe.int/eng?i=001-57587" TargetMode="External"/><Relationship Id="rId128" Type="http://schemas.openxmlformats.org/officeDocument/2006/relationships/hyperlink" Target="https://hudoc.echr.coe.int/eng?i=001-80050" TargetMode="External"/><Relationship Id="rId335" Type="http://schemas.openxmlformats.org/officeDocument/2006/relationships/hyperlink" Target="http://hudoc.echr.coe.int/eng?i=001-127221" TargetMode="External"/><Relationship Id="rId377" Type="http://schemas.openxmlformats.org/officeDocument/2006/relationships/hyperlink" Target="https://hudoc.echr.coe.int/eng?i=001-178178" TargetMode="External"/><Relationship Id="rId500" Type="http://schemas.openxmlformats.org/officeDocument/2006/relationships/hyperlink" Target="http://hudoc.echr.coe.int/eng?i=001-58559" TargetMode="External"/><Relationship Id="rId542" Type="http://schemas.openxmlformats.org/officeDocument/2006/relationships/hyperlink" Target="https://hudoc.echr.coe.int/eng?i=001-67614" TargetMode="External"/><Relationship Id="rId584" Type="http://schemas.openxmlformats.org/officeDocument/2006/relationships/hyperlink" Target="http://hudoc.echr.coe.int/eng?i=001-140240" TargetMode="External"/><Relationship Id="rId5" Type="http://schemas.openxmlformats.org/officeDocument/2006/relationships/webSettings" Target="webSettings.xml"/><Relationship Id="rId181" Type="http://schemas.openxmlformats.org/officeDocument/2006/relationships/hyperlink" Target="https://hudoc.echr.coe.int/eng?i=001-150234" TargetMode="External"/><Relationship Id="rId237" Type="http://schemas.openxmlformats.org/officeDocument/2006/relationships/hyperlink" Target="http://hudoc.echr.coe.int/eng?i=001-76307" TargetMode="External"/><Relationship Id="rId402" Type="http://schemas.openxmlformats.org/officeDocument/2006/relationships/hyperlink" Target="http://hudoc.echr.coe.int/eng?i=001-58003" TargetMode="External"/><Relationship Id="rId279" Type="http://schemas.openxmlformats.org/officeDocument/2006/relationships/hyperlink" Target="http://hudoc.echr.coe.int/eng?i=001-140235" TargetMode="External"/><Relationship Id="rId444" Type="http://schemas.openxmlformats.org/officeDocument/2006/relationships/hyperlink" Target="https://hudoc.echr.coe.int/eng?i=001-112322" TargetMode="External"/><Relationship Id="rId486" Type="http://schemas.openxmlformats.org/officeDocument/2006/relationships/hyperlink" Target="https://hudoc.echr.coe.int/eng?i=001-219067" TargetMode="External"/><Relationship Id="rId43" Type="http://schemas.openxmlformats.org/officeDocument/2006/relationships/hyperlink" Target="https://hudoc.echr.coe.int/eng?i=001-212965" TargetMode="External"/><Relationship Id="rId139" Type="http://schemas.openxmlformats.org/officeDocument/2006/relationships/hyperlink" Target="https://hudoc.echr.coe.int/eng?i=001-207371" TargetMode="External"/><Relationship Id="rId290" Type="http://schemas.openxmlformats.org/officeDocument/2006/relationships/hyperlink" Target="http://hudoc.echr.coe.int/eng?i=001-115621" TargetMode="External"/><Relationship Id="rId304" Type="http://schemas.openxmlformats.org/officeDocument/2006/relationships/hyperlink" Target="https://hudoc.echr.coe.int/eng?i=001-146540" TargetMode="External"/><Relationship Id="rId346" Type="http://schemas.openxmlformats.org/officeDocument/2006/relationships/hyperlink" Target="http://hudoc.echr.coe.int/eng?i=001-202526" TargetMode="External"/><Relationship Id="rId388" Type="http://schemas.openxmlformats.org/officeDocument/2006/relationships/hyperlink" Target="http://hudoc.echr.coe.int" TargetMode="External"/><Relationship Id="rId511" Type="http://schemas.openxmlformats.org/officeDocument/2006/relationships/hyperlink" Target="https://hudoc.echr.coe.int/eng?i=001-107448" TargetMode="External"/><Relationship Id="rId553" Type="http://schemas.openxmlformats.org/officeDocument/2006/relationships/hyperlink" Target="http://hudoc.echr.coe.int/eng?i=001-204154" TargetMode="External"/><Relationship Id="rId609" Type="http://schemas.openxmlformats.org/officeDocument/2006/relationships/hyperlink" Target="https://hudoc.echr.coe.int/eng?i=001-214040" TargetMode="External"/><Relationship Id="rId85" Type="http://schemas.openxmlformats.org/officeDocument/2006/relationships/hyperlink" Target="https://hudoc.echr.coe.int/eng?i=001-59608" TargetMode="External"/><Relationship Id="rId150" Type="http://schemas.openxmlformats.org/officeDocument/2006/relationships/hyperlink" Target="https://hudoc.echr.coe.int/eng?i=001-205178" TargetMode="External"/><Relationship Id="rId192" Type="http://schemas.openxmlformats.org/officeDocument/2006/relationships/hyperlink" Target="https://hudoc.echr.coe.int/eng?i=001-108599" TargetMode="External"/><Relationship Id="rId206" Type="http://schemas.openxmlformats.org/officeDocument/2006/relationships/hyperlink" Target="https://hudoc.echr.coe.int/eng?i=001-162614" TargetMode="External"/><Relationship Id="rId413" Type="http://schemas.openxmlformats.org/officeDocument/2006/relationships/hyperlink" Target="https://hudoc.echr.coe.int/eng?i=001-58261" TargetMode="External"/><Relationship Id="rId595" Type="http://schemas.openxmlformats.org/officeDocument/2006/relationships/hyperlink" Target="https://hudoc.echr.coe.int/eng?i=001-107364" TargetMode="External"/><Relationship Id="rId248" Type="http://schemas.openxmlformats.org/officeDocument/2006/relationships/hyperlink" Target="https://hudoc.echr.coe.int/eng?i=001-58232" TargetMode="External"/><Relationship Id="rId455" Type="http://schemas.openxmlformats.org/officeDocument/2006/relationships/hyperlink" Target="http://hudoc.echr.coe.int/eng?i=001-99015" TargetMode="External"/><Relationship Id="rId497" Type="http://schemas.openxmlformats.org/officeDocument/2006/relationships/hyperlink" Target="http://hudoc.echr.coe.int/eng?i=001-109868" TargetMode="External"/><Relationship Id="rId620" Type="http://schemas.openxmlformats.org/officeDocument/2006/relationships/hyperlink" Target="http://hudoc.echr.coe.int/eng?i=001-108586" TargetMode="External"/><Relationship Id="rId12" Type="http://schemas.openxmlformats.org/officeDocument/2006/relationships/hyperlink" Target="http://hudoc.echr.coe.int/eng?i=001-57506" TargetMode="External"/><Relationship Id="rId108" Type="http://schemas.openxmlformats.org/officeDocument/2006/relationships/hyperlink" Target="https://hudoc.echr.coe.int/eng?i=001-105820" TargetMode="External"/><Relationship Id="rId315" Type="http://schemas.openxmlformats.org/officeDocument/2006/relationships/hyperlink" Target="http://hudoc.echr.coe.int/eng?i=001-105691" TargetMode="External"/><Relationship Id="rId357" Type="http://schemas.openxmlformats.org/officeDocument/2006/relationships/hyperlink" Target="http://hudoc.echr.coe.int/eng?i=001-99626" TargetMode="External"/><Relationship Id="rId522" Type="http://schemas.openxmlformats.org/officeDocument/2006/relationships/hyperlink" Target="https://hudoc.echr.coe.int/eng?i=001-161055" TargetMode="External"/><Relationship Id="rId54" Type="http://schemas.openxmlformats.org/officeDocument/2006/relationships/hyperlink" Target="https://hudoc.echr.coe.int/eng?i=001-226449" TargetMode="External"/><Relationship Id="rId96" Type="http://schemas.openxmlformats.org/officeDocument/2006/relationships/hyperlink" Target="https://hudoc.echr.coe.int/eng?i=001-61521" TargetMode="External"/><Relationship Id="rId161" Type="http://schemas.openxmlformats.org/officeDocument/2006/relationships/hyperlink" Target="https://hudoc.echr.coe.int/eng?i=001-110986" TargetMode="External"/><Relationship Id="rId217" Type="http://schemas.openxmlformats.org/officeDocument/2006/relationships/hyperlink" Target="https://echr.coe.int/Documents/Guide_Prisoners_rights_ENG.pdf" TargetMode="External"/><Relationship Id="rId399" Type="http://schemas.openxmlformats.org/officeDocument/2006/relationships/hyperlink" Target="https://hudoc.echr.coe.int/eng?i=001-217815" TargetMode="External"/><Relationship Id="rId564" Type="http://schemas.openxmlformats.org/officeDocument/2006/relationships/hyperlink" Target="http://hudoc.echr.coe.int/eng?i=001-63271" TargetMode="External"/><Relationship Id="rId259" Type="http://schemas.openxmlformats.org/officeDocument/2006/relationships/hyperlink" Target="http://hudoc.echr.coe.int/eng?i=001-86533" TargetMode="External"/><Relationship Id="rId424" Type="http://schemas.openxmlformats.org/officeDocument/2006/relationships/hyperlink" Target="http://hudoc.echr.coe.int/fre?i=001-66364" TargetMode="External"/><Relationship Id="rId466" Type="http://schemas.openxmlformats.org/officeDocument/2006/relationships/hyperlink" Target="https://hudoc.echr.coe.int/eng?i=001-114492" TargetMode="External"/><Relationship Id="rId23" Type="http://schemas.openxmlformats.org/officeDocument/2006/relationships/hyperlink" Target="https://hudoc.echr.coe.int/eng?i=001-91403" TargetMode="External"/><Relationship Id="rId119" Type="http://schemas.openxmlformats.org/officeDocument/2006/relationships/hyperlink" Target="https://hudoc.echr.coe.int/eng?i=001-226449" TargetMode="External"/><Relationship Id="rId270" Type="http://schemas.openxmlformats.org/officeDocument/2006/relationships/hyperlink" Target="http://hudoc.echr.coe.int/eng?i=001-207953" TargetMode="External"/><Relationship Id="rId326" Type="http://schemas.openxmlformats.org/officeDocument/2006/relationships/hyperlink" Target="http://hudoc.echr.coe.int/eng?i=001-178178" TargetMode="External"/><Relationship Id="rId533" Type="http://schemas.openxmlformats.org/officeDocument/2006/relationships/hyperlink" Target="https://hudoc.echr.coe.int/eng?i=001-83384" TargetMode="External"/><Relationship Id="rId65" Type="http://schemas.openxmlformats.org/officeDocument/2006/relationships/hyperlink" Target="http://hudoc.echr.coe.int/eng?i=001-58162" TargetMode="External"/><Relationship Id="rId130" Type="http://schemas.openxmlformats.org/officeDocument/2006/relationships/hyperlink" Target="https://hudoc.echr.coe.int/eng?i=001-126982" TargetMode="External"/><Relationship Id="rId368" Type="http://schemas.openxmlformats.org/officeDocument/2006/relationships/hyperlink" Target="https://hudoc.echr.coe.int/eng?i=001-146540" TargetMode="External"/><Relationship Id="rId575" Type="http://schemas.openxmlformats.org/officeDocument/2006/relationships/hyperlink" Target="http://hudoc.echr.coe.int/eng?i=001-172327" TargetMode="External"/><Relationship Id="rId172" Type="http://schemas.openxmlformats.org/officeDocument/2006/relationships/hyperlink" Target="https://hudoc.echr.coe.int/eng?i=001-79644" TargetMode="External"/><Relationship Id="rId228" Type="http://schemas.openxmlformats.org/officeDocument/2006/relationships/hyperlink" Target="https://hudoc.echr.coe.int/eng?i=001-156246" TargetMode="External"/><Relationship Id="rId435" Type="http://schemas.openxmlformats.org/officeDocument/2006/relationships/hyperlink" Target="https://hudoc.echr.coe.int/eng?i=001-98930" TargetMode="External"/><Relationship Id="rId477" Type="http://schemas.openxmlformats.org/officeDocument/2006/relationships/hyperlink" Target="https://hudoc.echr.coe.int/eng?i=001-77932" TargetMode="External"/><Relationship Id="rId600" Type="http://schemas.openxmlformats.org/officeDocument/2006/relationships/hyperlink" Target="http://hudoc.echr.coe.int/fre?i=001-94162" TargetMode="External"/><Relationship Id="rId281" Type="http://schemas.openxmlformats.org/officeDocument/2006/relationships/hyperlink" Target="http://hudoc.echr.coe.int/eng?i=001-202526" TargetMode="External"/><Relationship Id="rId337" Type="http://schemas.openxmlformats.org/officeDocument/2006/relationships/hyperlink" Target="https://hudoc.echr.coe.int/eng?i=001-208307" TargetMode="External"/><Relationship Id="rId502" Type="http://schemas.openxmlformats.org/officeDocument/2006/relationships/hyperlink" Target="http://hudoc.echr.coe.int/eng?i=001-207417" TargetMode="External"/><Relationship Id="rId34" Type="http://schemas.openxmlformats.org/officeDocument/2006/relationships/hyperlink" Target="http://hudoc.echr.coe.int/eng?i=001-194307" TargetMode="External"/><Relationship Id="rId76" Type="http://schemas.openxmlformats.org/officeDocument/2006/relationships/hyperlink" Target="http://hudoc.echr.coe.int/eng?i=001-157670" TargetMode="External"/><Relationship Id="rId141" Type="http://schemas.openxmlformats.org/officeDocument/2006/relationships/hyperlink" Target="https://hudoc.echr.coe.int/eng?i=001-227719" TargetMode="External"/><Relationship Id="rId379" Type="http://schemas.openxmlformats.org/officeDocument/2006/relationships/hyperlink" Target="https://hudoc.echr.coe.int/eng?i=001-172327" TargetMode="External"/><Relationship Id="rId544" Type="http://schemas.openxmlformats.org/officeDocument/2006/relationships/hyperlink" Target="http://hudoc.echr.coe.int/eng?i=001-208307" TargetMode="External"/><Relationship Id="rId586" Type="http://schemas.openxmlformats.org/officeDocument/2006/relationships/hyperlink" Target="https://hudoc.echr.coe.int/eng?i=001-140785" TargetMode="External"/><Relationship Id="rId7" Type="http://schemas.openxmlformats.org/officeDocument/2006/relationships/endnotes" Target="endnotes.xml"/><Relationship Id="rId183" Type="http://schemas.openxmlformats.org/officeDocument/2006/relationships/hyperlink" Target="https://hudoc.echr.coe.int/eng?i=001-162199" TargetMode="External"/><Relationship Id="rId239" Type="http://schemas.openxmlformats.org/officeDocument/2006/relationships/hyperlink" Target="http://hudoc.echr.coe.int/eng?i=001-194233" TargetMode="External"/><Relationship Id="rId390" Type="http://schemas.openxmlformats.org/officeDocument/2006/relationships/hyperlink" Target="https://hudoc.echr.coe.int/eng?i=001-58232" TargetMode="External"/><Relationship Id="rId404" Type="http://schemas.openxmlformats.org/officeDocument/2006/relationships/hyperlink" Target="http://hudoc.echr.coe.int/fre?i=001-146044" TargetMode="External"/><Relationship Id="rId446" Type="http://schemas.openxmlformats.org/officeDocument/2006/relationships/hyperlink" Target="https://hudoc.echr.coe.int/eng?i=001-147688" TargetMode="External"/><Relationship Id="rId611" Type="http://schemas.openxmlformats.org/officeDocument/2006/relationships/hyperlink" Target="https://hudoc.echr.coe.int/eng?i=001-154728" TargetMode="External"/><Relationship Id="rId250" Type="http://schemas.openxmlformats.org/officeDocument/2006/relationships/hyperlink" Target="http://hudoc.echr.coe.int/eng?i=001-203033" TargetMode="External"/><Relationship Id="rId292" Type="http://schemas.openxmlformats.org/officeDocument/2006/relationships/hyperlink" Target="https://hudoc.echr.coe.int/eng?i=001-145731" TargetMode="External"/><Relationship Id="rId306" Type="http://schemas.openxmlformats.org/officeDocument/2006/relationships/hyperlink" Target="https://hudoc.echr.coe.int/eng?i=001-154007" TargetMode="External"/><Relationship Id="rId488" Type="http://schemas.openxmlformats.org/officeDocument/2006/relationships/hyperlink" Target="http://hudoc.echr.coe.int/fre?i=001-127684" TargetMode="External"/><Relationship Id="rId45" Type="http://schemas.openxmlformats.org/officeDocument/2006/relationships/hyperlink" Target="http://hudoc.echr.coe.int/eng?i=001-58003" TargetMode="External"/><Relationship Id="rId87" Type="http://schemas.openxmlformats.org/officeDocument/2006/relationships/hyperlink" Target="https://hudoc.echr.coe.int/eng?i=001-198811" TargetMode="External"/><Relationship Id="rId110" Type="http://schemas.openxmlformats.org/officeDocument/2006/relationships/hyperlink" Target="https://hudoc.echr.coe.int/eng?i=001-193877" TargetMode="External"/><Relationship Id="rId348" Type="http://schemas.openxmlformats.org/officeDocument/2006/relationships/hyperlink" Target="https://hudoc.echr.coe.int/eng?i=001-218130" TargetMode="External"/><Relationship Id="rId513" Type="http://schemas.openxmlformats.org/officeDocument/2006/relationships/hyperlink" Target="https://hudoc.echr.coe.int/eng?i=001-218130" TargetMode="External"/><Relationship Id="rId555" Type="http://schemas.openxmlformats.org/officeDocument/2006/relationships/hyperlink" Target="https://hudoc.echr.coe.int/eng?i=001-76169" TargetMode="External"/><Relationship Id="rId597" Type="http://schemas.openxmlformats.org/officeDocument/2006/relationships/hyperlink" Target="https://hudoc.echr.coe.int/eng?i=001-231739" TargetMode="External"/><Relationship Id="rId152" Type="http://schemas.openxmlformats.org/officeDocument/2006/relationships/hyperlink" Target="https://hudoc.echr.coe.int/eng?i=001-87354" TargetMode="External"/><Relationship Id="rId194" Type="http://schemas.openxmlformats.org/officeDocument/2006/relationships/hyperlink" Target="https://hudoc.echr.coe.int/eng?i=001-97575" TargetMode="External"/><Relationship Id="rId208" Type="http://schemas.openxmlformats.org/officeDocument/2006/relationships/hyperlink" Target="https://hudoc.echr.coe.int/eng?i=001-170347" TargetMode="External"/><Relationship Id="rId415" Type="http://schemas.openxmlformats.org/officeDocument/2006/relationships/hyperlink" Target="https://hudoc.echr.coe.int/eng?i=001-118583" TargetMode="External"/><Relationship Id="rId457" Type="http://schemas.openxmlformats.org/officeDocument/2006/relationships/hyperlink" Target="http://hudoc.echr.coe.int/eng?i=001-156419" TargetMode="External"/><Relationship Id="rId622" Type="http://schemas.openxmlformats.org/officeDocument/2006/relationships/header" Target="header2.xml"/><Relationship Id="rId261" Type="http://schemas.openxmlformats.org/officeDocument/2006/relationships/hyperlink" Target="http://hudoc.echr.coe.int/eng?i=001-154400" TargetMode="External"/><Relationship Id="rId499" Type="http://schemas.openxmlformats.org/officeDocument/2006/relationships/hyperlink" Target="https://hudoc.echr.coe.int/eng?i=001-210463" TargetMode="External"/><Relationship Id="rId14" Type="http://schemas.openxmlformats.org/officeDocument/2006/relationships/hyperlink" Target="http://hudoc.echr.coe.int/eng?i=001-109868" TargetMode="External"/><Relationship Id="rId56" Type="http://schemas.openxmlformats.org/officeDocument/2006/relationships/hyperlink" Target="https://hudoc.echr.coe.int/eng?i=001-99015" TargetMode="External"/><Relationship Id="rId317" Type="http://schemas.openxmlformats.org/officeDocument/2006/relationships/hyperlink" Target="http://hudoc.echr.coe.int/eng?i=001-116078" TargetMode="External"/><Relationship Id="rId359" Type="http://schemas.openxmlformats.org/officeDocument/2006/relationships/hyperlink" Target="http://hudoc.echr.coe.int/eng?i=001-187580" TargetMode="External"/><Relationship Id="rId524" Type="http://schemas.openxmlformats.org/officeDocument/2006/relationships/hyperlink" Target="https://hudoc.echr.coe.int/eng?i=001-162614" TargetMode="External"/><Relationship Id="rId566" Type="http://schemas.openxmlformats.org/officeDocument/2006/relationships/hyperlink" Target="http://hudoc.echr.coe.int/eng?i=001-203313" TargetMode="External"/><Relationship Id="rId98" Type="http://schemas.openxmlformats.org/officeDocument/2006/relationships/hyperlink" Target="https://hudoc.echr.coe.int/eng?i=001-59455" TargetMode="External"/><Relationship Id="rId121" Type="http://schemas.openxmlformats.org/officeDocument/2006/relationships/hyperlink" Target="http://hudoc.echr.coe.int/eng?i=001-157670" TargetMode="External"/><Relationship Id="rId163" Type="http://schemas.openxmlformats.org/officeDocument/2006/relationships/hyperlink" Target="https://echr.coe.int/Documents/Guide_Prisoners_rights_ENG.pdf" TargetMode="External"/><Relationship Id="rId219" Type="http://schemas.openxmlformats.org/officeDocument/2006/relationships/hyperlink" Target="http://hudoc.echr.coe.int/eng?i=001-198760" TargetMode="External"/><Relationship Id="rId370" Type="http://schemas.openxmlformats.org/officeDocument/2006/relationships/hyperlink" Target="https://hudoc.echr.coe.int/eng?i=001-209077" TargetMode="External"/><Relationship Id="rId426" Type="http://schemas.openxmlformats.org/officeDocument/2006/relationships/hyperlink" Target="https://hudoc.echr.coe.int/eng?i=001-60521" TargetMode="External"/><Relationship Id="rId230" Type="http://schemas.openxmlformats.org/officeDocument/2006/relationships/hyperlink" Target="https://hudoc.echr.coe.int/eng?i=001-66182" TargetMode="External"/><Relationship Id="rId468" Type="http://schemas.openxmlformats.org/officeDocument/2006/relationships/hyperlink" Target="https://hudoc.echr.coe.int/eng?i=001-170347" TargetMode="External"/><Relationship Id="rId25" Type="http://schemas.openxmlformats.org/officeDocument/2006/relationships/hyperlink" Target="http://hudoc.echr.coe.int/eng?i=001-115621" TargetMode="External"/><Relationship Id="rId67" Type="http://schemas.openxmlformats.org/officeDocument/2006/relationships/hyperlink" Target="https://hudoc.echr.coe.int/eng?i=001-79644" TargetMode="External"/><Relationship Id="rId272" Type="http://schemas.openxmlformats.org/officeDocument/2006/relationships/hyperlink" Target="http://hudoc.echr.coe.int/eng?i=001-207953" TargetMode="External"/><Relationship Id="rId328" Type="http://schemas.openxmlformats.org/officeDocument/2006/relationships/hyperlink" Target="http://hudoc.echr.coe.int/eng?i=001-152259" TargetMode="External"/><Relationship Id="rId535" Type="http://schemas.openxmlformats.org/officeDocument/2006/relationships/hyperlink" Target="https://hudoc.echr.coe.int/eng?i=001-70458" TargetMode="External"/><Relationship Id="rId577" Type="http://schemas.openxmlformats.org/officeDocument/2006/relationships/hyperlink" Target="https://hudoc.echr.coe.int/eng?i=001-58408" TargetMode="External"/><Relationship Id="rId132" Type="http://schemas.openxmlformats.org/officeDocument/2006/relationships/hyperlink" Target="https://hudoc.echr.coe.int/eng?i=001-198385" TargetMode="External"/><Relationship Id="rId174" Type="http://schemas.openxmlformats.org/officeDocument/2006/relationships/hyperlink" Target="https://hudoc.echr.coe.int/eng?i=001-84277" TargetMode="External"/><Relationship Id="rId381" Type="http://schemas.openxmlformats.org/officeDocument/2006/relationships/hyperlink" Target="https://hudoc.echr.coe.int/eng?i=001-207360" TargetMode="External"/><Relationship Id="rId602" Type="http://schemas.openxmlformats.org/officeDocument/2006/relationships/hyperlink" Target="https://hudoc.echr.coe.int/eng?i=001-122664" TargetMode="External"/><Relationship Id="rId241" Type="http://schemas.openxmlformats.org/officeDocument/2006/relationships/hyperlink" Target="https://hudoc.echr.coe.int/eng?i=001-93258" TargetMode="External"/><Relationship Id="rId437" Type="http://schemas.openxmlformats.org/officeDocument/2006/relationships/hyperlink" Target="http://hudoc.echr.coe.int/eng?i=001-193877" TargetMode="External"/><Relationship Id="rId479" Type="http://schemas.openxmlformats.org/officeDocument/2006/relationships/hyperlink" Target="https://hudoc.echr.coe.int/eng?i=001-169202" TargetMode="External"/><Relationship Id="rId36" Type="http://schemas.openxmlformats.org/officeDocument/2006/relationships/hyperlink" Target="https://hudoc.echr.coe.int/?i=003-7317048-10811277" TargetMode="External"/><Relationship Id="rId283" Type="http://schemas.openxmlformats.org/officeDocument/2006/relationships/hyperlink" Target="https://hudoc.echr.coe.int/eng?i=001-61521" TargetMode="External"/><Relationship Id="rId339" Type="http://schemas.openxmlformats.org/officeDocument/2006/relationships/hyperlink" Target="http://hudoc.echr.coe.int/eng?i=001-177226" TargetMode="External"/><Relationship Id="rId490" Type="http://schemas.openxmlformats.org/officeDocument/2006/relationships/hyperlink" Target="https://hudoc.echr.coe.int/eng?i=001-153906" TargetMode="External"/><Relationship Id="rId504" Type="http://schemas.openxmlformats.org/officeDocument/2006/relationships/hyperlink" Target="https://hudoc.echr.coe.int/eng?i=001-145731" TargetMode="External"/><Relationship Id="rId546" Type="http://schemas.openxmlformats.org/officeDocument/2006/relationships/hyperlink" Target="https://hudoc.echr.coe.int/eng?i=001-212965" TargetMode="External"/><Relationship Id="rId78" Type="http://schemas.openxmlformats.org/officeDocument/2006/relationships/hyperlink" Target="https://hudoc.echr.coe.int/eng?i=001-77641" TargetMode="External"/><Relationship Id="rId101" Type="http://schemas.openxmlformats.org/officeDocument/2006/relationships/hyperlink" Target="https://hudoc.echr.coe.int/eng?i=001-67820" TargetMode="External"/><Relationship Id="rId143" Type="http://schemas.openxmlformats.org/officeDocument/2006/relationships/hyperlink" Target="https://hudoc.echr.coe.int/eng?i=001-110262" TargetMode="External"/><Relationship Id="rId185" Type="http://schemas.openxmlformats.org/officeDocument/2006/relationships/hyperlink" Target="https://hudoc.echr.coe.int/eng?i=001-192611" TargetMode="External"/><Relationship Id="rId350" Type="http://schemas.openxmlformats.org/officeDocument/2006/relationships/hyperlink" Target="https://hudoc.echr.coe.int/eng?i=001-187919" TargetMode="External"/><Relationship Id="rId406" Type="http://schemas.openxmlformats.org/officeDocument/2006/relationships/hyperlink" Target="http://hudoc.echr.coe.int/eng?i=001-97575" TargetMode="External"/><Relationship Id="rId588" Type="http://schemas.openxmlformats.org/officeDocument/2006/relationships/hyperlink" Target="https://hudoc.echr.coe.int/eng?i=001-192611"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s://hudoc.echr.coe.int/eng?i=001-122664" TargetMode="External"/><Relationship Id="rId392" Type="http://schemas.openxmlformats.org/officeDocument/2006/relationships/hyperlink" Target="https://hudoc.echr.coe.int/eng?i=001-158148" TargetMode="External"/><Relationship Id="rId448" Type="http://schemas.openxmlformats.org/officeDocument/2006/relationships/hyperlink" Target="https://hudoc.echr.coe.int/eng?i=001-113628" TargetMode="External"/><Relationship Id="rId613" Type="http://schemas.openxmlformats.org/officeDocument/2006/relationships/hyperlink" Target="https://hudoc.echr.coe.int/eng?i=001-221265" TargetMode="External"/><Relationship Id="rId252" Type="http://schemas.openxmlformats.org/officeDocument/2006/relationships/hyperlink" Target="http://hudoc.echr.coe.int/eng?i=001-171994" TargetMode="External"/><Relationship Id="rId294" Type="http://schemas.openxmlformats.org/officeDocument/2006/relationships/hyperlink" Target="http://hudoc.echr.coe.int/eng?i=001-207953" TargetMode="External"/><Relationship Id="rId308" Type="http://schemas.openxmlformats.org/officeDocument/2006/relationships/hyperlink" Target="https://hudoc.echr.coe.int/eng?i=001-208879" TargetMode="External"/><Relationship Id="rId515" Type="http://schemas.openxmlformats.org/officeDocument/2006/relationships/hyperlink" Target="https://hudoc.echr.coe.int/eng?i=001-155826" TargetMode="External"/><Relationship Id="rId47" Type="http://schemas.openxmlformats.org/officeDocument/2006/relationships/hyperlink" Target="http://hudoc.echr.coe.int/eng?i=001-62660" TargetMode="External"/><Relationship Id="rId89" Type="http://schemas.openxmlformats.org/officeDocument/2006/relationships/hyperlink" Target="https://hudoc.echr.coe.int/eng?i=001-214040" TargetMode="External"/><Relationship Id="rId112" Type="http://schemas.openxmlformats.org/officeDocument/2006/relationships/hyperlink" Target="http://hudoc.echr.coe.int/eng?i=001-115621" TargetMode="External"/><Relationship Id="rId154" Type="http://schemas.openxmlformats.org/officeDocument/2006/relationships/hyperlink" Target="https://hudoc.echr.coe.int/eng?i=001-87354" TargetMode="External"/><Relationship Id="rId361" Type="http://schemas.openxmlformats.org/officeDocument/2006/relationships/hyperlink" Target="https://hudoc.echr.coe.int/eng?i=001-207360" TargetMode="External"/><Relationship Id="rId557" Type="http://schemas.openxmlformats.org/officeDocument/2006/relationships/hyperlink" Target="http://hudoc.echr.coe.int/eng?i=001-86533" TargetMode="External"/><Relationship Id="rId599" Type="http://schemas.openxmlformats.org/officeDocument/2006/relationships/hyperlink" Target="https://hudoc.echr.coe.int/eng?i=001-59608" TargetMode="External"/><Relationship Id="rId196" Type="http://schemas.openxmlformats.org/officeDocument/2006/relationships/hyperlink" Target="https://hudoc.echr.coe.int/eng?i=001-97575" TargetMode="External"/><Relationship Id="rId417" Type="http://schemas.openxmlformats.org/officeDocument/2006/relationships/hyperlink" Target="https://hudoc.echr.coe.int/eng?i=001-222872" TargetMode="External"/><Relationship Id="rId459" Type="http://schemas.openxmlformats.org/officeDocument/2006/relationships/hyperlink" Target="https://hudoc.echr.coe.int/eng?i=001-106769" TargetMode="External"/><Relationship Id="rId624" Type="http://schemas.openxmlformats.org/officeDocument/2006/relationships/footer" Target="footer2.xml"/><Relationship Id="rId16" Type="http://schemas.openxmlformats.org/officeDocument/2006/relationships/hyperlink" Target="http://hudoc.echr.coe.int/eng?i=001-201353" TargetMode="External"/><Relationship Id="rId221" Type="http://schemas.openxmlformats.org/officeDocument/2006/relationships/hyperlink" Target="https://hudoc.echr.coe.int/eng?i=001-76307" TargetMode="External"/><Relationship Id="rId263" Type="http://schemas.openxmlformats.org/officeDocument/2006/relationships/hyperlink" Target="https://hudoc.echr.coe.int/eng?i=001-226466" TargetMode="External"/><Relationship Id="rId319" Type="http://schemas.openxmlformats.org/officeDocument/2006/relationships/hyperlink" Target="http://hudoc.echr.coe.int/eng?i=001-207953" TargetMode="External"/><Relationship Id="rId470" Type="http://schemas.openxmlformats.org/officeDocument/2006/relationships/hyperlink" Target="http://hudoc.echr.coe.int/eng?i=001-202526" TargetMode="External"/><Relationship Id="rId526" Type="http://schemas.openxmlformats.org/officeDocument/2006/relationships/hyperlink" Target="https://hudoc.echr.coe.int/eng?i=001-81908" TargetMode="External"/><Relationship Id="rId58" Type="http://schemas.openxmlformats.org/officeDocument/2006/relationships/hyperlink" Target="http://hudoc.echr.coe.int/eng?i=001-181585" TargetMode="External"/><Relationship Id="rId123" Type="http://schemas.openxmlformats.org/officeDocument/2006/relationships/hyperlink" Target="https://hudoc.echr.coe.int/eng?i=001-207418" TargetMode="External"/><Relationship Id="rId330" Type="http://schemas.openxmlformats.org/officeDocument/2006/relationships/hyperlink" Target="http://hudoc.echr.coe.int/eng?i=001-226449" TargetMode="External"/><Relationship Id="rId568" Type="http://schemas.openxmlformats.org/officeDocument/2006/relationships/hyperlink" Target="http://hudoc.echr.coe.int/eng?i=001-72120" TargetMode="External"/><Relationship Id="rId165" Type="http://schemas.openxmlformats.org/officeDocument/2006/relationships/hyperlink" Target="https://hudoc.echr.coe.int/eng?i=001-189902" TargetMode="External"/><Relationship Id="rId372" Type="http://schemas.openxmlformats.org/officeDocument/2006/relationships/hyperlink" Target="https://hudoc.echr.coe.int/?i=003-7317048-10811277" TargetMode="External"/><Relationship Id="rId428" Type="http://schemas.openxmlformats.org/officeDocument/2006/relationships/hyperlink" Target="https://hudoc.echr.coe.int/eng?i=001-76295" TargetMode="External"/><Relationship Id="rId232" Type="http://schemas.openxmlformats.org/officeDocument/2006/relationships/hyperlink" Target="https://hudoc.echr.coe.int/eng?i=001-107364" TargetMode="External"/><Relationship Id="rId274" Type="http://schemas.openxmlformats.org/officeDocument/2006/relationships/hyperlink" Target="https://hudoc.echr.coe.int/eng?i=001-213869" TargetMode="External"/><Relationship Id="rId481" Type="http://schemas.openxmlformats.org/officeDocument/2006/relationships/hyperlink" Target="http://hudoc.echr.coe.int/eng?i=001-181585" TargetMode="External"/><Relationship Id="rId27" Type="http://schemas.openxmlformats.org/officeDocument/2006/relationships/hyperlink" Target="https://hudoc.echr.coe.int/eng?i=001-76169" TargetMode="External"/><Relationship Id="rId69" Type="http://schemas.openxmlformats.org/officeDocument/2006/relationships/hyperlink" Target="http://hudoc.echr.coe.int/eng?i=001-87354" TargetMode="External"/><Relationship Id="rId134" Type="http://schemas.openxmlformats.org/officeDocument/2006/relationships/hyperlink" Target="https://echr.coe.int/Documents/Guide_Prisoners_rights_ENG.pdf" TargetMode="External"/><Relationship Id="rId537" Type="http://schemas.openxmlformats.org/officeDocument/2006/relationships/hyperlink" Target="http://hudoc.echr.coe.int/eng?i=001-194307" TargetMode="External"/><Relationship Id="rId579" Type="http://schemas.openxmlformats.org/officeDocument/2006/relationships/hyperlink" Target="https://hudoc.echr.coe.int/eng?i=001-57619" TargetMode="External"/><Relationship Id="rId80" Type="http://schemas.openxmlformats.org/officeDocument/2006/relationships/hyperlink" Target="http://hudoc.echr.coe.int/eng?i=001-191587" TargetMode="External"/><Relationship Id="rId176" Type="http://schemas.openxmlformats.org/officeDocument/2006/relationships/hyperlink" Target="https://hudoc.echr.coe.int/eng?i=001-153906" TargetMode="External"/><Relationship Id="rId341" Type="http://schemas.openxmlformats.org/officeDocument/2006/relationships/hyperlink" Target="https://hudoc.echr.coe.int/eng?i=001-64280" TargetMode="External"/><Relationship Id="rId383" Type="http://schemas.openxmlformats.org/officeDocument/2006/relationships/hyperlink" Target="https://hudoc.echr.coe.int/eng?i=001-226385" TargetMode="External"/><Relationship Id="rId439" Type="http://schemas.openxmlformats.org/officeDocument/2006/relationships/hyperlink" Target="http://hudoc.echr.coe.int/eng?i=001-127393" TargetMode="External"/><Relationship Id="rId590" Type="http://schemas.openxmlformats.org/officeDocument/2006/relationships/hyperlink" Target="https://hudoc.echr.coe.int/eng?i=001-105118" TargetMode="External"/><Relationship Id="rId604" Type="http://schemas.openxmlformats.org/officeDocument/2006/relationships/hyperlink" Target="http://hudoc.echr.coe.int/eng?i=001-194307" TargetMode="External"/><Relationship Id="rId201" Type="http://schemas.openxmlformats.org/officeDocument/2006/relationships/hyperlink" Target="https://hudoc.echr.coe.int/eng?i=001-158148" TargetMode="External"/><Relationship Id="rId222" Type="http://schemas.openxmlformats.org/officeDocument/2006/relationships/hyperlink" Target="https://hudoc.echr.coe.int/eng?i=001-81136" TargetMode="External"/><Relationship Id="rId243" Type="http://schemas.openxmlformats.org/officeDocument/2006/relationships/hyperlink" Target="https://hudoc.echr.coe.int/eng?i=001-59455" TargetMode="External"/><Relationship Id="rId264" Type="http://schemas.openxmlformats.org/officeDocument/2006/relationships/hyperlink" Target="https://hudoc.echr.coe.int/eng?i=001-112322" TargetMode="External"/><Relationship Id="rId285" Type="http://schemas.openxmlformats.org/officeDocument/2006/relationships/hyperlink" Target="https://hudoc.echr.coe.int/eng?i=001-80395" TargetMode="External"/><Relationship Id="rId450" Type="http://schemas.openxmlformats.org/officeDocument/2006/relationships/hyperlink" Target="http://hudoc.echr.coe.int/eng?i=001-115621" TargetMode="External"/><Relationship Id="rId471" Type="http://schemas.openxmlformats.org/officeDocument/2006/relationships/hyperlink" Target="https://hudoc.echr.coe.int/eng?i=001-110986" TargetMode="External"/><Relationship Id="rId506" Type="http://schemas.openxmlformats.org/officeDocument/2006/relationships/hyperlink" Target="http://hudoc.echr.coe.int/eng?i=001-208879" TargetMode="External"/><Relationship Id="rId17" Type="http://schemas.openxmlformats.org/officeDocument/2006/relationships/hyperlink" Target="https://hudoc.echr.coe.int/eng?i=001-216400" TargetMode="External"/><Relationship Id="rId38" Type="http://schemas.openxmlformats.org/officeDocument/2006/relationships/hyperlink" Target="https://hudoc.echr.coe.int/eng?i=001-58287" TargetMode="External"/><Relationship Id="rId59" Type="http://schemas.openxmlformats.org/officeDocument/2006/relationships/hyperlink" Target="https://hudoc.echr.coe.int/eng?i=001-58559" TargetMode="External"/><Relationship Id="rId103" Type="http://schemas.openxmlformats.org/officeDocument/2006/relationships/hyperlink" Target="https://hudoc.echr.coe.int/eng?i=001-114078" TargetMode="External"/><Relationship Id="rId124" Type="http://schemas.openxmlformats.org/officeDocument/2006/relationships/hyperlink" Target="https://hudoc.echr.coe.int/eng?i=001-155826" TargetMode="External"/><Relationship Id="rId310" Type="http://schemas.openxmlformats.org/officeDocument/2006/relationships/hyperlink" Target="https://hudoc.echr.coe.int/eng?i=001-76295" TargetMode="External"/><Relationship Id="rId492" Type="http://schemas.openxmlformats.org/officeDocument/2006/relationships/hyperlink" Target="http://hudoc.echr.coe.int/eng?i=001-182227" TargetMode="External"/><Relationship Id="rId527" Type="http://schemas.openxmlformats.org/officeDocument/2006/relationships/hyperlink" Target="https://hudoc.echr.coe.int/eng?i=001-154007" TargetMode="External"/><Relationship Id="rId548" Type="http://schemas.openxmlformats.org/officeDocument/2006/relationships/hyperlink" Target="http://hudoc.echr.coe.int/eng?i=001-103350" TargetMode="External"/><Relationship Id="rId569" Type="http://schemas.openxmlformats.org/officeDocument/2006/relationships/hyperlink" Target="http://hudoc.echr.coe.int/eng?i=001-58162" TargetMode="External"/><Relationship Id="rId70" Type="http://schemas.openxmlformats.org/officeDocument/2006/relationships/hyperlink" Target="https://hudoc.echr.coe.int/eng?i=001-172963" TargetMode="External"/><Relationship Id="rId91" Type="http://schemas.openxmlformats.org/officeDocument/2006/relationships/hyperlink" Target="https://hudoc.echr.coe.int/eng?i=001-217815" TargetMode="External"/><Relationship Id="rId145" Type="http://schemas.openxmlformats.org/officeDocument/2006/relationships/hyperlink" Target="https://hudoc.echr.coe.int/eng?i=001-145817" TargetMode="External"/><Relationship Id="rId166" Type="http://schemas.openxmlformats.org/officeDocument/2006/relationships/hyperlink" Target="https://echr.coe.int/Documents/Guide_Prisoners_rights_ENG.pdf" TargetMode="External"/><Relationship Id="rId187" Type="http://schemas.openxmlformats.org/officeDocument/2006/relationships/hyperlink" Target="https://hudoc.echr.coe.int/eng?i=001-58594" TargetMode="External"/><Relationship Id="rId331" Type="http://schemas.openxmlformats.org/officeDocument/2006/relationships/hyperlink" Target="https://hudoc.echr.coe.int/eng?i=001-210536" TargetMode="External"/><Relationship Id="rId352" Type="http://schemas.openxmlformats.org/officeDocument/2006/relationships/hyperlink" Target="https://hudoc.echr.coe.int/eng?i=001-183685" TargetMode="External"/><Relationship Id="rId373" Type="http://schemas.openxmlformats.org/officeDocument/2006/relationships/hyperlink" Target="http://hudoc.echr.coe.int/eng?i=001-99015" TargetMode="External"/><Relationship Id="rId394" Type="http://schemas.openxmlformats.org/officeDocument/2006/relationships/hyperlink" Target="https://hudoc.echr.coe.int/eng?i=001-200556" TargetMode="External"/><Relationship Id="rId408" Type="http://schemas.openxmlformats.org/officeDocument/2006/relationships/hyperlink" Target="https://hudoc.echr.coe.int/eng?i=001-81906" TargetMode="External"/><Relationship Id="rId429" Type="http://schemas.openxmlformats.org/officeDocument/2006/relationships/hyperlink" Target="http://hudoc.echr.coe.int/eng?i=001-157670" TargetMode="External"/><Relationship Id="rId580" Type="http://schemas.openxmlformats.org/officeDocument/2006/relationships/hyperlink" Target="http://hudoc.echr.coe.int/eng?i=001-209353" TargetMode="External"/><Relationship Id="rId615" Type="http://schemas.openxmlformats.org/officeDocument/2006/relationships/hyperlink" Target="http://hudoc.echr.coe.int/eng?i=001-166937" TargetMode="External"/><Relationship Id="rId1" Type="http://schemas.openxmlformats.org/officeDocument/2006/relationships/customXml" Target="../customXml/item1.xml"/><Relationship Id="rId212" Type="http://schemas.openxmlformats.org/officeDocument/2006/relationships/hyperlink" Target="https://hudoc.echr.coe.int/eng?i=001-122664" TargetMode="External"/><Relationship Id="rId233" Type="http://schemas.openxmlformats.org/officeDocument/2006/relationships/hyperlink" Target="https://hudoc.echr.coe.int/eng?i=001-111427" TargetMode="External"/><Relationship Id="rId254" Type="http://schemas.openxmlformats.org/officeDocument/2006/relationships/hyperlink" Target="http://hudoc.echr.coe.int/eng?i=001-200842" TargetMode="External"/><Relationship Id="rId440" Type="http://schemas.openxmlformats.org/officeDocument/2006/relationships/hyperlink" Target="http://hudoc.echr.coe.int/eng?i=001-177226" TargetMode="External"/><Relationship Id="rId28" Type="http://schemas.openxmlformats.org/officeDocument/2006/relationships/hyperlink" Target="https://hudoc.echr.coe.int/eng?i=001-99015" TargetMode="External"/><Relationship Id="rId49" Type="http://schemas.openxmlformats.org/officeDocument/2006/relationships/hyperlink" Target="http://hudoc.echr.coe.int/fre?i=001-66364" TargetMode="External"/><Relationship Id="rId114" Type="http://schemas.openxmlformats.org/officeDocument/2006/relationships/hyperlink" Target="http://hudoc.echr.coe.int/eng?i=001-157670" TargetMode="External"/><Relationship Id="rId275" Type="http://schemas.openxmlformats.org/officeDocument/2006/relationships/hyperlink" Target="http://hudoc.echr.coe.int/eng?i=001-207953" TargetMode="External"/><Relationship Id="rId296" Type="http://schemas.openxmlformats.org/officeDocument/2006/relationships/hyperlink" Target="http://hudoc.echr.coe.int/eng?i=001-157670" TargetMode="External"/><Relationship Id="rId300" Type="http://schemas.openxmlformats.org/officeDocument/2006/relationships/hyperlink" Target="https://hudoc.echr.coe.int/eng?i=001-219067" TargetMode="External"/><Relationship Id="rId461" Type="http://schemas.openxmlformats.org/officeDocument/2006/relationships/hyperlink" Target="http://hudoc.echr.coe.int/eng?i=001-126982" TargetMode="External"/><Relationship Id="rId482" Type="http://schemas.openxmlformats.org/officeDocument/2006/relationships/hyperlink" Target="https://hudoc.echr.coe.int/eng?i=001-167118" TargetMode="External"/><Relationship Id="rId517" Type="http://schemas.openxmlformats.org/officeDocument/2006/relationships/hyperlink" Target="http://hudoc.echr.coe.int/eng?i=001-84670" TargetMode="External"/><Relationship Id="rId538" Type="http://schemas.openxmlformats.org/officeDocument/2006/relationships/hyperlink" Target="https://hudoc.echr.coe.int/eng?i=001-223023" TargetMode="External"/><Relationship Id="rId559" Type="http://schemas.openxmlformats.org/officeDocument/2006/relationships/hyperlink" Target="https://hudoc.echr.coe.int/eng?i=001-205178" TargetMode="External"/><Relationship Id="rId60" Type="http://schemas.openxmlformats.org/officeDocument/2006/relationships/hyperlink" Target="http://hudoc.echr.coe.int/eng?i=001-58920" TargetMode="External"/><Relationship Id="rId81" Type="http://schemas.openxmlformats.org/officeDocument/2006/relationships/hyperlink" Target="http://hudoc.echr.coe.int/fre?i=001-210530" TargetMode="External"/><Relationship Id="rId135" Type="http://schemas.openxmlformats.org/officeDocument/2006/relationships/hyperlink" Target="https://echr.coe.int/Documents/Guide_Mass_protests_ENG.pdf" TargetMode="External"/><Relationship Id="rId156" Type="http://schemas.openxmlformats.org/officeDocument/2006/relationships/hyperlink" Target="https://hudoc.echr.coe.int/eng?i=001-85316" TargetMode="External"/><Relationship Id="rId177" Type="http://schemas.openxmlformats.org/officeDocument/2006/relationships/hyperlink" Target="http://hudoc.echr.coe.int/fre?i=001-127684" TargetMode="External"/><Relationship Id="rId198" Type="http://schemas.openxmlformats.org/officeDocument/2006/relationships/hyperlink" Target="https://hudoc.echr.coe.int/eng?i=001-158148" TargetMode="External"/><Relationship Id="rId321" Type="http://schemas.openxmlformats.org/officeDocument/2006/relationships/hyperlink" Target="http://hudoc.echr.coe.int/eng?i=001-187580" TargetMode="External"/><Relationship Id="rId342" Type="http://schemas.openxmlformats.org/officeDocument/2006/relationships/hyperlink" Target="http://hudoc.echr.coe.int/eng?i=001-208589" TargetMode="External"/><Relationship Id="rId363" Type="http://schemas.openxmlformats.org/officeDocument/2006/relationships/hyperlink" Target="https://hudoc.echr.coe.int/eng?i=001-229399" TargetMode="External"/><Relationship Id="rId384" Type="http://schemas.openxmlformats.org/officeDocument/2006/relationships/hyperlink" Target="https://echr.coe.int/Documents/Guide_Art_14_Art_1_Protocol_12_ENG.pdf" TargetMode="External"/><Relationship Id="rId419" Type="http://schemas.openxmlformats.org/officeDocument/2006/relationships/hyperlink" Target="http://hudoc.echr.coe.int/eng?i=001-127221" TargetMode="External"/><Relationship Id="rId570" Type="http://schemas.openxmlformats.org/officeDocument/2006/relationships/hyperlink" Target="http://hudoc.echr.coe.int/eng?i=001-58287" TargetMode="External"/><Relationship Id="rId591" Type="http://schemas.openxmlformats.org/officeDocument/2006/relationships/hyperlink" Target="https://hudoc.echr.coe.int/eng?i=001-213869" TargetMode="External"/><Relationship Id="rId605" Type="http://schemas.openxmlformats.org/officeDocument/2006/relationships/hyperlink" Target="http://hudoc.echr.coe.int/eng?i=001-194321" TargetMode="External"/><Relationship Id="rId626" Type="http://schemas.openxmlformats.org/officeDocument/2006/relationships/footer" Target="footer3.xml"/><Relationship Id="rId202" Type="http://schemas.openxmlformats.org/officeDocument/2006/relationships/hyperlink" Target="https://hudoc.echr.coe.int/eng?i=001-68790" TargetMode="External"/><Relationship Id="rId223" Type="http://schemas.openxmlformats.org/officeDocument/2006/relationships/hyperlink" Target="https://hudoc.echr.coe.int/eng?i=001-68715" TargetMode="External"/><Relationship Id="rId244" Type="http://schemas.openxmlformats.org/officeDocument/2006/relationships/hyperlink" Target="http://hudoc.echr.coe.int/eng?i=001-140235" TargetMode="External"/><Relationship Id="rId430" Type="http://schemas.openxmlformats.org/officeDocument/2006/relationships/hyperlink" Target="http://hudoc.echr.coe.int/eng?i=001-187508" TargetMode="External"/><Relationship Id="rId18" Type="http://schemas.openxmlformats.org/officeDocument/2006/relationships/hyperlink" Target="http://www.echr.coe.int/Documents/HUDOC_Keywords_ENG.pdf" TargetMode="External"/><Relationship Id="rId39" Type="http://schemas.openxmlformats.org/officeDocument/2006/relationships/hyperlink" Target="https://hudoc.echr.coe.int/eng?i=001-61886" TargetMode="External"/><Relationship Id="rId265" Type="http://schemas.openxmlformats.org/officeDocument/2006/relationships/hyperlink" Target="https://hudoc.echr.coe.int/eng?i=001-171778" TargetMode="External"/><Relationship Id="rId286" Type="http://schemas.openxmlformats.org/officeDocument/2006/relationships/hyperlink" Target="https://hudoc.echr.coe.int/eng?i=001-216628" TargetMode="External"/><Relationship Id="rId451" Type="http://schemas.openxmlformats.org/officeDocument/2006/relationships/hyperlink" Target="https://hudoc.echr.coe.int/eng?i=001-154161" TargetMode="External"/><Relationship Id="rId472" Type="http://schemas.openxmlformats.org/officeDocument/2006/relationships/hyperlink" Target="http://hudoc.echr.coe.int/eng?i=001-154400" TargetMode="External"/><Relationship Id="rId493" Type="http://schemas.openxmlformats.org/officeDocument/2006/relationships/hyperlink" Target="https://hudoc.echr.coe.int/eng?i=001-89348" TargetMode="External"/><Relationship Id="rId507" Type="http://schemas.openxmlformats.org/officeDocument/2006/relationships/hyperlink" Target="http://hudoc.echr.coe.int/eng?i=001-61521" TargetMode="External"/><Relationship Id="rId528" Type="http://schemas.openxmlformats.org/officeDocument/2006/relationships/hyperlink" Target="http://hudoc.echr.coe.int/fre?i=001-158472" TargetMode="External"/><Relationship Id="rId549" Type="http://schemas.openxmlformats.org/officeDocument/2006/relationships/hyperlink" Target="http://hudoc.echr.coe.int/eng?i=001-59565" TargetMode="External"/><Relationship Id="rId50" Type="http://schemas.openxmlformats.org/officeDocument/2006/relationships/hyperlink" Target="https://hudoc.echr.coe.int/eng?i=001-68715" TargetMode="External"/><Relationship Id="rId104" Type="http://schemas.openxmlformats.org/officeDocument/2006/relationships/hyperlink" Target="https://hudoc.echr.coe.int/eng?i=001-76999" TargetMode="External"/><Relationship Id="rId125" Type="http://schemas.openxmlformats.org/officeDocument/2006/relationships/hyperlink" Target="https://hudoc.echr.coe.int/eng?i=001-126452" TargetMode="External"/><Relationship Id="rId146" Type="http://schemas.openxmlformats.org/officeDocument/2006/relationships/hyperlink" Target="https://hudoc.echr.coe.int/eng?i=001-182227" TargetMode="External"/><Relationship Id="rId167" Type="http://schemas.openxmlformats.org/officeDocument/2006/relationships/hyperlink" Target="https://hudoc.echr.coe.int/eng?i=001-127684" TargetMode="External"/><Relationship Id="rId188" Type="http://schemas.openxmlformats.org/officeDocument/2006/relationships/hyperlink" Target="https://hudoc.echr.coe.int/eng?i=001-58593" TargetMode="External"/><Relationship Id="rId311" Type="http://schemas.openxmlformats.org/officeDocument/2006/relationships/hyperlink" Target="https://hudoc.echr.coe.int/eng?i=001-113299" TargetMode="External"/><Relationship Id="rId332" Type="http://schemas.openxmlformats.org/officeDocument/2006/relationships/hyperlink" Target="https://hudoc.echr.coe.int/eng?i=001-223023" TargetMode="External"/><Relationship Id="rId353" Type="http://schemas.openxmlformats.org/officeDocument/2006/relationships/hyperlink" Target="https://hudoc.echr.coe.int/eng?i=001-157670" TargetMode="External"/><Relationship Id="rId374" Type="http://schemas.openxmlformats.org/officeDocument/2006/relationships/hyperlink" Target="http://hudoc.echr.coe.int/eng?i=001-150790" TargetMode="External"/><Relationship Id="rId395" Type="http://schemas.openxmlformats.org/officeDocument/2006/relationships/hyperlink" Target="http://hudoc.echr.coe.int/eng?i=001-172913" TargetMode="External"/><Relationship Id="rId409" Type="http://schemas.openxmlformats.org/officeDocument/2006/relationships/hyperlink" Target="https://hudoc.echr.coe.int/eng?i=001-145229" TargetMode="External"/><Relationship Id="rId560" Type="http://schemas.openxmlformats.org/officeDocument/2006/relationships/hyperlink" Target="https://hudoc.echr.coe.int/eng?i=001-219642" TargetMode="External"/><Relationship Id="rId581" Type="http://schemas.openxmlformats.org/officeDocument/2006/relationships/hyperlink" Target="http://hudoc.echr.coe.int/eng?i=001-116078" TargetMode="External"/><Relationship Id="rId71" Type="http://schemas.openxmlformats.org/officeDocument/2006/relationships/hyperlink" Target="http://hudoc.echr.coe.int/eng?i=001-99015" TargetMode="External"/><Relationship Id="rId92" Type="http://schemas.openxmlformats.org/officeDocument/2006/relationships/hyperlink" Target="https://hudoc.echr.coe.int/eng?i=001-224435" TargetMode="External"/><Relationship Id="rId213" Type="http://schemas.openxmlformats.org/officeDocument/2006/relationships/hyperlink" Target="https://hudoc.echr.coe.int/eng?i=001-170347" TargetMode="External"/><Relationship Id="rId234" Type="http://schemas.openxmlformats.org/officeDocument/2006/relationships/hyperlink" Target="https://hudoc.echr.coe.int/eng?i=001-219209" TargetMode="External"/><Relationship Id="rId420" Type="http://schemas.openxmlformats.org/officeDocument/2006/relationships/hyperlink" Target="http://hudoc.echr.coe.int/eng?i=001-208589" TargetMode="External"/><Relationship Id="rId616" Type="http://schemas.openxmlformats.org/officeDocument/2006/relationships/hyperlink" Target="https://hudoc.echr.coe.int/eng?i=001-114078" TargetMode="External"/><Relationship Id="rId2" Type="http://schemas.openxmlformats.org/officeDocument/2006/relationships/numbering" Target="numbering.xml"/><Relationship Id="rId29" Type="http://schemas.openxmlformats.org/officeDocument/2006/relationships/hyperlink" Target="https://hudoc.echr.coe.int/eng?i=001-114492" TargetMode="External"/><Relationship Id="rId255" Type="http://schemas.openxmlformats.org/officeDocument/2006/relationships/hyperlink" Target="http://hudoc.echr.coe.int/eng?i=001-61521" TargetMode="External"/><Relationship Id="rId276" Type="http://schemas.openxmlformats.org/officeDocument/2006/relationships/hyperlink" Target="http://hudoc.echr.coe.int/eng?i=001-140235" TargetMode="External"/><Relationship Id="rId297" Type="http://schemas.openxmlformats.org/officeDocument/2006/relationships/hyperlink" Target="http://hudoc.echr.coe.int/eng?i=001-207953" TargetMode="External"/><Relationship Id="rId441" Type="http://schemas.openxmlformats.org/officeDocument/2006/relationships/hyperlink" Target="https://hudoc.echr.coe.int/eng?i=001-60673" TargetMode="External"/><Relationship Id="rId462" Type="http://schemas.openxmlformats.org/officeDocument/2006/relationships/hyperlink" Target="https://hudoc.echr.coe.int/eng?i=001-108599" TargetMode="External"/><Relationship Id="rId483" Type="http://schemas.openxmlformats.org/officeDocument/2006/relationships/hyperlink" Target="https://hudoc.echr.coe.int/eng?i=001-187919" TargetMode="External"/><Relationship Id="rId518" Type="http://schemas.openxmlformats.org/officeDocument/2006/relationships/hyperlink" Target="https://hudoc.echr.coe.int/eng?i=001-101564" TargetMode="External"/><Relationship Id="rId539" Type="http://schemas.openxmlformats.org/officeDocument/2006/relationships/hyperlink" Target="https://hudoc.echr.coe.int/eng?i=001-217250" TargetMode="External"/><Relationship Id="rId40" Type="http://schemas.openxmlformats.org/officeDocument/2006/relationships/hyperlink" Target="http://hudoc.echr.coe.int/eng?i=001-58287" TargetMode="External"/><Relationship Id="rId115" Type="http://schemas.openxmlformats.org/officeDocument/2006/relationships/hyperlink" Target="http://hudoc.echr.coe.int/eng?i=001-115621" TargetMode="External"/><Relationship Id="rId136" Type="http://schemas.openxmlformats.org/officeDocument/2006/relationships/hyperlink" Target="https://hudoc.echr.coe.int/eng?i=001-207371" TargetMode="External"/><Relationship Id="rId157" Type="http://schemas.openxmlformats.org/officeDocument/2006/relationships/hyperlink" Target="https://hudoc.echr.coe.int/eng?i=001-152726" TargetMode="External"/><Relationship Id="rId178" Type="http://schemas.openxmlformats.org/officeDocument/2006/relationships/hyperlink" Target="https://hudoc.echr.coe.int/eng?i=001-79602" TargetMode="External"/><Relationship Id="rId301" Type="http://schemas.openxmlformats.org/officeDocument/2006/relationships/hyperlink" Target="https://hudoc.echr.coe.int/eng?i=001-203503" TargetMode="External"/><Relationship Id="rId322" Type="http://schemas.openxmlformats.org/officeDocument/2006/relationships/hyperlink" Target="http://hudoc.echr.coe.int/eng?i=001-58559" TargetMode="External"/><Relationship Id="rId343" Type="http://schemas.openxmlformats.org/officeDocument/2006/relationships/hyperlink" Target="https://hudoc.echr.coe.int/eng?i=001-101564" TargetMode="External"/><Relationship Id="rId364" Type="http://schemas.openxmlformats.org/officeDocument/2006/relationships/hyperlink" Target="https://hudoc.echr.coe.int/eng?i=001-231083" TargetMode="External"/><Relationship Id="rId550" Type="http://schemas.openxmlformats.org/officeDocument/2006/relationships/hyperlink" Target="https://hudoc.echr.coe.int/eng?i=001-187735" TargetMode="External"/><Relationship Id="rId61" Type="http://schemas.openxmlformats.org/officeDocument/2006/relationships/hyperlink" Target="http://hudoc.echr.coe.int/eng?i=001-99015" TargetMode="External"/><Relationship Id="rId82" Type="http://schemas.openxmlformats.org/officeDocument/2006/relationships/hyperlink" Target="https://hudoc.echr.coe.int/eng?i=001-169202" TargetMode="External"/><Relationship Id="rId199" Type="http://schemas.openxmlformats.org/officeDocument/2006/relationships/hyperlink" Target="https://hudoc.echr.coe.int/eng?i=001-97575" TargetMode="External"/><Relationship Id="rId203" Type="http://schemas.openxmlformats.org/officeDocument/2006/relationships/hyperlink" Target="https://echr.coe.int/Documents/Guide_Immigration_ENG.pdf" TargetMode="External"/><Relationship Id="rId385" Type="http://schemas.openxmlformats.org/officeDocument/2006/relationships/hyperlink" Target="http://hudoc.echr.coe.int/eng?i=001-207953" TargetMode="External"/><Relationship Id="rId571" Type="http://schemas.openxmlformats.org/officeDocument/2006/relationships/hyperlink" Target="https://hudoc.echr.coe.int/eng?i=001-68790" TargetMode="External"/><Relationship Id="rId592" Type="http://schemas.openxmlformats.org/officeDocument/2006/relationships/hyperlink" Target="https://hudoc.echr.coe.int/eng" TargetMode="External"/><Relationship Id="rId606" Type="http://schemas.openxmlformats.org/officeDocument/2006/relationships/hyperlink" Target="https://hudoc.echr.coe.int/eng?i=001-76999" TargetMode="External"/><Relationship Id="rId627" Type="http://schemas.openxmlformats.org/officeDocument/2006/relationships/fontTable" Target="fontTable.xml"/><Relationship Id="rId19" Type="http://schemas.openxmlformats.org/officeDocument/2006/relationships/hyperlink" Target="http://hudoc.echr.coe.int" TargetMode="External"/><Relationship Id="rId224" Type="http://schemas.openxmlformats.org/officeDocument/2006/relationships/hyperlink" Target="https://hudoc.echr.coe.int/eng?i=001-57781" TargetMode="External"/><Relationship Id="rId245" Type="http://schemas.openxmlformats.org/officeDocument/2006/relationships/hyperlink" Target="https://hudoc.echr.coe.int/eng?i=001-207953" TargetMode="External"/><Relationship Id="rId266" Type="http://schemas.openxmlformats.org/officeDocument/2006/relationships/hyperlink" Target="https://hudoc.echr.coe.int/eng?i=001-167118" TargetMode="External"/><Relationship Id="rId287" Type="http://schemas.openxmlformats.org/officeDocument/2006/relationships/hyperlink" Target="https://hudoc.echr.coe.int/eng?i=001-234259" TargetMode="External"/><Relationship Id="rId410" Type="http://schemas.openxmlformats.org/officeDocument/2006/relationships/hyperlink" Target="https://hudoc.echr.coe.int/eng?i=001-234259" TargetMode="External"/><Relationship Id="rId431" Type="http://schemas.openxmlformats.org/officeDocument/2006/relationships/hyperlink" Target="https://hudoc.echr.coe.int/eng?i=001-67028" TargetMode="External"/><Relationship Id="rId452" Type="http://schemas.openxmlformats.org/officeDocument/2006/relationships/hyperlink" Target="https://hudoc.echr.coe.int/eng?i=001-84277" TargetMode="External"/><Relationship Id="rId473" Type="http://schemas.openxmlformats.org/officeDocument/2006/relationships/hyperlink" Target="http://hudoc.echr.coe.int/fre?i=001-61886" TargetMode="External"/><Relationship Id="rId494" Type="http://schemas.openxmlformats.org/officeDocument/2006/relationships/hyperlink" Target="http://hudoc.echr.coe.int/eng?i=001-191587" TargetMode="External"/><Relationship Id="rId508" Type="http://schemas.openxmlformats.org/officeDocument/2006/relationships/hyperlink" Target="http://hudoc.echr.coe.int/eng?i=001-178178" TargetMode="External"/><Relationship Id="rId529" Type="http://schemas.openxmlformats.org/officeDocument/2006/relationships/hyperlink" Target="https://hudoc.echr.coe.int/eng?i=001-111427" TargetMode="External"/><Relationship Id="rId30" Type="http://schemas.openxmlformats.org/officeDocument/2006/relationships/hyperlink" Target="http://hudoc.echr.coe.int/eng?i=001-207953" TargetMode="External"/><Relationship Id="rId105" Type="http://schemas.openxmlformats.org/officeDocument/2006/relationships/hyperlink" Target="https://hudoc.echr.coe.int/eng?i=001-58408" TargetMode="External"/><Relationship Id="rId126" Type="http://schemas.openxmlformats.org/officeDocument/2006/relationships/hyperlink" Target="https://hudoc.echr.coe.int/eng?i=001-200556" TargetMode="External"/><Relationship Id="rId147" Type="http://schemas.openxmlformats.org/officeDocument/2006/relationships/hyperlink" Target="https://hudoc.echr.coe.int/eng?i=001-166937" TargetMode="External"/><Relationship Id="rId168" Type="http://schemas.openxmlformats.org/officeDocument/2006/relationships/hyperlink" Target="https://hudoc.echr.coe.int/eng?i=001-194307" TargetMode="External"/><Relationship Id="rId312" Type="http://schemas.openxmlformats.org/officeDocument/2006/relationships/hyperlink" Target="https://hudoc.echr.coe.int/eng?i=001-67028" TargetMode="External"/><Relationship Id="rId333" Type="http://schemas.openxmlformats.org/officeDocument/2006/relationships/hyperlink" Target="https://hudoc.echr.coe.int/eng?i=001-106783" TargetMode="External"/><Relationship Id="rId354" Type="http://schemas.openxmlformats.org/officeDocument/2006/relationships/hyperlink" Target="https://hudoc.echr.coe.int/eng?i=001-207953" TargetMode="External"/><Relationship Id="rId540" Type="http://schemas.openxmlformats.org/officeDocument/2006/relationships/hyperlink" Target="http://hudoc.echr.coe.int/eng?i=001-140235" TargetMode="External"/><Relationship Id="rId51" Type="http://schemas.openxmlformats.org/officeDocument/2006/relationships/hyperlink" Target="http://hudoc.echr.coe.int/eng?i=001-115621" TargetMode="External"/><Relationship Id="rId72" Type="http://schemas.openxmlformats.org/officeDocument/2006/relationships/hyperlink" Target="http://hudoc.echr.coe.int/fre?i=001-61886" TargetMode="External"/><Relationship Id="rId93" Type="http://schemas.openxmlformats.org/officeDocument/2006/relationships/hyperlink" Target="https://hudoc.echr.coe.int/eng?i=001-229928" TargetMode="External"/><Relationship Id="rId189" Type="http://schemas.openxmlformats.org/officeDocument/2006/relationships/hyperlink" Target="https://hudoc.echr.coe.int/eng?i=001-58594" TargetMode="External"/><Relationship Id="rId375" Type="http://schemas.openxmlformats.org/officeDocument/2006/relationships/hyperlink" Target="https://hudoc.echr.coe.int/eng?i=001-145229" TargetMode="External"/><Relationship Id="rId396" Type="http://schemas.openxmlformats.org/officeDocument/2006/relationships/hyperlink" Target="https://hudoc.echr.coe.int/eng?i=001-141908" TargetMode="External"/><Relationship Id="rId561" Type="http://schemas.openxmlformats.org/officeDocument/2006/relationships/hyperlink" Target="http://hudoc.echr.coe.int/eng?i=001-203509" TargetMode="External"/><Relationship Id="rId582" Type="http://schemas.openxmlformats.org/officeDocument/2006/relationships/hyperlink" Target="http://hudoc.echr.coe.int/eng?i=001-145817" TargetMode="External"/><Relationship Id="rId617" Type="http://schemas.openxmlformats.org/officeDocument/2006/relationships/hyperlink" Target="https://hudoc.echr.coe.int/eng?i=001-234270" TargetMode="External"/><Relationship Id="rId3" Type="http://schemas.openxmlformats.org/officeDocument/2006/relationships/styles" Target="styles.xml"/><Relationship Id="rId214" Type="http://schemas.openxmlformats.org/officeDocument/2006/relationships/hyperlink" Target="https://hudoc.echr.coe.int/eng?i=001-224563" TargetMode="External"/><Relationship Id="rId235" Type="http://schemas.openxmlformats.org/officeDocument/2006/relationships/hyperlink" Target="https://hudoc.echr.coe.int/eng?i=001-220954" TargetMode="External"/><Relationship Id="rId256" Type="http://schemas.openxmlformats.org/officeDocument/2006/relationships/hyperlink" Target="http://hudoc.echr.coe.int/eng?i=001-163103" TargetMode="External"/><Relationship Id="rId277" Type="http://schemas.openxmlformats.org/officeDocument/2006/relationships/hyperlink" Target="http://hudoc.echr.coe.int/eng?i=001-207953" TargetMode="External"/><Relationship Id="rId298" Type="http://schemas.openxmlformats.org/officeDocument/2006/relationships/hyperlink" Target="https://hudoc.echr.coe.int/eng?i=001-222872" TargetMode="External"/><Relationship Id="rId400" Type="http://schemas.openxmlformats.org/officeDocument/2006/relationships/hyperlink" Target="https://hudoc.echr.coe.int/eng?i=001-68601" TargetMode="External"/><Relationship Id="rId421" Type="http://schemas.openxmlformats.org/officeDocument/2006/relationships/hyperlink" Target="https://hudoc.echr.coe.int/eng?i=001-210536" TargetMode="External"/><Relationship Id="rId442" Type="http://schemas.openxmlformats.org/officeDocument/2006/relationships/hyperlink" Target="http://hudoc.echr.coe.int/eng?i=001-86218" TargetMode="External"/><Relationship Id="rId463" Type="http://schemas.openxmlformats.org/officeDocument/2006/relationships/hyperlink" Target="https://hudoc.echr.coe.int/eng?i=001-67346" TargetMode="External"/><Relationship Id="rId484" Type="http://schemas.openxmlformats.org/officeDocument/2006/relationships/hyperlink" Target="https://hudoc.echr.coe.int/eng?i=001-59884" TargetMode="External"/><Relationship Id="rId519" Type="http://schemas.openxmlformats.org/officeDocument/2006/relationships/hyperlink" Target="https://hudoc.echr.coe.int/eng?i=001-80395" TargetMode="External"/><Relationship Id="rId116" Type="http://schemas.openxmlformats.org/officeDocument/2006/relationships/hyperlink" Target="https://hudoc.echr.coe.int/eng?i=001-161822" TargetMode="External"/><Relationship Id="rId137" Type="http://schemas.openxmlformats.org/officeDocument/2006/relationships/hyperlink" Target="https://hudoc.echr.coe.int/eng?i=001-202620" TargetMode="External"/><Relationship Id="rId158" Type="http://schemas.openxmlformats.org/officeDocument/2006/relationships/hyperlink" Target="http://hudoc.echr.coe.int/eng?i=001-150771" TargetMode="External"/><Relationship Id="rId302" Type="http://schemas.openxmlformats.org/officeDocument/2006/relationships/hyperlink" Target="https://hudoc.echr.coe.int/eng?i=001-207360" TargetMode="External"/><Relationship Id="rId323" Type="http://schemas.openxmlformats.org/officeDocument/2006/relationships/hyperlink" Target="http://hudoc.echr.coe.int/eng?i=001-165032" TargetMode="External"/><Relationship Id="rId344" Type="http://schemas.openxmlformats.org/officeDocument/2006/relationships/hyperlink" Target="https://hudoc.echr.coe.int/eng?i=001-81906" TargetMode="External"/><Relationship Id="rId530" Type="http://schemas.openxmlformats.org/officeDocument/2006/relationships/hyperlink" Target="https://hudoc.echr.coe.int/eng?i=001-203295" TargetMode="External"/><Relationship Id="rId20" Type="http://schemas.openxmlformats.org/officeDocument/2006/relationships/hyperlink" Target="https://www.echr.coe.int/documents/d/echr/HUDOC_Manual_ENG" TargetMode="External"/><Relationship Id="rId41" Type="http://schemas.openxmlformats.org/officeDocument/2006/relationships/hyperlink" Target="http://hudoc.echr.coe.int/eng?i=001-63271" TargetMode="External"/><Relationship Id="rId62" Type="http://schemas.openxmlformats.org/officeDocument/2006/relationships/hyperlink" Target="http://hudoc.echr.coe.int/eng?i=001-97575" TargetMode="External"/><Relationship Id="rId83" Type="http://schemas.openxmlformats.org/officeDocument/2006/relationships/hyperlink" Target="https://hudoc.echr.coe.int/eng?i=001-60606" TargetMode="External"/><Relationship Id="rId179" Type="http://schemas.openxmlformats.org/officeDocument/2006/relationships/hyperlink" Target="https://hudoc.echr.coe.int/eng?i=001-89348" TargetMode="External"/><Relationship Id="rId365" Type="http://schemas.openxmlformats.org/officeDocument/2006/relationships/hyperlink" Target="http://hudoc.echr.coe.int/eng?i=001-153901" TargetMode="External"/><Relationship Id="rId386" Type="http://schemas.openxmlformats.org/officeDocument/2006/relationships/hyperlink" Target="https://hudoc.echr.coe.int/eng?i=001-113628" TargetMode="External"/><Relationship Id="rId551" Type="http://schemas.openxmlformats.org/officeDocument/2006/relationships/hyperlink" Target="https://hudoc.echr.coe.int/eng?i=001-210466" TargetMode="External"/><Relationship Id="rId572" Type="http://schemas.openxmlformats.org/officeDocument/2006/relationships/hyperlink" Target="https://hudoc.echr.coe.int/eng?i=001-207371" TargetMode="External"/><Relationship Id="rId593" Type="http://schemas.openxmlformats.org/officeDocument/2006/relationships/hyperlink" Target="http://hudoc.echr.coe.int/eng?i=001-57587" TargetMode="External"/><Relationship Id="rId607" Type="http://schemas.openxmlformats.org/officeDocument/2006/relationships/hyperlink" Target="https://hudoc.echr.coe.int/eng?i=001-79570" TargetMode="External"/><Relationship Id="rId628" Type="http://schemas.openxmlformats.org/officeDocument/2006/relationships/theme" Target="theme/theme1.xml"/><Relationship Id="rId190" Type="http://schemas.openxmlformats.org/officeDocument/2006/relationships/hyperlink" Target="https://hudoc.echr.coe.int/eng?i=001-58593" TargetMode="External"/><Relationship Id="rId204" Type="http://schemas.openxmlformats.org/officeDocument/2006/relationships/hyperlink" Target="https://hudoc.echr.coe.int/eng?i=001-162614" TargetMode="External"/><Relationship Id="rId225" Type="http://schemas.openxmlformats.org/officeDocument/2006/relationships/hyperlink" Target="https://hudoc.echr.coe.int/eng?i=001-81136" TargetMode="External"/><Relationship Id="rId246" Type="http://schemas.openxmlformats.org/officeDocument/2006/relationships/hyperlink" Target="https://hudoc.echr.coe.int/eng?i=001-210466" TargetMode="External"/><Relationship Id="rId267" Type="http://schemas.openxmlformats.org/officeDocument/2006/relationships/hyperlink" Target="http://hudoc.echr.coe.int/eng?i=001-172327" TargetMode="External"/><Relationship Id="rId288" Type="http://schemas.openxmlformats.org/officeDocument/2006/relationships/hyperlink" Target="https://hudoc.echr.coe.int/eng?i=001-234270" TargetMode="External"/><Relationship Id="rId411" Type="http://schemas.openxmlformats.org/officeDocument/2006/relationships/hyperlink" Target="http://hudoc.echr.coe.int/eng?i=001-146567" TargetMode="External"/><Relationship Id="rId432" Type="http://schemas.openxmlformats.org/officeDocument/2006/relationships/hyperlink" Target="http://hudoc.echr.coe.int/eng?i=001-200842" TargetMode="External"/><Relationship Id="rId453" Type="http://schemas.openxmlformats.org/officeDocument/2006/relationships/hyperlink" Target="https://hudoc.echr.coe.int/eng?i=001-216628" TargetMode="External"/><Relationship Id="rId474" Type="http://schemas.openxmlformats.org/officeDocument/2006/relationships/hyperlink" Target="http://hudoc.echr.coe.int/eng?i=001-58734" TargetMode="External"/><Relationship Id="rId509" Type="http://schemas.openxmlformats.org/officeDocument/2006/relationships/hyperlink" Target="https://hudoc.echr.coe.int/eng?i=001-231083" TargetMode="External"/><Relationship Id="rId106" Type="http://schemas.openxmlformats.org/officeDocument/2006/relationships/hyperlink" Target="https://hudoc.echr.coe.int/eng?i=001-57905" TargetMode="External"/><Relationship Id="rId127" Type="http://schemas.openxmlformats.org/officeDocument/2006/relationships/hyperlink" Target="https://hudoc.echr.coe.int/eng?i=001-60521" TargetMode="External"/><Relationship Id="rId313" Type="http://schemas.openxmlformats.org/officeDocument/2006/relationships/hyperlink" Target="http://hudoc.echr.coe.int/eng?i=001-226449" TargetMode="External"/><Relationship Id="rId495" Type="http://schemas.openxmlformats.org/officeDocument/2006/relationships/hyperlink" Target="https://hudoc.echr.coe.int/eng?i=001-217061" TargetMode="External"/><Relationship Id="rId10" Type="http://schemas.openxmlformats.org/officeDocument/2006/relationships/hyperlink" Target="https://ks.echr.coe.int/" TargetMode="External"/><Relationship Id="rId31" Type="http://schemas.openxmlformats.org/officeDocument/2006/relationships/hyperlink" Target="https://hudoc.echr.coe.int/eng?i=001-214330" TargetMode="External"/><Relationship Id="rId52" Type="http://schemas.openxmlformats.org/officeDocument/2006/relationships/hyperlink" Target="http://hudoc.echr.coe.int/eng?i=001-203313" TargetMode="External"/><Relationship Id="rId73" Type="http://schemas.openxmlformats.org/officeDocument/2006/relationships/hyperlink" Target="http://hudoc.echr.coe.int/eng?i=001-103050" TargetMode="External"/><Relationship Id="rId94" Type="http://schemas.openxmlformats.org/officeDocument/2006/relationships/hyperlink" Target="https://hudoc.echr.coe.int/eng?i=001-77447" TargetMode="External"/><Relationship Id="rId148" Type="http://schemas.openxmlformats.org/officeDocument/2006/relationships/hyperlink" Target="https://echr.coe.int/Documents/Guide_Prisoners_rights_ENG.pdf" TargetMode="External"/><Relationship Id="rId169" Type="http://schemas.openxmlformats.org/officeDocument/2006/relationships/hyperlink" Target="http://hudoc.echr.coe.int/fre?i=001-94162" TargetMode="External"/><Relationship Id="rId334" Type="http://schemas.openxmlformats.org/officeDocument/2006/relationships/hyperlink" Target="https://hudoc.echr.coe.int/eng?i=001-84670" TargetMode="External"/><Relationship Id="rId355" Type="http://schemas.openxmlformats.org/officeDocument/2006/relationships/hyperlink" Target="https://hudoc.echr.coe.int/eng?i=001-209353" TargetMode="External"/><Relationship Id="rId376" Type="http://schemas.openxmlformats.org/officeDocument/2006/relationships/hyperlink" Target="https://hudoc.echr.coe.int/eng?i=001-141908" TargetMode="External"/><Relationship Id="rId397" Type="http://schemas.openxmlformats.org/officeDocument/2006/relationships/hyperlink" Target="http://hudoc.echr.coe.int/eng?i=001-198889" TargetMode="External"/><Relationship Id="rId520" Type="http://schemas.openxmlformats.org/officeDocument/2006/relationships/hyperlink" Target="https://hudoc.echr.coe.int/eng?i=001-102252" TargetMode="External"/><Relationship Id="rId541" Type="http://schemas.openxmlformats.org/officeDocument/2006/relationships/hyperlink" Target="http://hudoc.echr.coe.int/eng?i=001-99626" TargetMode="External"/><Relationship Id="rId562" Type="http://schemas.openxmlformats.org/officeDocument/2006/relationships/hyperlink" Target="https://hudoc.echr.coe.int/eng?i=001-207360" TargetMode="External"/><Relationship Id="rId583" Type="http://schemas.openxmlformats.org/officeDocument/2006/relationships/hyperlink" Target="https://hudoc.echr.coe.int/eng?i=001-58593" TargetMode="External"/><Relationship Id="rId618" Type="http://schemas.openxmlformats.org/officeDocument/2006/relationships/hyperlink" Target="http://hudoc.echr.coe.int/eng?i=001-59455" TargetMode="External"/><Relationship Id="rId4" Type="http://schemas.openxmlformats.org/officeDocument/2006/relationships/settings" Target="settings.xml"/><Relationship Id="rId180" Type="http://schemas.openxmlformats.org/officeDocument/2006/relationships/hyperlink" Target="https://hudoc.echr.coe.int/eng?i=001-68601" TargetMode="External"/><Relationship Id="rId215" Type="http://schemas.openxmlformats.org/officeDocument/2006/relationships/hyperlink" Target="https://hudoc.echr.coe.int/eng?i=001-122664" TargetMode="External"/><Relationship Id="rId236" Type="http://schemas.openxmlformats.org/officeDocument/2006/relationships/hyperlink" Target="https://hudoc.echr.coe.int/eng?i=001-219642" TargetMode="External"/><Relationship Id="rId257" Type="http://schemas.openxmlformats.org/officeDocument/2006/relationships/hyperlink" Target="http://hudoc.echr.coe.int/eng?i=001-161380" TargetMode="External"/><Relationship Id="rId278" Type="http://schemas.openxmlformats.org/officeDocument/2006/relationships/hyperlink" Target="https://hudoc.echr.coe.int/eng?i=001-210463" TargetMode="External"/><Relationship Id="rId401" Type="http://schemas.openxmlformats.org/officeDocument/2006/relationships/hyperlink" Target="https://hudoc.echr.coe.int/eng?i=001-79602" TargetMode="External"/><Relationship Id="rId422" Type="http://schemas.openxmlformats.org/officeDocument/2006/relationships/hyperlink" Target="https://hudoc.echr.coe.int/eng?i=001-80050" TargetMode="External"/><Relationship Id="rId443" Type="http://schemas.openxmlformats.org/officeDocument/2006/relationships/hyperlink" Target="https://hudoc.echr.coe.int/eng?i=001-126452" TargetMode="External"/><Relationship Id="rId464" Type="http://schemas.openxmlformats.org/officeDocument/2006/relationships/hyperlink" Target="https://hudoc.echr.coe.int/eng?i=001-57781" TargetMode="External"/><Relationship Id="rId303" Type="http://schemas.openxmlformats.org/officeDocument/2006/relationships/hyperlink" Target="https://hudoc.echr.coe.int/eng?i=001-80395" TargetMode="External"/><Relationship Id="rId485" Type="http://schemas.openxmlformats.org/officeDocument/2006/relationships/hyperlink" Target="https://hudoc.echr.coe.int/eng?i=001-122885" TargetMode="External"/><Relationship Id="rId42" Type="http://schemas.openxmlformats.org/officeDocument/2006/relationships/hyperlink" Target="https://hudoc.echr.coe.int/eng?i=001-146044" TargetMode="External"/><Relationship Id="rId84" Type="http://schemas.openxmlformats.org/officeDocument/2006/relationships/hyperlink" Target="https://hudoc.echr.coe.int/eng?i=001-59884" TargetMode="External"/><Relationship Id="rId138" Type="http://schemas.openxmlformats.org/officeDocument/2006/relationships/hyperlink" Target="https://hudoc.echr.coe.int/eng?i=001-145817" TargetMode="External"/><Relationship Id="rId345" Type="http://schemas.openxmlformats.org/officeDocument/2006/relationships/hyperlink" Target="https://hudoc.echr.coe.int/eng?i=001-210536" TargetMode="External"/><Relationship Id="rId387" Type="http://schemas.openxmlformats.org/officeDocument/2006/relationships/hyperlink" Target="http://hudoc.echr.coe.int/eng?i=001-165032" TargetMode="External"/><Relationship Id="rId510" Type="http://schemas.openxmlformats.org/officeDocument/2006/relationships/hyperlink" Target="http://hudoc.echr.coe.int/eng?i=001-161380" TargetMode="External"/><Relationship Id="rId552" Type="http://schemas.openxmlformats.org/officeDocument/2006/relationships/hyperlink" Target="https://hudoc.echr.coe.int/eng?i=001-104911" TargetMode="External"/><Relationship Id="rId594" Type="http://schemas.openxmlformats.org/officeDocument/2006/relationships/hyperlink" Target="https://hudoc.echr.coe.int/eng?i=001-58594" TargetMode="External"/><Relationship Id="rId608" Type="http://schemas.openxmlformats.org/officeDocument/2006/relationships/hyperlink" Target="https://hudoc.echr.coe.int/eng?i=001-116416" TargetMode="External"/><Relationship Id="rId191" Type="http://schemas.openxmlformats.org/officeDocument/2006/relationships/hyperlink" Target="https://hudoc.echr.coe.int/eng?i=001-110267" TargetMode="External"/><Relationship Id="rId205" Type="http://schemas.openxmlformats.org/officeDocument/2006/relationships/hyperlink" Target="https://hudoc.echr.coe.int/eng?i=001-170347" TargetMode="External"/><Relationship Id="rId247" Type="http://schemas.openxmlformats.org/officeDocument/2006/relationships/hyperlink" Target="http://hudoc.echr.coe.int/eng?i=001-103350" TargetMode="External"/><Relationship Id="rId412" Type="http://schemas.openxmlformats.org/officeDocument/2006/relationships/hyperlink" Target="http://hudoc.echr.coe.int/eng?i=001-106436" TargetMode="External"/><Relationship Id="rId107" Type="http://schemas.openxmlformats.org/officeDocument/2006/relationships/hyperlink" Target="https://hudoc.echr.coe.int/eng?i=001-76999" TargetMode="External"/><Relationship Id="rId289" Type="http://schemas.openxmlformats.org/officeDocument/2006/relationships/hyperlink" Target="http://hudoc.echr.coe.int/eng?i=001-207953" TargetMode="External"/><Relationship Id="rId454" Type="http://schemas.openxmlformats.org/officeDocument/2006/relationships/hyperlink" Target="https://hudoc.echr.coe.int/eng?i=001-220954" TargetMode="External"/><Relationship Id="rId496" Type="http://schemas.openxmlformats.org/officeDocument/2006/relationships/hyperlink" Target="http://hudoc.echr.coe.int/eng?i=001-170054" TargetMode="External"/><Relationship Id="rId11" Type="http://schemas.openxmlformats.org/officeDocument/2006/relationships/hyperlink" Target="https://twitter.com/echrpublication" TargetMode="External"/><Relationship Id="rId53" Type="http://schemas.openxmlformats.org/officeDocument/2006/relationships/hyperlink" Target="https://hudoc.echr.coe.int/eng?i=001-207417" TargetMode="External"/><Relationship Id="rId149" Type="http://schemas.openxmlformats.org/officeDocument/2006/relationships/hyperlink" Target="https://hudoc.echr.coe.int/eng?i=001-79570" TargetMode="External"/><Relationship Id="rId314" Type="http://schemas.openxmlformats.org/officeDocument/2006/relationships/hyperlink" Target="https://hudoc.echr.coe.int/eng?i=001-154161" TargetMode="External"/><Relationship Id="rId356" Type="http://schemas.openxmlformats.org/officeDocument/2006/relationships/hyperlink" Target="http://hudoc.echr.coe.int/eng?i=001-86218" TargetMode="External"/><Relationship Id="rId398" Type="http://schemas.openxmlformats.org/officeDocument/2006/relationships/hyperlink" Target="http://hudoc.echr.coe.int/eng?i=001-183687" TargetMode="External"/><Relationship Id="rId521" Type="http://schemas.openxmlformats.org/officeDocument/2006/relationships/hyperlink" Target="http://hudoc.echr.coe.int/fre?i=001-146540" TargetMode="External"/><Relationship Id="rId563" Type="http://schemas.openxmlformats.org/officeDocument/2006/relationships/hyperlink" Target="https://hudoc.echr.coe.int/eng?i=001-117134" TargetMode="External"/><Relationship Id="rId619" Type="http://schemas.openxmlformats.org/officeDocument/2006/relationships/hyperlink" Target="http://hudoc.echr.coe.int/fre?i=001-198811" TargetMode="External"/><Relationship Id="rId95" Type="http://schemas.openxmlformats.org/officeDocument/2006/relationships/hyperlink" Target="https://hudoc.echr.coe.int/eng?i=001-60673" TargetMode="External"/><Relationship Id="rId160" Type="http://schemas.openxmlformats.org/officeDocument/2006/relationships/hyperlink" Target="http://hudoc.echr.coe.int/eng?i=001-108465" TargetMode="External"/><Relationship Id="rId216" Type="http://schemas.openxmlformats.org/officeDocument/2006/relationships/hyperlink" Target="https://hudoc.echr.coe.int/eng?i=001-220484" TargetMode="External"/><Relationship Id="rId423" Type="http://schemas.openxmlformats.org/officeDocument/2006/relationships/hyperlink" Target="https://hudoc.echr.coe.int/eng?i=001-156246" TargetMode="External"/><Relationship Id="rId258" Type="http://schemas.openxmlformats.org/officeDocument/2006/relationships/hyperlink" Target="http://hudoc.echr.coe.int/eng?i=001-61121" TargetMode="External"/><Relationship Id="rId465" Type="http://schemas.openxmlformats.org/officeDocument/2006/relationships/hyperlink" Target="https://hudoc.echr.coe.int/eng?i=001-106783" TargetMode="External"/><Relationship Id="rId22" Type="http://schemas.openxmlformats.org/officeDocument/2006/relationships/hyperlink" Target="http://hudoc.echr.coe.int/eng?i=001-157670" TargetMode="External"/><Relationship Id="rId64" Type="http://schemas.openxmlformats.org/officeDocument/2006/relationships/hyperlink" Target="http://hudoc.echr.coe.int/eng?i=001-230250" TargetMode="External"/><Relationship Id="rId118" Type="http://schemas.openxmlformats.org/officeDocument/2006/relationships/hyperlink" Target="http://hudoc.echr.coe.int/eng?i=001-157670" TargetMode="External"/><Relationship Id="rId325" Type="http://schemas.openxmlformats.org/officeDocument/2006/relationships/hyperlink" Target="http://hudoc.echr.coe.int/eng?i=001-115621" TargetMode="External"/><Relationship Id="rId367" Type="http://schemas.openxmlformats.org/officeDocument/2006/relationships/hyperlink" Target="https://hudoc.echr.coe.int/eng?i=001-210536" TargetMode="External"/><Relationship Id="rId532" Type="http://schemas.openxmlformats.org/officeDocument/2006/relationships/hyperlink" Target="https://hudoc.echr.coe.int/eng?i=001-66182" TargetMode="External"/><Relationship Id="rId574" Type="http://schemas.openxmlformats.org/officeDocument/2006/relationships/hyperlink" Target="http://hudoc.echr.coe.int/eng?i=001-172963" TargetMode="External"/><Relationship Id="rId171" Type="http://schemas.openxmlformats.org/officeDocument/2006/relationships/hyperlink" Target="http://hudoc.echr.coe.int/fre?i=001-127684" TargetMode="External"/><Relationship Id="rId227" Type="http://schemas.openxmlformats.org/officeDocument/2006/relationships/hyperlink" Target="https://hudoc.echr.coe.int/eng?i=001-221265" TargetMode="External"/><Relationship Id="rId269" Type="http://schemas.openxmlformats.org/officeDocument/2006/relationships/hyperlink" Target="https://hudoc.echr.coe.int/eng?i=001-216628" TargetMode="External"/><Relationship Id="rId434" Type="http://schemas.openxmlformats.org/officeDocument/2006/relationships/hyperlink" Target="http://hudoc.echr.coe.int/eng?i=001-153901" TargetMode="External"/><Relationship Id="rId476" Type="http://schemas.openxmlformats.org/officeDocument/2006/relationships/hyperlink" Target="http://hudoc.echr.coe.int/fre?i=001-210530" TargetMode="External"/><Relationship Id="rId33" Type="http://schemas.openxmlformats.org/officeDocument/2006/relationships/hyperlink" Target="http://hudoc.echr.coe.int/eng?i=001-170054" TargetMode="External"/><Relationship Id="rId129" Type="http://schemas.openxmlformats.org/officeDocument/2006/relationships/hyperlink" Target="https://hudoc.echr.coe.int/eng?i=001-208307" TargetMode="External"/><Relationship Id="rId280" Type="http://schemas.openxmlformats.org/officeDocument/2006/relationships/hyperlink" Target="http://hudoc.echr.coe.int/eng?i=001-103350" TargetMode="External"/><Relationship Id="rId336" Type="http://schemas.openxmlformats.org/officeDocument/2006/relationships/hyperlink" Target="http://hudoc.echr.coe.int/eng?i=001-187580" TargetMode="External"/><Relationship Id="rId501" Type="http://schemas.openxmlformats.org/officeDocument/2006/relationships/hyperlink" Target="https://hudoc.echr.coe.int/eng?i=001-57905" TargetMode="External"/><Relationship Id="rId543" Type="http://schemas.openxmlformats.org/officeDocument/2006/relationships/hyperlink" Target="https://hudoc.echr.coe.int/eng?i=001-79644" TargetMode="External"/><Relationship Id="rId75" Type="http://schemas.openxmlformats.org/officeDocument/2006/relationships/hyperlink" Target="http://hudoc.echr.coe.int/eng?i=001-57587" TargetMode="External"/><Relationship Id="rId140" Type="http://schemas.openxmlformats.org/officeDocument/2006/relationships/hyperlink" Target="https://hudoc.echr.coe.int/eng?i=001-207371" TargetMode="External"/><Relationship Id="rId182" Type="http://schemas.openxmlformats.org/officeDocument/2006/relationships/hyperlink" Target="https://hudoc.echr.coe.int/eng?i=001-162199" TargetMode="External"/><Relationship Id="rId378" Type="http://schemas.openxmlformats.org/officeDocument/2006/relationships/hyperlink" Target="https://hudoc.echr.coe.int/eng?i=001-141908" TargetMode="External"/><Relationship Id="rId403" Type="http://schemas.openxmlformats.org/officeDocument/2006/relationships/hyperlink" Target="http://hudoc.echr.coe.int/eng?i=001-110262" TargetMode="External"/><Relationship Id="rId585" Type="http://schemas.openxmlformats.org/officeDocument/2006/relationships/hyperlink" Target="https://hudoc.echr.coe.int/eng?i=001-95892" TargetMode="External"/><Relationship Id="rId6" Type="http://schemas.openxmlformats.org/officeDocument/2006/relationships/footnotes" Target="footnotes.xml"/><Relationship Id="rId238" Type="http://schemas.openxmlformats.org/officeDocument/2006/relationships/hyperlink" Target="http://hudoc.echr.coe.int/eng?i=001-76307" TargetMode="External"/><Relationship Id="rId445" Type="http://schemas.openxmlformats.org/officeDocument/2006/relationships/hyperlink" Target="http://hudoc.echr.coe.int/eng?i=001-105691" TargetMode="External"/><Relationship Id="rId487" Type="http://schemas.openxmlformats.org/officeDocument/2006/relationships/hyperlink" Target="http://hudoc.echr.coe.int/eng?i=001-76307" TargetMode="External"/><Relationship Id="rId610" Type="http://schemas.openxmlformats.org/officeDocument/2006/relationships/hyperlink" Target="http://hudoc.echr.coe.int/eng?i=001-207953" TargetMode="External"/><Relationship Id="rId291" Type="http://schemas.openxmlformats.org/officeDocument/2006/relationships/hyperlink" Target="https://hudoc.echr.coe.int/eng?i=001-58559" TargetMode="External"/><Relationship Id="rId305" Type="http://schemas.openxmlformats.org/officeDocument/2006/relationships/hyperlink" Target="https://hudoc.echr.coe.int/eng?i=001-204154" TargetMode="External"/><Relationship Id="rId347" Type="http://schemas.openxmlformats.org/officeDocument/2006/relationships/hyperlink" Target="http://hudoc.echr.coe.int/eng?i=001-208879" TargetMode="External"/><Relationship Id="rId512" Type="http://schemas.openxmlformats.org/officeDocument/2006/relationships/hyperlink" Target="http://hudoc.echr.coe.int/eng?i=001-152259" TargetMode="External"/><Relationship Id="rId44" Type="http://schemas.openxmlformats.org/officeDocument/2006/relationships/hyperlink" Target="http://hudoc.echr.coe.int/eng?i=001-58287" TargetMode="External"/><Relationship Id="rId86" Type="http://schemas.openxmlformats.org/officeDocument/2006/relationships/hyperlink" Target="https://hudoc.echr.coe.int/eng?i=001-95892" TargetMode="External"/><Relationship Id="rId151" Type="http://schemas.openxmlformats.org/officeDocument/2006/relationships/hyperlink" Target="https://echr.coe.int/Documents/Guide_Prisoners_rights_ENG.pdf" TargetMode="External"/><Relationship Id="rId389" Type="http://schemas.openxmlformats.org/officeDocument/2006/relationships/hyperlink" Target="http://hudoc.echr.coe.int/eng?i=001-198385" TargetMode="External"/><Relationship Id="rId554" Type="http://schemas.openxmlformats.org/officeDocument/2006/relationships/hyperlink" Target="http://hudoc.echr.coe.int/eng?i=001-194233" TargetMode="External"/><Relationship Id="rId596" Type="http://schemas.openxmlformats.org/officeDocument/2006/relationships/hyperlink" Target="http://hudoc.echr.coe.int/eng?i=001-187580" TargetMode="External"/><Relationship Id="rId193" Type="http://schemas.openxmlformats.org/officeDocument/2006/relationships/hyperlink" Target="https://hudoc.echr.coe.int/eng?i=001-118583" TargetMode="External"/><Relationship Id="rId207" Type="http://schemas.openxmlformats.org/officeDocument/2006/relationships/hyperlink" Target="https://hudoc.echr.coe.int/eng?i=001-162614" TargetMode="External"/><Relationship Id="rId249" Type="http://schemas.openxmlformats.org/officeDocument/2006/relationships/hyperlink" Target="http://hudoc.echr.coe.int/eng?i=001-59455" TargetMode="External"/><Relationship Id="rId414" Type="http://schemas.openxmlformats.org/officeDocument/2006/relationships/hyperlink" Target="http://hudoc.echr.coe.int/eng?i=001-203033" TargetMode="External"/><Relationship Id="rId456" Type="http://schemas.openxmlformats.org/officeDocument/2006/relationships/hyperlink" Target="https://hudoc.echr.coe.int/eng?i=001-105820" TargetMode="External"/><Relationship Id="rId498" Type="http://schemas.openxmlformats.org/officeDocument/2006/relationships/hyperlink" Target="http://hudoc.echr.coe.int/eng?i=001-58920" TargetMode="External"/><Relationship Id="rId621" Type="http://schemas.openxmlformats.org/officeDocument/2006/relationships/header" Target="header1.xml"/><Relationship Id="rId13" Type="http://schemas.openxmlformats.org/officeDocument/2006/relationships/hyperlink" Target="http://hudoc.echr.coe.int/eng?i=001-165032" TargetMode="External"/><Relationship Id="rId109" Type="http://schemas.openxmlformats.org/officeDocument/2006/relationships/hyperlink" Target="https://hudoc.echr.coe.int/eng?i=001-171778" TargetMode="External"/><Relationship Id="rId260" Type="http://schemas.openxmlformats.org/officeDocument/2006/relationships/hyperlink" Target="http://hudoc.echr.coe.int/eng?i=001-127393" TargetMode="External"/><Relationship Id="rId316" Type="http://schemas.openxmlformats.org/officeDocument/2006/relationships/hyperlink" Target="http://hudoc.echr.coe.int/eng?i=001-113302" TargetMode="External"/><Relationship Id="rId523" Type="http://schemas.openxmlformats.org/officeDocument/2006/relationships/hyperlink" Target="https://hudoc.echr.coe.int/eng?i=001-77447" TargetMode="External"/><Relationship Id="rId55" Type="http://schemas.openxmlformats.org/officeDocument/2006/relationships/hyperlink" Target="https://hudoc.echr.coe.int/eng?i=001-84670" TargetMode="External"/><Relationship Id="rId97" Type="http://schemas.openxmlformats.org/officeDocument/2006/relationships/hyperlink" Target="https://hudoc.echr.coe.int/eng?i=001-67614" TargetMode="External"/><Relationship Id="rId120" Type="http://schemas.openxmlformats.org/officeDocument/2006/relationships/hyperlink" Target="http://hudoc.echr.coe.int/eng?i=001-157670" TargetMode="External"/><Relationship Id="rId358" Type="http://schemas.openxmlformats.org/officeDocument/2006/relationships/hyperlink" Target="http://hudoc.echr.coe.int/eng?i=001-193877" TargetMode="External"/><Relationship Id="rId565" Type="http://schemas.openxmlformats.org/officeDocument/2006/relationships/hyperlink" Target="https://hudoc.echr.coe.int/eng?i=001-220484" TargetMode="External"/><Relationship Id="rId162" Type="http://schemas.openxmlformats.org/officeDocument/2006/relationships/hyperlink" Target="http://hudoc.echr.coe.int/eng?i=001-167483" TargetMode="External"/><Relationship Id="rId218" Type="http://schemas.openxmlformats.org/officeDocument/2006/relationships/hyperlink" Target="https://hudoc.echr.coe.int/eng?i=001-217061" TargetMode="External"/><Relationship Id="rId425" Type="http://schemas.openxmlformats.org/officeDocument/2006/relationships/hyperlink" Target="https://hudoc.echr.coe.int/eng?i=001-93258" TargetMode="External"/><Relationship Id="rId467" Type="http://schemas.openxmlformats.org/officeDocument/2006/relationships/hyperlink" Target="http://hudoc.echr.coe.int/eng?i=001-184659" TargetMode="External"/><Relationship Id="rId271" Type="http://schemas.openxmlformats.org/officeDocument/2006/relationships/hyperlink" Target="http://hudoc.echr.coe.int/eng?i=001-207953" TargetMode="External"/><Relationship Id="rId24" Type="http://schemas.openxmlformats.org/officeDocument/2006/relationships/hyperlink" Target="http://hudoc.echr.coe.int/eng?i=001-146540" TargetMode="External"/><Relationship Id="rId66" Type="http://schemas.openxmlformats.org/officeDocument/2006/relationships/hyperlink" Target="https://hudoc.echr.coe.int/eng?i=001-67346" TargetMode="External"/><Relationship Id="rId131" Type="http://schemas.openxmlformats.org/officeDocument/2006/relationships/hyperlink" Target="https://hudoc.echr.coe.int/eng?i=001-126982" TargetMode="External"/><Relationship Id="rId327" Type="http://schemas.openxmlformats.org/officeDocument/2006/relationships/hyperlink" Target="http://hudoc.echr.coe.int/eng?i=001-106436" TargetMode="External"/><Relationship Id="rId369" Type="http://schemas.openxmlformats.org/officeDocument/2006/relationships/hyperlink" Target="https://hudoc.echr.coe.int/eng?i=001-187735" TargetMode="External"/><Relationship Id="rId534" Type="http://schemas.openxmlformats.org/officeDocument/2006/relationships/hyperlink" Target="http://hudoc.echr.coe.int/eng?i=001-150771" TargetMode="External"/><Relationship Id="rId576" Type="http://schemas.openxmlformats.org/officeDocument/2006/relationships/hyperlink" Target="http://hudoc.echr.coe.int/eng?i=001-98334" TargetMode="External"/><Relationship Id="rId173" Type="http://schemas.openxmlformats.org/officeDocument/2006/relationships/hyperlink" Target="https://hudoc.echr.coe.int/eng?i=001-77932" TargetMode="External"/><Relationship Id="rId229" Type="http://schemas.openxmlformats.org/officeDocument/2006/relationships/hyperlink" Target="https://hudoc.echr.coe.int/eng?i=001-231739" TargetMode="External"/><Relationship Id="rId380" Type="http://schemas.openxmlformats.org/officeDocument/2006/relationships/hyperlink" Target="https://hudoc.echr.coe.int/eng?i=001-145229" TargetMode="External"/><Relationship Id="rId436" Type="http://schemas.openxmlformats.org/officeDocument/2006/relationships/hyperlink" Target="http://hudoc.echr.coe.int/eng?i=001-87354" TargetMode="External"/><Relationship Id="rId601" Type="http://schemas.openxmlformats.org/officeDocument/2006/relationships/hyperlink" Target="https://hudoc.echr.coe.int/eng?i=001-77641" TargetMode="External"/><Relationship Id="rId240" Type="http://schemas.openxmlformats.org/officeDocument/2006/relationships/hyperlink" Target="http://hudoc.echr.coe.int/eng?i=001-72120" TargetMode="External"/><Relationship Id="rId478" Type="http://schemas.openxmlformats.org/officeDocument/2006/relationships/hyperlink" Target="https://hudoc.echr.coe.int/eng?i=001-64280" TargetMode="External"/><Relationship Id="rId35" Type="http://schemas.openxmlformats.org/officeDocument/2006/relationships/hyperlink" Target="http://hudoc.echr.coe.int/eng?i=001-157670" TargetMode="External"/><Relationship Id="rId77" Type="http://schemas.openxmlformats.org/officeDocument/2006/relationships/hyperlink" Target="http://hudoc.echr.coe.int/eng?i=001-59565" TargetMode="External"/><Relationship Id="rId100" Type="http://schemas.openxmlformats.org/officeDocument/2006/relationships/hyperlink" Target="https://hudoc.echr.coe.int/eng?i=001-58734" TargetMode="External"/><Relationship Id="rId282" Type="http://schemas.openxmlformats.org/officeDocument/2006/relationships/hyperlink" Target="http://hudoc.echr.coe.int/fre?i=001-194321" TargetMode="External"/><Relationship Id="rId338" Type="http://schemas.openxmlformats.org/officeDocument/2006/relationships/hyperlink" Target="https://hudoc.echr.coe.int/eng?i=001-157670" TargetMode="External"/><Relationship Id="rId503" Type="http://schemas.openxmlformats.org/officeDocument/2006/relationships/hyperlink" Target="https://hudoc.echr.coe.int/eng?i=001-152726" TargetMode="External"/><Relationship Id="rId545" Type="http://schemas.openxmlformats.org/officeDocument/2006/relationships/hyperlink" Target="http://hudoc.echr.coe.int/eng?i=001-61121" TargetMode="External"/><Relationship Id="rId587" Type="http://schemas.openxmlformats.org/officeDocument/2006/relationships/hyperlink" Target="http://hudoc.echr.coe.int/eng?i=001-171994"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s://hudoc.echr.coe.int/eng?i=001-122885" TargetMode="External"/><Relationship Id="rId184" Type="http://schemas.openxmlformats.org/officeDocument/2006/relationships/hyperlink" Target="https://hudoc.echr.coe.int/eng?i=001-77447" TargetMode="External"/><Relationship Id="rId391" Type="http://schemas.openxmlformats.org/officeDocument/2006/relationships/hyperlink" Target="https://hudoc.echr.coe.int/eng?i=001-91403" TargetMode="External"/><Relationship Id="rId405" Type="http://schemas.openxmlformats.org/officeDocument/2006/relationships/hyperlink" Target="http://hudoc.echr.coe.int/eng?i=001-183685" TargetMode="External"/><Relationship Id="rId447" Type="http://schemas.openxmlformats.org/officeDocument/2006/relationships/hyperlink" Target="http://hudoc.echr.coe.int/eng?i=001-209077" TargetMode="External"/><Relationship Id="rId612" Type="http://schemas.openxmlformats.org/officeDocument/2006/relationships/hyperlink" Target="https://hudoc.echr.coe.int/eng?i=001-219209" TargetMode="External"/><Relationship Id="rId251" Type="http://schemas.openxmlformats.org/officeDocument/2006/relationships/hyperlink" Target="http://hudoc.echr.coe.int/eng?i=001-140240" TargetMode="External"/><Relationship Id="rId489" Type="http://schemas.openxmlformats.org/officeDocument/2006/relationships/hyperlink" Target="http://hudoc.echr.coe.int/eng?i=001-165032" TargetMode="External"/><Relationship Id="rId46" Type="http://schemas.openxmlformats.org/officeDocument/2006/relationships/hyperlink" Target="https://hudoc.echr.coe.int/eng?i=001-228349" TargetMode="External"/><Relationship Id="rId293" Type="http://schemas.openxmlformats.org/officeDocument/2006/relationships/hyperlink" Target="http://hudoc.echr.coe.int/eng?i=001-112576" TargetMode="External"/><Relationship Id="rId307" Type="http://schemas.openxmlformats.org/officeDocument/2006/relationships/hyperlink" Target="http://hudoc.echr.coe.int/eng?i=001-157670" TargetMode="External"/><Relationship Id="rId349" Type="http://schemas.openxmlformats.org/officeDocument/2006/relationships/hyperlink" Target="http://hudoc.echr.coe.int/eng?i=001-156419" TargetMode="External"/><Relationship Id="rId514" Type="http://schemas.openxmlformats.org/officeDocument/2006/relationships/hyperlink" Target="http://hudoc.echr.coe.int/eng?i=001-103050" TargetMode="External"/><Relationship Id="rId556" Type="http://schemas.openxmlformats.org/officeDocument/2006/relationships/hyperlink" Target="http://hudoc.echr.coe.int/eng?i=001-150790" TargetMode="External"/><Relationship Id="rId88" Type="http://schemas.openxmlformats.org/officeDocument/2006/relationships/hyperlink" Target="https://hudoc.echr.coe.int/eng?i=001-203295" TargetMode="External"/><Relationship Id="rId111" Type="http://schemas.openxmlformats.org/officeDocument/2006/relationships/hyperlink" Target="https://hudoc.echr.coe.int/eng?i=001-153901" TargetMode="External"/><Relationship Id="rId153" Type="http://schemas.openxmlformats.org/officeDocument/2006/relationships/hyperlink" Target="https://hudoc.echr.coe.int/eng?i=001-87354" TargetMode="External"/><Relationship Id="rId195" Type="http://schemas.openxmlformats.org/officeDocument/2006/relationships/hyperlink" Target="https://hudoc.echr.coe.int/eng?i=001-57619" TargetMode="External"/><Relationship Id="rId209" Type="http://schemas.openxmlformats.org/officeDocument/2006/relationships/hyperlink" Target="https://hudoc.echr.coe.int/eng?i=001-122664" TargetMode="External"/><Relationship Id="rId360" Type="http://schemas.openxmlformats.org/officeDocument/2006/relationships/hyperlink" Target="https://hudoc.echr.coe.int/eng?i=001-207953" TargetMode="External"/><Relationship Id="rId416" Type="http://schemas.openxmlformats.org/officeDocument/2006/relationships/hyperlink" Target="http://hudoc.echr.coe.int/eng?i=001-62660" TargetMode="External"/><Relationship Id="rId598" Type="http://schemas.openxmlformats.org/officeDocument/2006/relationships/hyperlink" Target="http://hudoc.echr.coe.int/eng?i=001-171778" TargetMode="External"/><Relationship Id="rId220" Type="http://schemas.openxmlformats.org/officeDocument/2006/relationships/hyperlink" Target="https://echr.coe.int/Documents/Guide_Immigration_ENG.pdf" TargetMode="External"/><Relationship Id="rId458" Type="http://schemas.openxmlformats.org/officeDocument/2006/relationships/hyperlink" Target="https://hudoc.echr.coe.int/eng?i=001-222096" TargetMode="External"/><Relationship Id="rId623" Type="http://schemas.openxmlformats.org/officeDocument/2006/relationships/footer" Target="footer1.xml"/><Relationship Id="rId15" Type="http://schemas.openxmlformats.org/officeDocument/2006/relationships/hyperlink" Target="http://hudoc.echr.coe.int/eng?i=001-69564" TargetMode="External"/><Relationship Id="rId57" Type="http://schemas.openxmlformats.org/officeDocument/2006/relationships/hyperlink" Target="https://hudoc.echr.coe.int/eng?i=001-213869" TargetMode="External"/><Relationship Id="rId262" Type="http://schemas.openxmlformats.org/officeDocument/2006/relationships/hyperlink" Target="https://hudoc.echr.coe.int/eng?i=001-214040" TargetMode="External"/><Relationship Id="rId318" Type="http://schemas.openxmlformats.org/officeDocument/2006/relationships/hyperlink" Target="http://hudoc.echr.coe.int/eng?i=001-208589" TargetMode="External"/><Relationship Id="rId525" Type="http://schemas.openxmlformats.org/officeDocument/2006/relationships/hyperlink" Target="http://hudoc.echr.coe.int/eng?i=001-167483" TargetMode="External"/><Relationship Id="rId567" Type="http://schemas.openxmlformats.org/officeDocument/2006/relationships/hyperlink" Target="https://hudoc.echr.coe.int/eng?i=001-214330" TargetMode="External"/><Relationship Id="rId99" Type="http://schemas.openxmlformats.org/officeDocument/2006/relationships/hyperlink" Target="https://hudoc.echr.coe.int/eng?i=001-67820" TargetMode="External"/><Relationship Id="rId122" Type="http://schemas.openxmlformats.org/officeDocument/2006/relationships/hyperlink" Target="https://hudoc.echr.coe.int/eng?i=001-83384" TargetMode="External"/><Relationship Id="rId164" Type="http://schemas.openxmlformats.org/officeDocument/2006/relationships/hyperlink" Target="https://hudoc.echr.coe.int/eng?i=001-161055" TargetMode="External"/><Relationship Id="rId371" Type="http://schemas.openxmlformats.org/officeDocument/2006/relationships/hyperlink" Target="https://hudoc.echr.coe.int/eng?i=001-218130" TargetMode="External"/><Relationship Id="rId427" Type="http://schemas.openxmlformats.org/officeDocument/2006/relationships/hyperlink" Target="https://hudoc.echr.coe.int/eng?i=001-161822" TargetMode="External"/><Relationship Id="rId469" Type="http://schemas.openxmlformats.org/officeDocument/2006/relationships/hyperlink" Target="http://hudoc.echr.coe.int/eng?i=001-163103" TargetMode="External"/><Relationship Id="rId26" Type="http://schemas.openxmlformats.org/officeDocument/2006/relationships/hyperlink" Target="http://hudoc.echr.coe.int/fre?i=001-198811" TargetMode="External"/><Relationship Id="rId231" Type="http://schemas.openxmlformats.org/officeDocument/2006/relationships/hyperlink" Target="https://hudoc.echr.coe.int/eng?i=001-147688" TargetMode="External"/><Relationship Id="rId273" Type="http://schemas.openxmlformats.org/officeDocument/2006/relationships/hyperlink" Target="http://hudoc.echr.coe.int/fre?i=001-194321" TargetMode="External"/><Relationship Id="rId329" Type="http://schemas.openxmlformats.org/officeDocument/2006/relationships/hyperlink" Target="http://hudoc.echr.coe.int/eng?i=001-184659" TargetMode="External"/><Relationship Id="rId480" Type="http://schemas.openxmlformats.org/officeDocument/2006/relationships/hyperlink" Target="http://hudoc.echr.coe.int/eng?i=001-181585" TargetMode="External"/><Relationship Id="rId536" Type="http://schemas.openxmlformats.org/officeDocument/2006/relationships/hyperlink" Target="https://hudoc.echr.coe.int/eng?i=001-68715" TargetMode="External"/><Relationship Id="rId68" Type="http://schemas.openxmlformats.org/officeDocument/2006/relationships/hyperlink" Target="https://hudoc.echr.coe.int/eng?i=001-81908" TargetMode="External"/><Relationship Id="rId133" Type="http://schemas.openxmlformats.org/officeDocument/2006/relationships/hyperlink" Target="https://hudoc.echr.coe.int/eng?i=001-210478" TargetMode="External"/><Relationship Id="rId175" Type="http://schemas.openxmlformats.org/officeDocument/2006/relationships/hyperlink" Target="https://hudoc.echr.coe.int/eng?i=001-70458" TargetMode="External"/><Relationship Id="rId340" Type="http://schemas.openxmlformats.org/officeDocument/2006/relationships/hyperlink" Target="https://hudoc.echr.coe.int/eng?i=001-154728" TargetMode="External"/><Relationship Id="rId578" Type="http://schemas.openxmlformats.org/officeDocument/2006/relationships/hyperlink" Target="https://hudoc.echr.coe.int/eng?i=001-103591" TargetMode="External"/><Relationship Id="rId200" Type="http://schemas.openxmlformats.org/officeDocument/2006/relationships/hyperlink" Target="https://hudoc.echr.coe.int/eng?i=001-158148" TargetMode="External"/><Relationship Id="rId382" Type="http://schemas.openxmlformats.org/officeDocument/2006/relationships/hyperlink" Target="https://hudoc.echr.coe.int/eng?i=001-226466" TargetMode="External"/><Relationship Id="rId438" Type="http://schemas.openxmlformats.org/officeDocument/2006/relationships/hyperlink" Target="https://hudoc.echr.coe.int/eng?i=001-81136" TargetMode="External"/><Relationship Id="rId603" Type="http://schemas.openxmlformats.org/officeDocument/2006/relationships/hyperlink" Target="http://hudoc.echr.coe.int/eng?i=001-113302" TargetMode="External"/><Relationship Id="rId242" Type="http://schemas.openxmlformats.org/officeDocument/2006/relationships/hyperlink" Target="https://hudoc.echr.coe.int/eng?i=001-98930" TargetMode="External"/><Relationship Id="rId284" Type="http://schemas.openxmlformats.org/officeDocument/2006/relationships/hyperlink" Target="https://hudoc.echr.coe.int/eng?i=001-102252" TargetMode="External"/><Relationship Id="rId491" Type="http://schemas.openxmlformats.org/officeDocument/2006/relationships/hyperlink" Target="https://hudoc.echr.coe.int/eng?i=001-60606" TargetMode="External"/><Relationship Id="rId505" Type="http://schemas.openxmlformats.org/officeDocument/2006/relationships/hyperlink" Target="http://hudoc.echr.coe.int/eng?i=001-112576" TargetMode="External"/><Relationship Id="rId37" Type="http://schemas.openxmlformats.org/officeDocument/2006/relationships/hyperlink" Target="https://hudoc.echr.coe.int/?i=001-57506" TargetMode="External"/><Relationship Id="rId79" Type="http://schemas.openxmlformats.org/officeDocument/2006/relationships/hyperlink" Target="http://hudoc.echr.coe.int/eng?i=001-98334" TargetMode="External"/><Relationship Id="rId102" Type="http://schemas.openxmlformats.org/officeDocument/2006/relationships/hyperlink" Target="https://hudoc.echr.coe.int/eng?i=001-105118" TargetMode="External"/><Relationship Id="rId144" Type="http://schemas.openxmlformats.org/officeDocument/2006/relationships/hyperlink" Target="https://hudoc.echr.coe.int/eng?i=001-146567" TargetMode="External"/><Relationship Id="rId547" Type="http://schemas.openxmlformats.org/officeDocument/2006/relationships/hyperlink" Target="http://hudoc.echr.coe.int/eng?i=001-202620" TargetMode="External"/><Relationship Id="rId589" Type="http://schemas.openxmlformats.org/officeDocument/2006/relationships/hyperlink" Target="https://hudoc.echr.coe.int/eng?i=001-85316" TargetMode="External"/><Relationship Id="rId90" Type="http://schemas.openxmlformats.org/officeDocument/2006/relationships/hyperlink" Target="https://hudoc.echr.coe.int/eng?i=001-217250" TargetMode="External"/><Relationship Id="rId186" Type="http://schemas.openxmlformats.org/officeDocument/2006/relationships/hyperlink" Target="https://hudoc.echr.coe.int/eng?i=001-117134" TargetMode="External"/><Relationship Id="rId351" Type="http://schemas.openxmlformats.org/officeDocument/2006/relationships/hyperlink" Target="http://hudoc.echr.coe.int/eng?i=001-187580" TargetMode="External"/><Relationship Id="rId393" Type="http://schemas.openxmlformats.org/officeDocument/2006/relationships/hyperlink" Target="https://hudoc.echr.coe.int/eng?i=001-158148" TargetMode="External"/><Relationship Id="rId407" Type="http://schemas.openxmlformats.org/officeDocument/2006/relationships/hyperlink" Target="http://hudoc.echr.coe.int/eng?i=001-108465" TargetMode="External"/><Relationship Id="rId449" Type="http://schemas.openxmlformats.org/officeDocument/2006/relationships/hyperlink" Target="http://hudoc.echr.coe.int/eng?i=001-150234" TargetMode="External"/><Relationship Id="rId614" Type="http://schemas.openxmlformats.org/officeDocument/2006/relationships/hyperlink" Target="http://hudoc.echr.coe.int/eng?i=001-61539" TargetMode="External"/><Relationship Id="rId211" Type="http://schemas.openxmlformats.org/officeDocument/2006/relationships/hyperlink" Target="https://hudoc.echr.coe.int/eng?i=001-122664" TargetMode="External"/><Relationship Id="rId253" Type="http://schemas.openxmlformats.org/officeDocument/2006/relationships/hyperlink" Target="http://hudoc.echr.coe.int/fre?i=001-194321" TargetMode="External"/><Relationship Id="rId295" Type="http://schemas.openxmlformats.org/officeDocument/2006/relationships/hyperlink" Target="https://hudoc.echr.coe.int/eng?i=001-222096" TargetMode="External"/><Relationship Id="rId309" Type="http://schemas.openxmlformats.org/officeDocument/2006/relationships/hyperlink" Target="http://hudoc.echr.coe.int/fre?i=001-146540" TargetMode="External"/><Relationship Id="rId460" Type="http://schemas.openxmlformats.org/officeDocument/2006/relationships/hyperlink" Target="https://hudoc.echr.coe.int/eng?i=001-216400" TargetMode="External"/><Relationship Id="rId516" Type="http://schemas.openxmlformats.org/officeDocument/2006/relationships/hyperlink" Target="http://hudoc.echr.coe.int/eng?i=001-67820" TargetMode="External"/><Relationship Id="rId48" Type="http://schemas.openxmlformats.org/officeDocument/2006/relationships/hyperlink" Target="https://hudoc.echr.coe.int/eng?i=001-108586" TargetMode="External"/><Relationship Id="rId113" Type="http://schemas.openxmlformats.org/officeDocument/2006/relationships/hyperlink" Target="https://hudoc.echr.coe.int/eng?i=001-58735" TargetMode="External"/><Relationship Id="rId320" Type="http://schemas.openxmlformats.org/officeDocument/2006/relationships/hyperlink" Target="http://hudoc.echr.coe.int/eng?i=001-208329" TargetMode="External"/><Relationship Id="rId558" Type="http://schemas.openxmlformats.org/officeDocument/2006/relationships/hyperlink" Target="http://hudoc.echr.coe.int/eng?i=001-189902" TargetMode="External"/><Relationship Id="rId155" Type="http://schemas.openxmlformats.org/officeDocument/2006/relationships/hyperlink" Target="https://hudoc.echr.coe.int/eng?i=001-87354" TargetMode="External"/><Relationship Id="rId197" Type="http://schemas.openxmlformats.org/officeDocument/2006/relationships/hyperlink" Target="https://hudoc.echr.coe.int/eng?i=001-158148" TargetMode="External"/><Relationship Id="rId362" Type="http://schemas.openxmlformats.org/officeDocument/2006/relationships/hyperlink" Target="http://hudoc.echr.coe.int/fre?i=001-158472" TargetMode="External"/><Relationship Id="rId418" Type="http://schemas.openxmlformats.org/officeDocument/2006/relationships/hyperlink" Target="https://hudoc.echr.coe.int/eng?i=001-110267" TargetMode="External"/><Relationship Id="rId625"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D029B-E2C1-4764-8C2B-022393866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28695</Words>
  <Characters>166433</Characters>
  <Application>Microsoft Office Word</Application>
  <DocSecurity>0</DocSecurity>
  <Lines>1386</Lines>
  <Paragraphs>389</Paragraphs>
  <ScaleCrop>false</ScaleCrop>
  <HeadingPairs>
    <vt:vector size="2" baseType="variant">
      <vt:variant>
        <vt:lpstr>Title</vt:lpstr>
      </vt:variant>
      <vt:variant>
        <vt:i4>1</vt:i4>
      </vt:variant>
    </vt:vector>
  </HeadingPairs>
  <TitlesOfParts>
    <vt:vector size="1" baseType="lpstr">
      <vt:lpstr>Ghid art. 3-31.08.2024-RO</vt:lpstr>
    </vt:vector>
  </TitlesOfParts>
  <Manager/>
  <Company/>
  <LinksUpToDate>false</LinksUpToDate>
  <CharactersWithSpaces>194739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art. 3-31.08.2024-RO</dc:title>
  <dc:subject>GUIDE</dc:subject>
  <dc:creator/>
  <cp:lastModifiedBy/>
  <cp:revision>1</cp:revision>
  <cp:lastPrinted>2022-03-15T14:54:00Z</cp:lastPrinted>
  <dcterms:created xsi:type="dcterms:W3CDTF">2024-10-29T13:12:00Z</dcterms:created>
  <dcterms:modified xsi:type="dcterms:W3CDTF">2024-10-29T13:12:00Z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20240927094551066</vt:lpwstr>
  </property>
</Properties>
</file>