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C77F6" w14:textId="77777777" w:rsidR="00622EDE" w:rsidRPr="00622EDE" w:rsidRDefault="00622EDE" w:rsidP="00622EDE">
      <w:pPr>
        <w:pStyle w:val="DecHTitle"/>
      </w:pPr>
      <w:r>
        <w:t>CURTEA EUROPEANĂ A DREPTURILOR OMULUI</w:t>
      </w:r>
    </w:p>
    <w:p w14:paraId="1A730671" w14:textId="77777777" w:rsidR="00622EDE" w:rsidRPr="00622EDE" w:rsidRDefault="00622EDE" w:rsidP="00622EDE">
      <w:pPr>
        <w:pStyle w:val="DecHTitle"/>
      </w:pPr>
      <w:r>
        <w:t>SECȚIA A PATRA</w:t>
      </w:r>
    </w:p>
    <w:p w14:paraId="49CACA15" w14:textId="77777777" w:rsidR="00622EDE" w:rsidRPr="00622EDE" w:rsidRDefault="00622EDE" w:rsidP="00622EDE">
      <w:pPr>
        <w:pStyle w:val="DecHTitle"/>
      </w:pPr>
      <w:r>
        <w:t>DECIZIE</w:t>
      </w:r>
    </w:p>
    <w:p w14:paraId="03B767D7" w14:textId="77777777" w:rsidR="00622EDE" w:rsidRPr="00622EDE" w:rsidRDefault="00622EDE" w:rsidP="00622EDE">
      <w:pPr>
        <w:pStyle w:val="DecHCase"/>
      </w:pPr>
      <w:r>
        <w:t>Cererea nr. 122/17</w:t>
      </w:r>
      <w:r>
        <w:br/>
        <w:t>Adrian-Nicolae VLAD</w:t>
      </w:r>
      <w:r>
        <w:br/>
        <w:t>împotriva României</w:t>
      </w:r>
    </w:p>
    <w:p w14:paraId="2E175F46" w14:textId="77777777" w:rsidR="00622EDE" w:rsidRPr="00622EDE" w:rsidRDefault="00622EDE" w:rsidP="00622EDE">
      <w:pPr>
        <w:pStyle w:val="JuPara"/>
      </w:pPr>
      <w:r>
        <w:t>Curtea Europeană a Drepturilor Omului (Secția a patra), reunită la 15 noiembrie 2022 într-o cameră compusă din:</w:t>
      </w:r>
    </w:p>
    <w:p w14:paraId="51AED4CC" w14:textId="77777777" w:rsidR="00622EDE" w:rsidRPr="00622EDE" w:rsidRDefault="00622EDE" w:rsidP="00622EDE">
      <w:pPr>
        <w:pStyle w:val="JuJudges"/>
      </w:pPr>
      <w:r>
        <w:tab/>
        <w:t xml:space="preserve">Gabriele </w:t>
      </w:r>
      <w:proofErr w:type="spellStart"/>
      <w:r>
        <w:t>Kucsko-Stadlmayer</w:t>
      </w:r>
      <w:proofErr w:type="spellEnd"/>
      <w:r>
        <w:rPr>
          <w:i/>
        </w:rPr>
        <w:t>, președinte</w:t>
      </w:r>
      <w:r>
        <w:t>,</w:t>
      </w:r>
      <w:r>
        <w:br/>
      </w:r>
      <w:r>
        <w:tab/>
        <w:t xml:space="preserve">Tim </w:t>
      </w:r>
      <w:proofErr w:type="spellStart"/>
      <w:r>
        <w:t>Eicke</w:t>
      </w:r>
      <w:proofErr w:type="spellEnd"/>
      <w:r>
        <w:t>,</w:t>
      </w:r>
      <w:r>
        <w:br/>
      </w:r>
      <w:r>
        <w:tab/>
      </w:r>
      <w:proofErr w:type="spellStart"/>
      <w:r>
        <w:t>Faris</w:t>
      </w:r>
      <w:proofErr w:type="spellEnd"/>
      <w:r>
        <w:t xml:space="preserve"> </w:t>
      </w:r>
      <w:proofErr w:type="spellStart"/>
      <w:r>
        <w:t>Vehabović</w:t>
      </w:r>
      <w:proofErr w:type="spellEnd"/>
      <w:r>
        <w:t>,</w:t>
      </w:r>
      <w:r>
        <w:br/>
      </w:r>
      <w:r>
        <w:tab/>
        <w:t xml:space="preserve">Iulia </w:t>
      </w:r>
      <w:proofErr w:type="spellStart"/>
      <w:r>
        <w:t>Antoanella</w:t>
      </w:r>
      <w:proofErr w:type="spellEnd"/>
      <w:r>
        <w:t xml:space="preserve"> Motoc,</w:t>
      </w:r>
      <w:r>
        <w:br/>
      </w:r>
      <w:r>
        <w:tab/>
      </w:r>
      <w:proofErr w:type="spellStart"/>
      <w:r>
        <w:t>Branko</w:t>
      </w:r>
      <w:proofErr w:type="spellEnd"/>
      <w:r>
        <w:t xml:space="preserve"> </w:t>
      </w:r>
      <w:proofErr w:type="spellStart"/>
      <w:r>
        <w:t>Lubarda</w:t>
      </w:r>
      <w:proofErr w:type="spellEnd"/>
      <w:r>
        <w:t>,</w:t>
      </w:r>
      <w:r>
        <w:br/>
      </w:r>
      <w:r>
        <w:tab/>
      </w:r>
      <w:proofErr w:type="spellStart"/>
      <w:r>
        <w:t>Armen</w:t>
      </w:r>
      <w:proofErr w:type="spellEnd"/>
      <w:r>
        <w:t xml:space="preserve"> </w:t>
      </w:r>
      <w:proofErr w:type="spellStart"/>
      <w:r>
        <w:t>Harutyunyan</w:t>
      </w:r>
      <w:proofErr w:type="spellEnd"/>
      <w:r>
        <w:t>,</w:t>
      </w:r>
      <w:r>
        <w:br/>
      </w:r>
      <w:r>
        <w:tab/>
      </w:r>
      <w:proofErr w:type="spellStart"/>
      <w:r>
        <w:t>Anja</w:t>
      </w:r>
      <w:proofErr w:type="spellEnd"/>
      <w:r>
        <w:t xml:space="preserve"> </w:t>
      </w:r>
      <w:proofErr w:type="spellStart"/>
      <w:r>
        <w:t>Seibert-Fohr</w:t>
      </w:r>
      <w:proofErr w:type="spellEnd"/>
      <w:r>
        <w:rPr>
          <w:i/>
        </w:rPr>
        <w:t>, judecători</w:t>
      </w:r>
      <w:r>
        <w:t>,</w:t>
      </w:r>
    </w:p>
    <w:p w14:paraId="3B26842E" w14:textId="77777777" w:rsidR="00622EDE" w:rsidRPr="00622EDE" w:rsidRDefault="00622EDE" w:rsidP="00622EDE">
      <w:pPr>
        <w:pStyle w:val="JuJudges"/>
      </w:pPr>
      <w:r>
        <w:t xml:space="preserve">și Ilse </w:t>
      </w:r>
      <w:proofErr w:type="spellStart"/>
      <w:r>
        <w:t>Freiwirth</w:t>
      </w:r>
      <w:proofErr w:type="spellEnd"/>
      <w:r>
        <w:t xml:space="preserve">, </w:t>
      </w:r>
      <w:r>
        <w:rPr>
          <w:i/>
        </w:rPr>
        <w:t>grefier adjunct</w:t>
      </w:r>
      <w:r>
        <w:t xml:space="preserve"> de secție,</w:t>
      </w:r>
    </w:p>
    <w:p w14:paraId="4FA9AC08" w14:textId="77777777" w:rsidR="00622EDE" w:rsidRPr="00622EDE" w:rsidRDefault="00622EDE" w:rsidP="00622EDE">
      <w:pPr>
        <w:pStyle w:val="JuPara"/>
      </w:pPr>
      <w:r>
        <w:t>având în vedere cererea menționată anterior, introdusă la 13 februarie 2017,</w:t>
      </w:r>
    </w:p>
    <w:p w14:paraId="3B398825" w14:textId="77777777" w:rsidR="00622EDE" w:rsidRPr="00622EDE" w:rsidRDefault="00622EDE" w:rsidP="00622EDE">
      <w:pPr>
        <w:pStyle w:val="JuPara"/>
      </w:pPr>
      <w:r>
        <w:t>după ce a deliberat în acest sens, pronunță următoarea decizie:</w:t>
      </w:r>
    </w:p>
    <w:p w14:paraId="2928DA18" w14:textId="77777777" w:rsidR="00622EDE" w:rsidRPr="00622EDE" w:rsidRDefault="00622EDE" w:rsidP="00622EDE">
      <w:pPr>
        <w:pStyle w:val="JuHHead"/>
      </w:pPr>
      <w:r>
        <w:t>ÎN FAPT</w:t>
      </w:r>
    </w:p>
    <w:p w14:paraId="1F439EB7" w14:textId="77777777" w:rsidR="00622EDE" w:rsidRPr="00622EDE" w:rsidRDefault="00622EDE" w:rsidP="00622EDE">
      <w:pPr>
        <w:pStyle w:val="JuPara"/>
      </w:pPr>
      <w:r>
        <w:t>1.  Reclamantul este resortisant român, s-a născut în 1979 și locuiește în București.</w:t>
      </w:r>
    </w:p>
    <w:p w14:paraId="002C9DB6" w14:textId="77777777" w:rsidR="00622EDE" w:rsidRPr="00622EDE" w:rsidRDefault="00622EDE" w:rsidP="00622EDE">
      <w:pPr>
        <w:pStyle w:val="JuHA"/>
      </w:pPr>
      <w:r>
        <w:t>Circumstanțele cauzei</w:t>
      </w:r>
    </w:p>
    <w:p w14:paraId="4AAB10AE" w14:textId="77777777" w:rsidR="00622EDE" w:rsidRPr="00622EDE" w:rsidRDefault="00622EDE" w:rsidP="00622EDE">
      <w:pPr>
        <w:pStyle w:val="JuPara"/>
      </w:pPr>
      <w:r>
        <w:t>2.  Faptele cauzei, așa cum au fost expuse de către reclamant, se pot rezuma după cum urmează.</w:t>
      </w:r>
    </w:p>
    <w:p w14:paraId="1FABBA95" w14:textId="77777777" w:rsidR="00622EDE" w:rsidRPr="00622EDE" w:rsidRDefault="00622EDE" w:rsidP="00622EDE">
      <w:pPr>
        <w:pStyle w:val="JuPara"/>
      </w:pPr>
      <w:r>
        <w:t xml:space="preserve">3.  La 14 ianuarie 2016, reclamantul a fost plasat în arest preventiv în Centrul de Reținere și Arestare Preventivă al Poliției București și, prin </w:t>
      </w:r>
      <w:r>
        <w:lastRenderedPageBreak/>
        <w:t>hotărâre definitivă, a fost condamnat la închisoare și încarcerat. Și-a executat pedeapsa în penitenciarele București-Rahova, Jilava și Târgu-Jiu.</w:t>
      </w:r>
    </w:p>
    <w:p w14:paraId="1A21A00D" w14:textId="77777777" w:rsidR="00622EDE" w:rsidRPr="00622EDE" w:rsidRDefault="00622EDE" w:rsidP="00622EDE">
      <w:pPr>
        <w:pStyle w:val="JuPara"/>
      </w:pPr>
      <w:r>
        <w:t>4.  În formularul de cerere, acesta a denunțat condițiile materiale, pe care le consideră necorespunzătoare, ale detenției sale în Penitenciarul București-Rahova. În special, a susținut că era vorba de supraaglomerare, precizând că opt deținuți aveau o cameră de 20 m². La 19 august 2020, aflându-se încă în detenție, acesta a informat Curtea cu privire la persistența, în această unitate, a condițiilor materiale de detenție pe care le denunțase.</w:t>
      </w:r>
    </w:p>
    <w:p w14:paraId="1705D5DC" w14:textId="77777777" w:rsidR="00622EDE" w:rsidRPr="00622EDE" w:rsidRDefault="00622EDE" w:rsidP="00622EDE">
      <w:pPr>
        <w:pStyle w:val="JuPara"/>
        <w:rPr>
          <w:noProof/>
        </w:rPr>
      </w:pPr>
      <w:r>
        <w:t xml:space="preserve">5.  Din înscrisurile aflate la dosar reiese că, în temeiul dispozițiilor Legii nr. 169/2017 pentru modificarea și completarea Legii nr. 254/2013 privind executarea pedepselor și a măsurilor privative de libertate dispuse de organele judiciare în cursul procesului penal (a se vedea </w:t>
      </w:r>
      <w:r>
        <w:rPr>
          <w:i/>
          <w:iCs/>
        </w:rPr>
        <w:t>infra</w:t>
      </w:r>
      <w:r>
        <w:t>, pct. 7 și 8), reclamantul a beneficiat de o compensare sub forma unei reduceri a pedepsei pe care trebuia să o execute. Această compensare se acorda în mod expres persoanelor care, precum reclamantul, au fost deținute în condiții necorespunzătoare. De exemplu, pentru toată durata detenției sale între 14 ianuarie 2016 (data arestării preventive) și 23 decembrie 2019 (data abrogării Legii nr. 169/2017), pedeapsa sa cu închisoarea s-a redus cu 282 de zile.</w:t>
      </w:r>
    </w:p>
    <w:p w14:paraId="55EA292B" w14:textId="77777777" w:rsidR="00622EDE" w:rsidRPr="00622EDE" w:rsidRDefault="00622EDE" w:rsidP="00622EDE">
      <w:pPr>
        <w:pStyle w:val="JuPara"/>
      </w:pPr>
      <w:r>
        <w:t>6.  Această reducere de pedeapsă era în curs la data la care reclamantul trebuia să fie eligibil pentru liberare condiționată și conducea, implicit, la punerea sa în libertate înainte de împlinirea termenului de executare a pedepsei. Astfel, în data de 23 martie 2021, în timp ce era deținut în Penitenciarul Târgu-Jiu, i s-a acordat liberarea condiționată.</w:t>
      </w:r>
    </w:p>
    <w:p w14:paraId="133A4512" w14:textId="77777777" w:rsidR="00622EDE" w:rsidRPr="00622EDE" w:rsidRDefault="00622EDE" w:rsidP="00622EDE">
      <w:pPr>
        <w:pStyle w:val="JuHA"/>
      </w:pPr>
      <w:r>
        <w:t>CADRUL LEGAL ȘI PRACTICA INTERNE RELEVANTE</w:t>
      </w:r>
    </w:p>
    <w:p w14:paraId="3D786CFA" w14:textId="77777777" w:rsidR="00622EDE" w:rsidRPr="00622EDE" w:rsidRDefault="00622EDE" w:rsidP="00622EDE">
      <w:pPr>
        <w:pStyle w:val="JuH1"/>
      </w:pPr>
      <w:r>
        <w:t>Dreptul intern relevant</w:t>
      </w:r>
    </w:p>
    <w:p w14:paraId="4FF97774" w14:textId="77777777" w:rsidR="00622EDE" w:rsidRPr="00622EDE" w:rsidRDefault="00622EDE" w:rsidP="00622EDE">
      <w:pPr>
        <w:pStyle w:val="JuPara"/>
        <w:rPr>
          <w:noProof/>
        </w:rPr>
      </w:pPr>
      <w:r>
        <w:t>7.  Adoptată la 18 iulie 2017 și intrată în vigoare la 19 octombrie 2017, Legea nr. 169/2017 pentru modificarea și completarea Legii nr. 254/2013 privind executarea pedepselor și a măsurilor privative de libertate dispuse de organele judiciare în cursul procesului penal prevede, pentru persoanele care sunt victime ale unor condiții de detenție necorespunzătoare în diferite unități penitenciare și/sau centre de reținere și arestare preventivă ale poliției, compensare sub forma unei reduceri automate a pedepsei. Această compensare – 6 zile de reducere a pedepsei pentru fiecare perioadă de 30 de zile executate în condiții necorespunzătoare – se acorda în mod expres ca măsură reparatorie pentru încălcarea art. 3 din Convenție și se raporta la perioadele de detenție cuprinse între 24 iulie 2012 și 23 decembrie 2019, Legea nr. 169/2017 fiind abrogată la 23 decembrie 2019 prin Legea nr. 240/2019.</w:t>
      </w:r>
    </w:p>
    <w:p w14:paraId="306885AB" w14:textId="77777777" w:rsidR="00622EDE" w:rsidRPr="00622EDE" w:rsidRDefault="00622EDE" w:rsidP="00622EDE">
      <w:pPr>
        <w:pStyle w:val="JuPara"/>
        <w:rPr>
          <w:noProof/>
        </w:rPr>
      </w:pPr>
      <w:r>
        <w:t xml:space="preserve">8.  Mecanismul de compensare prevedea mai multe criterii – spațiul de cazare, posibilitatea de a desfășura activități în aer liber, accesul la lumină naturală, disponibilitatea ventilației și temperatura camerelor, posibilitatea de a folosi toaleta în privat și de a se respecta normele sanitare de bază, precum </w:t>
      </w:r>
      <w:r>
        <w:lastRenderedPageBreak/>
        <w:t xml:space="preserve">și starea pereților camerelor – a căror analiză a fost încredințată unei comisii de evaluare desemnate special de legiuitor. Această analiză, efectuată în conformitate cu normele derivate din jurisprudența referitoare la art. 3 din Convenție, a permis autorităților să calculeze durata, în zile, a reducerii pedepsei acordate persoanelor deținute în condiții necorespunzătoare. Acest mecanism a fost evaluat pozitiv de Comitetul de Miniștri, având în vedere impactul lui măsurabil asupra cuantumului pedepsei și contribuția lui la reducerea supraaglomerării locurilor de deținere [a se vedea dispozițiile relevante în speță descrise în </w:t>
      </w:r>
      <w:r>
        <w:rPr>
          <w:i/>
          <w:iCs/>
        </w:rPr>
        <w:t>Dîrjan și Ștefan împotriva României</w:t>
      </w:r>
      <w:r>
        <w:t xml:space="preserve"> (dec.), nr. 14224/15 și 50977/15, pct. 10, 15 aprilie 2020].</w:t>
      </w:r>
    </w:p>
    <w:p w14:paraId="34DCB382" w14:textId="77777777" w:rsidR="00622EDE" w:rsidRPr="00622EDE" w:rsidRDefault="00622EDE" w:rsidP="00622EDE">
      <w:pPr>
        <w:pStyle w:val="JuPara"/>
        <w:rPr>
          <w:noProof/>
        </w:rPr>
      </w:pPr>
      <w:r>
        <w:t xml:space="preserve">9.  Codul civil, la art. 1349 și 1357, definește limitele răspunderii civile delictuale (a se vedea dispozițiile relevante în speță descrise în </w:t>
      </w:r>
      <w:r>
        <w:rPr>
          <w:i/>
          <w:iCs/>
        </w:rPr>
        <w:t>Polgar împotriva României</w:t>
      </w:r>
      <w:r>
        <w:t>, nr. 39412/19, pct. 13-15, 20 iulie 2021).</w:t>
      </w:r>
    </w:p>
    <w:p w14:paraId="11DF5985" w14:textId="77777777" w:rsidR="00622EDE" w:rsidRPr="00622EDE" w:rsidRDefault="00622EDE" w:rsidP="00622EDE">
      <w:pPr>
        <w:pStyle w:val="JuH1"/>
      </w:pPr>
      <w:r>
        <w:t>Practica internă relevantă</w:t>
      </w:r>
    </w:p>
    <w:p w14:paraId="407A0E3F" w14:textId="77777777" w:rsidR="00622EDE" w:rsidRPr="00622EDE" w:rsidRDefault="00622EDE" w:rsidP="00622EDE">
      <w:pPr>
        <w:pStyle w:val="JuPara"/>
        <w:rPr>
          <w:noProof/>
        </w:rPr>
      </w:pPr>
      <w:r>
        <w:t xml:space="preserve">10.  Jurisprudența internă oferă numeroase exemple de cazuri – rezumate în cauza </w:t>
      </w:r>
      <w:r>
        <w:rPr>
          <w:i/>
          <w:iCs/>
        </w:rPr>
        <w:t>Polgar</w:t>
      </w:r>
      <w:r>
        <w:t xml:space="preserve"> citată anterior (pct. 27-40) – în care petenții au depus la instanțe, în materie de răspundere civilă delictuală, plângeri referitoare la condițiile lor de detenție în penitenciarele din România și li s-a acordat, în conformitate cu normele stabilite de jurisprudența Curții, o compensare cu titlu de reparație pentru prejudiciul moral legat de încălcarea art. 3 din Convenție. Această jurisprudență este confirmată, de asemenea, de hotărâri judecătorești mai recente (ce nu rămas încă definitive), care acoperă perioade de detenție ulterioare datei de 23 decembrie 2019 și sunt disponibile pe portalurile internet ale instanțelor naționale:</w:t>
      </w:r>
    </w:p>
    <w:p w14:paraId="258152F1" w14:textId="77777777" w:rsidR="00622EDE" w:rsidRPr="00622EDE" w:rsidRDefault="00622EDE" w:rsidP="00622EDE">
      <w:pPr>
        <w:pStyle w:val="JuPara"/>
      </w:pPr>
      <w:r>
        <w:t>- la 5 martie 2021, judecătoria de sector competentă din București a acordat unui deținut 5.000 de lei (RON) (aproximativ 1.030 EUR) pentru prejudiciul moral, ca urmare a detenției acestuia în perioada 4 iunie 2020–5 martie 2021 în condiții de detenție necorespunzătoare;</w:t>
      </w:r>
    </w:p>
    <w:p w14:paraId="6D57A909" w14:textId="77777777" w:rsidR="00622EDE" w:rsidRPr="00622EDE" w:rsidRDefault="00622EDE" w:rsidP="00622EDE">
      <w:pPr>
        <w:pStyle w:val="JuPara"/>
      </w:pPr>
      <w:r>
        <w:t>- la 25 iunie 2021, judecătoria de sector competentă din București a acordat unui deținut 2.000 RON (aproximativ 410 EUR) pentru prejudiciul moral, ca urmare a detenției acestuia în perioada 5 ianuarie–12 aprilie 2021 în condiții de detenție necorespunzătoare;</w:t>
      </w:r>
    </w:p>
    <w:p w14:paraId="56FCB508" w14:textId="77777777" w:rsidR="00622EDE" w:rsidRPr="00622EDE" w:rsidRDefault="00622EDE" w:rsidP="00622EDE">
      <w:pPr>
        <w:pStyle w:val="JuPara"/>
      </w:pPr>
      <w:r>
        <w:t>- la 13 iulie 2021, judecătoria de sector competentă din București a acordat unui deținut 9.000 RON (aproximativ 1.830 EUR) pentru prejudiciul moral, ca urmare a detenției acestuia în perioada 3 aprilie 2020–13 iulie 2021 în condiții de detenție necorespunzătoare;</w:t>
      </w:r>
    </w:p>
    <w:p w14:paraId="37B9CA00" w14:textId="77777777" w:rsidR="00622EDE" w:rsidRPr="00622EDE" w:rsidRDefault="00622EDE" w:rsidP="00622EDE">
      <w:pPr>
        <w:pStyle w:val="JuPara"/>
      </w:pPr>
      <w:r>
        <w:t>- la 8 aprilie 2022, Tribunalul Cluj a menținut o sentință prin care i s-au acordat unui deținut 8.000 RON (aproximativ 1.620 de euro) pentru prejudiciul moral, ca urmare a condițiilor de detenție necorespunzătoare suferite în perioada 6 august 2020–19 august 2021;</w:t>
      </w:r>
    </w:p>
    <w:p w14:paraId="6D873086" w14:textId="77777777" w:rsidR="00622EDE" w:rsidRPr="00622EDE" w:rsidRDefault="00622EDE" w:rsidP="00622EDE">
      <w:pPr>
        <w:pStyle w:val="JuPara"/>
      </w:pPr>
      <w:r>
        <w:t xml:space="preserve">- la 19 aprilie 2022, Tribunalul București a menținut o sentință prin care i s-au acordat unui deținut 3.000 RON (aproximativ 610 EUR) pentru </w:t>
      </w:r>
      <w:r>
        <w:lastRenderedPageBreak/>
        <w:t>prejudiciul moral, ca urmare a condițiilor de detenție necorespunzătoare suferite în perioada 25 decembrie 2019–22 septembrie 2021;</w:t>
      </w:r>
    </w:p>
    <w:p w14:paraId="765D6C4D" w14:textId="77777777" w:rsidR="00622EDE" w:rsidRPr="00622EDE" w:rsidRDefault="00622EDE" w:rsidP="00622EDE">
      <w:pPr>
        <w:pStyle w:val="JuPara"/>
      </w:pPr>
      <w:r>
        <w:t>- la 23 iunie 2022, Tribunalul Harghita a acordat unui deținut 2.512 lei (aproximativ 510 EUR) pentru prejudiciul moral, ca urmare a detenției acestuia în perioadele 1–17 iulie 2020 și 23 iulie 2020–16 iunie 2021 în condiții de detenție necorespunzătoare.</w:t>
      </w:r>
    </w:p>
    <w:p w14:paraId="7910CE44" w14:textId="77777777" w:rsidR="00622EDE" w:rsidRPr="00622EDE" w:rsidRDefault="00622EDE" w:rsidP="00622EDE">
      <w:pPr>
        <w:pStyle w:val="JuH1"/>
      </w:pPr>
      <w:r>
        <w:t>Documentele relevante ale Consiliului Europei</w:t>
      </w:r>
    </w:p>
    <w:p w14:paraId="14C5F021" w14:textId="77777777" w:rsidR="00622EDE" w:rsidRPr="00622EDE" w:rsidRDefault="00622EDE" w:rsidP="00622EDE">
      <w:pPr>
        <w:pStyle w:val="JuPara"/>
        <w:rPr>
          <w:noProof/>
        </w:rPr>
      </w:pPr>
      <w:r>
        <w:t xml:space="preserve">11.  La 11 martie 2021, Serviciul pentru executarea hotărârilor Curții, în cadrul supravegherii executării hotărârii-pilot </w:t>
      </w:r>
      <w:r>
        <w:rPr>
          <w:i/>
        </w:rPr>
        <w:t>Rezmiveș și alții împotriva României</w:t>
      </w:r>
      <w:r>
        <w:t xml:space="preserve">, (nr. 61467/12 și alte 3, 25 aprilie 2017), a evaluat măsurile generale adoptate de autoritățile naționale în vederea executării a 90 de cauze care erau îndreptate împotriva României și aveau ca obiect în principal supraaglomerarea și condițiile materiale de detenție din unitățile penitenciare și din centrele de reținere și arestare preventivă ale poliției [grupul de cauze </w:t>
      </w:r>
      <w:r>
        <w:rPr>
          <w:i/>
        </w:rPr>
        <w:t>Bragadireanu</w:t>
      </w:r>
      <w:bookmarkStart w:id="0" w:name="_GoBack"/>
      <w:bookmarkEnd w:id="0"/>
      <w:r>
        <w:rPr>
          <w:i/>
        </w:rPr>
        <w:t>,</w:t>
      </w:r>
      <w:r>
        <w:t xml:space="preserve"> nr. 22088/04]. Cu această ocazie, s-a subliniat persistența supraaglomerării în mediul penitenciar în contextul unei creșteri a numărului de deținuți în lunile anterioare evaluării sale. Prin urmare, serviciul a îndemnat autoritățile să ia măsuri rapide și decisive pentru a remedia o situație care intră sub incidența art. 3 din Convenție. În fine, acesta a menționat decizia Curții de a reexamina eficacitatea acțiunii în răspundere civilă delictuală (a se vedea rezumatul raportului, precum și partea relevantă a deciziei Comitetului de Miniștri în această privință, în cauza </w:t>
      </w:r>
      <w:r>
        <w:rPr>
          <w:i/>
          <w:iCs/>
        </w:rPr>
        <w:t>Polgar</w:t>
      </w:r>
      <w:r>
        <w:t>, citată anterior, pct. 44-45).</w:t>
      </w:r>
    </w:p>
    <w:p w14:paraId="0899EB59" w14:textId="77777777" w:rsidR="00622EDE" w:rsidRPr="00622EDE" w:rsidRDefault="00622EDE" w:rsidP="00622EDE">
      <w:pPr>
        <w:pStyle w:val="JuHHead"/>
      </w:pPr>
      <w:r>
        <w:t>CAPETE DE CERERE</w:t>
      </w:r>
    </w:p>
    <w:p w14:paraId="13E66224" w14:textId="77777777" w:rsidR="00622EDE" w:rsidRPr="00622EDE" w:rsidRDefault="00622EDE" w:rsidP="00622EDE">
      <w:pPr>
        <w:pStyle w:val="JuPara"/>
        <w:rPr>
          <w:noProof/>
        </w:rPr>
      </w:pPr>
      <w:r>
        <w:t>12.  Invocând art. 3 din Convenție, reclamantul denunță condițiile în care a fost deținut în Penitenciarul București-Rahova și se plânge că, după abrogarea Legii nr. 169/2017, acestea nu au făcut obiectul vreunei despăgubiri.</w:t>
      </w:r>
    </w:p>
    <w:p w14:paraId="084FCA63" w14:textId="77777777" w:rsidR="00622EDE" w:rsidRPr="00622EDE" w:rsidRDefault="00622EDE" w:rsidP="00622EDE">
      <w:pPr>
        <w:pStyle w:val="JuHHead"/>
      </w:pPr>
      <w:r>
        <w:t>ÎN DREPT</w:t>
      </w:r>
    </w:p>
    <w:p w14:paraId="7813DA21" w14:textId="77777777" w:rsidR="00622EDE" w:rsidRPr="00622EDE" w:rsidRDefault="00622EDE" w:rsidP="00622EDE">
      <w:pPr>
        <w:pStyle w:val="JuPara"/>
      </w:pPr>
      <w:r>
        <w:t>13.  Reclamantul consideră că a fost deținut în Penitenciarul București-Rahova în condiții care echivalează cu tratamente inumane și degradante. Acesta invocă art. 3 din Convenție, care prevede următoarele:</w:t>
      </w:r>
    </w:p>
    <w:p w14:paraId="2CA41D99" w14:textId="77777777" w:rsidR="00622EDE" w:rsidRPr="00622EDE" w:rsidRDefault="00622EDE" w:rsidP="00622EDE">
      <w:pPr>
        <w:pStyle w:val="JuQuot"/>
      </w:pPr>
      <w:r>
        <w:t>„Nimeni nu poate fi supus torturii, nici pedepselor sau tratamentelor inumane ori degradante.”</w:t>
      </w:r>
    </w:p>
    <w:p w14:paraId="2F1048EE" w14:textId="77777777" w:rsidR="00622EDE" w:rsidRPr="00622EDE" w:rsidRDefault="00622EDE" w:rsidP="00622EDE">
      <w:pPr>
        <w:pStyle w:val="JuPara"/>
        <w:rPr>
          <w:noProof/>
        </w:rPr>
      </w:pPr>
      <w:r>
        <w:t xml:space="preserve">14.  Curtea observă că detenția reclamantului în Penitenciarul Rahova a inclus, pe de o parte, o perioadă în care se aplica Legea nr. 169/2017 care prevedea pentru persoanele deținute în condiții contrare art. 3 din Convenție o compensare sub forma unei reduceri automate a pedepsei care trebuia </w:t>
      </w:r>
      <w:r>
        <w:lastRenderedPageBreak/>
        <w:t xml:space="preserve">executată (a se vedea </w:t>
      </w:r>
      <w:r>
        <w:rPr>
          <w:i/>
          <w:iCs/>
        </w:rPr>
        <w:t>supra</w:t>
      </w:r>
      <w:r>
        <w:t xml:space="preserve">, pct. 5 și 7-8) și, pe de altă parte, o perioadă ulterioară abrogării acestei legi, care a avut loc la 23 decembrie 2019. Întrucât reclamantul a beneficiat, pentru o parte din durata detenției sale, de dispozițiile acestei legi (a se vedea </w:t>
      </w:r>
      <w:r>
        <w:rPr>
          <w:i/>
          <w:iCs/>
        </w:rPr>
        <w:t>supra</w:t>
      </w:r>
      <w:r>
        <w:t>, pct. 5 și 6), Curtea decide să examineze separat perioada de detenție pentru care s-a acordat o compensare (respectiv, înainte de 23 decembrie 2019) și cea pentru care nu s-a acordat o compensare (respectiv, începând din 23 decembrie 2019).</w:t>
      </w:r>
    </w:p>
    <w:p w14:paraId="1ECA9DD7" w14:textId="77777777" w:rsidR="00622EDE" w:rsidRPr="00622EDE" w:rsidRDefault="00622EDE" w:rsidP="00622EDE">
      <w:pPr>
        <w:pStyle w:val="JuHA"/>
      </w:pPr>
      <w:r>
        <w:t>Cu privire la condițiile materiale în care reclamantul a fost deținut în Penitenciarul București-Rahova înainte de 23 decembrie 2019</w:t>
      </w:r>
    </w:p>
    <w:p w14:paraId="5E16109A" w14:textId="77777777" w:rsidR="00622EDE" w:rsidRPr="00622EDE" w:rsidRDefault="00622EDE" w:rsidP="00622EDE">
      <w:pPr>
        <w:pStyle w:val="JuPara"/>
        <w:rPr>
          <w:noProof/>
        </w:rPr>
      </w:pPr>
      <w:r>
        <w:t>15.  Curtea reamintește că, în primul rând, autoritățile naționale sunt cele care au sarcina să remedieze o pretinsă încălcare a Convenției [</w:t>
      </w:r>
      <w:proofErr w:type="spellStart"/>
      <w:r>
        <w:rPr>
          <w:i/>
        </w:rPr>
        <w:t>Muršić</w:t>
      </w:r>
      <w:proofErr w:type="spellEnd"/>
      <w:r>
        <w:rPr>
          <w:i/>
        </w:rPr>
        <w:t xml:space="preserve"> împotriva Croației</w:t>
      </w:r>
      <w:r>
        <w:t xml:space="preserve"> (MC), nr. 7334/13, pct. 70, 20 octombrie 2016]. În această privință, reamintește că problema dacă un reclamant poate susține că este victima pretinsei încălcări se pune în toate etapele procedurii desfășurate în temeiul Convenției [</w:t>
      </w:r>
      <w:proofErr w:type="spellStart"/>
      <w:r>
        <w:rPr>
          <w:i/>
        </w:rPr>
        <w:t>Kurić</w:t>
      </w:r>
      <w:proofErr w:type="spellEnd"/>
      <w:r>
        <w:rPr>
          <w:i/>
        </w:rPr>
        <w:t xml:space="preserve"> și alții împotriva Sloveniei</w:t>
      </w:r>
      <w:r>
        <w:t xml:space="preserve"> (MC), nr. 26828/06, pct. 259, CEDO 2012 (extrase)]. În plus, Curtea amintește că o decizie sau o măsură favorabilă reclamantului nu este suficientă, în principiu, pentru a-i retrage acestuia calitatea de victimă, cu excepția cazului în care autoritățile naționale au recunoscut, în mod explicit sau în esență, apoi au reparat în mod adecvat și suficient încălcarea Convenției [</w:t>
      </w:r>
      <w:proofErr w:type="spellStart"/>
      <w:r>
        <w:rPr>
          <w:i/>
        </w:rPr>
        <w:t>Scordino</w:t>
      </w:r>
      <w:proofErr w:type="spellEnd"/>
      <w:r>
        <w:rPr>
          <w:i/>
        </w:rPr>
        <w:t xml:space="preserve"> împotriva Italiei</w:t>
      </w:r>
      <w:r>
        <w:rPr>
          <w:i/>
          <w:iCs/>
        </w:rPr>
        <w:t xml:space="preserve"> (nr. 1)</w:t>
      </w:r>
      <w:r>
        <w:t xml:space="preserve"> (MC), nr. 36813/97, pct. 180 și 193, CEDO 2006-V și </w:t>
      </w:r>
      <w:r>
        <w:rPr>
          <w:i/>
        </w:rPr>
        <w:t>Murray împotriva Țărilor de Jos</w:t>
      </w:r>
      <w:r>
        <w:t xml:space="preserve"> (MC), nr. 10511/10, pct. 83, 26 aprilie 2016]. Numai în cazurile în care sunt îndeplinite aceste două condiții, natura subsidiară a mecanismului de protecție oferită de Convenție se opune unei examinări a cererii (</w:t>
      </w:r>
      <w:proofErr w:type="spellStart"/>
      <w:r>
        <w:rPr>
          <w:i/>
        </w:rPr>
        <w:t>Albayrak</w:t>
      </w:r>
      <w:proofErr w:type="spellEnd"/>
      <w:r>
        <w:rPr>
          <w:i/>
        </w:rPr>
        <w:t xml:space="preserve"> împotriva Turciei</w:t>
      </w:r>
      <w:r>
        <w:t>, nr. 38406/97, pct. 32, 31 ianuarie 2008).</w:t>
      </w:r>
    </w:p>
    <w:p w14:paraId="0F87D970" w14:textId="77777777" w:rsidR="00622EDE" w:rsidRPr="00622EDE" w:rsidRDefault="00622EDE" w:rsidP="00622EDE">
      <w:pPr>
        <w:pStyle w:val="JuPara"/>
        <w:rPr>
          <w:noProof/>
        </w:rPr>
      </w:pPr>
      <w:r>
        <w:t xml:space="preserve">16.  În ceea ce privește calea de atac internă instituită prin Legea nr. 169/2017 (a se vedea </w:t>
      </w:r>
      <w:r>
        <w:rPr>
          <w:i/>
          <w:iCs/>
        </w:rPr>
        <w:t>supra</w:t>
      </w:r>
      <w:r>
        <w:t xml:space="preserve">, pct. 7 și 8), care a rămas în vigoare până la 23 decembrie 2019, Curtea constată că a considerat-o capabilă să ofere o reparație corespunzătoare în cazul unor condiții de detenție necorespunzătoare în cauza </w:t>
      </w:r>
      <w:r>
        <w:rPr>
          <w:i/>
          <w:iCs/>
        </w:rPr>
        <w:t>Dîrjan și Stefan împotriva României</w:t>
      </w:r>
      <w:r>
        <w:t xml:space="preserve"> [(dec.), nr. 14224/15 și 50977/15, pct. 23-34, 15 aprilie 2020]. Se constată, de asemenea că reclamantul din prezenta cauză a beneficiat de dispozițiile în discuție în aceleași condiții ca reclamanții din cauza </w:t>
      </w:r>
      <w:r>
        <w:rPr>
          <w:i/>
          <w:iCs/>
        </w:rPr>
        <w:t>Dîrjan și Ștefan</w:t>
      </w:r>
      <w:r>
        <w:t xml:space="preserve"> (citată anterior, pct. 30), întrucât i s-a acordat o reducere a pedepsei corespunzătoare tuturor perioadelor pe care le-a petrecut în detenție până la 23 decembrie 2019 – inclusiv detenția sa în Penitenciarul București-Rahova până la această dată – în măsura în care condițiile detenției sale în perioadele examinate erau contrare art. 3 din Convenție (a se vedea </w:t>
      </w:r>
      <w:r>
        <w:rPr>
          <w:i/>
          <w:iCs/>
        </w:rPr>
        <w:t>supra</w:t>
      </w:r>
      <w:r>
        <w:t xml:space="preserve">, pct. 5). Curtea constată, de asemenea, că, în speță, compensarea acordată în mod explicit ca măsură reparatorie pentru încălcarea art. 3 din Convenție a avut ca efect direct punerea în libertate a reclamantului înainte de împlinirea termenului de </w:t>
      </w:r>
      <w:r>
        <w:lastRenderedPageBreak/>
        <w:t xml:space="preserve">executare a pedepsei, împiedicând astfel persistența pretinsei încălcări (a se vedea </w:t>
      </w:r>
      <w:r>
        <w:rPr>
          <w:i/>
          <w:iCs/>
        </w:rPr>
        <w:t>supra</w:t>
      </w:r>
      <w:r>
        <w:t>, pct. 6).</w:t>
      </w:r>
    </w:p>
    <w:p w14:paraId="69AD49F8" w14:textId="77777777" w:rsidR="00622EDE" w:rsidRPr="00622EDE" w:rsidRDefault="00622EDE" w:rsidP="00622EDE">
      <w:pPr>
        <w:pStyle w:val="JuPara"/>
      </w:pPr>
      <w:r>
        <w:t>17.  Având în vedere cele de mai sus, Curtea consideră că, pentru perioada anterioară datei de 23 decembrie 2019, reclamantul nu mai poate susține că este victima faptelor pe care le denunță, și anume detenția în condiții necorespunzătoare în Penitenciarul București-Rahova.</w:t>
      </w:r>
    </w:p>
    <w:p w14:paraId="37FB9659" w14:textId="77777777" w:rsidR="00622EDE" w:rsidRPr="00622EDE" w:rsidRDefault="00622EDE" w:rsidP="00622EDE">
      <w:pPr>
        <w:pStyle w:val="JuPara"/>
        <w:rPr>
          <w:noProof/>
        </w:rPr>
      </w:pPr>
      <w:r>
        <w:t xml:space="preserve">18.  Curtea consideră așadar că această parte a cererii este incompatibilă </w:t>
      </w:r>
      <w:proofErr w:type="spellStart"/>
      <w:r>
        <w:rPr>
          <w:i/>
          <w:iCs/>
        </w:rPr>
        <w:t>ratione</w:t>
      </w:r>
      <w:proofErr w:type="spellEnd"/>
      <w:r>
        <w:rPr>
          <w:i/>
          <w:iCs/>
        </w:rPr>
        <w:t xml:space="preserve"> </w:t>
      </w:r>
      <w:proofErr w:type="spellStart"/>
      <w:r>
        <w:rPr>
          <w:i/>
          <w:iCs/>
        </w:rPr>
        <w:t>personae</w:t>
      </w:r>
      <w:proofErr w:type="spellEnd"/>
      <w:r>
        <w:t xml:space="preserve"> cu dispozițiile Convenției, în sensul art. 35 § 3 lit. a), și că trebuie să fie respinsă în conformitate cu art. 35 § 4.</w:t>
      </w:r>
    </w:p>
    <w:p w14:paraId="49C39359" w14:textId="77777777" w:rsidR="00622EDE" w:rsidRPr="00622EDE" w:rsidRDefault="00622EDE" w:rsidP="00622EDE">
      <w:pPr>
        <w:pStyle w:val="JuHA"/>
      </w:pPr>
      <w:r>
        <w:t>Cu privire la condițiile materiale în care reclamantul a fost deținut în Penitenciarul București-Rahova după 23 decembrie 2019</w:t>
      </w:r>
    </w:p>
    <w:p w14:paraId="6EF88DF4" w14:textId="77777777" w:rsidR="00622EDE" w:rsidRPr="00622EDE" w:rsidRDefault="00622EDE" w:rsidP="00622EDE">
      <w:pPr>
        <w:pStyle w:val="JuPara"/>
      </w:pPr>
      <w:r>
        <w:t xml:space="preserve">19.  Curtea constată că din dosar reiese că detenția reclamantului în Penitenciarul București-Rahova a continuat cel puțin până la 19 august 2020 (a se vedea </w:t>
      </w:r>
      <w:r>
        <w:rPr>
          <w:i/>
          <w:iCs/>
        </w:rPr>
        <w:t>supra</w:t>
      </w:r>
      <w:r>
        <w:t xml:space="preserve">, pct. 4) și că reclamantul a beneficiat ulterior de liberare condiționată (a se vedea </w:t>
      </w:r>
      <w:r>
        <w:rPr>
          <w:i/>
          <w:iCs/>
        </w:rPr>
        <w:t>supra</w:t>
      </w:r>
      <w:r>
        <w:t>, pct. 6).</w:t>
      </w:r>
    </w:p>
    <w:p w14:paraId="506AB490" w14:textId="77777777" w:rsidR="00622EDE" w:rsidRPr="00622EDE" w:rsidRDefault="00622EDE" w:rsidP="00622EDE">
      <w:pPr>
        <w:pStyle w:val="JuPara"/>
        <w:rPr>
          <w:noProof/>
        </w:rPr>
      </w:pPr>
      <w:r>
        <w:t xml:space="preserve">20.  În ceea ce privește perioada ulterioară abrogării recursului compensatoriu introdus prin Legea nr. 169/2017 (a se vedea </w:t>
      </w:r>
      <w:r>
        <w:rPr>
          <w:i/>
          <w:iCs/>
        </w:rPr>
        <w:t>supra</w:t>
      </w:r>
      <w:r>
        <w:t xml:space="preserve">, pct. 7 și 8), reclamantul afirmă că nu a primit nicio despăgubire pentru prejudiciul pe care susține că i l-ar fi cauzat condițiile, în opinia sa contrare art. 3 din Convenție, în care a fost deținut (a se vedea </w:t>
      </w:r>
      <w:r>
        <w:rPr>
          <w:i/>
          <w:iCs/>
        </w:rPr>
        <w:t>supra</w:t>
      </w:r>
      <w:r>
        <w:t>, pct. 12).</w:t>
      </w:r>
    </w:p>
    <w:p w14:paraId="289DD9F2" w14:textId="77777777" w:rsidR="00622EDE" w:rsidRPr="00622EDE" w:rsidRDefault="00622EDE" w:rsidP="00622EDE">
      <w:pPr>
        <w:pStyle w:val="JuPara"/>
        <w:rPr>
          <w:noProof/>
        </w:rPr>
      </w:pPr>
      <w:r>
        <w:t xml:space="preserve">21.  Curtea constată mai întâi, ca și reclamantul, că recursul compensatoriu sub forma unei reduceri automate a pedepsei care trebuia executată – măsură adoptată în mod expres ca reparație pentru încălcarea art. 3 din Convenție pentru persoanele deținute în condiții necorespunzătoare – a încetat să mai fie disponibil la 23 decembrie 2019, data abrogării Legii nr. 169/2017 (a se vedea </w:t>
      </w:r>
      <w:r>
        <w:rPr>
          <w:i/>
          <w:iCs/>
        </w:rPr>
        <w:t>supra</w:t>
      </w:r>
      <w:r>
        <w:t>, pct. 5 și 7) și că reclamantul nu a primit nicio compensare pentru perioada de detenție executată în Penitenciarul București-Rahova începând cu acea dată.</w:t>
      </w:r>
    </w:p>
    <w:p w14:paraId="4ABEE664" w14:textId="77777777" w:rsidR="00622EDE" w:rsidRPr="00622EDE" w:rsidRDefault="00622EDE" w:rsidP="00622EDE">
      <w:pPr>
        <w:pStyle w:val="JuPara"/>
        <w:rPr>
          <w:noProof/>
        </w:rPr>
      </w:pPr>
      <w:r>
        <w:t>22.  În continuare, Curtea se axează pe constatările sale privind existența unei căi de atac interne care să permită persoanelor care, precum reclamantul, consideră că au fost deținute în condiții necorespunzătoare, să introducă o acțiune în răspundere civilă delictuală pentru a obține repararea prejudiciului suferit (</w:t>
      </w:r>
      <w:r>
        <w:rPr>
          <w:i/>
          <w:iCs/>
        </w:rPr>
        <w:t>Polgar împotriva României</w:t>
      </w:r>
      <w:r>
        <w:t>, nr. 39412/19, pct. 82-97, 20 iulie 2021).</w:t>
      </w:r>
    </w:p>
    <w:p w14:paraId="18995D20" w14:textId="77777777" w:rsidR="00622EDE" w:rsidRPr="00622EDE" w:rsidRDefault="00622EDE" w:rsidP="00622EDE">
      <w:pPr>
        <w:pStyle w:val="JuPara"/>
        <w:rPr>
          <w:noProof/>
        </w:rPr>
      </w:pPr>
      <w:r>
        <w:t xml:space="preserve">23.  În cauza </w:t>
      </w:r>
      <w:r>
        <w:rPr>
          <w:i/>
          <w:iCs/>
        </w:rPr>
        <w:t>Polgar</w:t>
      </w:r>
      <w:r>
        <w:t xml:space="preserve"> (citată anterior, pct. 82-93), Curtea a analizat 21 de exemple din jurisprudența internă și a constatat că acțiunea respectivă era accesibilă persoanelor în cauză, că prezenta garanții procedurale suficiente, că examinarea acțiunilor de către instanțele naționale era conformă cu normele care decurg din jurisprudența Curții, că prejudiciul moral era prezumat a fi fost suferit și că reclamanții au obținut o reparație corespunzătoare și suficientă. De asemenea, Curtea a reținut 13 ianuarie 2021 ca dată de la care recursul respectiv a devenit efectiv pentru persoanele care considerau că au fost supuse unor condiții de detenție necorespunzătoare și </w:t>
      </w:r>
      <w:r>
        <w:lastRenderedPageBreak/>
        <w:t>care, la momentul introducerii acțiunii lor, nu mai erau deținute în condiții despre care susțineau că sunt contrare Convenției (</w:t>
      </w:r>
      <w:r>
        <w:rPr>
          <w:i/>
          <w:iCs/>
        </w:rPr>
        <w:t>Polgar</w:t>
      </w:r>
      <w:r>
        <w:t>, citată anterior, pct. 96).</w:t>
      </w:r>
    </w:p>
    <w:p w14:paraId="4E966373" w14:textId="77777777" w:rsidR="00622EDE" w:rsidRPr="00622EDE" w:rsidRDefault="00622EDE" w:rsidP="00622EDE">
      <w:pPr>
        <w:pStyle w:val="JuPara"/>
      </w:pPr>
      <w:r>
        <w:t xml:space="preserve">24.  Prin urmare, rămâne de stabilit dacă reclamantul, care îndeplinea această condiție la 23 martie 2021 cel târziu, data liberării sale condiționate (a se vedea </w:t>
      </w:r>
      <w:r>
        <w:rPr>
          <w:i/>
          <w:iCs/>
        </w:rPr>
        <w:t>supra</w:t>
      </w:r>
      <w:r>
        <w:t xml:space="preserve">, pct. 6), ar fi trebuit să exercite această cale de atac în sensul art. 35 § 1 din Convenție, având în vedere faptul că cererea sa a fost depusă la Curte la 13 februarie 2017, adică înainte de data de la care acțiunea în răspundere civilă delictuală a fost considerată o cale de atac efectivă (a se vedea </w:t>
      </w:r>
      <w:r>
        <w:rPr>
          <w:i/>
          <w:iCs/>
        </w:rPr>
        <w:t>supra</w:t>
      </w:r>
      <w:r>
        <w:t>, pct. 23).</w:t>
      </w:r>
    </w:p>
    <w:p w14:paraId="7A720FE9" w14:textId="77777777" w:rsidR="00622EDE" w:rsidRPr="00622EDE" w:rsidRDefault="00622EDE" w:rsidP="00622EDE">
      <w:pPr>
        <w:pStyle w:val="JuPara"/>
        <w:rPr>
          <w:noProof/>
        </w:rPr>
      </w:pPr>
      <w:r>
        <w:t xml:space="preserve">25.  În această privință, Curtea amintește mai întâi că, în principiu, data depunerii cererii este cea în funcție de care se apreciază eficacitatea unei anumite acțiuni. Astfel, a statuat că nu ar fi corect să li se opună persoanelor care devin reclamanți în fața sa o cale de atac care este nou integrată în sistemul juridic al unui stat contractant și despre care nu aveau cunoștință în mod efectiv. De exemplu, în cauza </w:t>
      </w:r>
      <w:r>
        <w:rPr>
          <w:i/>
          <w:iCs/>
        </w:rPr>
        <w:t xml:space="preserve">Valada </w:t>
      </w:r>
      <w:proofErr w:type="spellStart"/>
      <w:r>
        <w:rPr>
          <w:i/>
          <w:iCs/>
        </w:rPr>
        <w:t>Matos</w:t>
      </w:r>
      <w:proofErr w:type="spellEnd"/>
      <w:r>
        <w:rPr>
          <w:i/>
          <w:iCs/>
        </w:rPr>
        <w:t xml:space="preserve"> das </w:t>
      </w:r>
      <w:proofErr w:type="spellStart"/>
      <w:r>
        <w:rPr>
          <w:i/>
          <w:iCs/>
        </w:rPr>
        <w:t>Neves</w:t>
      </w:r>
      <w:proofErr w:type="spellEnd"/>
      <w:r>
        <w:rPr>
          <w:i/>
          <w:iCs/>
        </w:rPr>
        <w:t xml:space="preserve"> împotriva Portugaliei</w:t>
      </w:r>
      <w:r>
        <w:t xml:space="preserve"> (nr. 73798/13, pct. 107-108, 29 octombrie 2015), care avea ca obiect lipsa unei căi de atac care să permită denunțarea duratei procedurii, Curtea a constatat că cererea a fost introdusă înainte de data la care a devenit efectivă calea de atac internă ce a rezultat dintr-o evoluție jurisprudențială și că persoana în cauză, a cărei acțiune se prescrisese, nu mai putea exercita acțiunea respectivă; prin urmare, aceasta a considerat că reclamantul nu era obligat să o exercite în scopul epuizării căilor de atac interne.</w:t>
      </w:r>
    </w:p>
    <w:p w14:paraId="04D95562" w14:textId="77777777" w:rsidR="00622EDE" w:rsidRPr="00622EDE" w:rsidRDefault="00622EDE" w:rsidP="00622EDE">
      <w:pPr>
        <w:pStyle w:val="JuPara"/>
        <w:rPr>
          <w:noProof/>
        </w:rPr>
      </w:pPr>
      <w:r>
        <w:t xml:space="preserve">26.  Acestea fiind spuse, într-o serie întreagă de cauze Curtea a admis o excepție de la acest principiu, considerând-o justificată de împrejurări excepționale, ca de exemplu adoptarea unei noi legislații naționale menite să remedieze problema sistemică a duratei procedurilor judiciare interne [a se vedea, printre multe altele, trimiterile menționate în </w:t>
      </w:r>
      <w:r>
        <w:rPr>
          <w:i/>
          <w:iCs/>
        </w:rPr>
        <w:t xml:space="preserve">Valada </w:t>
      </w:r>
      <w:proofErr w:type="spellStart"/>
      <w:r>
        <w:rPr>
          <w:i/>
          <w:iCs/>
        </w:rPr>
        <w:t>Matos</w:t>
      </w:r>
      <w:proofErr w:type="spellEnd"/>
      <w:r>
        <w:rPr>
          <w:i/>
          <w:iCs/>
        </w:rPr>
        <w:t xml:space="preserve"> das </w:t>
      </w:r>
      <w:proofErr w:type="spellStart"/>
      <w:r>
        <w:rPr>
          <w:i/>
          <w:iCs/>
        </w:rPr>
        <w:t>Neves</w:t>
      </w:r>
      <w:proofErr w:type="spellEnd"/>
      <w:r>
        <w:rPr>
          <w:i/>
          <w:iCs/>
        </w:rPr>
        <w:t xml:space="preserve"> împotriva Portugaliei</w:t>
      </w:r>
      <w:r>
        <w:t xml:space="preserve">, citată anterior, pct. 102, precum și în </w:t>
      </w:r>
      <w:proofErr w:type="spellStart"/>
      <w:r>
        <w:rPr>
          <w:i/>
          <w:iCs/>
        </w:rPr>
        <w:t>Demopoulos</w:t>
      </w:r>
      <w:proofErr w:type="spellEnd"/>
      <w:r>
        <w:rPr>
          <w:i/>
          <w:iCs/>
        </w:rPr>
        <w:t xml:space="preserve"> și alții împotriva Turciei</w:t>
      </w:r>
      <w:r>
        <w:t xml:space="preserve"> (dec.) (MC), nr. 46113/99 și alte 7, pct. 87-88, CEDO 2010]. Reafirmând importanța crucială a caracterului subsidiar al rolului său, Curtea a statuat așadar, în aceste cauze, că o excepție de la principiul general menționat la pct. 25 </w:t>
      </w:r>
      <w:r>
        <w:rPr>
          <w:i/>
          <w:iCs/>
        </w:rPr>
        <w:t>supra</w:t>
      </w:r>
      <w:r>
        <w:t xml:space="preserve"> era justificată și era necesar să se aplice tuturor cauzelor similare aflate pe rolul său care nu fuseseră încă declarate admisibile. În special, într-o serie de cauze referitoare la problema condițiilor de detenție, aceasta a considerat că introducerea unor noi căi de atac de către legiuitorul național constituia o consecință directă a aplicării procedurii hotărârii-pilot și că aceasta avea ca scop să soluționeze cauzele referitoare la supraaglomerarea din mediul penitenciar pentru a permite abordarea amenințării crescânde la adresa sistemului Convenției reprezentată de numărul mare de cauze similare determinate de aceeași problemă structurală sau sistemică [a se vedea, de exemplu, în cazul acțiunilor introduse de legiuitor, </w:t>
      </w:r>
      <w:proofErr w:type="spellStart"/>
      <w:r>
        <w:rPr>
          <w:i/>
          <w:iCs/>
        </w:rPr>
        <w:t>Stella</w:t>
      </w:r>
      <w:proofErr w:type="spellEnd"/>
      <w:r>
        <w:rPr>
          <w:i/>
          <w:iCs/>
        </w:rPr>
        <w:t xml:space="preserve"> și alții împotriva Italiei</w:t>
      </w:r>
      <w:r>
        <w:t xml:space="preserve"> (dec.), nr. 49169/09 și alte 10, pct. 42-45, 16 septembrie 2014]. O abordare similară a fost adoptată de Curte în cauzele îndreptate împotriva </w:t>
      </w:r>
      <w:r>
        <w:lastRenderedPageBreak/>
        <w:t xml:space="preserve">Moldovei și Ungariei cu privire la o problemă sistemică similară [a se vedea </w:t>
      </w:r>
      <w:proofErr w:type="spellStart"/>
      <w:r>
        <w:rPr>
          <w:i/>
          <w:iCs/>
        </w:rPr>
        <w:t>Draniceru</w:t>
      </w:r>
      <w:proofErr w:type="spellEnd"/>
      <w:r>
        <w:rPr>
          <w:i/>
          <w:iCs/>
        </w:rPr>
        <w:t xml:space="preserve"> împotriva Republicii Moldova</w:t>
      </w:r>
      <w:r>
        <w:t xml:space="preserve"> (dec.), nr. 31975/15, pct. 42-44, 12 februarie 2019, și </w:t>
      </w:r>
      <w:proofErr w:type="spellStart"/>
      <w:r>
        <w:rPr>
          <w:i/>
          <w:iCs/>
        </w:rPr>
        <w:t>Domján</w:t>
      </w:r>
      <w:proofErr w:type="spellEnd"/>
      <w:r>
        <w:rPr>
          <w:i/>
          <w:iCs/>
        </w:rPr>
        <w:t xml:space="preserve"> împotriva Ungariei</w:t>
      </w:r>
      <w:r>
        <w:t xml:space="preserve"> (dec.), nr. 5433/17, pct. 34-35, 14 noiembrie 2017, precum și trimiterile citate acolo].</w:t>
      </w:r>
    </w:p>
    <w:p w14:paraId="20AD4E45" w14:textId="77777777" w:rsidR="00622EDE" w:rsidRPr="00622EDE" w:rsidRDefault="00622EDE" w:rsidP="00622EDE">
      <w:pPr>
        <w:pStyle w:val="JuPara"/>
        <w:rPr>
          <w:noProof/>
        </w:rPr>
      </w:pPr>
      <w:r>
        <w:t xml:space="preserve">27.  În ceea ce privește circumstanțele prezentei cauze, Curtea consideră că ar trebui subliniată importanța principiilor subsidiarității și responsabilității comune în această privință. Acesta reamintește rolul fundamental subsidiar pe care îl joacă în cadrul mecanismului de control instituit de Convenție, în care înaltelor părți contractante le revine responsabilitatea primară de a garanta respectarea drepturilor și libertăților definite în Convenție și protocoalele la aceasta. Protocolul nr. 15 la Convenție a încorporat recent principiul subsidiarității în preambulul Convenției. În temeiul acestui principiu, responsabilitatea pentru protecția drepturilor omului este deținută în comun de statele părți și Curte, iar autoritățile și instanțele naționale trebuie să interpreteze și să aplice dreptul intern într-un mod care să asigure efectul deplin al Convenției [a se vedea în acest sens </w:t>
      </w:r>
      <w:proofErr w:type="spellStart"/>
      <w:r>
        <w:rPr>
          <w:i/>
          <w:iCs/>
        </w:rPr>
        <w:t>Grzęda</w:t>
      </w:r>
      <w:proofErr w:type="spellEnd"/>
      <w:r>
        <w:rPr>
          <w:i/>
          <w:iCs/>
        </w:rPr>
        <w:t xml:space="preserve"> împotriva Poloniei</w:t>
      </w:r>
      <w:r>
        <w:t xml:space="preserve"> (MC), nr. 43572/18, pct. 324, 15 martie 2022, precum și trimiterile citate acolo].</w:t>
      </w:r>
    </w:p>
    <w:p w14:paraId="33A0735A" w14:textId="77777777" w:rsidR="00622EDE" w:rsidRPr="00622EDE" w:rsidRDefault="00622EDE" w:rsidP="00622EDE">
      <w:pPr>
        <w:pStyle w:val="JuPara"/>
        <w:rPr>
          <w:noProof/>
        </w:rPr>
      </w:pPr>
      <w:r>
        <w:t xml:space="preserve">28.  În această privință, Curtea constată că evoluția practicii instanțelor române (a se vedea, pe lângă jurisprudența rezumată în cauza </w:t>
      </w:r>
      <w:r>
        <w:rPr>
          <w:i/>
          <w:iCs/>
        </w:rPr>
        <w:t>Polgar</w:t>
      </w:r>
      <w:r>
        <w:t xml:space="preserve">, citată anterior, exemplele mai recente de jurisprudență, la pct. 10 </w:t>
      </w:r>
      <w:r>
        <w:rPr>
          <w:i/>
          <w:iCs/>
        </w:rPr>
        <w:t>supra</w:t>
      </w:r>
      <w:r>
        <w:t xml:space="preserve">) este comparabilă cu cea determinată de introducerea recursului compensatoriu în legislația Italiei, Moldovei sau Ungariei (a se vedea </w:t>
      </w:r>
      <w:r>
        <w:rPr>
          <w:i/>
          <w:iCs/>
        </w:rPr>
        <w:t>supra</w:t>
      </w:r>
      <w:r>
        <w:t xml:space="preserve">, pct. 26 </w:t>
      </w:r>
      <w:r>
        <w:rPr>
          <w:i/>
          <w:iCs/>
        </w:rPr>
        <w:t>in fine</w:t>
      </w:r>
      <w:r>
        <w:t xml:space="preserve">): acestea atestă eforturile autorităților naționale de a pune în aplicare recomandările formulate de Curte într-o hotărâre-pilot (în speță, </w:t>
      </w:r>
      <w:r>
        <w:rPr>
          <w:i/>
          <w:iCs/>
        </w:rPr>
        <w:t>Rezmiveș și alții împotriva României</w:t>
      </w:r>
      <w:r>
        <w:t>, nr. 61467/12 și alte 3, pct. 121-126, 25 aprilie 2017) și au scopul de a permite soluționarea în plan intern a cauzelor referitoare la supraaglomerarea mediului penitenciar, pentru a preveni amenințarea tot mai mare la adresa sistemului Convenției reprezentată de numărul mare de cauze similare determinate de aceeași problemă structurală sau sistemică. Curtea nu are niciun motiv să pună la îndoială aplicarea în continuare a acestei jurisprudențe.</w:t>
      </w:r>
    </w:p>
    <w:p w14:paraId="2D7605B5" w14:textId="77777777" w:rsidR="00622EDE" w:rsidRPr="00622EDE" w:rsidRDefault="00622EDE" w:rsidP="00622EDE">
      <w:pPr>
        <w:pStyle w:val="JuPara"/>
        <w:rPr>
          <w:noProof/>
        </w:rPr>
      </w:pPr>
      <w:r>
        <w:t>29.  Curtea face trimitere, de asemenea la finalitatea și scopul unei hotărâri-pilot și reamintește că nu are nici capacitatea și nici funcția de a se pronunța cu privire la un număr mare de cauze repetitive care presupun stabilirea faptelor aflate la originea lor sau calcularea compensației financiare – două sarcini, care, în principiu și din motive de eficacitate, țin de competența instanțelor naționale (</w:t>
      </w:r>
      <w:proofErr w:type="spellStart"/>
      <w:r>
        <w:rPr>
          <w:i/>
          <w:iCs/>
        </w:rPr>
        <w:t>Gerasimov</w:t>
      </w:r>
      <w:proofErr w:type="spellEnd"/>
      <w:r>
        <w:rPr>
          <w:i/>
          <w:iCs/>
        </w:rPr>
        <w:t xml:space="preserve"> și alții împotriva Rusiei</w:t>
      </w:r>
      <w:r>
        <w:t>, nr. 29920/05 și alte 10, pct. 207, 1 iulie 2014).</w:t>
      </w:r>
    </w:p>
    <w:p w14:paraId="23C5CB92" w14:textId="77777777" w:rsidR="00622EDE" w:rsidRPr="00622EDE" w:rsidRDefault="00622EDE" w:rsidP="00622EDE">
      <w:pPr>
        <w:pStyle w:val="JuPara"/>
        <w:rPr>
          <w:noProof/>
        </w:rPr>
      </w:pPr>
      <w:r>
        <w:t>30.  În opinia Curții, instanțele române oferă o măsură reparatorie mai rapidă decât procedura în fața sa și îi ușurează sarcina scutind-o de judecarea unui mare număr de cereri similare în esență (</w:t>
      </w:r>
      <w:r>
        <w:rPr>
          <w:i/>
          <w:iCs/>
        </w:rPr>
        <w:t>Polgar</w:t>
      </w:r>
      <w:r>
        <w:t xml:space="preserve">, citată anterior, pct. 83-96; a se vedea și, </w:t>
      </w:r>
      <w:r>
        <w:rPr>
          <w:i/>
        </w:rPr>
        <w:t>mutatis mutandis</w:t>
      </w:r>
      <w:r>
        <w:t xml:space="preserve">, </w:t>
      </w:r>
      <w:proofErr w:type="spellStart"/>
      <w:r>
        <w:rPr>
          <w:i/>
        </w:rPr>
        <w:t>Stella</w:t>
      </w:r>
      <w:proofErr w:type="spellEnd"/>
      <w:r>
        <w:rPr>
          <w:i/>
        </w:rPr>
        <w:t xml:space="preserve"> et </w:t>
      </w:r>
      <w:proofErr w:type="spellStart"/>
      <w:r>
        <w:rPr>
          <w:i/>
        </w:rPr>
        <w:t>autres</w:t>
      </w:r>
      <w:proofErr w:type="spellEnd"/>
      <w:r>
        <w:t>, citată anterior, pct. 43).</w:t>
      </w:r>
    </w:p>
    <w:p w14:paraId="761F5935" w14:textId="77777777" w:rsidR="00622EDE" w:rsidRPr="00622EDE" w:rsidRDefault="00622EDE" w:rsidP="00622EDE">
      <w:pPr>
        <w:pStyle w:val="JuPara"/>
        <w:keepNext/>
        <w:suppressAutoHyphens/>
        <w:rPr>
          <w:noProof/>
        </w:rPr>
      </w:pPr>
      <w:r>
        <w:lastRenderedPageBreak/>
        <w:t xml:space="preserve">31.  În plus, spre deosebire de reclamantul din cauza </w:t>
      </w:r>
      <w:r>
        <w:rPr>
          <w:i/>
          <w:iCs/>
        </w:rPr>
        <w:t xml:space="preserve">Valada </w:t>
      </w:r>
      <w:proofErr w:type="spellStart"/>
      <w:r>
        <w:rPr>
          <w:i/>
          <w:iCs/>
        </w:rPr>
        <w:t>Matos</w:t>
      </w:r>
      <w:proofErr w:type="spellEnd"/>
      <w:r>
        <w:rPr>
          <w:i/>
          <w:iCs/>
        </w:rPr>
        <w:t xml:space="preserve"> das </w:t>
      </w:r>
      <w:proofErr w:type="spellStart"/>
      <w:r>
        <w:rPr>
          <w:i/>
          <w:iCs/>
        </w:rPr>
        <w:t>Neves</w:t>
      </w:r>
      <w:proofErr w:type="spellEnd"/>
      <w:r>
        <w:t xml:space="preserve"> (citată anterior, pct. 107), reclamantul din prezenta cauză avea, în momentul punerii sale în libertate, posibilitatea de a introduce împotriva autorităților, în temeiul art. 1349 și 1357 din Codul civil (a se vedea </w:t>
      </w:r>
      <w:r>
        <w:rPr>
          <w:i/>
          <w:iCs/>
        </w:rPr>
        <w:t>supra</w:t>
      </w:r>
      <w:r>
        <w:t>, pct. 9), o acțiune în răspundere civilă pentru prejudiciul pe care considera că l-a suferit în timpul detenției sale în Penitenciarul Rahova în perioada ulterioară datei de 23 decembrie 2019.</w:t>
      </w:r>
    </w:p>
    <w:p w14:paraId="2BAE36CC" w14:textId="77777777" w:rsidR="00622EDE" w:rsidRPr="00622EDE" w:rsidRDefault="00622EDE" w:rsidP="00622EDE">
      <w:pPr>
        <w:pStyle w:val="JuPara"/>
      </w:pPr>
      <w:r>
        <w:t xml:space="preserve">32.  Având în vedere ansamblul considerațiilor care precedă, Curtea, reafirmând importanța principiului subsidiarității (a se vedea </w:t>
      </w:r>
      <w:r>
        <w:rPr>
          <w:i/>
          <w:iCs/>
        </w:rPr>
        <w:t>supra</w:t>
      </w:r>
      <w:r>
        <w:t xml:space="preserve">, pct. 27) și neconstatând niciun motiv obiectiv pentru a face, în rândul căilor de atac devenite disponibile la nivel național, o deosebire între cele de origine legislativă și cele care rezultă dintr-o evoluție a practicii instanțelor naționale, Curtea consideră că, în speță, trebuie să se aplice o excepție de la principiul general potrivit căruia eficacitatea unei anumite căi de atac trebuie apreciată începând de la data introducerii cererii (a se vedea </w:t>
      </w:r>
      <w:r>
        <w:rPr>
          <w:i/>
          <w:iCs/>
        </w:rPr>
        <w:t>supra</w:t>
      </w:r>
      <w:r>
        <w:t xml:space="preserve">, pct. 25). În aceste condiții, Curtea consideră că reclamantul putea să introducă la instanțele naționale, prin intermediul unei acțiuni în răspundere civilă delictuală îndreptată împotriva autorităților – cale de atac aleasă de mai multe persoane în numeroase exemple oferite de jurisprudența internă (a se vedea </w:t>
      </w:r>
      <w:r>
        <w:rPr>
          <w:i/>
          <w:iCs/>
        </w:rPr>
        <w:t>supra</w:t>
      </w:r>
      <w:r>
        <w:t>, pct. 10) –, o plângere în legătură cu condițiile de detenție necorespunzătoare din Penitenciarul București-Rahova în perioada ulterioară datei de 23 decembrie 2019.</w:t>
      </w:r>
    </w:p>
    <w:p w14:paraId="5579035B" w14:textId="77777777" w:rsidR="00622EDE" w:rsidRPr="00622EDE" w:rsidRDefault="00622EDE" w:rsidP="00622EDE">
      <w:pPr>
        <w:pStyle w:val="JuPara"/>
      </w:pPr>
      <w:r>
        <w:t>33.  Întrucât reclamantul nu a informat Curtea că a introdus o astfel de acțiune, această parte a cererii trebuie respinsă pentru neepuizarea căilor de atac interne, în temeiul art. 35 § 1 și 4 din Convenție.</w:t>
      </w:r>
    </w:p>
    <w:p w14:paraId="1E828C55" w14:textId="77777777" w:rsidR="00622EDE" w:rsidRPr="00622EDE" w:rsidRDefault="00622EDE" w:rsidP="00622EDE">
      <w:pPr>
        <w:pStyle w:val="JuParaLast"/>
      </w:pPr>
      <w:r>
        <w:t>Pentru aceste motive, în unanimitate, Curtea</w:t>
      </w:r>
    </w:p>
    <w:p w14:paraId="114E5D4B" w14:textId="77777777" w:rsidR="00622EDE" w:rsidRPr="00622EDE" w:rsidRDefault="00622EDE" w:rsidP="00622EDE">
      <w:pPr>
        <w:pStyle w:val="DecList"/>
      </w:pPr>
      <w:r>
        <w:rPr>
          <w:i/>
          <w:iCs/>
        </w:rPr>
        <w:t>Declară</w:t>
      </w:r>
      <w:r>
        <w:t xml:space="preserve"> cererea inadmisibilă.</w:t>
      </w:r>
    </w:p>
    <w:p w14:paraId="065DB382" w14:textId="77777777" w:rsidR="00622EDE" w:rsidRPr="00622EDE" w:rsidRDefault="00622EDE" w:rsidP="00622EDE">
      <w:pPr>
        <w:pStyle w:val="JuParaLast"/>
      </w:pPr>
      <w:r>
        <w:t>Redactată în limba franceză, apoi comunicată în scris, la 8 decembrie 2022.</w:t>
      </w:r>
    </w:p>
    <w:p w14:paraId="53BC2A9D" w14:textId="77777777" w:rsidR="00622EDE" w:rsidRPr="00622EDE" w:rsidRDefault="00622EDE" w:rsidP="00622EDE">
      <w:pPr>
        <w:pStyle w:val="ECHRPlaceholder"/>
      </w:pPr>
      <w:r>
        <w:tab/>
      </w:r>
    </w:p>
    <w:p w14:paraId="31EB4ACC" w14:textId="74BB9F33" w:rsidR="00A1102F" w:rsidRPr="00622EDE" w:rsidRDefault="00622EDE" w:rsidP="00622EDE">
      <w:pPr>
        <w:pStyle w:val="JuSigned"/>
      </w:pPr>
      <w:r>
        <w:tab/>
        <w:t xml:space="preserve">Ilse </w:t>
      </w:r>
      <w:proofErr w:type="spellStart"/>
      <w:r>
        <w:t>Freiwirth</w:t>
      </w:r>
      <w:proofErr w:type="spellEnd"/>
      <w:r>
        <w:tab/>
        <w:t xml:space="preserve">Gabriele </w:t>
      </w:r>
      <w:proofErr w:type="spellStart"/>
      <w:r>
        <w:t>Kucsko-Stadlmayer</w:t>
      </w:r>
      <w:proofErr w:type="spellEnd"/>
      <w:r>
        <w:br/>
      </w:r>
      <w:r>
        <w:tab/>
        <w:t>Grefier adjunct</w:t>
      </w:r>
      <w:r>
        <w:tab/>
        <w:t>Președinte</w:t>
      </w:r>
    </w:p>
    <w:sectPr w:rsidR="00A1102F" w:rsidRPr="00622EDE" w:rsidSect="00BA68EF">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68" w:right="2268" w:bottom="2268" w:left="2268" w:header="1134"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90CA6" w14:textId="77777777" w:rsidR="00545D6C" w:rsidRPr="00A13374" w:rsidRDefault="00545D6C" w:rsidP="006544C4">
      <w:r w:rsidRPr="00A13374">
        <w:separator/>
      </w:r>
    </w:p>
  </w:endnote>
  <w:endnote w:type="continuationSeparator" w:id="0">
    <w:p w14:paraId="4016C1B6" w14:textId="77777777" w:rsidR="00545D6C" w:rsidRPr="00A13374" w:rsidRDefault="00545D6C" w:rsidP="006544C4">
      <w:r w:rsidRPr="00A13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B5887" w14:textId="36D89D43" w:rsidR="00AF7102" w:rsidRPr="00622EDE" w:rsidRDefault="00A13374" w:rsidP="00622EDE">
    <w:pPr>
      <w:pStyle w:val="JuHeader"/>
    </w:pPr>
    <w:r w:rsidRPr="00622EDE">
      <w:fldChar w:fldCharType="begin"/>
    </w:r>
    <w:r w:rsidRPr="00622EDE">
      <w:instrText xml:space="preserve"> PAGE </w:instrText>
    </w:r>
    <w:r w:rsidRPr="00622EDE">
      <w:fldChar w:fldCharType="separate"/>
    </w:r>
    <w:r w:rsidR="00622EDE" w:rsidRPr="00622EDE">
      <w:t>2</w:t>
    </w:r>
    <w:r w:rsidRPr="00622ED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04AE3" w14:textId="29EBC9FA" w:rsidR="00AF7102" w:rsidRPr="00622EDE" w:rsidRDefault="00A13374" w:rsidP="00622EDE">
    <w:pPr>
      <w:pStyle w:val="JuHeader"/>
    </w:pPr>
    <w:r w:rsidRPr="00622EDE">
      <w:fldChar w:fldCharType="begin"/>
    </w:r>
    <w:r w:rsidRPr="00622EDE">
      <w:instrText xml:space="preserve"> PAGE </w:instrText>
    </w:r>
    <w:r w:rsidRPr="00622EDE">
      <w:fldChar w:fldCharType="separate"/>
    </w:r>
    <w:r w:rsidR="00FF172D">
      <w:rPr>
        <w:noProof/>
      </w:rPr>
      <w:t>9</w:t>
    </w:r>
    <w:r w:rsidRPr="00622E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95779" w14:textId="34F3BD8F" w:rsidR="00112D62" w:rsidRPr="00414E29" w:rsidRDefault="00A13374" w:rsidP="00414E29">
    <w:pPr>
      <w:jc w:val="center"/>
    </w:pPr>
    <w:r>
      <w:rPr>
        <w:noProof/>
        <w:lang w:eastAsia="ro-RO"/>
      </w:rPr>
      <w:drawing>
        <wp:inline distT="0" distB="0" distL="0" distR="0" wp14:anchorId="39A1DF9E" wp14:editId="120C7137">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F1CC3" w14:textId="77777777" w:rsidR="00545D6C" w:rsidRPr="00A13374" w:rsidRDefault="00545D6C" w:rsidP="006544C4">
      <w:r w:rsidRPr="00A13374">
        <w:separator/>
      </w:r>
    </w:p>
  </w:footnote>
  <w:footnote w:type="continuationSeparator" w:id="0">
    <w:p w14:paraId="2A78649F" w14:textId="77777777" w:rsidR="00545D6C" w:rsidRPr="00A13374" w:rsidRDefault="00545D6C" w:rsidP="006544C4">
      <w:r w:rsidRPr="00A13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77F08" w14:textId="251F222C" w:rsidR="00112D62" w:rsidRPr="00622EDE" w:rsidRDefault="00334EC5" w:rsidP="00622EDE">
    <w:pPr>
      <w:pStyle w:val="JuHeader"/>
    </w:pPr>
    <w:r>
      <w:t>DECIZIA VLAD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B3323" w14:textId="6D57CBE2" w:rsidR="00112D62" w:rsidRPr="00622EDE" w:rsidRDefault="00334EC5" w:rsidP="00622EDE">
    <w:pPr>
      <w:pStyle w:val="JuHeader"/>
    </w:pPr>
    <w:r>
      <w:t>DECIZIA VLAD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0FD47" w14:textId="77777777" w:rsidR="003D574C" w:rsidRPr="00622EDE" w:rsidRDefault="003D574C" w:rsidP="00622EDE">
    <w:pPr>
      <w:jc w:val="right"/>
      <w:rPr>
        <w:i/>
        <w:noProof/>
      </w:rPr>
    </w:pPr>
    <w:r>
      <w:rPr>
        <w:i/>
      </w:rPr>
      <w:t>Tradus și revizuit de IER (http://ier.gov.ro/)</w:t>
    </w:r>
  </w:p>
  <w:p w14:paraId="393E3FC6" w14:textId="77777777" w:rsidR="003D574C" w:rsidRPr="00622EDE" w:rsidRDefault="003D574C" w:rsidP="00622EDE">
    <w:pPr>
      <w:jc w:val="center"/>
      <w:rPr>
        <w:noProof/>
        <w:lang w:val="en-US"/>
      </w:rPr>
    </w:pPr>
  </w:p>
  <w:p w14:paraId="0908C549" w14:textId="77777777" w:rsidR="003D574C" w:rsidRPr="00622EDE" w:rsidRDefault="003D574C" w:rsidP="00622EDE">
    <w:pPr>
      <w:jc w:val="center"/>
      <w:rPr>
        <w:noProof/>
        <w:lang w:val="en-US"/>
      </w:rPr>
    </w:pPr>
  </w:p>
  <w:p w14:paraId="362E4E84" w14:textId="77777777" w:rsidR="003D574C" w:rsidRPr="00622EDE" w:rsidRDefault="003D574C" w:rsidP="00622EDE">
    <w:pPr>
      <w:jc w:val="center"/>
      <w:rPr>
        <w:noProof/>
        <w:lang w:val="en-US"/>
      </w:rPr>
    </w:pPr>
  </w:p>
  <w:p w14:paraId="5D33401A" w14:textId="04045B46" w:rsidR="00A13374" w:rsidRPr="00622EDE" w:rsidRDefault="00A13374" w:rsidP="00622EDE">
    <w:pPr>
      <w:jc w:val="center"/>
    </w:pPr>
    <w:r>
      <w:rPr>
        <w:noProof/>
        <w:lang w:eastAsia="ro-RO"/>
      </w:rPr>
      <w:drawing>
        <wp:inline distT="0" distB="0" distL="0" distR="0" wp14:anchorId="321DED02" wp14:editId="411A3BBF">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4833524" w14:textId="2672D5F2" w:rsidR="00112D62" w:rsidRPr="00622EDE" w:rsidRDefault="00545D6C" w:rsidP="00622ED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A13374"/>
    <w:rsid w:val="000021BB"/>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602DF"/>
    <w:rsid w:val="00061B05"/>
    <w:rsid w:val="000632D5"/>
    <w:rsid w:val="000644EE"/>
    <w:rsid w:val="00070E6A"/>
    <w:rsid w:val="000925AD"/>
    <w:rsid w:val="000A24EB"/>
    <w:rsid w:val="000B6923"/>
    <w:rsid w:val="000C5F3C"/>
    <w:rsid w:val="000C6DCC"/>
    <w:rsid w:val="000D47AA"/>
    <w:rsid w:val="000D721F"/>
    <w:rsid w:val="000E069B"/>
    <w:rsid w:val="000E0E82"/>
    <w:rsid w:val="000E0F57"/>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62A12"/>
    <w:rsid w:val="001641A2"/>
    <w:rsid w:val="00166234"/>
    <w:rsid w:val="00166530"/>
    <w:rsid w:val="0016678F"/>
    <w:rsid w:val="001832BD"/>
    <w:rsid w:val="001943B5"/>
    <w:rsid w:val="00195134"/>
    <w:rsid w:val="001A145B"/>
    <w:rsid w:val="001A674C"/>
    <w:rsid w:val="001B2A93"/>
    <w:rsid w:val="001B2A94"/>
    <w:rsid w:val="001B3B24"/>
    <w:rsid w:val="001C0F98"/>
    <w:rsid w:val="001C2A42"/>
    <w:rsid w:val="001D4B94"/>
    <w:rsid w:val="001D63ED"/>
    <w:rsid w:val="001D7348"/>
    <w:rsid w:val="001E035B"/>
    <w:rsid w:val="001E0961"/>
    <w:rsid w:val="001E3EAE"/>
    <w:rsid w:val="001E6F32"/>
    <w:rsid w:val="001F2145"/>
    <w:rsid w:val="001F4FB8"/>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3E65"/>
    <w:rsid w:val="002D609F"/>
    <w:rsid w:val="002E10B9"/>
    <w:rsid w:val="002F0C88"/>
    <w:rsid w:val="002F2AF7"/>
    <w:rsid w:val="002F7E1C"/>
    <w:rsid w:val="00301A75"/>
    <w:rsid w:val="00302F70"/>
    <w:rsid w:val="0030336F"/>
    <w:rsid w:val="0030375E"/>
    <w:rsid w:val="00312A30"/>
    <w:rsid w:val="00320F72"/>
    <w:rsid w:val="0032463E"/>
    <w:rsid w:val="00326224"/>
    <w:rsid w:val="00326F54"/>
    <w:rsid w:val="003312A3"/>
    <w:rsid w:val="00334155"/>
    <w:rsid w:val="00334EC5"/>
    <w:rsid w:val="00337EE4"/>
    <w:rsid w:val="00340FFD"/>
    <w:rsid w:val="003506B1"/>
    <w:rsid w:val="0035621E"/>
    <w:rsid w:val="00356AC7"/>
    <w:rsid w:val="003609FA"/>
    <w:rsid w:val="003710C8"/>
    <w:rsid w:val="003750BE"/>
    <w:rsid w:val="00381AF0"/>
    <w:rsid w:val="00386820"/>
    <w:rsid w:val="00387B9D"/>
    <w:rsid w:val="0039055E"/>
    <w:rsid w:val="0039364F"/>
    <w:rsid w:val="00396686"/>
    <w:rsid w:val="0039778E"/>
    <w:rsid w:val="003B4941"/>
    <w:rsid w:val="003C5714"/>
    <w:rsid w:val="003C6B9F"/>
    <w:rsid w:val="003C6E2A"/>
    <w:rsid w:val="003D0299"/>
    <w:rsid w:val="003D1A95"/>
    <w:rsid w:val="003D574C"/>
    <w:rsid w:val="003E6D80"/>
    <w:rsid w:val="003E747B"/>
    <w:rsid w:val="003F05FA"/>
    <w:rsid w:val="003F244A"/>
    <w:rsid w:val="003F30B8"/>
    <w:rsid w:val="003F4C45"/>
    <w:rsid w:val="003F5F7B"/>
    <w:rsid w:val="003F7D64"/>
    <w:rsid w:val="0040093C"/>
    <w:rsid w:val="004047FE"/>
    <w:rsid w:val="00414300"/>
    <w:rsid w:val="00414E29"/>
    <w:rsid w:val="00425C67"/>
    <w:rsid w:val="00427E7A"/>
    <w:rsid w:val="00435A0A"/>
    <w:rsid w:val="00436C49"/>
    <w:rsid w:val="00445366"/>
    <w:rsid w:val="00447F5B"/>
    <w:rsid w:val="00461DB0"/>
    <w:rsid w:val="00463926"/>
    <w:rsid w:val="00464C9A"/>
    <w:rsid w:val="00474F3D"/>
    <w:rsid w:val="00474FDF"/>
    <w:rsid w:val="00477E3A"/>
    <w:rsid w:val="00483E5F"/>
    <w:rsid w:val="00485FF9"/>
    <w:rsid w:val="004907F0"/>
    <w:rsid w:val="0049140B"/>
    <w:rsid w:val="004923A5"/>
    <w:rsid w:val="00493579"/>
    <w:rsid w:val="00495598"/>
    <w:rsid w:val="00496BFB"/>
    <w:rsid w:val="004A15C7"/>
    <w:rsid w:val="004A48C6"/>
    <w:rsid w:val="004B013B"/>
    <w:rsid w:val="004B112B"/>
    <w:rsid w:val="004B50E9"/>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272C4"/>
    <w:rsid w:val="00531DF2"/>
    <w:rsid w:val="00540ECA"/>
    <w:rsid w:val="005442EE"/>
    <w:rsid w:val="00545D6C"/>
    <w:rsid w:val="00547353"/>
    <w:rsid w:val="005474E7"/>
    <w:rsid w:val="00550A41"/>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2BC4"/>
    <w:rsid w:val="005B4425"/>
    <w:rsid w:val="005B4B94"/>
    <w:rsid w:val="005B600C"/>
    <w:rsid w:val="005C3EE8"/>
    <w:rsid w:val="005D2D17"/>
    <w:rsid w:val="005D34F9"/>
    <w:rsid w:val="005D4190"/>
    <w:rsid w:val="005D67A3"/>
    <w:rsid w:val="005E2988"/>
    <w:rsid w:val="005E3085"/>
    <w:rsid w:val="005F51E1"/>
    <w:rsid w:val="005F675D"/>
    <w:rsid w:val="00611C80"/>
    <w:rsid w:val="00620692"/>
    <w:rsid w:val="00622EDE"/>
    <w:rsid w:val="006242CA"/>
    <w:rsid w:val="00627507"/>
    <w:rsid w:val="00633717"/>
    <w:rsid w:val="006344E1"/>
    <w:rsid w:val="006544C4"/>
    <w:rsid w:val="006545C4"/>
    <w:rsid w:val="00661971"/>
    <w:rsid w:val="00661CE8"/>
    <w:rsid w:val="006623D9"/>
    <w:rsid w:val="0066550C"/>
    <w:rsid w:val="006716F2"/>
    <w:rsid w:val="006718C9"/>
    <w:rsid w:val="00682BF2"/>
    <w:rsid w:val="006859CE"/>
    <w:rsid w:val="00691270"/>
    <w:rsid w:val="00694BA8"/>
    <w:rsid w:val="006A037C"/>
    <w:rsid w:val="006A36F4"/>
    <w:rsid w:val="006A406F"/>
    <w:rsid w:val="006A5D3A"/>
    <w:rsid w:val="006B7E08"/>
    <w:rsid w:val="006C23D4"/>
    <w:rsid w:val="006C7BB0"/>
    <w:rsid w:val="006D3237"/>
    <w:rsid w:val="006E2E37"/>
    <w:rsid w:val="006E3CF1"/>
    <w:rsid w:val="006E7E80"/>
    <w:rsid w:val="006F19B0"/>
    <w:rsid w:val="006F48CA"/>
    <w:rsid w:val="006F64DD"/>
    <w:rsid w:val="00702C56"/>
    <w:rsid w:val="00715127"/>
    <w:rsid w:val="00715E8E"/>
    <w:rsid w:val="00716060"/>
    <w:rsid w:val="0071796B"/>
    <w:rsid w:val="00723580"/>
    <w:rsid w:val="00723755"/>
    <w:rsid w:val="0073136C"/>
    <w:rsid w:val="00731F0F"/>
    <w:rsid w:val="00733250"/>
    <w:rsid w:val="00741404"/>
    <w:rsid w:val="007449E5"/>
    <w:rsid w:val="00747FF0"/>
    <w:rsid w:val="00764D4E"/>
    <w:rsid w:val="00765A1F"/>
    <w:rsid w:val="00774FCE"/>
    <w:rsid w:val="00775B6D"/>
    <w:rsid w:val="00776D68"/>
    <w:rsid w:val="007850EE"/>
    <w:rsid w:val="00785B95"/>
    <w:rsid w:val="00790E96"/>
    <w:rsid w:val="00793366"/>
    <w:rsid w:val="007A21D5"/>
    <w:rsid w:val="007A6280"/>
    <w:rsid w:val="007A716F"/>
    <w:rsid w:val="007A72F0"/>
    <w:rsid w:val="007B270A"/>
    <w:rsid w:val="007B66AC"/>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11B95"/>
    <w:rsid w:val="008204C7"/>
    <w:rsid w:val="00820992"/>
    <w:rsid w:val="008211FB"/>
    <w:rsid w:val="00823602"/>
    <w:rsid w:val="00825171"/>
    <w:rsid w:val="008255F5"/>
    <w:rsid w:val="0083014E"/>
    <w:rsid w:val="0083214A"/>
    <w:rsid w:val="00834220"/>
    <w:rsid w:val="0084254D"/>
    <w:rsid w:val="00845723"/>
    <w:rsid w:val="00851EF9"/>
    <w:rsid w:val="008577FD"/>
    <w:rsid w:val="00860B03"/>
    <w:rsid w:val="0086497A"/>
    <w:rsid w:val="008713A1"/>
    <w:rsid w:val="008754AB"/>
    <w:rsid w:val="0088060C"/>
    <w:rsid w:val="00893576"/>
    <w:rsid w:val="00893E73"/>
    <w:rsid w:val="008B02DC"/>
    <w:rsid w:val="008B0BD9"/>
    <w:rsid w:val="008B57CE"/>
    <w:rsid w:val="008C26DE"/>
    <w:rsid w:val="008C4AA6"/>
    <w:rsid w:val="008D2225"/>
    <w:rsid w:val="008D4752"/>
    <w:rsid w:val="008E271C"/>
    <w:rsid w:val="008E2A5E"/>
    <w:rsid w:val="008E418E"/>
    <w:rsid w:val="008E5BC6"/>
    <w:rsid w:val="008E6A25"/>
    <w:rsid w:val="008F5193"/>
    <w:rsid w:val="009001C3"/>
    <w:rsid w:val="009013A7"/>
    <w:rsid w:val="009017FB"/>
    <w:rsid w:val="009017FC"/>
    <w:rsid w:val="0090506B"/>
    <w:rsid w:val="009050C9"/>
    <w:rsid w:val="009066FC"/>
    <w:rsid w:val="009140A3"/>
    <w:rsid w:val="009144A2"/>
    <w:rsid w:val="0091478F"/>
    <w:rsid w:val="0091510C"/>
    <w:rsid w:val="009220EE"/>
    <w:rsid w:val="00924E78"/>
    <w:rsid w:val="009259AC"/>
    <w:rsid w:val="00926F38"/>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C191B"/>
    <w:rsid w:val="009C2BD6"/>
    <w:rsid w:val="009E1F32"/>
    <w:rsid w:val="009E776C"/>
    <w:rsid w:val="009F1D6B"/>
    <w:rsid w:val="00A1102F"/>
    <w:rsid w:val="00A13374"/>
    <w:rsid w:val="00A1726E"/>
    <w:rsid w:val="00A204CF"/>
    <w:rsid w:val="00A23D49"/>
    <w:rsid w:val="00A27004"/>
    <w:rsid w:val="00A30C29"/>
    <w:rsid w:val="00A34DD6"/>
    <w:rsid w:val="00A36819"/>
    <w:rsid w:val="00A36989"/>
    <w:rsid w:val="00A412C7"/>
    <w:rsid w:val="00A43628"/>
    <w:rsid w:val="00A54192"/>
    <w:rsid w:val="00A55CE9"/>
    <w:rsid w:val="00A6035E"/>
    <w:rsid w:val="00A6144C"/>
    <w:rsid w:val="00A62F79"/>
    <w:rsid w:val="00A66617"/>
    <w:rsid w:val="00A671F8"/>
    <w:rsid w:val="00A673A4"/>
    <w:rsid w:val="00A724AE"/>
    <w:rsid w:val="00A73329"/>
    <w:rsid w:val="00A82359"/>
    <w:rsid w:val="00A8571D"/>
    <w:rsid w:val="00A865D2"/>
    <w:rsid w:val="00A94C20"/>
    <w:rsid w:val="00AA227F"/>
    <w:rsid w:val="00AA3BC7"/>
    <w:rsid w:val="00AA754A"/>
    <w:rsid w:val="00AB0239"/>
    <w:rsid w:val="00AB099E"/>
    <w:rsid w:val="00AB4328"/>
    <w:rsid w:val="00AC6FC1"/>
    <w:rsid w:val="00AD4F05"/>
    <w:rsid w:val="00AE0A2E"/>
    <w:rsid w:val="00AE354C"/>
    <w:rsid w:val="00AF4B07"/>
    <w:rsid w:val="00AF6186"/>
    <w:rsid w:val="00AF7102"/>
    <w:rsid w:val="00AF7A3A"/>
    <w:rsid w:val="00B01FB0"/>
    <w:rsid w:val="00B06802"/>
    <w:rsid w:val="00B160DB"/>
    <w:rsid w:val="00B20836"/>
    <w:rsid w:val="00B235BB"/>
    <w:rsid w:val="00B27A44"/>
    <w:rsid w:val="00B30BBF"/>
    <w:rsid w:val="00B33C03"/>
    <w:rsid w:val="00B44E56"/>
    <w:rsid w:val="00B46543"/>
    <w:rsid w:val="00B47D33"/>
    <w:rsid w:val="00B52BE0"/>
    <w:rsid w:val="00B54133"/>
    <w:rsid w:val="00B615B9"/>
    <w:rsid w:val="00B66BDF"/>
    <w:rsid w:val="00B701ED"/>
    <w:rsid w:val="00B8086C"/>
    <w:rsid w:val="00B83A72"/>
    <w:rsid w:val="00B861B4"/>
    <w:rsid w:val="00B86DFE"/>
    <w:rsid w:val="00B87FB1"/>
    <w:rsid w:val="00B90990"/>
    <w:rsid w:val="00B922FF"/>
    <w:rsid w:val="00B9281E"/>
    <w:rsid w:val="00B93925"/>
    <w:rsid w:val="00B95187"/>
    <w:rsid w:val="00BA1CA3"/>
    <w:rsid w:val="00BA2D55"/>
    <w:rsid w:val="00BA68EF"/>
    <w:rsid w:val="00BA71B1"/>
    <w:rsid w:val="00BB0637"/>
    <w:rsid w:val="00BB312C"/>
    <w:rsid w:val="00BB345F"/>
    <w:rsid w:val="00BB68EA"/>
    <w:rsid w:val="00BC1C27"/>
    <w:rsid w:val="00BC3CF9"/>
    <w:rsid w:val="00BC6BBF"/>
    <w:rsid w:val="00BD1572"/>
    <w:rsid w:val="00BD7097"/>
    <w:rsid w:val="00BE14E3"/>
    <w:rsid w:val="00BE3774"/>
    <w:rsid w:val="00BE41E5"/>
    <w:rsid w:val="00BF4109"/>
    <w:rsid w:val="00BF4CC3"/>
    <w:rsid w:val="00C054C7"/>
    <w:rsid w:val="00C057B5"/>
    <w:rsid w:val="00C22687"/>
    <w:rsid w:val="00C32E4D"/>
    <w:rsid w:val="00C333A0"/>
    <w:rsid w:val="00C36408"/>
    <w:rsid w:val="00C36A81"/>
    <w:rsid w:val="00C36C4F"/>
    <w:rsid w:val="00C3774A"/>
    <w:rsid w:val="00C41974"/>
    <w:rsid w:val="00C53F4A"/>
    <w:rsid w:val="00C54125"/>
    <w:rsid w:val="00C559CB"/>
    <w:rsid w:val="00C55B54"/>
    <w:rsid w:val="00C6098E"/>
    <w:rsid w:val="00C6152C"/>
    <w:rsid w:val="00C64D94"/>
    <w:rsid w:val="00C64EBF"/>
    <w:rsid w:val="00C74810"/>
    <w:rsid w:val="00C90D68"/>
    <w:rsid w:val="00C939FE"/>
    <w:rsid w:val="00CA4BDA"/>
    <w:rsid w:val="00CB1F66"/>
    <w:rsid w:val="00CB2951"/>
    <w:rsid w:val="00CC1A5E"/>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47CD"/>
    <w:rsid w:val="00D566BD"/>
    <w:rsid w:val="00D57A4D"/>
    <w:rsid w:val="00D60AA7"/>
    <w:rsid w:val="00D6435F"/>
    <w:rsid w:val="00D75E28"/>
    <w:rsid w:val="00D772C2"/>
    <w:rsid w:val="00D8008E"/>
    <w:rsid w:val="00D82C45"/>
    <w:rsid w:val="00D84E2A"/>
    <w:rsid w:val="00D908A8"/>
    <w:rsid w:val="00D90EB3"/>
    <w:rsid w:val="00D91EA0"/>
    <w:rsid w:val="00D977B6"/>
    <w:rsid w:val="00DA4A31"/>
    <w:rsid w:val="00DA7B04"/>
    <w:rsid w:val="00DB36C2"/>
    <w:rsid w:val="00DB59F1"/>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11D1"/>
    <w:rsid w:val="00E32AB1"/>
    <w:rsid w:val="00E36C71"/>
    <w:rsid w:val="00E40404"/>
    <w:rsid w:val="00E459C6"/>
    <w:rsid w:val="00E47589"/>
    <w:rsid w:val="00E64915"/>
    <w:rsid w:val="00E661D4"/>
    <w:rsid w:val="00E70091"/>
    <w:rsid w:val="00E720F5"/>
    <w:rsid w:val="00E73371"/>
    <w:rsid w:val="00E76D47"/>
    <w:rsid w:val="00E849F7"/>
    <w:rsid w:val="00E8668A"/>
    <w:rsid w:val="00E90302"/>
    <w:rsid w:val="00E97396"/>
    <w:rsid w:val="00EA185E"/>
    <w:rsid w:val="00EA592A"/>
    <w:rsid w:val="00EA5E4F"/>
    <w:rsid w:val="00EB14E4"/>
    <w:rsid w:val="00EB32A5"/>
    <w:rsid w:val="00EB34ED"/>
    <w:rsid w:val="00EB7BE0"/>
    <w:rsid w:val="00EC216D"/>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40988"/>
    <w:rsid w:val="00F428BC"/>
    <w:rsid w:val="00F56A6F"/>
    <w:rsid w:val="00F5709C"/>
    <w:rsid w:val="00F64EF1"/>
    <w:rsid w:val="00F738A1"/>
    <w:rsid w:val="00F845E4"/>
    <w:rsid w:val="00F8765F"/>
    <w:rsid w:val="00F90767"/>
    <w:rsid w:val="00F9130D"/>
    <w:rsid w:val="00FA685B"/>
    <w:rsid w:val="00FB0C01"/>
    <w:rsid w:val="00FB64E0"/>
    <w:rsid w:val="00FC18F2"/>
    <w:rsid w:val="00FC39E5"/>
    <w:rsid w:val="00FC3A78"/>
    <w:rsid w:val="00FD1005"/>
    <w:rsid w:val="00FD6C75"/>
    <w:rsid w:val="00FE1581"/>
    <w:rsid w:val="00FE71B3"/>
    <w:rsid w:val="00FF172D"/>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63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C36C4F"/>
    <w:rPr>
      <w:sz w:val="24"/>
      <w:szCs w:val="24"/>
    </w:rPr>
  </w:style>
  <w:style w:type="paragraph" w:styleId="Heading1">
    <w:name w:val="heading 1"/>
    <w:basedOn w:val="Normal"/>
    <w:next w:val="Normal"/>
    <w:link w:val="Heading1Char"/>
    <w:uiPriority w:val="98"/>
    <w:semiHidden/>
    <w:rsid w:val="00C36C4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C36C4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C36C4F"/>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C36C4F"/>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C36C4F"/>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C36C4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C36C4F"/>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C36C4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C36C4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C36C4F"/>
    <w:rPr>
      <w:rFonts w:ascii="Tahoma" w:hAnsi="Tahoma" w:cs="Tahoma"/>
      <w:sz w:val="16"/>
      <w:szCs w:val="16"/>
    </w:rPr>
  </w:style>
  <w:style w:type="character" w:customStyle="1" w:styleId="BalloonTextChar">
    <w:name w:val="Balloon Text Char"/>
    <w:basedOn w:val="DefaultParagraphFont"/>
    <w:link w:val="BalloonText"/>
    <w:uiPriority w:val="98"/>
    <w:semiHidden/>
    <w:rsid w:val="00C36C4F"/>
    <w:rPr>
      <w:rFonts w:ascii="Tahoma" w:hAnsi="Tahoma" w:cs="Tahoma"/>
      <w:sz w:val="16"/>
      <w:szCs w:val="16"/>
      <w:lang w:val="ro-RO"/>
    </w:rPr>
  </w:style>
  <w:style w:type="character" w:styleId="BookTitle">
    <w:name w:val="Book Title"/>
    <w:uiPriority w:val="98"/>
    <w:semiHidden/>
    <w:qFormat/>
    <w:rsid w:val="00C36C4F"/>
    <w:rPr>
      <w:i/>
      <w:iCs/>
      <w:smallCaps/>
      <w:spacing w:val="5"/>
    </w:rPr>
  </w:style>
  <w:style w:type="paragraph" w:customStyle="1" w:styleId="JuHeader">
    <w:name w:val="Ju_Header"/>
    <w:aliases w:val="_Header"/>
    <w:basedOn w:val="Header"/>
    <w:uiPriority w:val="29"/>
    <w:qFormat/>
    <w:rsid w:val="00C36C4F"/>
    <w:pPr>
      <w:tabs>
        <w:tab w:val="clear" w:pos="4536"/>
        <w:tab w:val="clear" w:pos="9072"/>
      </w:tabs>
      <w:jc w:val="center"/>
    </w:pPr>
    <w:rPr>
      <w:sz w:val="18"/>
    </w:rPr>
  </w:style>
  <w:style w:type="paragraph" w:customStyle="1" w:styleId="NormalJustified">
    <w:name w:val="Normal_Justified"/>
    <w:basedOn w:val="Normal"/>
    <w:semiHidden/>
    <w:rsid w:val="00C36C4F"/>
    <w:pPr>
      <w:jc w:val="both"/>
    </w:pPr>
  </w:style>
  <w:style w:type="character" w:styleId="Strong">
    <w:name w:val="Strong"/>
    <w:uiPriority w:val="98"/>
    <w:semiHidden/>
    <w:qFormat/>
    <w:rsid w:val="00C36C4F"/>
    <w:rPr>
      <w:b/>
      <w:bCs/>
    </w:rPr>
  </w:style>
  <w:style w:type="paragraph" w:styleId="NoSpacing">
    <w:name w:val="No Spacing"/>
    <w:basedOn w:val="Normal"/>
    <w:link w:val="NoSpacingChar"/>
    <w:uiPriority w:val="98"/>
    <w:semiHidden/>
    <w:qFormat/>
    <w:rsid w:val="00C36C4F"/>
  </w:style>
  <w:style w:type="character" w:customStyle="1" w:styleId="NoSpacingChar">
    <w:name w:val="No Spacing Char"/>
    <w:basedOn w:val="DefaultParagraphFont"/>
    <w:link w:val="NoSpacing"/>
    <w:uiPriority w:val="98"/>
    <w:semiHidden/>
    <w:rsid w:val="00C36C4F"/>
    <w:rPr>
      <w:sz w:val="24"/>
      <w:szCs w:val="24"/>
      <w:lang w:val="ro-RO"/>
    </w:rPr>
  </w:style>
  <w:style w:type="paragraph" w:customStyle="1" w:styleId="ECHRBullet1">
    <w:name w:val="ECHR_Bullet_1"/>
    <w:aliases w:val="_Bul_1"/>
    <w:basedOn w:val="NormalJustified"/>
    <w:uiPriority w:val="23"/>
    <w:semiHidden/>
    <w:qFormat/>
    <w:rsid w:val="00C36C4F"/>
    <w:pPr>
      <w:numPr>
        <w:numId w:val="15"/>
      </w:numPr>
      <w:spacing w:before="60" w:after="60"/>
    </w:pPr>
  </w:style>
  <w:style w:type="paragraph" w:customStyle="1" w:styleId="JuQuot">
    <w:name w:val="Ju_Quot"/>
    <w:aliases w:val="_Quote"/>
    <w:basedOn w:val="NormalJustified"/>
    <w:uiPriority w:val="20"/>
    <w:qFormat/>
    <w:rsid w:val="00C36C4F"/>
    <w:pPr>
      <w:spacing w:before="120" w:after="120"/>
      <w:ind w:left="425" w:firstLine="142"/>
    </w:pPr>
    <w:rPr>
      <w:sz w:val="20"/>
    </w:rPr>
  </w:style>
  <w:style w:type="paragraph" w:customStyle="1" w:styleId="JuList">
    <w:name w:val="Ju_List"/>
    <w:aliases w:val="_List_1"/>
    <w:basedOn w:val="NormalJustified"/>
    <w:uiPriority w:val="23"/>
    <w:qFormat/>
    <w:rsid w:val="00C36C4F"/>
    <w:pPr>
      <w:numPr>
        <w:numId w:val="16"/>
      </w:numPr>
      <w:spacing w:before="280" w:after="60"/>
    </w:pPr>
  </w:style>
  <w:style w:type="paragraph" w:customStyle="1" w:styleId="JuLista">
    <w:name w:val="Ju_List_a"/>
    <w:aliases w:val="_List_2"/>
    <w:basedOn w:val="NormalJustified"/>
    <w:uiPriority w:val="23"/>
    <w:rsid w:val="00C36C4F"/>
    <w:pPr>
      <w:numPr>
        <w:ilvl w:val="1"/>
        <w:numId w:val="16"/>
      </w:numPr>
    </w:pPr>
  </w:style>
  <w:style w:type="paragraph" w:customStyle="1" w:styleId="JuListi">
    <w:name w:val="Ju_List_i"/>
    <w:aliases w:val="_List_3"/>
    <w:basedOn w:val="NormalJustified"/>
    <w:uiPriority w:val="23"/>
    <w:rsid w:val="00C36C4F"/>
    <w:pPr>
      <w:numPr>
        <w:ilvl w:val="2"/>
        <w:numId w:val="16"/>
      </w:numPr>
    </w:pPr>
  </w:style>
  <w:style w:type="paragraph" w:customStyle="1" w:styleId="ECHRCoverTitle4">
    <w:name w:val="ECHR_Cover_Title_4"/>
    <w:aliases w:val="_Title_4"/>
    <w:basedOn w:val="JuPara"/>
    <w:next w:val="JuPara"/>
    <w:uiPriority w:val="38"/>
    <w:qFormat/>
    <w:rsid w:val="00C36C4F"/>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C36C4F"/>
    <w:pPr>
      <w:keepNext/>
      <w:spacing w:before="100" w:beforeAutospacing="1" w:after="120"/>
      <w:contextualSpacing/>
      <w:jc w:val="center"/>
    </w:pPr>
    <w:rPr>
      <w:b/>
      <w:sz w:val="20"/>
    </w:rPr>
  </w:style>
  <w:style w:type="numbering" w:customStyle="1" w:styleId="ECHRA1StyleBulletedSquare">
    <w:name w:val="ECHR_A1_Style_Bulleted_Square"/>
    <w:basedOn w:val="NoList"/>
    <w:rsid w:val="00C36C4F"/>
    <w:pPr>
      <w:numPr>
        <w:numId w:val="15"/>
      </w:numPr>
    </w:pPr>
  </w:style>
  <w:style w:type="numbering" w:customStyle="1" w:styleId="ECHRA1StyleList">
    <w:name w:val="ECHR_A1_Style_List"/>
    <w:basedOn w:val="NoList"/>
    <w:uiPriority w:val="99"/>
    <w:rsid w:val="00C36C4F"/>
    <w:pPr>
      <w:numPr>
        <w:numId w:val="16"/>
      </w:numPr>
    </w:pPr>
  </w:style>
  <w:style w:type="paragraph" w:customStyle="1" w:styleId="JuHHead">
    <w:name w:val="Ju_H_Head"/>
    <w:aliases w:val="_Head_1"/>
    <w:basedOn w:val="Heading1"/>
    <w:next w:val="JuPara"/>
    <w:uiPriority w:val="17"/>
    <w:qFormat/>
    <w:rsid w:val="00C36C4F"/>
    <w:pPr>
      <w:keepNext/>
      <w:keepLines/>
      <w:numPr>
        <w:numId w:val="14"/>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C36C4F"/>
    <w:pPr>
      <w:numPr>
        <w:numId w:val="17"/>
      </w:numPr>
    </w:pPr>
  </w:style>
  <w:style w:type="paragraph" w:styleId="Title">
    <w:name w:val="Title"/>
    <w:basedOn w:val="Normal"/>
    <w:next w:val="Normal"/>
    <w:link w:val="TitleChar"/>
    <w:uiPriority w:val="98"/>
    <w:semiHidden/>
    <w:qFormat/>
    <w:rsid w:val="00C36C4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C36C4F"/>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C36C4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C36C4F"/>
    <w:pPr>
      <w:ind w:firstLine="284"/>
    </w:pPr>
    <w:rPr>
      <w:b/>
    </w:rPr>
  </w:style>
  <w:style w:type="paragraph" w:customStyle="1" w:styleId="JuCourt">
    <w:name w:val="Ju_Court"/>
    <w:aliases w:val="_Court_Names"/>
    <w:basedOn w:val="Normal"/>
    <w:next w:val="Normal"/>
    <w:uiPriority w:val="32"/>
    <w:qFormat/>
    <w:rsid w:val="00C36C4F"/>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C36C4F"/>
    <w:pPr>
      <w:tabs>
        <w:tab w:val="center" w:pos="6407"/>
      </w:tabs>
      <w:spacing w:before="720"/>
      <w:jc w:val="right"/>
    </w:pPr>
  </w:style>
  <w:style w:type="paragraph" w:customStyle="1" w:styleId="JuHIRoman">
    <w:name w:val="Ju_H_I_Roman"/>
    <w:aliases w:val="_Head_2"/>
    <w:basedOn w:val="Heading2"/>
    <w:next w:val="JuPara"/>
    <w:uiPriority w:val="17"/>
    <w:qFormat/>
    <w:rsid w:val="00C36C4F"/>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C36C4F"/>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C36C4F"/>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C36C4F"/>
    <w:pPr>
      <w:tabs>
        <w:tab w:val="center" w:pos="4536"/>
        <w:tab w:val="right" w:pos="9072"/>
      </w:tabs>
    </w:pPr>
  </w:style>
  <w:style w:type="character" w:customStyle="1" w:styleId="HeaderChar">
    <w:name w:val="Header Char"/>
    <w:basedOn w:val="DefaultParagraphFont"/>
    <w:link w:val="Header"/>
    <w:uiPriority w:val="98"/>
    <w:semiHidden/>
    <w:rsid w:val="00C36C4F"/>
    <w:rPr>
      <w:sz w:val="24"/>
      <w:szCs w:val="24"/>
      <w:lang w:val="ro-RO"/>
    </w:rPr>
  </w:style>
  <w:style w:type="character" w:customStyle="1" w:styleId="Heading1Char">
    <w:name w:val="Heading 1 Char"/>
    <w:basedOn w:val="DefaultParagraphFont"/>
    <w:link w:val="Heading1"/>
    <w:uiPriority w:val="98"/>
    <w:semiHidden/>
    <w:rsid w:val="00C36C4F"/>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C36C4F"/>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C36C4F"/>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C36C4F"/>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C36C4F"/>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C36C4F"/>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C36C4F"/>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C36C4F"/>
    <w:pPr>
      <w:keepNext/>
      <w:keepLines/>
      <w:spacing w:before="240" w:after="240"/>
      <w:ind w:firstLine="284"/>
    </w:pPr>
  </w:style>
  <w:style w:type="character" w:customStyle="1" w:styleId="JuITMark">
    <w:name w:val="Ju_ITMark"/>
    <w:aliases w:val="_ITMark"/>
    <w:basedOn w:val="DefaultParagraphFont"/>
    <w:uiPriority w:val="54"/>
    <w:qFormat/>
    <w:rsid w:val="00C36C4F"/>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C36C4F"/>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C36C4F"/>
    <w:pPr>
      <w:tabs>
        <w:tab w:val="left" w:pos="567"/>
        <w:tab w:val="left" w:pos="1134"/>
      </w:tabs>
    </w:pPr>
  </w:style>
  <w:style w:type="character" w:customStyle="1" w:styleId="Heading5Char">
    <w:name w:val="Heading 5 Char"/>
    <w:basedOn w:val="DefaultParagraphFont"/>
    <w:link w:val="Heading5"/>
    <w:uiPriority w:val="98"/>
    <w:semiHidden/>
    <w:rsid w:val="00C36C4F"/>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C36C4F"/>
    <w:rPr>
      <w:caps w:val="0"/>
      <w:smallCaps/>
    </w:rPr>
  </w:style>
  <w:style w:type="character" w:styleId="SubtleEmphasis">
    <w:name w:val="Subtle Emphasis"/>
    <w:uiPriority w:val="98"/>
    <w:semiHidden/>
    <w:qFormat/>
    <w:rsid w:val="00C36C4F"/>
    <w:rPr>
      <w:i/>
      <w:iCs/>
    </w:rPr>
  </w:style>
  <w:style w:type="table" w:customStyle="1" w:styleId="ECHRTable">
    <w:name w:val="ECHR_Table"/>
    <w:basedOn w:val="TableNormal"/>
    <w:rsid w:val="00C36C4F"/>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C36C4F"/>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C36C4F"/>
    <w:pPr>
      <w:keepNext/>
      <w:keepLines/>
      <w:spacing w:after="280"/>
      <w:ind w:firstLine="0"/>
      <w:jc w:val="center"/>
    </w:pPr>
    <w:rPr>
      <w:rFonts w:asciiTheme="majorHAnsi" w:hAnsiTheme="majorHAnsi"/>
    </w:rPr>
  </w:style>
  <w:style w:type="character" w:styleId="Emphasis">
    <w:name w:val="Emphasis"/>
    <w:uiPriority w:val="98"/>
    <w:semiHidden/>
    <w:qFormat/>
    <w:rsid w:val="00C36C4F"/>
    <w:rPr>
      <w:b/>
      <w:bCs/>
      <w:i/>
      <w:iCs/>
      <w:spacing w:val="10"/>
      <w:bdr w:val="none" w:sz="0" w:space="0" w:color="auto"/>
      <w:shd w:val="clear" w:color="auto" w:fill="auto"/>
    </w:rPr>
  </w:style>
  <w:style w:type="paragraph" w:styleId="Footer0">
    <w:name w:val="footer"/>
    <w:basedOn w:val="Normal"/>
    <w:link w:val="FooterChar"/>
    <w:uiPriority w:val="98"/>
    <w:semiHidden/>
    <w:rsid w:val="00C36C4F"/>
    <w:pPr>
      <w:tabs>
        <w:tab w:val="center" w:pos="3686"/>
        <w:tab w:val="right" w:pos="7371"/>
      </w:tabs>
    </w:pPr>
  </w:style>
  <w:style w:type="character" w:customStyle="1" w:styleId="FooterChar">
    <w:name w:val="Footer Char"/>
    <w:basedOn w:val="DefaultParagraphFont"/>
    <w:link w:val="Footer0"/>
    <w:uiPriority w:val="98"/>
    <w:semiHidden/>
    <w:rsid w:val="00C36C4F"/>
    <w:rPr>
      <w:sz w:val="24"/>
      <w:szCs w:val="24"/>
      <w:lang w:val="ro-RO"/>
    </w:rPr>
  </w:style>
  <w:style w:type="character" w:styleId="FootnoteReference">
    <w:name w:val="footnote reference"/>
    <w:basedOn w:val="DefaultParagraphFont"/>
    <w:uiPriority w:val="98"/>
    <w:semiHidden/>
    <w:rsid w:val="00C36C4F"/>
    <w:rPr>
      <w:vertAlign w:val="superscript"/>
    </w:rPr>
  </w:style>
  <w:style w:type="paragraph" w:styleId="FootnoteText">
    <w:name w:val="footnote text"/>
    <w:basedOn w:val="NormalJustified"/>
    <w:link w:val="FootnoteTextChar"/>
    <w:uiPriority w:val="98"/>
    <w:semiHidden/>
    <w:rsid w:val="00C36C4F"/>
    <w:rPr>
      <w:sz w:val="20"/>
      <w:szCs w:val="20"/>
    </w:rPr>
  </w:style>
  <w:style w:type="character" w:customStyle="1" w:styleId="FootnoteTextChar">
    <w:name w:val="Footnote Text Char"/>
    <w:basedOn w:val="DefaultParagraphFont"/>
    <w:link w:val="FootnoteText"/>
    <w:uiPriority w:val="98"/>
    <w:semiHidden/>
    <w:rsid w:val="00C36C4F"/>
    <w:rPr>
      <w:sz w:val="20"/>
      <w:szCs w:val="20"/>
      <w:lang w:val="ro-RO"/>
    </w:rPr>
  </w:style>
  <w:style w:type="character" w:customStyle="1" w:styleId="Heading6Char">
    <w:name w:val="Heading 6 Char"/>
    <w:basedOn w:val="DefaultParagraphFont"/>
    <w:link w:val="Heading6"/>
    <w:uiPriority w:val="98"/>
    <w:semiHidden/>
    <w:rsid w:val="00C36C4F"/>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C36C4F"/>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C36C4F"/>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C36C4F"/>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C36C4F"/>
    <w:rPr>
      <w:color w:val="0072BC" w:themeColor="hyperlink"/>
      <w:u w:val="single"/>
    </w:rPr>
  </w:style>
  <w:style w:type="character" w:styleId="IntenseEmphasis">
    <w:name w:val="Intense Emphasis"/>
    <w:uiPriority w:val="98"/>
    <w:semiHidden/>
    <w:qFormat/>
    <w:rsid w:val="00C36C4F"/>
    <w:rPr>
      <w:b/>
      <w:bCs/>
    </w:rPr>
  </w:style>
  <w:style w:type="paragraph" w:styleId="IntenseQuote">
    <w:name w:val="Intense Quote"/>
    <w:basedOn w:val="Normal"/>
    <w:next w:val="Normal"/>
    <w:link w:val="IntenseQuoteChar"/>
    <w:uiPriority w:val="98"/>
    <w:semiHidden/>
    <w:qFormat/>
    <w:rsid w:val="00C36C4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C36C4F"/>
    <w:rPr>
      <w:b/>
      <w:bCs/>
      <w:i/>
      <w:iCs/>
      <w:sz w:val="24"/>
      <w:szCs w:val="24"/>
      <w:lang w:val="ro-RO" w:bidi="en-US"/>
    </w:rPr>
  </w:style>
  <w:style w:type="character" w:styleId="IntenseReference">
    <w:name w:val="Intense Reference"/>
    <w:uiPriority w:val="98"/>
    <w:semiHidden/>
    <w:qFormat/>
    <w:rsid w:val="00C36C4F"/>
    <w:rPr>
      <w:smallCaps/>
      <w:spacing w:val="5"/>
      <w:u w:val="single"/>
    </w:rPr>
  </w:style>
  <w:style w:type="paragraph" w:styleId="ListParagraph">
    <w:name w:val="List Paragraph"/>
    <w:basedOn w:val="Normal"/>
    <w:uiPriority w:val="98"/>
    <w:semiHidden/>
    <w:qFormat/>
    <w:rsid w:val="00C36C4F"/>
    <w:pPr>
      <w:ind w:left="720"/>
      <w:contextualSpacing/>
    </w:pPr>
  </w:style>
  <w:style w:type="table" w:customStyle="1" w:styleId="LtrTableAddress">
    <w:name w:val="Ltr_Table_Address"/>
    <w:aliases w:val="ECHR_Ltr_Table_Address"/>
    <w:basedOn w:val="TableNormal"/>
    <w:uiPriority w:val="99"/>
    <w:rsid w:val="00C36C4F"/>
    <w:rPr>
      <w:sz w:val="24"/>
      <w:szCs w:val="24"/>
    </w:rPr>
    <w:tblPr>
      <w:tblInd w:w="5103" w:type="dxa"/>
    </w:tblPr>
  </w:style>
  <w:style w:type="paragraph" w:styleId="Quote">
    <w:name w:val="Quote"/>
    <w:basedOn w:val="Normal"/>
    <w:next w:val="Normal"/>
    <w:link w:val="QuoteChar"/>
    <w:uiPriority w:val="98"/>
    <w:semiHidden/>
    <w:qFormat/>
    <w:rsid w:val="00C36C4F"/>
    <w:pPr>
      <w:spacing w:before="200"/>
      <w:ind w:left="360" w:right="360"/>
    </w:pPr>
    <w:rPr>
      <w:i/>
      <w:iCs/>
      <w:lang w:bidi="en-US"/>
    </w:rPr>
  </w:style>
  <w:style w:type="character" w:customStyle="1" w:styleId="QuoteChar">
    <w:name w:val="Quote Char"/>
    <w:basedOn w:val="DefaultParagraphFont"/>
    <w:link w:val="Quote"/>
    <w:uiPriority w:val="98"/>
    <w:semiHidden/>
    <w:rsid w:val="00C36C4F"/>
    <w:rPr>
      <w:i/>
      <w:iCs/>
      <w:sz w:val="24"/>
      <w:szCs w:val="24"/>
      <w:lang w:val="ro-RO" w:bidi="en-US"/>
    </w:rPr>
  </w:style>
  <w:style w:type="character" w:styleId="SubtleReference">
    <w:name w:val="Subtle Reference"/>
    <w:uiPriority w:val="98"/>
    <w:semiHidden/>
    <w:qFormat/>
    <w:rsid w:val="00C36C4F"/>
    <w:rPr>
      <w:smallCaps/>
    </w:rPr>
  </w:style>
  <w:style w:type="table" w:styleId="TableGrid">
    <w:name w:val="Table Grid"/>
    <w:basedOn w:val="TableNormal"/>
    <w:uiPriority w:val="59"/>
    <w:semiHidden/>
    <w:rsid w:val="00C36C4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C36C4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C36C4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C36C4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C36C4F"/>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C36C4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C36C4F"/>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C36C4F"/>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C36C4F"/>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C36C4F"/>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C36C4F"/>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C36C4F"/>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C36C4F"/>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C36C4F"/>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C36C4F"/>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C36C4F"/>
    <w:pPr>
      <w:ind w:firstLine="284"/>
    </w:pPr>
  </w:style>
  <w:style w:type="character" w:customStyle="1" w:styleId="SubtitleChar">
    <w:name w:val="Subtitle Char"/>
    <w:basedOn w:val="DefaultParagraphFont"/>
    <w:link w:val="Subtitle"/>
    <w:uiPriority w:val="98"/>
    <w:semiHidden/>
    <w:rsid w:val="00C36C4F"/>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C36C4F"/>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C36C4F"/>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C36C4F"/>
    <w:pPr>
      <w:numPr>
        <w:numId w:val="1"/>
      </w:numPr>
    </w:pPr>
  </w:style>
  <w:style w:type="table" w:customStyle="1" w:styleId="ECHRTableForInternalUse">
    <w:name w:val="ECHR_Table_For_Internal_Use"/>
    <w:basedOn w:val="TableNormal"/>
    <w:uiPriority w:val="99"/>
    <w:rsid w:val="00C36C4F"/>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C36C4F"/>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C36C4F"/>
    <w:pPr>
      <w:numPr>
        <w:numId w:val="2"/>
      </w:numPr>
    </w:pPr>
  </w:style>
  <w:style w:type="numbering" w:styleId="ArticleSection">
    <w:name w:val="Outline List 3"/>
    <w:basedOn w:val="NoList"/>
    <w:uiPriority w:val="99"/>
    <w:semiHidden/>
    <w:unhideWhenUsed/>
    <w:rsid w:val="00C36C4F"/>
    <w:pPr>
      <w:numPr>
        <w:numId w:val="3"/>
      </w:numPr>
    </w:pPr>
  </w:style>
  <w:style w:type="table" w:customStyle="1" w:styleId="ECHRHeaderTable">
    <w:name w:val="ECHR_Header_Table"/>
    <w:basedOn w:val="TableNormal"/>
    <w:uiPriority w:val="99"/>
    <w:rsid w:val="00C36C4F"/>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C36C4F"/>
  </w:style>
  <w:style w:type="paragraph" w:styleId="BlockText">
    <w:name w:val="Block Text"/>
    <w:basedOn w:val="Normal"/>
    <w:uiPriority w:val="98"/>
    <w:semiHidden/>
    <w:rsid w:val="00C36C4F"/>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C36C4F"/>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C36C4F"/>
    <w:pPr>
      <w:spacing w:after="120"/>
    </w:pPr>
  </w:style>
  <w:style w:type="table" w:customStyle="1" w:styleId="ECHRHeaderTableReduced">
    <w:name w:val="ECHR_Header_Table_Reduced"/>
    <w:basedOn w:val="TableNormal"/>
    <w:uiPriority w:val="99"/>
    <w:rsid w:val="00C36C4F"/>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C36C4F"/>
    <w:rPr>
      <w:sz w:val="18"/>
    </w:rPr>
  </w:style>
  <w:style w:type="character" w:styleId="CommentReference">
    <w:name w:val="annotation reference"/>
    <w:basedOn w:val="DefaultParagraphFont"/>
    <w:uiPriority w:val="98"/>
    <w:semiHidden/>
    <w:rsid w:val="00C36C4F"/>
    <w:rPr>
      <w:sz w:val="16"/>
      <w:szCs w:val="16"/>
    </w:rPr>
  </w:style>
  <w:style w:type="paragraph" w:styleId="CommentText">
    <w:name w:val="annotation text"/>
    <w:basedOn w:val="Normal"/>
    <w:link w:val="CommentTextChar"/>
    <w:uiPriority w:val="98"/>
    <w:semiHidden/>
    <w:rsid w:val="00C36C4F"/>
    <w:rPr>
      <w:sz w:val="20"/>
      <w:szCs w:val="20"/>
    </w:rPr>
  </w:style>
  <w:style w:type="character" w:customStyle="1" w:styleId="CommentTextChar">
    <w:name w:val="Comment Text Char"/>
    <w:basedOn w:val="DefaultParagraphFont"/>
    <w:link w:val="CommentText"/>
    <w:uiPriority w:val="98"/>
    <w:semiHidden/>
    <w:rsid w:val="00C36C4F"/>
    <w:rPr>
      <w:sz w:val="20"/>
      <w:szCs w:val="20"/>
      <w:lang w:val="ro-RO"/>
    </w:rPr>
  </w:style>
  <w:style w:type="paragraph" w:customStyle="1" w:styleId="JuSigned">
    <w:name w:val="Ju_Signed"/>
    <w:aliases w:val="_Signature"/>
    <w:basedOn w:val="Normal"/>
    <w:next w:val="JuPara"/>
    <w:uiPriority w:val="31"/>
    <w:qFormat/>
    <w:rsid w:val="00C36C4F"/>
    <w:pPr>
      <w:tabs>
        <w:tab w:val="center" w:pos="1418"/>
        <w:tab w:val="center" w:pos="5954"/>
      </w:tabs>
      <w:spacing w:before="720"/>
    </w:pPr>
  </w:style>
  <w:style w:type="paragraph" w:customStyle="1" w:styleId="JuTitle">
    <w:name w:val="Ju_Title"/>
    <w:aliases w:val="_Title_2"/>
    <w:basedOn w:val="Normal"/>
    <w:next w:val="JuPara"/>
    <w:uiPriority w:val="38"/>
    <w:qFormat/>
    <w:rsid w:val="00C36C4F"/>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C36C4F"/>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C36C4F"/>
    <w:pPr>
      <w:numPr>
        <w:numId w:val="5"/>
      </w:numPr>
      <w:contextualSpacing/>
    </w:pPr>
  </w:style>
  <w:style w:type="paragraph" w:styleId="ListBullet3">
    <w:name w:val="List Bullet 3"/>
    <w:basedOn w:val="Normal"/>
    <w:uiPriority w:val="98"/>
    <w:semiHidden/>
    <w:rsid w:val="00C36C4F"/>
    <w:pPr>
      <w:numPr>
        <w:numId w:val="6"/>
      </w:numPr>
      <w:contextualSpacing/>
    </w:pPr>
  </w:style>
  <w:style w:type="character" w:customStyle="1" w:styleId="BodyTextChar">
    <w:name w:val="Body Text Char"/>
    <w:basedOn w:val="DefaultParagraphFont"/>
    <w:link w:val="BodyText"/>
    <w:uiPriority w:val="98"/>
    <w:semiHidden/>
    <w:rsid w:val="00C36C4F"/>
    <w:rPr>
      <w:sz w:val="24"/>
      <w:szCs w:val="24"/>
      <w:lang w:val="ro-RO"/>
    </w:rPr>
  </w:style>
  <w:style w:type="paragraph" w:styleId="BodyText2">
    <w:name w:val="Body Text 2"/>
    <w:basedOn w:val="Normal"/>
    <w:link w:val="BodyText2Char"/>
    <w:uiPriority w:val="98"/>
    <w:semiHidden/>
    <w:rsid w:val="00C36C4F"/>
    <w:pPr>
      <w:spacing w:after="120" w:line="480" w:lineRule="auto"/>
    </w:pPr>
  </w:style>
  <w:style w:type="character" w:customStyle="1" w:styleId="BodyText2Char">
    <w:name w:val="Body Text 2 Char"/>
    <w:basedOn w:val="DefaultParagraphFont"/>
    <w:link w:val="BodyText2"/>
    <w:uiPriority w:val="98"/>
    <w:semiHidden/>
    <w:rsid w:val="00C36C4F"/>
    <w:rPr>
      <w:sz w:val="24"/>
      <w:szCs w:val="24"/>
      <w:lang w:val="ro-RO"/>
    </w:rPr>
  </w:style>
  <w:style w:type="paragraph" w:styleId="BodyText3">
    <w:name w:val="Body Text 3"/>
    <w:basedOn w:val="Normal"/>
    <w:link w:val="BodyText3Char"/>
    <w:uiPriority w:val="98"/>
    <w:semiHidden/>
    <w:rsid w:val="00C36C4F"/>
    <w:pPr>
      <w:spacing w:after="120"/>
    </w:pPr>
    <w:rPr>
      <w:sz w:val="16"/>
      <w:szCs w:val="16"/>
    </w:rPr>
  </w:style>
  <w:style w:type="character" w:customStyle="1" w:styleId="BodyText3Char">
    <w:name w:val="Body Text 3 Char"/>
    <w:basedOn w:val="DefaultParagraphFont"/>
    <w:link w:val="BodyText3"/>
    <w:uiPriority w:val="98"/>
    <w:semiHidden/>
    <w:rsid w:val="00C36C4F"/>
    <w:rPr>
      <w:sz w:val="16"/>
      <w:szCs w:val="16"/>
      <w:lang w:val="ro-RO"/>
    </w:rPr>
  </w:style>
  <w:style w:type="paragraph" w:styleId="BodyTextFirstIndent">
    <w:name w:val="Body Text First Indent"/>
    <w:basedOn w:val="BodyText"/>
    <w:link w:val="BodyTextFirstIndentChar"/>
    <w:uiPriority w:val="98"/>
    <w:semiHidden/>
    <w:rsid w:val="00C36C4F"/>
    <w:pPr>
      <w:spacing w:after="0"/>
      <w:ind w:firstLine="360"/>
    </w:pPr>
  </w:style>
  <w:style w:type="character" w:customStyle="1" w:styleId="BodyTextFirstIndentChar">
    <w:name w:val="Body Text First Indent Char"/>
    <w:basedOn w:val="BodyTextChar"/>
    <w:link w:val="BodyTextFirstIndent"/>
    <w:uiPriority w:val="98"/>
    <w:semiHidden/>
    <w:rsid w:val="00C36C4F"/>
    <w:rPr>
      <w:sz w:val="24"/>
      <w:szCs w:val="24"/>
      <w:lang w:val="ro-RO"/>
    </w:rPr>
  </w:style>
  <w:style w:type="paragraph" w:styleId="BodyTextIndent">
    <w:name w:val="Body Text Indent"/>
    <w:basedOn w:val="Normal"/>
    <w:link w:val="BodyTextIndentChar"/>
    <w:uiPriority w:val="98"/>
    <w:semiHidden/>
    <w:rsid w:val="00C36C4F"/>
    <w:pPr>
      <w:spacing w:after="120"/>
      <w:ind w:left="283"/>
    </w:pPr>
  </w:style>
  <w:style w:type="character" w:customStyle="1" w:styleId="BodyTextIndentChar">
    <w:name w:val="Body Text Indent Char"/>
    <w:basedOn w:val="DefaultParagraphFont"/>
    <w:link w:val="BodyTextIndent"/>
    <w:uiPriority w:val="98"/>
    <w:semiHidden/>
    <w:rsid w:val="00C36C4F"/>
    <w:rPr>
      <w:sz w:val="24"/>
      <w:szCs w:val="24"/>
      <w:lang w:val="ro-RO"/>
    </w:rPr>
  </w:style>
  <w:style w:type="paragraph" w:styleId="BodyTextFirstIndent2">
    <w:name w:val="Body Text First Indent 2"/>
    <w:basedOn w:val="BodyTextIndent"/>
    <w:link w:val="BodyTextFirstIndent2Char"/>
    <w:uiPriority w:val="98"/>
    <w:semiHidden/>
    <w:rsid w:val="00C36C4F"/>
    <w:pPr>
      <w:spacing w:after="0"/>
      <w:ind w:left="360" w:firstLine="360"/>
    </w:pPr>
  </w:style>
  <w:style w:type="character" w:customStyle="1" w:styleId="BodyTextFirstIndent2Char">
    <w:name w:val="Body Text First Indent 2 Char"/>
    <w:basedOn w:val="BodyTextIndentChar"/>
    <w:link w:val="BodyTextFirstIndent2"/>
    <w:uiPriority w:val="98"/>
    <w:semiHidden/>
    <w:rsid w:val="00C36C4F"/>
    <w:rPr>
      <w:sz w:val="24"/>
      <w:szCs w:val="24"/>
      <w:lang w:val="ro-RO"/>
    </w:rPr>
  </w:style>
  <w:style w:type="paragraph" w:styleId="BodyTextIndent2">
    <w:name w:val="Body Text Indent 2"/>
    <w:basedOn w:val="Normal"/>
    <w:link w:val="BodyTextIndent2Char"/>
    <w:uiPriority w:val="98"/>
    <w:semiHidden/>
    <w:rsid w:val="00C36C4F"/>
    <w:pPr>
      <w:spacing w:after="120" w:line="480" w:lineRule="auto"/>
      <w:ind w:left="283"/>
    </w:pPr>
  </w:style>
  <w:style w:type="character" w:customStyle="1" w:styleId="BodyTextIndent2Char">
    <w:name w:val="Body Text Indent 2 Char"/>
    <w:basedOn w:val="DefaultParagraphFont"/>
    <w:link w:val="BodyTextIndent2"/>
    <w:uiPriority w:val="98"/>
    <w:semiHidden/>
    <w:rsid w:val="00C36C4F"/>
    <w:rPr>
      <w:sz w:val="24"/>
      <w:szCs w:val="24"/>
      <w:lang w:val="ro-RO"/>
    </w:rPr>
  </w:style>
  <w:style w:type="paragraph" w:styleId="BodyTextIndent3">
    <w:name w:val="Body Text Indent 3"/>
    <w:basedOn w:val="Normal"/>
    <w:link w:val="BodyTextIndent3Char"/>
    <w:uiPriority w:val="98"/>
    <w:semiHidden/>
    <w:rsid w:val="00C36C4F"/>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C36C4F"/>
    <w:rPr>
      <w:sz w:val="16"/>
      <w:szCs w:val="16"/>
      <w:lang w:val="ro-RO"/>
    </w:rPr>
  </w:style>
  <w:style w:type="paragraph" w:styleId="Caption">
    <w:name w:val="caption"/>
    <w:basedOn w:val="Normal"/>
    <w:next w:val="Normal"/>
    <w:uiPriority w:val="98"/>
    <w:semiHidden/>
    <w:qFormat/>
    <w:rsid w:val="00C36C4F"/>
    <w:pPr>
      <w:spacing w:after="200"/>
    </w:pPr>
    <w:rPr>
      <w:b/>
      <w:bCs/>
      <w:color w:val="0072BC" w:themeColor="accent1"/>
      <w:sz w:val="18"/>
      <w:szCs w:val="18"/>
    </w:rPr>
  </w:style>
  <w:style w:type="paragraph" w:styleId="Closing">
    <w:name w:val="Closing"/>
    <w:basedOn w:val="Normal"/>
    <w:link w:val="ClosingChar"/>
    <w:uiPriority w:val="98"/>
    <w:semiHidden/>
    <w:rsid w:val="00C36C4F"/>
    <w:pPr>
      <w:ind w:left="4252"/>
    </w:pPr>
  </w:style>
  <w:style w:type="character" w:customStyle="1" w:styleId="ClosingChar">
    <w:name w:val="Closing Char"/>
    <w:basedOn w:val="DefaultParagraphFont"/>
    <w:link w:val="Closing"/>
    <w:uiPriority w:val="98"/>
    <w:semiHidden/>
    <w:rsid w:val="00C36C4F"/>
    <w:rPr>
      <w:sz w:val="24"/>
      <w:szCs w:val="24"/>
      <w:lang w:val="ro-RO"/>
    </w:rPr>
  </w:style>
  <w:style w:type="table" w:styleId="ColorfulGrid">
    <w:name w:val="Colorful Grid"/>
    <w:basedOn w:val="TableNormal"/>
    <w:uiPriority w:val="73"/>
    <w:semiHidden/>
    <w:rsid w:val="00C36C4F"/>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C36C4F"/>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C36C4F"/>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C36C4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C36C4F"/>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C36C4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C36C4F"/>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C36C4F"/>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C36C4F"/>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C36C4F"/>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C36C4F"/>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C36C4F"/>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C36C4F"/>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C36C4F"/>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C36C4F"/>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C36C4F"/>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C36C4F"/>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C36C4F"/>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C36C4F"/>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C36C4F"/>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C36C4F"/>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C36C4F"/>
    <w:rPr>
      <w:b/>
      <w:bCs/>
    </w:rPr>
  </w:style>
  <w:style w:type="character" w:customStyle="1" w:styleId="CommentSubjectChar">
    <w:name w:val="Comment Subject Char"/>
    <w:basedOn w:val="CommentTextChar"/>
    <w:link w:val="CommentSubject"/>
    <w:uiPriority w:val="98"/>
    <w:semiHidden/>
    <w:rsid w:val="00C36C4F"/>
    <w:rPr>
      <w:b/>
      <w:bCs/>
      <w:sz w:val="20"/>
      <w:szCs w:val="20"/>
      <w:lang w:val="ro-RO"/>
    </w:rPr>
  </w:style>
  <w:style w:type="table" w:styleId="DarkList">
    <w:name w:val="Dark List"/>
    <w:basedOn w:val="TableNormal"/>
    <w:uiPriority w:val="70"/>
    <w:semiHidden/>
    <w:rsid w:val="00C36C4F"/>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C36C4F"/>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C36C4F"/>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C36C4F"/>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C36C4F"/>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C36C4F"/>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C36C4F"/>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C36C4F"/>
  </w:style>
  <w:style w:type="character" w:customStyle="1" w:styleId="DateChar">
    <w:name w:val="Date Char"/>
    <w:basedOn w:val="DefaultParagraphFont"/>
    <w:link w:val="Date"/>
    <w:uiPriority w:val="98"/>
    <w:semiHidden/>
    <w:rsid w:val="00C36C4F"/>
    <w:rPr>
      <w:sz w:val="24"/>
      <w:szCs w:val="24"/>
      <w:lang w:val="ro-RO"/>
    </w:rPr>
  </w:style>
  <w:style w:type="paragraph" w:styleId="DocumentMap">
    <w:name w:val="Document Map"/>
    <w:basedOn w:val="Normal"/>
    <w:link w:val="DocumentMapChar"/>
    <w:uiPriority w:val="98"/>
    <w:semiHidden/>
    <w:rsid w:val="00C36C4F"/>
    <w:rPr>
      <w:rFonts w:ascii="Tahoma" w:hAnsi="Tahoma" w:cs="Tahoma"/>
      <w:sz w:val="16"/>
      <w:szCs w:val="16"/>
    </w:rPr>
  </w:style>
  <w:style w:type="character" w:customStyle="1" w:styleId="DocumentMapChar">
    <w:name w:val="Document Map Char"/>
    <w:basedOn w:val="DefaultParagraphFont"/>
    <w:link w:val="DocumentMap"/>
    <w:uiPriority w:val="98"/>
    <w:semiHidden/>
    <w:rsid w:val="00C36C4F"/>
    <w:rPr>
      <w:rFonts w:ascii="Tahoma" w:hAnsi="Tahoma" w:cs="Tahoma"/>
      <w:sz w:val="16"/>
      <w:szCs w:val="16"/>
      <w:lang w:val="ro-RO"/>
    </w:rPr>
  </w:style>
  <w:style w:type="paragraph" w:styleId="E-mailSignature">
    <w:name w:val="E-mail Signature"/>
    <w:basedOn w:val="Normal"/>
    <w:link w:val="E-mailSignatureChar"/>
    <w:uiPriority w:val="98"/>
    <w:semiHidden/>
    <w:rsid w:val="00C36C4F"/>
  </w:style>
  <w:style w:type="character" w:customStyle="1" w:styleId="E-mailSignatureChar">
    <w:name w:val="E-mail Signature Char"/>
    <w:basedOn w:val="DefaultParagraphFont"/>
    <w:link w:val="E-mailSignature"/>
    <w:uiPriority w:val="98"/>
    <w:semiHidden/>
    <w:rsid w:val="00C36C4F"/>
    <w:rPr>
      <w:sz w:val="24"/>
      <w:szCs w:val="24"/>
      <w:lang w:val="ro-RO"/>
    </w:rPr>
  </w:style>
  <w:style w:type="character" w:styleId="EndnoteReference">
    <w:name w:val="endnote reference"/>
    <w:basedOn w:val="DefaultParagraphFont"/>
    <w:uiPriority w:val="98"/>
    <w:semiHidden/>
    <w:rsid w:val="00C36C4F"/>
    <w:rPr>
      <w:vertAlign w:val="superscript"/>
    </w:rPr>
  </w:style>
  <w:style w:type="paragraph" w:styleId="EndnoteText">
    <w:name w:val="endnote text"/>
    <w:basedOn w:val="Normal"/>
    <w:link w:val="EndnoteTextChar"/>
    <w:uiPriority w:val="98"/>
    <w:semiHidden/>
    <w:rsid w:val="00C36C4F"/>
    <w:rPr>
      <w:sz w:val="20"/>
      <w:szCs w:val="20"/>
    </w:rPr>
  </w:style>
  <w:style w:type="character" w:customStyle="1" w:styleId="EndnoteTextChar">
    <w:name w:val="Endnote Text Char"/>
    <w:basedOn w:val="DefaultParagraphFont"/>
    <w:link w:val="EndnoteText"/>
    <w:uiPriority w:val="98"/>
    <w:semiHidden/>
    <w:rsid w:val="00C36C4F"/>
    <w:rPr>
      <w:sz w:val="20"/>
      <w:szCs w:val="20"/>
      <w:lang w:val="ro-RO"/>
    </w:rPr>
  </w:style>
  <w:style w:type="paragraph" w:styleId="EnvelopeAddress">
    <w:name w:val="envelope address"/>
    <w:basedOn w:val="Normal"/>
    <w:uiPriority w:val="98"/>
    <w:semiHidden/>
    <w:rsid w:val="00C36C4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C36C4F"/>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C36C4F"/>
    <w:rPr>
      <w:color w:val="7030A0" w:themeColor="followedHyperlink"/>
      <w:u w:val="single"/>
    </w:rPr>
  </w:style>
  <w:style w:type="character" w:styleId="HTMLAcronym">
    <w:name w:val="HTML Acronym"/>
    <w:basedOn w:val="DefaultParagraphFont"/>
    <w:uiPriority w:val="98"/>
    <w:semiHidden/>
    <w:rsid w:val="00C36C4F"/>
  </w:style>
  <w:style w:type="paragraph" w:styleId="HTMLAddress">
    <w:name w:val="HTML Address"/>
    <w:basedOn w:val="Normal"/>
    <w:link w:val="HTMLAddressChar"/>
    <w:uiPriority w:val="98"/>
    <w:semiHidden/>
    <w:rsid w:val="00C36C4F"/>
    <w:rPr>
      <w:i/>
      <w:iCs/>
    </w:rPr>
  </w:style>
  <w:style w:type="character" w:customStyle="1" w:styleId="HTMLAddressChar">
    <w:name w:val="HTML Address Char"/>
    <w:basedOn w:val="DefaultParagraphFont"/>
    <w:link w:val="HTMLAddress"/>
    <w:uiPriority w:val="98"/>
    <w:semiHidden/>
    <w:rsid w:val="00C36C4F"/>
    <w:rPr>
      <w:i/>
      <w:iCs/>
      <w:sz w:val="24"/>
      <w:szCs w:val="24"/>
      <w:lang w:val="ro-RO"/>
    </w:rPr>
  </w:style>
  <w:style w:type="character" w:styleId="HTMLCite">
    <w:name w:val="HTML Cite"/>
    <w:basedOn w:val="DefaultParagraphFont"/>
    <w:uiPriority w:val="98"/>
    <w:semiHidden/>
    <w:rsid w:val="00C36C4F"/>
    <w:rPr>
      <w:i/>
      <w:iCs/>
    </w:rPr>
  </w:style>
  <w:style w:type="character" w:styleId="HTMLCode">
    <w:name w:val="HTML Code"/>
    <w:basedOn w:val="DefaultParagraphFont"/>
    <w:uiPriority w:val="98"/>
    <w:semiHidden/>
    <w:rsid w:val="00C36C4F"/>
    <w:rPr>
      <w:rFonts w:ascii="Consolas" w:hAnsi="Consolas" w:cs="Consolas"/>
      <w:sz w:val="20"/>
      <w:szCs w:val="20"/>
    </w:rPr>
  </w:style>
  <w:style w:type="character" w:styleId="HTMLDefinition">
    <w:name w:val="HTML Definition"/>
    <w:basedOn w:val="DefaultParagraphFont"/>
    <w:uiPriority w:val="98"/>
    <w:semiHidden/>
    <w:rsid w:val="00C36C4F"/>
    <w:rPr>
      <w:i/>
      <w:iCs/>
    </w:rPr>
  </w:style>
  <w:style w:type="character" w:styleId="HTMLKeyboard">
    <w:name w:val="HTML Keyboard"/>
    <w:basedOn w:val="DefaultParagraphFont"/>
    <w:uiPriority w:val="98"/>
    <w:semiHidden/>
    <w:rsid w:val="00C36C4F"/>
    <w:rPr>
      <w:rFonts w:ascii="Consolas" w:hAnsi="Consolas" w:cs="Consolas"/>
      <w:sz w:val="20"/>
      <w:szCs w:val="20"/>
    </w:rPr>
  </w:style>
  <w:style w:type="paragraph" w:styleId="HTMLPreformatted">
    <w:name w:val="HTML Preformatted"/>
    <w:basedOn w:val="Normal"/>
    <w:link w:val="HTMLPreformattedChar"/>
    <w:uiPriority w:val="98"/>
    <w:semiHidden/>
    <w:rsid w:val="00C36C4F"/>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C36C4F"/>
    <w:rPr>
      <w:rFonts w:ascii="Consolas" w:hAnsi="Consolas" w:cs="Consolas"/>
      <w:sz w:val="20"/>
      <w:szCs w:val="20"/>
      <w:lang w:val="ro-RO"/>
    </w:rPr>
  </w:style>
  <w:style w:type="character" w:styleId="HTMLSample">
    <w:name w:val="HTML Sample"/>
    <w:basedOn w:val="DefaultParagraphFont"/>
    <w:uiPriority w:val="98"/>
    <w:semiHidden/>
    <w:rsid w:val="00C36C4F"/>
    <w:rPr>
      <w:rFonts w:ascii="Consolas" w:hAnsi="Consolas" w:cs="Consolas"/>
      <w:sz w:val="24"/>
      <w:szCs w:val="24"/>
    </w:rPr>
  </w:style>
  <w:style w:type="character" w:styleId="HTMLTypewriter">
    <w:name w:val="HTML Typewriter"/>
    <w:basedOn w:val="DefaultParagraphFont"/>
    <w:uiPriority w:val="98"/>
    <w:semiHidden/>
    <w:rsid w:val="00C36C4F"/>
    <w:rPr>
      <w:rFonts w:ascii="Consolas" w:hAnsi="Consolas" w:cs="Consolas"/>
      <w:sz w:val="20"/>
      <w:szCs w:val="20"/>
    </w:rPr>
  </w:style>
  <w:style w:type="character" w:styleId="HTMLVariable">
    <w:name w:val="HTML Variable"/>
    <w:basedOn w:val="DefaultParagraphFont"/>
    <w:uiPriority w:val="98"/>
    <w:semiHidden/>
    <w:rsid w:val="00C36C4F"/>
    <w:rPr>
      <w:i/>
      <w:iCs/>
    </w:rPr>
  </w:style>
  <w:style w:type="paragraph" w:styleId="Index1">
    <w:name w:val="index 1"/>
    <w:basedOn w:val="Normal"/>
    <w:next w:val="Normal"/>
    <w:autoRedefine/>
    <w:uiPriority w:val="98"/>
    <w:semiHidden/>
    <w:rsid w:val="00C36C4F"/>
    <w:pPr>
      <w:ind w:left="240" w:hanging="240"/>
    </w:pPr>
  </w:style>
  <w:style w:type="paragraph" w:styleId="Index2">
    <w:name w:val="index 2"/>
    <w:basedOn w:val="Normal"/>
    <w:next w:val="Normal"/>
    <w:autoRedefine/>
    <w:uiPriority w:val="98"/>
    <w:semiHidden/>
    <w:rsid w:val="00C36C4F"/>
    <w:pPr>
      <w:ind w:left="480" w:hanging="240"/>
    </w:pPr>
  </w:style>
  <w:style w:type="paragraph" w:styleId="Index3">
    <w:name w:val="index 3"/>
    <w:basedOn w:val="Normal"/>
    <w:next w:val="Normal"/>
    <w:autoRedefine/>
    <w:uiPriority w:val="98"/>
    <w:semiHidden/>
    <w:rsid w:val="00C36C4F"/>
    <w:pPr>
      <w:ind w:left="720" w:hanging="240"/>
    </w:pPr>
  </w:style>
  <w:style w:type="paragraph" w:styleId="Index4">
    <w:name w:val="index 4"/>
    <w:basedOn w:val="Normal"/>
    <w:next w:val="Normal"/>
    <w:autoRedefine/>
    <w:uiPriority w:val="98"/>
    <w:semiHidden/>
    <w:rsid w:val="00C36C4F"/>
    <w:pPr>
      <w:ind w:left="960" w:hanging="240"/>
    </w:pPr>
  </w:style>
  <w:style w:type="paragraph" w:styleId="Index5">
    <w:name w:val="index 5"/>
    <w:basedOn w:val="Normal"/>
    <w:next w:val="Normal"/>
    <w:autoRedefine/>
    <w:uiPriority w:val="98"/>
    <w:semiHidden/>
    <w:rsid w:val="00C36C4F"/>
    <w:pPr>
      <w:ind w:left="1200" w:hanging="240"/>
    </w:pPr>
  </w:style>
  <w:style w:type="paragraph" w:styleId="Index6">
    <w:name w:val="index 6"/>
    <w:basedOn w:val="Normal"/>
    <w:next w:val="Normal"/>
    <w:autoRedefine/>
    <w:uiPriority w:val="98"/>
    <w:semiHidden/>
    <w:rsid w:val="00C36C4F"/>
    <w:pPr>
      <w:ind w:left="1440" w:hanging="240"/>
    </w:pPr>
  </w:style>
  <w:style w:type="paragraph" w:styleId="Index7">
    <w:name w:val="index 7"/>
    <w:basedOn w:val="Normal"/>
    <w:next w:val="Normal"/>
    <w:autoRedefine/>
    <w:uiPriority w:val="98"/>
    <w:semiHidden/>
    <w:rsid w:val="00C36C4F"/>
    <w:pPr>
      <w:ind w:left="1680" w:hanging="240"/>
    </w:pPr>
  </w:style>
  <w:style w:type="paragraph" w:styleId="Index8">
    <w:name w:val="index 8"/>
    <w:basedOn w:val="Normal"/>
    <w:next w:val="Normal"/>
    <w:autoRedefine/>
    <w:uiPriority w:val="98"/>
    <w:semiHidden/>
    <w:rsid w:val="00C36C4F"/>
    <w:pPr>
      <w:ind w:left="1920" w:hanging="240"/>
    </w:pPr>
  </w:style>
  <w:style w:type="paragraph" w:styleId="Index9">
    <w:name w:val="index 9"/>
    <w:basedOn w:val="Normal"/>
    <w:next w:val="Normal"/>
    <w:autoRedefine/>
    <w:uiPriority w:val="98"/>
    <w:semiHidden/>
    <w:rsid w:val="00C36C4F"/>
    <w:pPr>
      <w:ind w:left="2160" w:hanging="240"/>
    </w:pPr>
  </w:style>
  <w:style w:type="paragraph" w:styleId="IndexHeading">
    <w:name w:val="index heading"/>
    <w:basedOn w:val="Normal"/>
    <w:next w:val="Index1"/>
    <w:uiPriority w:val="98"/>
    <w:semiHidden/>
    <w:rsid w:val="00C36C4F"/>
    <w:rPr>
      <w:rFonts w:asciiTheme="majorHAnsi" w:eastAsiaTheme="majorEastAsia" w:hAnsiTheme="majorHAnsi" w:cstheme="majorBidi"/>
      <w:b/>
      <w:bCs/>
    </w:rPr>
  </w:style>
  <w:style w:type="table" w:styleId="LightGrid">
    <w:name w:val="Light Grid"/>
    <w:basedOn w:val="TableNormal"/>
    <w:uiPriority w:val="62"/>
    <w:semiHidden/>
    <w:rsid w:val="00C36C4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C36C4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C36C4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C36C4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C36C4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C36C4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C36C4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C36C4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C36C4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C36C4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C36C4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C36C4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C36C4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C36C4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C36C4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C36C4F"/>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C36C4F"/>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C36C4F"/>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C36C4F"/>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C36C4F"/>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C36C4F"/>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C36C4F"/>
  </w:style>
  <w:style w:type="paragraph" w:styleId="List">
    <w:name w:val="List"/>
    <w:basedOn w:val="Normal"/>
    <w:uiPriority w:val="98"/>
    <w:semiHidden/>
    <w:rsid w:val="00C36C4F"/>
    <w:pPr>
      <w:ind w:left="283" w:hanging="283"/>
      <w:contextualSpacing/>
    </w:pPr>
  </w:style>
  <w:style w:type="paragraph" w:styleId="List2">
    <w:name w:val="List 2"/>
    <w:basedOn w:val="Normal"/>
    <w:uiPriority w:val="98"/>
    <w:semiHidden/>
    <w:rsid w:val="00C36C4F"/>
    <w:pPr>
      <w:ind w:left="566" w:hanging="283"/>
      <w:contextualSpacing/>
    </w:pPr>
  </w:style>
  <w:style w:type="paragraph" w:styleId="List3">
    <w:name w:val="List 3"/>
    <w:basedOn w:val="Normal"/>
    <w:uiPriority w:val="98"/>
    <w:semiHidden/>
    <w:rsid w:val="00C36C4F"/>
    <w:pPr>
      <w:ind w:left="849" w:hanging="283"/>
      <w:contextualSpacing/>
    </w:pPr>
  </w:style>
  <w:style w:type="paragraph" w:styleId="List4">
    <w:name w:val="List 4"/>
    <w:basedOn w:val="Normal"/>
    <w:uiPriority w:val="98"/>
    <w:semiHidden/>
    <w:rsid w:val="00C36C4F"/>
    <w:pPr>
      <w:ind w:left="1132" w:hanging="283"/>
      <w:contextualSpacing/>
    </w:pPr>
  </w:style>
  <w:style w:type="paragraph" w:styleId="List5">
    <w:name w:val="List 5"/>
    <w:basedOn w:val="Normal"/>
    <w:uiPriority w:val="98"/>
    <w:semiHidden/>
    <w:rsid w:val="00C36C4F"/>
    <w:pPr>
      <w:ind w:left="1415" w:hanging="283"/>
      <w:contextualSpacing/>
    </w:pPr>
  </w:style>
  <w:style w:type="paragraph" w:styleId="ListBullet">
    <w:name w:val="List Bullet"/>
    <w:basedOn w:val="Normal"/>
    <w:uiPriority w:val="98"/>
    <w:semiHidden/>
    <w:rsid w:val="00C36C4F"/>
    <w:pPr>
      <w:numPr>
        <w:numId w:val="4"/>
      </w:numPr>
    </w:pPr>
  </w:style>
  <w:style w:type="paragraph" w:styleId="ListBullet4">
    <w:name w:val="List Bullet 4"/>
    <w:basedOn w:val="Normal"/>
    <w:uiPriority w:val="98"/>
    <w:semiHidden/>
    <w:rsid w:val="00C36C4F"/>
    <w:pPr>
      <w:numPr>
        <w:numId w:val="7"/>
      </w:numPr>
      <w:contextualSpacing/>
    </w:pPr>
  </w:style>
  <w:style w:type="paragraph" w:styleId="ListBullet5">
    <w:name w:val="List Bullet 5"/>
    <w:basedOn w:val="Normal"/>
    <w:uiPriority w:val="98"/>
    <w:semiHidden/>
    <w:rsid w:val="00C36C4F"/>
    <w:pPr>
      <w:numPr>
        <w:numId w:val="8"/>
      </w:numPr>
      <w:contextualSpacing/>
    </w:pPr>
  </w:style>
  <w:style w:type="paragraph" w:styleId="ListContinue">
    <w:name w:val="List Continue"/>
    <w:basedOn w:val="Normal"/>
    <w:uiPriority w:val="98"/>
    <w:semiHidden/>
    <w:rsid w:val="00C36C4F"/>
    <w:pPr>
      <w:spacing w:after="120"/>
      <w:ind w:left="283"/>
      <w:contextualSpacing/>
    </w:pPr>
  </w:style>
  <w:style w:type="paragraph" w:styleId="ListContinue2">
    <w:name w:val="List Continue 2"/>
    <w:basedOn w:val="Normal"/>
    <w:uiPriority w:val="98"/>
    <w:semiHidden/>
    <w:rsid w:val="00C36C4F"/>
    <w:pPr>
      <w:spacing w:after="120"/>
      <w:ind w:left="566"/>
      <w:contextualSpacing/>
    </w:pPr>
  </w:style>
  <w:style w:type="paragraph" w:styleId="ListContinue3">
    <w:name w:val="List Continue 3"/>
    <w:basedOn w:val="Normal"/>
    <w:uiPriority w:val="98"/>
    <w:semiHidden/>
    <w:rsid w:val="00C36C4F"/>
    <w:pPr>
      <w:spacing w:after="120"/>
      <w:ind w:left="849"/>
      <w:contextualSpacing/>
    </w:pPr>
  </w:style>
  <w:style w:type="paragraph" w:styleId="ListContinue4">
    <w:name w:val="List Continue 4"/>
    <w:basedOn w:val="Normal"/>
    <w:uiPriority w:val="98"/>
    <w:semiHidden/>
    <w:rsid w:val="00C36C4F"/>
    <w:pPr>
      <w:spacing w:after="120"/>
      <w:ind w:left="1132"/>
      <w:contextualSpacing/>
    </w:pPr>
  </w:style>
  <w:style w:type="paragraph" w:styleId="ListContinue5">
    <w:name w:val="List Continue 5"/>
    <w:basedOn w:val="Normal"/>
    <w:uiPriority w:val="98"/>
    <w:semiHidden/>
    <w:rsid w:val="00C36C4F"/>
    <w:pPr>
      <w:spacing w:after="120"/>
      <w:ind w:left="1415"/>
      <w:contextualSpacing/>
    </w:pPr>
  </w:style>
  <w:style w:type="paragraph" w:styleId="ListNumber">
    <w:name w:val="List Number"/>
    <w:basedOn w:val="Normal"/>
    <w:uiPriority w:val="98"/>
    <w:semiHidden/>
    <w:rsid w:val="00C36C4F"/>
    <w:pPr>
      <w:numPr>
        <w:numId w:val="9"/>
      </w:numPr>
      <w:contextualSpacing/>
    </w:pPr>
  </w:style>
  <w:style w:type="paragraph" w:styleId="ListNumber2">
    <w:name w:val="List Number 2"/>
    <w:basedOn w:val="Normal"/>
    <w:uiPriority w:val="98"/>
    <w:semiHidden/>
    <w:rsid w:val="00C36C4F"/>
    <w:pPr>
      <w:numPr>
        <w:numId w:val="10"/>
      </w:numPr>
      <w:contextualSpacing/>
    </w:pPr>
  </w:style>
  <w:style w:type="paragraph" w:styleId="ListNumber3">
    <w:name w:val="List Number 3"/>
    <w:basedOn w:val="Normal"/>
    <w:uiPriority w:val="98"/>
    <w:semiHidden/>
    <w:rsid w:val="00C36C4F"/>
    <w:pPr>
      <w:numPr>
        <w:numId w:val="11"/>
      </w:numPr>
      <w:contextualSpacing/>
    </w:pPr>
  </w:style>
  <w:style w:type="paragraph" w:styleId="ListNumber4">
    <w:name w:val="List Number 4"/>
    <w:basedOn w:val="Normal"/>
    <w:uiPriority w:val="98"/>
    <w:semiHidden/>
    <w:rsid w:val="00C36C4F"/>
    <w:pPr>
      <w:numPr>
        <w:numId w:val="12"/>
      </w:numPr>
      <w:contextualSpacing/>
    </w:pPr>
  </w:style>
  <w:style w:type="paragraph" w:styleId="ListNumber5">
    <w:name w:val="List Number 5"/>
    <w:basedOn w:val="Normal"/>
    <w:uiPriority w:val="98"/>
    <w:semiHidden/>
    <w:rsid w:val="00C36C4F"/>
    <w:pPr>
      <w:numPr>
        <w:numId w:val="13"/>
      </w:numPr>
      <w:contextualSpacing/>
    </w:pPr>
  </w:style>
  <w:style w:type="paragraph" w:styleId="MacroText">
    <w:name w:val="macro"/>
    <w:link w:val="MacroTextChar"/>
    <w:uiPriority w:val="98"/>
    <w:semiHidden/>
    <w:rsid w:val="00C36C4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C36C4F"/>
    <w:rPr>
      <w:rFonts w:ascii="Consolas" w:eastAsiaTheme="minorEastAsia" w:hAnsi="Consolas" w:cs="Consolas"/>
      <w:sz w:val="20"/>
      <w:szCs w:val="20"/>
    </w:rPr>
  </w:style>
  <w:style w:type="table" w:styleId="MediumGrid1">
    <w:name w:val="Medium Grid 1"/>
    <w:basedOn w:val="TableNormal"/>
    <w:uiPriority w:val="67"/>
    <w:semiHidden/>
    <w:rsid w:val="00C36C4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C36C4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C36C4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C36C4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C36C4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C36C4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C36C4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C36C4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C36C4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C36C4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C36C4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C36C4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C36C4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C36C4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C36C4F"/>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C36C4F"/>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C36C4F"/>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C36C4F"/>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C36C4F"/>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C36C4F"/>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C36C4F"/>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C36C4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C36C4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C36C4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C36C4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C36C4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C36C4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C36C4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C36C4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C36C4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C36C4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C36C4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C36C4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C36C4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C36C4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C36C4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C36C4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C36C4F"/>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C36C4F"/>
    <w:rPr>
      <w:rFonts w:ascii="Times New Roman" w:hAnsi="Times New Roman" w:cs="Times New Roman"/>
    </w:rPr>
  </w:style>
  <w:style w:type="paragraph" w:styleId="NormalIndent">
    <w:name w:val="Normal Indent"/>
    <w:basedOn w:val="Normal"/>
    <w:uiPriority w:val="98"/>
    <w:semiHidden/>
    <w:rsid w:val="00C36C4F"/>
    <w:pPr>
      <w:ind w:left="720"/>
    </w:pPr>
  </w:style>
  <w:style w:type="paragraph" w:styleId="NoteHeading">
    <w:name w:val="Note Heading"/>
    <w:basedOn w:val="Normal"/>
    <w:next w:val="Normal"/>
    <w:link w:val="NoteHeadingChar"/>
    <w:uiPriority w:val="98"/>
    <w:semiHidden/>
    <w:rsid w:val="00C36C4F"/>
  </w:style>
  <w:style w:type="character" w:customStyle="1" w:styleId="NoteHeadingChar">
    <w:name w:val="Note Heading Char"/>
    <w:basedOn w:val="DefaultParagraphFont"/>
    <w:link w:val="NoteHeading"/>
    <w:uiPriority w:val="98"/>
    <w:semiHidden/>
    <w:rsid w:val="00C36C4F"/>
    <w:rPr>
      <w:sz w:val="24"/>
      <w:szCs w:val="24"/>
      <w:lang w:val="ro-RO"/>
    </w:rPr>
  </w:style>
  <w:style w:type="character" w:styleId="PlaceholderText">
    <w:name w:val="Placeholder Text"/>
    <w:basedOn w:val="DefaultParagraphFont"/>
    <w:uiPriority w:val="98"/>
    <w:semiHidden/>
    <w:rsid w:val="00C36C4F"/>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C36C4F"/>
    <w:rPr>
      <w:rFonts w:ascii="Consolas" w:hAnsi="Consolas" w:cs="Consolas"/>
      <w:sz w:val="21"/>
      <w:szCs w:val="21"/>
    </w:rPr>
  </w:style>
  <w:style w:type="character" w:customStyle="1" w:styleId="PlainTextChar">
    <w:name w:val="Plain Text Char"/>
    <w:basedOn w:val="DefaultParagraphFont"/>
    <w:link w:val="PlainText"/>
    <w:uiPriority w:val="98"/>
    <w:semiHidden/>
    <w:rsid w:val="00C36C4F"/>
    <w:rPr>
      <w:rFonts w:ascii="Consolas" w:hAnsi="Consolas" w:cs="Consolas"/>
      <w:sz w:val="21"/>
      <w:szCs w:val="21"/>
      <w:lang w:val="ro-RO"/>
    </w:rPr>
  </w:style>
  <w:style w:type="paragraph" w:styleId="Salutation">
    <w:name w:val="Salutation"/>
    <w:basedOn w:val="Normal"/>
    <w:next w:val="Normal"/>
    <w:link w:val="SalutationChar"/>
    <w:uiPriority w:val="98"/>
    <w:semiHidden/>
    <w:rsid w:val="00C36C4F"/>
  </w:style>
  <w:style w:type="character" w:customStyle="1" w:styleId="SalutationChar">
    <w:name w:val="Salutation Char"/>
    <w:basedOn w:val="DefaultParagraphFont"/>
    <w:link w:val="Salutation"/>
    <w:uiPriority w:val="98"/>
    <w:semiHidden/>
    <w:rsid w:val="00C36C4F"/>
    <w:rPr>
      <w:sz w:val="24"/>
      <w:szCs w:val="24"/>
      <w:lang w:val="ro-RO"/>
    </w:rPr>
  </w:style>
  <w:style w:type="paragraph" w:styleId="Signature">
    <w:name w:val="Signature"/>
    <w:basedOn w:val="Normal"/>
    <w:link w:val="SignatureChar"/>
    <w:uiPriority w:val="98"/>
    <w:semiHidden/>
    <w:rsid w:val="00C36C4F"/>
    <w:pPr>
      <w:ind w:left="4252"/>
    </w:pPr>
  </w:style>
  <w:style w:type="character" w:customStyle="1" w:styleId="SignatureChar">
    <w:name w:val="Signature Char"/>
    <w:basedOn w:val="DefaultParagraphFont"/>
    <w:link w:val="Signature"/>
    <w:uiPriority w:val="98"/>
    <w:semiHidden/>
    <w:rsid w:val="00C36C4F"/>
    <w:rPr>
      <w:sz w:val="24"/>
      <w:szCs w:val="24"/>
      <w:lang w:val="ro-RO"/>
    </w:rPr>
  </w:style>
  <w:style w:type="table" w:styleId="Table3Deffects1">
    <w:name w:val="Table 3D effects 1"/>
    <w:basedOn w:val="TableNormal"/>
    <w:uiPriority w:val="99"/>
    <w:semiHidden/>
    <w:unhideWhenUsed/>
    <w:rsid w:val="00C36C4F"/>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36C4F"/>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36C4F"/>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36C4F"/>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36C4F"/>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36C4F"/>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36C4F"/>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36C4F"/>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36C4F"/>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36C4F"/>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36C4F"/>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36C4F"/>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36C4F"/>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36C4F"/>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36C4F"/>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36C4F"/>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36C4F"/>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36C4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36C4F"/>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36C4F"/>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36C4F"/>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36C4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36C4F"/>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36C4F"/>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36C4F"/>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36C4F"/>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36C4F"/>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36C4F"/>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36C4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36C4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36C4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36C4F"/>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36C4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C36C4F"/>
    <w:pPr>
      <w:ind w:left="240" w:hanging="240"/>
    </w:pPr>
  </w:style>
  <w:style w:type="paragraph" w:styleId="TableofFigures">
    <w:name w:val="table of figures"/>
    <w:basedOn w:val="Normal"/>
    <w:next w:val="Normal"/>
    <w:uiPriority w:val="98"/>
    <w:semiHidden/>
    <w:rsid w:val="00C36C4F"/>
  </w:style>
  <w:style w:type="table" w:styleId="TableProfessional">
    <w:name w:val="Table Professional"/>
    <w:basedOn w:val="TableNormal"/>
    <w:uiPriority w:val="99"/>
    <w:semiHidden/>
    <w:unhideWhenUsed/>
    <w:rsid w:val="00C36C4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36C4F"/>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36C4F"/>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36C4F"/>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36C4F"/>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36C4F"/>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36C4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36C4F"/>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36C4F"/>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36C4F"/>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C36C4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C36C4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C36C4F"/>
    <w:pPr>
      <w:spacing w:after="100"/>
      <w:ind w:left="1680"/>
    </w:pPr>
  </w:style>
  <w:style w:type="paragraph" w:styleId="TOC9">
    <w:name w:val="toc 9"/>
    <w:basedOn w:val="Normal"/>
    <w:next w:val="Normal"/>
    <w:autoRedefine/>
    <w:uiPriority w:val="98"/>
    <w:semiHidden/>
    <w:rsid w:val="00C36C4F"/>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C36C4F"/>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C36C4F"/>
    <w:pPr>
      <w:numPr>
        <w:ilvl w:val="1"/>
      </w:numPr>
    </w:pPr>
  </w:style>
  <w:style w:type="paragraph" w:customStyle="1" w:styleId="ECHRBullet3">
    <w:name w:val="ECHR_Bullet_3"/>
    <w:aliases w:val="_Bul_3"/>
    <w:basedOn w:val="ECHRBullet2"/>
    <w:uiPriority w:val="23"/>
    <w:semiHidden/>
    <w:rsid w:val="00C36C4F"/>
    <w:pPr>
      <w:numPr>
        <w:ilvl w:val="2"/>
      </w:numPr>
    </w:pPr>
  </w:style>
  <w:style w:type="paragraph" w:customStyle="1" w:styleId="ECHRBullet4">
    <w:name w:val="ECHR_Bullet_4"/>
    <w:aliases w:val="_Bul_4"/>
    <w:basedOn w:val="ECHRBullet3"/>
    <w:uiPriority w:val="23"/>
    <w:semiHidden/>
    <w:rsid w:val="00C36C4F"/>
    <w:pPr>
      <w:numPr>
        <w:ilvl w:val="3"/>
      </w:numPr>
    </w:pPr>
  </w:style>
  <w:style w:type="paragraph" w:customStyle="1" w:styleId="ECHRConfidential">
    <w:name w:val="ECHR_Confidential"/>
    <w:aliases w:val="_Confidential"/>
    <w:basedOn w:val="Normal"/>
    <w:next w:val="Normal"/>
    <w:uiPriority w:val="42"/>
    <w:semiHidden/>
    <w:qFormat/>
    <w:rsid w:val="00C36C4F"/>
    <w:pPr>
      <w:jc w:val="right"/>
    </w:pPr>
    <w:rPr>
      <w:color w:val="C00000"/>
      <w:sz w:val="20"/>
    </w:rPr>
  </w:style>
  <w:style w:type="paragraph" w:customStyle="1" w:styleId="ECHRDecisionBody">
    <w:name w:val="ECHR_Decision_Body"/>
    <w:aliases w:val="_Decision_Body"/>
    <w:basedOn w:val="NormalJustified"/>
    <w:uiPriority w:val="54"/>
    <w:semiHidden/>
    <w:rsid w:val="00C36C4F"/>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C36C4F"/>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C36C4F"/>
    <w:rPr>
      <w:rFonts w:ascii="Arial" w:hAnsi="Arial"/>
      <w:i/>
      <w:color w:val="002856"/>
      <w:sz w:val="32"/>
      <w:szCs w:val="24"/>
      <w:lang w:val="ro-RO"/>
    </w:rPr>
  </w:style>
  <w:style w:type="paragraph" w:customStyle="1" w:styleId="DummyStyle">
    <w:name w:val="Dummy_Style"/>
    <w:aliases w:val="_Dummy"/>
    <w:basedOn w:val="Normal"/>
    <w:semiHidden/>
    <w:qFormat/>
    <w:rsid w:val="00C36C4F"/>
    <w:rPr>
      <w:color w:val="00B050"/>
      <w:sz w:val="22"/>
    </w:rPr>
  </w:style>
  <w:style w:type="paragraph" w:customStyle="1" w:styleId="ECHRFooterLineLandscape">
    <w:name w:val="ECHR_Footer_Line_Landscape"/>
    <w:aliases w:val="_Footer_Line_Landscape"/>
    <w:basedOn w:val="Normal"/>
    <w:uiPriority w:val="29"/>
    <w:semiHidden/>
    <w:rsid w:val="00C36C4F"/>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C36C4F"/>
    <w:pPr>
      <w:ind w:left="567" w:hanging="567"/>
    </w:pPr>
  </w:style>
  <w:style w:type="paragraph" w:customStyle="1" w:styleId="ECHRHeading9">
    <w:name w:val="ECHR_Heading_9"/>
    <w:aliases w:val="_Head_9"/>
    <w:basedOn w:val="Heading9"/>
    <w:uiPriority w:val="17"/>
    <w:semiHidden/>
    <w:rsid w:val="00C36C4F"/>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C36C4F"/>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C36C4F"/>
    <w:pPr>
      <w:spacing w:before="120" w:after="120"/>
      <w:ind w:left="567"/>
    </w:pPr>
  </w:style>
  <w:style w:type="paragraph" w:customStyle="1" w:styleId="ECHRLine">
    <w:name w:val="ECHR_Line"/>
    <w:aliases w:val="_Line"/>
    <w:basedOn w:val="NormalJustified"/>
    <w:next w:val="Normal"/>
    <w:uiPriority w:val="46"/>
    <w:semiHidden/>
    <w:rsid w:val="00C36C4F"/>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C36C4F"/>
    <w:pPr>
      <w:numPr>
        <w:numId w:val="0"/>
      </w:numPr>
      <w:ind w:left="284"/>
    </w:pPr>
  </w:style>
  <w:style w:type="paragraph" w:customStyle="1" w:styleId="ECHRNumberedList1">
    <w:name w:val="ECHR_Numbered_List_1"/>
    <w:aliases w:val="_Num_1"/>
    <w:basedOn w:val="NormalJustified"/>
    <w:uiPriority w:val="23"/>
    <w:semiHidden/>
    <w:qFormat/>
    <w:rsid w:val="00C36C4F"/>
    <w:pPr>
      <w:numPr>
        <w:numId w:val="17"/>
      </w:numPr>
      <w:spacing w:before="60" w:after="60"/>
    </w:pPr>
  </w:style>
  <w:style w:type="paragraph" w:customStyle="1" w:styleId="ECHRNumberedList2">
    <w:name w:val="ECHR_Numbered_List_2"/>
    <w:aliases w:val="_Num_2"/>
    <w:basedOn w:val="ECHRNumberedList1"/>
    <w:uiPriority w:val="23"/>
    <w:semiHidden/>
    <w:rsid w:val="00C36C4F"/>
    <w:pPr>
      <w:numPr>
        <w:ilvl w:val="1"/>
      </w:numPr>
    </w:pPr>
  </w:style>
  <w:style w:type="paragraph" w:customStyle="1" w:styleId="ECHRNumberedList3">
    <w:name w:val="ECHR_Numbered_List_3"/>
    <w:aliases w:val="_Num_3"/>
    <w:basedOn w:val="ECHRNumberedList2"/>
    <w:uiPriority w:val="23"/>
    <w:semiHidden/>
    <w:rsid w:val="00C36C4F"/>
    <w:pPr>
      <w:numPr>
        <w:ilvl w:val="2"/>
      </w:numPr>
    </w:pPr>
  </w:style>
  <w:style w:type="paragraph" w:customStyle="1" w:styleId="ECHRPlaceholder">
    <w:name w:val="ECHR_Placeholder"/>
    <w:aliases w:val="_Placeholder"/>
    <w:basedOn w:val="JuSigned"/>
    <w:uiPriority w:val="31"/>
    <w:rsid w:val="00C36C4F"/>
    <w:rPr>
      <w:color w:val="FFFFFF"/>
    </w:rPr>
  </w:style>
  <w:style w:type="character" w:customStyle="1" w:styleId="ECHRRed">
    <w:name w:val="ECHR_Red"/>
    <w:aliases w:val="_Red"/>
    <w:basedOn w:val="DefaultParagraphFont"/>
    <w:uiPriority w:val="15"/>
    <w:semiHidden/>
    <w:qFormat/>
    <w:rsid w:val="00C36C4F"/>
    <w:rPr>
      <w:color w:val="C00000" w:themeColor="accent2"/>
    </w:rPr>
  </w:style>
  <w:style w:type="paragraph" w:customStyle="1" w:styleId="ECHRHeaderDate">
    <w:name w:val="ECHR_Header_Date"/>
    <w:aliases w:val="_Ref_Date"/>
    <w:basedOn w:val="Normal"/>
    <w:uiPriority w:val="44"/>
    <w:semiHidden/>
    <w:qFormat/>
    <w:rsid w:val="00C36C4F"/>
    <w:pPr>
      <w:jc w:val="right"/>
    </w:pPr>
    <w:rPr>
      <w:sz w:val="20"/>
    </w:rPr>
  </w:style>
  <w:style w:type="paragraph" w:customStyle="1" w:styleId="ECHRHeaderRefIt">
    <w:name w:val="ECHR_Header_Ref_It"/>
    <w:aliases w:val="_Ref_Ital"/>
    <w:basedOn w:val="Normal"/>
    <w:next w:val="ECHRHeaderDate"/>
    <w:uiPriority w:val="43"/>
    <w:semiHidden/>
    <w:qFormat/>
    <w:rsid w:val="00C36C4F"/>
    <w:pPr>
      <w:jc w:val="right"/>
    </w:pPr>
    <w:rPr>
      <w:i/>
      <w:sz w:val="20"/>
    </w:rPr>
  </w:style>
  <w:style w:type="paragraph" w:customStyle="1" w:styleId="ECHRSpacer">
    <w:name w:val="ECHR_Spacer"/>
    <w:aliases w:val="_Spacer"/>
    <w:basedOn w:val="Normal"/>
    <w:uiPriority w:val="45"/>
    <w:semiHidden/>
    <w:rsid w:val="00C36C4F"/>
    <w:rPr>
      <w:sz w:val="4"/>
    </w:rPr>
  </w:style>
  <w:style w:type="paragraph" w:customStyle="1" w:styleId="ECHRTitleCentre1">
    <w:name w:val="ECHR_Title_Centre_1"/>
    <w:aliases w:val="_Title_C_1"/>
    <w:basedOn w:val="Normal"/>
    <w:next w:val="Normal"/>
    <w:uiPriority w:val="26"/>
    <w:semiHidden/>
    <w:qFormat/>
    <w:rsid w:val="00C36C4F"/>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C36C4F"/>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C36C4F"/>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C36C4F"/>
    <w:pPr>
      <w:outlineLvl w:val="0"/>
    </w:pPr>
  </w:style>
  <w:style w:type="paragraph" w:customStyle="1" w:styleId="ECHRTitle1">
    <w:name w:val="ECHR_Title_1"/>
    <w:aliases w:val="_Title_L_1"/>
    <w:basedOn w:val="Normal"/>
    <w:next w:val="Normal"/>
    <w:uiPriority w:val="28"/>
    <w:semiHidden/>
    <w:qFormat/>
    <w:rsid w:val="00C36C4F"/>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C36C4F"/>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C36C4F"/>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C36C4F"/>
    <w:pPr>
      <w:outlineLvl w:val="0"/>
    </w:pPr>
  </w:style>
  <w:style w:type="table" w:customStyle="1" w:styleId="ECHRTable2">
    <w:name w:val="ECHR_Table_2"/>
    <w:basedOn w:val="TableNormal"/>
    <w:uiPriority w:val="99"/>
    <w:rsid w:val="00C36C4F"/>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C36C4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C36C4F"/>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A13374"/>
    <w:rPr>
      <w:color w:val="605E5C"/>
      <w:shd w:val="clear" w:color="auto" w:fill="E1DFDD"/>
    </w:rPr>
  </w:style>
  <w:style w:type="table" w:styleId="GridTable1Light">
    <w:name w:val="Grid Table 1 Light"/>
    <w:basedOn w:val="TableNormal"/>
    <w:uiPriority w:val="46"/>
    <w:semiHidden/>
    <w:rsid w:val="00A13374"/>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A13374"/>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A13374"/>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A13374"/>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A13374"/>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A13374"/>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A13374"/>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A13374"/>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A13374"/>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A13374"/>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A13374"/>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A13374"/>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A13374"/>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A13374"/>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A1337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A1337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A1337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A13374"/>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A1337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A1337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A1337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A1337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A1337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A1337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A13374"/>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A1337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A1337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A1337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A1337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A1337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A1337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A1337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A1337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A1337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A1337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A1337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A1337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A1337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A13374"/>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A1337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A1337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A1337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A1337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A1337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A1337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A13374"/>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A1337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A1337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A1337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A13374"/>
    <w:rPr>
      <w:color w:val="2B579A"/>
      <w:shd w:val="clear" w:color="auto" w:fill="E1DFDD"/>
    </w:rPr>
  </w:style>
  <w:style w:type="table" w:styleId="ListTable1Light">
    <w:name w:val="List Table 1 Light"/>
    <w:basedOn w:val="TableNormal"/>
    <w:uiPriority w:val="46"/>
    <w:semiHidden/>
    <w:rsid w:val="00A13374"/>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A13374"/>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A13374"/>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A13374"/>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A13374"/>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A13374"/>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A13374"/>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A13374"/>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A13374"/>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A13374"/>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A13374"/>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A13374"/>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A13374"/>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A13374"/>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A13374"/>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A13374"/>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A13374"/>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A13374"/>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A13374"/>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A13374"/>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A13374"/>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A1337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A1337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A1337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A13374"/>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A1337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A1337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A1337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A13374"/>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A13374"/>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A13374"/>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A13374"/>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A13374"/>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A13374"/>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A13374"/>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A13374"/>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A13374"/>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A13374"/>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A13374"/>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A13374"/>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A13374"/>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A13374"/>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A13374"/>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A13374"/>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A13374"/>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A13374"/>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A13374"/>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A13374"/>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A13374"/>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A13374"/>
    <w:rPr>
      <w:color w:val="2B579A"/>
      <w:shd w:val="clear" w:color="auto" w:fill="E1DFDD"/>
    </w:rPr>
  </w:style>
  <w:style w:type="table" w:styleId="PlainTable1">
    <w:name w:val="Plain Table 1"/>
    <w:basedOn w:val="TableNormal"/>
    <w:uiPriority w:val="41"/>
    <w:semiHidden/>
    <w:rsid w:val="00A13374"/>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A13374"/>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A13374"/>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A13374"/>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A13374"/>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A13374"/>
    <w:rPr>
      <w:u w:val="dotted"/>
    </w:rPr>
  </w:style>
  <w:style w:type="character" w:customStyle="1" w:styleId="SmartLink1">
    <w:name w:val="SmartLink1"/>
    <w:basedOn w:val="DefaultParagraphFont"/>
    <w:uiPriority w:val="99"/>
    <w:semiHidden/>
    <w:unhideWhenUsed/>
    <w:rsid w:val="00A13374"/>
    <w:rPr>
      <w:color w:val="0000FF"/>
      <w:u w:val="single"/>
      <w:shd w:val="clear" w:color="auto" w:fill="F3F2F1"/>
    </w:rPr>
  </w:style>
  <w:style w:type="table" w:styleId="TableGridLight">
    <w:name w:val="Grid Table Light"/>
    <w:basedOn w:val="TableNormal"/>
    <w:uiPriority w:val="40"/>
    <w:semiHidden/>
    <w:rsid w:val="00A13374"/>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ParaChar">
    <w:name w:val="Ju_Para Char"/>
    <w:aliases w:val="_Para Char"/>
    <w:link w:val="JuPara"/>
    <w:uiPriority w:val="4"/>
    <w:rsid w:val="00A13374"/>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547FA-7CE4-435B-98C0-397FF25FD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B6EC85-A094-4100-802B-38275BFB07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D53FC-04B9-4733-A6F7-BFBD73E631FB}">
  <ds:schemaRefs>
    <ds:schemaRef ds:uri="http://schemas.microsoft.com/sharepoint/v3/contenttype/forms"/>
  </ds:schemaRefs>
</ds:datastoreItem>
</file>

<file path=customXml/itemProps4.xml><?xml version="1.0" encoding="utf-8"?>
<ds:datastoreItem xmlns:ds="http://schemas.openxmlformats.org/officeDocument/2006/customXml" ds:itemID="{BD6D76E9-9383-4178-9083-8EC9F579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3484</Words>
  <Characters>20209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2022-12-15T12:41:00Z</dcterms:created>
  <dcterms:modified xsi:type="dcterms:W3CDTF">2023-01-17T08:13:00Z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122/17</vt:lpwstr>
  </property>
  <property fmtid="{D5CDD505-2E9C-101B-9397-08002B2CF9AE}" pid="4" name="CASEID">
    <vt:lpwstr>1273222</vt:lpwstr>
  </property>
  <property fmtid="{D5CDD505-2E9C-101B-9397-08002B2CF9AE}" pid="5" name="ContentTypeId">
    <vt:lpwstr>0x010100558EB02BDB9E204AB350EDD385B68E10</vt:lpwstr>
  </property>
</Properties>
</file>