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9CF" w:rsidRPr="00CD29CF" w:rsidRDefault="00CD29CF" w:rsidP="00CD29CF">
      <w:pPr>
        <w:spacing w:after="0" w:line="240" w:lineRule="atLeast"/>
        <w:textAlignment w:val="top"/>
        <w:outlineLvl w:val="1"/>
        <w:rPr>
          <w:rFonts w:ascii="Arial" w:eastAsia="Times New Roman" w:hAnsi="Arial" w:cs="Arial"/>
          <w:color w:val="58555E"/>
          <w:sz w:val="27"/>
          <w:szCs w:val="27"/>
        </w:rPr>
      </w:pPr>
      <w:r w:rsidRPr="00CD29CF">
        <w:rPr>
          <w:rFonts w:ascii="Arial" w:eastAsia="Times New Roman" w:hAnsi="Arial" w:cs="Arial"/>
          <w:color w:val="58555E"/>
          <w:sz w:val="27"/>
          <w:szCs w:val="27"/>
        </w:rPr>
        <w:t xml:space="preserve">Inventarul măsurilor preventive anticorupţie şi indicatorii de evaluare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77"/>
        <w:gridCol w:w="377"/>
        <w:gridCol w:w="2305"/>
        <w:gridCol w:w="2172"/>
        <w:gridCol w:w="1394"/>
        <w:gridCol w:w="1496"/>
        <w:gridCol w:w="1223"/>
      </w:tblGrid>
      <w:tr w:rsidR="00CD29CF" w:rsidRPr="00CD29CF" w:rsidTr="00CD29CF">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b/>
                <w:bCs/>
                <w:sz w:val="20"/>
                <w:szCs w:val="20"/>
                <w:lang w:val="en-US"/>
              </w:rPr>
              <w:t>Număr</w:t>
            </w:r>
          </w:p>
        </w:tc>
        <w:tc>
          <w:tcPr>
            <w:tcW w:w="0" w:type="auto"/>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b/>
                <w:bCs/>
                <w:sz w:val="20"/>
                <w:szCs w:val="20"/>
                <w:lang w:val="en-US"/>
              </w:rPr>
              <w:t>Măsură preventivă</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b/>
                <w:bCs/>
                <w:sz w:val="20"/>
                <w:szCs w:val="20"/>
                <w:lang w:val="en-US"/>
              </w:rPr>
              <w:t>Sediul materiei</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b/>
                <w:bCs/>
                <w:sz w:val="20"/>
                <w:szCs w:val="20"/>
                <w:lang w:val="en-US"/>
              </w:rPr>
              <w:t>Indicatori relevanţi</w:t>
            </w:r>
          </w:p>
        </w:tc>
      </w:tr>
      <w:tr w:rsidR="00CD29CF" w:rsidRPr="00CD29CF" w:rsidTr="00CD29CF">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Cod etic/deontologic/de conduită</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Legea nr. 7/2004 privind Codul de conduită a funcţionarilor publici, republicată</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Legea nr. 477/2004 privind Codul de conduită a personalului contractual din autorităţile şi instituţiile publice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Legea nr. 303/2004 privind statutul judecătorilor şi procurorilor, republicată, cu modificările şi completările ulterioare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Hotărârea Guvernului nr. 991/2005 pentru aprobarea Codului de etică şi deontologie al poliţistului</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Hotărârea Consiliului Superior al Magistraturii nr. 328/2005 pentru aprobarea Codului deontologic al judecătorilor şi procurorilor</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Ordinul ministrului finanţelor publice nr. 946/2005 pentru aprobarea Codului controlului intern/managerial, cuprinzând standardele de control intern/managerial la entităţile publice şi pentru dezvoltarea sistemelor de control intern/managerial, republicat</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Ordine interne/memorandumuri  </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sesizări privind încălcări ale normelor</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sesizări în curs de soluţionare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sesizări soluţionate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Durata procedurilor</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decizii prin care s-a confirmat încălcarea normei</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 xml:space="preserve">Număr de măsuri dispuse diferenţiate pe tipuri </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decizii ale comisiei anulate sau modificate în instanţă</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Gradul de cunoaştere de către angajaţi a normelor (chestionare de evaluare)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activităţi de formare privind normele de conduită</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persoane care au fost instruite prin intermediul acţiunilor de formare profesională</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măsuri administrative adoptate pentru înlăturarea cauzelor sau circumstanţelor care au favorizat încălcarea normelor</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persoane per instituţie care au săvârşit abateri disciplinare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persoane care au săvârşit în mod repetat abateri de la normele respective</w:t>
            </w:r>
          </w:p>
        </w:tc>
      </w:tr>
      <w:tr w:rsidR="00CD29CF" w:rsidRPr="00CD29CF" w:rsidTr="00CD29CF">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 xml:space="preserve">Declararea averilor </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 xml:space="preserve">Legea nr. 176/2010 privind integritatea în exercitarea funcţiilor şi demnităţilor publice, pentru modificarea şi completarea Legii nr. 144/2007 privind </w:t>
            </w:r>
            <w:r w:rsidRPr="00CD29CF">
              <w:rPr>
                <w:rFonts w:ascii="Arial" w:eastAsia="Times New Roman" w:hAnsi="Arial" w:cs="Arial"/>
                <w:sz w:val="20"/>
                <w:szCs w:val="20"/>
                <w:lang w:val="en-US"/>
              </w:rPr>
              <w:lastRenderedPageBreak/>
              <w:t>înfiinţarea, organizarea şi funcţionarea Agenţiei Naţionale de Integritate, precum şi pentru modificarea şi completarea altor acte normative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Legea nr. 161/2003 privind unele măsuri pentru asigurarea transparenţei în exercitarea demnităţilor publice, a funcţiilor publice şi în mediul de afaceri, prevenirea şi sancţionarea corupţiei,cu modificările şi completările ulterioare</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Număr de persoane care au obligaţia depunerii declaraţiei de avere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 xml:space="preserve">Număr de persoane care nu au depus în termen declaraţii de avere </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 xml:space="preserve">Număr de persoane care nu au depus declaraţii de avere </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sesizări ale ANI</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decizii ANI ca urmare a sesizărilor transmise de instituţie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decizii ale ANI puse în aplicare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hotărâri ale instanţelor de judecată ca urmare a sesizărilor ANI</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măsuri administrative adoptate pentru înlăturarea cauzelor sau circumstanţelor care au favorizat încălcarea normelor privind declararea averilor</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 xml:space="preserve">Număr de consultaţii oferite de persoanele responsabile pentru implementarea prevederilor legale privind declaraţiile de avere şi </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 xml:space="preserve">declaraţiile de interese </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Gradul de cunoaştere de către angajaţi a normelor privind declararea averilor (chestionar de evaluare)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activităţi de formare privind declaraţiile de avere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persoane care au fost instruite prin intermediul acţiunilor de formare profesională</w:t>
            </w:r>
          </w:p>
        </w:tc>
      </w:tr>
      <w:tr w:rsidR="00CD29CF" w:rsidRPr="00CD29CF" w:rsidTr="00CD29CF">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3.</w:t>
            </w:r>
          </w:p>
        </w:tc>
        <w:tc>
          <w:tcPr>
            <w:tcW w:w="0" w:type="auto"/>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 xml:space="preserve">Declararea cadourilor </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Legea nr. 251/2004 privind unele măsuri referitoare la bunurile primite cu titlu gratuit cu prilejul unor acţiuni de protocol în exercitarea mandatului sau a funcţiei</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cadouri  primite şi înregistrate în registru</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Publicarea anuală a inventarului pe site-ul instituţiei</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Număr de situaţii în care s-a achiziţionat cadoul</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Valoarea cadourilor achiziţionate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Valoarea cadourilor primite (per cadou şi în total)</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Valoarea bunurilor valorificate</w:t>
            </w:r>
          </w:p>
        </w:tc>
      </w:tr>
      <w:tr w:rsidR="00CD29CF" w:rsidRPr="00CD29CF" w:rsidTr="00CD29CF">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4.</w:t>
            </w:r>
          </w:p>
        </w:tc>
        <w:tc>
          <w:tcPr>
            <w:tcW w:w="0" w:type="auto"/>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 xml:space="preserve">Conflicte de interese </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Legea nr. 161/2003 privind unele măsuri pentru asigurarea transparenţei în exercitarea demnităţilor publice, a funcţiilor publice şi în mediul de afaceri, prevenirea şi sancţionarea corupţiei,cu modificările şi completările ulterioare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Codul penal</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 xml:space="preserve">Număr de declaraţii de abţinere </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situaţii în care superiorul ierarhic a dispus înlocuirea persoanei aflată în situaţia de potenţial conflict de interese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sesizări primite de instituţie de la terţe persoane cu privire la existenţa unui conflict de interese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decizii ANI prin care s-a constatat starea de conflict de interese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sesizări ale parchetului privind posibila săvârşire a infracţiunii de conflicte de interese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rechizitorii/condamnări privind săvârşirea infracţiunii de conflicte de interese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Gradul de cunoaştere de către angajaţi a normelor privind conflictul de interese (chestionar de evaluare)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activităţi de formare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persoane care au fost instruite prin intermediul acţiunilor de formare profesională</w:t>
            </w:r>
          </w:p>
        </w:tc>
      </w:tr>
      <w:tr w:rsidR="00CD29CF" w:rsidRPr="00CD29CF" w:rsidTr="00CD29CF">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5.</w:t>
            </w:r>
          </w:p>
        </w:tc>
        <w:tc>
          <w:tcPr>
            <w:tcW w:w="0" w:type="auto"/>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Consilier de etică</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Legea nr. 188/1999 privind Statutul funcţionarilor publici, republicată, cu modificările şi completările ulterioare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Legea nr. 7/2004 privind Codul de conduită a funcţionarilor publici, republicată</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şedinţe de consultare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angajaţi care au beneficiat de consiliere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speţe, diferenţiate pe tipologii de dileme etice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Gradul de cunoaştere de către angajaţi a normelor privind consilierul etic (chestionar de evaluare)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Gradul de popularizare a rolului consilierului de etică</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activităţi de formare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persoane care au fost instruite prin intermediul acţiunilor de formare profesională</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b/>
                <w:bCs/>
                <w:sz w:val="20"/>
                <w:szCs w:val="20"/>
                <w:lang w:val="en-US"/>
              </w:rPr>
              <w:t>Notă: Raportările vor cuprinde inclusiv informaţiile şi datele prevăzute în Ordinul Preşedintelui Agenţiei Naţionale a Funcţionarilor Publici nr. 4500/2008 stabilirea unui cadru unitar privind metodele de completare şi transmitere a datelor şi informaţiilor referitoare la respectarea normelor de conduită de către funcţionarii publici şi la implementarea procedurilor disciplinare</w:t>
            </w:r>
          </w:p>
        </w:tc>
      </w:tr>
      <w:tr w:rsidR="00CD29CF" w:rsidRPr="00CD29CF" w:rsidTr="00CD29CF">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6.</w:t>
            </w:r>
          </w:p>
        </w:tc>
        <w:tc>
          <w:tcPr>
            <w:tcW w:w="0" w:type="auto"/>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 xml:space="preserve">Incompatibilităţi </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 xml:space="preserve">Legea nr. 161/2003 privind unele măsuri pentru asigurarea transparenţei în exercitarea demnităţilor publice, a funcţiilor publice şi în mediul de afaceri, </w:t>
            </w:r>
            <w:r w:rsidRPr="00CD29CF">
              <w:rPr>
                <w:rFonts w:ascii="Arial" w:eastAsia="Times New Roman" w:hAnsi="Arial" w:cs="Arial"/>
                <w:sz w:val="20"/>
                <w:szCs w:val="20"/>
                <w:lang w:val="en-US"/>
              </w:rPr>
              <w:lastRenderedPageBreak/>
              <w:t>prevenirea şi sancţionarea corupţiei,cu modificările şi completările ulterioare</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Număr de persoane aflate în stare de incompatibilitate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 xml:space="preserve">Număr de sesizări ale ANI formulate de către instituţie </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sesizări primite de instituţie de la terţe persoane cu privire la existenţa unei incompatibilităţi</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Număr de decizii ale ANI cu privire la constatarea unor incompatibilităţi</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măsuri administrative adoptate pentru înlăturarea cauzelor sau circumstanţelor care au favorizat încălcarea normelor privind incompatibilităţile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Gradul de cunoaştere de către angajaţi a normelor privind conflictul de interese (chestionar de evaluare)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activităţi de formare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persoane care au fost instruite prin intermediul acţiunilor de formare profesională</w:t>
            </w:r>
          </w:p>
        </w:tc>
      </w:tr>
      <w:tr w:rsidR="00CD29CF" w:rsidRPr="00CD29CF" w:rsidTr="00CD29CF">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 xml:space="preserve">7. </w:t>
            </w:r>
          </w:p>
        </w:tc>
        <w:tc>
          <w:tcPr>
            <w:tcW w:w="0" w:type="auto"/>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Transparenţă în procesul decizional</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Legea nr. 52/2003 privind transparenţa decizională în administraţia publică,cu modificările şi completările ulterioare</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anunţuri publice privind proiectele de acte normative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recomandări transmise de societatea civilă privind completarea sau modificarea proiectelor de acte normative, diferenţiate pe tipologii</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Gradul de acceptare şi preluare al recomandărilor formulate de societatea civilă cu privire la proiectele de acte normative supuse consultării publice (ca procent între numărul total de recomandări transmise şi numărul de propuneri efectiv preluate)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şedinţe publice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participanţi la şedinţele publice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 xml:space="preserve">Număr de plângeri în justiţie privind nerespectarea prevederilor legale de către instituţie </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Număr şi tipul de sancţiuni dispuse pentru încălcarea obligaţiilor legale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activităţi de pregătire profesională a personalului din administraţia publică</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persoane care au fost instruite prin intermediul acţiunilor de formare profesională</w:t>
            </w:r>
          </w:p>
        </w:tc>
      </w:tr>
      <w:tr w:rsidR="00CD29CF" w:rsidRPr="00CD29CF" w:rsidTr="00CD29CF">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8.</w:t>
            </w:r>
          </w:p>
        </w:tc>
        <w:tc>
          <w:tcPr>
            <w:tcW w:w="0" w:type="auto"/>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Acces la informaţii de interes public</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Legea nr. 544/2001 privind liberul acces la informaţiile de interes public, cu modificările ulterioare</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solicitări de informaţii de interes public</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răspunsuri comunicate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răspunsuri formulate cu întârziere, faţă de termenul legal</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solicitări de informaţii de interes public la care nu s-a răspuns</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reclamaţii administrative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reclamaţii administrative soluţionate pozitiv</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reclamaţii administrative soluţionate negativ</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plângeri în instanţă</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Numărul şi tipul de sancţiuni dispuse pentru încălcarea obligaţiilor legale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activităţi de pregătire profesională a personalului din administraţia publică</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persoane care au fost instruite prin intermediul acţiunilor de formare profesională</w:t>
            </w:r>
          </w:p>
        </w:tc>
      </w:tr>
      <w:tr w:rsidR="00CD29CF" w:rsidRPr="00CD29CF" w:rsidTr="00CD29CF">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9.</w:t>
            </w:r>
          </w:p>
        </w:tc>
        <w:tc>
          <w:tcPr>
            <w:tcW w:w="0" w:type="auto"/>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Protecţia avertizorului de integritate</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Legea nr. 571/2004 privind protecţia personalului din autorităţile publice, instituţiile publice şi din alte unităţi care semnalează încălcări ale legii</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sesizări</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Numărul şi tipul normelor încălcate (structurate sub forma unui Compendiu)</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regulamente interne armonizate cu prevederile legislative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instituţii în care există persoane special desemnate pentru a primi sesizările avertizorilor de integritate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instituţii în care există implementat un mecanism cu privire la protecţia avertizorilor de integritate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măsuri administrative adoptate pentru înlăturarea cauzelor sau circumstanţelor care au favorizat încălcarea normelor, diferenţiat pe tipologii</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situaţii de represalii la locul de munca</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plângeri depuse in instanţă</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situaţii în care au fost acordate compensaţii avertizorilor de integritate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activităţi de pregătire profesională a personalului din administraţia publică</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persoane care au fost instruite prin intermediul acţiunilor de formare profesională</w:t>
            </w:r>
          </w:p>
        </w:tc>
      </w:tr>
      <w:tr w:rsidR="00CD29CF" w:rsidRPr="00CD29CF" w:rsidTr="00CD29CF">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10.</w:t>
            </w:r>
          </w:p>
        </w:tc>
        <w:tc>
          <w:tcPr>
            <w:tcW w:w="0" w:type="auto"/>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Distribuirea aleatorie a dosarelor/sarcinilor de serviciu</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Hotărârea Consiliului Superior al Magistraturii nr. 387/2005 pentru aprobarea Regulamentului de ordine interioară al instanţelor judecătoreşti, cu modificările şi completările ulterioare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Regulamente, ordine interne</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Număr de persoane desemnate cu repartizarea aleatorie a cauzelor/sarcinilor de serviciu</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 xml:space="preserve">Număr de nereguli apărute în sistemul de distribuire aleatorie, diferenţiat pe tipologii </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 xml:space="preserve">Număr de măsuri luate de preşedintele instanţei/conducătorul instituţiei pentru remedierea neregulilor constatate </w:t>
            </w:r>
          </w:p>
        </w:tc>
      </w:tr>
      <w:tr w:rsidR="00CD29CF" w:rsidRPr="00CD29CF" w:rsidTr="00CD29CF">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11.</w:t>
            </w:r>
          </w:p>
        </w:tc>
        <w:tc>
          <w:tcPr>
            <w:tcW w:w="0" w:type="auto"/>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Interdicţii după încheierea angajării în cadrul instituţiilor publice</w:t>
            </w:r>
          </w:p>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(Pantouflage)</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Legea nr. 161/2003 privind unele măsuri pentru asigurarea transparenţei în exercitarea demnităţilor publice, a funcţiilor publice şi în mediul de afaceri, prevenirea şi sancţionarea corupţiei,cu modificările şi completările ulterioare [art. 94 alin. (3)]</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Ordonanţa de urgenţă a Guvernului nr. 66/2011 privind prevenirea, constatarea şi sancţionarea neregulilor apărute în obţinerea şi utilizarea fondurilor europene şi/sau a fondurilor publice naţionale aferente acestora [art. 13 alin. (1)]</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regulamente interne care prevăd procedura monitorizării situaţiilor de pantouflage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instituţii în care există implementat un mecanism cu privire la monitorizarea situaţiilor de pantouflage, inclusiv prin desemnarea unor persoane cu atribuţii speciale în acest sens</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 xml:space="preserve">Număr de persoane care au desfăşurat activităţi de monitorizare şi control cu privire la societăţi comerciale şi care au ieşit din corpul funcţionarilor publici </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 xml:space="preserve">Număr de persoanelor care îşi desfăşoară activitatea/ dau consultanţă în cadrul regiilor autonome, societăţilor comerciale ori în alte unităţi cu scop lucrativ din sectorul public, în termenul de 3 ani după ieşirea din corpul funcţionarilor publici (dintre acele persoane care au interdicţie conform legii) </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 xml:space="preserve">Număr de măsuri adoptate pentru remedierea situaţiilor de pantouflage, diferenţiat pe tipuri </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 xml:space="preserve">Număr de încălcări ale prevederilor art. 13 alin (1) constatate   </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 xml:space="preserve">Număr de solicitărilor către instanţa de judecată pentru anularea contractului de </w:t>
            </w:r>
            <w:r w:rsidRPr="00CD29CF">
              <w:rPr>
                <w:rFonts w:ascii="Arial" w:eastAsia="Times New Roman" w:hAnsi="Arial" w:cs="Arial"/>
                <w:sz w:val="20"/>
                <w:szCs w:val="20"/>
                <w:lang w:val="en-US"/>
              </w:rPr>
              <w:lastRenderedPageBreak/>
              <w:t>finanţare în caz de încălcare a art. 13 alin. (1)</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sancţiunilor aplicate de către instanţe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societăţi comerciale în care îşi desfăşoară activitatea persoane care au derulat anterior activităţi de monitorizare şi control şi care intră sub incidenţa art. 13 alin.(1), diferenţiat pe domenii majore de activitate</w:t>
            </w:r>
          </w:p>
        </w:tc>
      </w:tr>
      <w:tr w:rsidR="00CD29CF" w:rsidRPr="00CD29CF" w:rsidTr="00CD29CF">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lastRenderedPageBreak/>
              <w:t>12.</w:t>
            </w:r>
          </w:p>
        </w:tc>
        <w:tc>
          <w:tcPr>
            <w:tcW w:w="0" w:type="auto"/>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Registru abateri conduită ale demnitarilor, funcţionarilor publici personalului contractual, cu atribuţii în domeniul protecţiei intereselor financiare ale UE</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Act normativ</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Numărul şi tipul normelor încălcate (structurate sub forma unui Compendiu)</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măsuri administrative adoptate pentru înlăturarea cauzelor sau circumstanţelor care au favorizat încălcarea normelor, diferenţiate pe tipuri</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u w:val="single"/>
                <w:lang w:val="en-US"/>
              </w:rPr>
              <w:t>Notă</w:t>
            </w:r>
            <w:r w:rsidRPr="00CD29CF">
              <w:rPr>
                <w:rFonts w:ascii="Arial" w:eastAsia="Times New Roman" w:hAnsi="Arial" w:cs="Arial"/>
                <w:sz w:val="20"/>
                <w:szCs w:val="20"/>
                <w:lang w:val="en-US"/>
              </w:rPr>
              <w:t>: Acest indicator va fi monitorizat după adoptarea actului normativ</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Termen</w:t>
            </w:r>
            <w:r w:rsidRPr="00CD29CF">
              <w:rPr>
                <w:rFonts w:ascii="Times New Roman" w:eastAsia="Times New Roman" w:hAnsi="Times New Roman" w:cs="Times New Roman"/>
                <w:i/>
                <w:iCs/>
                <w:sz w:val="20"/>
                <w:szCs w:val="20"/>
                <w:lang w:val="en-US"/>
              </w:rPr>
              <w:t xml:space="preserve">: </w:t>
            </w:r>
            <w:r w:rsidRPr="00CD29CF">
              <w:rPr>
                <w:rFonts w:ascii="Arial" w:eastAsia="Times New Roman" w:hAnsi="Arial" w:cs="Arial"/>
                <w:sz w:val="20"/>
                <w:szCs w:val="20"/>
                <w:lang w:val="en-US"/>
              </w:rPr>
              <w:t>semestrul I 2014</w:t>
            </w:r>
          </w:p>
        </w:tc>
      </w:tr>
      <w:tr w:rsidR="00CD29CF" w:rsidRPr="00CD29CF" w:rsidTr="00CD29CF">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13.</w:t>
            </w:r>
          </w:p>
        </w:tc>
        <w:tc>
          <w:tcPr>
            <w:tcW w:w="0" w:type="auto"/>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center"/>
              <w:rPr>
                <w:rFonts w:ascii="Arial" w:eastAsia="Times New Roman" w:hAnsi="Arial" w:cs="Arial"/>
                <w:sz w:val="20"/>
                <w:szCs w:val="20"/>
                <w:lang w:val="en-US"/>
              </w:rPr>
            </w:pPr>
            <w:r w:rsidRPr="00CD29CF">
              <w:rPr>
                <w:rFonts w:ascii="Arial" w:eastAsia="Times New Roman" w:hAnsi="Arial" w:cs="Arial"/>
                <w:sz w:val="20"/>
                <w:szCs w:val="20"/>
                <w:lang w:val="en-US"/>
              </w:rPr>
              <w:t>Cod de conduită al personalului cu atribuţii de control în domeniul protecţiei intereselor financiare ale UE</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Act normativ</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Ordine interne</w:t>
            </w:r>
          </w:p>
        </w:tc>
        <w:tc>
          <w:tcPr>
            <w:tcW w:w="0" w:type="auto"/>
            <w:gridSpan w:val="2"/>
            <w:tcBorders>
              <w:top w:val="outset" w:sz="6" w:space="0" w:color="auto"/>
              <w:left w:val="outset" w:sz="6" w:space="0" w:color="auto"/>
              <w:bottom w:val="outset" w:sz="6" w:space="0" w:color="auto"/>
              <w:right w:val="outset" w:sz="6" w:space="0" w:color="auto"/>
            </w:tcBorders>
            <w:hideMark/>
          </w:tcPr>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Times New Roman" w:eastAsia="Times New Roman" w:hAnsi="Times New Roman" w:cs="Times New Roman"/>
                <w:i/>
                <w:iCs/>
                <w:sz w:val="20"/>
                <w:szCs w:val="20"/>
                <w:lang w:val="en-US"/>
              </w:rPr>
              <w:t>Număr sesiuni de informare/ prezentare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persoane participante la acţiunile de informare/prezentare</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Numărul şi tipul normelor încălcate (structurate sub forma unui Compendiu)</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Număr de măsuri administrative legislative adoptate în vederea remedierii eventualelor lipsuri</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Vor fi avuţi în vedere şi indicatorii de la pct. 1</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u w:val="single"/>
                <w:lang w:val="en-US"/>
              </w:rPr>
              <w:lastRenderedPageBreak/>
              <w:t>Notă:</w:t>
            </w:r>
            <w:r w:rsidRPr="00CD29CF">
              <w:rPr>
                <w:rFonts w:ascii="Arial" w:eastAsia="Times New Roman" w:hAnsi="Arial" w:cs="Arial"/>
                <w:sz w:val="20"/>
                <w:szCs w:val="20"/>
                <w:lang w:val="en-US"/>
              </w:rPr>
              <w:t xml:space="preserve"> Acest indicator va fi monitorizat după adoptarea actului normativ</w:t>
            </w:r>
          </w:p>
          <w:p w:rsidR="00CD29CF" w:rsidRPr="00CD29CF" w:rsidRDefault="00CD29CF" w:rsidP="00CD29CF">
            <w:pPr>
              <w:spacing w:before="180" w:after="180" w:line="240" w:lineRule="auto"/>
              <w:jc w:val="both"/>
              <w:rPr>
                <w:rFonts w:ascii="Arial" w:eastAsia="Times New Roman" w:hAnsi="Arial" w:cs="Arial"/>
                <w:sz w:val="20"/>
                <w:szCs w:val="20"/>
                <w:lang w:val="en-US"/>
              </w:rPr>
            </w:pPr>
            <w:r w:rsidRPr="00CD29CF">
              <w:rPr>
                <w:rFonts w:ascii="Arial" w:eastAsia="Times New Roman" w:hAnsi="Arial" w:cs="Arial"/>
                <w:sz w:val="20"/>
                <w:szCs w:val="20"/>
                <w:lang w:val="en-US"/>
              </w:rPr>
              <w:t>Termen:</w:t>
            </w:r>
            <w:r w:rsidRPr="00CD29CF">
              <w:rPr>
                <w:rFonts w:ascii="Times New Roman" w:eastAsia="Times New Roman" w:hAnsi="Times New Roman" w:cs="Times New Roman"/>
                <w:i/>
                <w:iCs/>
                <w:sz w:val="20"/>
                <w:szCs w:val="20"/>
                <w:lang w:val="en-US"/>
              </w:rPr>
              <w:t xml:space="preserve"> </w:t>
            </w:r>
            <w:r w:rsidRPr="00CD29CF">
              <w:rPr>
                <w:rFonts w:ascii="Arial" w:eastAsia="Times New Roman" w:hAnsi="Arial" w:cs="Arial"/>
                <w:sz w:val="20"/>
                <w:szCs w:val="20"/>
                <w:lang w:val="en-US"/>
              </w:rPr>
              <w:t>semestrul II 2013</w:t>
            </w:r>
          </w:p>
        </w:tc>
      </w:tr>
      <w:tr w:rsidR="00CD29CF" w:rsidRPr="00CD29CF" w:rsidTr="00CD29CF">
        <w:tblPrEx>
          <w:tblBorders>
            <w:top w:val="single" w:sz="12" w:space="0" w:color="334E94"/>
            <w:left w:val="none" w:sz="0" w:space="0" w:color="auto"/>
            <w:bottom w:val="none" w:sz="0" w:space="0" w:color="auto"/>
            <w:right w:val="none" w:sz="0" w:space="0" w:color="auto"/>
          </w:tblBorders>
          <w:tblCellMar>
            <w:top w:w="0" w:type="dxa"/>
            <w:left w:w="0" w:type="dxa"/>
            <w:bottom w:w="0" w:type="dxa"/>
            <w:right w:w="0" w:type="dxa"/>
          </w:tblCellMar>
        </w:tblPrEx>
        <w:trPr>
          <w:gridBefore w:val="1"/>
          <w:gridAfter w:val="1"/>
          <w:tblCellSpacing w:w="0" w:type="dxa"/>
        </w:trPr>
        <w:tc>
          <w:tcPr>
            <w:tcW w:w="2500" w:type="pct"/>
            <w:gridSpan w:val="3"/>
            <w:hideMark/>
          </w:tcPr>
          <w:p w:rsidR="00CD29CF" w:rsidRPr="00CD29CF" w:rsidRDefault="00CD29CF" w:rsidP="00CD29CF">
            <w:pPr>
              <w:spacing w:after="0" w:line="240" w:lineRule="auto"/>
              <w:textAlignment w:val="top"/>
              <w:rPr>
                <w:rFonts w:ascii="Arial" w:eastAsia="Times New Roman" w:hAnsi="Arial" w:cs="Arial"/>
                <w:color w:val="000000"/>
                <w:sz w:val="20"/>
                <w:szCs w:val="20"/>
              </w:rPr>
            </w:pPr>
          </w:p>
        </w:tc>
        <w:tc>
          <w:tcPr>
            <w:tcW w:w="6" w:type="dxa"/>
            <w:gridSpan w:val="2"/>
            <w:hideMark/>
          </w:tcPr>
          <w:p w:rsidR="00CD29CF" w:rsidRPr="00CD29CF" w:rsidRDefault="00CD29CF" w:rsidP="00CD29CF">
            <w:pPr>
              <w:spacing w:before="300" w:after="300" w:line="240" w:lineRule="auto"/>
              <w:rPr>
                <w:rFonts w:ascii="Times New Roman" w:eastAsia="Times New Roman" w:hAnsi="Times New Roman" w:cs="Times New Roman"/>
                <w:sz w:val="20"/>
                <w:szCs w:val="20"/>
                <w:lang w:val="en-US"/>
              </w:rPr>
            </w:pPr>
          </w:p>
        </w:tc>
      </w:tr>
    </w:tbl>
    <w:p w:rsidR="00DE306F" w:rsidRDefault="00DE306F">
      <w:bookmarkStart w:id="0" w:name="_GoBack"/>
      <w:bookmarkEnd w:id="0"/>
    </w:p>
    <w:sectPr w:rsidR="00DE30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9C0"/>
    <w:rsid w:val="007309C0"/>
    <w:rsid w:val="00CD29CF"/>
    <w:rsid w:val="00DE3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A4529A-51E9-490D-AA36-B256702F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186133">
      <w:bodyDiv w:val="1"/>
      <w:marLeft w:val="0"/>
      <w:marRight w:val="0"/>
      <w:marTop w:val="0"/>
      <w:marBottom w:val="0"/>
      <w:divBdr>
        <w:top w:val="none" w:sz="0" w:space="0" w:color="auto"/>
        <w:left w:val="none" w:sz="0" w:space="0" w:color="auto"/>
        <w:bottom w:val="none" w:sz="0" w:space="0" w:color="auto"/>
        <w:right w:val="none" w:sz="0" w:space="0" w:color="auto"/>
      </w:divBdr>
      <w:divsChild>
        <w:div w:id="2022586976">
          <w:marLeft w:val="0"/>
          <w:marRight w:val="0"/>
          <w:marTop w:val="0"/>
          <w:marBottom w:val="0"/>
          <w:divBdr>
            <w:top w:val="none" w:sz="0" w:space="0" w:color="auto"/>
            <w:left w:val="none" w:sz="0" w:space="0" w:color="auto"/>
            <w:bottom w:val="none" w:sz="0" w:space="0" w:color="auto"/>
            <w:right w:val="none" w:sz="0" w:space="0" w:color="auto"/>
          </w:divBdr>
          <w:divsChild>
            <w:div w:id="179853388">
              <w:marLeft w:val="0"/>
              <w:marRight w:val="0"/>
              <w:marTop w:val="0"/>
              <w:marBottom w:val="0"/>
              <w:divBdr>
                <w:top w:val="none" w:sz="0" w:space="0" w:color="auto"/>
                <w:left w:val="none" w:sz="0" w:space="0" w:color="auto"/>
                <w:bottom w:val="none" w:sz="0" w:space="0" w:color="auto"/>
                <w:right w:val="none" w:sz="0" w:space="0" w:color="auto"/>
              </w:divBdr>
              <w:divsChild>
                <w:div w:id="261914123">
                  <w:marLeft w:val="0"/>
                  <w:marRight w:val="0"/>
                  <w:marTop w:val="0"/>
                  <w:marBottom w:val="0"/>
                  <w:divBdr>
                    <w:top w:val="none" w:sz="0" w:space="0" w:color="auto"/>
                    <w:left w:val="none" w:sz="0" w:space="0" w:color="auto"/>
                    <w:bottom w:val="none" w:sz="0" w:space="0" w:color="auto"/>
                    <w:right w:val="none" w:sz="0" w:space="0" w:color="auto"/>
                  </w:divBdr>
                  <w:divsChild>
                    <w:div w:id="394353267">
                      <w:marLeft w:val="0"/>
                      <w:marRight w:val="0"/>
                      <w:marTop w:val="0"/>
                      <w:marBottom w:val="0"/>
                      <w:divBdr>
                        <w:top w:val="none" w:sz="0" w:space="0" w:color="auto"/>
                        <w:left w:val="none" w:sz="0" w:space="0" w:color="auto"/>
                        <w:bottom w:val="none" w:sz="0" w:space="0" w:color="auto"/>
                        <w:right w:val="none" w:sz="0" w:space="0" w:color="auto"/>
                      </w:divBdr>
                      <w:divsChild>
                        <w:div w:id="495919941">
                          <w:marLeft w:val="0"/>
                          <w:marRight w:val="0"/>
                          <w:marTop w:val="0"/>
                          <w:marBottom w:val="0"/>
                          <w:divBdr>
                            <w:top w:val="none" w:sz="0" w:space="0" w:color="auto"/>
                            <w:left w:val="none" w:sz="0" w:space="0" w:color="auto"/>
                            <w:bottom w:val="none" w:sz="0" w:space="0" w:color="auto"/>
                            <w:right w:val="none" w:sz="0" w:space="0" w:color="auto"/>
                          </w:divBdr>
                          <w:divsChild>
                            <w:div w:id="2053192695">
                              <w:marLeft w:val="0"/>
                              <w:marRight w:val="0"/>
                              <w:marTop w:val="0"/>
                              <w:marBottom w:val="0"/>
                              <w:divBdr>
                                <w:top w:val="none" w:sz="0" w:space="0" w:color="auto"/>
                                <w:left w:val="none" w:sz="0" w:space="0" w:color="auto"/>
                                <w:bottom w:val="none" w:sz="0" w:space="0" w:color="auto"/>
                                <w:right w:val="none" w:sz="0" w:space="0" w:color="auto"/>
                              </w:divBdr>
                              <w:divsChild>
                                <w:div w:id="259337025">
                                  <w:marLeft w:val="0"/>
                                  <w:marRight w:val="0"/>
                                  <w:marTop w:val="0"/>
                                  <w:marBottom w:val="0"/>
                                  <w:divBdr>
                                    <w:top w:val="none" w:sz="0" w:space="0" w:color="auto"/>
                                    <w:left w:val="none" w:sz="0" w:space="0" w:color="auto"/>
                                    <w:bottom w:val="none" w:sz="0" w:space="0" w:color="auto"/>
                                    <w:right w:val="none" w:sz="0" w:space="0" w:color="auto"/>
                                  </w:divBdr>
                                  <w:divsChild>
                                    <w:div w:id="1594511036">
                                      <w:marLeft w:val="0"/>
                                      <w:marRight w:val="0"/>
                                      <w:marTop w:val="0"/>
                                      <w:marBottom w:val="0"/>
                                      <w:divBdr>
                                        <w:top w:val="none" w:sz="0" w:space="0" w:color="auto"/>
                                        <w:left w:val="none" w:sz="0" w:space="0" w:color="auto"/>
                                        <w:bottom w:val="none" w:sz="0" w:space="0" w:color="auto"/>
                                        <w:right w:val="none" w:sz="0" w:space="0" w:color="auto"/>
                                      </w:divBdr>
                                      <w:divsChild>
                                        <w:div w:id="1334337991">
                                          <w:marLeft w:val="0"/>
                                          <w:marRight w:val="0"/>
                                          <w:marTop w:val="0"/>
                                          <w:marBottom w:val="0"/>
                                          <w:divBdr>
                                            <w:top w:val="none" w:sz="0" w:space="0" w:color="auto"/>
                                            <w:left w:val="none" w:sz="0" w:space="0" w:color="auto"/>
                                            <w:bottom w:val="none" w:sz="0" w:space="0" w:color="auto"/>
                                            <w:right w:val="none" w:sz="0" w:space="0" w:color="auto"/>
                                          </w:divBdr>
                                          <w:divsChild>
                                            <w:div w:id="1368679149">
                                              <w:marLeft w:val="0"/>
                                              <w:marRight w:val="0"/>
                                              <w:marTop w:val="0"/>
                                              <w:marBottom w:val="0"/>
                                              <w:divBdr>
                                                <w:top w:val="none" w:sz="0" w:space="0" w:color="auto"/>
                                                <w:left w:val="none" w:sz="0" w:space="0" w:color="auto"/>
                                                <w:bottom w:val="none" w:sz="0" w:space="0" w:color="auto"/>
                                                <w:right w:val="none" w:sz="0" w:space="0" w:color="auto"/>
                                              </w:divBdr>
                                              <w:divsChild>
                                                <w:div w:id="1230648936">
                                                  <w:marLeft w:val="0"/>
                                                  <w:marRight w:val="0"/>
                                                  <w:marTop w:val="0"/>
                                                  <w:marBottom w:val="0"/>
                                                  <w:divBdr>
                                                    <w:top w:val="none" w:sz="0" w:space="0" w:color="auto"/>
                                                    <w:left w:val="none" w:sz="0" w:space="0" w:color="auto"/>
                                                    <w:bottom w:val="none" w:sz="0" w:space="0" w:color="auto"/>
                                                    <w:right w:val="none" w:sz="0" w:space="0" w:color="auto"/>
                                                  </w:divBdr>
                                                  <w:divsChild>
                                                    <w:div w:id="1132359506">
                                                      <w:marLeft w:val="0"/>
                                                      <w:marRight w:val="0"/>
                                                      <w:marTop w:val="0"/>
                                                      <w:marBottom w:val="0"/>
                                                      <w:divBdr>
                                                        <w:top w:val="none" w:sz="0" w:space="0" w:color="auto"/>
                                                        <w:left w:val="none" w:sz="0" w:space="0" w:color="auto"/>
                                                        <w:bottom w:val="none" w:sz="0" w:space="0" w:color="auto"/>
                                                        <w:right w:val="none" w:sz="0" w:space="0" w:color="auto"/>
                                                      </w:divBdr>
                                                      <w:divsChild>
                                                        <w:div w:id="1244795930">
                                                          <w:marLeft w:val="0"/>
                                                          <w:marRight w:val="0"/>
                                                          <w:marTop w:val="0"/>
                                                          <w:marBottom w:val="0"/>
                                                          <w:divBdr>
                                                            <w:top w:val="none" w:sz="0" w:space="0" w:color="auto"/>
                                                            <w:left w:val="none" w:sz="0" w:space="0" w:color="auto"/>
                                                            <w:bottom w:val="none" w:sz="0" w:space="0" w:color="auto"/>
                                                            <w:right w:val="none" w:sz="0" w:space="0" w:color="auto"/>
                                                          </w:divBdr>
                                                          <w:divsChild>
                                                            <w:div w:id="1235817692">
                                                              <w:marLeft w:val="0"/>
                                                              <w:marRight w:val="0"/>
                                                              <w:marTop w:val="0"/>
                                                              <w:marBottom w:val="0"/>
                                                              <w:divBdr>
                                                                <w:top w:val="none" w:sz="0" w:space="0" w:color="auto"/>
                                                                <w:left w:val="none" w:sz="0" w:space="0" w:color="auto"/>
                                                                <w:bottom w:val="none" w:sz="0" w:space="0" w:color="auto"/>
                                                                <w:right w:val="none" w:sz="0" w:space="0" w:color="auto"/>
                                                              </w:divBdr>
                                                              <w:divsChild>
                                                                <w:div w:id="914315869">
                                                                  <w:marLeft w:val="0"/>
                                                                  <w:marRight w:val="0"/>
                                                                  <w:marTop w:val="0"/>
                                                                  <w:marBottom w:val="0"/>
                                                                  <w:divBdr>
                                                                    <w:top w:val="none" w:sz="0" w:space="0" w:color="auto"/>
                                                                    <w:left w:val="none" w:sz="0" w:space="0" w:color="auto"/>
                                                                    <w:bottom w:val="none" w:sz="0" w:space="0" w:color="auto"/>
                                                                    <w:right w:val="none" w:sz="0" w:space="0" w:color="auto"/>
                                                                  </w:divBdr>
                                                                  <w:divsChild>
                                                                    <w:div w:id="7078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2071</Words>
  <Characters>11805</Characters>
  <Application>Microsoft Office Word</Application>
  <DocSecurity>0</DocSecurity>
  <Lines>98</Lines>
  <Paragraphs>27</Paragraphs>
  <ScaleCrop>false</ScaleCrop>
  <Company>Hewlett-Packard Company</Company>
  <LinksUpToDate>false</LinksUpToDate>
  <CharactersWithSpaces>13849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BARBULESCU</dc:creator>
  <cp:keywords/>
  <dc:description/>
  <cp:lastModifiedBy>Alina, BARBULESCU</cp:lastModifiedBy>
  <cp:revision>2</cp:revision>
  <dcterms:created xsi:type="dcterms:W3CDTF">2016-02-15T09:47:00Z</dcterms:created>
  <dcterms:modified xsi:type="dcterms:W3CDTF">2016-02-15T09:47:00Z</dcterms:modified>
</cp:coreProperties>
</file>