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42259F" w14:textId="63FD850C" w:rsidR="0098410D" w:rsidRPr="00551BDB" w:rsidRDefault="00551BDB" w:rsidP="0014696F">
      <w:pPr>
        <w:jc w:val="center"/>
        <w:rPr>
          <w:rFonts w:asciiTheme="majorHAnsi" w:hAnsiTheme="majorHAnsi"/>
          <w:sz w:val="28"/>
        </w:rPr>
      </w:pPr>
      <w:r>
        <w:rPr>
          <w:rFonts w:asciiTheme="majorHAnsi" w:hAnsiTheme="majorHAnsi"/>
          <w:sz w:val="28"/>
        </w:rPr>
        <w:t>CURTEA EUROPEANĂ A DREPTURILOR OMULUI</w:t>
      </w:r>
    </w:p>
    <w:p w14:paraId="55A9F7DD" w14:textId="42C62629" w:rsidR="0098410D" w:rsidRPr="0014696F" w:rsidRDefault="00E50E59" w:rsidP="0014696F">
      <w:pPr>
        <w:pStyle w:val="DecHTitle"/>
      </w:pPr>
      <w:r>
        <w:t>SECȚIA A TREIA</w:t>
      </w:r>
    </w:p>
    <w:p w14:paraId="7496AE7A" w14:textId="568D0123" w:rsidR="008E6217" w:rsidRPr="0014696F" w:rsidRDefault="008E6217" w:rsidP="0014696F">
      <w:pPr>
        <w:pStyle w:val="JuTitle"/>
      </w:pPr>
      <w:bookmarkStart w:id="0" w:name="To"/>
      <w:r>
        <w:rPr>
          <w:color w:val="000000" w:themeColor="text1"/>
        </w:rPr>
        <w:t xml:space="preserve">CAUZA </w:t>
      </w:r>
      <w:bookmarkEnd w:id="0"/>
      <w:r>
        <w:t>BASU ÎMPOTRIVA GERMANIEI</w:t>
      </w:r>
    </w:p>
    <w:p w14:paraId="53B06C50" w14:textId="7ACCD5D7" w:rsidR="00D74888" w:rsidRPr="0014696F" w:rsidRDefault="008E6217" w:rsidP="0014696F">
      <w:pPr>
        <w:pStyle w:val="ECHRCoverTitle4"/>
      </w:pPr>
      <w:r>
        <w:t>(Cererea nr. 215/19)</w:t>
      </w:r>
    </w:p>
    <w:p w14:paraId="32382BC7" w14:textId="77777777" w:rsidR="0098410D" w:rsidRPr="0014696F" w:rsidRDefault="0098410D" w:rsidP="0014696F">
      <w:pPr>
        <w:pStyle w:val="DecHCase"/>
      </w:pPr>
    </w:p>
    <w:p w14:paraId="2FF44EA8" w14:textId="77777777" w:rsidR="0098410D" w:rsidRPr="0014696F" w:rsidRDefault="0098410D" w:rsidP="0014696F">
      <w:pPr>
        <w:pStyle w:val="DecHCase"/>
      </w:pPr>
    </w:p>
    <w:p w14:paraId="40ADFCCB" w14:textId="627670D2" w:rsidR="0098410D" w:rsidRPr="0014696F" w:rsidRDefault="0098410D" w:rsidP="0014696F">
      <w:pPr>
        <w:pStyle w:val="DecHCase"/>
      </w:pPr>
      <w:r>
        <w:t>HOTĂRÂRE</w:t>
      </w:r>
      <w:r>
        <w:br/>
      </w:r>
    </w:p>
    <w:p w14:paraId="74D32198" w14:textId="2E626326" w:rsidR="0014696F" w:rsidRPr="0014696F" w:rsidRDefault="0014696F" w:rsidP="0014696F">
      <w:pPr>
        <w:pStyle w:val="JuPara"/>
        <w:pBdr>
          <w:top w:val="single" w:sz="4" w:space="1" w:color="auto"/>
          <w:left w:val="single" w:sz="4" w:space="4" w:color="auto"/>
          <w:bottom w:val="single" w:sz="4" w:space="1" w:color="auto"/>
          <w:right w:val="single" w:sz="4" w:space="4" w:color="auto"/>
        </w:pBdr>
        <w:ind w:firstLine="0"/>
      </w:pPr>
      <w:r>
        <w:t>Art. 14 (+ art. 8) • Discriminare • Viață privată • Lipsa unei anchete independente efective privind acuzațiile întemeiate de profilare rasială de către poliție în timpul efectuării unui control de identitate într-un tren • Atingerea pragului de gravitate necesar pentru ca acest control să intre în sfera de aplicare a art. 8 • Obligația de a desfășura o anchetă pentru a proteja împotriva stigmatizării persoanele în cauză și pentru a preveni răspândirea atitudinilor xenofobe</w:t>
      </w:r>
    </w:p>
    <w:p w14:paraId="7F385002" w14:textId="28D82551" w:rsidR="0014696F" w:rsidRPr="0014696F" w:rsidRDefault="0014696F" w:rsidP="006C07F0">
      <w:pPr>
        <w:pStyle w:val="JuPara"/>
        <w:spacing w:after="120"/>
      </w:pPr>
    </w:p>
    <w:p w14:paraId="6DC7DDCC" w14:textId="77777777" w:rsidR="0098410D" w:rsidRPr="0014696F" w:rsidRDefault="0098410D" w:rsidP="0014696F">
      <w:pPr>
        <w:pStyle w:val="DecHCase"/>
      </w:pPr>
      <w:r>
        <w:t>STRASBOURG</w:t>
      </w:r>
    </w:p>
    <w:p w14:paraId="2794C416" w14:textId="5A6D9818" w:rsidR="0098410D" w:rsidRPr="0014696F" w:rsidRDefault="00E50E59" w:rsidP="0014696F">
      <w:pPr>
        <w:pStyle w:val="DecHCase"/>
      </w:pPr>
      <w:r>
        <w:rPr>
          <w:rFonts w:ascii="Times New Roman" w:hAnsi="Times New Roman"/>
        </w:rPr>
        <w:t>18 octombrie 2022</w:t>
      </w:r>
    </w:p>
    <w:p w14:paraId="113345E7" w14:textId="21EC65EC" w:rsidR="00AC4CD4" w:rsidRPr="0014696F" w:rsidRDefault="00AC4CD4" w:rsidP="0014696F">
      <w:pPr>
        <w:pStyle w:val="JuPara"/>
      </w:pPr>
    </w:p>
    <w:p w14:paraId="3823D349" w14:textId="77777777" w:rsidR="006C07F0" w:rsidRDefault="006C07F0" w:rsidP="006C07F0">
      <w:pPr>
        <w:pStyle w:val="jucase0"/>
        <w:ind w:firstLine="0"/>
        <w:jc w:val="center"/>
        <w:rPr>
          <w:color w:val="FF0000"/>
          <w:sz w:val="28"/>
          <w:szCs w:val="28"/>
          <w:u w:val="single"/>
        </w:rPr>
      </w:pPr>
      <w:bookmarkStart w:id="1" w:name="_Hlk59706592"/>
      <w:bookmarkStart w:id="2" w:name="_Hlk59704667"/>
      <w:r>
        <w:rPr>
          <w:color w:val="FF0000"/>
          <w:sz w:val="28"/>
          <w:u w:val="single"/>
        </w:rPr>
        <w:t>DEFINITIVĂ</w:t>
      </w:r>
    </w:p>
    <w:p w14:paraId="516D6D29" w14:textId="77777777" w:rsidR="006C07F0" w:rsidRPr="00D04090" w:rsidRDefault="006C07F0" w:rsidP="006C07F0">
      <w:pPr>
        <w:pStyle w:val="jucase0"/>
        <w:ind w:firstLine="0"/>
        <w:jc w:val="center"/>
        <w:rPr>
          <w:b w:val="0"/>
          <w:bCs w:val="0"/>
          <w:color w:val="FF0000"/>
          <w:u w:val="single"/>
        </w:rPr>
      </w:pPr>
    </w:p>
    <w:p w14:paraId="6E01AF55" w14:textId="77777777" w:rsidR="006C07F0" w:rsidRPr="00E974D6" w:rsidRDefault="006C07F0" w:rsidP="006C07F0">
      <w:pPr>
        <w:pStyle w:val="jucase0"/>
        <w:ind w:firstLine="0"/>
        <w:jc w:val="center"/>
        <w:rPr>
          <w:b w:val="0"/>
          <w:color w:val="FF0000"/>
          <w:sz w:val="28"/>
          <w:szCs w:val="28"/>
        </w:rPr>
      </w:pPr>
      <w:r>
        <w:rPr>
          <w:b w:val="0"/>
          <w:color w:val="FF0000"/>
          <w:sz w:val="28"/>
        </w:rPr>
        <w:t>18 ianuarie 2023</w:t>
      </w:r>
    </w:p>
    <w:p w14:paraId="51B0503B" w14:textId="77777777" w:rsidR="006C07F0" w:rsidRPr="00261F46" w:rsidRDefault="006C07F0" w:rsidP="006C07F0">
      <w:pPr>
        <w:pStyle w:val="jupara0"/>
        <w:spacing w:after="120"/>
        <w:ind w:firstLine="0"/>
        <w:jc w:val="center"/>
      </w:pPr>
    </w:p>
    <w:p w14:paraId="2EBF0AA0" w14:textId="1B3738FC" w:rsidR="0098410D" w:rsidRPr="0014696F" w:rsidRDefault="006C07F0" w:rsidP="00A62EF3">
      <w:pPr>
        <w:jc w:val="both"/>
      </w:pPr>
      <w:r>
        <w:rPr>
          <w:i/>
          <w:sz w:val="22"/>
        </w:rPr>
        <w:t>Hotărârea a rămas definitivă în condițiile prevăzute la art. 44 § 2 din Convenție. Poate suferi modificări de formă.</w:t>
      </w:r>
      <w:bookmarkEnd w:id="1"/>
      <w:bookmarkEnd w:id="2"/>
    </w:p>
    <w:p w14:paraId="5A394F32" w14:textId="3681DB18" w:rsidR="0014696F" w:rsidRPr="0014696F" w:rsidRDefault="0014696F" w:rsidP="0014696F">
      <w:pPr>
        <w:sectPr w:rsidR="0014696F" w:rsidRPr="0014696F" w:rsidSect="00D66471">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6" w:h="16838" w:code="9"/>
          <w:pgMar w:top="2274" w:right="2274" w:bottom="2274" w:left="2274" w:header="1701" w:footer="720" w:gutter="0"/>
          <w:pgNumType w:start="1"/>
          <w:cols w:space="720"/>
          <w:noEndnote/>
          <w:titlePg/>
        </w:sectPr>
      </w:pPr>
    </w:p>
    <w:p w14:paraId="63A00EE6" w14:textId="565E8446" w:rsidR="0098410D" w:rsidRPr="0014696F" w:rsidRDefault="0098410D" w:rsidP="0014696F">
      <w:pPr>
        <w:pStyle w:val="JuCase"/>
      </w:pPr>
      <w:r>
        <w:lastRenderedPageBreak/>
        <w:t xml:space="preserve">În cauza </w:t>
      </w:r>
      <w:proofErr w:type="spellStart"/>
      <w:r>
        <w:t>Basu</w:t>
      </w:r>
      <w:proofErr w:type="spellEnd"/>
      <w:r>
        <w:t xml:space="preserve"> împotriva Germaniei,</w:t>
      </w:r>
    </w:p>
    <w:p w14:paraId="0E687050" w14:textId="6DC3A2A7" w:rsidR="009F4C8F" w:rsidRPr="0014696F" w:rsidRDefault="009F4C8F" w:rsidP="0014696F">
      <w:pPr>
        <w:pStyle w:val="JuPara"/>
      </w:pPr>
      <w:r>
        <w:t>Curtea Europeană a Drepturilor Omului (Secția a treia), reunită într-o cameră compusă din:</w:t>
      </w:r>
    </w:p>
    <w:p w14:paraId="6DED1D76" w14:textId="67037E9A" w:rsidR="00975E97" w:rsidRPr="0014696F" w:rsidRDefault="00587490" w:rsidP="0014696F">
      <w:pPr>
        <w:pStyle w:val="JuJudges"/>
      </w:pPr>
      <w:r>
        <w:tab/>
        <w:t xml:space="preserve">Georges </w:t>
      </w:r>
      <w:proofErr w:type="spellStart"/>
      <w:r>
        <w:t>Ravarani</w:t>
      </w:r>
      <w:proofErr w:type="spellEnd"/>
      <w:r>
        <w:t>,</w:t>
      </w:r>
      <w:r>
        <w:rPr>
          <w:i/>
        </w:rPr>
        <w:t xml:space="preserve"> președinte,</w:t>
      </w:r>
      <w:r>
        <w:rPr>
          <w:i/>
        </w:rPr>
        <w:br/>
      </w:r>
      <w:r>
        <w:tab/>
        <w:t xml:space="preserve">Georgios A. </w:t>
      </w:r>
      <w:proofErr w:type="spellStart"/>
      <w:r>
        <w:t>Serghides</w:t>
      </w:r>
      <w:proofErr w:type="spellEnd"/>
      <w:r>
        <w:t>,</w:t>
      </w:r>
      <w:r>
        <w:rPr>
          <w:i/>
        </w:rPr>
        <w:br/>
      </w:r>
      <w:r>
        <w:tab/>
      </w:r>
      <w:proofErr w:type="spellStart"/>
      <w:r>
        <w:t>María</w:t>
      </w:r>
      <w:proofErr w:type="spellEnd"/>
      <w:r>
        <w:t xml:space="preserve"> </w:t>
      </w:r>
      <w:proofErr w:type="spellStart"/>
      <w:r>
        <w:t>Elósegui</w:t>
      </w:r>
      <w:proofErr w:type="spellEnd"/>
      <w:r>
        <w:t>,</w:t>
      </w:r>
    </w:p>
    <w:p w14:paraId="3C90391E" w14:textId="77777777" w:rsidR="00975E97" w:rsidRPr="0014696F" w:rsidRDefault="00975E97" w:rsidP="0014696F">
      <w:pPr>
        <w:pStyle w:val="JuJudges"/>
        <w:rPr>
          <w:i/>
        </w:rPr>
      </w:pPr>
      <w:r>
        <w:tab/>
      </w:r>
      <w:proofErr w:type="spellStart"/>
      <w:r>
        <w:t>Darian</w:t>
      </w:r>
      <w:proofErr w:type="spellEnd"/>
      <w:r>
        <w:t xml:space="preserve"> </w:t>
      </w:r>
      <w:proofErr w:type="spellStart"/>
      <w:r>
        <w:t>Pavli</w:t>
      </w:r>
      <w:proofErr w:type="spellEnd"/>
      <w:r>
        <w:t>,</w:t>
      </w:r>
    </w:p>
    <w:p w14:paraId="03EC1A7B" w14:textId="77777777" w:rsidR="00975E97" w:rsidRPr="0014696F" w:rsidRDefault="00975E97" w:rsidP="0014696F">
      <w:pPr>
        <w:pStyle w:val="JuJudges"/>
        <w:rPr>
          <w:i/>
        </w:rPr>
      </w:pPr>
      <w:r>
        <w:rPr>
          <w:i/>
        </w:rPr>
        <w:tab/>
      </w:r>
      <w:proofErr w:type="spellStart"/>
      <w:r>
        <w:t>Anja</w:t>
      </w:r>
      <w:proofErr w:type="spellEnd"/>
      <w:r>
        <w:t xml:space="preserve"> </w:t>
      </w:r>
      <w:proofErr w:type="spellStart"/>
      <w:r>
        <w:t>Seibert-Fohr</w:t>
      </w:r>
      <w:proofErr w:type="spellEnd"/>
      <w:r>
        <w:rPr>
          <w:i/>
        </w:rPr>
        <w:t>,</w:t>
      </w:r>
    </w:p>
    <w:p w14:paraId="13C0875A" w14:textId="77777777" w:rsidR="00975E97" w:rsidRPr="0014696F" w:rsidRDefault="00975E97" w:rsidP="0014696F">
      <w:pPr>
        <w:pStyle w:val="JuJudges"/>
        <w:rPr>
          <w:i/>
        </w:rPr>
      </w:pPr>
      <w:r>
        <w:rPr>
          <w:i/>
        </w:rPr>
        <w:tab/>
      </w:r>
      <w:r>
        <w:t>Andreas Zünd</w:t>
      </w:r>
      <w:r>
        <w:rPr>
          <w:i/>
        </w:rPr>
        <w:t>,</w:t>
      </w:r>
    </w:p>
    <w:p w14:paraId="5C1530AE" w14:textId="77777777" w:rsidR="00975E97" w:rsidRPr="0014696F" w:rsidRDefault="00975E97" w:rsidP="0014696F">
      <w:pPr>
        <w:pStyle w:val="JuJudges"/>
        <w:rPr>
          <w:i/>
        </w:rPr>
      </w:pPr>
      <w:r>
        <w:tab/>
        <w:t xml:space="preserve">Frédéric </w:t>
      </w:r>
      <w:proofErr w:type="spellStart"/>
      <w:r>
        <w:t>Krenc</w:t>
      </w:r>
      <w:proofErr w:type="spellEnd"/>
      <w:r>
        <w:rPr>
          <w:i/>
        </w:rPr>
        <w:t>, judecători,</w:t>
      </w:r>
    </w:p>
    <w:p w14:paraId="57A96FF9" w14:textId="3CD74F80" w:rsidR="009F4C8F" w:rsidRPr="0014696F" w:rsidRDefault="009F4C8F" w:rsidP="0014696F">
      <w:pPr>
        <w:pStyle w:val="JuJudges"/>
      </w:pPr>
      <w:r>
        <w:t xml:space="preserve">și Milan </w:t>
      </w:r>
      <w:proofErr w:type="spellStart"/>
      <w:r>
        <w:t>Blaško</w:t>
      </w:r>
      <w:proofErr w:type="spellEnd"/>
      <w:r>
        <w:t xml:space="preserve">, </w:t>
      </w:r>
      <w:r>
        <w:rPr>
          <w:i/>
        </w:rPr>
        <w:t>grefier de secție,</w:t>
      </w:r>
    </w:p>
    <w:p w14:paraId="1A39852B" w14:textId="77777777" w:rsidR="00E50E59" w:rsidRPr="0014696F" w:rsidRDefault="00E50E59" w:rsidP="0014696F">
      <w:pPr>
        <w:pStyle w:val="JuPara"/>
      </w:pPr>
      <w:r>
        <w:t>Având în vedere:</w:t>
      </w:r>
    </w:p>
    <w:p w14:paraId="2BB670B4" w14:textId="77777777" w:rsidR="00E50E59" w:rsidRPr="0014696F" w:rsidRDefault="00E50E59" w:rsidP="0014696F">
      <w:pPr>
        <w:pStyle w:val="JuPara"/>
      </w:pPr>
      <w:r>
        <w:t xml:space="preserve">cererea (nr. 215/19) îndreptată împotriva Republicii Federale Germania, prin care un resortisant al acestui stat, domnul </w:t>
      </w:r>
      <w:proofErr w:type="spellStart"/>
      <w:r>
        <w:t>Biplab</w:t>
      </w:r>
      <w:proofErr w:type="spellEnd"/>
      <w:r>
        <w:t xml:space="preserve"> </w:t>
      </w:r>
      <w:proofErr w:type="spellStart"/>
      <w:r>
        <w:t>Basu</w:t>
      </w:r>
      <w:proofErr w:type="spellEnd"/>
      <w:r>
        <w:t xml:space="preserve"> („reclamantul”), a sesizat Curtea la 19 decembrie 2018, în temeiul art. 34 din Convenția pentru apărarea drepturilor omului și a libertăților fundamentale („Convenția”);</w:t>
      </w:r>
    </w:p>
    <w:p w14:paraId="110E7812" w14:textId="77777777" w:rsidR="00E50E59" w:rsidRPr="0014696F" w:rsidRDefault="00E50E59" w:rsidP="0014696F">
      <w:pPr>
        <w:pStyle w:val="JuPara"/>
      </w:pPr>
      <w:r>
        <w:t>decizia de a comunica cererea Guvernului Germaniei („Guvernul”);</w:t>
      </w:r>
    </w:p>
    <w:p w14:paraId="7320F35F" w14:textId="0DED8B0B" w:rsidR="00E50E59" w:rsidRPr="0014696F" w:rsidRDefault="00E50E59" w:rsidP="0014696F">
      <w:pPr>
        <w:pStyle w:val="JuPara"/>
      </w:pPr>
      <w:r>
        <w:t>observațiile părților;</w:t>
      </w:r>
    </w:p>
    <w:p w14:paraId="5225837D" w14:textId="4CCFE3EE" w:rsidR="009F4C8F" w:rsidRPr="0014696F" w:rsidRDefault="009F4C8F" w:rsidP="0014696F">
      <w:pPr>
        <w:pStyle w:val="JuPara"/>
      </w:pPr>
      <w:r>
        <w:t>După ce a deliberat în camera de consiliu, la 20 septembrie 2022,</w:t>
      </w:r>
    </w:p>
    <w:p w14:paraId="0432358B" w14:textId="77777777" w:rsidR="009F4C8F" w:rsidRPr="0014696F" w:rsidRDefault="009F4C8F" w:rsidP="0014696F">
      <w:pPr>
        <w:pStyle w:val="JuPara"/>
      </w:pPr>
      <w:r>
        <w:t>Pronunță prezenta hotărâre, adoptată la aceeași dată:</w:t>
      </w:r>
    </w:p>
    <w:p w14:paraId="153CD4E3" w14:textId="77777777" w:rsidR="00E50E59" w:rsidRPr="0014696F" w:rsidRDefault="00E50E59" w:rsidP="0014696F">
      <w:pPr>
        <w:pStyle w:val="JuHHead"/>
        <w:numPr>
          <w:ilvl w:val="0"/>
          <w:numId w:val="0"/>
        </w:numPr>
      </w:pPr>
      <w:r>
        <w:t>INTRODUCERE</w:t>
      </w:r>
    </w:p>
    <w:p w14:paraId="59BFD591" w14:textId="5A2E1A93" w:rsidR="00E50E59" w:rsidRPr="0014696F" w:rsidRDefault="006709AE" w:rsidP="0014696F">
      <w:pPr>
        <w:pStyle w:val="JuPara"/>
      </w:pPr>
      <w:fldSimple w:instr=" SEQ level0 \*arabic \r1 ">
        <w:r w:rsidR="0014696F" w:rsidRPr="0014696F">
          <w:t>1</w:t>
        </w:r>
      </w:fldSimple>
      <w:r w:rsidR="00E50E59">
        <w:t>.  Cererea are ca obiect controlul identit</w:t>
      </w:r>
      <w:bookmarkStart w:id="3" w:name="_GoBack"/>
      <w:bookmarkEnd w:id="3"/>
      <w:r w:rsidR="00E50E59">
        <w:t xml:space="preserve">ății reclamantului </w:t>
      </w:r>
      <w:r w:rsidR="00A62EF3">
        <w:t xml:space="preserve">realizat </w:t>
      </w:r>
      <w:r w:rsidR="00E50E59">
        <w:t>de poliție într-un tren. Reclamantul a susținut că a fost supus controlului de identitate din cauza pielii sale închise la culoare și, prin urmare, în mod discriminatoriu și că autoritățile nu au efectuat o anchetă suficientă cu privire la susținerile sale de profilare rasială. Cauza ridică o problemă în temeiul art. 14 coroborat cu art. 8 și în temeiul art. 13 din Convenție.</w:t>
      </w:r>
    </w:p>
    <w:p w14:paraId="2F70F1FF" w14:textId="77777777" w:rsidR="00E50E59" w:rsidRPr="0014696F" w:rsidRDefault="00E50E59" w:rsidP="0014696F">
      <w:pPr>
        <w:pStyle w:val="JuHHead"/>
      </w:pPr>
      <w:r>
        <w:t>ÎN FAPT</w:t>
      </w:r>
    </w:p>
    <w:p w14:paraId="1B0080B5" w14:textId="41B99AA5" w:rsidR="00E50E59" w:rsidRPr="0014696F" w:rsidRDefault="006709AE" w:rsidP="0014696F">
      <w:pPr>
        <w:pStyle w:val="JuPara"/>
      </w:pPr>
      <w:fldSimple w:instr=" SEQ level0 \*arabic ">
        <w:r w:rsidR="0014696F" w:rsidRPr="0014696F">
          <w:t>2</w:t>
        </w:r>
      </w:fldSimple>
      <w:r w:rsidR="00E50E59">
        <w:t xml:space="preserve">.  Reclamantul s-a născut în 1955 și locuiește în Berlin. A fost reprezentat de doamna M.J. </w:t>
      </w:r>
      <w:proofErr w:type="spellStart"/>
      <w:r w:rsidR="00E50E59">
        <w:t>Burkhardt</w:t>
      </w:r>
      <w:proofErr w:type="spellEnd"/>
      <w:r w:rsidR="00E50E59">
        <w:t>, avocat în Berlin.</w:t>
      </w:r>
    </w:p>
    <w:p w14:paraId="7D5654A6" w14:textId="2D8A93A4" w:rsidR="00E50E59" w:rsidRPr="0014696F" w:rsidRDefault="006709AE" w:rsidP="0014696F">
      <w:pPr>
        <w:pStyle w:val="JuPara"/>
      </w:pPr>
      <w:fldSimple w:instr=" SEQ level0 \*arabic ">
        <w:r w:rsidR="0014696F" w:rsidRPr="0014696F">
          <w:t>3</w:t>
        </w:r>
      </w:fldSimple>
      <w:r w:rsidR="00E50E59">
        <w:t>.  Guvernul a fost reprezentat de unul dintre agenții săi, domnul H.</w:t>
      </w:r>
      <w:r w:rsidR="00E50E59">
        <w:noBreakHyphen/>
        <w:t>J. Behrens, din cadrul Ministerului Federal al Justiției și Protecției Consumatorilor.</w:t>
      </w:r>
    </w:p>
    <w:p w14:paraId="73FA6DA5" w14:textId="08D1A8A9" w:rsidR="00E50E59" w:rsidRPr="0014696F" w:rsidRDefault="006709AE" w:rsidP="0014696F">
      <w:pPr>
        <w:pStyle w:val="JuPara"/>
      </w:pPr>
      <w:fldSimple w:instr=" SEQ level0 \*arabic ">
        <w:r w:rsidR="0014696F" w:rsidRPr="0014696F">
          <w:t>4</w:t>
        </w:r>
      </w:fldSimple>
      <w:r w:rsidR="00E50E59">
        <w:t>.  Faptele cauzei, astfel cum au fost expuse de părți, pot fi rezumate după cum urmează.</w:t>
      </w:r>
    </w:p>
    <w:p w14:paraId="694D5132" w14:textId="0355A163" w:rsidR="00E50E59" w:rsidRPr="0014696F" w:rsidRDefault="006709AE" w:rsidP="0014696F">
      <w:pPr>
        <w:pStyle w:val="JuPara"/>
      </w:pPr>
      <w:fldSimple w:instr=" SEQ level0 \*arabic \* MERGEFORMAT ">
        <w:r w:rsidR="0014696F" w:rsidRPr="0014696F">
          <w:t>5</w:t>
        </w:r>
      </w:fldSimple>
      <w:r w:rsidR="00551BDB">
        <w:t>.  La 26 iulie 2012, doi ofițeri de poliție au efectuat un control al identității reclamantului, resortisant german de origine indiană, și a fiicei sale, într-un tren care tocmai trecuse frontiera din Republica Cehă în Germania.</w:t>
      </w:r>
    </w:p>
    <w:p w14:paraId="5630C78D" w14:textId="62B455DF" w:rsidR="00E50E59" w:rsidRPr="0014696F" w:rsidRDefault="006709AE" w:rsidP="0014696F">
      <w:pPr>
        <w:pStyle w:val="JuPara"/>
      </w:pPr>
      <w:fldSimple w:instr=" SEQ level0 \*arabic ">
        <w:r w:rsidR="0014696F" w:rsidRPr="0014696F">
          <w:t>6</w:t>
        </w:r>
      </w:fldSimple>
      <w:r w:rsidR="00E50E59">
        <w:t xml:space="preserve">.  La 19 iulie 2013, reclamantul a introdus o acțiune în fața Tribunalului Administrativ din Dresda pentru a reclama nelegalitatea controlului </w:t>
      </w:r>
      <w:r w:rsidR="00E50E59">
        <w:lastRenderedPageBreak/>
        <w:t>identității. Acesta a susținut că secțiunea 23 (1)(3) din Legea privind poliția federală (</w:t>
      </w:r>
      <w:proofErr w:type="spellStart"/>
      <w:r w:rsidR="00E50E59">
        <w:rPr>
          <w:i/>
          <w:iCs/>
        </w:rPr>
        <w:t>Bundespolizeigesetz</w:t>
      </w:r>
      <w:proofErr w:type="spellEnd"/>
      <w:r w:rsidR="00E50E59">
        <w:t xml:space="preserve">; infra, pct. </w:t>
      </w:r>
      <w:r w:rsidR="00E50E59" w:rsidRPr="0014696F">
        <w:fldChar w:fldCharType="begin"/>
      </w:r>
      <w:r w:rsidR="00E50E59" w:rsidRPr="0014696F">
        <w:instrText xml:space="preserve"> REF paragraph00010 \h  \* CharFormat </w:instrText>
      </w:r>
      <w:r w:rsidR="00E50E59" w:rsidRPr="0014696F">
        <w:fldChar w:fldCharType="separate"/>
      </w:r>
      <w:r w:rsidR="0014696F" w:rsidRPr="0014696F">
        <w:t>10</w:t>
      </w:r>
      <w:r w:rsidR="00E50E59" w:rsidRPr="0014696F">
        <w:fldChar w:fldCharType="end"/>
      </w:r>
      <w:r w:rsidR="00E50E59">
        <w:t>) nu constituie un temei juridic valid pentru ingerința în exercitarea dreptului său la autodeterminare informațională, întrucât nu a existat un motiv valid pentru a fi supus controlului identității. Dintre persoanele prezente în diferite compartimente ale vagonului de tren, cei doi ofițeri de poliție au verificat doar actele de identitate ale reclamantului și pe cele ale fiicei sale. Atunci când acesta a întrebat despre motivele controlului identității, unul dintre polițiști i-a explicat că efectuau un control aleatoriu. Ulterior, polițistul a adăugat că în acel tren se făcea frecvent contrabandă cu țigări, dar a confirmat că nu exista nicio suspiciune specifică cu privire la reclamant în această privință. Reclamantul a susținut însă că el și fiica sa fuseseră controlați pentru că erau singurele persoane cu pielea închisă la culoare, iar acest fapt a fost discriminatoriu. Statul pârât a considerat că</w:t>
      </w:r>
      <w:r w:rsidR="00A62EF3">
        <w:t>,</w:t>
      </w:r>
      <w:r w:rsidR="00E50E59">
        <w:t xml:space="preserve"> în temeiul secțiunii 23 (1)(3) din Legea privind </w:t>
      </w:r>
      <w:r w:rsidR="00A62EF3">
        <w:t>p</w:t>
      </w:r>
      <w:r w:rsidR="00E50E59">
        <w:t>oliția federală</w:t>
      </w:r>
      <w:r w:rsidR="00A62EF3">
        <w:t xml:space="preserve">, controlul identității </w:t>
      </w:r>
      <w:r w:rsidR="002A20E0">
        <w:t>a fost</w:t>
      </w:r>
      <w:r w:rsidR="00A62EF3">
        <w:t xml:space="preserve"> legal</w:t>
      </w:r>
      <w:r w:rsidR="00E50E59">
        <w:t xml:space="preserve"> și a argumentat că reclamantul și fiica sa nu au fost singurele persoane din tren a căror identitate a fost controlată de poliție.</w:t>
      </w:r>
    </w:p>
    <w:p w14:paraId="286444A4" w14:textId="43DBB40C" w:rsidR="00E50E59" w:rsidRPr="0014696F" w:rsidRDefault="006709AE" w:rsidP="0014696F">
      <w:pPr>
        <w:pStyle w:val="JuPara"/>
        <w:rPr>
          <w:strike/>
        </w:rPr>
      </w:pPr>
      <w:fldSimple w:instr=" SEQ level0 \*arabic ">
        <w:bookmarkStart w:id="4" w:name="paragraph00007"/>
        <w:r w:rsidR="0014696F" w:rsidRPr="0014696F">
          <w:t>7</w:t>
        </w:r>
        <w:bookmarkEnd w:id="4"/>
      </w:fldSimple>
      <w:r w:rsidR="00E50E59">
        <w:t>.  La 20 mai 2015, Tribunalul Administrativ din Dresda, în urma audierii reclamantului (dar nu și a fiicei acestuia sau a ofițerului de poliție care a efectuat controlul și care au fost prezenți ca martori), a respins acțiunea ca inadmisibilă. Tribunalul a constatat că reclamantul nu avea un interes legitim pentru obținerea unei hotărâri privind legalitatea controlului de identitate în temeiul secțiunii 23 (1)(3) din Legea privind poliția federală, după ce actul în cauză a luat sfârșit.</w:t>
      </w:r>
    </w:p>
    <w:p w14:paraId="29AA07F1" w14:textId="56F978EA" w:rsidR="00E50E59" w:rsidRPr="0014696F" w:rsidRDefault="006709AE" w:rsidP="0014696F">
      <w:pPr>
        <w:pStyle w:val="JuPara"/>
      </w:pPr>
      <w:fldSimple w:instr=" SEQ level0 \*arabic ">
        <w:bookmarkStart w:id="5" w:name="paragraph00008"/>
        <w:r w:rsidR="0014696F" w:rsidRPr="0014696F">
          <w:t>8</w:t>
        </w:r>
        <w:bookmarkEnd w:id="5"/>
      </w:fldSimple>
      <w:r w:rsidR="00E50E59">
        <w:t>.  La 17 noiembrie 2015, achiesând la motivarea Tribunalului Administrativ, Tribunalul Administrativ Superior al Landului Saxonia a respins cererea reclamantului de autorizare a introduce</w:t>
      </w:r>
      <w:r w:rsidR="007F4644">
        <w:t>r</w:t>
      </w:r>
      <w:r w:rsidR="007D6B47">
        <w:t>ii</w:t>
      </w:r>
      <w:r w:rsidR="007F4644">
        <w:t xml:space="preserve"> unui</w:t>
      </w:r>
      <w:r w:rsidR="00E50E59">
        <w:t xml:space="preserve"> recurs. Instanța a confirmat că reclamantul nu avea interesul legitim necesar pentru </w:t>
      </w:r>
      <w:r w:rsidR="007F4644" w:rsidRPr="007F4644">
        <w:t>a obține constatarea nelegalității</w:t>
      </w:r>
      <w:r w:rsidR="00E50E59">
        <w:t xml:space="preserve"> actului în cauză după ce acesta a luat sfârșit. Controlul identității, fără ca datele să fie stocate, a constituit doar o ingerință minoră în exercitarea dreptului reclamantului la autodeterminare informațională. De asemenea, reclamantul nu a avut nici un interes în ceea ce privește reabilitarea. Un astfel de control, în special în apropierea frontierelor, nu era neobișnuit sau stigmatizant. Controlul a durat doar câteva minute și a fost efectuat de poliție într-un mod obiectiv. Explicațiile pe care poliția, potrivit reclamantului, le-a oferit pentru acest control, nu au evidențiat nici ele vreo practică discriminatorie. Nu a rezultat nici măcar că actul ar fi fost observat de altcineva decât de fiica reclamantului. Nu au existat nici consecințe de durată, întrucât reclamantul, care declarase că a încetat să mai călătorească cu trenul după incident, a început să călătorească iar cu trenul. Reclamantul – care a susținut că numeroase acțiuni similare din ultimii ani au arătat că cetățenii germani cu pielea închisă la culoare sunt supuși mai des unor controale de către poliție decât cetățenii cu pielea albă – nu și-a justificat nici acuzația potrivit căreia risca să fie supus din nou unui control al identității </w:t>
      </w:r>
      <w:r w:rsidR="00E50E59">
        <w:lastRenderedPageBreak/>
        <w:t>în circumstanțe similare. Întrucât acțiunea a fost inadmisibilă din cauza lipsei unui interes legitim pentru obținerea unei decizii cu privire la legalitatea controlului de identitate, nu a fost necesar ca instanța să decidă dacă reclamantul a fost tratat în mod discriminatoriu prin acest control.</w:t>
      </w:r>
    </w:p>
    <w:p w14:paraId="7AFF8383" w14:textId="43CBDB9E" w:rsidR="00E50E59" w:rsidRPr="0014696F" w:rsidRDefault="006709AE" w:rsidP="0014696F">
      <w:pPr>
        <w:pStyle w:val="JuPara"/>
      </w:pPr>
      <w:fldSimple w:instr=" SEQ level0 \*arabic ">
        <w:r w:rsidR="0014696F" w:rsidRPr="0014696F">
          <w:t>9</w:t>
        </w:r>
      </w:fldSimple>
      <w:r w:rsidR="00E50E59">
        <w:t xml:space="preserve">.  La 19 iunie 2018, Curtea Constituțională Federală a refuzat să examineze o plângere constituțională formulată de reclamant (dosar nr. 1 </w:t>
      </w:r>
      <w:proofErr w:type="spellStart"/>
      <w:r w:rsidR="00E50E59">
        <w:t>BvR</w:t>
      </w:r>
      <w:proofErr w:type="spellEnd"/>
      <w:r w:rsidR="00E50E59">
        <w:t xml:space="preserve"> 3196/15), în care reclamantul invoca o încălcare a dreptului său la o protecție jurisdicțională efectivă, coroborat cu dreptul la autodeterminare informațională, cu dreptul său la libera circulație și cu interdicția de discriminare.</w:t>
      </w:r>
    </w:p>
    <w:p w14:paraId="37652610" w14:textId="77777777" w:rsidR="00E50E59" w:rsidRPr="0014696F" w:rsidRDefault="00E50E59" w:rsidP="0014696F">
      <w:pPr>
        <w:pStyle w:val="JuHHead"/>
      </w:pPr>
      <w:r>
        <w:t>CADRUL JURIDIC ȘI PRACTICA RELEVANTE</w:t>
      </w:r>
    </w:p>
    <w:p w14:paraId="3E71F5D3" w14:textId="4FFFA190" w:rsidR="00E50E59" w:rsidRPr="0014696F" w:rsidRDefault="00E50E59" w:rsidP="0014696F">
      <w:pPr>
        <w:pStyle w:val="JuHIRoman"/>
      </w:pPr>
      <w:r>
        <w:t>CADRUL JURIDIC INTERN</w:t>
      </w:r>
    </w:p>
    <w:p w14:paraId="34F07A77" w14:textId="05F13B92" w:rsidR="00E50E59" w:rsidRPr="0014696F" w:rsidRDefault="006709AE" w:rsidP="0014696F">
      <w:pPr>
        <w:pStyle w:val="JuPara"/>
      </w:pPr>
      <w:fldSimple w:instr=" SEQ level0 \*arabic ">
        <w:bookmarkStart w:id="6" w:name="paragraph00010"/>
        <w:r w:rsidR="0014696F" w:rsidRPr="0014696F">
          <w:t>10</w:t>
        </w:r>
        <w:bookmarkEnd w:id="6"/>
      </w:fldSimple>
      <w:r w:rsidR="00E50E59">
        <w:t>.  Secțiunea 23 a Legii privind poliția federală, în măsura în care este relevantă, este redactat după cum urmează:</w:t>
      </w:r>
    </w:p>
    <w:p w14:paraId="089706C5" w14:textId="77777777" w:rsidR="00E50E59" w:rsidRPr="0014696F" w:rsidRDefault="00E50E59" w:rsidP="0014696F">
      <w:pPr>
        <w:pStyle w:val="JuQuot"/>
      </w:pPr>
      <w:r>
        <w:t>„Stabilirea identității...</w:t>
      </w:r>
    </w:p>
    <w:p w14:paraId="24EB5762" w14:textId="77777777" w:rsidR="00E50E59" w:rsidRPr="0014696F" w:rsidRDefault="00E50E59" w:rsidP="0014696F">
      <w:pPr>
        <w:pStyle w:val="JuQuot"/>
      </w:pPr>
      <w:r>
        <w:t>(1) Poliția federală poate stabili identitatea unei persoane</w:t>
      </w:r>
    </w:p>
    <w:p w14:paraId="73841DB2" w14:textId="77777777" w:rsidR="00E50E59" w:rsidRPr="0014696F" w:rsidRDefault="00E50E59" w:rsidP="0014696F">
      <w:pPr>
        <w:pStyle w:val="JuQuot"/>
      </w:pPr>
      <w:r>
        <w:t>[...]</w:t>
      </w:r>
    </w:p>
    <w:p w14:paraId="2E74205D" w14:textId="77777777" w:rsidR="00E50E59" w:rsidRPr="0014696F" w:rsidRDefault="00E50E59" w:rsidP="0014696F">
      <w:pPr>
        <w:pStyle w:val="JuQuot"/>
      </w:pPr>
      <w:r>
        <w:t>3)  în zona de frontieră, până la treizeci de kilometri după frontieră, pentru a preveni sau a opri intrarea ilegală pe teritoriul federal sau pentru prevenirea infracțiunilor menționate în secțiunea...”</w:t>
      </w:r>
    </w:p>
    <w:p w14:paraId="380A5C70" w14:textId="77777777" w:rsidR="00E50E59" w:rsidRPr="0014696F" w:rsidRDefault="00E50E59" w:rsidP="0014696F">
      <w:pPr>
        <w:pStyle w:val="JuQuot"/>
      </w:pPr>
      <w:r>
        <w:t>[...]</w:t>
      </w:r>
    </w:p>
    <w:p w14:paraId="00890790" w14:textId="158DB5F9" w:rsidR="00E50E59" w:rsidRPr="0014696F" w:rsidRDefault="00E50E59" w:rsidP="0014696F">
      <w:pPr>
        <w:pStyle w:val="JuQuot"/>
      </w:pPr>
      <w:r>
        <w:t>(3) Poliția federală poate lua măsurile necesare pentru a stabili identitatea unei persoane. În special, aceasta poate opri persoana în cauză, îi poate pune întrebări despre datele personale și poate solicita ca persoana în cauză să prezinte documente de identitate în scopul verificării identității [...]</w:t>
      </w:r>
      <w:r w:rsidR="00CB4F84">
        <w:t>.</w:t>
      </w:r>
      <w:r>
        <w:t>”</w:t>
      </w:r>
    </w:p>
    <w:p w14:paraId="23F3CEBF" w14:textId="4E3C09A9" w:rsidR="00E50E59" w:rsidRPr="0014696F" w:rsidRDefault="006E5C14" w:rsidP="0014696F">
      <w:pPr>
        <w:pStyle w:val="JuHIRoman"/>
      </w:pPr>
      <w:r>
        <w:t>CADRUL JURIDIC ȘI PRACTICA RELEVANTE</w:t>
      </w:r>
    </w:p>
    <w:p w14:paraId="5B4F280A" w14:textId="77777777" w:rsidR="00E50E59" w:rsidRPr="0014696F" w:rsidRDefault="00E50E59" w:rsidP="0014696F">
      <w:pPr>
        <w:pStyle w:val="JuHA"/>
      </w:pPr>
      <w:r>
        <w:t>Comitetul Organizației Națiunilor Unite pentru Drepturile Omului</w:t>
      </w:r>
    </w:p>
    <w:p w14:paraId="06BFE4E3" w14:textId="09697203" w:rsidR="00E50E59" w:rsidRPr="0014696F" w:rsidRDefault="006709AE" w:rsidP="0014696F">
      <w:pPr>
        <w:pStyle w:val="JuPara"/>
      </w:pPr>
      <w:fldSimple w:instr=" SEQ level0 \*arabic \* MERGEFORMAT ">
        <w:bookmarkStart w:id="7" w:name="paragraph00011"/>
        <w:r w:rsidR="0014696F" w:rsidRPr="0014696F">
          <w:t>11</w:t>
        </w:r>
        <w:bookmarkEnd w:id="7"/>
      </w:fldSimple>
      <w:r w:rsidR="00551BDB">
        <w:t xml:space="preserve">.  Comitetul ONU pentru Drepturile Omului a analizat pretinsa discriminare ca urmare a unui control al identității, în Avizul său din 27 iulie 2009 privind Comunicarea nr. 1493/2006 depusă de </w:t>
      </w:r>
      <w:proofErr w:type="spellStart"/>
      <w:r w:rsidR="00551BDB">
        <w:t>Rosalind</w:t>
      </w:r>
      <w:proofErr w:type="spellEnd"/>
      <w:r w:rsidR="00551BDB">
        <w:t xml:space="preserve"> Williams </w:t>
      </w:r>
      <w:proofErr w:type="spellStart"/>
      <w:r w:rsidR="00551BDB">
        <w:t>Lecraft</w:t>
      </w:r>
      <w:proofErr w:type="spellEnd"/>
      <w:r w:rsidR="00551BDB">
        <w:t xml:space="preserve"> împotriva Spaniei (CCPR/C/96/D/1493/2006). Constatând o încălcare a interdicției discriminării în temeiul art. 26 coroborat cu art. 2 alin. (3) din Pactul internațional cu privire la drepturile civile și politice în circumstanțele speței, Comitetul a precizat următoarele:</w:t>
      </w:r>
    </w:p>
    <w:p w14:paraId="0ABC7AC9" w14:textId="53FFD305" w:rsidR="00E50E59" w:rsidRPr="0014696F" w:rsidRDefault="00E50E59" w:rsidP="0014696F">
      <w:pPr>
        <w:pStyle w:val="JuQuot"/>
      </w:pPr>
      <w:r>
        <w:t xml:space="preserve">„7.2 Comitetul trebuie să decidă dacă faptul de a fi supus unui control al identității de către poliție înseamnă că autorul a suferit o discriminare rasială. Comitetul consideră că controalele de identitate efectuate în scopuri de siguranță publică ori de prevenire a criminalității în general, sau pentru a controla imigrația ilegală, servesc unui scop </w:t>
      </w:r>
      <w:r>
        <w:lastRenderedPageBreak/>
        <w:t>legitim. Cu toate acestea, atunci când autoritățile efectuează astfel de controale, caracteristicile fizice sau etnice ale persoanelor supuse acestora nu ar trebui considerate în sine ca fiind un indiciu al unei eventuale prezențe ilegale a acestora în țară. De asemenea, controalele nu ar trebui să fie efectuate astfel încât să vizeze doar persoanele cu anumite caracteristici fizice sau etnice. A acționa altfel nu numai că ar afecta negativ demnitatea persoanelor în cauză, dar ar contribui, de asemenea, la răspândirea unor atitudini xenofobe în rândul publicului larg și ar fi contrară unei politici eficiente de combatere a discriminării rasiale.</w:t>
      </w:r>
    </w:p>
    <w:p w14:paraId="7BBF2BD6" w14:textId="77777777" w:rsidR="00E50E59" w:rsidRPr="0014696F" w:rsidRDefault="00E50E59" w:rsidP="0014696F">
      <w:pPr>
        <w:pStyle w:val="JuQuot"/>
      </w:pPr>
      <w:r>
        <w:t>[...]</w:t>
      </w:r>
    </w:p>
    <w:p w14:paraId="7001A122" w14:textId="553E3A59" w:rsidR="00E50E59" w:rsidRPr="0014696F" w:rsidRDefault="00E50E59" w:rsidP="0014696F">
      <w:pPr>
        <w:pStyle w:val="JuQuot"/>
      </w:pPr>
      <w:r>
        <w:t>7.4 În speță, din dosar reiese că respectivul control de identitate a fost de natură generală. Autoarea susține că nici o altă persoană din imediata sa apropiere nu a fost supusă controlului identității și că ofițerul de poliție care a oprit-o și a interogat-o s-a referit la caracteristicile sale fizice pentru a explica de ce numai acesteia și nimănui altcuiva din apropiere, i s-a cerut să prezinte actele de identitate. Aceste afirmații nu au fost infirmate de către organele administrative și judiciare în fața cărora autoarea și-a prezentat cauza sau în cadrul procedurilor din fața Comitetului. În aceste condiții, Comitetul nu poate decât să concluzioneze că autoarea a fost aleasă pentru respectivul control de identitate exclusiv pe baza caracteristicilor sale rasiale și că aceste caracteristici au reprezentat factorul decisiv pentru suspectarea acesteia de comportament ilicit. În plus, Comitetul reamintește jurisprudența sa conform căreia nu orice diferențiere de tratament va constitui discriminare, dacă criteriile pentru o astfel de diferențiere sunt rezonabile și obiective și dacă scopul urmărit este atingerea unui obiectiv legitim în conformitate cu Pactul. În speță, Comitetul consideră că nu au fost întrunite criteriile privind caracterul rezonabil și obiectivitatea [...]</w:t>
      </w:r>
      <w:r w:rsidR="00CB4F84">
        <w:t>.</w:t>
      </w:r>
      <w:r>
        <w:t>”</w:t>
      </w:r>
    </w:p>
    <w:p w14:paraId="098F80E1" w14:textId="77777777" w:rsidR="00E50E59" w:rsidRPr="0014696F" w:rsidRDefault="00E50E59" w:rsidP="0014696F">
      <w:pPr>
        <w:pStyle w:val="JuHA"/>
      </w:pPr>
      <w:r>
        <w:t>Comisia Europeană împotriva Rasismului și a Intoleranței</w:t>
      </w:r>
    </w:p>
    <w:p w14:paraId="614FDE06" w14:textId="6D3841D1" w:rsidR="00E50E59" w:rsidRPr="0014696F" w:rsidRDefault="006709AE" w:rsidP="0014696F">
      <w:pPr>
        <w:pStyle w:val="JuPara"/>
      </w:pPr>
      <w:fldSimple w:instr=" SEQ level0 \*arabic \* MERGEFORMAT ">
        <w:r w:rsidR="0014696F" w:rsidRPr="0014696F">
          <w:t>12</w:t>
        </w:r>
      </w:fldSimple>
      <w:r w:rsidR="00551BDB">
        <w:t>.  Comisia Europeană împotriva Rasismului și Intoleranței (ECRI) a Consiliului Europei a adoptat Recomandarea de politică generală nr. 11 privind combaterea rasismului și discriminării rasiale în activitățile poliției la 29 iunie 2007 [CRI (2007) 39]. Aceasta definește profilarea rasială după cum urmează:</w:t>
      </w:r>
    </w:p>
    <w:p w14:paraId="5005856A" w14:textId="167EAA59" w:rsidR="00E50E59" w:rsidRPr="0014696F" w:rsidRDefault="000A1E90" w:rsidP="0014696F">
      <w:pPr>
        <w:pStyle w:val="JuQuot"/>
      </w:pPr>
      <w:r>
        <w:t>„(1)  [...] În sensul prezentei Recomandări, profilarea rasială înseamnă:</w:t>
      </w:r>
    </w:p>
    <w:p w14:paraId="7EDC094C" w14:textId="1459E403" w:rsidR="00E50E59" w:rsidRPr="0014696F" w:rsidRDefault="00E50E59" w:rsidP="0014696F">
      <w:pPr>
        <w:pStyle w:val="JuQuot"/>
      </w:pPr>
      <w:r>
        <w:t>Utilizarea de către poliție, fără nicio justificare obiectivă și rezonabilă, a unor criterii precum rasă, culoare, limbă, religie, naționalitate sau origine națională sau etnică în activități de control, supraveghere sau investigare;”</w:t>
      </w:r>
    </w:p>
    <w:p w14:paraId="5A5DA7FC" w14:textId="2FD6D0EB" w:rsidR="00E50E59" w:rsidRPr="0014696F" w:rsidRDefault="006709AE" w:rsidP="0014696F">
      <w:pPr>
        <w:pStyle w:val="JuPara"/>
      </w:pPr>
      <w:fldSimple w:instr=" SEQ level0 \*arabic \* MERGEFORMAT ">
        <w:bookmarkStart w:id="8" w:name="paragraph00013"/>
        <w:r w:rsidR="0014696F" w:rsidRPr="0014696F">
          <w:t>13</w:t>
        </w:r>
        <w:bookmarkEnd w:id="8"/>
      </w:fldSimple>
      <w:r w:rsidR="00551BDB">
        <w:t xml:space="preserve">.  ECRI recomandă guvernelor statelor membre, </w:t>
      </w:r>
      <w:r w:rsidR="00551BDB">
        <w:rPr>
          <w:i/>
        </w:rPr>
        <w:t>inter alia</w:t>
      </w:r>
      <w:r w:rsidR="00551BDB">
        <w:t>:</w:t>
      </w:r>
    </w:p>
    <w:p w14:paraId="560266A8" w14:textId="77777777" w:rsidR="00E50E59" w:rsidRPr="0014696F" w:rsidRDefault="00E50E59" w:rsidP="0014696F">
      <w:pPr>
        <w:pStyle w:val="JuQuot"/>
      </w:pPr>
      <w:r>
        <w:t xml:space="preserve">„9.  Să asigure investigații eficiente cu privire la presupusele cazuri de discriminare rasială sau de conduită necorespunzătoare a poliției din motive rasiale și să se asigure, după caz, că autorii acestor acte sunt pedepsiți în mod adecvat; </w:t>
      </w:r>
    </w:p>
    <w:p w14:paraId="35291B64" w14:textId="61535A26" w:rsidR="00E50E59" w:rsidRPr="0014696F" w:rsidRDefault="00E50E59" w:rsidP="0014696F">
      <w:pPr>
        <w:pStyle w:val="JuQuot"/>
      </w:pPr>
      <w:r>
        <w:t>10.  Să prevadă existența unui organism, independent de poliție și de organe</w:t>
      </w:r>
      <w:r w:rsidR="00CB4F84">
        <w:t>le</w:t>
      </w:r>
      <w:r>
        <w:t xml:space="preserve"> de urmărire penală, care să fie însărcinat cu investigarea presupuselor cazuri de discriminare rasială și de conduită necorespunzătoare a poliției din motive rasiale;...”</w:t>
      </w:r>
    </w:p>
    <w:p w14:paraId="050C9570" w14:textId="56E91E98" w:rsidR="00E50E59" w:rsidRPr="0014696F" w:rsidRDefault="006709AE" w:rsidP="0014696F">
      <w:pPr>
        <w:pStyle w:val="JuPara"/>
      </w:pPr>
      <w:fldSimple w:instr=" SEQ level0 \*arabic \* MERGEFORMAT ">
        <w:bookmarkStart w:id="9" w:name="paragraph00014"/>
        <w:r w:rsidR="0014696F" w:rsidRPr="0014696F">
          <w:t>14</w:t>
        </w:r>
        <w:bookmarkEnd w:id="9"/>
      </w:fldSimple>
      <w:r w:rsidR="00551BDB">
        <w:t>.  Expunerea de motive a Recomandării, în ceea ce privește pct. 1 al Recomandării, prevede, în măsura în care este relevantă:</w:t>
      </w:r>
    </w:p>
    <w:p w14:paraId="4ECD8F73" w14:textId="3BA098F4" w:rsidR="00E50E59" w:rsidRPr="0014696F" w:rsidRDefault="00E50E59" w:rsidP="0014696F">
      <w:pPr>
        <w:pStyle w:val="JuQuot"/>
      </w:pPr>
      <w:r>
        <w:lastRenderedPageBreak/>
        <w:t>„34. iii) [...] Cercetările au arătat că profilarea rasială are efecte negative considerabile. Profilarea rasială generează un sentiment de umilință și nedreptate în rândul anumitor grupuri de persoane și duce la stigmatizarea și alienarea acestora, precum și la deteriorarea relațiilor dintre aceste grupuri și poliție, din cauza pierderii încrederii în aceasta din urmă....”</w:t>
      </w:r>
    </w:p>
    <w:p w14:paraId="3F051D99" w14:textId="52A882F7" w:rsidR="00E50E59" w:rsidRPr="0014696F" w:rsidRDefault="006709AE" w:rsidP="0014696F">
      <w:pPr>
        <w:pStyle w:val="JuPara"/>
      </w:pPr>
      <w:fldSimple w:instr=" SEQ level0 \*arabic \* MERGEFORMAT ">
        <w:r w:rsidR="0014696F" w:rsidRPr="0014696F">
          <w:t>15</w:t>
        </w:r>
      </w:fldSimple>
      <w:r w:rsidR="00551BDB">
        <w:t>.  Pct. 11 din Recomandarea ECRI de politică generală nr. 7 privind legislația națională pentru combaterea rasismului și a discriminării rasiale, adoptată la 13 decembrie 2002, în versiunea aplicabilă la momentul respectiv, are următorul cuprins:</w:t>
      </w:r>
    </w:p>
    <w:p w14:paraId="424D42DC" w14:textId="77777777" w:rsidR="00E50E59" w:rsidRPr="0014696F" w:rsidRDefault="00E50E59" w:rsidP="0014696F">
      <w:pPr>
        <w:pStyle w:val="JuQuot"/>
      </w:pPr>
      <w:r>
        <w:t>„Pentru cazurile în care persoana care se consideră victima unui act discriminatoriu a stabilit, în fața unei instanțe sau a oricărei alte autorități competente, fapte care permit să se presupună că a avut loc o discriminare directă sau indirectă, legea trebuie să prevadă că îi revine pârâtului să probeze că nu a avut loc nici o discriminare.”</w:t>
      </w:r>
    </w:p>
    <w:p w14:paraId="290AC851" w14:textId="77777777" w:rsidR="00E50E59" w:rsidRPr="0014696F" w:rsidRDefault="00E50E59" w:rsidP="0014696F">
      <w:pPr>
        <w:pStyle w:val="JuHIRoman"/>
      </w:pPr>
      <w:r>
        <w:t>DREPTUL UNIUNII EUROPENE</w:t>
      </w:r>
    </w:p>
    <w:p w14:paraId="1DB38F77" w14:textId="076D3C14" w:rsidR="00E50E59" w:rsidRPr="0014696F" w:rsidRDefault="006709AE" w:rsidP="0014696F">
      <w:pPr>
        <w:pStyle w:val="JuPara"/>
      </w:pPr>
      <w:fldSimple w:instr=" SEQ level0 \*arabic \* MERGEFORMAT ">
        <w:r w:rsidR="0014696F" w:rsidRPr="0014696F">
          <w:t>16</w:t>
        </w:r>
      </w:fldSimple>
      <w:r w:rsidR="00551BDB">
        <w:t>.  Directiva 2000/43/CE a Consiliului Uniunii Europene din 29 iunie 2000 de punere în aplicare a principiului egalității de tratament între persoane, fără deosebire de rasă sau origine etnică, în măsura în care este relevantă, prevede:</w:t>
      </w:r>
    </w:p>
    <w:p w14:paraId="0C937903" w14:textId="77777777" w:rsidR="00E50E59" w:rsidRPr="0014696F" w:rsidRDefault="00E50E59" w:rsidP="0014696F">
      <w:pPr>
        <w:pStyle w:val="JuHArticle"/>
      </w:pPr>
      <w:r>
        <w:t>Considerentul 21</w:t>
      </w:r>
    </w:p>
    <w:p w14:paraId="10962516" w14:textId="77777777" w:rsidR="00E50E59" w:rsidRPr="0014696F" w:rsidRDefault="00E50E59" w:rsidP="0014696F">
      <w:pPr>
        <w:pStyle w:val="JuQuot"/>
      </w:pPr>
      <w:r>
        <w:t>„În situația unui caz aparent de discriminare, normele privind sarcina probei trebuie adaptate și, pentru ca principiul tratamentului egal să fie aplicat în mod eficient, sarcina probei trebuie să revină pârâtului, dacă se face dovada unei asemenea discriminări.”</w:t>
      </w:r>
    </w:p>
    <w:p w14:paraId="6B196AEC" w14:textId="77777777" w:rsidR="00E50E59" w:rsidRPr="0014696F" w:rsidRDefault="00E50E59" w:rsidP="0014696F">
      <w:pPr>
        <w:pStyle w:val="JuHArticle"/>
      </w:pPr>
      <w:r>
        <w:t>Art. 8</w:t>
      </w:r>
    </w:p>
    <w:p w14:paraId="4927C6D6" w14:textId="77777777" w:rsidR="00E50E59" w:rsidRPr="0014696F" w:rsidRDefault="00E50E59" w:rsidP="0014696F">
      <w:pPr>
        <w:pStyle w:val="JuHArticle"/>
      </w:pPr>
      <w:r>
        <w:t>Sarcina probei</w:t>
      </w:r>
    </w:p>
    <w:p w14:paraId="1603D730" w14:textId="3FE9915A" w:rsidR="00E50E59" w:rsidRPr="0014696F" w:rsidRDefault="000A1E90" w:rsidP="0014696F">
      <w:pPr>
        <w:pStyle w:val="JuQuot"/>
      </w:pPr>
      <w:r>
        <w:t>„(1) Statele membre iau măsurile care sunt necesare, în conformitate cu sistemele lor judiciare, pentru ca, atunci când o persoană care se consideră nedreptățită prin nerespectarea principiului egalității de tratament prezintă, în fața unei autorități sau a altei instanțe judecătorești competente, fapte pe baza cărora se poate prezuma că a avut loc o discriminare directă sau indirectă, pârâtul să fie obligat să dovedească faptul că nu a avut loc o încălcare a principiului egalității de tratament.</w:t>
      </w:r>
    </w:p>
    <w:p w14:paraId="2C62FEF1" w14:textId="3FC6045E" w:rsidR="00E50E59" w:rsidRPr="0014696F" w:rsidRDefault="00E50E59" w:rsidP="0014696F">
      <w:pPr>
        <w:pStyle w:val="JuQuot"/>
      </w:pPr>
      <w:r>
        <w:t>(...)”</w:t>
      </w:r>
    </w:p>
    <w:p w14:paraId="6CDB275C" w14:textId="77777777" w:rsidR="00E50E59" w:rsidRPr="0014696F" w:rsidRDefault="00E50E59" w:rsidP="0014696F">
      <w:pPr>
        <w:pStyle w:val="JuHHead"/>
      </w:pPr>
      <w:r>
        <w:t>ÎN DREPT</w:t>
      </w:r>
    </w:p>
    <w:p w14:paraId="2E81DD06" w14:textId="77777777" w:rsidR="00E50E59" w:rsidRPr="0014696F" w:rsidRDefault="00E50E59" w:rsidP="0014696F">
      <w:pPr>
        <w:pStyle w:val="JuHIRoman"/>
      </w:pPr>
      <w:r>
        <w:t>CU PRIVIRE LA PRETINSA ÎNCĂLCARE A ART. 14 COROBORAT CU ART. 8 DIN CONVENȚIE</w:t>
      </w:r>
    </w:p>
    <w:p w14:paraId="4708F889" w14:textId="41D252BB" w:rsidR="00E50E59" w:rsidRPr="0014696F" w:rsidRDefault="006709AE" w:rsidP="0014696F">
      <w:pPr>
        <w:pStyle w:val="JuPara"/>
      </w:pPr>
      <w:fldSimple w:instr=" SEQ level0 \*arabic ">
        <w:r w:rsidR="0014696F" w:rsidRPr="0014696F">
          <w:t>17</w:t>
        </w:r>
      </w:fldSimple>
      <w:r w:rsidR="00E50E59">
        <w:t>.  Reclamantul s-a plâns că a fost supus unui control de identitate doar din cauza culorii pielii sale și că instanțele interne au refuzat să investigheze această încălcare a interdicției de discriminare. Acesta a făcut trimitere la art. 14 din Convenție, care prevede:</w:t>
      </w:r>
    </w:p>
    <w:p w14:paraId="3E3372F1" w14:textId="77777777" w:rsidR="00E50E59" w:rsidRPr="0014696F" w:rsidRDefault="00E50E59" w:rsidP="0014696F">
      <w:pPr>
        <w:pStyle w:val="JuQuot"/>
      </w:pPr>
      <w:r>
        <w:lastRenderedPageBreak/>
        <w:t>„Exercitarea drepturilor și libertăților recunoscute de prezenta Convenție trebuie să fie asigurată fără nicio deosebire bazată, în special, pe sex, rasă, culoare, limbă, religie, opinii politice sau orice alte opinii, origine națională sau socială, apartenența la o minoritate națională, avere, naștere sau orice altă situație.”</w:t>
      </w:r>
    </w:p>
    <w:p w14:paraId="56CD52DA" w14:textId="1B188A5B" w:rsidR="00E50E59" w:rsidRPr="0014696F" w:rsidRDefault="006709AE" w:rsidP="0014696F">
      <w:pPr>
        <w:pStyle w:val="JuPara"/>
      </w:pPr>
      <w:fldSimple w:instr=" SEQ level0 \*arabic \* MERGEFORMAT ">
        <w:r w:rsidR="0014696F" w:rsidRPr="0014696F">
          <w:t>18</w:t>
        </w:r>
      </w:fldSimple>
      <w:r w:rsidR="00551BDB">
        <w:t xml:space="preserve">.  Curtea, având competența de a decide cu privire la încadrarea juridică a faptelor unei plângeri prin examinarea acesteia în temeiul unor articole ale Convenției care sunt diferite de cele invocate de reclamant [a se vedea </w:t>
      </w:r>
      <w:proofErr w:type="spellStart"/>
      <w:r w:rsidR="00551BDB">
        <w:rPr>
          <w:i/>
        </w:rPr>
        <w:t>Radomilja</w:t>
      </w:r>
      <w:proofErr w:type="spellEnd"/>
      <w:r w:rsidR="00551BDB">
        <w:rPr>
          <w:i/>
        </w:rPr>
        <w:t xml:space="preserve"> și alții împotriva Croației</w:t>
      </w:r>
      <w:r w:rsidR="00551BDB">
        <w:t xml:space="preserve"> (MC), nr. 37685/10 și 22768/12, pct. 126, 20 martie 2018</w:t>
      </w:r>
      <w:r w:rsidR="009B3454">
        <w:t>]</w:t>
      </w:r>
      <w:r w:rsidR="00551BDB">
        <w:t>, consideră că plângerea reclamantului trebuie examinată în temeiul art. 14 coroborat cu art. 8 din Convenție. Acest articol din urmă prevede următoarele:</w:t>
      </w:r>
    </w:p>
    <w:p w14:paraId="1DF06417" w14:textId="77777777" w:rsidR="00E50E59" w:rsidRPr="0014696F" w:rsidRDefault="00E50E59" w:rsidP="0014696F">
      <w:pPr>
        <w:pStyle w:val="JuQuot"/>
      </w:pPr>
      <w:r>
        <w:t>„1.  Orice persoană are dreptul la respectarea vieții sale private [...]</w:t>
      </w:r>
    </w:p>
    <w:p w14:paraId="2A3C999A" w14:textId="77777777" w:rsidR="00E50E59" w:rsidRPr="0014696F" w:rsidRDefault="00E50E59" w:rsidP="0014696F">
      <w:pPr>
        <w:pStyle w:val="JuQuot"/>
      </w:pPr>
      <w:r>
        <w:t>2.  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p w14:paraId="71DD7B37" w14:textId="77777777" w:rsidR="00E50E59" w:rsidRPr="0014696F" w:rsidRDefault="00E50E59" w:rsidP="0014696F">
      <w:pPr>
        <w:pStyle w:val="JuHA"/>
      </w:pPr>
      <w:r>
        <w:t>Cu privire la admisibilitate</w:t>
      </w:r>
    </w:p>
    <w:p w14:paraId="58CCD7C1" w14:textId="377407EC" w:rsidR="00E50E59" w:rsidRPr="0014696F" w:rsidRDefault="00E50E59" w:rsidP="0014696F">
      <w:pPr>
        <w:pStyle w:val="JuH1"/>
      </w:pPr>
      <w:r>
        <w:t>Argumentele părților</w:t>
      </w:r>
    </w:p>
    <w:p w14:paraId="457DDACF" w14:textId="350285F5" w:rsidR="00E50E59" w:rsidRPr="0014696F" w:rsidRDefault="006709AE" w:rsidP="0014696F">
      <w:pPr>
        <w:pStyle w:val="JuPara"/>
      </w:pPr>
      <w:fldSimple w:instr=" SEQ level0 \*arabic ">
        <w:r w:rsidR="0014696F" w:rsidRPr="0014696F">
          <w:t>19</w:t>
        </w:r>
      </w:fldSimple>
      <w:r w:rsidR="00E50E59">
        <w:t>.  Guvernul a susținut că un simplu control de identitate nu intră în sfera de aplicare a dreptului la respectarea vieții private în temeiul art. 8, care, prin urmare, este inaplicabil. Acesta a argumentat că nu există indicii potrivit cărora reclamantul ar fi fost victima vreunei profilări rasiale în momentul în care poliția a efectuat controlul identității.</w:t>
      </w:r>
    </w:p>
    <w:p w14:paraId="08400CEC" w14:textId="0231F5C3" w:rsidR="00E50E59" w:rsidRPr="0014696F" w:rsidRDefault="006709AE" w:rsidP="0014696F">
      <w:pPr>
        <w:pStyle w:val="JuPara"/>
      </w:pPr>
      <w:fldSimple w:instr=" SEQ level0 \*arabic ">
        <w:r w:rsidR="0014696F" w:rsidRPr="0014696F">
          <w:t>20</w:t>
        </w:r>
      </w:fldSimple>
      <w:r w:rsidR="00E50E59">
        <w:t>.  Reclamantul a susținut că a fost supus unui control de identitate exclusiv din cauza culorii închise a pielii sale. Acest tratament discriminatoriu ar fi constituit o încălcare gravă a drepturilor sale. Pentru a evita o stigmatizare similară, el a încetat să mai călătorească cu trenul timp de câteva luni.</w:t>
      </w:r>
    </w:p>
    <w:p w14:paraId="1C3C656C" w14:textId="0FC7B692" w:rsidR="00E50E59" w:rsidRPr="0014696F" w:rsidRDefault="00E50E59" w:rsidP="0014696F">
      <w:pPr>
        <w:pStyle w:val="JuH1"/>
      </w:pPr>
      <w:r>
        <w:t>Motivarea Curții</w:t>
      </w:r>
    </w:p>
    <w:p w14:paraId="540B8FBD" w14:textId="17808400" w:rsidR="00E50E59" w:rsidRPr="0014696F" w:rsidRDefault="006709AE" w:rsidP="0014696F">
      <w:pPr>
        <w:pStyle w:val="JuPara"/>
      </w:pPr>
      <w:fldSimple w:instr=" SEQ level0 \*arabic ">
        <w:bookmarkStart w:id="10" w:name="paragraph00019"/>
        <w:r w:rsidR="0014696F" w:rsidRPr="0014696F">
          <w:t>21</w:t>
        </w:r>
        <w:bookmarkEnd w:id="10"/>
      </w:fldSimple>
      <w:r w:rsidR="00E50E59">
        <w:t xml:space="preserve">.  Curtea reiterează faptul că art. 8 protejează dreptul la identitate și la dezvoltare personală, precum și dreptul de a stabili relații cu alte persoane și cu lumea înconjurătoare. Există, prin urmare, o zonă de interacțiune a unei persoane cu alte persoane, chiar și într-un context public, care poate intra în domeniul de aplicare al „vieții private” [a se vedea, </w:t>
      </w:r>
      <w:r w:rsidR="00E50E59">
        <w:rPr>
          <w:i/>
        </w:rPr>
        <w:t>inter alia</w:t>
      </w:r>
      <w:r w:rsidR="00E50E59">
        <w:t xml:space="preserve">, </w:t>
      </w:r>
      <w:proofErr w:type="spellStart"/>
      <w:r w:rsidR="00E50E59" w:rsidRPr="00B91069">
        <w:rPr>
          <w:i/>
        </w:rPr>
        <w:t>Gillan</w:t>
      </w:r>
      <w:proofErr w:type="spellEnd"/>
      <w:r w:rsidR="00E50E59" w:rsidRPr="00B91069">
        <w:rPr>
          <w:i/>
        </w:rPr>
        <w:t xml:space="preserve"> și </w:t>
      </w:r>
      <w:proofErr w:type="spellStart"/>
      <w:r w:rsidR="00E50E59" w:rsidRPr="00B91069">
        <w:rPr>
          <w:i/>
        </w:rPr>
        <w:t>Quinton</w:t>
      </w:r>
      <w:proofErr w:type="spellEnd"/>
      <w:r w:rsidR="00E50E59" w:rsidRPr="00B91069">
        <w:rPr>
          <w:i/>
        </w:rPr>
        <w:t xml:space="preserve"> împotriva Regatului Unit</w:t>
      </w:r>
      <w:r w:rsidR="00E50E59">
        <w:t>, nr. 4158/05, pct. 61, CEDO 2010 (extra</w:t>
      </w:r>
      <w:r w:rsidR="009B3454">
        <w:t>s</w:t>
      </w:r>
      <w:r w:rsidR="00E50E59">
        <w:t>e)].</w:t>
      </w:r>
    </w:p>
    <w:p w14:paraId="5A9625A4" w14:textId="37334ADE" w:rsidR="00E50E59" w:rsidRPr="0014696F" w:rsidRDefault="006709AE" w:rsidP="0014696F">
      <w:pPr>
        <w:pStyle w:val="JuPara"/>
      </w:pPr>
      <w:fldSimple w:instr=" SEQ level0 \*arabic \* MERGEFORMAT ">
        <w:r w:rsidR="0014696F" w:rsidRPr="0014696F">
          <w:t>22</w:t>
        </w:r>
      </w:fldSimple>
      <w:r w:rsidR="00551BDB">
        <w:t xml:space="preserve">.  În ceea ce privește problema dacă un control al identității efectuat de poliție intră în sfera de aplicare a vieții private a persoanei care este supusă controlului respectiv, fosta Comisie a considerat că obligația de a avea asupra sa o carte de identitate și de a o prezenta poliției ori de câte ori se solicită </w:t>
      </w:r>
      <w:r w:rsidR="00551BDB">
        <w:lastRenderedPageBreak/>
        <w:t xml:space="preserve">acest lucru nu constituie în sine, în absența unor circumstanțe speciale, o ingerință în viața privată a unei persoane (a se vedea </w:t>
      </w:r>
      <w:proofErr w:type="spellStart"/>
      <w:r w:rsidR="00551BDB">
        <w:rPr>
          <w:i/>
        </w:rPr>
        <w:t>Reyntjens</w:t>
      </w:r>
      <w:proofErr w:type="spellEnd"/>
      <w:r w:rsidR="00551BDB">
        <w:rPr>
          <w:i/>
        </w:rPr>
        <w:t xml:space="preserve"> împotriva Belgiei</w:t>
      </w:r>
      <w:r w:rsidR="00551BDB">
        <w:t xml:space="preserve">, nr. 16810/90, decizia Comisiei din 9 septembrie 1992, Decizii și rapoarte 73, p. 152). Curtea a constatat că folosirea puterilor coercitive conferite de lege pentru a obliga o persoană să se supună unui control al identității și unei percheziții amănunțite a persoanei sale, a hainelor și a bunurilor personale constituie o ingerință în exercitarea dreptului la respectarea vieții private (a se vedea </w:t>
      </w:r>
      <w:proofErr w:type="spellStart"/>
      <w:r w:rsidR="00551BDB">
        <w:rPr>
          <w:i/>
        </w:rPr>
        <w:t>Gillan</w:t>
      </w:r>
      <w:proofErr w:type="spellEnd"/>
      <w:r w:rsidR="00551BDB">
        <w:rPr>
          <w:i/>
        </w:rPr>
        <w:t xml:space="preserve"> și </w:t>
      </w:r>
      <w:proofErr w:type="spellStart"/>
      <w:r w:rsidR="00551BDB">
        <w:rPr>
          <w:i/>
        </w:rPr>
        <w:t>Quinton</w:t>
      </w:r>
      <w:proofErr w:type="spellEnd"/>
      <w:r w:rsidR="00551BDB">
        <w:t xml:space="preserve">, citată anterior, pct. 63, și </w:t>
      </w:r>
      <w:r w:rsidR="00551BDB">
        <w:rPr>
          <w:i/>
        </w:rPr>
        <w:t>Vig împotriva Ungariei</w:t>
      </w:r>
      <w:r w:rsidR="00551BDB">
        <w:t>, nr. 59648/13, pct. 49, 14 ianuarie 2021). Caracterul public al percheziției poate, în anumite cazuri, amplifica gravitatea ingerinței din cauza unui element de umilință și de jenă (a se vedea</w:t>
      </w:r>
      <w:r w:rsidR="00551BDB">
        <w:rPr>
          <w:i/>
        </w:rPr>
        <w:t xml:space="preserve"> </w:t>
      </w:r>
      <w:proofErr w:type="spellStart"/>
      <w:r w:rsidR="00551BDB">
        <w:rPr>
          <w:i/>
        </w:rPr>
        <w:t>Gillan</w:t>
      </w:r>
      <w:proofErr w:type="spellEnd"/>
      <w:r w:rsidR="00551BDB">
        <w:rPr>
          <w:i/>
        </w:rPr>
        <w:t xml:space="preserve"> și </w:t>
      </w:r>
      <w:proofErr w:type="spellStart"/>
      <w:r w:rsidR="00551BDB">
        <w:rPr>
          <w:i/>
        </w:rPr>
        <w:t>Quinton</w:t>
      </w:r>
      <w:proofErr w:type="spellEnd"/>
      <w:r w:rsidR="00551BDB">
        <w:t>, citată anterior, pct. 63).</w:t>
      </w:r>
    </w:p>
    <w:p w14:paraId="4D2EF891" w14:textId="63C326DA" w:rsidR="00E50E59" w:rsidRPr="0014696F" w:rsidRDefault="006709AE" w:rsidP="0014696F">
      <w:pPr>
        <w:pStyle w:val="JuPara"/>
      </w:pPr>
      <w:fldSimple w:instr=" SEQ level0 \*arabic \* MERGEFORMAT ">
        <w:bookmarkStart w:id="11" w:name="paragraph00021"/>
        <w:r w:rsidR="0014696F" w:rsidRPr="0014696F">
          <w:t>23</w:t>
        </w:r>
        <w:bookmarkEnd w:id="11"/>
      </w:fldSimple>
      <w:r w:rsidR="00551BDB">
        <w:t xml:space="preserve">.  În anumite contexte, Curtea a considerat necesar să se examineze în mod specific dacă efectele actului în cauză au atins un prag de gravitate – și anume dacă a avut efecte negative serioase asupra vieții private a persoanei – pentru ca art. 8 să fie aplicabil [a se vedea, în special, </w:t>
      </w:r>
      <w:proofErr w:type="spellStart"/>
      <w:r w:rsidR="00551BDB">
        <w:rPr>
          <w:i/>
        </w:rPr>
        <w:t>Denisov</w:t>
      </w:r>
      <w:proofErr w:type="spellEnd"/>
      <w:r w:rsidR="00551BDB">
        <w:rPr>
          <w:i/>
        </w:rPr>
        <w:t xml:space="preserve"> împotriva Ucrainei</w:t>
      </w:r>
      <w:r w:rsidR="00551BDB">
        <w:t xml:space="preserve"> (MC), nr. 76639/11, pct. 110-13, 25 septembrie 2018]. Curtea a statuat, de exemplu, că pentru ca art. 8 să fie aplicabil, atacul asupra reputației unei persoane trebuie să atingă un anumit nivel de gravitate și să fie realizat într-o manieră care să aducă atingere exercitării personale a dreptului la respectarea vieții sale private [a se vedea, </w:t>
      </w:r>
      <w:r w:rsidR="00551BDB">
        <w:rPr>
          <w:i/>
        </w:rPr>
        <w:t>inter alia</w:t>
      </w:r>
      <w:r w:rsidR="00551BDB">
        <w:t xml:space="preserve">, </w:t>
      </w:r>
      <w:proofErr w:type="spellStart"/>
      <w:r w:rsidR="00551BDB">
        <w:rPr>
          <w:i/>
        </w:rPr>
        <w:t>Bédat</w:t>
      </w:r>
      <w:proofErr w:type="spellEnd"/>
      <w:r w:rsidR="00551BDB">
        <w:rPr>
          <w:i/>
        </w:rPr>
        <w:t xml:space="preserve"> împotriva Elveției</w:t>
      </w:r>
      <w:r w:rsidR="00551BDB">
        <w:t xml:space="preserve"> (MC), nr. 56925/08, pct. 72, 29 martie 2016, și </w:t>
      </w:r>
      <w:proofErr w:type="spellStart"/>
      <w:r w:rsidR="00551BDB">
        <w:rPr>
          <w:i/>
        </w:rPr>
        <w:t>Denisov</w:t>
      </w:r>
      <w:proofErr w:type="spellEnd"/>
      <w:r w:rsidR="00551BDB">
        <w:t xml:space="preserve">, citată anterior, pct. 112, cu trimiteri suplimentare). În astfel de împrejurări, Curtea a considerat că îi revine reclamantului sarcina de a aduce dovezi convingătoare care să demonstreze că a fost atins pragul de gravitate. Reclamanții trebuiau să identifice și să explice repercusiunile concrete asupra vieții lor private, precum și natura și amploarea suferinței lor, și să justifice aceste afirmații în mod corespunzător (a se vedea </w:t>
      </w:r>
      <w:proofErr w:type="spellStart"/>
      <w:r w:rsidR="00551BDB">
        <w:rPr>
          <w:i/>
        </w:rPr>
        <w:t>Denisov</w:t>
      </w:r>
      <w:proofErr w:type="spellEnd"/>
      <w:r w:rsidR="00551BDB">
        <w:t>, citată anterior, pct. 114).</w:t>
      </w:r>
    </w:p>
    <w:p w14:paraId="1E02B369" w14:textId="78801E0A" w:rsidR="00E50E59" w:rsidRPr="0014696F" w:rsidRDefault="006709AE" w:rsidP="0014696F">
      <w:pPr>
        <w:pStyle w:val="JuPara"/>
      </w:pPr>
      <w:fldSimple w:instr=" SEQ level0 \*arabic \* MERGEFORMAT ">
        <w:r w:rsidR="0014696F" w:rsidRPr="0014696F">
          <w:t>24</w:t>
        </w:r>
      </w:fldSimple>
      <w:r w:rsidR="00551BDB">
        <w:t>.  Curtea reiterează, de asemenea, faptul că discriminarea rasială este un tip de discriminare deosebit de grav și, având în vedere consecințele sale periculoase, necesită o vigilență specială și o reacție fermă din partea autorităților [a se vedea, în contextul art.</w:t>
      </w:r>
      <w:r w:rsidR="009B3454">
        <w:t xml:space="preserve"> </w:t>
      </w:r>
      <w:r w:rsidR="00551BDB">
        <w:t xml:space="preserve">14, </w:t>
      </w:r>
      <w:proofErr w:type="spellStart"/>
      <w:r w:rsidR="00551BDB">
        <w:rPr>
          <w:i/>
        </w:rPr>
        <w:t>Timishev</w:t>
      </w:r>
      <w:proofErr w:type="spellEnd"/>
      <w:r w:rsidR="00551BDB">
        <w:rPr>
          <w:i/>
        </w:rPr>
        <w:t xml:space="preserve"> împotriva Rusiei</w:t>
      </w:r>
      <w:r w:rsidR="00551BDB">
        <w:t>, nr. 55762/00 și 55974/00, pct. 56, CEDO 2005</w:t>
      </w:r>
      <w:r w:rsidR="00551BDB">
        <w:noBreakHyphen/>
        <w:t xml:space="preserve"> XII și </w:t>
      </w:r>
      <w:proofErr w:type="spellStart"/>
      <w:r w:rsidR="00551BDB">
        <w:rPr>
          <w:i/>
        </w:rPr>
        <w:t>Sejdić</w:t>
      </w:r>
      <w:proofErr w:type="spellEnd"/>
      <w:r w:rsidR="00551BDB">
        <w:rPr>
          <w:i/>
        </w:rPr>
        <w:t xml:space="preserve"> și </w:t>
      </w:r>
      <w:proofErr w:type="spellStart"/>
      <w:r w:rsidR="00551BDB">
        <w:rPr>
          <w:i/>
        </w:rPr>
        <w:t>Finci</w:t>
      </w:r>
      <w:proofErr w:type="spellEnd"/>
      <w:r w:rsidR="00551BDB">
        <w:rPr>
          <w:i/>
        </w:rPr>
        <w:t xml:space="preserve"> împotriva Bosniei și Herțegovinei</w:t>
      </w:r>
      <w:r w:rsidR="00551BDB">
        <w:t xml:space="preserve"> (MC), nr. 27996/06 și 34836/06, pct. 43, CEDO 2009].</w:t>
      </w:r>
    </w:p>
    <w:p w14:paraId="68A989BA" w14:textId="77917E6D" w:rsidR="00E50E59" w:rsidRPr="0014696F" w:rsidRDefault="006709AE" w:rsidP="0014696F">
      <w:pPr>
        <w:pStyle w:val="JuPara"/>
      </w:pPr>
      <w:fldSimple w:instr=" SEQ level0 \*arabic \* MERGEFORMAT ">
        <w:r w:rsidR="0014696F" w:rsidRPr="0014696F">
          <w:t>25</w:t>
        </w:r>
      </w:fldSimple>
      <w:r w:rsidR="00551BDB">
        <w:t xml:space="preserve">.  Având în vedere aceste principii, Curtea consideră că nu orice verificare a identității unei persoane aparținând unei minorități etnice atinge pragul de gravitate necesar pentru a intra în sfera dreptului la respectarea vieții private a acelei persoanei. Acest prag este atins numai în cazul în care persoana poate susține în mod întemeiat că a fost vizată din cauza unor caracteristici fizice sau etnice specifice. O astfel de pretenție întemeiată poate exista în special în cazul în care persoana vizată a invocat că doar ea (sau persoane cu aceleași caracteristici) a fost singura supusă (au fost singurele persoane supuse) unui control și în cazul în care nu au existat alte motive </w:t>
      </w:r>
      <w:r w:rsidR="00551BDB">
        <w:lastRenderedPageBreak/>
        <w:t>aparente pentru control sau în cazul în care orice explicație a agenților care efectuează controlul dezvăluie motive fizice sau etnice specifice pentru acest control. În această privință, Curtea observă de asemenea că natura publică a controlului poate avea efecte asupra reputației unei persoane (</w:t>
      </w:r>
      <w:r w:rsidR="00551BDB" w:rsidRPr="00B91069">
        <w:rPr>
          <w:i/>
        </w:rPr>
        <w:t>supra</w:t>
      </w:r>
      <w:r w:rsidR="00551BDB">
        <w:t xml:space="preserve">, pct. </w:t>
      </w:r>
      <w:r w:rsidR="00E50E59" w:rsidRPr="0014696F">
        <w:fldChar w:fldCharType="begin"/>
      </w:r>
      <w:r w:rsidR="00E50E59" w:rsidRPr="0014696F">
        <w:instrText xml:space="preserve"> REF paragraph00021 \h  \* CharFormat </w:instrText>
      </w:r>
      <w:r w:rsidR="00E50E59" w:rsidRPr="0014696F">
        <w:fldChar w:fldCharType="separate"/>
      </w:r>
      <w:r w:rsidR="0014696F" w:rsidRPr="0014696F">
        <w:t>23</w:t>
      </w:r>
      <w:r w:rsidR="00E50E59" w:rsidRPr="0014696F">
        <w:fldChar w:fldCharType="end"/>
      </w:r>
      <w:r w:rsidR="00551BDB">
        <w:t>) și asupra respectului de sine.</w:t>
      </w:r>
    </w:p>
    <w:p w14:paraId="4B158275" w14:textId="18F9790F" w:rsidR="00E50E59" w:rsidRPr="0014696F" w:rsidRDefault="006709AE" w:rsidP="0014696F">
      <w:pPr>
        <w:pStyle w:val="JuPara"/>
      </w:pPr>
      <w:fldSimple w:instr=" SEQ level0 \*arabic \* MERGEFORMAT ">
        <w:r w:rsidR="0014696F" w:rsidRPr="0014696F">
          <w:t>26</w:t>
        </w:r>
      </w:fldSimple>
      <w:r w:rsidR="00551BDB">
        <w:t>.  Curtea observă că reclamantul a fost supus unui control al identității efectuat în public de către poliție, într-un tren. În opinia reclamantului, acest control a fost efectuat doar din cauza culorii închise a pielii sale și, prin urmare, din motive rasiale. Reclamantul a susținut această acuzație prin observația că, dintre persoanele prezente în diferite compartimente ale vagonului de tren, el și fiica sa erau singurele persoane cu pielea închisă la culoare și singurele persoane care au fost supuse controlului. În plus, explicațiile date de ofițerul de poliție care a efectuat controlul nu au dezvăluit niciun alt motiv obiectiv pentru care reclamantul ar fi fost vizat. Prin urmare, Curtea nu poate fi de acord cu argumentul Guvernului potrivit căruia, în aceste circumstanțe, reclamantul nu ar fi fost vizat din cauza caracteristicilor fizice sau etnice specifice. Reclamantul a susținut de asemenea că verificarea identității în acele condiții a avut efecte negative grave asupra vieții sale private, deoarece s-a simțit atât de stigmatizat și umilit încât a încetat să mai călătorească cu trenul timp de câteva luni.</w:t>
      </w:r>
    </w:p>
    <w:p w14:paraId="133A8CD6" w14:textId="3C04CF0A" w:rsidR="00E50E59" w:rsidRPr="0014696F" w:rsidRDefault="006709AE" w:rsidP="0014696F">
      <w:pPr>
        <w:pStyle w:val="JuPara"/>
      </w:pPr>
      <w:fldSimple w:instr=" SEQ level0 \*arabic \* MERGEFORMAT ">
        <w:r w:rsidR="0014696F" w:rsidRPr="0014696F">
          <w:t>27</w:t>
        </w:r>
      </w:fldSimple>
      <w:r w:rsidR="00551BDB">
        <w:t>.  Curtea consideră că reclamantul și-a justificat argumentul potrivit căruia controlul de identitate efectuat de poliție în aceste circumstanțe speciale a avut consecințe destul de grave asupra dreptului său la respectarea vieții sale private. Prin urmare, controlul identității vizat intră în sfera de aplicare a art. 8. În consecință, se aplică articolul 14.</w:t>
      </w:r>
    </w:p>
    <w:p w14:paraId="4839A869" w14:textId="7A3874FC" w:rsidR="00E50E59" w:rsidRPr="0014696F" w:rsidRDefault="006709AE" w:rsidP="0014696F">
      <w:pPr>
        <w:pStyle w:val="JuPara"/>
      </w:pPr>
      <w:fldSimple w:instr=" SEQ level0 \*arabic \* MERGEFORMAT ">
        <w:r w:rsidR="0014696F" w:rsidRPr="0014696F">
          <w:t>28</w:t>
        </w:r>
      </w:fldSimple>
      <w:r w:rsidR="00551BDB">
        <w:t>.  Curtea constată, în continuare, că plângerea nu este nici vădit nefondată, nici inadmisibilă pentru alte motive enumerate la art. 35 din Convenție. Prin urmare, trebuie să fie declarată admisibilă.</w:t>
      </w:r>
    </w:p>
    <w:p w14:paraId="66FEA699" w14:textId="77777777" w:rsidR="00E50E59" w:rsidRPr="0014696F" w:rsidRDefault="00E50E59" w:rsidP="0014696F">
      <w:pPr>
        <w:pStyle w:val="JuHA"/>
      </w:pPr>
      <w:r>
        <w:t>Cu privire la fond</w:t>
      </w:r>
    </w:p>
    <w:p w14:paraId="524A2F58" w14:textId="396E98E2" w:rsidR="00E50E59" w:rsidRPr="0014696F" w:rsidRDefault="00E50E59" w:rsidP="0014696F">
      <w:pPr>
        <w:pStyle w:val="JuH1"/>
      </w:pPr>
      <w:r>
        <w:t>Argumentele părților</w:t>
      </w:r>
    </w:p>
    <w:p w14:paraId="0307352A" w14:textId="3854BDA8" w:rsidR="00E50E59" w:rsidRPr="0014696F" w:rsidRDefault="006709AE" w:rsidP="0014696F">
      <w:pPr>
        <w:pStyle w:val="JuPara"/>
      </w:pPr>
      <w:fldSimple w:instr=" SEQ level0 \*arabic ">
        <w:r w:rsidR="0014696F" w:rsidRPr="0014696F">
          <w:t>29</w:t>
        </w:r>
      </w:fldSimple>
      <w:r w:rsidR="00E50E59">
        <w:t>.  Potrivit reclamantului, faptul că a fost supus unui control efectuat de poliție exclusiv din cauza culorii pielii sale constituie o încălcare a art. 14. Reclamantul a argumentat că el și fiica sa erau singurii pasageri cu pielea închisă la culoare și singurele persoane a căror identitate fusese controlată în tren. Ofițerii de poliție au explicat că efectuează un control aleatoriu, fără a putea explica criteriile de alegere a persoanelor supuse controlului. În pofida faptului că reclamantul și-a întemeiat acuzația potrivit căreia controlul identității constituia o discriminare și, prin urmare, o gravă încălcare a drepturilor sale, instanțele naționale nu au examinat plângerea sa pe fond și au refuzat să stabilească faptele relevante, în special prin audierea</w:t>
      </w:r>
      <w:r w:rsidR="00FC7DBB">
        <w:t xml:space="preserve"> în calitate de martori a</w:t>
      </w:r>
      <w:r w:rsidR="00E50E59">
        <w:t xml:space="preserve"> fiicei sale și a celor doi ofițeri de poliție care au efectuat controlul.</w:t>
      </w:r>
    </w:p>
    <w:p w14:paraId="468F38D7" w14:textId="0CB6BE7F" w:rsidR="00E50E59" w:rsidRPr="0014696F" w:rsidRDefault="006709AE" w:rsidP="0014696F">
      <w:pPr>
        <w:pStyle w:val="JuPara"/>
      </w:pPr>
      <w:fldSimple w:instr=" SEQ level0 \*arabic ">
        <w:r w:rsidR="0014696F" w:rsidRPr="0014696F">
          <w:t>30</w:t>
        </w:r>
      </w:fldSimple>
      <w:r w:rsidR="00E50E59">
        <w:t xml:space="preserve">.  Guvernul a admis că, presupunând că ar fi existat o ingerință în exercitarea art. 8, statul avea obligația de a efectua o anchetă privind acuzațiile de profilare rasială, având în vedere consecințele grave asupra persoanelor vizate și faptul că numai statul avea competența de a stabili faptele relevante. Cu toate acestea, această sarcină a fost îndeplinită de Poliția federală. Guvernul a susținut că Departamentul de Poliție Federală din </w:t>
      </w:r>
      <w:proofErr w:type="spellStart"/>
      <w:r w:rsidR="00E50E59">
        <w:t>Pirna</w:t>
      </w:r>
      <w:proofErr w:type="spellEnd"/>
      <w:r w:rsidR="00E50E59">
        <w:t>, adică autoritatea polițienească superioară Departamentului de Poliție Federală din Dresda, pentru care lucra ofițerul de poliție P. care a efectuat controalele, a desfășurat anchete interne cu privire la acuzațiile reclamantului. P. a declarat în cadrul acestor anchete că reclamantul nu fusese singura persoană a cărei identitate a fost verificată în timpul controlului de identitate aleatoriu efectuat de către poliție asupra mai multor pasageri aflați în tren. În plus, după ce l-a audiat pe P. și după ce au investigat toate operațiunile poliției din perioada ianuarie 2011-iunie 2013, la care a participat P., precum și cursurile de instruire pe care acesta le urmase, anchetele nu au identificat niciun indiciu de motivație rasistă din partea lui P. Deși nu a avut loc o examinare realizată de autorități independente, și anume instanțe judecătorești, instanțele administrative au oferit motive suficiente pentru a considera acțiunea reclamantului inadmisibilă din cauza lipsei unui interes legitim.</w:t>
      </w:r>
    </w:p>
    <w:p w14:paraId="7F846CDE" w14:textId="52C9DA3C" w:rsidR="00E50E59" w:rsidRPr="0014696F" w:rsidRDefault="00E50E59" w:rsidP="0014696F">
      <w:pPr>
        <w:pStyle w:val="JuH1"/>
      </w:pPr>
      <w:r>
        <w:t>Motivarea Curții</w:t>
      </w:r>
    </w:p>
    <w:p w14:paraId="16516C8C" w14:textId="5AF9B492" w:rsidR="00E50E59" w:rsidRPr="0014696F" w:rsidRDefault="006709AE" w:rsidP="0014696F">
      <w:pPr>
        <w:pStyle w:val="JuPara"/>
      </w:pPr>
      <w:fldSimple w:instr=" SEQ level0 \*arabic \* MERGEFORMAT ">
        <w:r w:rsidR="0014696F" w:rsidRPr="0014696F">
          <w:t>31</w:t>
        </w:r>
      </w:fldSimple>
      <w:r w:rsidR="00551BDB">
        <w:t>.  În ceea ce privește obligația statelor de a efectua o anchetă privind posibilele motivații rasiste ale actului unui agent al statului în contextul unei pretinse încălcări a art. 14 coroborat cu art. 8, Curtea observă de la bun început că această obligație nu a fost contestată de Guvern.</w:t>
      </w:r>
    </w:p>
    <w:p w14:paraId="4CBDFFEA" w14:textId="4C08DDFA" w:rsidR="00E50E59" w:rsidRPr="0014696F" w:rsidRDefault="006709AE" w:rsidP="0014696F">
      <w:pPr>
        <w:pStyle w:val="JuPara"/>
        <w:rPr>
          <w:iCs/>
        </w:rPr>
      </w:pPr>
      <w:fldSimple w:instr=" SEQ level0 \*arabic \* MERGEFORMAT ">
        <w:r w:rsidR="0014696F" w:rsidRPr="0014696F">
          <w:t>32</w:t>
        </w:r>
      </w:fldSimple>
      <w:r w:rsidR="00551BDB">
        <w:t xml:space="preserve">.  Curtea reiterează faptul că, în general, obligațiile de a efectua anchete servesc la asigurarea tragerii la răspundere prin mijloace penale, civile, administrative și profesionale adecvate. În acest context, este important să se reitereze faptul că statul se bucură de o marjă de apreciere în determinarea modului în care își organizează sistemul pentru a asigura respectarea Convenției (a se compara, </w:t>
      </w:r>
      <w:r w:rsidR="00551BDB">
        <w:rPr>
          <w:i/>
        </w:rPr>
        <w:t>mutatis mutandis</w:t>
      </w:r>
      <w:r w:rsidR="00551BDB">
        <w:t xml:space="preserve">, </w:t>
      </w:r>
      <w:r w:rsidR="00551BDB">
        <w:rPr>
          <w:i/>
        </w:rPr>
        <w:t>F.O. împotriva Croației</w:t>
      </w:r>
      <w:r w:rsidR="00551BDB">
        <w:t xml:space="preserve">, nr. 29555/13, pct. 91, 22 aprilie 2021). Acesta a recunoscut anterior o obligație de a efectua o anchetă în contextul art. 8, în anumite circumstanțe, în ceea ce privește actele unor persoane fizice. În ceea ce privește divulgarea datelor cu caracter personal de către actori nestatali, de exemplu, a constatat că obligația pozitivă inerentă respectării efective a vieții private în temeiul art. 8 implică obligația de a efectua anchete efective pentru a remedia problema în măsura în care acest lucru este posibil [a se compara </w:t>
      </w:r>
      <w:proofErr w:type="spellStart"/>
      <w:r w:rsidR="00551BDB">
        <w:rPr>
          <w:i/>
        </w:rPr>
        <w:t>Craxi</w:t>
      </w:r>
      <w:proofErr w:type="spellEnd"/>
      <w:r w:rsidR="00551BDB">
        <w:rPr>
          <w:i/>
        </w:rPr>
        <w:t xml:space="preserve"> împotriva Italiei (nr. 2)</w:t>
      </w:r>
      <w:r w:rsidR="00551BDB">
        <w:t xml:space="preserve">, nr. 25337/94, pct. 74-75, 17 iulie 2003]. În plus, Curtea nu a exclus posibilitatea ca obligația pozitivă a statului de a proteja integritatea unei persoane în temeiul art. 8 să fie extinsă la probleme legate de eficacitatea unei anchete [a se compara </w:t>
      </w:r>
      <w:r w:rsidR="00551BDB">
        <w:rPr>
          <w:i/>
        </w:rPr>
        <w:t>Moldovan și alții împotriva României</w:t>
      </w:r>
      <w:r w:rsidR="00551BDB">
        <w:t xml:space="preserve"> (nr. 2), nr. 41138/98 și 64320/01, pct. 96, CEDO 2005</w:t>
      </w:r>
      <w:r w:rsidR="00551BDB">
        <w:noBreakHyphen/>
        <w:t xml:space="preserve">VII (extrase), și </w:t>
      </w:r>
      <w:proofErr w:type="spellStart"/>
      <w:r w:rsidR="00551BDB">
        <w:rPr>
          <w:i/>
          <w:iCs/>
        </w:rPr>
        <w:t>Burlya</w:t>
      </w:r>
      <w:proofErr w:type="spellEnd"/>
      <w:r w:rsidR="00551BDB">
        <w:rPr>
          <w:i/>
          <w:iCs/>
        </w:rPr>
        <w:t xml:space="preserve"> și alții </w:t>
      </w:r>
      <w:r w:rsidR="00551BDB">
        <w:rPr>
          <w:i/>
          <w:iCs/>
        </w:rPr>
        <w:lastRenderedPageBreak/>
        <w:t>împotriva Ucrainei</w:t>
      </w:r>
      <w:r w:rsidR="00551BDB">
        <w:t>, nr. 3289/10, pct. 161 și 169-70, 6 noiembrie 2018]. Curtea constată că o obligație de a desfășura o anchetă ar trebui să fie cu atât mai puțin exclusă în contextul art. 8 în ceea ce privește actele agenților statului, în cazul în care reclamantul face o plângere întemeiată că a fost vizat din cauza unor caracteristici fizice sau etnice specifice.</w:t>
      </w:r>
    </w:p>
    <w:p w14:paraId="300F91AB" w14:textId="14C221B3" w:rsidR="00E50E59" w:rsidRPr="0014696F" w:rsidRDefault="006709AE" w:rsidP="0014696F">
      <w:pPr>
        <w:pStyle w:val="JuPara"/>
        <w:rPr>
          <w:rFonts w:ascii="Times New Roman" w:eastAsia="Times New Roman" w:hAnsi="Times New Roman" w:cs="Times New Roman"/>
          <w:szCs w:val="20"/>
        </w:rPr>
      </w:pPr>
      <w:fldSimple w:instr=" SEQ level0 \*arabic \* MERGEFORMAT ">
        <w:bookmarkStart w:id="12" w:name="paragraph00031"/>
        <w:r w:rsidR="0014696F" w:rsidRPr="0014696F">
          <w:t>33</w:t>
        </w:r>
        <w:bookmarkEnd w:id="12"/>
      </w:fldSimple>
      <w:r w:rsidR="00551BDB">
        <w:t>.  Curtea reiterează că a recunoscut că, în anumite circumstanțe, autoritățile pot avea sarcina implicită de a efectua anchete privind posibile atitudini rasiste în cadrul responsabilităților care le revin în temeiul art. 14 din Convenție. Aceasta a constatat în special în contextul unor presupuse încălcări ale art. 14 coroborat cu art. 3, că autoritățile statului au obligația</w:t>
      </w:r>
      <w:r w:rsidR="00551BDB">
        <w:rPr>
          <w:rFonts w:ascii="Times New Roman" w:hAnsi="Times New Roman"/>
        </w:rPr>
        <w:t xml:space="preserve"> de a lua toate măsurile rezonabile pentru a identifica dacă au existat motivații rasiste și pentru a stabili dacă ura sau prejudecățile etnice au jucat sau nu un rol în aceste evenimente. Autoritățile trebuie să facă tot ce este rezonabil în aceste circumstanțe pentru a strânge și asigura probele, să exploreze toate mijloacele practice de descoperire a adevărului și să emită decizii obiective, imparțiale și pe deplin motivate, fără a omite faptele suspecte care ar putea indica o violență indusă rasial (a se vedea</w:t>
      </w:r>
      <w:r w:rsidR="00551BDB">
        <w:t xml:space="preserve"> </w:t>
      </w:r>
      <w:r w:rsidR="00551BDB">
        <w:rPr>
          <w:i/>
        </w:rPr>
        <w:t>B.S. împotriva Spaniei</w:t>
      </w:r>
      <w:r w:rsidR="00551BDB">
        <w:t xml:space="preserve">, nr. 47159/08, pct. 58, 24 iulie 2012; </w:t>
      </w:r>
      <w:r w:rsidR="00551BDB">
        <w:rPr>
          <w:i/>
        </w:rPr>
        <w:t>Boacă și alții împotriva României</w:t>
      </w:r>
      <w:r w:rsidR="00551BDB">
        <w:t xml:space="preserve">, nr. 40355/11, pct. 105-06, 12 ianuarie 2016, </w:t>
      </w:r>
      <w:proofErr w:type="spellStart"/>
      <w:r w:rsidR="00551BDB">
        <w:rPr>
          <w:i/>
        </w:rPr>
        <w:t>Burlya</w:t>
      </w:r>
      <w:proofErr w:type="spellEnd"/>
      <w:r w:rsidR="00551BDB">
        <w:rPr>
          <w:i/>
        </w:rPr>
        <w:t xml:space="preserve"> și alții</w:t>
      </w:r>
      <w:r w:rsidR="00551BDB">
        <w:t xml:space="preserve">, citată anterior, pct. 128 și </w:t>
      </w:r>
      <w:proofErr w:type="spellStart"/>
      <w:r w:rsidR="00551BDB">
        <w:rPr>
          <w:i/>
        </w:rPr>
        <w:t>Sabalić</w:t>
      </w:r>
      <w:proofErr w:type="spellEnd"/>
      <w:r w:rsidR="00551BDB">
        <w:rPr>
          <w:i/>
        </w:rPr>
        <w:t xml:space="preserve"> împotriva Croației</w:t>
      </w:r>
      <w:r w:rsidR="00551BDB">
        <w:t>, nr. 50231/13, pct. 94 și 98, 14 ianuarie 2021, cu trimiteri suplimentare</w:t>
      </w:r>
      <w:r w:rsidR="00551BDB">
        <w:rPr>
          <w:rFonts w:ascii="Times New Roman" w:hAnsi="Times New Roman"/>
        </w:rPr>
        <w:t xml:space="preserve">). </w:t>
      </w:r>
      <w:r w:rsidR="00551BDB">
        <w:t xml:space="preserve">Pentru ca o anchetă să fie eficientă, instituțiile și persoanele responsabile pentru desfășurarea acesteia trebuie să fie independente de cele vizate de anchetă. Acest lucru înseamnă nu numai lipsa oricărei legături ierarhice sau instituționale, ci și independență practică (a se vedea </w:t>
      </w:r>
      <w:proofErr w:type="spellStart"/>
      <w:r w:rsidR="00551BDB">
        <w:rPr>
          <w:i/>
        </w:rPr>
        <w:t>Burlya</w:t>
      </w:r>
      <w:proofErr w:type="spellEnd"/>
      <w:r w:rsidR="00551BDB">
        <w:rPr>
          <w:i/>
        </w:rPr>
        <w:t xml:space="preserve"> și alții,</w:t>
      </w:r>
      <w:r w:rsidR="00551BDB">
        <w:t xml:space="preserve"> citată anterior, pct. 127). </w:t>
      </w:r>
      <w:r w:rsidR="00551BDB">
        <w:rPr>
          <w:rFonts w:ascii="Times New Roman" w:hAnsi="Times New Roman"/>
        </w:rPr>
        <w:t>Responsabilitățile autorităților, în temeiul art. 14, de a asigura respectarea fără discriminare a unei valori fundamentale pot, de asemenea, să intervină atunci când, în contextul art. 8, sunt puse în discuție posibile atitudini rasiste care ar duce la stigmatizarea persoanei în cauză.</w:t>
      </w:r>
    </w:p>
    <w:p w14:paraId="605428E8" w14:textId="67618D4C" w:rsidR="00E50E59" w:rsidRPr="0014696F" w:rsidRDefault="006709AE" w:rsidP="0014696F">
      <w:pPr>
        <w:pStyle w:val="JuPara"/>
      </w:pPr>
      <w:fldSimple w:instr=" SEQ level0 \*arabic \* MERGEFORMAT ">
        <w:r w:rsidR="0014696F" w:rsidRPr="0014696F">
          <w:t>34</w:t>
        </w:r>
      </w:fldSimple>
      <w:r w:rsidR="00551BDB">
        <w:t xml:space="preserve">.  În contextul unei plângeri întemeiate de discriminare rasială, Curtea reafirmă de asemenea că discriminarea rasială astfel cum este interzisă de art. 14 este un tip de discriminare deosebit de grav și, având în vedere consecințele sale periculoase, necesită din partea autorităților o vigilență specială și o reacție viguroasă (a se vedea jurisprudența citată la punctul 22 de mai sus). Curtea face trimitere în acest context și la constatarea ECRI potrivit căreia profilarea rasială duce în special la stigmatizarea și alienarea persoanelor vizate (supra, pct. </w:t>
      </w:r>
      <w:r w:rsidR="00E50E59" w:rsidRPr="0014696F">
        <w:fldChar w:fldCharType="begin"/>
      </w:r>
      <w:r w:rsidR="00E50E59" w:rsidRPr="0014696F">
        <w:instrText xml:space="preserve"> REF paragraph00014 \h  \* CharFormat </w:instrText>
      </w:r>
      <w:r w:rsidR="00E50E59" w:rsidRPr="0014696F">
        <w:fldChar w:fldCharType="separate"/>
      </w:r>
      <w:r w:rsidR="0014696F" w:rsidRPr="0014696F">
        <w:t>14</w:t>
      </w:r>
      <w:r w:rsidR="00E50E59" w:rsidRPr="0014696F">
        <w:fldChar w:fldCharType="end"/>
      </w:r>
      <w:r w:rsidR="00551BDB">
        <w:t xml:space="preserve">). Prin urmare, ECRI a subliniat cât este de important ca statul să asigure anchete eficiente în ceea ce privește pretinsele cazuri de discriminare rasială din partea poliției (supra, pct. </w:t>
      </w:r>
      <w:r w:rsidR="00E50E59" w:rsidRPr="0014696F">
        <w:fldChar w:fldCharType="begin"/>
      </w:r>
      <w:r w:rsidR="00E50E59" w:rsidRPr="0014696F">
        <w:instrText xml:space="preserve"> REF paragraph00013 \h  \* CharFormat </w:instrText>
      </w:r>
      <w:r w:rsidR="00E50E59" w:rsidRPr="0014696F">
        <w:fldChar w:fldCharType="separate"/>
      </w:r>
      <w:r w:rsidR="0014696F" w:rsidRPr="0014696F">
        <w:t>13</w:t>
      </w:r>
      <w:r w:rsidR="00E50E59" w:rsidRPr="0014696F">
        <w:fldChar w:fldCharType="end"/>
      </w:r>
      <w:r w:rsidR="00551BDB">
        <w:t xml:space="preserve">). În plus, astfel cum a arătat Comitetul ONU pentru Drepturile Omului, a viza exclusiv persoane cu caracteristici fizice sau etnice specifice în cadrul controalelor de identitate afectează negativ demnitatea persoanelor în cauză și contribuie, de asemenea, la răspândirea atitudinilor xenofobe (supra, pct. </w:t>
      </w:r>
      <w:r w:rsidR="00E50E59" w:rsidRPr="0014696F">
        <w:fldChar w:fldCharType="begin"/>
      </w:r>
      <w:r w:rsidR="00E50E59" w:rsidRPr="0014696F">
        <w:instrText xml:space="preserve"> REF paragraph00011 \h  \* CharFormat </w:instrText>
      </w:r>
      <w:r w:rsidR="00E50E59" w:rsidRPr="0014696F">
        <w:fldChar w:fldCharType="separate"/>
      </w:r>
      <w:r w:rsidR="0014696F" w:rsidRPr="0014696F">
        <w:t>11</w:t>
      </w:r>
      <w:r w:rsidR="00E50E59" w:rsidRPr="0014696F">
        <w:fldChar w:fldCharType="end"/>
      </w:r>
      <w:r w:rsidR="00551BDB">
        <w:t>).</w:t>
      </w:r>
    </w:p>
    <w:p w14:paraId="17B239AE" w14:textId="592F6515" w:rsidR="00E50E59" w:rsidRPr="0014696F" w:rsidRDefault="006709AE" w:rsidP="0014696F">
      <w:pPr>
        <w:pStyle w:val="JuPara"/>
      </w:pPr>
      <w:fldSimple w:instr=" SEQ level0 \*arabic \* MERGEFORMAT ">
        <w:r w:rsidR="0014696F" w:rsidRPr="0014696F">
          <w:t>35</w:t>
        </w:r>
      </w:fldSimple>
      <w:r w:rsidR="00551BDB">
        <w:t xml:space="preserve">.  Având în vedere elementele de mai sus, Curtea consideră că, din momentul în care există o plângere întemeiată potrivit căreia persoana în cauză ar fi putut fi vizată din cauza caracteristicilor rasiale și astfel de acte, în condițiile de prag stabilite mai sus (a se vedea supra, pct. </w:t>
      </w:r>
      <w:r w:rsidR="00E50E59" w:rsidRPr="0014696F">
        <w:fldChar w:fldCharType="begin"/>
      </w:r>
      <w:r w:rsidR="00E50E59" w:rsidRPr="0014696F">
        <w:instrText xml:space="preserve"> REF paragraph00019 \h  \* CharFormat </w:instrText>
      </w:r>
      <w:r w:rsidR="00E50E59" w:rsidRPr="0014696F">
        <w:fldChar w:fldCharType="separate"/>
      </w:r>
      <w:r w:rsidR="0014696F" w:rsidRPr="0014696F">
        <w:t>21</w:t>
      </w:r>
      <w:r w:rsidR="00E50E59" w:rsidRPr="0014696F">
        <w:fldChar w:fldCharType="end"/>
      </w:r>
      <w:r w:rsidR="00551BDB">
        <w:t xml:space="preserve"> și urm.), intră în sfera de aplicare a art. 8, sarcina autorităților de a desfășura o anchetă asupra existenței unei posibile legături între atitudini rasiste și actul unui agent al statului trebuie considerată ca fiind implicită în cadrul responsabilităților care le revin în temeiul art. 14 din Convenție și, de asemenea, atunci când este examinată în coroborare cu art. 8. Acest lucru este esențial pentru ca protecția împotriva discriminării rasiale să nu devină teoretică și iluzorie în contextul unor acte non-violente care trebuie examinate în temeiul art. 8, pentru a asigura protecția împotriva stigmatizării persoanelor vizate și pentru a preveni răspândirea atitudinilor xenofobe.</w:t>
      </w:r>
    </w:p>
    <w:p w14:paraId="2B5B832E" w14:textId="310540F2" w:rsidR="00E50E59" w:rsidRPr="0014696F" w:rsidRDefault="006709AE" w:rsidP="0014696F">
      <w:pPr>
        <w:pStyle w:val="JuPara"/>
      </w:pPr>
      <w:fldSimple w:instr=" SEQ level0 \*arabic \* MERGEFORMAT ">
        <w:r w:rsidR="0014696F" w:rsidRPr="0014696F">
          <w:t>36</w:t>
        </w:r>
      </w:fldSimple>
      <w:r w:rsidR="00551BDB">
        <w:t xml:space="preserve">.  Pentru a stabili dacă, în speță, autoritățile statului și-au respectat obligația de a lua toate măsurile rezonabile pentru a identifica dacă existau motive rasiste pentru controlul identității, Curtea observă că, potrivit Guvernului, autoritatea polițienească superioară Departamentului de Poliție Federală din Dresda, pentru care lucra ofițerul de poliție P. care a realizat controlul, a efectuat o anchetă internă asupra incidentului. Cu toate acestea, având în vedere legăturile ierarhice și instituționale dintre autoritatea de anchetă și agentul statului care a efectuat actul în cauză, anchetele efectuate în această privință nu pot fi considerate independente (a se compara supra, pct. </w:t>
      </w:r>
      <w:r w:rsidR="00E50E59" w:rsidRPr="0014696F">
        <w:fldChar w:fldCharType="begin"/>
      </w:r>
      <w:r w:rsidR="00E50E59" w:rsidRPr="0014696F">
        <w:instrText xml:space="preserve"> REF paragraph00031 \h  \* CharFormat </w:instrText>
      </w:r>
      <w:r w:rsidR="00E50E59" w:rsidRPr="0014696F">
        <w:fldChar w:fldCharType="separate"/>
      </w:r>
      <w:r w:rsidR="0014696F" w:rsidRPr="0014696F">
        <w:t>33</w:t>
      </w:r>
      <w:r w:rsidR="00E50E59" w:rsidRPr="0014696F">
        <w:fldChar w:fldCharType="end"/>
      </w:r>
      <w:r w:rsidR="00551BDB">
        <w:t>).</w:t>
      </w:r>
    </w:p>
    <w:p w14:paraId="70C453AD" w14:textId="52D57BB8" w:rsidR="00E50E59" w:rsidRPr="0014696F" w:rsidRDefault="006709AE" w:rsidP="0014696F">
      <w:pPr>
        <w:pStyle w:val="JuPara"/>
        <w:rPr>
          <w:rFonts w:ascii="Times New Roman" w:eastAsia="Times New Roman" w:hAnsi="Times New Roman" w:cs="Times New Roman"/>
          <w:szCs w:val="20"/>
        </w:rPr>
      </w:pPr>
      <w:fldSimple w:instr=" SEQ level0 \*arabic \* MERGEFORMAT ">
        <w:r w:rsidR="0014696F" w:rsidRPr="0014696F">
          <w:t>37</w:t>
        </w:r>
      </w:fldSimple>
      <w:r w:rsidR="00551BDB">
        <w:t xml:space="preserve">.  În ceea ce privește procedura în fața instanțelor administrative, Curtea observă că aceste instanțe au refuzat să examineze pe fond plângerea reclamantului conform căreia a fost tratat într-o manieră discriminatorie prin controlul identității. În pofida unei pretenții întemeiate potrivit căreia reclamantul ar fi fost victima profilării rasiale, acestea nu au administrat probele necesare și, în special, nu au audiat martorii prezenți în timpul controlului de identitate (a se vedea supra, pct. </w:t>
      </w:r>
      <w:r w:rsidR="00E50E59" w:rsidRPr="0014696F">
        <w:fldChar w:fldCharType="begin"/>
      </w:r>
      <w:r w:rsidR="00E50E59" w:rsidRPr="0014696F">
        <w:instrText xml:space="preserve"> REF paragraph00007 \h  \* CharFormat </w:instrText>
      </w:r>
      <w:r w:rsidR="00E50E59" w:rsidRPr="0014696F">
        <w:fldChar w:fldCharType="separate"/>
      </w:r>
      <w:r w:rsidR="0014696F" w:rsidRPr="0014696F">
        <w:t>7</w:t>
      </w:r>
      <w:r w:rsidR="00E50E59" w:rsidRPr="0014696F">
        <w:fldChar w:fldCharType="end"/>
      </w:r>
      <w:r w:rsidR="00551BDB">
        <w:t xml:space="preserve">). Aceste instanțe au respins acțiunea reclamantului pe motive formale, considerând că reclamantul nu avea un interes legitim </w:t>
      </w:r>
      <w:r w:rsidR="00551BDB">
        <w:rPr>
          <w:rFonts w:ascii="Times New Roman" w:hAnsi="Times New Roman"/>
        </w:rPr>
        <w:t xml:space="preserve">pentru obținerea unei decizii privind legalitatea controlului identității sale care îl vizase (a se vedea supra, pct. </w:t>
      </w:r>
      <w:r w:rsidR="00E50E59" w:rsidRPr="0014696F">
        <w:rPr>
          <w:rFonts w:ascii="Times New Roman" w:eastAsia="Times New Roman" w:hAnsi="Times New Roman" w:cs="Times New Roman"/>
        </w:rPr>
        <w:fldChar w:fldCharType="begin"/>
      </w:r>
      <w:r w:rsidR="00E50E59" w:rsidRPr="0014696F">
        <w:rPr>
          <w:rFonts w:ascii="Times New Roman" w:eastAsia="Times New Roman" w:hAnsi="Times New Roman" w:cs="Times New Roman"/>
        </w:rPr>
        <w:instrText xml:space="preserve"> REF paragraph00007 \h  \* CharFormat </w:instrText>
      </w:r>
      <w:r w:rsidR="00E50E59" w:rsidRPr="0014696F">
        <w:rPr>
          <w:rFonts w:ascii="Times New Roman" w:eastAsia="Times New Roman" w:hAnsi="Times New Roman" w:cs="Times New Roman"/>
        </w:rPr>
      </w:r>
      <w:r w:rsidR="00E50E59" w:rsidRPr="0014696F">
        <w:rPr>
          <w:rFonts w:ascii="Times New Roman" w:eastAsia="Times New Roman" w:hAnsi="Times New Roman" w:cs="Times New Roman"/>
        </w:rPr>
        <w:fldChar w:fldCharType="separate"/>
      </w:r>
      <w:r w:rsidR="0014696F" w:rsidRPr="0014696F">
        <w:rPr>
          <w:rFonts w:ascii="Times New Roman" w:eastAsia="Times New Roman" w:hAnsi="Times New Roman" w:cs="Times New Roman"/>
        </w:rPr>
        <w:t>7</w:t>
      </w:r>
      <w:r w:rsidR="00E50E59" w:rsidRPr="0014696F">
        <w:rPr>
          <w:rFonts w:ascii="Times New Roman" w:eastAsia="Times New Roman" w:hAnsi="Times New Roman" w:cs="Times New Roman"/>
        </w:rPr>
        <w:fldChar w:fldCharType="end"/>
      </w:r>
      <w:r w:rsidR="00551BDB">
        <w:t xml:space="preserve"> </w:t>
      </w:r>
      <w:r w:rsidR="00551BDB">
        <w:rPr>
          <w:rFonts w:ascii="Times New Roman" w:hAnsi="Times New Roman"/>
        </w:rPr>
        <w:t>și</w:t>
      </w:r>
      <w:r w:rsidR="00B41D74">
        <w:rPr>
          <w:rFonts w:ascii="Times New Roman" w:hAnsi="Times New Roman"/>
        </w:rPr>
        <w:t xml:space="preserve"> </w:t>
      </w:r>
      <w:r w:rsidR="00E50E59" w:rsidRPr="0014696F">
        <w:rPr>
          <w:rFonts w:ascii="Times New Roman" w:eastAsia="Times New Roman" w:hAnsi="Times New Roman" w:cs="Times New Roman"/>
        </w:rPr>
        <w:fldChar w:fldCharType="begin"/>
      </w:r>
      <w:r w:rsidR="00E50E59" w:rsidRPr="0014696F">
        <w:rPr>
          <w:rFonts w:ascii="Times New Roman" w:eastAsia="Times New Roman" w:hAnsi="Times New Roman" w:cs="Times New Roman"/>
        </w:rPr>
        <w:instrText xml:space="preserve"> REF paragraph00008 \h  \* CharFormat </w:instrText>
      </w:r>
      <w:r w:rsidR="00E50E59" w:rsidRPr="0014696F">
        <w:rPr>
          <w:rFonts w:ascii="Times New Roman" w:eastAsia="Times New Roman" w:hAnsi="Times New Roman" w:cs="Times New Roman"/>
        </w:rPr>
      </w:r>
      <w:r w:rsidR="00E50E59" w:rsidRPr="0014696F">
        <w:rPr>
          <w:rFonts w:ascii="Times New Roman" w:eastAsia="Times New Roman" w:hAnsi="Times New Roman" w:cs="Times New Roman"/>
        </w:rPr>
        <w:fldChar w:fldCharType="separate"/>
      </w:r>
      <w:r w:rsidR="0014696F" w:rsidRPr="0014696F">
        <w:rPr>
          <w:rFonts w:ascii="Times New Roman" w:eastAsia="Times New Roman" w:hAnsi="Times New Roman" w:cs="Times New Roman"/>
        </w:rPr>
        <w:t>8</w:t>
      </w:r>
      <w:r w:rsidR="00E50E59" w:rsidRPr="0014696F">
        <w:rPr>
          <w:rFonts w:ascii="Times New Roman" w:eastAsia="Times New Roman" w:hAnsi="Times New Roman" w:cs="Times New Roman"/>
        </w:rPr>
        <w:fldChar w:fldCharType="end"/>
      </w:r>
      <w:r w:rsidR="00551BDB">
        <w:rPr>
          <w:rFonts w:ascii="Times New Roman" w:hAnsi="Times New Roman"/>
        </w:rPr>
        <w:t>).</w:t>
      </w:r>
    </w:p>
    <w:p w14:paraId="56C5B55D" w14:textId="3F9ABFBA" w:rsidR="00181C17" w:rsidRPr="0014696F" w:rsidRDefault="00E50E59" w:rsidP="0014696F">
      <w:pPr>
        <w:pStyle w:val="JuPara"/>
        <w:rPr>
          <w:rFonts w:ascii="Times New Roman" w:eastAsia="Times New Roman" w:hAnsi="Times New Roman" w:cs="Times New Roman"/>
          <w:szCs w:val="20"/>
        </w:rPr>
      </w:pPr>
      <w:r w:rsidRPr="0014696F">
        <w:rPr>
          <w:rFonts w:ascii="Times New Roman" w:eastAsia="Times New Roman" w:hAnsi="Times New Roman" w:cs="Times New Roman"/>
        </w:rPr>
        <w:fldChar w:fldCharType="begin"/>
      </w:r>
      <w:r w:rsidRPr="0014696F">
        <w:rPr>
          <w:rFonts w:ascii="Times New Roman" w:eastAsia="Times New Roman" w:hAnsi="Times New Roman" w:cs="Times New Roman"/>
        </w:rPr>
        <w:instrText xml:space="preserve"> SEQ level0 \*arabic \* MERGEFORMAT </w:instrText>
      </w:r>
      <w:r w:rsidRPr="0014696F">
        <w:rPr>
          <w:rFonts w:ascii="Times New Roman" w:eastAsia="Times New Roman" w:hAnsi="Times New Roman" w:cs="Times New Roman"/>
        </w:rPr>
        <w:fldChar w:fldCharType="separate"/>
      </w:r>
      <w:r w:rsidR="0014696F" w:rsidRPr="0014696F">
        <w:rPr>
          <w:rFonts w:ascii="Times New Roman" w:eastAsia="Times New Roman" w:hAnsi="Times New Roman" w:cs="Times New Roman"/>
        </w:rPr>
        <w:t>38</w:t>
      </w:r>
      <w:r w:rsidRPr="0014696F">
        <w:rPr>
          <w:rFonts w:ascii="Times New Roman" w:eastAsia="Times New Roman" w:hAnsi="Times New Roman" w:cs="Times New Roman"/>
        </w:rPr>
        <w:fldChar w:fldCharType="end"/>
      </w:r>
      <w:r>
        <w:rPr>
          <w:rFonts w:ascii="Times New Roman" w:hAnsi="Times New Roman"/>
        </w:rPr>
        <w:t>.  În aceste circumstanțe, Curtea trebuie să concluzioneze că autoritățile statului nu și-au respectat obligația de a lua toate măsurile rezonabile pentru a stabili, prin intermediul unui organism independent, dacă o atitudine discriminatorie a avut sau nu un rol în controlul identității și, prin urmare, nu au efectuat o anchetă efectivă în această privință.</w:t>
      </w:r>
      <w:r>
        <w:t xml:space="preserve"> </w:t>
      </w:r>
      <w:r>
        <w:rPr>
          <w:rFonts w:ascii="Times New Roman" w:hAnsi="Times New Roman"/>
        </w:rPr>
        <w:t>Prin urmare, Curtea nu poate să constate dacă reclamantul a fost supus controlului identității din cauza originii sale etnice.</w:t>
      </w:r>
    </w:p>
    <w:p w14:paraId="23777A64" w14:textId="0C3EF219" w:rsidR="00E50E59" w:rsidRPr="0014696F" w:rsidRDefault="006709AE" w:rsidP="0014696F">
      <w:pPr>
        <w:pStyle w:val="JuPara"/>
      </w:pPr>
      <w:fldSimple w:instr=" SEQ level0 \*arabic ">
        <w:r w:rsidR="0014696F" w:rsidRPr="0014696F">
          <w:t>39</w:t>
        </w:r>
      </w:fldSimple>
      <w:r w:rsidR="00E50E59">
        <w:t>.  În consecință, a existat o încălcare a art. 14 coroborat cu art. 8 din Convenție.</w:t>
      </w:r>
    </w:p>
    <w:p w14:paraId="399F1A28" w14:textId="77777777" w:rsidR="00E50E59" w:rsidRPr="0014696F" w:rsidRDefault="00E50E59" w:rsidP="0014696F">
      <w:pPr>
        <w:pStyle w:val="JuHIRoman"/>
      </w:pPr>
      <w:r>
        <w:lastRenderedPageBreak/>
        <w:t>CU PRIVIRE LA PRETINSA ÎNCĂLCARE A ART. 13 DIN CONVENȚIE</w:t>
      </w:r>
    </w:p>
    <w:p w14:paraId="27BB437B" w14:textId="0D44FCB8" w:rsidR="00E50E59" w:rsidRPr="0014696F" w:rsidRDefault="006709AE" w:rsidP="0014696F">
      <w:pPr>
        <w:pStyle w:val="JuPara"/>
      </w:pPr>
      <w:fldSimple w:instr=" SEQ level0 \*arabic ">
        <w:r w:rsidR="0014696F" w:rsidRPr="0014696F">
          <w:t>40</w:t>
        </w:r>
      </w:fldSimple>
      <w:r w:rsidR="00E50E59">
        <w:t>.  Reclamantul s-a mai plâns în temeiul art. 13 din Convenție de faptul că instanțele naționale au refuzat să se pronunțe pe fond asupra plângerii sale cu privire la controlul identității, pe care acesta l-a considerat discriminatoriu și care a încălcat dreptul său la libera circulație. Art. 13 prevede:</w:t>
      </w:r>
    </w:p>
    <w:p w14:paraId="56187C15" w14:textId="77777777" w:rsidR="00E50E59" w:rsidRPr="0014696F" w:rsidRDefault="00E50E59" w:rsidP="0014696F">
      <w:pPr>
        <w:pStyle w:val="JuQuot"/>
      </w:pPr>
      <w:r>
        <w:t>„Orice persoană, ale cărei drepturi și libertăți recunoscute de [prezenta] Convenție au fost încălcate, are dreptul să se adreseze efectiv unei instanțe naționale, chiar și atunci când încălcarea s-ar datora unor persoane care au acționat în exercitarea atribuțiilor lor oficiale.”</w:t>
      </w:r>
    </w:p>
    <w:p w14:paraId="045D0687" w14:textId="5D859D68" w:rsidR="00E50E59" w:rsidRPr="0014696F" w:rsidRDefault="006709AE" w:rsidP="0014696F">
      <w:pPr>
        <w:pStyle w:val="JuPara"/>
      </w:pPr>
      <w:fldSimple w:instr=" SEQ level0 \*arabic ">
        <w:r w:rsidR="0014696F" w:rsidRPr="0014696F">
          <w:t>41</w:t>
        </w:r>
      </w:fldSimple>
      <w:r w:rsidR="00E50E59">
        <w:t>.  Având în vedere concluziile sale în temeiul art. 14 coroborat cu art. 8 de mai sus, Curtea consideră că reclamantul a formulat o plângere întemeiată pe baza acestor dispoziții ale Convenției și că, prin urmare, art. 13 din Convenție este aplicabil. Curtea constată că plângerea reclamantului în temeiul art. 13 nu este nici vădit nefondată, nici inadmisibilă pentru alte motive enumerate la art. 35 din Convenție. Prin urmare, trebuie să fie declarată admisibilă.</w:t>
      </w:r>
    </w:p>
    <w:p w14:paraId="7FD014CC" w14:textId="419A0D2D" w:rsidR="00E50E59" w:rsidRPr="0014696F" w:rsidRDefault="006709AE" w:rsidP="0014696F">
      <w:pPr>
        <w:pStyle w:val="JuPara"/>
      </w:pPr>
      <w:fldSimple w:instr=" SEQ level0 \*arabic ">
        <w:r w:rsidR="0014696F" w:rsidRPr="0014696F">
          <w:t>42</w:t>
        </w:r>
      </w:fldSimple>
      <w:r w:rsidR="00E50E59">
        <w:t>.  Curtea observă că a constatat o încălcare a art. 14 coroborat cu art. 8, în special deoarece instanțele administrative au refuzat să examineze pe fond plângerea reclamantului cu privire la faptul că a fost tratat într-o manieră discriminatorie prin controlul identității, ceea ce reprezintă de asemenea esența capătului de cerere al reclamantului în temeiul art. 13. Prin urmare, Curtea consideră că acest capăt de cerere nu ridică o problemă separată care să fie examinată în plus față de concluziile sale în temeiul art. 14 coroborat cu art. 8 în circumstanțele speței.</w:t>
      </w:r>
    </w:p>
    <w:p w14:paraId="6CBAD94E" w14:textId="77777777" w:rsidR="00E50E59" w:rsidRPr="0014696F" w:rsidRDefault="00E50E59" w:rsidP="0014696F">
      <w:pPr>
        <w:pStyle w:val="JuHIRoman"/>
      </w:pPr>
      <w:r>
        <w:t>CU PRIVIRE LA CELELALTE PRETINSE ÎNCĂLCĂRI ALE CONVENȚIEI</w:t>
      </w:r>
    </w:p>
    <w:p w14:paraId="572F87A3" w14:textId="1958A23E" w:rsidR="00E50E59" w:rsidRPr="0014696F" w:rsidRDefault="006709AE" w:rsidP="0014696F">
      <w:pPr>
        <w:pStyle w:val="JuPara"/>
      </w:pPr>
      <w:fldSimple w:instr=" SEQ level0 \*arabic ">
        <w:r w:rsidR="0014696F" w:rsidRPr="0014696F">
          <w:t>43</w:t>
        </w:r>
      </w:fldSimple>
      <w:r w:rsidR="00E50E59">
        <w:t>.  În sfârșit, reclamantul s-a plâns de încălcarea dreptului său la libera circulație în temeiul art. 2 din Protocolul nr. 4 la Convenție, întrucât nu a existat un temei juridic suficient pentru controlul identității.</w:t>
      </w:r>
    </w:p>
    <w:p w14:paraId="55734D42" w14:textId="24768D01" w:rsidR="00E50E59" w:rsidRPr="0014696F" w:rsidRDefault="006709AE" w:rsidP="0014696F">
      <w:pPr>
        <w:pStyle w:val="JuPara"/>
      </w:pPr>
      <w:fldSimple w:instr=" SEQ level0 \*arabic \* MERGEFORMAT ">
        <w:r w:rsidR="0014696F" w:rsidRPr="0014696F">
          <w:t>44</w:t>
        </w:r>
      </w:fldSimple>
      <w:r w:rsidR="00551BDB">
        <w:t>.  În lumina tuturor elementelor de care dispune și în măsura în care este competentă să se pronunțe cu privire la aspectul invocat, Curtea nu constată nicio aparentă încălcare a art. 2 la Protocolul nr. 4 care să reiasă din acest capăt de cerere. Rezultă că acest capăt de cerere este în mod vădit nefondat și trebuie respins în temeiul art. 35 § 3 lit. a) și § 4 din Convenție.</w:t>
      </w:r>
    </w:p>
    <w:p w14:paraId="4367BD09" w14:textId="77777777" w:rsidR="00E50E59" w:rsidRPr="0014696F" w:rsidRDefault="00E50E59" w:rsidP="0014696F">
      <w:pPr>
        <w:pStyle w:val="JuHIRoman"/>
      </w:pPr>
      <w:r>
        <w:t>CU PRIVIRE LA APLICAREA ART. 41 DIN CONVENȚIE</w:t>
      </w:r>
    </w:p>
    <w:p w14:paraId="7DCBD6DC" w14:textId="75FA87A7" w:rsidR="00E50E59" w:rsidRPr="0014696F" w:rsidRDefault="006709AE" w:rsidP="0014696F">
      <w:pPr>
        <w:pStyle w:val="JuPara"/>
        <w:keepNext/>
        <w:keepLines/>
      </w:pPr>
      <w:fldSimple w:instr=" SEQ level0 \*arabic ">
        <w:r w:rsidR="0014696F" w:rsidRPr="0014696F">
          <w:t>45</w:t>
        </w:r>
      </w:fldSimple>
      <w:r w:rsidR="00E50E59">
        <w:t>.  Art. 41 din Convenție prevede:</w:t>
      </w:r>
    </w:p>
    <w:p w14:paraId="0FFEB8E6" w14:textId="77777777" w:rsidR="00E50E59" w:rsidRPr="0014696F" w:rsidRDefault="00E50E59" w:rsidP="0014696F">
      <w:pPr>
        <w:pStyle w:val="JuQuot"/>
      </w:pPr>
      <w:r>
        <w:t xml:space="preserve">„Dacă Curtea declară că a avut loc o încălcare a Convenției sau a protocoalelor sale și dacă dreptul intern al înaltei părți contractante nu permite decât o înlăturare </w:t>
      </w:r>
      <w:r>
        <w:lastRenderedPageBreak/>
        <w:t>incompletă a consecințelor acestei încălcări, Curtea acordă părții lezate, dacă este cazul, o reparație echitabilă.”</w:t>
      </w:r>
    </w:p>
    <w:p w14:paraId="3A081683" w14:textId="50E19838" w:rsidR="00E50E59" w:rsidRPr="0014696F" w:rsidRDefault="006709AE" w:rsidP="0014696F">
      <w:pPr>
        <w:pStyle w:val="JuPara"/>
      </w:pPr>
      <w:fldSimple w:instr=" SEQ level0 \*arabic ">
        <w:r w:rsidR="0014696F" w:rsidRPr="0014696F">
          <w:t>46</w:t>
        </w:r>
      </w:fldSimple>
      <w:r w:rsidR="00E50E59">
        <w:t>.  Reclamantul nu a formulat nicio cerere de acordare a unei reparații echitabile în temeiul art. 41 din Convenție. În consecință, Curtea nu acordă nicio sumă în această privință.</w:t>
      </w:r>
    </w:p>
    <w:p w14:paraId="635479F4" w14:textId="77777777" w:rsidR="00E50E59" w:rsidRPr="0014696F" w:rsidRDefault="00E50E59" w:rsidP="0014696F">
      <w:pPr>
        <w:pStyle w:val="JuHHead"/>
        <w:numPr>
          <w:ilvl w:val="0"/>
          <w:numId w:val="1"/>
        </w:numPr>
        <w:ind w:left="360" w:hanging="360"/>
      </w:pPr>
      <w:r>
        <w:t>PENTRU ACESTE MOTIVE, CURTEA, ÎN UNANIMITATE,</w:t>
      </w:r>
    </w:p>
    <w:p w14:paraId="3AD761BA" w14:textId="77777777" w:rsidR="00E50E59" w:rsidRPr="0014696F" w:rsidRDefault="00E50E59" w:rsidP="0014696F">
      <w:pPr>
        <w:pStyle w:val="JuList"/>
      </w:pPr>
      <w:r>
        <w:rPr>
          <w:i/>
          <w:iCs/>
        </w:rPr>
        <w:t>Declară</w:t>
      </w:r>
      <w:r>
        <w:t xml:space="preserve"> cererea admisibilă în ceea ce privește capetele de cerere întemeiate pe art. 14 coroborat cu art. 8 din Convenție și pe art. 13 din Convenție și inadmisibilă pentru celelalte capete de cerere;</w:t>
      </w:r>
    </w:p>
    <w:p w14:paraId="73CCFF79" w14:textId="77777777" w:rsidR="00E50E59" w:rsidRPr="0014696F" w:rsidRDefault="00E50E59" w:rsidP="0014696F">
      <w:pPr>
        <w:pStyle w:val="JuList"/>
        <w:rPr>
          <w:i/>
          <w:iCs/>
        </w:rPr>
      </w:pPr>
      <w:r>
        <w:rPr>
          <w:i/>
          <w:iCs/>
        </w:rPr>
        <w:t>Hotărăște</w:t>
      </w:r>
      <w:r>
        <w:t xml:space="preserve"> că a fost încălcat art. 14 coroborat cu art. 8 din Convenție.</w:t>
      </w:r>
    </w:p>
    <w:p w14:paraId="1A71BC2C" w14:textId="77777777" w:rsidR="004D0EC7" w:rsidRPr="0014696F" w:rsidRDefault="00E50E59" w:rsidP="0014696F">
      <w:pPr>
        <w:pStyle w:val="JuList"/>
      </w:pPr>
      <w:r>
        <w:rPr>
          <w:i/>
          <w:iCs/>
        </w:rPr>
        <w:t>Hotărăște</w:t>
      </w:r>
      <w:r>
        <w:t xml:space="preserve"> că nu este necesar să examineze capătul de cerere întemeiat pe art. 13 din Convenție.</w:t>
      </w:r>
    </w:p>
    <w:p w14:paraId="184C972A" w14:textId="320B600E" w:rsidR="008E3A08" w:rsidRPr="0014696F" w:rsidRDefault="007E2C8C" w:rsidP="0014696F">
      <w:pPr>
        <w:pStyle w:val="JuParaLast"/>
      </w:pPr>
      <w:r>
        <w:t>Redactată în limba engleză și comunicată în scris la 18 octombrie 2022, în conformitate cu art. 77 § 2 și § 3 din Regulamentul Curții.</w:t>
      </w:r>
    </w:p>
    <w:p w14:paraId="4D4FDC0E" w14:textId="017A69D2" w:rsidR="008B092C" w:rsidRPr="0014696F" w:rsidRDefault="00281B7C" w:rsidP="0014696F">
      <w:pPr>
        <w:pStyle w:val="ECHRPlaceholder"/>
        <w:rPr>
          <w:szCs w:val="22"/>
        </w:rPr>
      </w:pPr>
      <w:r>
        <w:tab/>
      </w:r>
    </w:p>
    <w:p w14:paraId="0BB9EEF7" w14:textId="1489552A" w:rsidR="001C055B" w:rsidRPr="0014696F" w:rsidRDefault="002E7764" w:rsidP="0014696F">
      <w:pPr>
        <w:pStyle w:val="JuSigned"/>
      </w:pPr>
      <w:r>
        <w:tab/>
        <w:t xml:space="preserve">Milan </w:t>
      </w:r>
      <w:proofErr w:type="spellStart"/>
      <w:r>
        <w:t>Blaško</w:t>
      </w:r>
      <w:proofErr w:type="spellEnd"/>
      <w:r>
        <w:t xml:space="preserve"> </w:t>
      </w:r>
      <w:r>
        <w:tab/>
        <w:t xml:space="preserve">Georges </w:t>
      </w:r>
      <w:proofErr w:type="spellStart"/>
      <w:r>
        <w:t>Ravarani</w:t>
      </w:r>
      <w:proofErr w:type="spellEnd"/>
      <w:r>
        <w:br/>
      </w:r>
      <w:r>
        <w:tab/>
        <w:t>Grefier</w:t>
      </w:r>
      <w:r>
        <w:tab/>
        <w:t>Președinte</w:t>
      </w:r>
    </w:p>
    <w:p w14:paraId="77112017" w14:textId="77777777" w:rsidR="00675AF2" w:rsidRPr="0014696F" w:rsidRDefault="00675AF2" w:rsidP="0014696F">
      <w:pPr>
        <w:pStyle w:val="JuPara"/>
      </w:pPr>
    </w:p>
    <w:p w14:paraId="47A238DC" w14:textId="5EB3FA4C" w:rsidR="00150193" w:rsidRPr="0014696F" w:rsidRDefault="00150193" w:rsidP="0014696F">
      <w:pPr>
        <w:pStyle w:val="JuParaLast"/>
      </w:pPr>
      <w:r>
        <w:t xml:space="preserve">În conformitate cu art. 45 § 2 din Convenție și art. 74 § 2 din Regulamentul Curții, la prezenta hotărâre se anexează opinia separată a judecătorului </w:t>
      </w:r>
      <w:proofErr w:type="spellStart"/>
      <w:r>
        <w:t>Pavli</w:t>
      </w:r>
      <w:proofErr w:type="spellEnd"/>
      <w:r>
        <w:t>.</w:t>
      </w:r>
    </w:p>
    <w:p w14:paraId="03F05E36" w14:textId="3EE32126" w:rsidR="00150193" w:rsidRPr="0014696F" w:rsidRDefault="00150193" w:rsidP="0014696F">
      <w:pPr>
        <w:pStyle w:val="JuInitialled"/>
      </w:pPr>
      <w:r>
        <w:t>G.R.</w:t>
      </w:r>
      <w:r>
        <w:br/>
        <w:t>M.B.</w:t>
      </w:r>
      <w:r>
        <w:br/>
      </w:r>
    </w:p>
    <w:p w14:paraId="32C059F2" w14:textId="77777777" w:rsidR="00150193" w:rsidRPr="0014696F" w:rsidRDefault="00150193" w:rsidP="0014696F">
      <w:pPr>
        <w:sectPr w:rsidR="00150193" w:rsidRPr="0014696F" w:rsidSect="00AC4D2B">
          <w:headerReference w:type="default" r:id="rId17"/>
          <w:footnotePr>
            <w:numRestart w:val="eachSect"/>
          </w:footnotePr>
          <w:pgSz w:w="11906" w:h="16838" w:code="9"/>
          <w:pgMar w:top="2274" w:right="2274" w:bottom="2274" w:left="2274" w:header="1701" w:footer="720" w:gutter="0"/>
          <w:pgNumType w:start="1"/>
          <w:cols w:space="720"/>
          <w:docGrid w:linePitch="326"/>
        </w:sectPr>
      </w:pPr>
    </w:p>
    <w:p w14:paraId="37CA966A" w14:textId="77777777" w:rsidR="00957913" w:rsidRPr="0014696F" w:rsidRDefault="00957913" w:rsidP="00A65921">
      <w:pPr>
        <w:pStyle w:val="DecHTitle"/>
      </w:pPr>
      <w:r>
        <w:lastRenderedPageBreak/>
        <w:t>OPINIA PARŢIAL DISIDENTĂ A JUDECĂTORULUI PAVLI</w:t>
      </w:r>
    </w:p>
    <w:p w14:paraId="3BEC9F37" w14:textId="4AED88FF" w:rsidR="0060420E" w:rsidRPr="0014696F" w:rsidRDefault="0060420E" w:rsidP="0014696F">
      <w:pPr>
        <w:pStyle w:val="JuPara"/>
        <w:rPr>
          <w:rFonts w:eastAsia="Times New Roman"/>
        </w:rPr>
      </w:pPr>
      <w:r>
        <w:t xml:space="preserve">1.  Am votat în sprijinul hotărârii unanime potrivit căreia în prezenta cauză este aplicabil art. 14 coroborat cu art. 8 din Convenție; și că a existat o încălcare procedurală a acestei dispoziții din cauza unei anchete deficitare în ceea ce privește acuzațiile de discriminare rasială formulate de reclamant. Doresc, de asemenea, să recunosc caracterul inovator al acestei hotărâri, întrucât, împreună cu hotărârea </w:t>
      </w:r>
      <w:r>
        <w:rPr>
          <w:i/>
        </w:rPr>
        <w:t>Muhammad împotriva Spaniei</w:t>
      </w:r>
      <w:r>
        <w:t xml:space="preserve"> (nr. 34085/17, 18 octombrie 2022, nedefinitivă), pronunțate în aceeași zi, acestea sunt primele cauze în care Curtea a examinat acuzații de profilare rasială în cadrul controalelor de identitate efectuate de poliție într-un spațiu public.</w:t>
      </w:r>
    </w:p>
    <w:p w14:paraId="65D3C2F9" w14:textId="33E1F542" w:rsidR="0014696F" w:rsidRPr="0014696F" w:rsidRDefault="0060420E" w:rsidP="0014696F">
      <w:pPr>
        <w:pStyle w:val="JuPara"/>
        <w:rPr>
          <w:rFonts w:eastAsia="Times New Roman"/>
        </w:rPr>
      </w:pPr>
      <w:r>
        <w:t>2.  Cu toate acestea, redactez separat, întrucât nu sunt de acord cu concluzia sumară a majorității din ultima teză a punctului 38 din hotărâre, potrivit căreia, din cauza faptului că statul pârât nu a efectuat o anchetă efectivă, „Curtea nu poate să constate” dacă a existat o încălcare materială a art. 14. Întrucât hotărârea cuprinde o singură dispoziție (cea de-a doua) cu privire la fondul capetelor de cerere întemeiate pe art. 14, fără a preciza dacă încălcarea constatată este de natură procedurală sau materială, nu am putut vota în mod formal împotriva constatării efective a lipsei unei încălcări materiale a acestei dispoziții, iar acesta este obiectul opiniei mele parțial disidente.</w:t>
      </w:r>
    </w:p>
    <w:p w14:paraId="731AD412" w14:textId="194ACE29" w:rsidR="0060420E" w:rsidRPr="0014696F" w:rsidRDefault="0060420E" w:rsidP="0014696F">
      <w:pPr>
        <w:pStyle w:val="JuHA"/>
        <w:rPr>
          <w:rFonts w:eastAsia="Times New Roman"/>
        </w:rPr>
      </w:pPr>
      <w:r>
        <w:t>Discriminarea directă și inversarea sarcinii probei: principii generale</w:t>
      </w:r>
    </w:p>
    <w:p w14:paraId="6746A129" w14:textId="77777777" w:rsidR="0060420E" w:rsidRPr="0014696F" w:rsidRDefault="0060420E" w:rsidP="0014696F">
      <w:pPr>
        <w:pStyle w:val="JuPara"/>
        <w:rPr>
          <w:rFonts w:eastAsia="Times New Roman"/>
        </w:rPr>
      </w:pPr>
      <w:r>
        <w:t>3.  Curtea a concluzionat, în cadrul analizei sale de admisibilitate, că reclamantul a invocat, atât la nivel național, cât și în cadrul procedurii de la Strasbourg, „o pretenție întemeiată potrivit căreia [acesta] ar fi fost vizat din cauza unor caracteristici fizice</w:t>
      </w:r>
      <w:r w:rsidRPr="0014696F">
        <w:rPr>
          <w:rFonts w:eastAsia="Times New Roman"/>
          <w:vertAlign w:val="superscript"/>
        </w:rPr>
        <w:footnoteReference w:id="1"/>
      </w:r>
      <w:r>
        <w:t xml:space="preserve"> sau etnice specifice”. A ajuns la această concluzie bazându-se pe acuzația necontestată potrivit căreia reclamantul și fiica sa, având pielea închisă la culoare, au fost singurele persoane supuse controlului de identitate în partea de tren în care se aflau; și că ofițerul de poliție care a efectuat controlul „nu a dezvăluit niciun alt motiv obiectiv pentru care reclamantul ar fi fost vizat” (a se vedea pct. 26 din hotărâre).</w:t>
      </w:r>
    </w:p>
    <w:p w14:paraId="1BA18E05" w14:textId="48BACD1D" w:rsidR="0060420E" w:rsidRPr="0014696F" w:rsidRDefault="0060420E" w:rsidP="0014696F">
      <w:pPr>
        <w:pStyle w:val="JuPara"/>
        <w:rPr>
          <w:rFonts w:eastAsia="Times New Roman"/>
        </w:rPr>
      </w:pPr>
      <w:r>
        <w:t xml:space="preserve">4.  Această concluzie ridică următoarea întrebare: în prezența unei pretenții întemeiate de discriminare </w:t>
      </w:r>
      <w:r>
        <w:rPr>
          <w:i/>
        </w:rPr>
        <w:t>directă</w:t>
      </w:r>
      <w:r>
        <w:t xml:space="preserve"> pe motive rasiale sau etnice din partea unui agent al statului, de ce majoritatea nu a transferat asupra pârâtului sarcina de a dovedi că tratamentul diferențiat a fost, de fapt, în conformitate cu art. 14? Consider că hotărârea nu oferă un răspuns convingător la această întrebare, prin respingerea efectivă a afirmației reclamantului potrivit căreia </w:t>
      </w:r>
      <w:r>
        <w:lastRenderedPageBreak/>
        <w:t xml:space="preserve">ar fi existat o încălcare materială a dispoziției anti-discriminare, pe lângă încălcarea de natură procedurală. În definitiv, este un principiu esențial al jurisprudenței noastre privind art. 14, că, de regulă, este de datoria reclamantului să demonstreze o diferență de tratament și a Guvernului să demonstreze că aceasta a fost justificată (a se vedea </w:t>
      </w:r>
      <w:proofErr w:type="spellStart"/>
      <w:r>
        <w:rPr>
          <w:i/>
        </w:rPr>
        <w:t>Timishev</w:t>
      </w:r>
      <w:proofErr w:type="spellEnd"/>
      <w:r>
        <w:rPr>
          <w:i/>
        </w:rPr>
        <w:t xml:space="preserve"> împotriva Rusiei</w:t>
      </w:r>
      <w:r>
        <w:t xml:space="preserve">, nr. 55762/00 și 55974/00, pct. 57, 13 decembrie 2015; </w:t>
      </w:r>
      <w:r>
        <w:rPr>
          <w:i/>
        </w:rPr>
        <w:t>D.H. și alții</w:t>
      </w:r>
      <w:r>
        <w:t xml:space="preserve"> </w:t>
      </w:r>
      <w:r>
        <w:rPr>
          <w:i/>
        </w:rPr>
        <w:t>împotriva</w:t>
      </w:r>
      <w:r>
        <w:t xml:space="preserve"> </w:t>
      </w:r>
      <w:r>
        <w:rPr>
          <w:i/>
        </w:rPr>
        <w:t>Republicii Cehe</w:t>
      </w:r>
      <w:r>
        <w:t xml:space="preserve">, nr. 57325/00, pct. 177, 13 noiembrie 2007 și </w:t>
      </w:r>
      <w:r>
        <w:rPr>
          <w:i/>
        </w:rPr>
        <w:t>Di</w:t>
      </w:r>
      <w:r>
        <w:t xml:space="preserve"> </w:t>
      </w:r>
      <w:proofErr w:type="spellStart"/>
      <w:r>
        <w:rPr>
          <w:i/>
        </w:rPr>
        <w:t>Trizio</w:t>
      </w:r>
      <w:proofErr w:type="spellEnd"/>
      <w:r>
        <w:rPr>
          <w:i/>
        </w:rPr>
        <w:t xml:space="preserve"> împotriva Elveției</w:t>
      </w:r>
      <w:r>
        <w:t>, nr. 7186/09, pct. 84, 2 februarie 2016). Funcția și scopul normelor privind alocarea sarcinii probei sunt tocmai acelea de a permite Curții să ajungă la concluzii pe fond în absența unei certitudini complete cu privire la faptele cauzei sau la alte considerații relevante. Chiar și Guvernul pârât a admis că „numai statul avea capacitatea de a stabili faptele relevante” (a se vedea pct. 30 din hotărâre). Prin urmare, nu este necesar sau adecvat să se considere aceste deficiențe ale anchetei la nivel național drept un factor care ar împiedica în mod obiectiv Curtea să ajungă la concluzii cu privire la componenta materială. Printre alte motive, acest lucru ar putea oferi stimulente perverse pentru orice autorități naționale care ar putea să nu mai fie înclinate să „dezvăluie adevărul” în cazul unor incidente izolate sau, mai grav, al unor incidente sistemice de profilare rasială din partea agenților statului. De asemenea, este aproape imposibil ca victimele profilării rasiale să aibă succes cu o plângere privind o încălcare materială în asemenea circumstanțe.</w:t>
      </w:r>
    </w:p>
    <w:p w14:paraId="1FD20D6A" w14:textId="344C57BD" w:rsidR="0060420E" w:rsidRPr="0014696F" w:rsidRDefault="0060420E" w:rsidP="0014696F">
      <w:pPr>
        <w:pStyle w:val="JuPara"/>
        <w:rPr>
          <w:rFonts w:ascii="Times New Roman" w:eastAsia="Times New Roman" w:hAnsi="Times New Roman" w:cs="Times New Roman"/>
        </w:rPr>
      </w:pPr>
      <w:r>
        <w:rPr>
          <w:rFonts w:ascii="Times New Roman" w:hAnsi="Times New Roman"/>
        </w:rPr>
        <w:t>5.  Pe lângă propria jurisprudența, principiile privind inversarea sarcinii probei în contextul discriminării sunt, de asemenea, bine stabilite în dreptul european în general, inclusiv în legislația Uniunii Europene și în standardele propriei Comisii Europene împotriva Rasismului și Intoleranței (ECRI) a Consiliului Europei. Aceste standarde sunt menționate la pct. 15</w:t>
      </w:r>
      <w:r>
        <w:rPr>
          <w:rFonts w:ascii="Times New Roman" w:hAnsi="Times New Roman"/>
        </w:rPr>
        <w:noBreakHyphen/>
        <w:t xml:space="preserve"> 16 din hotărâre, dar nu este clar în ce scop. Acestea enunță cerințele relevante în termeni aproape identici: atunci când se constată „</w:t>
      </w:r>
      <w:r>
        <w:rPr>
          <w:rFonts w:ascii="Times New Roman" w:hAnsi="Times New Roman"/>
          <w:i/>
          <w:iCs/>
        </w:rPr>
        <w:t xml:space="preserve">fapte pe baza cărora se poate prezuma că a avut loc o discriminare directă sau indirectă, </w:t>
      </w:r>
      <w:r>
        <w:t>pârâtul să fie obligat să dovedească faptul că nu a avut loc o încălcare a principiului egalității de tratament</w:t>
      </w:r>
      <w:r>
        <w:rPr>
          <w:rFonts w:ascii="Times New Roman" w:hAnsi="Times New Roman"/>
        </w:rPr>
        <w:t>” (a se vedea art. 8 din Directiva UE 2000/43/CE, subliniere adăugată; a se vedea, de asemenea, Recomandarea ECRI privind politica generală nr. 7, pct. 11).</w:t>
      </w:r>
    </w:p>
    <w:p w14:paraId="7A495865" w14:textId="3B819853" w:rsidR="0014696F" w:rsidRPr="0014696F" w:rsidRDefault="0060420E" w:rsidP="0014696F">
      <w:pPr>
        <w:pStyle w:val="JuPara"/>
        <w:rPr>
          <w:rFonts w:ascii="Times New Roman" w:eastAsia="Times New Roman" w:hAnsi="Times New Roman" w:cs="Times New Roman"/>
        </w:rPr>
      </w:pPr>
      <w:r>
        <w:rPr>
          <w:rFonts w:ascii="Times New Roman" w:hAnsi="Times New Roman"/>
        </w:rPr>
        <w:t xml:space="preserve">6.  Jurisprudența noastră de până acum a examinat, în cea mai mare parte, în contextul art. 3 din Convenție, conduita agenților statului potențial motivați de animozități rasiste sau discriminatorii, care implică, de exemplu, acte de brutalitate polițienească (a se vedea pct. 33 din hotărâre și cauzele citate la acest punct). Este adevărat că, în unele dintre aceste cauze, Curtea a ales să nu transfere sarcina probei asupra pârâților, în pofida faptului că autoritățile naționale nu au reușit să efectueze o anchetă efectivă în privința acuzațiilor de discriminare, pe motiv că o astfel de abordare ar însemna să ceară </w:t>
      </w:r>
      <w:r w:rsidR="007E75E0">
        <w:rPr>
          <w:rFonts w:ascii="Times New Roman" w:hAnsi="Times New Roman"/>
        </w:rPr>
        <w:t>G</w:t>
      </w:r>
      <w:r>
        <w:rPr>
          <w:rFonts w:ascii="Times New Roman" w:hAnsi="Times New Roman"/>
        </w:rPr>
        <w:t xml:space="preserve">uvernului pârât să dovedească </w:t>
      </w:r>
      <w:r>
        <w:rPr>
          <w:rFonts w:ascii="Times New Roman" w:hAnsi="Times New Roman"/>
          <w:i/>
        </w:rPr>
        <w:t>absența</w:t>
      </w:r>
      <w:r>
        <w:rPr>
          <w:rFonts w:ascii="Times New Roman" w:hAnsi="Times New Roman"/>
        </w:rPr>
        <w:t xml:space="preserve"> unei anumite atitudini subiective (a </w:t>
      </w:r>
      <w:r>
        <w:rPr>
          <w:rFonts w:ascii="Times New Roman" w:hAnsi="Times New Roman"/>
        </w:rPr>
        <w:lastRenderedPageBreak/>
        <w:t xml:space="preserve">se vedea </w:t>
      </w:r>
      <w:proofErr w:type="spellStart"/>
      <w:r>
        <w:rPr>
          <w:rFonts w:ascii="Times New Roman" w:hAnsi="Times New Roman"/>
          <w:i/>
        </w:rPr>
        <w:t>Nachova</w:t>
      </w:r>
      <w:proofErr w:type="spellEnd"/>
      <w:r>
        <w:rPr>
          <w:rFonts w:ascii="Times New Roman" w:hAnsi="Times New Roman"/>
          <w:i/>
        </w:rPr>
        <w:t xml:space="preserve"> și alții împotriva Bulgariei</w:t>
      </w:r>
      <w:r>
        <w:rPr>
          <w:rFonts w:ascii="Times New Roman" w:hAnsi="Times New Roman"/>
        </w:rPr>
        <w:t>, nr. 43577/98 și 43579/98, pct. 157, 6 iulie 2005].</w:t>
      </w:r>
    </w:p>
    <w:p w14:paraId="79AFF7BE" w14:textId="6851C719" w:rsidR="0060420E" w:rsidRPr="0014696F" w:rsidRDefault="0060420E" w:rsidP="0014696F">
      <w:pPr>
        <w:pStyle w:val="JuPara"/>
        <w:rPr>
          <w:rFonts w:eastAsia="Times New Roman"/>
        </w:rPr>
      </w:pPr>
      <w:r>
        <w:t xml:space="preserve">7.  Cu toate acestea, prezenta cauză se plasează într-un context foarte diferit. În primul rând, spre deosebire de violența nejustificată a poliției, care este ilegală și poate fi motivată de mulți factori diferiți, controlul identității călătorilor din trenuri este fără îndoială o activitate legală și ar trebui să se bazeze pe standarde solide și obiective de aplicare a legii. În al doilea rând, este posibil ca discriminarea în acest context să nu fie determinată în mod necesar de atitudinea </w:t>
      </w:r>
      <w:r>
        <w:rPr>
          <w:i/>
          <w:iCs/>
        </w:rPr>
        <w:t>individuală și conștientă</w:t>
      </w:r>
      <w:r>
        <w:t xml:space="preserve">  sau de ostilitatea față de un anumit grup rasial sau etnic a unui ofițer de poliție; aceasta poate fi, de asemenea, rezultatul unor orientări, practici sau atitudini interne partizane (sau cel puțin permisive) fie că sunt formalizate sau doar tolerate de către ierarhie. Ca să mă exprim mai simplu, în acest context nu este exagerat să i se ceară Guvernului să demonstreze pur și simplu că controlul identității a avut o bază obiectivă și rezonabilă și nu a fost declanșat exclusiv sau în principal de rasa persoanei sau de apartenența la un alt grup. Din motive similare, ar fi o sarcină nedreaptă și adesea imposibilă pentru reclamanți să li se ceară să dovedească atitudinea discriminatorie a agentului statului. Acest lucru le-ar limita șansele la situații în care un ofițer de poliție ar fi, să zicem, suficient de nechibzuit pentru a-și exprima motivele discriminatorii, iar viitorul reclamant ar fi suficient de norocos pentru a avea martori la dispoziție. Ca atare, nu ar fi o atitudine potrivită pentru a descuraja practicile nocive de discriminare rasială ale agenților statului.</w:t>
      </w:r>
    </w:p>
    <w:p w14:paraId="6EC03D37" w14:textId="77777777" w:rsidR="0060420E" w:rsidRPr="0014696F" w:rsidRDefault="0060420E" w:rsidP="0014696F">
      <w:pPr>
        <w:pStyle w:val="JuPara"/>
        <w:rPr>
          <w:rFonts w:eastAsia="Times New Roman"/>
        </w:rPr>
      </w:pPr>
      <w:r>
        <w:t xml:space="preserve">8.  În sfârșit, refuzul de a transfera sarcina probei în cazurile unei pretenții întemeiate de discriminare </w:t>
      </w:r>
      <w:r>
        <w:rPr>
          <w:i/>
        </w:rPr>
        <w:t>directă</w:t>
      </w:r>
      <w:r>
        <w:t xml:space="preserve"> din partea agenților statului ar crea niște efecte mai degrabă paradoxale – având în vedere că Curtea a fost adesea de acord să facă acest lucru în situații în care solicitanții au invocat prezumția de discriminare </w:t>
      </w:r>
      <w:r>
        <w:rPr>
          <w:i/>
        </w:rPr>
        <w:t>indirectă</w:t>
      </w:r>
      <w:r>
        <w:t xml:space="preserve">, de exemplu prin furnizarea de dovezi cu privire la o practică aparent neutră care a produs efecte nocive disproporționate asupra unui anumit grup de persoane [a se vedea </w:t>
      </w:r>
      <w:proofErr w:type="spellStart"/>
      <w:r>
        <w:rPr>
          <w:i/>
        </w:rPr>
        <w:t>Hoogendijk</w:t>
      </w:r>
      <w:proofErr w:type="spellEnd"/>
      <w:r>
        <w:rPr>
          <w:i/>
        </w:rPr>
        <w:t xml:space="preserve"> împotriva Țărilor de Jos</w:t>
      </w:r>
      <w:r>
        <w:t xml:space="preserve"> (dec.), nr. 58641/00, 6 ianuarie 2005, </w:t>
      </w:r>
      <w:r>
        <w:rPr>
          <w:i/>
        </w:rPr>
        <w:t>D.H. și alții</w:t>
      </w:r>
      <w:r>
        <w:t xml:space="preserve">, citată anterior, și </w:t>
      </w:r>
      <w:r>
        <w:rPr>
          <w:i/>
        </w:rPr>
        <w:t xml:space="preserve">Di </w:t>
      </w:r>
      <w:proofErr w:type="spellStart"/>
      <w:r>
        <w:rPr>
          <w:i/>
        </w:rPr>
        <w:t>Trizio</w:t>
      </w:r>
      <w:proofErr w:type="spellEnd"/>
      <w:r>
        <w:t xml:space="preserve">, citată anterior]. În astfel de circumstanțe, Guvernul este invitat să respingă această prezumție prin invocarea unor factori obiectivi care stau la baza practicii sau a politicii. Nu văd de ce reclamanți precum domnul </w:t>
      </w:r>
      <w:proofErr w:type="spellStart"/>
      <w:r>
        <w:t>Basu</w:t>
      </w:r>
      <w:proofErr w:type="spellEnd"/>
      <w:r>
        <w:t>, care susțin că sunt victime ale discriminării directe în cadrul unui control efectuat de poliție, ar trebui să fie plasați într-o poziție mai puțin favorabilă.</w:t>
      </w:r>
    </w:p>
    <w:p w14:paraId="5FF9574C" w14:textId="77777777" w:rsidR="0060420E" w:rsidRPr="0014696F" w:rsidRDefault="0060420E" w:rsidP="0014696F">
      <w:pPr>
        <w:pStyle w:val="JuHA"/>
        <w:rPr>
          <w:rFonts w:eastAsia="Times New Roman"/>
        </w:rPr>
      </w:pPr>
      <w:r>
        <w:t xml:space="preserve">Contextul național general și cadrul legal </w:t>
      </w:r>
    </w:p>
    <w:p w14:paraId="7B96E33C" w14:textId="77777777" w:rsidR="0060420E" w:rsidRPr="0014696F" w:rsidRDefault="0060420E" w:rsidP="0014696F">
      <w:pPr>
        <w:pStyle w:val="JuPara"/>
        <w:rPr>
          <w:rFonts w:eastAsia="Times New Roman"/>
        </w:rPr>
      </w:pPr>
      <w:r>
        <w:rPr>
          <w:rStyle w:val="JuParaChar"/>
        </w:rPr>
        <w:t xml:space="preserve">9.  Diverse organisme internaționale au publicat concluzii cu privire la gradul de prevalență al practicilor problematice de profilare ale autorităților germane de aplicare a legii. Prezenta hotărâre nu include însă nicio informație cu privire la contextul național general. ECRI a abordat această chestiune în ultimele sale două rapoarte privind Germania; în cel mai recent, din </w:t>
      </w:r>
      <w:r>
        <w:rPr>
          <w:rStyle w:val="JuParaChar"/>
        </w:rPr>
        <w:lastRenderedPageBreak/>
        <w:t xml:space="preserve">decembrie 2019, și-a exprimat îngrijorarea cu privire la acuzațiile de conduită bazată pe motive rasiale din partea forțelor de poliție și a făcut trimitere, de exemplu, la un studiu în care 34 </w:t>
      </w:r>
      <w:r>
        <w:t xml:space="preserve">% dintre respondenții de origine africană </w:t>
      </w:r>
      <w:proofErr w:type="spellStart"/>
      <w:r>
        <w:t>subsahariană</w:t>
      </w:r>
      <w:proofErr w:type="spellEnd"/>
      <w:r>
        <w:t xml:space="preserve"> au declarat că au fost opriți de poliție cel puțin o dată în ultimii cinci ani</w:t>
      </w:r>
      <w:r w:rsidRPr="0014696F">
        <w:rPr>
          <w:rFonts w:eastAsia="Times New Roman"/>
          <w:vertAlign w:val="superscript"/>
        </w:rPr>
        <w:footnoteReference w:id="2"/>
      </w:r>
      <w:r>
        <w:t>.</w:t>
      </w:r>
    </w:p>
    <w:p w14:paraId="669872D3" w14:textId="2DD858FF" w:rsidR="0060420E" w:rsidRPr="0014696F" w:rsidRDefault="0060420E" w:rsidP="0014696F">
      <w:pPr>
        <w:pStyle w:val="JuPara"/>
        <w:rPr>
          <w:rFonts w:eastAsia="Times New Roman"/>
        </w:rPr>
      </w:pPr>
      <w:r>
        <w:t xml:space="preserve">10.  O altă critică a ECRI este mai direct relevantă pentru acest caz, întrucât a implicat aceeași dispoziție juridică care a fost invocată ca bază pentru controlul identității domnului </w:t>
      </w:r>
      <w:proofErr w:type="spellStart"/>
      <w:r>
        <w:t>Basu</w:t>
      </w:r>
      <w:proofErr w:type="spellEnd"/>
      <w:r>
        <w:t xml:space="preserve"> în prezenta cauză – secțiunea 23 (1)(3) din Legea privind Poliția federală („LPF”, a se vedea pct. 10 din hotărâre) – precum și instrucțiunile interne ale poliției în privința controalelor de identitate, care nu sunt disponibile publicului. În ceea ce o privește pe aceasta din urmă, ECRI a menționat în raportul din 2019 citat anterior (pct. 107) că „deși o instanță administrativă superioară [națională] a considerat instrucțiunile practice ale poliției ca fiind prea vagi pentru a proteja indivizii împotriva utilizării lor abuzive, ECRI nu a primit nici o informație cu privire la vreo încercare de a le face mai precise”.  Acestea erau fără îndoială aceleași legi și instrucțiuni care erau în vigoare la 26 iulie 2012, dată la care reclamantul din speță a fost oprit în timp ce călătorea cu trenul.</w:t>
      </w:r>
    </w:p>
    <w:p w14:paraId="0179F694" w14:textId="75BD6B0F" w:rsidR="0060420E" w:rsidRPr="0014696F" w:rsidRDefault="0060420E" w:rsidP="0014696F">
      <w:pPr>
        <w:pStyle w:val="JuPara"/>
        <w:rPr>
          <w:rFonts w:eastAsia="Times New Roman"/>
        </w:rPr>
      </w:pPr>
      <w:r>
        <w:t>11.  Instanțele germane au criticat de asemenea secțiunea 23 din LPF și aplicarea acesteia în anumite contexte.  În 2018, Tribunalul Administrativ Superior al Landului Baden-Württemberg a statuat că secțiunea 23 nu a oferit o bază juridică suficientă pentru controlul identității unui pasager dintr-un tren aflat în apropierea unui punct de trecere a frontierei; în timp ce o a doua instanță a constatat că poliția a comis un abuz de putere atunci când a efectuat un control al identității într-o gară, iar culoarea pielii a fost factorul decisiv pentru polițist atunci când a ales să controleze persoana în cauză</w:t>
      </w:r>
      <w:r w:rsidRPr="0014696F">
        <w:rPr>
          <w:rFonts w:eastAsia="Times New Roman"/>
          <w:vertAlign w:val="superscript"/>
        </w:rPr>
        <w:footnoteReference w:id="3"/>
      </w:r>
      <w:r>
        <w:t xml:space="preserve">.  În sfârșit, secțiunea 23 din LPF din Germania a făcut de asemenea obiectul unei revizuiri de către Curtea de Justiție a Uniunii Europene într-o cauză din 2017 în care a fost implicată o persoană care a fost supusă unui control al identității de către poliția germană în timp ce traversa pe jos podul Europa dintre Strasbourg și </w:t>
      </w:r>
      <w:proofErr w:type="spellStart"/>
      <w:r>
        <w:t>Kehl</w:t>
      </w:r>
      <w:proofErr w:type="spellEnd"/>
      <w:r>
        <w:t>. CJUE a constatat că secțiunea 23 era incompatibilă cu Codul frontierelor Schengen (în ceea ce privește controalele interne Schengen), având în vedere că aceste controale erau autorizate indiferent de comportamentul respectivei persoane și fără nicio limitare în privința intensității și frecvenței controalelor</w:t>
      </w:r>
      <w:r w:rsidRPr="0014696F">
        <w:rPr>
          <w:rFonts w:eastAsia="Times New Roman"/>
          <w:vertAlign w:val="superscript"/>
        </w:rPr>
        <w:footnoteReference w:id="4"/>
      </w:r>
      <w:r>
        <w:t>.</w:t>
      </w:r>
    </w:p>
    <w:p w14:paraId="6F753DCD" w14:textId="77777777" w:rsidR="0014696F" w:rsidRPr="0014696F" w:rsidRDefault="0060420E" w:rsidP="0014696F">
      <w:pPr>
        <w:pStyle w:val="JuPara"/>
      </w:pPr>
      <w:r>
        <w:lastRenderedPageBreak/>
        <w:t xml:space="preserve">12.  Pentru a fi clar, aceste decizii nu au stabilit că legislația germană sau reglementările secundare autorizează în mod direct profilarea rasială de către poliție.  Acestea sugerează însă cu tărie că pot facilita sau că sunt prost concepute pentru a preveni sau a descuraja astfel de practici, oferind poliției o marjă prea mare de apreciere în ceea ce privește efectuarea așa-numitelor opriri aleatorii și prea puține instrucțiuni sau restricții obiective împotriva profilării rasiale sau etnice. </w:t>
      </w:r>
    </w:p>
    <w:p w14:paraId="5E774280" w14:textId="6AD10337" w:rsidR="0060420E" w:rsidRPr="0014696F" w:rsidRDefault="0060420E" w:rsidP="0014696F">
      <w:pPr>
        <w:pStyle w:val="JuHA"/>
        <w:rPr>
          <w:rFonts w:eastAsia="Times New Roman"/>
        </w:rPr>
      </w:pPr>
      <w:r>
        <w:t xml:space="preserve"> O încălcare materială în prezenta cauză</w:t>
      </w:r>
    </w:p>
    <w:p w14:paraId="203F19DE" w14:textId="7EC12684" w:rsidR="0060420E" w:rsidRPr="0014696F" w:rsidRDefault="0060420E" w:rsidP="0014696F">
      <w:pPr>
        <w:pStyle w:val="JuPara"/>
        <w:rPr>
          <w:rFonts w:eastAsia="Times New Roman"/>
        </w:rPr>
      </w:pPr>
      <w:r>
        <w:t xml:space="preserve">13.  Având în vedere argumentele de mai sus, în opinia mea, Curtea ar fi trebuit să examineze dacă a existat o încălcare materială a art. 14 coroborat cu art. 8, prin aprecierea faptului dacă Guvernul pârât a putut răsturna prezumția că reclamantul a fost supus unui tratament discriminatoriu din cauza culorii pielii sale. Înainte de a trece la argumentele Guvernului în această privință, este necesar să fac două precizări preliminare. </w:t>
      </w:r>
    </w:p>
    <w:p w14:paraId="0C1AF3D7" w14:textId="52EF90C3" w:rsidR="0014696F" w:rsidRPr="0014696F" w:rsidRDefault="0060420E" w:rsidP="0014696F">
      <w:pPr>
        <w:pStyle w:val="JuPara"/>
        <w:rPr>
          <w:rFonts w:eastAsia="Times New Roman"/>
        </w:rPr>
      </w:pPr>
      <w:r>
        <w:t xml:space="preserve">14.  Prima obligație pozitivă a unui stat parte în acest context este de a stabili un cadru legislativ și de reglementare capabil să prevină și să descurajeze în mod eficient profilarea rasială sau pe alte criterii interzise (a se vedea, </w:t>
      </w:r>
      <w:r>
        <w:rPr>
          <w:i/>
        </w:rPr>
        <w:t>mutatis mutandis</w:t>
      </w:r>
      <w:r>
        <w:t xml:space="preserve">, privind obligațiile pozitive în temeiul art. 14, </w:t>
      </w:r>
      <w:proofErr w:type="spellStart"/>
      <w:r>
        <w:rPr>
          <w:i/>
        </w:rPr>
        <w:t>Volodina</w:t>
      </w:r>
      <w:proofErr w:type="spellEnd"/>
      <w:r>
        <w:rPr>
          <w:i/>
        </w:rPr>
        <w:t xml:space="preserve"> împotriva Rusiei</w:t>
      </w:r>
      <w:r>
        <w:t xml:space="preserve">, nr. 41261/17, 9 iulie 2019; </w:t>
      </w:r>
      <w:proofErr w:type="spellStart"/>
      <w:r>
        <w:rPr>
          <w:i/>
        </w:rPr>
        <w:t>Budinova</w:t>
      </w:r>
      <w:proofErr w:type="spellEnd"/>
      <w:r>
        <w:rPr>
          <w:i/>
        </w:rPr>
        <w:t xml:space="preserve"> și </w:t>
      </w:r>
      <w:proofErr w:type="spellStart"/>
      <w:r>
        <w:rPr>
          <w:i/>
        </w:rPr>
        <w:t>Chaprazov</w:t>
      </w:r>
      <w:proofErr w:type="spellEnd"/>
      <w:r>
        <w:rPr>
          <w:i/>
        </w:rPr>
        <w:t xml:space="preserve"> împotriva Bulgariei</w:t>
      </w:r>
      <w:r>
        <w:t xml:space="preserve">, nr. 12567/13, 16 februarie 2021; și </w:t>
      </w:r>
      <w:proofErr w:type="spellStart"/>
      <w:r>
        <w:rPr>
          <w:i/>
        </w:rPr>
        <w:t>Behar</w:t>
      </w:r>
      <w:proofErr w:type="spellEnd"/>
      <w:r>
        <w:rPr>
          <w:i/>
        </w:rPr>
        <w:t xml:space="preserve"> și </w:t>
      </w:r>
      <w:proofErr w:type="spellStart"/>
      <w:r>
        <w:rPr>
          <w:i/>
        </w:rPr>
        <w:t>Gutman</w:t>
      </w:r>
      <w:proofErr w:type="spellEnd"/>
      <w:r>
        <w:rPr>
          <w:i/>
        </w:rPr>
        <w:t xml:space="preserve"> împotriva Bulgariei</w:t>
      </w:r>
      <w:r>
        <w:t>, nr. 29335/13, 16 februarie 2021)</w:t>
      </w:r>
      <w:r w:rsidRPr="0014696F">
        <w:rPr>
          <w:rFonts w:eastAsia="Times New Roman"/>
          <w:vertAlign w:val="superscript"/>
        </w:rPr>
        <w:footnoteReference w:id="5"/>
      </w:r>
      <w:r>
        <w:t>. În opinia mea, faptul că hotărârea nu a abordat aceste aspecte reprezintă o omisiune semnificativă. Având în vedere criticile naționale și internaționale discutate în a doua parte a acestei opinii separate, se pune întrebarea dacă acest cadru juridic german privind controalele polițienești poate fi considerat compatibil cu cerințele pozitive ale art. 14.  Numai un sistem juridic care ia în serios efectele nocive ale discriminării rasiale, inclusiv sub forma profilării abuzive a persoanelor de către poliție, poate fi considerat ca fiind în conformitate cu art. 14. În plus, ultimul raport ECRI nu conține nicio informație cu privire la faptul dacă legislația germană împotriva discriminării a încorporat în mod corespunzător standardele UE și ECRI privind alocarea sau inversarea sarcinii probei în acest domeniu.</w:t>
      </w:r>
    </w:p>
    <w:p w14:paraId="5753E1E8" w14:textId="77D2B1B4" w:rsidR="0014696F" w:rsidRPr="0014696F" w:rsidRDefault="0060420E" w:rsidP="0014696F">
      <w:pPr>
        <w:pStyle w:val="JuPara"/>
        <w:rPr>
          <w:rFonts w:eastAsia="Times New Roman"/>
        </w:rPr>
      </w:pPr>
      <w:r>
        <w:t xml:space="preserve">15.  Următoarea întrebare preliminară se referă la standardul de fond care trebuie aplicat în acest context – cu alte cuvinte, ce anume interzice art. 14 în ceea ce privește profilarea de către agenții statului? Această întrebare a rămas, de asemenea, fără un răspuns clar, întrucât majoritatea a refuzat să abordeze plângerea privind o încălcare materială. Aș argumenta că într-o oarecare măsură acest lucru este valabil și pentru cauza similară </w:t>
      </w:r>
      <w:r>
        <w:rPr>
          <w:i/>
        </w:rPr>
        <w:t>Muhammad împotriva Spaniei</w:t>
      </w:r>
      <w:r>
        <w:t xml:space="preserve"> (citată anterior), care a luat în considerare acuzațiile privind o </w:t>
      </w:r>
      <w:r>
        <w:lastRenderedPageBreak/>
        <w:t xml:space="preserve">încălcare materială. Hotărârea </w:t>
      </w:r>
      <w:r>
        <w:rPr>
          <w:i/>
        </w:rPr>
        <w:t>Muhammad</w:t>
      </w:r>
      <w:r>
        <w:t xml:space="preserve"> formulează întrebarea relevantă dacă poliția a fost „motivată de animozitate împotriva cetățenilor care împărtășesc etnia reclamantului” (ibid., pct. 100) sau „motivată de rasism” (ibid., pct. 101) – punând astfel un accent puternic pe atitudinea subiectivă polițistului sau animozitate ca temei unic pentru constatarea unui tratament discriminatoriu. În opinia noastră, abordarea adoptată de Comitetul ONU pentru Drepturile Omului în </w:t>
      </w:r>
      <w:proofErr w:type="spellStart"/>
      <w:r>
        <w:rPr>
          <w:i/>
        </w:rPr>
        <w:t>Rosalind</w:t>
      </w:r>
      <w:proofErr w:type="spellEnd"/>
      <w:r>
        <w:rPr>
          <w:i/>
        </w:rPr>
        <w:t xml:space="preserve"> Williams </w:t>
      </w:r>
      <w:proofErr w:type="spellStart"/>
      <w:r>
        <w:rPr>
          <w:i/>
        </w:rPr>
        <w:t>Lecraft</w:t>
      </w:r>
      <w:proofErr w:type="spellEnd"/>
      <w:r>
        <w:rPr>
          <w:i/>
        </w:rPr>
        <w:t xml:space="preserve"> împotriva Spaniei</w:t>
      </w:r>
      <w:r>
        <w:t xml:space="preserve"> (CCPR/C/96/D/1493/2006) este mai potrivită în acest context, întrebarea cheie fiind dacă persoana reclamantă „a fost selectată exclusiv pe baza caracteristicilor sale rasiale și dacă aceste caracteristici au fost factorul decisiv pentru a o suspecta de comportament ilegal” (a se vedea pct. 11 din prezenta hotărâre, cu trimitere la pct. 7.4 din Avizele CDO).</w:t>
      </w:r>
    </w:p>
    <w:p w14:paraId="3E8B9EF8" w14:textId="4B915797" w:rsidR="0060420E" w:rsidRPr="0014696F" w:rsidRDefault="0060420E" w:rsidP="0014696F">
      <w:pPr>
        <w:pStyle w:val="JuPara"/>
        <w:rPr>
          <w:rFonts w:ascii="Times New Roman" w:eastAsia="Times New Roman" w:hAnsi="Times New Roman" w:cs="Times New Roman"/>
        </w:rPr>
      </w:pPr>
      <w:r>
        <w:rPr>
          <w:rFonts w:ascii="Times New Roman" w:hAnsi="Times New Roman"/>
        </w:rPr>
        <w:t>16.  Revenind acum la faptele speței, am observat deja constatarea unanimă potrivit căreia reclamantul a formulat o pretenție întemeiată potrivit căreia ar fi fost vizat pe baza culorii pielii sale – bazându-se pe fapte din care se poate prezuma că a existat un caz de discriminare directă din partea unui agent al statului.  Pentru a răsturna această prezumție, Guvernul pârât a invocat două argumente principale: (i) că reclamantul și fiica sa nu au fost singurele persoane controlate în același tren; și (ii) că o anchetă internă a poliției nu a găsit nici o dovadă de atitudine rasistă din partea polițistului care a efectuat controlul (a se vedea pct. 30 din hotărâre).</w:t>
      </w:r>
    </w:p>
    <w:p w14:paraId="0D5E6298" w14:textId="7A67BAFC" w:rsidR="0060420E" w:rsidRPr="0014696F" w:rsidRDefault="0060420E" w:rsidP="0014696F">
      <w:pPr>
        <w:pStyle w:val="JuPara"/>
        <w:rPr>
          <w:rFonts w:ascii="Times New Roman" w:eastAsia="Times New Roman" w:hAnsi="Times New Roman" w:cs="Times New Roman"/>
        </w:rPr>
      </w:pPr>
      <w:r>
        <w:rPr>
          <w:rFonts w:ascii="Times New Roman" w:hAnsi="Times New Roman"/>
        </w:rPr>
        <w:t>17.  Consider că niciunul dintre aceste argumente, luate separat sau împreună, nu este în măsură să îndeplinească sarcina probei care revine pârâtului. Faptul că și alți pasageri au fost controlați, poate în alte părți ale trenului, nu dovedește mare lucru în lipsa oricăror date privind apartenența sau aparența rasială sau etnică a acestor alți pasageri controlați sau motivele controlării identității acestora. De asemenea, antecedentele ofițerului de poliție pot avea o anumită relevanță, dar nu sunt decisive în sine. Argumentele Guvernului pârât ne lasă în continuare nelămuriți în ceea ce privește două considerente cruciale: (i) pe ce bază a luat ofițerul de poliție decizia specifică de a efectua un control al identității reclamantului și al fiicei acestuia în trenul respectiv; și (ii) pe ce bază sunt efectuate în general aceste controale de către poliția germană de frontieră în temeiul secțiunii 23 (1)(3) din LPF. La aceste întrebări nu s-a răspuns nici la nivel național, nici în fața Curții. Simpla argumentare că aceste controale au fost aleatorii nu răspunde întrebării (și voi reveni mai jos asupra aspectului privind caracterul aleatoriu), având în vedere în special existența unor instrucțiuni interne ale poliției germane, al căror conținut rămâne necunoscut Curții, cu privire la aceste chestiuni.</w:t>
      </w:r>
    </w:p>
    <w:p w14:paraId="78F9142B" w14:textId="787D5E23" w:rsidR="0060420E" w:rsidRPr="0014696F" w:rsidRDefault="0060420E" w:rsidP="0014696F">
      <w:pPr>
        <w:pStyle w:val="JuPara"/>
        <w:rPr>
          <w:rFonts w:ascii="Times New Roman" w:eastAsia="Times New Roman" w:hAnsi="Times New Roman" w:cs="Times New Roman"/>
        </w:rPr>
      </w:pPr>
      <w:r>
        <w:rPr>
          <w:rFonts w:ascii="Times New Roman" w:hAnsi="Times New Roman"/>
        </w:rPr>
        <w:t xml:space="preserve">18.  Prin urmare, Guvernul pârât nu a fost în măsură să răstoarne prezumția de discriminare directă pe motiv de culoare a pielii, prin indicarea oricărui motiv obiectiv, rezonabil și fără legătură cu culoarea pielii pentru acest tratament diferențiat. Dacă sarcina Guvernului a fost îngreunată din cauza deficiențelor anchetei efectuate de autorităților naționale, nu văd de ce acest lucru ar trebui să fie în favoarea Guvernului sau în dezavantajul reclamantului </w:t>
      </w:r>
      <w:r>
        <w:rPr>
          <w:rFonts w:ascii="Times New Roman" w:hAnsi="Times New Roman"/>
        </w:rPr>
        <w:lastRenderedPageBreak/>
        <w:t xml:space="preserve">(în caz contrar, acesta ar suferi dublu din cauza anchetei interne deficitare). În consecință, eu aș constata că a avut loc o încălcare materială a drepturilor reclamantului în temeiul art. 14 coroborat cu art. 8 din Convenție. </w:t>
      </w:r>
    </w:p>
    <w:p w14:paraId="0687A33F" w14:textId="77777777" w:rsidR="0060420E" w:rsidRPr="0014696F" w:rsidRDefault="0060420E" w:rsidP="0014696F">
      <w:pPr>
        <w:pStyle w:val="JuHA"/>
        <w:rPr>
          <w:rFonts w:eastAsia="Times New Roman"/>
        </w:rPr>
      </w:pPr>
      <w:r>
        <w:t>Costurile nu prea ascunse ale minimalismului procedural</w:t>
      </w:r>
    </w:p>
    <w:p w14:paraId="69F2CF96" w14:textId="5A8FBF14" w:rsidR="0014696F" w:rsidRPr="0014696F" w:rsidRDefault="0060420E" w:rsidP="0014696F">
      <w:pPr>
        <w:pStyle w:val="JuPara"/>
        <w:rPr>
          <w:rFonts w:eastAsia="Times New Roman"/>
        </w:rPr>
      </w:pPr>
      <w:r>
        <w:t>19.  Cauzele examinate astăzi au început doar să scoată la suprafață problemele complexe de ordin juridic și politic legate de profilarea (potențial) discriminatorie în Europa. Prin adoptarea unei abordări extrem de procedurale și prin alegerea de a nu se implica în aceste probleme dificile de fond, majoritatea [judecătorilor] nu au făcut nici o favoare cauzei egalității persoanelor, dezvoltării jurisprudenței noastre sau obiectivului menținerii unei ordini mai bune pe întreg continentul într-un moment de mari tensiuni geopolitice și de provocări transfrontaliere.</w:t>
      </w:r>
    </w:p>
    <w:p w14:paraId="1AD86188" w14:textId="480E5C2C" w:rsidR="0060420E" w:rsidRPr="0014696F" w:rsidRDefault="0060420E" w:rsidP="0014696F">
      <w:pPr>
        <w:pStyle w:val="JuPara"/>
        <w:rPr>
          <w:rFonts w:eastAsia="Times New Roman"/>
        </w:rPr>
      </w:pPr>
      <w:r>
        <w:t>20.  Fără a încerca în vreun fel să ofer o analiză exhaustivă sau răspunsuri complete, pot identifica următoarele întrebări-cheie:</w:t>
      </w:r>
    </w:p>
    <w:p w14:paraId="7A225853" w14:textId="77777777" w:rsidR="0060420E" w:rsidRPr="0014696F" w:rsidRDefault="0060420E" w:rsidP="0014696F">
      <w:pPr>
        <w:pStyle w:val="JuPara"/>
        <w:rPr>
          <w:rFonts w:eastAsia="Times New Roman"/>
        </w:rPr>
      </w:pPr>
      <w:r>
        <w:t xml:space="preserve">(i) S-a argumentat că, pentru a preveni profilarea discriminatorie din partea poliției sau alte încălcări conexe ale libertății individuale, legislațiile naționale ar trebui să impună efectuarea controalelor de identitate exclusiv pe baza unei suspiciuni rezonabile de ilegalitate (a se vedea, de exemplu, observațiile reclamantului din </w:t>
      </w:r>
      <w:r>
        <w:rPr>
          <w:i/>
        </w:rPr>
        <w:t>Muhammad împotriva Spaniei</w:t>
      </w:r>
      <w:r>
        <w:t xml:space="preserve">, citată anterior) sau cel puțin pe baza unor motive obiective legate de </w:t>
      </w:r>
      <w:r>
        <w:rPr>
          <w:i/>
        </w:rPr>
        <w:t>comportamentul</w:t>
      </w:r>
      <w:r>
        <w:t xml:space="preserve"> persoanei care este oprită și/sau a informațiilor poliției care indică existența unor astfel de motive (inclusiv caracteristicile fizice ale unui suspect, de exemplu, astfel cum au fost identificate de martorii unei infracțiuni). Această opțiune nu ar mai lăsa loc pentru așa-numitele controale aleatorii sau controale care nu se bazează pe o suspiciune individualizată. </w:t>
      </w:r>
    </w:p>
    <w:p w14:paraId="12A351A8" w14:textId="09F37AED" w:rsidR="0060420E" w:rsidRPr="0014696F" w:rsidRDefault="0060420E" w:rsidP="0014696F">
      <w:pPr>
        <w:pStyle w:val="JuPara"/>
        <w:rPr>
          <w:rFonts w:eastAsia="Times New Roman"/>
        </w:rPr>
      </w:pPr>
      <w:r>
        <w:t xml:space="preserve">(ii) Pe de altă parte, ar trebui să fie permise controalele de identitate aleatorii sau pe bază de eșantioane în anumite contexte, cum ar fi controalele la frontieră, evenimentele de masă, operațiunile preventive antiteroriste sau alte situații în care sunt implicate un număr mare de persoane? În acest caz, cum se poate evita ca această excepție să se transforme într-o lacună legală care să le acorde polițiștilor puterea de a opri persoanele după bunul lor plac, în lege sau în practică?  Dacă programele pentru calculator pot fi cu adevărat aleatorii, acest lucru este mai puțin probabil în cazul ființelor umane în absența metodelor de randomizare convenite anterior (de exemplu, să se verifice fiecare a cincea mașină) care să limiteze puterea discreționară a unui ofițer de poliție. Este demn de remarcat că, în speță, susținerile Guvernului privind controlul realizat aleatoriu în cazul reclamantului și al fiicei sale par să se încadreze în prima categorie, cel puțin în lipsa oricăror informații despre instrucțiunile interne urmate de poliția germană de frontieră. </w:t>
      </w:r>
    </w:p>
    <w:p w14:paraId="1E8043EB" w14:textId="3CDF4920" w:rsidR="0060420E" w:rsidRPr="0014696F" w:rsidRDefault="0060420E" w:rsidP="0014696F">
      <w:pPr>
        <w:pStyle w:val="JuPara"/>
        <w:rPr>
          <w:rFonts w:eastAsia="Times New Roman"/>
        </w:rPr>
      </w:pPr>
      <w:r>
        <w:t xml:space="preserve">(iii) Și există vreun loc pentru un standard care se situează undeva între suspiciune rezonabilă și controale aleatorii? De exemplu, unele instanțe naționale au adoptat poziția conform căreia controalele de identitate bazate </w:t>
      </w:r>
      <w:r>
        <w:lastRenderedPageBreak/>
        <w:t>pe aspectul rasial sau etnic al unei persoane – oricât de fiabile ar fi inițial aceste presupuneri</w:t>
      </w:r>
      <w:r w:rsidRPr="0014696F">
        <w:rPr>
          <w:rFonts w:eastAsia="Times New Roman"/>
          <w:vertAlign w:val="superscript"/>
        </w:rPr>
        <w:footnoteReference w:id="6"/>
      </w:r>
      <w:r>
        <w:t xml:space="preserve"> – nu sunt, în general, permise, cu excepția cazului în care poliția îndeplinește sarcina mai importantă de a demonstra, prin statistici fiabile, „o delincvență sporită a anumitor grupuri țintă [definite din punct de vedere rasial sau etnic] pe baza unor imagini situaționale legate de locul sau situația respectivă”</w:t>
      </w:r>
      <w:r w:rsidRPr="0014696F">
        <w:rPr>
          <w:rFonts w:eastAsia="Times New Roman"/>
          <w:vertAlign w:val="superscript"/>
        </w:rPr>
        <w:footnoteReference w:id="7"/>
      </w:r>
      <w:r>
        <w:t xml:space="preserve">. Din perspectiva unei persoane care este oprită pentru un control, ar putea fi un astfel de standard considerat drept o politică rezonabilă de asigurare a respectării legii sau una care legalizează în esență discriminarea prin afiliere sau asociere? [Cu privire la acest ultim subiect, a se vedea </w:t>
      </w:r>
      <w:r>
        <w:rPr>
          <w:i/>
        </w:rPr>
        <w:t>Molla Sali împotriva Greciei</w:t>
      </w:r>
      <w:r>
        <w:t xml:space="preserve"> (MC), nr. 20452/14, 19 decembrie 2018 și </w:t>
      </w:r>
      <w:proofErr w:type="spellStart"/>
      <w:r>
        <w:rPr>
          <w:i/>
        </w:rPr>
        <w:t>Škorjanec</w:t>
      </w:r>
      <w:proofErr w:type="spellEnd"/>
      <w:r>
        <w:rPr>
          <w:i/>
        </w:rPr>
        <w:t xml:space="preserve"> împotriva Croației</w:t>
      </w:r>
      <w:r>
        <w:t xml:space="preserve">, nr. 25536/14, pct. 55, 28 martie 2017]. </w:t>
      </w:r>
    </w:p>
    <w:p w14:paraId="39BA5674" w14:textId="77777777" w:rsidR="0060420E" w:rsidRPr="0014696F" w:rsidRDefault="0060420E" w:rsidP="0014696F">
      <w:pPr>
        <w:pStyle w:val="JuPara"/>
        <w:rPr>
          <w:rFonts w:ascii="Times New Roman" w:eastAsia="Times New Roman" w:hAnsi="Times New Roman" w:cs="Times New Roman"/>
        </w:rPr>
      </w:pPr>
      <w:r>
        <w:rPr>
          <w:rFonts w:ascii="Times New Roman" w:hAnsi="Times New Roman"/>
        </w:rPr>
        <w:t>(iv) Ca provocare juridică și practică, în multe țări colectarea de statistici sau înregistrări operaționale ale poliției pe criterii rasiale sau etnice este interzisă de legea anti-discriminare.  În mod paradoxal, însă, acest lucru poate face mai dificil atât pentru organismele publice, cât și pentru potențialele victime ale profilării, evaluarea și demonstrarea existenței unei posibile discriminări indirecte prin practici înrădăcinate sau informale în aplicarea legii și în alte domenii</w:t>
      </w:r>
      <w:r w:rsidRPr="0014696F">
        <w:rPr>
          <w:rFonts w:ascii="Times New Roman" w:eastAsia="Times New Roman" w:hAnsi="Times New Roman" w:cs="Times New Roman"/>
          <w:vertAlign w:val="superscript"/>
        </w:rPr>
        <w:footnoteReference w:id="8"/>
      </w:r>
      <w:r>
        <w:rPr>
          <w:rFonts w:ascii="Times New Roman" w:hAnsi="Times New Roman"/>
        </w:rPr>
        <w:t>. De asemenea, instrucțiunile interne ale poliției interne privind controalele de identitate sunt publice în unele țări (precum Spania), dar nu și în altele (precum Germania).</w:t>
      </w:r>
    </w:p>
    <w:p w14:paraId="3C936FF1" w14:textId="77777777" w:rsidR="0060420E" w:rsidRPr="0014696F" w:rsidRDefault="0060420E" w:rsidP="0014696F">
      <w:pPr>
        <w:pStyle w:val="JuPara"/>
        <w:rPr>
          <w:rFonts w:ascii="Times New Roman" w:eastAsia="Times New Roman" w:hAnsi="Times New Roman" w:cs="Times New Roman"/>
        </w:rPr>
      </w:pPr>
      <w:r>
        <w:rPr>
          <w:rFonts w:ascii="Times New Roman" w:hAnsi="Times New Roman"/>
        </w:rPr>
        <w:t>(v) În sfârșit, ca o problemă de politică mai amplă, profilarea rasială sau etnică asigură o bună menținere a ordinii?  Există multe cercetări care răspund negativ la această întrebare, considerând că profilarea discriminatorie poate fi văzută ca un substitut „facil” și ineficient al metodelor sănătoase de combatere a criminalității; și aceasta nu în ultimul rând pentru că tinde să alieneze comunități întregi a căror cooperare cu poliția este din ce în ce mai importantă în societățile noastre tot mai multietnice</w:t>
      </w:r>
      <w:r w:rsidRPr="0014696F">
        <w:rPr>
          <w:rFonts w:ascii="Times New Roman" w:eastAsia="Times New Roman" w:hAnsi="Times New Roman" w:cs="Times New Roman"/>
          <w:vertAlign w:val="superscript"/>
        </w:rPr>
        <w:footnoteReference w:id="9"/>
      </w:r>
      <w:r>
        <w:rPr>
          <w:rFonts w:ascii="Times New Roman" w:hAnsi="Times New Roman"/>
        </w:rPr>
        <w:t>.</w:t>
      </w:r>
    </w:p>
    <w:p w14:paraId="7F3A352E" w14:textId="27D98452" w:rsidR="0060420E" w:rsidRPr="0014696F" w:rsidRDefault="0060420E" w:rsidP="0014696F">
      <w:pPr>
        <w:pStyle w:val="JuPara"/>
        <w:rPr>
          <w:rFonts w:ascii="Times New Roman" w:eastAsia="Times New Roman" w:hAnsi="Times New Roman" w:cs="Times New Roman"/>
        </w:rPr>
      </w:pPr>
      <w:r>
        <w:rPr>
          <w:rFonts w:ascii="Times New Roman" w:hAnsi="Times New Roman"/>
        </w:rPr>
        <w:t xml:space="preserve">21.  Desigur, nu este posibil, nici judicios, ca una sau două hotărâri inovatoare ale Curții să încerce să abordeze toate aspectele unui fenomen </w:t>
      </w:r>
      <w:r>
        <w:rPr>
          <w:rFonts w:ascii="Times New Roman" w:hAnsi="Times New Roman"/>
        </w:rPr>
        <w:lastRenderedPageBreak/>
        <w:t xml:space="preserve">complex, cum este crearea de profiluri discriminatorii în activitatea polițienească.  Dar trebuie să se înceapă de undeva. Faptele speței, precum și observațiile specifice ale reclamantului, au invitat Curtea să înceapă să delimiteze standardele de fond care trebuie aplicate în acest domeniu, dincolo de cerințele preliminare (deși esențiale) ale unei anchete interne efective.  Majoritatea au refuzat această invitație oprindu-se la constatarea unei încălcări procedurale.  Deși minimalismul poate avea adepții săi, atât ca doctrină juridică, cât și ca școală de arhitectură și design, nu este neapărat cel mai bun mod de a asigura egalitatea pentru toți în societățile noastre diverse; care sunt menite să </w:t>
      </w:r>
      <w:proofErr w:type="spellStart"/>
      <w:r>
        <w:rPr>
          <w:rFonts w:ascii="Times New Roman" w:hAnsi="Times New Roman"/>
        </w:rPr>
        <w:t>dăinuiască</w:t>
      </w:r>
      <w:proofErr w:type="spellEnd"/>
      <w:r>
        <w:rPr>
          <w:rFonts w:ascii="Times New Roman" w:hAnsi="Times New Roman"/>
        </w:rPr>
        <w:t xml:space="preserve">. </w:t>
      </w:r>
    </w:p>
    <w:p w14:paraId="5DFDBA48" w14:textId="37E58B9F" w:rsidR="00182EBA" w:rsidRPr="0014696F" w:rsidRDefault="00182EBA" w:rsidP="0014696F"/>
    <w:sectPr w:rsidR="00182EBA" w:rsidRPr="0014696F" w:rsidSect="00150193">
      <w:headerReference w:type="even" r:id="rId18"/>
      <w:headerReference w:type="default" r:id="rId19"/>
      <w:footnotePr>
        <w:numRestart w:val="eachSect"/>
      </w:footnotePr>
      <w:pgSz w:w="11906" w:h="16838" w:code="9"/>
      <w:pgMar w:top="2274" w:right="2274" w:bottom="2274" w:left="2274" w:header="1701"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3384D3" w14:textId="77777777" w:rsidR="00105173" w:rsidRPr="00E67565" w:rsidRDefault="00105173" w:rsidP="0098410D">
      <w:r w:rsidRPr="00E67565">
        <w:separator/>
      </w:r>
    </w:p>
  </w:endnote>
  <w:endnote w:type="continuationSeparator" w:id="0">
    <w:p w14:paraId="5DF7AD2C" w14:textId="77777777" w:rsidR="00105173" w:rsidRPr="00E67565" w:rsidRDefault="00105173" w:rsidP="0098410D">
      <w:r w:rsidRPr="00E675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22"/>
      </w:rPr>
      <w:id w:val="397415095"/>
      <w:docPartObj>
        <w:docPartGallery w:val="Page Numbers (Bottom of Page)"/>
        <w:docPartUnique/>
      </w:docPartObj>
    </w:sdtPr>
    <w:sdtEndPr/>
    <w:sdtContent>
      <w:p w14:paraId="0ECEEC74" w14:textId="1A58CEB1" w:rsidR="00E50E59" w:rsidRPr="00FC66C8" w:rsidRDefault="00FC66C8" w:rsidP="00FC66C8">
        <w:pPr>
          <w:pStyle w:val="Footer0"/>
          <w:jc w:val="center"/>
          <w:rPr>
            <w:sz w:val="22"/>
            <w:szCs w:val="22"/>
          </w:rPr>
        </w:pPr>
        <w:r w:rsidRPr="00FC66C8">
          <w:rPr>
            <w:sz w:val="22"/>
          </w:rPr>
          <w:fldChar w:fldCharType="begin"/>
        </w:r>
        <w:r w:rsidRPr="00FC66C8">
          <w:rPr>
            <w:sz w:val="22"/>
          </w:rPr>
          <w:instrText>PAGE   \* MERGEFORMAT</w:instrText>
        </w:r>
        <w:r w:rsidRPr="00FC66C8">
          <w:rPr>
            <w:sz w:val="22"/>
          </w:rPr>
          <w:fldChar w:fldCharType="separate"/>
        </w:r>
        <w:r w:rsidR="00B91069">
          <w:rPr>
            <w:noProof/>
            <w:sz w:val="22"/>
          </w:rPr>
          <w:t>22</w:t>
        </w:r>
        <w:r w:rsidRPr="00FC66C8">
          <w:rPr>
            <w:sz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22"/>
      </w:rPr>
      <w:id w:val="274832756"/>
      <w:docPartObj>
        <w:docPartGallery w:val="Page Numbers (Bottom of Page)"/>
        <w:docPartUnique/>
      </w:docPartObj>
    </w:sdtPr>
    <w:sdtEndPr/>
    <w:sdtContent>
      <w:p w14:paraId="345B810E" w14:textId="598789A4" w:rsidR="0098410D" w:rsidRPr="00FC66C8" w:rsidRDefault="00FC66C8" w:rsidP="00FC66C8">
        <w:pPr>
          <w:pStyle w:val="Footer0"/>
          <w:jc w:val="center"/>
          <w:rPr>
            <w:sz w:val="22"/>
            <w:szCs w:val="22"/>
          </w:rPr>
        </w:pPr>
        <w:r w:rsidRPr="00FC66C8">
          <w:rPr>
            <w:sz w:val="22"/>
          </w:rPr>
          <w:fldChar w:fldCharType="begin"/>
        </w:r>
        <w:r w:rsidRPr="00FC66C8">
          <w:rPr>
            <w:sz w:val="22"/>
          </w:rPr>
          <w:instrText>PAGE   \* MERGEFORMAT</w:instrText>
        </w:r>
        <w:r w:rsidRPr="00FC66C8">
          <w:rPr>
            <w:sz w:val="22"/>
          </w:rPr>
          <w:fldChar w:fldCharType="separate"/>
        </w:r>
        <w:r w:rsidR="00B91069">
          <w:rPr>
            <w:noProof/>
            <w:sz w:val="22"/>
          </w:rPr>
          <w:t>21</w:t>
        </w:r>
        <w:r w:rsidRPr="00FC66C8">
          <w:rPr>
            <w:sz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75BB3" w14:textId="0DDDA96E" w:rsidR="00E50E59" w:rsidRPr="00150BFA" w:rsidRDefault="00E50E59" w:rsidP="0020718E">
    <w:pPr>
      <w:jc w:val="center"/>
    </w:pPr>
    <w:r>
      <w:rPr>
        <w:noProof/>
        <w:lang w:eastAsia="ro-RO"/>
      </w:rPr>
      <w:drawing>
        <wp:inline distT="0" distB="0" distL="0" distR="0" wp14:anchorId="2B7BA71E" wp14:editId="41C6E996">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5C48311D" w14:textId="06FC0878" w:rsidR="009E7A6F" w:rsidRPr="00E67565" w:rsidRDefault="009E7A6F" w:rsidP="009E7A6F">
    <w:pPr>
      <w:pStyle w:val="Footer0"/>
      <w:jc w:val="cen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F3758C" w14:textId="77777777" w:rsidR="00105173" w:rsidRPr="00E67565" w:rsidRDefault="00105173" w:rsidP="0098410D">
      <w:r w:rsidRPr="00E67565">
        <w:separator/>
      </w:r>
    </w:p>
  </w:footnote>
  <w:footnote w:type="continuationSeparator" w:id="0">
    <w:p w14:paraId="24794BD7" w14:textId="77777777" w:rsidR="00105173" w:rsidRPr="00E67565" w:rsidRDefault="00105173" w:rsidP="0098410D">
      <w:r w:rsidRPr="00E67565">
        <w:continuationSeparator/>
      </w:r>
    </w:p>
  </w:footnote>
  <w:footnote w:id="1">
    <w:p w14:paraId="77173499" w14:textId="77777777" w:rsidR="0060420E" w:rsidRDefault="0060420E" w:rsidP="0060420E">
      <w:pPr>
        <w:pStyle w:val="FootnoteText"/>
      </w:pPr>
      <w:r>
        <w:rPr>
          <w:rStyle w:val="FootnoteReference"/>
        </w:rPr>
        <w:footnoteRef/>
      </w:r>
      <w:r>
        <w:t xml:space="preserve"> În acest sens, consider că prin „caracteristici fizice” se înțeleg trăsături rasiale sau alte trăsături similare ale înfățișării unei persoane; dimpotrivă, o persoană poate avea caracteristici fizice (cum ar fi ochii albaștri sau o înălțime foarte mare) care nu dau naștere la discriminare pe vreun motiv interzis.</w:t>
      </w:r>
    </w:p>
  </w:footnote>
  <w:footnote w:id="2">
    <w:p w14:paraId="5049BA68" w14:textId="77777777" w:rsidR="0060420E" w:rsidRPr="001B1331" w:rsidRDefault="0060420E" w:rsidP="0060420E">
      <w:pPr>
        <w:pStyle w:val="FootnoteText"/>
      </w:pPr>
      <w:r>
        <w:rPr>
          <w:rStyle w:val="FootnoteReference"/>
        </w:rPr>
        <w:footnoteRef/>
      </w:r>
      <w:r>
        <w:t xml:space="preserve"> </w:t>
      </w:r>
      <w:r>
        <w:t>ECRI, Raport privind Germania (al șaselea ciclu de monitorizare), 10 decembrie 2019 (publicat la 17 martie 2020), pct. 104; cu referire la Agenția pentru Drepturi Fundamentale a UE, Al doilea sondaj al Uniunii Europene privind minoritățile și discriminarea, 5 decembrie 2017, p. 69.</w:t>
      </w:r>
    </w:p>
  </w:footnote>
  <w:footnote w:id="3">
    <w:p w14:paraId="3781061E" w14:textId="77777777" w:rsidR="0060420E" w:rsidRPr="001B1331" w:rsidRDefault="0060420E" w:rsidP="0060420E">
      <w:pPr>
        <w:pStyle w:val="FootnoteText"/>
      </w:pPr>
      <w:r>
        <w:rPr>
          <w:rStyle w:val="FootnoteReference"/>
        </w:rPr>
        <w:footnoteRef/>
      </w:r>
      <w:r>
        <w:t xml:space="preserve"> </w:t>
      </w:r>
      <w:r>
        <w:t>A se vedea, Tribunalul Administrativ Superior al Landului Baden-Württemberg, 1 S 1469/17, 13 februarie 2018; și, respectiv, Tribunalul Administrativ Superior al Landului Nordrhein-</w:t>
      </w:r>
      <w:proofErr w:type="spellStart"/>
      <w:r>
        <w:t>Westfalen</w:t>
      </w:r>
      <w:proofErr w:type="spellEnd"/>
      <w:r>
        <w:t xml:space="preserve">, 5 A 294/16, 7 august 2018, pct. 74-75. </w:t>
      </w:r>
    </w:p>
  </w:footnote>
  <w:footnote w:id="4">
    <w:p w14:paraId="6BD47AAC" w14:textId="77777777" w:rsidR="0060420E" w:rsidRPr="00B159E1" w:rsidRDefault="0060420E" w:rsidP="0060420E">
      <w:pPr>
        <w:pStyle w:val="FootnoteText"/>
      </w:pPr>
      <w:r>
        <w:rPr>
          <w:rStyle w:val="FootnoteReference"/>
        </w:rPr>
        <w:footnoteRef/>
      </w:r>
      <w:r>
        <w:t xml:space="preserve"> </w:t>
      </w:r>
      <w:r>
        <w:t>Curtea de Justiție a Uniunii Europene, C-9/16, 21 iunie 2017 (UE: C:2017:483).</w:t>
      </w:r>
    </w:p>
  </w:footnote>
  <w:footnote w:id="5">
    <w:p w14:paraId="51730727" w14:textId="77777777" w:rsidR="0060420E" w:rsidRPr="0060420E" w:rsidRDefault="0060420E" w:rsidP="0060420E">
      <w:pPr>
        <w:pStyle w:val="FootnoteText"/>
      </w:pPr>
      <w:r>
        <w:rPr>
          <w:rStyle w:val="FootnoteReference"/>
        </w:rPr>
        <w:footnoteRef/>
      </w:r>
      <w:r>
        <w:t xml:space="preserve"> </w:t>
      </w:r>
      <w:r>
        <w:t xml:space="preserve">A se vedea, de asemenea, în acest sens, </w:t>
      </w:r>
      <w:r>
        <w:rPr>
          <w:i/>
        </w:rPr>
        <w:t>Muhammad împotriva Spaniei</w:t>
      </w:r>
      <w:r>
        <w:t xml:space="preserve"> (citată anterior), Opinia separată a judecătorului </w:t>
      </w:r>
      <w:proofErr w:type="spellStart"/>
      <w:r>
        <w:t>Krenc</w:t>
      </w:r>
      <w:proofErr w:type="spellEnd"/>
      <w:r>
        <w:t>, pct. 9-13.</w:t>
      </w:r>
    </w:p>
  </w:footnote>
  <w:footnote w:id="6">
    <w:p w14:paraId="44E647F2" w14:textId="77777777" w:rsidR="0060420E" w:rsidRPr="001B1331" w:rsidRDefault="0060420E" w:rsidP="0060420E">
      <w:pPr>
        <w:pStyle w:val="FootnoteText"/>
      </w:pPr>
      <w:r>
        <w:rPr>
          <w:rStyle w:val="FootnoteReference"/>
        </w:rPr>
        <w:footnoteRef/>
      </w:r>
      <w:r>
        <w:t xml:space="preserve"> </w:t>
      </w:r>
      <w:r>
        <w:t xml:space="preserve">De exemplu, poliția spaniolă colectează statistici și clasifică controalele de identitate efectuate la secțiile de poliție pe baza unei (aparente) proveniențe de pe un anumit continent.  Cum explică acest lucru aspectul uneori foarte variat al unor persoane provenind de pe același continent? </w:t>
      </w:r>
    </w:p>
  </w:footnote>
  <w:footnote w:id="7">
    <w:p w14:paraId="5162F484" w14:textId="77777777" w:rsidR="0060420E" w:rsidRDefault="0060420E" w:rsidP="0060420E">
      <w:pPr>
        <w:pStyle w:val="FootnoteText"/>
      </w:pPr>
      <w:r>
        <w:rPr>
          <w:rStyle w:val="FootnoteReference"/>
        </w:rPr>
        <w:footnoteRef/>
      </w:r>
      <w:r>
        <w:t xml:space="preserve"> </w:t>
      </w:r>
      <w:r>
        <w:t>Tribunalul Administrativ Superior al Landului Nordrhein-</w:t>
      </w:r>
      <w:proofErr w:type="spellStart"/>
      <w:r>
        <w:t>Westfalen</w:t>
      </w:r>
      <w:proofErr w:type="spellEnd"/>
      <w:r>
        <w:t xml:space="preserve">, citat anterior, pct. 73 (traducere neoficială). </w:t>
      </w:r>
    </w:p>
  </w:footnote>
  <w:footnote w:id="8">
    <w:p w14:paraId="5C4B517B" w14:textId="77777777" w:rsidR="0060420E" w:rsidRPr="001B1331" w:rsidRDefault="0060420E" w:rsidP="0060420E">
      <w:pPr>
        <w:pStyle w:val="FootnoteText"/>
      </w:pPr>
      <w:r>
        <w:rPr>
          <w:rStyle w:val="FootnoteReference"/>
        </w:rPr>
        <w:footnoteRef/>
      </w:r>
      <w:r>
        <w:t xml:space="preserve"> </w:t>
      </w:r>
      <w:r>
        <w:t xml:space="preserve">A se vedea în acest sens recomandările ECRI din cel mai recent raport de țară privind Germania (citată anterior, pct. 108). </w:t>
      </w:r>
    </w:p>
  </w:footnote>
  <w:footnote w:id="9">
    <w:p w14:paraId="5081BA3E" w14:textId="41A65FBA" w:rsidR="0060420E" w:rsidRDefault="0060420E" w:rsidP="0060420E">
      <w:pPr>
        <w:pStyle w:val="FootnoteText"/>
      </w:pPr>
      <w:r>
        <w:rPr>
          <w:rStyle w:val="FootnoteReference"/>
        </w:rPr>
        <w:footnoteRef/>
      </w:r>
      <w:r>
        <w:t xml:space="preserve"> </w:t>
      </w:r>
      <w:r>
        <w:t xml:space="preserve">A se vedea, printre altele, Agenția pentru Drepturi Fundamentale a UE, </w:t>
      </w:r>
      <w:r>
        <w:rPr>
          <w:i/>
        </w:rPr>
        <w:t>În sprijinul unor practici polițienești mai eficiente: Ghid pentru înțelegerea și prevenirea creării profilurilor etnice discriminatorii</w:t>
      </w:r>
      <w:r>
        <w:t xml:space="preserve">, octombrie 2010, p. 33-44; Adunarea Parlamentară a Consiliului Europei, „Crearea profilurilor etnice în Europa: o problemă de interes major (Rezoluția 2364, adoptată la 28 ianuarie 2021), Expunerea de motive a domnului </w:t>
      </w:r>
      <w:proofErr w:type="spellStart"/>
      <w:r>
        <w:t>Cilevičs</w:t>
      </w:r>
      <w:proofErr w:type="spellEnd"/>
      <w:r>
        <w:t xml:space="preserve">, Raportor, p. 10-11; Înaltul Comisar al ONU pentru Drepturile Omului, „Prevenirea și combaterea profilării rasiale a persoanelor de origine africană:  Bune practici și provocări”, ianuarie 2019, p. 9-10 și Inițiativa pentru justiție a Fundației Open Society, </w:t>
      </w:r>
      <w:r>
        <w:rPr>
          <w:i/>
        </w:rPr>
        <w:t>Profilarea minorităților:  Un studiu al practicilor de oprire și percheziție în Paris</w:t>
      </w:r>
      <w:r>
        <w:t xml:space="preserve">, iunie 2009.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DBBEE" w14:textId="435A0F54" w:rsidR="00AC4D2B" w:rsidRPr="00882CD5" w:rsidRDefault="00AC4D2B" w:rsidP="00AC4D2B">
    <w:pPr>
      <w:pStyle w:val="JuHeader"/>
      <w:tabs>
        <w:tab w:val="center" w:pos="3685"/>
        <w:tab w:val="right" w:pos="7370"/>
      </w:tabs>
    </w:pPr>
    <w:r>
      <w:t>HOTĂRÂREA BASU ÎMPOTRIVA GERMANIEI</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AD1BA" w14:textId="0E69BB7C" w:rsidR="00E50E59" w:rsidRPr="00A45145" w:rsidRDefault="00E50E59" w:rsidP="00A45145">
    <w:pPr>
      <w:jc w:val="center"/>
    </w:pPr>
    <w:r>
      <w:rPr>
        <w:noProof/>
        <w:lang w:eastAsia="ro-RO"/>
      </w:rPr>
      <w:drawing>
        <wp:inline distT="0" distB="0" distL="0" distR="0" wp14:anchorId="71F2BAA6" wp14:editId="07EF7356">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660CA1E7" w14:textId="082855A1" w:rsidR="0098410D" w:rsidRPr="00E67565" w:rsidRDefault="0098410D" w:rsidP="00B14793">
    <w:pPr>
      <w:jc w:val="center"/>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45F8D" w14:textId="308B4755" w:rsidR="00A62EF3" w:rsidRDefault="00A62EF3" w:rsidP="00A62EF3">
    <w:pPr>
      <w:jc w:val="right"/>
      <w:rPr>
        <w:noProof/>
        <w:lang w:eastAsia="ro-RO"/>
      </w:rPr>
    </w:pPr>
    <w:r>
      <w:rPr>
        <w:i/>
      </w:rPr>
      <w:t>Tradus și revizuit de IER (http://ier.gov.ro/)</w:t>
    </w:r>
  </w:p>
  <w:p w14:paraId="78D7F9FB" w14:textId="1C3E7DFF" w:rsidR="00E50E59" w:rsidRPr="00A45145" w:rsidRDefault="00E50E59" w:rsidP="00A45145">
    <w:pPr>
      <w:jc w:val="center"/>
    </w:pPr>
    <w:r>
      <w:rPr>
        <w:noProof/>
        <w:lang w:eastAsia="ro-RO"/>
      </w:rPr>
      <w:drawing>
        <wp:inline distT="0" distB="0" distL="0" distR="0" wp14:anchorId="1B878DE4" wp14:editId="3A5B126F">
          <wp:extent cx="2962275" cy="1219200"/>
          <wp:effectExtent l="0" t="0" r="9525" b="0"/>
          <wp:docPr id="29" name="Picture 29"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43BA4F20" w14:textId="52DF056A" w:rsidR="0098410D" w:rsidRPr="00E67565" w:rsidRDefault="0098410D"/>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39FAF" w14:textId="77288BC5" w:rsidR="00975E97" w:rsidRPr="00882CD5" w:rsidRDefault="00975E97" w:rsidP="00975E97">
    <w:pPr>
      <w:pStyle w:val="JuHeader"/>
      <w:tabs>
        <w:tab w:val="center" w:pos="3685"/>
        <w:tab w:val="right" w:pos="7370"/>
      </w:tabs>
    </w:pPr>
    <w:r>
      <w:t>HOTĂRÂREA BASU ÎMPOTRIVA GERMANIEI</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7BA91" w14:textId="07A9AEC5" w:rsidR="00042701" w:rsidRPr="00882CD5" w:rsidRDefault="00042701" w:rsidP="00042701">
    <w:pPr>
      <w:pStyle w:val="JuHeader"/>
      <w:tabs>
        <w:tab w:val="center" w:pos="3685"/>
        <w:tab w:val="right" w:pos="7370"/>
      </w:tabs>
    </w:pPr>
    <w:r>
      <w:t>HOTĂRÂREA BASU ÎMPOTRIVA GERMANIEI – OPINIE SEPARATĂ</w:t>
    </w:r>
  </w:p>
  <w:p w14:paraId="083E93C2" w14:textId="63B72F20" w:rsidR="00042701" w:rsidRPr="00042701" w:rsidRDefault="00042701" w:rsidP="0004270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FE924" w14:textId="13A25F63" w:rsidR="00150193" w:rsidRPr="00882CD5" w:rsidRDefault="00150193" w:rsidP="00150193">
    <w:pPr>
      <w:pStyle w:val="JuHeader"/>
      <w:tabs>
        <w:tab w:val="center" w:pos="3685"/>
        <w:tab w:val="right" w:pos="7370"/>
      </w:tabs>
    </w:pPr>
    <w:r>
      <w:t>HOTĂRÂREA BASU ÎMPOTRIVA GERMANIEI – OPINIE SEPARATĂ</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783"/>
        </w:tabs>
        <w:ind w:left="783"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abstractNumId w:val="18"/>
  </w:num>
  <w:num w:numId="2">
    <w:abstractNumId w:val="14"/>
  </w:num>
  <w:num w:numId="3">
    <w:abstractNumId w:val="12"/>
  </w:num>
  <w:num w:numId="4">
    <w:abstractNumId w:val="11"/>
  </w:num>
  <w:num w:numId="5">
    <w:abstractNumId w:val="17"/>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3"/>
  </w:num>
  <w:num w:numId="17">
    <w:abstractNumId w:val="16"/>
  </w:num>
  <w:num w:numId="18">
    <w:abstractNumId w:val="15"/>
  </w:num>
  <w:num w:numId="19">
    <w:abstractNumId w:val="16"/>
  </w:num>
  <w:num w:numId="20">
    <w:abstractNumId w:val="10"/>
  </w:num>
  <w:num w:numId="21">
    <w:abstractNumId w:val="9"/>
    <w:lvlOverride w:ilvl="0">
      <w:lvl w:ilvl="0">
        <w:start w:val="1"/>
        <w:numFmt w:val="decimal"/>
        <w:pStyle w:val="JuList"/>
        <w:lvlText w:val="%1."/>
        <w:lvlJc w:val="left"/>
        <w:pPr>
          <w:tabs>
            <w:tab w:val="num" w:pos="340"/>
          </w:tabs>
          <w:ind w:left="340" w:hanging="340"/>
        </w:pPr>
        <w:rPr>
          <w:rFonts w:hint="default"/>
          <w:i w:val="0"/>
          <w:iCs w:val="0"/>
        </w:rPr>
      </w:lvl>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s>
  <w:rsids>
    <w:rsidRoot w:val="00E50E59"/>
    <w:rsid w:val="000041F8"/>
    <w:rsid w:val="000042A8"/>
    <w:rsid w:val="00004308"/>
    <w:rsid w:val="00005BF0"/>
    <w:rsid w:val="0000617D"/>
    <w:rsid w:val="00007154"/>
    <w:rsid w:val="000103AE"/>
    <w:rsid w:val="00011D69"/>
    <w:rsid w:val="00012AD3"/>
    <w:rsid w:val="00015C2D"/>
    <w:rsid w:val="00015F00"/>
    <w:rsid w:val="00022C1D"/>
    <w:rsid w:val="00023C6F"/>
    <w:rsid w:val="00031428"/>
    <w:rsid w:val="00034987"/>
    <w:rsid w:val="00041560"/>
    <w:rsid w:val="00042701"/>
    <w:rsid w:val="000602DF"/>
    <w:rsid w:val="00061B05"/>
    <w:rsid w:val="000632D5"/>
    <w:rsid w:val="000644EE"/>
    <w:rsid w:val="0007780A"/>
    <w:rsid w:val="00085457"/>
    <w:rsid w:val="000925AD"/>
    <w:rsid w:val="00096FE1"/>
    <w:rsid w:val="00097A62"/>
    <w:rsid w:val="000A1E90"/>
    <w:rsid w:val="000A24EB"/>
    <w:rsid w:val="000B686A"/>
    <w:rsid w:val="000B6923"/>
    <w:rsid w:val="000B7195"/>
    <w:rsid w:val="000C5F3C"/>
    <w:rsid w:val="000C6DCC"/>
    <w:rsid w:val="000D47AA"/>
    <w:rsid w:val="000D721F"/>
    <w:rsid w:val="000E069B"/>
    <w:rsid w:val="000E0E82"/>
    <w:rsid w:val="000E1DC5"/>
    <w:rsid w:val="000E223F"/>
    <w:rsid w:val="000E46B8"/>
    <w:rsid w:val="000E7D45"/>
    <w:rsid w:val="000F7851"/>
    <w:rsid w:val="00101505"/>
    <w:rsid w:val="00104E23"/>
    <w:rsid w:val="00105173"/>
    <w:rsid w:val="00110DA8"/>
    <w:rsid w:val="00111B0C"/>
    <w:rsid w:val="00120D6C"/>
    <w:rsid w:val="001257EC"/>
    <w:rsid w:val="00133D33"/>
    <w:rsid w:val="00134B6A"/>
    <w:rsid w:val="00134D64"/>
    <w:rsid w:val="00135A30"/>
    <w:rsid w:val="0013612C"/>
    <w:rsid w:val="00137511"/>
    <w:rsid w:val="00137FF6"/>
    <w:rsid w:val="00141650"/>
    <w:rsid w:val="0014696F"/>
    <w:rsid w:val="00150193"/>
    <w:rsid w:val="001561B6"/>
    <w:rsid w:val="00162A12"/>
    <w:rsid w:val="00166530"/>
    <w:rsid w:val="00170027"/>
    <w:rsid w:val="00171739"/>
    <w:rsid w:val="00172AF9"/>
    <w:rsid w:val="00176355"/>
    <w:rsid w:val="00181C17"/>
    <w:rsid w:val="00182EBA"/>
    <w:rsid w:val="001832BD"/>
    <w:rsid w:val="001943B5"/>
    <w:rsid w:val="00195134"/>
    <w:rsid w:val="001A020C"/>
    <w:rsid w:val="001A145B"/>
    <w:rsid w:val="001A3E09"/>
    <w:rsid w:val="001A674C"/>
    <w:rsid w:val="001B3B24"/>
    <w:rsid w:val="001C055B"/>
    <w:rsid w:val="001C0F98"/>
    <w:rsid w:val="001C2A42"/>
    <w:rsid w:val="001D63ED"/>
    <w:rsid w:val="001D7348"/>
    <w:rsid w:val="001E035B"/>
    <w:rsid w:val="001E0961"/>
    <w:rsid w:val="001E3EAE"/>
    <w:rsid w:val="001E6857"/>
    <w:rsid w:val="001E6F32"/>
    <w:rsid w:val="001F066F"/>
    <w:rsid w:val="001F2145"/>
    <w:rsid w:val="001F6262"/>
    <w:rsid w:val="001F67B0"/>
    <w:rsid w:val="001F7B3D"/>
    <w:rsid w:val="00202752"/>
    <w:rsid w:val="0020335A"/>
    <w:rsid w:val="002052BC"/>
    <w:rsid w:val="00205F9F"/>
    <w:rsid w:val="00210338"/>
    <w:rsid w:val="002115FC"/>
    <w:rsid w:val="0021423C"/>
    <w:rsid w:val="00230D00"/>
    <w:rsid w:val="00231DF7"/>
    <w:rsid w:val="00231FD1"/>
    <w:rsid w:val="002339E0"/>
    <w:rsid w:val="00233CF8"/>
    <w:rsid w:val="0023575D"/>
    <w:rsid w:val="00237148"/>
    <w:rsid w:val="0024222D"/>
    <w:rsid w:val="002422B6"/>
    <w:rsid w:val="00244B0E"/>
    <w:rsid w:val="00244F6C"/>
    <w:rsid w:val="00246B89"/>
    <w:rsid w:val="00252C4E"/>
    <w:rsid w:val="002532C5"/>
    <w:rsid w:val="00254DF2"/>
    <w:rsid w:val="00260C03"/>
    <w:rsid w:val="0026439A"/>
    <w:rsid w:val="0026540E"/>
    <w:rsid w:val="00275123"/>
    <w:rsid w:val="002774B7"/>
    <w:rsid w:val="00281B7C"/>
    <w:rsid w:val="00282240"/>
    <w:rsid w:val="00282BD8"/>
    <w:rsid w:val="00287AD5"/>
    <w:rsid w:val="002934D0"/>
    <w:rsid w:val="00293676"/>
    <w:rsid w:val="00293BD9"/>
    <w:rsid w:val="002948AD"/>
    <w:rsid w:val="002A01CC"/>
    <w:rsid w:val="002A20E0"/>
    <w:rsid w:val="002A613A"/>
    <w:rsid w:val="002A61B1"/>
    <w:rsid w:val="002A663C"/>
    <w:rsid w:val="002B444B"/>
    <w:rsid w:val="002B5887"/>
    <w:rsid w:val="002C0E27"/>
    <w:rsid w:val="002C3040"/>
    <w:rsid w:val="002C4433"/>
    <w:rsid w:val="002C5ADD"/>
    <w:rsid w:val="002C7826"/>
    <w:rsid w:val="002D022D"/>
    <w:rsid w:val="002D24BB"/>
    <w:rsid w:val="002D2FA7"/>
    <w:rsid w:val="002D47BA"/>
    <w:rsid w:val="002D77B9"/>
    <w:rsid w:val="002E347F"/>
    <w:rsid w:val="002E46DA"/>
    <w:rsid w:val="002E7764"/>
    <w:rsid w:val="002F2AF7"/>
    <w:rsid w:val="002F69C4"/>
    <w:rsid w:val="002F7D9E"/>
    <w:rsid w:val="002F7E1C"/>
    <w:rsid w:val="00301A75"/>
    <w:rsid w:val="00302F70"/>
    <w:rsid w:val="0030336F"/>
    <w:rsid w:val="0030375E"/>
    <w:rsid w:val="00312A30"/>
    <w:rsid w:val="003201D8"/>
    <w:rsid w:val="00320F72"/>
    <w:rsid w:val="0032463E"/>
    <w:rsid w:val="00326224"/>
    <w:rsid w:val="00337EE4"/>
    <w:rsid w:val="00340FFD"/>
    <w:rsid w:val="00345C41"/>
    <w:rsid w:val="003506B1"/>
    <w:rsid w:val="00355877"/>
    <w:rsid w:val="00356AC7"/>
    <w:rsid w:val="003609FA"/>
    <w:rsid w:val="003710C8"/>
    <w:rsid w:val="003750BE"/>
    <w:rsid w:val="00385A36"/>
    <w:rsid w:val="00385F3D"/>
    <w:rsid w:val="0038740C"/>
    <w:rsid w:val="00387B9D"/>
    <w:rsid w:val="00387C70"/>
    <w:rsid w:val="00390294"/>
    <w:rsid w:val="0039364F"/>
    <w:rsid w:val="00396686"/>
    <w:rsid w:val="0039778E"/>
    <w:rsid w:val="003B4941"/>
    <w:rsid w:val="003C5714"/>
    <w:rsid w:val="003C6B9F"/>
    <w:rsid w:val="003C6E2A"/>
    <w:rsid w:val="003D0299"/>
    <w:rsid w:val="003E6D80"/>
    <w:rsid w:val="003F05FA"/>
    <w:rsid w:val="003F244A"/>
    <w:rsid w:val="003F2517"/>
    <w:rsid w:val="003F30B8"/>
    <w:rsid w:val="003F4C45"/>
    <w:rsid w:val="003F5F7B"/>
    <w:rsid w:val="003F7D64"/>
    <w:rsid w:val="0040433A"/>
    <w:rsid w:val="00414300"/>
    <w:rsid w:val="00414F27"/>
    <w:rsid w:val="00420703"/>
    <w:rsid w:val="00423214"/>
    <w:rsid w:val="00425C67"/>
    <w:rsid w:val="00427E7A"/>
    <w:rsid w:val="004355AC"/>
    <w:rsid w:val="00436C49"/>
    <w:rsid w:val="00443D98"/>
    <w:rsid w:val="00445366"/>
    <w:rsid w:val="00447F5B"/>
    <w:rsid w:val="00461DB0"/>
    <w:rsid w:val="00463926"/>
    <w:rsid w:val="00464AB7"/>
    <w:rsid w:val="00464C9A"/>
    <w:rsid w:val="00474F3D"/>
    <w:rsid w:val="00477E3A"/>
    <w:rsid w:val="00483E5F"/>
    <w:rsid w:val="00485FF9"/>
    <w:rsid w:val="0049049B"/>
    <w:rsid w:val="004907F0"/>
    <w:rsid w:val="0049140B"/>
    <w:rsid w:val="004923A5"/>
    <w:rsid w:val="0049310E"/>
    <w:rsid w:val="004950E2"/>
    <w:rsid w:val="00496BFB"/>
    <w:rsid w:val="004A15C7"/>
    <w:rsid w:val="004A3201"/>
    <w:rsid w:val="004A7044"/>
    <w:rsid w:val="004B013B"/>
    <w:rsid w:val="004B112B"/>
    <w:rsid w:val="004B444E"/>
    <w:rsid w:val="004C01E4"/>
    <w:rsid w:val="004C086C"/>
    <w:rsid w:val="004C1F56"/>
    <w:rsid w:val="004C27BC"/>
    <w:rsid w:val="004C56D4"/>
    <w:rsid w:val="004C6621"/>
    <w:rsid w:val="004D0EC7"/>
    <w:rsid w:val="004D15F3"/>
    <w:rsid w:val="004D3B3D"/>
    <w:rsid w:val="004D4EF1"/>
    <w:rsid w:val="004D5311"/>
    <w:rsid w:val="004D5DCC"/>
    <w:rsid w:val="004D7E45"/>
    <w:rsid w:val="004F10AF"/>
    <w:rsid w:val="004F11A4"/>
    <w:rsid w:val="004F2389"/>
    <w:rsid w:val="004F304D"/>
    <w:rsid w:val="004F4290"/>
    <w:rsid w:val="004F61BE"/>
    <w:rsid w:val="004F66B1"/>
    <w:rsid w:val="00511C07"/>
    <w:rsid w:val="005125CB"/>
    <w:rsid w:val="00512EC4"/>
    <w:rsid w:val="0051725A"/>
    <w:rsid w:val="005173A6"/>
    <w:rsid w:val="00520354"/>
    <w:rsid w:val="00520BAA"/>
    <w:rsid w:val="005217D8"/>
    <w:rsid w:val="00525208"/>
    <w:rsid w:val="005257A5"/>
    <w:rsid w:val="005264C0"/>
    <w:rsid w:val="00526A8A"/>
    <w:rsid w:val="00527FB1"/>
    <w:rsid w:val="00530FE6"/>
    <w:rsid w:val="00531DF2"/>
    <w:rsid w:val="0053315C"/>
    <w:rsid w:val="00537476"/>
    <w:rsid w:val="005442EE"/>
    <w:rsid w:val="00545DA6"/>
    <w:rsid w:val="00547353"/>
    <w:rsid w:val="005474E7"/>
    <w:rsid w:val="005512A3"/>
    <w:rsid w:val="00551BDB"/>
    <w:rsid w:val="005578CE"/>
    <w:rsid w:val="00562781"/>
    <w:rsid w:val="00562B6C"/>
    <w:rsid w:val="0057271C"/>
    <w:rsid w:val="00572845"/>
    <w:rsid w:val="00587490"/>
    <w:rsid w:val="005879A2"/>
    <w:rsid w:val="00592772"/>
    <w:rsid w:val="0059574A"/>
    <w:rsid w:val="005A1B9B"/>
    <w:rsid w:val="005A2E79"/>
    <w:rsid w:val="005A6751"/>
    <w:rsid w:val="005B092E"/>
    <w:rsid w:val="005B152C"/>
    <w:rsid w:val="005B1EE0"/>
    <w:rsid w:val="005B2B24"/>
    <w:rsid w:val="005B4425"/>
    <w:rsid w:val="005B4B94"/>
    <w:rsid w:val="005C3EE8"/>
    <w:rsid w:val="005D2F2A"/>
    <w:rsid w:val="005D34F9"/>
    <w:rsid w:val="005D4190"/>
    <w:rsid w:val="005D67A3"/>
    <w:rsid w:val="005E2988"/>
    <w:rsid w:val="005E3085"/>
    <w:rsid w:val="005F0EB3"/>
    <w:rsid w:val="005F51E1"/>
    <w:rsid w:val="0060420E"/>
    <w:rsid w:val="00611C80"/>
    <w:rsid w:val="00620692"/>
    <w:rsid w:val="006242CA"/>
    <w:rsid w:val="00627507"/>
    <w:rsid w:val="00633717"/>
    <w:rsid w:val="006344E1"/>
    <w:rsid w:val="00643524"/>
    <w:rsid w:val="0064393B"/>
    <w:rsid w:val="00645CF2"/>
    <w:rsid w:val="006545C4"/>
    <w:rsid w:val="00661971"/>
    <w:rsid w:val="00661CE8"/>
    <w:rsid w:val="006623D9"/>
    <w:rsid w:val="006642A5"/>
    <w:rsid w:val="0066550C"/>
    <w:rsid w:val="00665BD2"/>
    <w:rsid w:val="006709AE"/>
    <w:rsid w:val="006716F2"/>
    <w:rsid w:val="00675AF2"/>
    <w:rsid w:val="00682BF2"/>
    <w:rsid w:val="0068573E"/>
    <w:rsid w:val="006859CE"/>
    <w:rsid w:val="00691270"/>
    <w:rsid w:val="00694BA8"/>
    <w:rsid w:val="006A037C"/>
    <w:rsid w:val="006A0C84"/>
    <w:rsid w:val="006A36F4"/>
    <w:rsid w:val="006A406F"/>
    <w:rsid w:val="006A5D3A"/>
    <w:rsid w:val="006B1942"/>
    <w:rsid w:val="006C07F0"/>
    <w:rsid w:val="006C23D4"/>
    <w:rsid w:val="006C7BB0"/>
    <w:rsid w:val="006D3237"/>
    <w:rsid w:val="006E2E37"/>
    <w:rsid w:val="006E3CF1"/>
    <w:rsid w:val="006E5C14"/>
    <w:rsid w:val="006E68A3"/>
    <w:rsid w:val="006E7E80"/>
    <w:rsid w:val="006F1C2D"/>
    <w:rsid w:val="006F48CA"/>
    <w:rsid w:val="006F4BB1"/>
    <w:rsid w:val="006F64DD"/>
    <w:rsid w:val="006F712D"/>
    <w:rsid w:val="00715127"/>
    <w:rsid w:val="00715E8E"/>
    <w:rsid w:val="00723580"/>
    <w:rsid w:val="00723755"/>
    <w:rsid w:val="0072475D"/>
    <w:rsid w:val="0073136C"/>
    <w:rsid w:val="00731F0F"/>
    <w:rsid w:val="00733250"/>
    <w:rsid w:val="007362E1"/>
    <w:rsid w:val="00741404"/>
    <w:rsid w:val="007449E5"/>
    <w:rsid w:val="0074750E"/>
    <w:rsid w:val="00747FF0"/>
    <w:rsid w:val="0075566E"/>
    <w:rsid w:val="00757B41"/>
    <w:rsid w:val="00763602"/>
    <w:rsid w:val="00764D4E"/>
    <w:rsid w:val="00765A1F"/>
    <w:rsid w:val="00775B6D"/>
    <w:rsid w:val="00776D68"/>
    <w:rsid w:val="0078323E"/>
    <w:rsid w:val="007850EE"/>
    <w:rsid w:val="00785B95"/>
    <w:rsid w:val="00790E96"/>
    <w:rsid w:val="007926FD"/>
    <w:rsid w:val="00793366"/>
    <w:rsid w:val="0079666C"/>
    <w:rsid w:val="007A716F"/>
    <w:rsid w:val="007B270A"/>
    <w:rsid w:val="007B4182"/>
    <w:rsid w:val="007C0695"/>
    <w:rsid w:val="007C419A"/>
    <w:rsid w:val="007C4CC8"/>
    <w:rsid w:val="007C5426"/>
    <w:rsid w:val="007C5798"/>
    <w:rsid w:val="007C5A71"/>
    <w:rsid w:val="007C66F2"/>
    <w:rsid w:val="007D0561"/>
    <w:rsid w:val="007D1ECD"/>
    <w:rsid w:val="007D3701"/>
    <w:rsid w:val="007D4832"/>
    <w:rsid w:val="007D6B47"/>
    <w:rsid w:val="007E21B2"/>
    <w:rsid w:val="007E2C4E"/>
    <w:rsid w:val="007E2C8C"/>
    <w:rsid w:val="007E51BA"/>
    <w:rsid w:val="007E73D7"/>
    <w:rsid w:val="007E75E0"/>
    <w:rsid w:val="007F1905"/>
    <w:rsid w:val="007F27E4"/>
    <w:rsid w:val="007F3437"/>
    <w:rsid w:val="007F4644"/>
    <w:rsid w:val="007F73A4"/>
    <w:rsid w:val="00802C64"/>
    <w:rsid w:val="00805E52"/>
    <w:rsid w:val="008061D0"/>
    <w:rsid w:val="00810B38"/>
    <w:rsid w:val="008204C7"/>
    <w:rsid w:val="00820992"/>
    <w:rsid w:val="00823602"/>
    <w:rsid w:val="008255F5"/>
    <w:rsid w:val="00826890"/>
    <w:rsid w:val="0083014E"/>
    <w:rsid w:val="0083214A"/>
    <w:rsid w:val="00834220"/>
    <w:rsid w:val="00845723"/>
    <w:rsid w:val="008519E7"/>
    <w:rsid w:val="00851EF9"/>
    <w:rsid w:val="008577FD"/>
    <w:rsid w:val="00860B03"/>
    <w:rsid w:val="0086497A"/>
    <w:rsid w:val="00867066"/>
    <w:rsid w:val="008713A1"/>
    <w:rsid w:val="00872584"/>
    <w:rsid w:val="00873B0F"/>
    <w:rsid w:val="008754AB"/>
    <w:rsid w:val="0088060C"/>
    <w:rsid w:val="00882CD5"/>
    <w:rsid w:val="00883151"/>
    <w:rsid w:val="008905A2"/>
    <w:rsid w:val="00893576"/>
    <w:rsid w:val="00893E73"/>
    <w:rsid w:val="008B02DC"/>
    <w:rsid w:val="008B092C"/>
    <w:rsid w:val="008B57CE"/>
    <w:rsid w:val="008C26DE"/>
    <w:rsid w:val="008D2225"/>
    <w:rsid w:val="008D4752"/>
    <w:rsid w:val="008D4CD6"/>
    <w:rsid w:val="008D5A13"/>
    <w:rsid w:val="008D5DBF"/>
    <w:rsid w:val="008E271C"/>
    <w:rsid w:val="008E3A08"/>
    <w:rsid w:val="008E418E"/>
    <w:rsid w:val="008E5BC6"/>
    <w:rsid w:val="008E6217"/>
    <w:rsid w:val="008E6A25"/>
    <w:rsid w:val="008F2554"/>
    <w:rsid w:val="008F3AEC"/>
    <w:rsid w:val="008F4D80"/>
    <w:rsid w:val="008F5193"/>
    <w:rsid w:val="008F6B36"/>
    <w:rsid w:val="009013A7"/>
    <w:rsid w:val="009017FB"/>
    <w:rsid w:val="009017FC"/>
    <w:rsid w:val="0090506B"/>
    <w:rsid w:val="009050C9"/>
    <w:rsid w:val="009066FC"/>
    <w:rsid w:val="009140A3"/>
    <w:rsid w:val="009144A2"/>
    <w:rsid w:val="0091510C"/>
    <w:rsid w:val="009259AC"/>
    <w:rsid w:val="00926F38"/>
    <w:rsid w:val="00927BEB"/>
    <w:rsid w:val="009333DC"/>
    <w:rsid w:val="00934301"/>
    <w:rsid w:val="00936CD1"/>
    <w:rsid w:val="00941747"/>
    <w:rsid w:val="00941EFB"/>
    <w:rsid w:val="00947AFB"/>
    <w:rsid w:val="00951AA3"/>
    <w:rsid w:val="00951D7D"/>
    <w:rsid w:val="00956D0C"/>
    <w:rsid w:val="00957913"/>
    <w:rsid w:val="009630C7"/>
    <w:rsid w:val="00972B55"/>
    <w:rsid w:val="009743B7"/>
    <w:rsid w:val="00975E97"/>
    <w:rsid w:val="0098228B"/>
    <w:rsid w:val="009828DA"/>
    <w:rsid w:val="0098410D"/>
    <w:rsid w:val="00985BAB"/>
    <w:rsid w:val="00986B3C"/>
    <w:rsid w:val="009A088F"/>
    <w:rsid w:val="009A115C"/>
    <w:rsid w:val="009A7FC1"/>
    <w:rsid w:val="009B1606"/>
    <w:rsid w:val="009B1B5F"/>
    <w:rsid w:val="009B3454"/>
    <w:rsid w:val="009B6673"/>
    <w:rsid w:val="009C191B"/>
    <w:rsid w:val="009C2BD6"/>
    <w:rsid w:val="009D57AA"/>
    <w:rsid w:val="009E1F32"/>
    <w:rsid w:val="009E2CC2"/>
    <w:rsid w:val="009E47A2"/>
    <w:rsid w:val="009E776C"/>
    <w:rsid w:val="009E7A6F"/>
    <w:rsid w:val="009F4C8F"/>
    <w:rsid w:val="00A02972"/>
    <w:rsid w:val="00A04BA2"/>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51D0F"/>
    <w:rsid w:val="00A54192"/>
    <w:rsid w:val="00A57147"/>
    <w:rsid w:val="00A6035E"/>
    <w:rsid w:val="00A6144C"/>
    <w:rsid w:val="00A62EF3"/>
    <w:rsid w:val="00A65921"/>
    <w:rsid w:val="00A66617"/>
    <w:rsid w:val="00A671F8"/>
    <w:rsid w:val="00A673A4"/>
    <w:rsid w:val="00A724AE"/>
    <w:rsid w:val="00A728C7"/>
    <w:rsid w:val="00A73329"/>
    <w:rsid w:val="00A73940"/>
    <w:rsid w:val="00A82359"/>
    <w:rsid w:val="00A8435F"/>
    <w:rsid w:val="00A865D2"/>
    <w:rsid w:val="00A90BCD"/>
    <w:rsid w:val="00A94C20"/>
    <w:rsid w:val="00AA1B09"/>
    <w:rsid w:val="00AA227F"/>
    <w:rsid w:val="00AA3BC7"/>
    <w:rsid w:val="00AA754A"/>
    <w:rsid w:val="00AB099E"/>
    <w:rsid w:val="00AB4328"/>
    <w:rsid w:val="00AC4CD4"/>
    <w:rsid w:val="00AC4D2B"/>
    <w:rsid w:val="00AE0A2E"/>
    <w:rsid w:val="00AE354C"/>
    <w:rsid w:val="00AF4B07"/>
    <w:rsid w:val="00AF6186"/>
    <w:rsid w:val="00AF7A3A"/>
    <w:rsid w:val="00B02587"/>
    <w:rsid w:val="00B049D1"/>
    <w:rsid w:val="00B160DB"/>
    <w:rsid w:val="00B20836"/>
    <w:rsid w:val="00B235BB"/>
    <w:rsid w:val="00B27A44"/>
    <w:rsid w:val="00B30BBF"/>
    <w:rsid w:val="00B33C03"/>
    <w:rsid w:val="00B41D74"/>
    <w:rsid w:val="00B4421F"/>
    <w:rsid w:val="00B44E56"/>
    <w:rsid w:val="00B45917"/>
    <w:rsid w:val="00B46543"/>
    <w:rsid w:val="00B47D33"/>
    <w:rsid w:val="00B52BE0"/>
    <w:rsid w:val="00B54133"/>
    <w:rsid w:val="00B701ED"/>
    <w:rsid w:val="00B748F7"/>
    <w:rsid w:val="00B8086C"/>
    <w:rsid w:val="00B81C58"/>
    <w:rsid w:val="00B861B4"/>
    <w:rsid w:val="00B86DFE"/>
    <w:rsid w:val="00B90990"/>
    <w:rsid w:val="00B91069"/>
    <w:rsid w:val="00B922FF"/>
    <w:rsid w:val="00B9281E"/>
    <w:rsid w:val="00B93925"/>
    <w:rsid w:val="00B95187"/>
    <w:rsid w:val="00BA2D55"/>
    <w:rsid w:val="00BA71B1"/>
    <w:rsid w:val="00BB0637"/>
    <w:rsid w:val="00BB345F"/>
    <w:rsid w:val="00BB68EA"/>
    <w:rsid w:val="00BC0B99"/>
    <w:rsid w:val="00BC1C27"/>
    <w:rsid w:val="00BC6BBF"/>
    <w:rsid w:val="00BD1572"/>
    <w:rsid w:val="00BE14E3"/>
    <w:rsid w:val="00BE3774"/>
    <w:rsid w:val="00BE41E5"/>
    <w:rsid w:val="00BF118F"/>
    <w:rsid w:val="00BF4109"/>
    <w:rsid w:val="00BF4CC3"/>
    <w:rsid w:val="00BF71A4"/>
    <w:rsid w:val="00C01780"/>
    <w:rsid w:val="00C034A7"/>
    <w:rsid w:val="00C054C7"/>
    <w:rsid w:val="00C057B5"/>
    <w:rsid w:val="00C07D0E"/>
    <w:rsid w:val="00C115C3"/>
    <w:rsid w:val="00C15547"/>
    <w:rsid w:val="00C1672D"/>
    <w:rsid w:val="00C22687"/>
    <w:rsid w:val="00C26A92"/>
    <w:rsid w:val="00C26B1C"/>
    <w:rsid w:val="00C32E4D"/>
    <w:rsid w:val="00C333A0"/>
    <w:rsid w:val="00C36A81"/>
    <w:rsid w:val="00C41974"/>
    <w:rsid w:val="00C44A2C"/>
    <w:rsid w:val="00C44F09"/>
    <w:rsid w:val="00C477F7"/>
    <w:rsid w:val="00C509A6"/>
    <w:rsid w:val="00C53F4A"/>
    <w:rsid w:val="00C54125"/>
    <w:rsid w:val="00C55B54"/>
    <w:rsid w:val="00C6098E"/>
    <w:rsid w:val="00C6152C"/>
    <w:rsid w:val="00C74810"/>
    <w:rsid w:val="00C90D68"/>
    <w:rsid w:val="00C939FE"/>
    <w:rsid w:val="00CA4BDA"/>
    <w:rsid w:val="00CB13E3"/>
    <w:rsid w:val="00CB1F66"/>
    <w:rsid w:val="00CB232C"/>
    <w:rsid w:val="00CB2951"/>
    <w:rsid w:val="00CB3496"/>
    <w:rsid w:val="00CB4277"/>
    <w:rsid w:val="00CB4F84"/>
    <w:rsid w:val="00CC5067"/>
    <w:rsid w:val="00CD11D3"/>
    <w:rsid w:val="00CD282B"/>
    <w:rsid w:val="00CD447B"/>
    <w:rsid w:val="00CD4C35"/>
    <w:rsid w:val="00CD7369"/>
    <w:rsid w:val="00CE0B0E"/>
    <w:rsid w:val="00CE3831"/>
    <w:rsid w:val="00CF2397"/>
    <w:rsid w:val="00D00ABB"/>
    <w:rsid w:val="00D02EEC"/>
    <w:rsid w:val="00D03551"/>
    <w:rsid w:val="00D06A63"/>
    <w:rsid w:val="00D07E0E"/>
    <w:rsid w:val="00D10CD6"/>
    <w:rsid w:val="00D11478"/>
    <w:rsid w:val="00D15ED0"/>
    <w:rsid w:val="00D164BF"/>
    <w:rsid w:val="00D21B3E"/>
    <w:rsid w:val="00D21FED"/>
    <w:rsid w:val="00D23048"/>
    <w:rsid w:val="00D24251"/>
    <w:rsid w:val="00D26E72"/>
    <w:rsid w:val="00D343E2"/>
    <w:rsid w:val="00D361A2"/>
    <w:rsid w:val="00D37272"/>
    <w:rsid w:val="00D44C2E"/>
    <w:rsid w:val="00D45414"/>
    <w:rsid w:val="00D50A0A"/>
    <w:rsid w:val="00D53548"/>
    <w:rsid w:val="00D5576B"/>
    <w:rsid w:val="00D566BD"/>
    <w:rsid w:val="00D57A4D"/>
    <w:rsid w:val="00D60AA7"/>
    <w:rsid w:val="00D6435F"/>
    <w:rsid w:val="00D66471"/>
    <w:rsid w:val="00D70641"/>
    <w:rsid w:val="00D72B2E"/>
    <w:rsid w:val="00D74888"/>
    <w:rsid w:val="00D7488B"/>
    <w:rsid w:val="00D75E28"/>
    <w:rsid w:val="00D772C2"/>
    <w:rsid w:val="00D8008E"/>
    <w:rsid w:val="00D82C45"/>
    <w:rsid w:val="00D908A8"/>
    <w:rsid w:val="00D977B6"/>
    <w:rsid w:val="00DA1223"/>
    <w:rsid w:val="00DA4A31"/>
    <w:rsid w:val="00DA7B04"/>
    <w:rsid w:val="00DB36C2"/>
    <w:rsid w:val="00DC169B"/>
    <w:rsid w:val="00DC2AB9"/>
    <w:rsid w:val="00DC63F0"/>
    <w:rsid w:val="00DD37EA"/>
    <w:rsid w:val="00DD6EE5"/>
    <w:rsid w:val="00DE386C"/>
    <w:rsid w:val="00DE4D35"/>
    <w:rsid w:val="00DF098B"/>
    <w:rsid w:val="00DF11C4"/>
    <w:rsid w:val="00DF210C"/>
    <w:rsid w:val="00DF4B6A"/>
    <w:rsid w:val="00E004C0"/>
    <w:rsid w:val="00E02C09"/>
    <w:rsid w:val="00E04D59"/>
    <w:rsid w:val="00E07DA1"/>
    <w:rsid w:val="00E123CB"/>
    <w:rsid w:val="00E13B09"/>
    <w:rsid w:val="00E20E13"/>
    <w:rsid w:val="00E21DBC"/>
    <w:rsid w:val="00E275D7"/>
    <w:rsid w:val="00E27DBE"/>
    <w:rsid w:val="00E32AB1"/>
    <w:rsid w:val="00E36C71"/>
    <w:rsid w:val="00E40404"/>
    <w:rsid w:val="00E4126A"/>
    <w:rsid w:val="00E42A06"/>
    <w:rsid w:val="00E459C6"/>
    <w:rsid w:val="00E47589"/>
    <w:rsid w:val="00E50E59"/>
    <w:rsid w:val="00E63EC7"/>
    <w:rsid w:val="00E64915"/>
    <w:rsid w:val="00E64D3A"/>
    <w:rsid w:val="00E661D4"/>
    <w:rsid w:val="00E67565"/>
    <w:rsid w:val="00E70091"/>
    <w:rsid w:val="00E70D2E"/>
    <w:rsid w:val="00E720F5"/>
    <w:rsid w:val="00E76D47"/>
    <w:rsid w:val="00E827BC"/>
    <w:rsid w:val="00E849F7"/>
    <w:rsid w:val="00E90302"/>
    <w:rsid w:val="00E91D05"/>
    <w:rsid w:val="00E9262D"/>
    <w:rsid w:val="00E95C1E"/>
    <w:rsid w:val="00E97396"/>
    <w:rsid w:val="00EA185E"/>
    <w:rsid w:val="00EA592A"/>
    <w:rsid w:val="00EB14E4"/>
    <w:rsid w:val="00EB32A5"/>
    <w:rsid w:val="00EB34ED"/>
    <w:rsid w:val="00EB447C"/>
    <w:rsid w:val="00EB7BE0"/>
    <w:rsid w:val="00EC315E"/>
    <w:rsid w:val="00ED077C"/>
    <w:rsid w:val="00ED10A9"/>
    <w:rsid w:val="00ED1190"/>
    <w:rsid w:val="00ED34AC"/>
    <w:rsid w:val="00ED4AB0"/>
    <w:rsid w:val="00ED6544"/>
    <w:rsid w:val="00EE0277"/>
    <w:rsid w:val="00EE2899"/>
    <w:rsid w:val="00EE3E00"/>
    <w:rsid w:val="00EE5DD2"/>
    <w:rsid w:val="00EE6D10"/>
    <w:rsid w:val="00EF36C5"/>
    <w:rsid w:val="00EF3DB4"/>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66A2"/>
    <w:rsid w:val="00F3085C"/>
    <w:rsid w:val="00F32269"/>
    <w:rsid w:val="00F35B7A"/>
    <w:rsid w:val="00F56A6F"/>
    <w:rsid w:val="00F5709C"/>
    <w:rsid w:val="00F60B85"/>
    <w:rsid w:val="00F64EF1"/>
    <w:rsid w:val="00F72B14"/>
    <w:rsid w:val="00F7349B"/>
    <w:rsid w:val="00F814D3"/>
    <w:rsid w:val="00F8765F"/>
    <w:rsid w:val="00F90767"/>
    <w:rsid w:val="00F9263C"/>
    <w:rsid w:val="00FA1637"/>
    <w:rsid w:val="00FA685B"/>
    <w:rsid w:val="00FB0C01"/>
    <w:rsid w:val="00FB5934"/>
    <w:rsid w:val="00FC18F2"/>
    <w:rsid w:val="00FC2A17"/>
    <w:rsid w:val="00FC38CF"/>
    <w:rsid w:val="00FC39E5"/>
    <w:rsid w:val="00FC3A78"/>
    <w:rsid w:val="00FC66C8"/>
    <w:rsid w:val="00FC7DBB"/>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F62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023C6F"/>
    <w:rPr>
      <w:sz w:val="24"/>
      <w:szCs w:val="24"/>
    </w:rPr>
  </w:style>
  <w:style w:type="paragraph" w:styleId="Heading1">
    <w:name w:val="heading 1"/>
    <w:basedOn w:val="Normal"/>
    <w:next w:val="Normal"/>
    <w:link w:val="Heading1Char"/>
    <w:uiPriority w:val="98"/>
    <w:semiHidden/>
    <w:rsid w:val="00023C6F"/>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023C6F"/>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023C6F"/>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023C6F"/>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023C6F"/>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023C6F"/>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023C6F"/>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023C6F"/>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023C6F"/>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023C6F"/>
    <w:rPr>
      <w:rFonts w:ascii="Tahoma" w:hAnsi="Tahoma" w:cs="Tahoma"/>
      <w:sz w:val="16"/>
      <w:szCs w:val="16"/>
    </w:rPr>
  </w:style>
  <w:style w:type="character" w:customStyle="1" w:styleId="BalloonTextChar">
    <w:name w:val="Balloon Text Char"/>
    <w:basedOn w:val="DefaultParagraphFont"/>
    <w:link w:val="BalloonText"/>
    <w:uiPriority w:val="98"/>
    <w:semiHidden/>
    <w:rsid w:val="00023C6F"/>
    <w:rPr>
      <w:rFonts w:ascii="Tahoma" w:hAnsi="Tahoma" w:cs="Tahoma"/>
      <w:sz w:val="16"/>
      <w:szCs w:val="16"/>
      <w:lang w:val="ro-RO"/>
    </w:rPr>
  </w:style>
  <w:style w:type="character" w:styleId="BookTitle">
    <w:name w:val="Book Title"/>
    <w:uiPriority w:val="98"/>
    <w:semiHidden/>
    <w:qFormat/>
    <w:rsid w:val="00023C6F"/>
    <w:rPr>
      <w:i/>
      <w:iCs/>
      <w:smallCaps/>
      <w:spacing w:val="5"/>
    </w:rPr>
  </w:style>
  <w:style w:type="paragraph" w:customStyle="1" w:styleId="JuHeader">
    <w:name w:val="Ju_Header"/>
    <w:aliases w:val="_Header"/>
    <w:basedOn w:val="Header"/>
    <w:uiPriority w:val="29"/>
    <w:qFormat/>
    <w:rsid w:val="00023C6F"/>
    <w:pPr>
      <w:tabs>
        <w:tab w:val="clear" w:pos="4536"/>
        <w:tab w:val="clear" w:pos="9072"/>
      </w:tabs>
      <w:jc w:val="center"/>
    </w:pPr>
    <w:rPr>
      <w:sz w:val="18"/>
    </w:rPr>
  </w:style>
  <w:style w:type="paragraph" w:customStyle="1" w:styleId="NormalJustified">
    <w:name w:val="Normal_Justified"/>
    <w:basedOn w:val="Normal"/>
    <w:semiHidden/>
    <w:rsid w:val="00023C6F"/>
    <w:pPr>
      <w:jc w:val="both"/>
    </w:pPr>
  </w:style>
  <w:style w:type="character" w:styleId="Strong">
    <w:name w:val="Strong"/>
    <w:uiPriority w:val="98"/>
    <w:semiHidden/>
    <w:qFormat/>
    <w:rsid w:val="00023C6F"/>
    <w:rPr>
      <w:b/>
      <w:bCs/>
    </w:rPr>
  </w:style>
  <w:style w:type="paragraph" w:styleId="NoSpacing">
    <w:name w:val="No Spacing"/>
    <w:basedOn w:val="Normal"/>
    <w:link w:val="NoSpacingChar"/>
    <w:uiPriority w:val="98"/>
    <w:semiHidden/>
    <w:qFormat/>
    <w:rsid w:val="00023C6F"/>
  </w:style>
  <w:style w:type="character" w:customStyle="1" w:styleId="NoSpacingChar">
    <w:name w:val="No Spacing Char"/>
    <w:basedOn w:val="DefaultParagraphFont"/>
    <w:link w:val="NoSpacing"/>
    <w:uiPriority w:val="98"/>
    <w:semiHidden/>
    <w:rsid w:val="00023C6F"/>
    <w:rPr>
      <w:sz w:val="24"/>
      <w:szCs w:val="24"/>
      <w:lang w:val="ro-RO"/>
    </w:rPr>
  </w:style>
  <w:style w:type="paragraph" w:customStyle="1" w:styleId="JuQuot">
    <w:name w:val="Ju_Quot"/>
    <w:aliases w:val="_Quote"/>
    <w:basedOn w:val="NormalJustified"/>
    <w:uiPriority w:val="20"/>
    <w:qFormat/>
    <w:rsid w:val="00023C6F"/>
    <w:pPr>
      <w:spacing w:before="120" w:after="120"/>
      <w:ind w:left="425" w:firstLine="142"/>
    </w:pPr>
    <w:rPr>
      <w:sz w:val="20"/>
    </w:rPr>
  </w:style>
  <w:style w:type="paragraph" w:customStyle="1" w:styleId="DummyStyle">
    <w:name w:val="Dummy_Style"/>
    <w:aliases w:val="_Dummy"/>
    <w:basedOn w:val="Normal"/>
    <w:semiHidden/>
    <w:qFormat/>
    <w:rsid w:val="00023C6F"/>
    <w:rPr>
      <w:color w:val="00B050"/>
      <w:sz w:val="22"/>
    </w:rPr>
  </w:style>
  <w:style w:type="paragraph" w:customStyle="1" w:styleId="JuList">
    <w:name w:val="Ju_List"/>
    <w:aliases w:val="_List_1"/>
    <w:basedOn w:val="NormalJustified"/>
    <w:uiPriority w:val="23"/>
    <w:qFormat/>
    <w:rsid w:val="00023C6F"/>
    <w:pPr>
      <w:numPr>
        <w:numId w:val="21"/>
      </w:numPr>
      <w:spacing w:before="280" w:after="60"/>
    </w:pPr>
  </w:style>
  <w:style w:type="paragraph" w:customStyle="1" w:styleId="JuLista">
    <w:name w:val="Ju_List_a"/>
    <w:aliases w:val="_List_2"/>
    <w:basedOn w:val="NormalJustified"/>
    <w:uiPriority w:val="23"/>
    <w:rsid w:val="00023C6F"/>
    <w:pPr>
      <w:numPr>
        <w:ilvl w:val="1"/>
        <w:numId w:val="21"/>
      </w:numPr>
    </w:pPr>
  </w:style>
  <w:style w:type="paragraph" w:customStyle="1" w:styleId="JuListi">
    <w:name w:val="Ju_List_i"/>
    <w:aliases w:val="_List_3"/>
    <w:basedOn w:val="NormalJustified"/>
    <w:uiPriority w:val="23"/>
    <w:rsid w:val="00023C6F"/>
    <w:pPr>
      <w:numPr>
        <w:ilvl w:val="2"/>
        <w:numId w:val="21"/>
      </w:numPr>
    </w:pPr>
  </w:style>
  <w:style w:type="paragraph" w:customStyle="1" w:styleId="JuHArticle">
    <w:name w:val="Ju_H_Article"/>
    <w:aliases w:val="_Title_Quote"/>
    <w:basedOn w:val="Normal"/>
    <w:next w:val="JuQuot"/>
    <w:uiPriority w:val="19"/>
    <w:qFormat/>
    <w:rsid w:val="00023C6F"/>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023C6F"/>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023C6F"/>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023C6F"/>
    <w:pPr>
      <w:keepNext/>
      <w:keepLines/>
      <w:numPr>
        <w:numId w:val="20"/>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023C6F"/>
    <w:pPr>
      <w:numPr>
        <w:numId w:val="15"/>
      </w:numPr>
    </w:pPr>
  </w:style>
  <w:style w:type="paragraph" w:customStyle="1" w:styleId="JuSigned">
    <w:name w:val="Ju_Signed"/>
    <w:aliases w:val="_Signature"/>
    <w:basedOn w:val="Normal"/>
    <w:next w:val="JuPara"/>
    <w:uiPriority w:val="31"/>
    <w:qFormat/>
    <w:rsid w:val="00023C6F"/>
    <w:pPr>
      <w:tabs>
        <w:tab w:val="center" w:pos="1418"/>
        <w:tab w:val="center" w:pos="5954"/>
      </w:tabs>
      <w:spacing w:before="720"/>
    </w:pPr>
  </w:style>
  <w:style w:type="paragraph" w:styleId="Title">
    <w:name w:val="Title"/>
    <w:basedOn w:val="Normal"/>
    <w:next w:val="Normal"/>
    <w:link w:val="TitleChar"/>
    <w:uiPriority w:val="98"/>
    <w:semiHidden/>
    <w:qFormat/>
    <w:rsid w:val="00023C6F"/>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023C6F"/>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023C6F"/>
    <w:pPr>
      <w:numPr>
        <w:numId w:val="16"/>
      </w:numPr>
    </w:pPr>
  </w:style>
  <w:style w:type="numbering" w:customStyle="1" w:styleId="ECHRA1StyleNumberedList">
    <w:name w:val="ECHR_A1_Style_Numbered_List"/>
    <w:basedOn w:val="NoList"/>
    <w:rsid w:val="00023C6F"/>
    <w:pPr>
      <w:numPr>
        <w:numId w:val="17"/>
      </w:numPr>
    </w:pPr>
  </w:style>
  <w:style w:type="table" w:customStyle="1" w:styleId="ECHRTable2019">
    <w:name w:val="ECHR_Table_2019"/>
    <w:basedOn w:val="TableNormal"/>
    <w:uiPriority w:val="99"/>
    <w:rsid w:val="00023C6F"/>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023C6F"/>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023C6F"/>
    <w:pPr>
      <w:keepNext/>
      <w:keepLines/>
      <w:numPr>
        <w:ilvl w:val="1"/>
        <w:numId w:val="20"/>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023C6F"/>
    <w:pPr>
      <w:keepNext/>
      <w:keepLines/>
      <w:numPr>
        <w:ilvl w:val="2"/>
        <w:numId w:val="20"/>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023C6F"/>
    <w:pPr>
      <w:keepNext/>
      <w:keepLines/>
      <w:numPr>
        <w:ilvl w:val="3"/>
        <w:numId w:val="20"/>
      </w:numPr>
      <w:spacing w:before="100" w:beforeAutospacing="1" w:after="120"/>
      <w:jc w:val="both"/>
    </w:pPr>
    <w:rPr>
      <w:b w:val="0"/>
      <w:color w:val="auto"/>
      <w:sz w:val="24"/>
    </w:rPr>
  </w:style>
  <w:style w:type="paragraph" w:styleId="Header">
    <w:name w:val="header"/>
    <w:basedOn w:val="Normal"/>
    <w:link w:val="HeaderChar"/>
    <w:uiPriority w:val="98"/>
    <w:semiHidden/>
    <w:rsid w:val="00023C6F"/>
    <w:pPr>
      <w:tabs>
        <w:tab w:val="center" w:pos="4536"/>
        <w:tab w:val="right" w:pos="9072"/>
      </w:tabs>
    </w:pPr>
  </w:style>
  <w:style w:type="character" w:customStyle="1" w:styleId="HeaderChar">
    <w:name w:val="Header Char"/>
    <w:basedOn w:val="DefaultParagraphFont"/>
    <w:link w:val="Header"/>
    <w:uiPriority w:val="98"/>
    <w:semiHidden/>
    <w:rsid w:val="00023C6F"/>
    <w:rPr>
      <w:sz w:val="24"/>
      <w:szCs w:val="24"/>
      <w:lang w:val="ro-RO"/>
    </w:rPr>
  </w:style>
  <w:style w:type="character" w:customStyle="1" w:styleId="Heading1Char">
    <w:name w:val="Heading 1 Char"/>
    <w:basedOn w:val="DefaultParagraphFont"/>
    <w:link w:val="Heading1"/>
    <w:uiPriority w:val="98"/>
    <w:semiHidden/>
    <w:rsid w:val="00023C6F"/>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023C6F"/>
    <w:pPr>
      <w:keepNext/>
      <w:keepLines/>
      <w:numPr>
        <w:ilvl w:val="4"/>
        <w:numId w:val="20"/>
      </w:numPr>
      <w:spacing w:before="100" w:beforeAutospacing="1" w:after="120"/>
      <w:jc w:val="both"/>
    </w:pPr>
    <w:rPr>
      <w:color w:val="auto"/>
      <w:sz w:val="20"/>
    </w:rPr>
  </w:style>
  <w:style w:type="paragraph" w:customStyle="1" w:styleId="JuHi">
    <w:name w:val="Ju_H_i"/>
    <w:aliases w:val="_Head_6"/>
    <w:basedOn w:val="Heading6"/>
    <w:next w:val="JuPara"/>
    <w:uiPriority w:val="17"/>
    <w:rsid w:val="00023C6F"/>
    <w:pPr>
      <w:keepNext/>
      <w:keepLines/>
      <w:numPr>
        <w:ilvl w:val="5"/>
        <w:numId w:val="20"/>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023C6F"/>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023C6F"/>
    <w:pPr>
      <w:keepNext/>
      <w:keepLines/>
      <w:numPr>
        <w:ilvl w:val="6"/>
        <w:numId w:val="20"/>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023C6F"/>
    <w:pPr>
      <w:keepNext/>
      <w:keepLines/>
      <w:numPr>
        <w:ilvl w:val="7"/>
        <w:numId w:val="20"/>
      </w:numPr>
      <w:spacing w:before="100" w:beforeAutospacing="1" w:after="120"/>
      <w:jc w:val="both"/>
    </w:pPr>
    <w:rPr>
      <w:i/>
    </w:rPr>
  </w:style>
  <w:style w:type="character" w:customStyle="1" w:styleId="Heading3Char">
    <w:name w:val="Heading 3 Char"/>
    <w:basedOn w:val="DefaultParagraphFont"/>
    <w:link w:val="Heading3"/>
    <w:uiPriority w:val="98"/>
    <w:semiHidden/>
    <w:rsid w:val="00023C6F"/>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023C6F"/>
    <w:pPr>
      <w:keepNext/>
      <w:keepLines/>
      <w:spacing w:before="240" w:after="240"/>
      <w:ind w:firstLine="284"/>
    </w:pPr>
  </w:style>
  <w:style w:type="paragraph" w:customStyle="1" w:styleId="JuJudges">
    <w:name w:val="Ju_Judges"/>
    <w:aliases w:val="_Judges"/>
    <w:basedOn w:val="Normal"/>
    <w:uiPriority w:val="32"/>
    <w:qFormat/>
    <w:rsid w:val="00023C6F"/>
    <w:pPr>
      <w:tabs>
        <w:tab w:val="left" w:pos="567"/>
        <w:tab w:val="left" w:pos="1134"/>
      </w:tabs>
    </w:pPr>
  </w:style>
  <w:style w:type="character" w:customStyle="1" w:styleId="Heading4Char">
    <w:name w:val="Heading 4 Char"/>
    <w:basedOn w:val="DefaultParagraphFont"/>
    <w:link w:val="Heading4"/>
    <w:uiPriority w:val="98"/>
    <w:semiHidden/>
    <w:rsid w:val="00023C6F"/>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023C6F"/>
    <w:pPr>
      <w:tabs>
        <w:tab w:val="center" w:pos="6407"/>
      </w:tabs>
      <w:spacing w:before="720"/>
      <w:jc w:val="right"/>
    </w:pPr>
  </w:style>
  <w:style w:type="character" w:customStyle="1" w:styleId="Heading5Char">
    <w:name w:val="Heading 5 Char"/>
    <w:basedOn w:val="DefaultParagraphFont"/>
    <w:link w:val="Heading5"/>
    <w:uiPriority w:val="98"/>
    <w:semiHidden/>
    <w:rsid w:val="00023C6F"/>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023C6F"/>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023C6F"/>
    <w:rPr>
      <w:caps w:val="0"/>
      <w:smallCaps/>
    </w:rPr>
  </w:style>
  <w:style w:type="character" w:styleId="SubtleEmphasis">
    <w:name w:val="Subtle Emphasis"/>
    <w:uiPriority w:val="98"/>
    <w:semiHidden/>
    <w:qFormat/>
    <w:rsid w:val="00023C6F"/>
    <w:rPr>
      <w:i/>
      <w:iCs/>
    </w:rPr>
  </w:style>
  <w:style w:type="table" w:customStyle="1" w:styleId="ECHRTable">
    <w:name w:val="ECHR_Table"/>
    <w:basedOn w:val="TableNormal"/>
    <w:rsid w:val="00023C6F"/>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023C6F"/>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023C6F"/>
    <w:rPr>
      <w:b/>
      <w:bCs/>
      <w:i/>
      <w:iCs/>
      <w:spacing w:val="10"/>
      <w:bdr w:val="none" w:sz="0" w:space="0" w:color="auto"/>
      <w:shd w:val="clear" w:color="auto" w:fill="auto"/>
    </w:rPr>
  </w:style>
  <w:style w:type="paragraph" w:styleId="Footer0">
    <w:name w:val="footer"/>
    <w:basedOn w:val="Normal"/>
    <w:link w:val="FooterChar"/>
    <w:uiPriority w:val="98"/>
    <w:semiHidden/>
    <w:rsid w:val="00023C6F"/>
    <w:pPr>
      <w:tabs>
        <w:tab w:val="center" w:pos="3686"/>
        <w:tab w:val="right" w:pos="7371"/>
      </w:tabs>
    </w:pPr>
  </w:style>
  <w:style w:type="character" w:customStyle="1" w:styleId="FooterChar">
    <w:name w:val="Footer Char"/>
    <w:basedOn w:val="DefaultParagraphFont"/>
    <w:link w:val="Footer0"/>
    <w:uiPriority w:val="98"/>
    <w:rsid w:val="00023C6F"/>
    <w:rPr>
      <w:sz w:val="24"/>
      <w:szCs w:val="24"/>
      <w:lang w:val="ro-RO"/>
    </w:rPr>
  </w:style>
  <w:style w:type="character" w:styleId="FootnoteReference">
    <w:name w:val="footnote reference"/>
    <w:basedOn w:val="DefaultParagraphFont"/>
    <w:uiPriority w:val="98"/>
    <w:semiHidden/>
    <w:rsid w:val="00023C6F"/>
    <w:rPr>
      <w:vertAlign w:val="superscript"/>
    </w:rPr>
  </w:style>
  <w:style w:type="paragraph" w:styleId="FootnoteText">
    <w:name w:val="footnote text"/>
    <w:basedOn w:val="NormalJustified"/>
    <w:link w:val="FootnoteTextChar"/>
    <w:uiPriority w:val="98"/>
    <w:semiHidden/>
    <w:rsid w:val="00023C6F"/>
    <w:rPr>
      <w:sz w:val="20"/>
      <w:szCs w:val="20"/>
    </w:rPr>
  </w:style>
  <w:style w:type="character" w:customStyle="1" w:styleId="FootnoteTextChar">
    <w:name w:val="Footnote Text Char"/>
    <w:basedOn w:val="DefaultParagraphFont"/>
    <w:link w:val="FootnoteText"/>
    <w:uiPriority w:val="98"/>
    <w:semiHidden/>
    <w:rsid w:val="00023C6F"/>
    <w:rPr>
      <w:sz w:val="20"/>
      <w:szCs w:val="20"/>
      <w:lang w:val="ro-RO"/>
    </w:rPr>
  </w:style>
  <w:style w:type="character" w:customStyle="1" w:styleId="Heading6Char">
    <w:name w:val="Heading 6 Char"/>
    <w:basedOn w:val="DefaultParagraphFont"/>
    <w:link w:val="Heading6"/>
    <w:uiPriority w:val="98"/>
    <w:semiHidden/>
    <w:rsid w:val="00023C6F"/>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023C6F"/>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023C6F"/>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023C6F"/>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023C6F"/>
    <w:rPr>
      <w:color w:val="0072BC" w:themeColor="hyperlink"/>
      <w:u w:val="single"/>
    </w:rPr>
  </w:style>
  <w:style w:type="character" w:styleId="IntenseEmphasis">
    <w:name w:val="Intense Emphasis"/>
    <w:uiPriority w:val="98"/>
    <w:semiHidden/>
    <w:qFormat/>
    <w:rsid w:val="00023C6F"/>
    <w:rPr>
      <w:b/>
      <w:bCs/>
    </w:rPr>
  </w:style>
  <w:style w:type="paragraph" w:styleId="IntenseQuote">
    <w:name w:val="Intense Quote"/>
    <w:basedOn w:val="Normal"/>
    <w:next w:val="Normal"/>
    <w:link w:val="IntenseQuoteChar"/>
    <w:uiPriority w:val="98"/>
    <w:semiHidden/>
    <w:qFormat/>
    <w:rsid w:val="00023C6F"/>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023C6F"/>
    <w:rPr>
      <w:b/>
      <w:bCs/>
      <w:i/>
      <w:iCs/>
      <w:sz w:val="24"/>
      <w:szCs w:val="24"/>
      <w:lang w:val="ro-RO" w:bidi="en-US"/>
    </w:rPr>
  </w:style>
  <w:style w:type="character" w:styleId="IntenseReference">
    <w:name w:val="Intense Reference"/>
    <w:uiPriority w:val="98"/>
    <w:semiHidden/>
    <w:qFormat/>
    <w:rsid w:val="00023C6F"/>
    <w:rPr>
      <w:smallCaps/>
      <w:spacing w:val="5"/>
      <w:u w:val="single"/>
    </w:rPr>
  </w:style>
  <w:style w:type="paragraph" w:styleId="ListParagraph">
    <w:name w:val="List Paragraph"/>
    <w:basedOn w:val="Normal"/>
    <w:uiPriority w:val="98"/>
    <w:semiHidden/>
    <w:qFormat/>
    <w:rsid w:val="00023C6F"/>
    <w:pPr>
      <w:ind w:left="720"/>
      <w:contextualSpacing/>
    </w:pPr>
  </w:style>
  <w:style w:type="table" w:customStyle="1" w:styleId="LtrTableAddress">
    <w:name w:val="Ltr_Table_Address"/>
    <w:aliases w:val="ECHR_Ltr_Table_Address"/>
    <w:basedOn w:val="TableNormal"/>
    <w:uiPriority w:val="99"/>
    <w:rsid w:val="00023C6F"/>
    <w:rPr>
      <w:sz w:val="24"/>
      <w:szCs w:val="24"/>
    </w:rPr>
    <w:tblPr>
      <w:tblInd w:w="5103" w:type="dxa"/>
    </w:tblPr>
  </w:style>
  <w:style w:type="paragraph" w:styleId="Quote">
    <w:name w:val="Quote"/>
    <w:basedOn w:val="Normal"/>
    <w:next w:val="Normal"/>
    <w:link w:val="QuoteChar"/>
    <w:uiPriority w:val="98"/>
    <w:semiHidden/>
    <w:qFormat/>
    <w:rsid w:val="00023C6F"/>
    <w:pPr>
      <w:spacing w:before="200"/>
      <w:ind w:left="360" w:right="360"/>
    </w:pPr>
    <w:rPr>
      <w:i/>
      <w:iCs/>
      <w:lang w:bidi="en-US"/>
    </w:rPr>
  </w:style>
  <w:style w:type="character" w:customStyle="1" w:styleId="QuoteChar">
    <w:name w:val="Quote Char"/>
    <w:basedOn w:val="DefaultParagraphFont"/>
    <w:link w:val="Quote"/>
    <w:uiPriority w:val="98"/>
    <w:semiHidden/>
    <w:rsid w:val="00023C6F"/>
    <w:rPr>
      <w:i/>
      <w:iCs/>
      <w:sz w:val="24"/>
      <w:szCs w:val="24"/>
      <w:lang w:val="ro-RO" w:bidi="en-US"/>
    </w:rPr>
  </w:style>
  <w:style w:type="character" w:styleId="SubtleReference">
    <w:name w:val="Subtle Reference"/>
    <w:uiPriority w:val="98"/>
    <w:semiHidden/>
    <w:qFormat/>
    <w:rsid w:val="00023C6F"/>
    <w:rPr>
      <w:smallCaps/>
    </w:rPr>
  </w:style>
  <w:style w:type="table" w:styleId="TableGrid">
    <w:name w:val="Table Grid"/>
    <w:basedOn w:val="TableNormal"/>
    <w:uiPriority w:val="59"/>
    <w:semiHidden/>
    <w:rsid w:val="00023C6F"/>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023C6F"/>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023C6F"/>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023C6F"/>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023C6F"/>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023C6F"/>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023C6F"/>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023C6F"/>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023C6F"/>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023C6F"/>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023C6F"/>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023C6F"/>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023C6F"/>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023C6F"/>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023C6F"/>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023C6F"/>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023C6F"/>
    <w:pPr>
      <w:numPr>
        <w:numId w:val="2"/>
      </w:numPr>
    </w:pPr>
  </w:style>
  <w:style w:type="paragraph" w:customStyle="1" w:styleId="JuPara">
    <w:name w:val="Ju_Para"/>
    <w:aliases w:val="_Para"/>
    <w:basedOn w:val="NormalJustified"/>
    <w:link w:val="JuParaChar"/>
    <w:uiPriority w:val="4"/>
    <w:qFormat/>
    <w:rsid w:val="00023C6F"/>
    <w:pPr>
      <w:ind w:firstLine="284"/>
    </w:pPr>
  </w:style>
  <w:style w:type="numbering" w:styleId="1ai">
    <w:name w:val="Outline List 1"/>
    <w:basedOn w:val="NoList"/>
    <w:uiPriority w:val="99"/>
    <w:semiHidden/>
    <w:unhideWhenUsed/>
    <w:rsid w:val="00023C6F"/>
    <w:pPr>
      <w:numPr>
        <w:numId w:val="3"/>
      </w:numPr>
    </w:pPr>
  </w:style>
  <w:style w:type="table" w:customStyle="1" w:styleId="ECHRTableSimpleBox">
    <w:name w:val="ECHR_Table_Simple_Box"/>
    <w:basedOn w:val="TableNormal"/>
    <w:uiPriority w:val="99"/>
    <w:rsid w:val="00023C6F"/>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023C6F"/>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023C6F"/>
    <w:pPr>
      <w:numPr>
        <w:numId w:val="4"/>
      </w:numPr>
    </w:pPr>
  </w:style>
  <w:style w:type="table" w:customStyle="1" w:styleId="ECHRTableForInternalUse">
    <w:name w:val="ECHR_Table_For_Internal_Use"/>
    <w:basedOn w:val="TableNormal"/>
    <w:uiPriority w:val="99"/>
    <w:rsid w:val="00023C6F"/>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023C6F"/>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023C6F"/>
  </w:style>
  <w:style w:type="paragraph" w:styleId="BlockText">
    <w:name w:val="Block Text"/>
    <w:basedOn w:val="Normal"/>
    <w:uiPriority w:val="98"/>
    <w:semiHidden/>
    <w:rsid w:val="00023C6F"/>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023C6F"/>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023C6F"/>
    <w:pPr>
      <w:spacing w:after="120"/>
    </w:pPr>
  </w:style>
  <w:style w:type="character" w:customStyle="1" w:styleId="BodyTextChar">
    <w:name w:val="Body Text Char"/>
    <w:basedOn w:val="DefaultParagraphFont"/>
    <w:link w:val="BodyText"/>
    <w:uiPriority w:val="98"/>
    <w:semiHidden/>
    <w:rsid w:val="00023C6F"/>
    <w:rPr>
      <w:sz w:val="24"/>
      <w:szCs w:val="24"/>
      <w:lang w:val="ro-RO"/>
    </w:rPr>
  </w:style>
  <w:style w:type="table" w:customStyle="1" w:styleId="ECHRTableOddBanded">
    <w:name w:val="ECHR_Table_Odd_Banded"/>
    <w:basedOn w:val="TableNormal"/>
    <w:uiPriority w:val="99"/>
    <w:rsid w:val="00023C6F"/>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023C6F"/>
    <w:pPr>
      <w:spacing w:after="120" w:line="480" w:lineRule="auto"/>
    </w:pPr>
  </w:style>
  <w:style w:type="table" w:customStyle="1" w:styleId="ECHRHeaderTableReduced">
    <w:name w:val="ECHR_Header_Table_Reduced"/>
    <w:basedOn w:val="TableNormal"/>
    <w:uiPriority w:val="99"/>
    <w:rsid w:val="00023C6F"/>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023C6F"/>
    <w:pPr>
      <w:ind w:firstLine="284"/>
    </w:pPr>
    <w:rPr>
      <w:b/>
    </w:rPr>
  </w:style>
  <w:style w:type="character" w:styleId="PageNumber">
    <w:name w:val="page number"/>
    <w:uiPriority w:val="98"/>
    <w:semiHidden/>
    <w:rsid w:val="00023C6F"/>
    <w:rPr>
      <w:sz w:val="18"/>
    </w:rPr>
  </w:style>
  <w:style w:type="paragraph" w:styleId="ListBullet">
    <w:name w:val="List Bullet"/>
    <w:basedOn w:val="Normal"/>
    <w:uiPriority w:val="98"/>
    <w:semiHidden/>
    <w:rsid w:val="00023C6F"/>
    <w:pPr>
      <w:numPr>
        <w:numId w:val="5"/>
      </w:numPr>
    </w:pPr>
  </w:style>
  <w:style w:type="paragraph" w:styleId="ListBullet3">
    <w:name w:val="List Bullet 3"/>
    <w:basedOn w:val="Normal"/>
    <w:uiPriority w:val="98"/>
    <w:semiHidden/>
    <w:rsid w:val="00023C6F"/>
    <w:pPr>
      <w:numPr>
        <w:numId w:val="7"/>
      </w:numPr>
      <w:contextualSpacing/>
    </w:pPr>
  </w:style>
  <w:style w:type="character" w:customStyle="1" w:styleId="BodyText2Char">
    <w:name w:val="Body Text 2 Char"/>
    <w:basedOn w:val="DefaultParagraphFont"/>
    <w:link w:val="BodyText2"/>
    <w:uiPriority w:val="98"/>
    <w:semiHidden/>
    <w:rsid w:val="00023C6F"/>
    <w:rPr>
      <w:sz w:val="24"/>
      <w:szCs w:val="24"/>
      <w:lang w:val="ro-RO"/>
    </w:rPr>
  </w:style>
  <w:style w:type="paragraph" w:styleId="BodyText3">
    <w:name w:val="Body Text 3"/>
    <w:basedOn w:val="Normal"/>
    <w:link w:val="BodyText3Char"/>
    <w:uiPriority w:val="98"/>
    <w:semiHidden/>
    <w:rsid w:val="00023C6F"/>
    <w:pPr>
      <w:spacing w:after="120"/>
    </w:pPr>
    <w:rPr>
      <w:sz w:val="16"/>
      <w:szCs w:val="16"/>
    </w:rPr>
  </w:style>
  <w:style w:type="character" w:customStyle="1" w:styleId="BodyText3Char">
    <w:name w:val="Body Text 3 Char"/>
    <w:basedOn w:val="DefaultParagraphFont"/>
    <w:link w:val="BodyText3"/>
    <w:uiPriority w:val="98"/>
    <w:semiHidden/>
    <w:rsid w:val="00023C6F"/>
    <w:rPr>
      <w:sz w:val="16"/>
      <w:szCs w:val="16"/>
      <w:lang w:val="ro-RO"/>
    </w:rPr>
  </w:style>
  <w:style w:type="paragraph" w:styleId="BodyTextFirstIndent">
    <w:name w:val="Body Text First Indent"/>
    <w:basedOn w:val="BodyText"/>
    <w:link w:val="BodyTextFirstIndentChar"/>
    <w:uiPriority w:val="98"/>
    <w:semiHidden/>
    <w:rsid w:val="00023C6F"/>
    <w:pPr>
      <w:spacing w:after="0"/>
      <w:ind w:firstLine="360"/>
    </w:pPr>
  </w:style>
  <w:style w:type="character" w:customStyle="1" w:styleId="BodyTextFirstIndentChar">
    <w:name w:val="Body Text First Indent Char"/>
    <w:basedOn w:val="BodyTextChar"/>
    <w:link w:val="BodyTextFirstIndent"/>
    <w:uiPriority w:val="98"/>
    <w:semiHidden/>
    <w:rsid w:val="00023C6F"/>
    <w:rPr>
      <w:sz w:val="24"/>
      <w:szCs w:val="24"/>
      <w:lang w:val="ro-RO"/>
    </w:rPr>
  </w:style>
  <w:style w:type="paragraph" w:styleId="BodyTextIndent">
    <w:name w:val="Body Text Indent"/>
    <w:basedOn w:val="Normal"/>
    <w:link w:val="BodyTextIndentChar"/>
    <w:uiPriority w:val="98"/>
    <w:semiHidden/>
    <w:rsid w:val="00023C6F"/>
    <w:pPr>
      <w:spacing w:after="120"/>
      <w:ind w:left="283"/>
    </w:pPr>
  </w:style>
  <w:style w:type="character" w:customStyle="1" w:styleId="BodyTextIndentChar">
    <w:name w:val="Body Text Indent Char"/>
    <w:basedOn w:val="DefaultParagraphFont"/>
    <w:link w:val="BodyTextIndent"/>
    <w:uiPriority w:val="98"/>
    <w:semiHidden/>
    <w:rsid w:val="00023C6F"/>
    <w:rPr>
      <w:sz w:val="24"/>
      <w:szCs w:val="24"/>
      <w:lang w:val="ro-RO"/>
    </w:rPr>
  </w:style>
  <w:style w:type="paragraph" w:styleId="BodyTextFirstIndent2">
    <w:name w:val="Body Text First Indent 2"/>
    <w:basedOn w:val="BodyTextIndent"/>
    <w:link w:val="BodyTextFirstIndent2Char"/>
    <w:uiPriority w:val="98"/>
    <w:semiHidden/>
    <w:rsid w:val="00023C6F"/>
    <w:pPr>
      <w:spacing w:after="0"/>
      <w:ind w:left="360" w:firstLine="360"/>
    </w:pPr>
  </w:style>
  <w:style w:type="character" w:customStyle="1" w:styleId="BodyTextFirstIndent2Char">
    <w:name w:val="Body Text First Indent 2 Char"/>
    <w:basedOn w:val="BodyTextIndentChar"/>
    <w:link w:val="BodyTextFirstIndent2"/>
    <w:uiPriority w:val="98"/>
    <w:semiHidden/>
    <w:rsid w:val="00023C6F"/>
    <w:rPr>
      <w:sz w:val="24"/>
      <w:szCs w:val="24"/>
      <w:lang w:val="ro-RO"/>
    </w:rPr>
  </w:style>
  <w:style w:type="paragraph" w:styleId="BodyTextIndent2">
    <w:name w:val="Body Text Indent 2"/>
    <w:basedOn w:val="Normal"/>
    <w:link w:val="BodyTextIndent2Char"/>
    <w:uiPriority w:val="98"/>
    <w:semiHidden/>
    <w:rsid w:val="00023C6F"/>
    <w:pPr>
      <w:spacing w:after="120" w:line="480" w:lineRule="auto"/>
      <w:ind w:left="283"/>
    </w:pPr>
  </w:style>
  <w:style w:type="character" w:customStyle="1" w:styleId="BodyTextIndent2Char">
    <w:name w:val="Body Text Indent 2 Char"/>
    <w:basedOn w:val="DefaultParagraphFont"/>
    <w:link w:val="BodyTextIndent2"/>
    <w:uiPriority w:val="98"/>
    <w:semiHidden/>
    <w:rsid w:val="00023C6F"/>
    <w:rPr>
      <w:sz w:val="24"/>
      <w:szCs w:val="24"/>
      <w:lang w:val="ro-RO"/>
    </w:rPr>
  </w:style>
  <w:style w:type="paragraph" w:styleId="BodyTextIndent3">
    <w:name w:val="Body Text Indent 3"/>
    <w:basedOn w:val="Normal"/>
    <w:link w:val="BodyTextIndent3Char"/>
    <w:uiPriority w:val="98"/>
    <w:semiHidden/>
    <w:rsid w:val="00023C6F"/>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023C6F"/>
    <w:rPr>
      <w:sz w:val="16"/>
      <w:szCs w:val="16"/>
      <w:lang w:val="ro-RO"/>
    </w:rPr>
  </w:style>
  <w:style w:type="paragraph" w:styleId="Caption">
    <w:name w:val="caption"/>
    <w:basedOn w:val="Normal"/>
    <w:next w:val="Normal"/>
    <w:uiPriority w:val="98"/>
    <w:semiHidden/>
    <w:qFormat/>
    <w:rsid w:val="00023C6F"/>
    <w:pPr>
      <w:spacing w:after="200"/>
    </w:pPr>
    <w:rPr>
      <w:b/>
      <w:bCs/>
      <w:color w:val="0072BC" w:themeColor="accent1"/>
      <w:sz w:val="18"/>
      <w:szCs w:val="18"/>
    </w:rPr>
  </w:style>
  <w:style w:type="paragraph" w:styleId="Closing">
    <w:name w:val="Closing"/>
    <w:basedOn w:val="Normal"/>
    <w:link w:val="ClosingChar"/>
    <w:uiPriority w:val="98"/>
    <w:semiHidden/>
    <w:rsid w:val="00023C6F"/>
    <w:pPr>
      <w:ind w:left="4252"/>
    </w:pPr>
  </w:style>
  <w:style w:type="character" w:customStyle="1" w:styleId="ClosingChar">
    <w:name w:val="Closing Char"/>
    <w:basedOn w:val="DefaultParagraphFont"/>
    <w:link w:val="Closing"/>
    <w:uiPriority w:val="98"/>
    <w:semiHidden/>
    <w:rsid w:val="00023C6F"/>
    <w:rPr>
      <w:sz w:val="24"/>
      <w:szCs w:val="24"/>
      <w:lang w:val="ro-RO"/>
    </w:rPr>
  </w:style>
  <w:style w:type="table" w:styleId="ColorfulGrid">
    <w:name w:val="Colorful Grid"/>
    <w:basedOn w:val="TableNormal"/>
    <w:uiPriority w:val="73"/>
    <w:semiHidden/>
    <w:rsid w:val="00023C6F"/>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023C6F"/>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023C6F"/>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023C6F"/>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023C6F"/>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023C6F"/>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023C6F"/>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023C6F"/>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023C6F"/>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023C6F"/>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023C6F"/>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023C6F"/>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023C6F"/>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023C6F"/>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023C6F"/>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023C6F"/>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023C6F"/>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023C6F"/>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023C6F"/>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023C6F"/>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023C6F"/>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023C6F"/>
    <w:rPr>
      <w:sz w:val="16"/>
      <w:szCs w:val="16"/>
    </w:rPr>
  </w:style>
  <w:style w:type="paragraph" w:styleId="CommentText">
    <w:name w:val="annotation text"/>
    <w:basedOn w:val="Normal"/>
    <w:link w:val="CommentTextChar"/>
    <w:uiPriority w:val="98"/>
    <w:semiHidden/>
    <w:rsid w:val="00023C6F"/>
    <w:rPr>
      <w:sz w:val="20"/>
      <w:szCs w:val="20"/>
    </w:rPr>
  </w:style>
  <w:style w:type="character" w:customStyle="1" w:styleId="CommentTextChar">
    <w:name w:val="Comment Text Char"/>
    <w:basedOn w:val="DefaultParagraphFont"/>
    <w:link w:val="CommentText"/>
    <w:uiPriority w:val="98"/>
    <w:semiHidden/>
    <w:rsid w:val="00023C6F"/>
    <w:rPr>
      <w:sz w:val="20"/>
      <w:szCs w:val="20"/>
      <w:lang w:val="ro-RO"/>
    </w:rPr>
  </w:style>
  <w:style w:type="paragraph" w:styleId="CommentSubject">
    <w:name w:val="annotation subject"/>
    <w:basedOn w:val="CommentText"/>
    <w:next w:val="CommentText"/>
    <w:link w:val="CommentSubjectChar"/>
    <w:uiPriority w:val="98"/>
    <w:semiHidden/>
    <w:rsid w:val="00023C6F"/>
    <w:rPr>
      <w:b/>
      <w:bCs/>
    </w:rPr>
  </w:style>
  <w:style w:type="character" w:customStyle="1" w:styleId="CommentSubjectChar">
    <w:name w:val="Comment Subject Char"/>
    <w:basedOn w:val="CommentTextChar"/>
    <w:link w:val="CommentSubject"/>
    <w:uiPriority w:val="98"/>
    <w:semiHidden/>
    <w:rsid w:val="00023C6F"/>
    <w:rPr>
      <w:b/>
      <w:bCs/>
      <w:sz w:val="20"/>
      <w:szCs w:val="20"/>
      <w:lang w:val="ro-RO"/>
    </w:rPr>
  </w:style>
  <w:style w:type="table" w:styleId="DarkList">
    <w:name w:val="Dark List"/>
    <w:basedOn w:val="TableNormal"/>
    <w:uiPriority w:val="70"/>
    <w:semiHidden/>
    <w:rsid w:val="00023C6F"/>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023C6F"/>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023C6F"/>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023C6F"/>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023C6F"/>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023C6F"/>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023C6F"/>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023C6F"/>
  </w:style>
  <w:style w:type="character" w:customStyle="1" w:styleId="DateChar">
    <w:name w:val="Date Char"/>
    <w:basedOn w:val="DefaultParagraphFont"/>
    <w:link w:val="Date"/>
    <w:uiPriority w:val="98"/>
    <w:semiHidden/>
    <w:rsid w:val="00023C6F"/>
    <w:rPr>
      <w:sz w:val="24"/>
      <w:szCs w:val="24"/>
      <w:lang w:val="ro-RO"/>
    </w:rPr>
  </w:style>
  <w:style w:type="paragraph" w:styleId="DocumentMap">
    <w:name w:val="Document Map"/>
    <w:basedOn w:val="Normal"/>
    <w:link w:val="DocumentMapChar"/>
    <w:uiPriority w:val="98"/>
    <w:semiHidden/>
    <w:rsid w:val="00023C6F"/>
    <w:rPr>
      <w:rFonts w:ascii="Tahoma" w:hAnsi="Tahoma" w:cs="Tahoma"/>
      <w:sz w:val="16"/>
      <w:szCs w:val="16"/>
    </w:rPr>
  </w:style>
  <w:style w:type="character" w:customStyle="1" w:styleId="DocumentMapChar">
    <w:name w:val="Document Map Char"/>
    <w:basedOn w:val="DefaultParagraphFont"/>
    <w:link w:val="DocumentMap"/>
    <w:uiPriority w:val="98"/>
    <w:semiHidden/>
    <w:rsid w:val="00023C6F"/>
    <w:rPr>
      <w:rFonts w:ascii="Tahoma" w:hAnsi="Tahoma" w:cs="Tahoma"/>
      <w:sz w:val="16"/>
      <w:szCs w:val="16"/>
      <w:lang w:val="ro-RO"/>
    </w:rPr>
  </w:style>
  <w:style w:type="paragraph" w:styleId="E-mailSignature">
    <w:name w:val="E-mail Signature"/>
    <w:basedOn w:val="Normal"/>
    <w:link w:val="E-mailSignatureChar"/>
    <w:uiPriority w:val="98"/>
    <w:semiHidden/>
    <w:rsid w:val="00023C6F"/>
  </w:style>
  <w:style w:type="character" w:customStyle="1" w:styleId="E-mailSignatureChar">
    <w:name w:val="E-mail Signature Char"/>
    <w:basedOn w:val="DefaultParagraphFont"/>
    <w:link w:val="E-mailSignature"/>
    <w:uiPriority w:val="98"/>
    <w:semiHidden/>
    <w:rsid w:val="00023C6F"/>
    <w:rPr>
      <w:sz w:val="24"/>
      <w:szCs w:val="24"/>
      <w:lang w:val="ro-RO"/>
    </w:rPr>
  </w:style>
  <w:style w:type="character" w:styleId="EndnoteReference">
    <w:name w:val="endnote reference"/>
    <w:basedOn w:val="DefaultParagraphFont"/>
    <w:uiPriority w:val="98"/>
    <w:semiHidden/>
    <w:rsid w:val="00023C6F"/>
    <w:rPr>
      <w:vertAlign w:val="superscript"/>
    </w:rPr>
  </w:style>
  <w:style w:type="paragraph" w:styleId="EndnoteText">
    <w:name w:val="endnote text"/>
    <w:basedOn w:val="Normal"/>
    <w:link w:val="EndnoteTextChar"/>
    <w:uiPriority w:val="98"/>
    <w:semiHidden/>
    <w:rsid w:val="00023C6F"/>
    <w:rPr>
      <w:sz w:val="20"/>
      <w:szCs w:val="20"/>
    </w:rPr>
  </w:style>
  <w:style w:type="character" w:customStyle="1" w:styleId="EndnoteTextChar">
    <w:name w:val="Endnote Text Char"/>
    <w:basedOn w:val="DefaultParagraphFont"/>
    <w:link w:val="EndnoteText"/>
    <w:uiPriority w:val="98"/>
    <w:semiHidden/>
    <w:rsid w:val="00023C6F"/>
    <w:rPr>
      <w:sz w:val="20"/>
      <w:szCs w:val="20"/>
      <w:lang w:val="ro-RO"/>
    </w:rPr>
  </w:style>
  <w:style w:type="paragraph" w:styleId="EnvelopeAddress">
    <w:name w:val="envelope address"/>
    <w:basedOn w:val="Normal"/>
    <w:uiPriority w:val="98"/>
    <w:semiHidden/>
    <w:rsid w:val="00023C6F"/>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023C6F"/>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023C6F"/>
    <w:rPr>
      <w:color w:val="7030A0" w:themeColor="followedHyperlink"/>
      <w:u w:val="single"/>
    </w:rPr>
  </w:style>
  <w:style w:type="character" w:styleId="HTMLAcronym">
    <w:name w:val="HTML Acronym"/>
    <w:basedOn w:val="DefaultParagraphFont"/>
    <w:uiPriority w:val="98"/>
    <w:semiHidden/>
    <w:rsid w:val="00023C6F"/>
  </w:style>
  <w:style w:type="paragraph" w:styleId="HTMLAddress">
    <w:name w:val="HTML Address"/>
    <w:basedOn w:val="Normal"/>
    <w:link w:val="HTMLAddressChar"/>
    <w:uiPriority w:val="98"/>
    <w:semiHidden/>
    <w:rsid w:val="00023C6F"/>
    <w:rPr>
      <w:i/>
      <w:iCs/>
    </w:rPr>
  </w:style>
  <w:style w:type="character" w:customStyle="1" w:styleId="HTMLAddressChar">
    <w:name w:val="HTML Address Char"/>
    <w:basedOn w:val="DefaultParagraphFont"/>
    <w:link w:val="HTMLAddress"/>
    <w:uiPriority w:val="98"/>
    <w:semiHidden/>
    <w:rsid w:val="00023C6F"/>
    <w:rPr>
      <w:i/>
      <w:iCs/>
      <w:sz w:val="24"/>
      <w:szCs w:val="24"/>
      <w:lang w:val="ro-RO"/>
    </w:rPr>
  </w:style>
  <w:style w:type="character" w:styleId="HTMLCite">
    <w:name w:val="HTML Cite"/>
    <w:basedOn w:val="DefaultParagraphFont"/>
    <w:uiPriority w:val="98"/>
    <w:semiHidden/>
    <w:rsid w:val="00023C6F"/>
    <w:rPr>
      <w:i/>
      <w:iCs/>
    </w:rPr>
  </w:style>
  <w:style w:type="character" w:styleId="HTMLCode">
    <w:name w:val="HTML Code"/>
    <w:basedOn w:val="DefaultParagraphFont"/>
    <w:uiPriority w:val="98"/>
    <w:semiHidden/>
    <w:rsid w:val="00023C6F"/>
    <w:rPr>
      <w:rFonts w:ascii="Consolas" w:hAnsi="Consolas" w:cs="Consolas"/>
      <w:sz w:val="20"/>
      <w:szCs w:val="20"/>
    </w:rPr>
  </w:style>
  <w:style w:type="character" w:styleId="HTMLDefinition">
    <w:name w:val="HTML Definition"/>
    <w:basedOn w:val="DefaultParagraphFont"/>
    <w:uiPriority w:val="98"/>
    <w:semiHidden/>
    <w:rsid w:val="00023C6F"/>
    <w:rPr>
      <w:i/>
      <w:iCs/>
    </w:rPr>
  </w:style>
  <w:style w:type="character" w:styleId="HTMLKeyboard">
    <w:name w:val="HTML Keyboard"/>
    <w:basedOn w:val="DefaultParagraphFont"/>
    <w:uiPriority w:val="98"/>
    <w:semiHidden/>
    <w:rsid w:val="00023C6F"/>
    <w:rPr>
      <w:rFonts w:ascii="Consolas" w:hAnsi="Consolas" w:cs="Consolas"/>
      <w:sz w:val="20"/>
      <w:szCs w:val="20"/>
    </w:rPr>
  </w:style>
  <w:style w:type="paragraph" w:styleId="HTMLPreformatted">
    <w:name w:val="HTML Preformatted"/>
    <w:basedOn w:val="Normal"/>
    <w:link w:val="HTMLPreformattedChar"/>
    <w:uiPriority w:val="98"/>
    <w:semiHidden/>
    <w:rsid w:val="00023C6F"/>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023C6F"/>
    <w:rPr>
      <w:rFonts w:ascii="Consolas" w:hAnsi="Consolas" w:cs="Consolas"/>
      <w:sz w:val="20"/>
      <w:szCs w:val="20"/>
      <w:lang w:val="ro-RO"/>
    </w:rPr>
  </w:style>
  <w:style w:type="character" w:styleId="HTMLSample">
    <w:name w:val="HTML Sample"/>
    <w:basedOn w:val="DefaultParagraphFont"/>
    <w:uiPriority w:val="98"/>
    <w:semiHidden/>
    <w:rsid w:val="00023C6F"/>
    <w:rPr>
      <w:rFonts w:ascii="Consolas" w:hAnsi="Consolas" w:cs="Consolas"/>
      <w:sz w:val="24"/>
      <w:szCs w:val="24"/>
    </w:rPr>
  </w:style>
  <w:style w:type="character" w:styleId="HTMLTypewriter">
    <w:name w:val="HTML Typewriter"/>
    <w:basedOn w:val="DefaultParagraphFont"/>
    <w:uiPriority w:val="98"/>
    <w:semiHidden/>
    <w:rsid w:val="00023C6F"/>
    <w:rPr>
      <w:rFonts w:ascii="Consolas" w:hAnsi="Consolas" w:cs="Consolas"/>
      <w:sz w:val="20"/>
      <w:szCs w:val="20"/>
    </w:rPr>
  </w:style>
  <w:style w:type="character" w:styleId="HTMLVariable">
    <w:name w:val="HTML Variable"/>
    <w:basedOn w:val="DefaultParagraphFont"/>
    <w:uiPriority w:val="98"/>
    <w:semiHidden/>
    <w:rsid w:val="00023C6F"/>
    <w:rPr>
      <w:i/>
      <w:iCs/>
    </w:rPr>
  </w:style>
  <w:style w:type="paragraph" w:styleId="Index1">
    <w:name w:val="index 1"/>
    <w:basedOn w:val="Normal"/>
    <w:next w:val="Normal"/>
    <w:autoRedefine/>
    <w:uiPriority w:val="98"/>
    <w:semiHidden/>
    <w:rsid w:val="00023C6F"/>
    <w:pPr>
      <w:ind w:left="240" w:hanging="240"/>
    </w:pPr>
  </w:style>
  <w:style w:type="paragraph" w:styleId="Index2">
    <w:name w:val="index 2"/>
    <w:basedOn w:val="Normal"/>
    <w:next w:val="Normal"/>
    <w:autoRedefine/>
    <w:uiPriority w:val="98"/>
    <w:semiHidden/>
    <w:rsid w:val="00023C6F"/>
    <w:pPr>
      <w:ind w:left="480" w:hanging="240"/>
    </w:pPr>
  </w:style>
  <w:style w:type="paragraph" w:styleId="Index3">
    <w:name w:val="index 3"/>
    <w:basedOn w:val="Normal"/>
    <w:next w:val="Normal"/>
    <w:autoRedefine/>
    <w:uiPriority w:val="98"/>
    <w:semiHidden/>
    <w:rsid w:val="00023C6F"/>
    <w:pPr>
      <w:ind w:left="720" w:hanging="240"/>
    </w:pPr>
  </w:style>
  <w:style w:type="paragraph" w:styleId="Index4">
    <w:name w:val="index 4"/>
    <w:basedOn w:val="Normal"/>
    <w:next w:val="Normal"/>
    <w:autoRedefine/>
    <w:uiPriority w:val="98"/>
    <w:semiHidden/>
    <w:rsid w:val="00023C6F"/>
    <w:pPr>
      <w:ind w:left="960" w:hanging="240"/>
    </w:pPr>
  </w:style>
  <w:style w:type="paragraph" w:styleId="Index5">
    <w:name w:val="index 5"/>
    <w:basedOn w:val="Normal"/>
    <w:next w:val="Normal"/>
    <w:autoRedefine/>
    <w:uiPriority w:val="98"/>
    <w:semiHidden/>
    <w:rsid w:val="00023C6F"/>
    <w:pPr>
      <w:ind w:left="1200" w:hanging="240"/>
    </w:pPr>
  </w:style>
  <w:style w:type="paragraph" w:styleId="Index6">
    <w:name w:val="index 6"/>
    <w:basedOn w:val="Normal"/>
    <w:next w:val="Normal"/>
    <w:autoRedefine/>
    <w:uiPriority w:val="98"/>
    <w:semiHidden/>
    <w:rsid w:val="00023C6F"/>
    <w:pPr>
      <w:ind w:left="1440" w:hanging="240"/>
    </w:pPr>
  </w:style>
  <w:style w:type="paragraph" w:styleId="Index7">
    <w:name w:val="index 7"/>
    <w:basedOn w:val="Normal"/>
    <w:next w:val="Normal"/>
    <w:autoRedefine/>
    <w:uiPriority w:val="98"/>
    <w:semiHidden/>
    <w:rsid w:val="00023C6F"/>
    <w:pPr>
      <w:ind w:left="1680" w:hanging="240"/>
    </w:pPr>
  </w:style>
  <w:style w:type="paragraph" w:styleId="Index8">
    <w:name w:val="index 8"/>
    <w:basedOn w:val="Normal"/>
    <w:next w:val="Normal"/>
    <w:autoRedefine/>
    <w:uiPriority w:val="98"/>
    <w:semiHidden/>
    <w:rsid w:val="00023C6F"/>
    <w:pPr>
      <w:ind w:left="1920" w:hanging="240"/>
    </w:pPr>
  </w:style>
  <w:style w:type="paragraph" w:styleId="Index9">
    <w:name w:val="index 9"/>
    <w:basedOn w:val="Normal"/>
    <w:next w:val="Normal"/>
    <w:autoRedefine/>
    <w:uiPriority w:val="98"/>
    <w:semiHidden/>
    <w:rsid w:val="00023C6F"/>
    <w:pPr>
      <w:ind w:left="2160" w:hanging="240"/>
    </w:pPr>
  </w:style>
  <w:style w:type="paragraph" w:styleId="IndexHeading">
    <w:name w:val="index heading"/>
    <w:basedOn w:val="Normal"/>
    <w:next w:val="Index1"/>
    <w:uiPriority w:val="98"/>
    <w:semiHidden/>
    <w:rsid w:val="00023C6F"/>
    <w:rPr>
      <w:rFonts w:asciiTheme="majorHAnsi" w:eastAsiaTheme="majorEastAsia" w:hAnsiTheme="majorHAnsi" w:cstheme="majorBidi"/>
      <w:b/>
      <w:bCs/>
    </w:rPr>
  </w:style>
  <w:style w:type="table" w:styleId="LightGrid">
    <w:name w:val="Light Grid"/>
    <w:basedOn w:val="TableNormal"/>
    <w:uiPriority w:val="62"/>
    <w:semiHidden/>
    <w:rsid w:val="00023C6F"/>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023C6F"/>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023C6F"/>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023C6F"/>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023C6F"/>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023C6F"/>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023C6F"/>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023C6F"/>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023C6F"/>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023C6F"/>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023C6F"/>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023C6F"/>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023C6F"/>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023C6F"/>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023C6F"/>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023C6F"/>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023C6F"/>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023C6F"/>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023C6F"/>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023C6F"/>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023C6F"/>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023C6F"/>
  </w:style>
  <w:style w:type="paragraph" w:styleId="List">
    <w:name w:val="List"/>
    <w:basedOn w:val="Normal"/>
    <w:uiPriority w:val="98"/>
    <w:semiHidden/>
    <w:rsid w:val="00023C6F"/>
    <w:pPr>
      <w:ind w:left="283" w:hanging="283"/>
      <w:contextualSpacing/>
    </w:pPr>
  </w:style>
  <w:style w:type="paragraph" w:styleId="List2">
    <w:name w:val="List 2"/>
    <w:basedOn w:val="Normal"/>
    <w:uiPriority w:val="98"/>
    <w:semiHidden/>
    <w:rsid w:val="00023C6F"/>
    <w:pPr>
      <w:ind w:left="566" w:hanging="283"/>
      <w:contextualSpacing/>
    </w:pPr>
  </w:style>
  <w:style w:type="paragraph" w:styleId="List3">
    <w:name w:val="List 3"/>
    <w:basedOn w:val="Normal"/>
    <w:uiPriority w:val="98"/>
    <w:semiHidden/>
    <w:rsid w:val="00023C6F"/>
    <w:pPr>
      <w:ind w:left="849" w:hanging="283"/>
      <w:contextualSpacing/>
    </w:pPr>
  </w:style>
  <w:style w:type="paragraph" w:styleId="List4">
    <w:name w:val="List 4"/>
    <w:basedOn w:val="Normal"/>
    <w:uiPriority w:val="98"/>
    <w:semiHidden/>
    <w:rsid w:val="00023C6F"/>
    <w:pPr>
      <w:ind w:left="1132" w:hanging="283"/>
      <w:contextualSpacing/>
    </w:pPr>
  </w:style>
  <w:style w:type="paragraph" w:styleId="List5">
    <w:name w:val="List 5"/>
    <w:basedOn w:val="Normal"/>
    <w:uiPriority w:val="98"/>
    <w:semiHidden/>
    <w:rsid w:val="00023C6F"/>
    <w:pPr>
      <w:ind w:left="1415" w:hanging="283"/>
      <w:contextualSpacing/>
    </w:pPr>
  </w:style>
  <w:style w:type="paragraph" w:styleId="ListBullet2">
    <w:name w:val="List Bullet 2"/>
    <w:basedOn w:val="Normal"/>
    <w:uiPriority w:val="98"/>
    <w:semiHidden/>
    <w:rsid w:val="00023C6F"/>
    <w:pPr>
      <w:numPr>
        <w:numId w:val="6"/>
      </w:numPr>
      <w:contextualSpacing/>
    </w:pPr>
  </w:style>
  <w:style w:type="paragraph" w:styleId="ListBullet4">
    <w:name w:val="List Bullet 4"/>
    <w:basedOn w:val="Normal"/>
    <w:uiPriority w:val="98"/>
    <w:semiHidden/>
    <w:rsid w:val="00023C6F"/>
    <w:pPr>
      <w:numPr>
        <w:numId w:val="8"/>
      </w:numPr>
      <w:contextualSpacing/>
    </w:pPr>
  </w:style>
  <w:style w:type="paragraph" w:styleId="ListBullet5">
    <w:name w:val="List Bullet 5"/>
    <w:basedOn w:val="Normal"/>
    <w:uiPriority w:val="98"/>
    <w:semiHidden/>
    <w:rsid w:val="00023C6F"/>
    <w:pPr>
      <w:numPr>
        <w:numId w:val="9"/>
      </w:numPr>
      <w:ind w:left="0" w:firstLine="0"/>
      <w:contextualSpacing/>
    </w:pPr>
  </w:style>
  <w:style w:type="paragraph" w:styleId="ListContinue">
    <w:name w:val="List Continue"/>
    <w:basedOn w:val="Normal"/>
    <w:uiPriority w:val="98"/>
    <w:semiHidden/>
    <w:rsid w:val="00023C6F"/>
    <w:pPr>
      <w:spacing w:after="120"/>
      <w:ind w:left="283"/>
      <w:contextualSpacing/>
    </w:pPr>
  </w:style>
  <w:style w:type="paragraph" w:styleId="ListContinue2">
    <w:name w:val="List Continue 2"/>
    <w:basedOn w:val="Normal"/>
    <w:uiPriority w:val="98"/>
    <w:semiHidden/>
    <w:rsid w:val="00023C6F"/>
    <w:pPr>
      <w:spacing w:after="120"/>
      <w:ind w:left="566"/>
      <w:contextualSpacing/>
    </w:pPr>
  </w:style>
  <w:style w:type="paragraph" w:styleId="ListContinue3">
    <w:name w:val="List Continue 3"/>
    <w:basedOn w:val="Normal"/>
    <w:uiPriority w:val="98"/>
    <w:semiHidden/>
    <w:rsid w:val="00023C6F"/>
    <w:pPr>
      <w:spacing w:after="120"/>
      <w:ind w:left="849"/>
      <w:contextualSpacing/>
    </w:pPr>
  </w:style>
  <w:style w:type="paragraph" w:styleId="ListContinue4">
    <w:name w:val="List Continue 4"/>
    <w:basedOn w:val="Normal"/>
    <w:uiPriority w:val="98"/>
    <w:semiHidden/>
    <w:rsid w:val="00023C6F"/>
    <w:pPr>
      <w:spacing w:after="120"/>
      <w:ind w:left="1132"/>
      <w:contextualSpacing/>
    </w:pPr>
  </w:style>
  <w:style w:type="paragraph" w:styleId="ListContinue5">
    <w:name w:val="List Continue 5"/>
    <w:basedOn w:val="Normal"/>
    <w:uiPriority w:val="98"/>
    <w:semiHidden/>
    <w:rsid w:val="00023C6F"/>
    <w:pPr>
      <w:spacing w:after="120"/>
      <w:ind w:left="1415"/>
      <w:contextualSpacing/>
    </w:pPr>
  </w:style>
  <w:style w:type="paragraph" w:styleId="ListNumber">
    <w:name w:val="List Number"/>
    <w:basedOn w:val="Normal"/>
    <w:uiPriority w:val="98"/>
    <w:semiHidden/>
    <w:rsid w:val="00023C6F"/>
    <w:pPr>
      <w:numPr>
        <w:numId w:val="10"/>
      </w:numPr>
      <w:contextualSpacing/>
    </w:pPr>
  </w:style>
  <w:style w:type="paragraph" w:styleId="ListNumber2">
    <w:name w:val="List Number 2"/>
    <w:basedOn w:val="Normal"/>
    <w:uiPriority w:val="98"/>
    <w:semiHidden/>
    <w:rsid w:val="00023C6F"/>
    <w:pPr>
      <w:numPr>
        <w:numId w:val="11"/>
      </w:numPr>
      <w:contextualSpacing/>
    </w:pPr>
  </w:style>
  <w:style w:type="paragraph" w:styleId="ListNumber3">
    <w:name w:val="List Number 3"/>
    <w:basedOn w:val="Normal"/>
    <w:uiPriority w:val="98"/>
    <w:semiHidden/>
    <w:rsid w:val="00023C6F"/>
    <w:pPr>
      <w:numPr>
        <w:numId w:val="12"/>
      </w:numPr>
      <w:contextualSpacing/>
    </w:pPr>
  </w:style>
  <w:style w:type="paragraph" w:styleId="ListNumber4">
    <w:name w:val="List Number 4"/>
    <w:basedOn w:val="Normal"/>
    <w:uiPriority w:val="98"/>
    <w:semiHidden/>
    <w:rsid w:val="00023C6F"/>
    <w:pPr>
      <w:numPr>
        <w:numId w:val="13"/>
      </w:numPr>
      <w:contextualSpacing/>
    </w:pPr>
  </w:style>
  <w:style w:type="paragraph" w:styleId="ListNumber5">
    <w:name w:val="List Number 5"/>
    <w:basedOn w:val="Normal"/>
    <w:uiPriority w:val="98"/>
    <w:semiHidden/>
    <w:rsid w:val="00023C6F"/>
    <w:pPr>
      <w:numPr>
        <w:numId w:val="14"/>
      </w:numPr>
      <w:contextualSpacing/>
    </w:pPr>
  </w:style>
  <w:style w:type="paragraph" w:styleId="MacroText">
    <w:name w:val="macro"/>
    <w:link w:val="MacroTextChar"/>
    <w:uiPriority w:val="98"/>
    <w:semiHidden/>
    <w:rsid w:val="00023C6F"/>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023C6F"/>
    <w:rPr>
      <w:rFonts w:ascii="Consolas" w:eastAsiaTheme="minorEastAsia" w:hAnsi="Consolas" w:cs="Consolas"/>
      <w:sz w:val="20"/>
      <w:szCs w:val="20"/>
    </w:rPr>
  </w:style>
  <w:style w:type="table" w:styleId="MediumGrid1">
    <w:name w:val="Medium Grid 1"/>
    <w:basedOn w:val="TableNormal"/>
    <w:uiPriority w:val="67"/>
    <w:semiHidden/>
    <w:rsid w:val="00023C6F"/>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023C6F"/>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023C6F"/>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023C6F"/>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023C6F"/>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023C6F"/>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023C6F"/>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023C6F"/>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023C6F"/>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023C6F"/>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023C6F"/>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023C6F"/>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023C6F"/>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023C6F"/>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023C6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023C6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023C6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023C6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023C6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023C6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023C6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023C6F"/>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023C6F"/>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023C6F"/>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023C6F"/>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023C6F"/>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023C6F"/>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023C6F"/>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023C6F"/>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023C6F"/>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023C6F"/>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023C6F"/>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023C6F"/>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023C6F"/>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023C6F"/>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023C6F"/>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023C6F"/>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023C6F"/>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023C6F"/>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023C6F"/>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023C6F"/>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023C6F"/>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023C6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023C6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023C6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023C6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023C6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023C6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023C6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023C6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023C6F"/>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023C6F"/>
    <w:rPr>
      <w:rFonts w:ascii="Times New Roman" w:hAnsi="Times New Roman" w:cs="Times New Roman"/>
    </w:rPr>
  </w:style>
  <w:style w:type="paragraph" w:styleId="NormalIndent">
    <w:name w:val="Normal Indent"/>
    <w:basedOn w:val="Normal"/>
    <w:uiPriority w:val="98"/>
    <w:semiHidden/>
    <w:rsid w:val="00023C6F"/>
    <w:pPr>
      <w:ind w:left="720"/>
    </w:pPr>
  </w:style>
  <w:style w:type="paragraph" w:styleId="NoteHeading">
    <w:name w:val="Note Heading"/>
    <w:basedOn w:val="Normal"/>
    <w:next w:val="Normal"/>
    <w:link w:val="NoteHeadingChar"/>
    <w:uiPriority w:val="98"/>
    <w:semiHidden/>
    <w:rsid w:val="00023C6F"/>
  </w:style>
  <w:style w:type="character" w:customStyle="1" w:styleId="NoteHeadingChar">
    <w:name w:val="Note Heading Char"/>
    <w:basedOn w:val="DefaultParagraphFont"/>
    <w:link w:val="NoteHeading"/>
    <w:uiPriority w:val="98"/>
    <w:semiHidden/>
    <w:rsid w:val="00023C6F"/>
    <w:rPr>
      <w:sz w:val="24"/>
      <w:szCs w:val="24"/>
      <w:lang w:val="ro-RO"/>
    </w:rPr>
  </w:style>
  <w:style w:type="character" w:styleId="PlaceholderText">
    <w:name w:val="Placeholder Text"/>
    <w:basedOn w:val="DefaultParagraphFont"/>
    <w:uiPriority w:val="98"/>
    <w:semiHidden/>
    <w:rsid w:val="00023C6F"/>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023C6F"/>
    <w:rPr>
      <w:rFonts w:ascii="Consolas" w:hAnsi="Consolas" w:cs="Consolas"/>
      <w:sz w:val="21"/>
      <w:szCs w:val="21"/>
    </w:rPr>
  </w:style>
  <w:style w:type="character" w:customStyle="1" w:styleId="PlainTextChar">
    <w:name w:val="Plain Text Char"/>
    <w:basedOn w:val="DefaultParagraphFont"/>
    <w:link w:val="PlainText"/>
    <w:uiPriority w:val="98"/>
    <w:semiHidden/>
    <w:rsid w:val="00023C6F"/>
    <w:rPr>
      <w:rFonts w:ascii="Consolas" w:hAnsi="Consolas" w:cs="Consolas"/>
      <w:sz w:val="21"/>
      <w:szCs w:val="21"/>
      <w:lang w:val="ro-RO"/>
    </w:rPr>
  </w:style>
  <w:style w:type="paragraph" w:styleId="Salutation">
    <w:name w:val="Salutation"/>
    <w:basedOn w:val="Normal"/>
    <w:next w:val="Normal"/>
    <w:link w:val="SalutationChar"/>
    <w:uiPriority w:val="98"/>
    <w:semiHidden/>
    <w:rsid w:val="00023C6F"/>
  </w:style>
  <w:style w:type="character" w:customStyle="1" w:styleId="SalutationChar">
    <w:name w:val="Salutation Char"/>
    <w:basedOn w:val="DefaultParagraphFont"/>
    <w:link w:val="Salutation"/>
    <w:uiPriority w:val="98"/>
    <w:semiHidden/>
    <w:rsid w:val="00023C6F"/>
    <w:rPr>
      <w:sz w:val="24"/>
      <w:szCs w:val="24"/>
      <w:lang w:val="ro-RO"/>
    </w:rPr>
  </w:style>
  <w:style w:type="paragraph" w:styleId="Signature">
    <w:name w:val="Signature"/>
    <w:basedOn w:val="Normal"/>
    <w:link w:val="SignatureChar"/>
    <w:uiPriority w:val="98"/>
    <w:semiHidden/>
    <w:rsid w:val="00023C6F"/>
    <w:pPr>
      <w:ind w:left="4252"/>
    </w:pPr>
  </w:style>
  <w:style w:type="character" w:customStyle="1" w:styleId="SignatureChar">
    <w:name w:val="Signature Char"/>
    <w:basedOn w:val="DefaultParagraphFont"/>
    <w:link w:val="Signature"/>
    <w:uiPriority w:val="98"/>
    <w:semiHidden/>
    <w:rsid w:val="00023C6F"/>
    <w:rPr>
      <w:sz w:val="24"/>
      <w:szCs w:val="24"/>
      <w:lang w:val="ro-RO"/>
    </w:rPr>
  </w:style>
  <w:style w:type="table" w:styleId="Table3Deffects1">
    <w:name w:val="Table 3D effects 1"/>
    <w:basedOn w:val="TableNormal"/>
    <w:uiPriority w:val="99"/>
    <w:semiHidden/>
    <w:unhideWhenUsed/>
    <w:rsid w:val="00023C6F"/>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23C6F"/>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23C6F"/>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23C6F"/>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23C6F"/>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23C6F"/>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23C6F"/>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23C6F"/>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23C6F"/>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23C6F"/>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23C6F"/>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23C6F"/>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23C6F"/>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23C6F"/>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23C6F"/>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23C6F"/>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23C6F"/>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23C6F"/>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23C6F"/>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23C6F"/>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23C6F"/>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23C6F"/>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23C6F"/>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23C6F"/>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23C6F"/>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23C6F"/>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23C6F"/>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23C6F"/>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23C6F"/>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23C6F"/>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23C6F"/>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23C6F"/>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23C6F"/>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023C6F"/>
    <w:pPr>
      <w:ind w:left="240" w:hanging="240"/>
    </w:pPr>
  </w:style>
  <w:style w:type="paragraph" w:styleId="TableofFigures">
    <w:name w:val="table of figures"/>
    <w:basedOn w:val="Normal"/>
    <w:next w:val="Normal"/>
    <w:uiPriority w:val="98"/>
    <w:semiHidden/>
    <w:rsid w:val="00023C6F"/>
  </w:style>
  <w:style w:type="table" w:styleId="TableProfessional">
    <w:name w:val="Table Professional"/>
    <w:basedOn w:val="TableNormal"/>
    <w:uiPriority w:val="99"/>
    <w:semiHidden/>
    <w:unhideWhenUsed/>
    <w:rsid w:val="00023C6F"/>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23C6F"/>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23C6F"/>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23C6F"/>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23C6F"/>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23C6F"/>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23C6F"/>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23C6F"/>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23C6F"/>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23C6F"/>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023C6F"/>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023C6F"/>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023C6F"/>
    <w:pPr>
      <w:spacing w:after="100"/>
      <w:ind w:left="1680"/>
    </w:pPr>
  </w:style>
  <w:style w:type="paragraph" w:styleId="TOC9">
    <w:name w:val="toc 9"/>
    <w:basedOn w:val="Normal"/>
    <w:next w:val="Normal"/>
    <w:autoRedefine/>
    <w:uiPriority w:val="98"/>
    <w:semiHidden/>
    <w:rsid w:val="00023C6F"/>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023C6F"/>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023C6F"/>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023C6F"/>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023C6F"/>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023C6F"/>
    <w:pPr>
      <w:numPr>
        <w:numId w:val="18"/>
      </w:numPr>
      <w:spacing w:before="60" w:after="60"/>
    </w:pPr>
  </w:style>
  <w:style w:type="paragraph" w:customStyle="1" w:styleId="ECHRBullet2">
    <w:name w:val="ECHR_Bullet_2"/>
    <w:aliases w:val="_Bul_2"/>
    <w:basedOn w:val="ECHRBullet1"/>
    <w:uiPriority w:val="23"/>
    <w:semiHidden/>
    <w:rsid w:val="00023C6F"/>
    <w:pPr>
      <w:numPr>
        <w:ilvl w:val="1"/>
      </w:numPr>
    </w:pPr>
  </w:style>
  <w:style w:type="paragraph" w:customStyle="1" w:styleId="ECHRBullet3">
    <w:name w:val="ECHR_Bullet_3"/>
    <w:aliases w:val="_Bul_3"/>
    <w:basedOn w:val="ECHRBullet2"/>
    <w:uiPriority w:val="23"/>
    <w:semiHidden/>
    <w:rsid w:val="00023C6F"/>
    <w:pPr>
      <w:numPr>
        <w:ilvl w:val="2"/>
      </w:numPr>
    </w:pPr>
  </w:style>
  <w:style w:type="paragraph" w:customStyle="1" w:styleId="ECHRBullet4">
    <w:name w:val="ECHR_Bullet_4"/>
    <w:aliases w:val="_Bul_4"/>
    <w:basedOn w:val="ECHRBullet3"/>
    <w:uiPriority w:val="23"/>
    <w:semiHidden/>
    <w:rsid w:val="00023C6F"/>
    <w:pPr>
      <w:numPr>
        <w:ilvl w:val="3"/>
      </w:numPr>
    </w:pPr>
  </w:style>
  <w:style w:type="paragraph" w:customStyle="1" w:styleId="ECHRConfidential">
    <w:name w:val="ECHR_Confidential"/>
    <w:aliases w:val="_Confidential"/>
    <w:basedOn w:val="Normal"/>
    <w:next w:val="Normal"/>
    <w:uiPriority w:val="42"/>
    <w:semiHidden/>
    <w:qFormat/>
    <w:rsid w:val="00023C6F"/>
    <w:pPr>
      <w:jc w:val="right"/>
    </w:pPr>
    <w:rPr>
      <w:color w:val="C00000"/>
      <w:sz w:val="20"/>
    </w:rPr>
  </w:style>
  <w:style w:type="paragraph" w:customStyle="1" w:styleId="ECHRDecisionBody">
    <w:name w:val="ECHR_Decision_Body"/>
    <w:aliases w:val="_Decision_Body"/>
    <w:basedOn w:val="NormalJustified"/>
    <w:uiPriority w:val="54"/>
    <w:semiHidden/>
    <w:rsid w:val="00023C6F"/>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023C6F"/>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023C6F"/>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023C6F"/>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023C6F"/>
    <w:pPr>
      <w:jc w:val="right"/>
    </w:pPr>
    <w:rPr>
      <w:sz w:val="20"/>
    </w:rPr>
  </w:style>
  <w:style w:type="paragraph" w:customStyle="1" w:styleId="ECHRHeaderRefIt">
    <w:name w:val="ECHR_Header_Ref_It"/>
    <w:aliases w:val="_Ref_Ital"/>
    <w:basedOn w:val="Normal"/>
    <w:next w:val="ECHRHeaderDate"/>
    <w:uiPriority w:val="43"/>
    <w:qFormat/>
    <w:rsid w:val="00023C6F"/>
    <w:pPr>
      <w:jc w:val="right"/>
    </w:pPr>
    <w:rPr>
      <w:i/>
      <w:sz w:val="20"/>
    </w:rPr>
  </w:style>
  <w:style w:type="paragraph" w:customStyle="1" w:styleId="ECHRHeading9">
    <w:name w:val="ECHR_Heading_9"/>
    <w:aliases w:val="_Head_9"/>
    <w:basedOn w:val="Heading9"/>
    <w:uiPriority w:val="17"/>
    <w:semiHidden/>
    <w:rsid w:val="00023C6F"/>
    <w:pPr>
      <w:keepNext/>
      <w:keepLines/>
      <w:numPr>
        <w:ilvl w:val="8"/>
        <w:numId w:val="20"/>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023C6F"/>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023C6F"/>
    <w:pPr>
      <w:numPr>
        <w:numId w:val="19"/>
      </w:numPr>
      <w:spacing w:before="60" w:after="60"/>
    </w:pPr>
  </w:style>
  <w:style w:type="paragraph" w:customStyle="1" w:styleId="ECHRNumberedList2">
    <w:name w:val="ECHR_Numbered_List_2"/>
    <w:aliases w:val="_Num_2"/>
    <w:basedOn w:val="ECHRNumberedList1"/>
    <w:uiPriority w:val="23"/>
    <w:semiHidden/>
    <w:rsid w:val="00023C6F"/>
    <w:pPr>
      <w:numPr>
        <w:ilvl w:val="1"/>
      </w:numPr>
    </w:pPr>
  </w:style>
  <w:style w:type="paragraph" w:customStyle="1" w:styleId="ECHRNumberedList3">
    <w:name w:val="ECHR_Numbered_List_3"/>
    <w:aliases w:val="_Num_3"/>
    <w:basedOn w:val="ECHRNumberedList2"/>
    <w:uiPriority w:val="23"/>
    <w:semiHidden/>
    <w:rsid w:val="00023C6F"/>
    <w:pPr>
      <w:numPr>
        <w:ilvl w:val="2"/>
      </w:numPr>
    </w:pPr>
  </w:style>
  <w:style w:type="paragraph" w:customStyle="1" w:styleId="ECHRParaHanging">
    <w:name w:val="ECHR_Para_Hanging"/>
    <w:aliases w:val="_Hanging"/>
    <w:basedOn w:val="NormalJustified"/>
    <w:uiPriority w:val="8"/>
    <w:semiHidden/>
    <w:qFormat/>
    <w:rsid w:val="00023C6F"/>
    <w:pPr>
      <w:ind w:left="567" w:hanging="567"/>
    </w:pPr>
  </w:style>
  <w:style w:type="paragraph" w:customStyle="1" w:styleId="ECHRParaIndent">
    <w:name w:val="ECHR_Para_Indent"/>
    <w:aliases w:val="_Indent"/>
    <w:basedOn w:val="NormalJustified"/>
    <w:uiPriority w:val="7"/>
    <w:semiHidden/>
    <w:qFormat/>
    <w:rsid w:val="00023C6F"/>
    <w:pPr>
      <w:spacing w:before="120" w:after="120"/>
      <w:ind w:left="284"/>
    </w:pPr>
  </w:style>
  <w:style w:type="character" w:customStyle="1" w:styleId="ECHRRed">
    <w:name w:val="ECHR_Red"/>
    <w:aliases w:val="_Red"/>
    <w:basedOn w:val="DefaultParagraphFont"/>
    <w:uiPriority w:val="15"/>
    <w:semiHidden/>
    <w:qFormat/>
    <w:rsid w:val="00023C6F"/>
    <w:rPr>
      <w:color w:val="C00000" w:themeColor="accent2"/>
    </w:rPr>
  </w:style>
  <w:style w:type="paragraph" w:customStyle="1" w:styleId="DecList">
    <w:name w:val="Dec_List"/>
    <w:aliases w:val="_List"/>
    <w:basedOn w:val="JuList"/>
    <w:uiPriority w:val="22"/>
    <w:rsid w:val="00023C6F"/>
    <w:pPr>
      <w:numPr>
        <w:numId w:val="0"/>
      </w:numPr>
      <w:ind w:left="284"/>
    </w:pPr>
  </w:style>
  <w:style w:type="table" w:customStyle="1" w:styleId="ECHRTable2">
    <w:name w:val="ECHR_Table_2"/>
    <w:basedOn w:val="TableNormal"/>
    <w:uiPriority w:val="99"/>
    <w:rsid w:val="00023C6F"/>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023C6F"/>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023C6F"/>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023C6F"/>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023C6F"/>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023C6F"/>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023C6F"/>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023C6F"/>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023C6F"/>
    <w:pPr>
      <w:outlineLvl w:val="0"/>
    </w:pPr>
  </w:style>
  <w:style w:type="paragraph" w:customStyle="1" w:styleId="ECHRTitleTOC1">
    <w:name w:val="ECHR_Title_TOC_1"/>
    <w:aliases w:val="_Title_L_TOC"/>
    <w:basedOn w:val="ECHRTitle1"/>
    <w:next w:val="Normal"/>
    <w:uiPriority w:val="27"/>
    <w:semiHidden/>
    <w:qFormat/>
    <w:rsid w:val="00023C6F"/>
    <w:pPr>
      <w:outlineLvl w:val="0"/>
    </w:pPr>
  </w:style>
  <w:style w:type="paragraph" w:customStyle="1" w:styleId="ECHRPlaceholder">
    <w:name w:val="ECHR_Placeholder"/>
    <w:aliases w:val="_Placeholder"/>
    <w:basedOn w:val="JuSigned"/>
    <w:uiPriority w:val="31"/>
    <w:rsid w:val="00023C6F"/>
    <w:rPr>
      <w:color w:val="FFFFFF"/>
    </w:rPr>
  </w:style>
  <w:style w:type="paragraph" w:customStyle="1" w:styleId="ECHRSpacer">
    <w:name w:val="ECHR_Spacer"/>
    <w:aliases w:val="_Spacer"/>
    <w:basedOn w:val="Normal"/>
    <w:uiPriority w:val="45"/>
    <w:semiHidden/>
    <w:rsid w:val="00023C6F"/>
    <w:rPr>
      <w:sz w:val="4"/>
    </w:rPr>
  </w:style>
  <w:style w:type="table" w:customStyle="1" w:styleId="ECHRTableGrey">
    <w:name w:val="ECHR_Table_Grey"/>
    <w:basedOn w:val="TableNormal"/>
    <w:uiPriority w:val="99"/>
    <w:rsid w:val="00023C6F"/>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023C6F"/>
    <w:rPr>
      <w:color w:val="605E5C"/>
      <w:shd w:val="clear" w:color="auto" w:fill="E1DFDD"/>
    </w:rPr>
  </w:style>
  <w:style w:type="character" w:customStyle="1" w:styleId="JuParaChar">
    <w:name w:val="Ju_Para Char"/>
    <w:aliases w:val="_Para Char"/>
    <w:link w:val="JuPara"/>
    <w:uiPriority w:val="4"/>
    <w:rsid w:val="00E50E59"/>
    <w:rPr>
      <w:sz w:val="24"/>
      <w:szCs w:val="24"/>
      <w:lang w:val="ro-RO"/>
    </w:rPr>
  </w:style>
  <w:style w:type="table" w:styleId="GridTable1Light">
    <w:name w:val="Grid Table 1 Light"/>
    <w:basedOn w:val="TableNormal"/>
    <w:uiPriority w:val="46"/>
    <w:semiHidden/>
    <w:rsid w:val="00E50E5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JuNames0">
    <w:name w:val="Ju_Names"/>
    <w:rsid w:val="00E50E59"/>
    <w:rPr>
      <w:smallCaps/>
    </w:rPr>
  </w:style>
  <w:style w:type="paragraph" w:customStyle="1" w:styleId="JuList4">
    <w:name w:val="Ju_List_4"/>
    <w:aliases w:val="N_Bul_4"/>
    <w:basedOn w:val="JuListi"/>
    <w:uiPriority w:val="19"/>
    <w:rsid w:val="00E50E59"/>
    <w:pPr>
      <w:numPr>
        <w:ilvl w:val="0"/>
        <w:numId w:val="0"/>
      </w:numPr>
      <w:tabs>
        <w:tab w:val="num" w:pos="1701"/>
      </w:tabs>
      <w:spacing w:before="60" w:after="60" w:line="240" w:lineRule="exact"/>
      <w:ind w:left="1703" w:hanging="284"/>
      <w:contextualSpacing/>
    </w:pPr>
    <w:rPr>
      <w:sz w:val="22"/>
      <w:lang w:eastAsia="fr-FR"/>
    </w:rPr>
  </w:style>
  <w:style w:type="table" w:styleId="GridTable1Light-Accent1">
    <w:name w:val="Grid Table 1 Light Accent 1"/>
    <w:basedOn w:val="TableNormal"/>
    <w:uiPriority w:val="46"/>
    <w:semiHidden/>
    <w:rsid w:val="00E50E59"/>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E50E59"/>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E50E59"/>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E50E59"/>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E50E59"/>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E50E59"/>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E50E5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E50E59"/>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E50E59"/>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E50E59"/>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E50E59"/>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E50E59"/>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E50E59"/>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E50E5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E50E59"/>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E50E59"/>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E50E59"/>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E50E59"/>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E50E59"/>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E50E59"/>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E50E5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E50E59"/>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E50E59"/>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E50E59"/>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E50E59"/>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E50E59"/>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E50E59"/>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E50E5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E50E5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E50E5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E50E5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E50E5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E50E5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E50E5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E50E5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E50E59"/>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E50E59"/>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E50E59"/>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E50E59"/>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E50E59"/>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E50E59"/>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E50E5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E50E59"/>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E50E59"/>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E50E59"/>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E50E59"/>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E50E59"/>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E50E59"/>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E50E59"/>
    <w:rPr>
      <w:color w:val="2B579A"/>
      <w:shd w:val="clear" w:color="auto" w:fill="E1DFDD"/>
    </w:rPr>
  </w:style>
  <w:style w:type="table" w:styleId="ListTable1Light">
    <w:name w:val="List Table 1 Light"/>
    <w:basedOn w:val="TableNormal"/>
    <w:uiPriority w:val="46"/>
    <w:semiHidden/>
    <w:rsid w:val="00E50E5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E50E59"/>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E50E59"/>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E50E59"/>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E50E59"/>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E50E59"/>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E50E59"/>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E50E5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E50E59"/>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E50E59"/>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E50E59"/>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E50E59"/>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E50E59"/>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E50E59"/>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E50E5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E50E59"/>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E50E59"/>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E50E59"/>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E50E59"/>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E50E59"/>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E50E59"/>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E50E5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E50E59"/>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E50E59"/>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E50E59"/>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E50E59"/>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E50E59"/>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E50E59"/>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E50E59"/>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E50E59"/>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E50E59"/>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E50E59"/>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E50E59"/>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E50E59"/>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E50E59"/>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E50E5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E50E59"/>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E50E59"/>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E50E59"/>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E50E59"/>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E50E59"/>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E50E59"/>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E50E5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E50E59"/>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E50E59"/>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E50E59"/>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E50E59"/>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E50E59"/>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E50E59"/>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E50E59"/>
    <w:rPr>
      <w:color w:val="2B579A"/>
      <w:shd w:val="clear" w:color="auto" w:fill="E1DFDD"/>
    </w:rPr>
  </w:style>
  <w:style w:type="table" w:styleId="PlainTable1">
    <w:name w:val="Plain Table 1"/>
    <w:basedOn w:val="TableNormal"/>
    <w:uiPriority w:val="41"/>
    <w:semiHidden/>
    <w:rsid w:val="00E50E59"/>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E50E5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E50E5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E50E5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E50E5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50E59"/>
    <w:rPr>
      <w:u w:val="dotted"/>
    </w:rPr>
  </w:style>
  <w:style w:type="character" w:customStyle="1" w:styleId="SmartLink1">
    <w:name w:val="SmartLink1"/>
    <w:basedOn w:val="DefaultParagraphFont"/>
    <w:uiPriority w:val="99"/>
    <w:semiHidden/>
    <w:unhideWhenUsed/>
    <w:rsid w:val="00E50E59"/>
    <w:rPr>
      <w:color w:val="0000FF"/>
      <w:u w:val="single"/>
      <w:shd w:val="clear" w:color="auto" w:fill="F3F2F1"/>
    </w:rPr>
  </w:style>
  <w:style w:type="table" w:styleId="TableGridLight">
    <w:name w:val="Grid Table Light"/>
    <w:basedOn w:val="TableNormal"/>
    <w:uiPriority w:val="40"/>
    <w:semiHidden/>
    <w:rsid w:val="00E50E59"/>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customStyle="1" w:styleId="xxmsonormal">
    <w:name w:val="x_x_msonormal"/>
    <w:basedOn w:val="Normal"/>
    <w:rsid w:val="00181C17"/>
    <w:rPr>
      <w:rFonts w:ascii="Calibri" w:hAnsi="Calibri" w:cs="Calibri"/>
      <w:sz w:val="22"/>
      <w:szCs w:val="22"/>
      <w:lang w:eastAsia="fr-FR"/>
    </w:rPr>
  </w:style>
  <w:style w:type="paragraph" w:customStyle="1" w:styleId="jupara0">
    <w:name w:val="jupara"/>
    <w:basedOn w:val="Normal"/>
    <w:rsid w:val="006C07F0"/>
    <w:pPr>
      <w:ind w:firstLine="284"/>
      <w:jc w:val="both"/>
    </w:pPr>
    <w:rPr>
      <w:rFonts w:ascii="Times New Roman" w:eastAsia="Times New Roman" w:hAnsi="Times New Roman" w:cs="Times New Roman"/>
      <w:lang w:eastAsia="en-GB"/>
    </w:rPr>
  </w:style>
  <w:style w:type="paragraph" w:customStyle="1" w:styleId="jucase0">
    <w:name w:val="jucase"/>
    <w:basedOn w:val="Normal"/>
    <w:rsid w:val="006C07F0"/>
    <w:pPr>
      <w:ind w:firstLine="284"/>
      <w:jc w:val="both"/>
    </w:pPr>
    <w:rPr>
      <w:rFonts w:ascii="Times New Roman" w:eastAsia="Times New Roman" w:hAnsi="Times New Roman" w:cs="Times New Roman"/>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226880">
      <w:bodyDiv w:val="1"/>
      <w:marLeft w:val="0"/>
      <w:marRight w:val="0"/>
      <w:marTop w:val="0"/>
      <w:marBottom w:val="0"/>
      <w:divBdr>
        <w:top w:val="none" w:sz="0" w:space="0" w:color="auto"/>
        <w:left w:val="none" w:sz="0" w:space="0" w:color="auto"/>
        <w:bottom w:val="none" w:sz="0" w:space="0" w:color="auto"/>
        <w:right w:val="none" w:sz="0" w:space="0" w:color="auto"/>
      </w:divBdr>
    </w:div>
    <w:div w:id="782848544">
      <w:bodyDiv w:val="1"/>
      <w:marLeft w:val="0"/>
      <w:marRight w:val="0"/>
      <w:marTop w:val="0"/>
      <w:marBottom w:val="0"/>
      <w:divBdr>
        <w:top w:val="none" w:sz="0" w:space="0" w:color="auto"/>
        <w:left w:val="none" w:sz="0" w:space="0" w:color="auto"/>
        <w:bottom w:val="none" w:sz="0" w:space="0" w:color="auto"/>
        <w:right w:val="none" w:sz="0" w:space="0" w:color="auto"/>
      </w:divBdr>
    </w:div>
    <w:div w:id="91463263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186CE-1FD9-45EB-B210-A07DE330E1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DFBE67-1492-4FA2-95DE-C883DD7E514E}">
  <ds:schemaRefs>
    <ds:schemaRef ds:uri="http://schemas.microsoft.com/sharepoint/v3/contenttype/forms"/>
  </ds:schemaRefs>
</ds:datastoreItem>
</file>

<file path=customXml/itemProps3.xml><?xml version="1.0" encoding="utf-8"?>
<ds:datastoreItem xmlns:ds="http://schemas.openxmlformats.org/officeDocument/2006/customXml" ds:itemID="{5AF7213A-2682-4A12-9F5D-457096B730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B79D803-7C10-4524-97DC-9473041D5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9137</Words>
  <Characters>52999</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62012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keywords/>
  <cp:lastModifiedBy/>
  <cp:revision>1</cp:revision>
  <dcterms:created xsi:type="dcterms:W3CDTF">2023-05-10T06:25:00Z</dcterms:created>
  <dcterms:modified xsi:type="dcterms:W3CDTF">2023-05-10T14:10:00Z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215/19</vt:lpwstr>
  </property>
  <property fmtid="{D5CDD505-2E9C-101B-9397-08002B2CF9AE}" pid="4" name="CASEID">
    <vt:lpwstr>1418256</vt:lpwstr>
  </property>
  <property fmtid="{D5CDD505-2E9C-101B-9397-08002B2CF9AE}" pid="5" name="ContentTypeId">
    <vt:lpwstr>0x010100558EB02BDB9E204AB350EDD385B68E10</vt:lpwstr>
  </property>
</Properties>
</file>