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AC16B" w14:textId="77777777" w:rsidR="00B85423" w:rsidRPr="00F042CF" w:rsidRDefault="00B85423" w:rsidP="00B85423">
      <w:pPr>
        <w:pStyle w:val="ECHRCoverTitle1"/>
        <w:rPr>
          <w:color w:val="auto"/>
        </w:rPr>
      </w:pPr>
      <w:r>
        <w:rPr>
          <w:color w:val="auto"/>
        </w:rPr>
        <w:t>Ghid privind art. 2 din Protocolul nr. 7</w:t>
      </w:r>
      <w:r>
        <w:rPr>
          <w:color w:val="auto"/>
        </w:rPr>
        <w:br/>
        <w:t xml:space="preserve">la Convenția europeană </w:t>
      </w:r>
      <w:r>
        <w:rPr>
          <w:color w:val="auto"/>
        </w:rPr>
        <w:br/>
        <w:t>a drepturilor omului</w:t>
      </w:r>
    </w:p>
    <w:p w14:paraId="4C5B0BB3" w14:textId="77777777" w:rsidR="00B85423" w:rsidRPr="00F042CF" w:rsidRDefault="00B85423" w:rsidP="00B85423">
      <w:pPr>
        <w:pStyle w:val="ECHRLine"/>
      </w:pPr>
    </w:p>
    <w:p w14:paraId="5BDCA618" w14:textId="77777777" w:rsidR="00B85423" w:rsidRPr="00F042CF" w:rsidRDefault="00B85423" w:rsidP="00B85423">
      <w:pPr>
        <w:pStyle w:val="ECHRCoverTitle2"/>
        <w:rPr>
          <w:color w:val="auto"/>
        </w:rPr>
      </w:pPr>
      <w:r>
        <w:rPr>
          <w:color w:val="auto"/>
        </w:rPr>
        <w:t>Dreptul la două grade de jurisdicție în materie penală</w:t>
      </w:r>
    </w:p>
    <w:p w14:paraId="3ADCDF47" w14:textId="77777777" w:rsidR="00B85423" w:rsidRPr="00F042CF" w:rsidRDefault="00B85423" w:rsidP="00B85423">
      <w:pPr>
        <w:pStyle w:val="ECHRCoverTitle1"/>
        <w:rPr>
          <w:color w:val="auto"/>
        </w:rPr>
      </w:pPr>
    </w:p>
    <w:p w14:paraId="466E8A99" w14:textId="77777777" w:rsidR="00B85423" w:rsidRPr="00F042CF" w:rsidRDefault="00B85423" w:rsidP="00B85423">
      <w:pPr>
        <w:pStyle w:val="ECHRCoverTitle2"/>
        <w:rPr>
          <w:color w:val="auto"/>
        </w:rPr>
      </w:pPr>
    </w:p>
    <w:p w14:paraId="19C7E753" w14:textId="77777777" w:rsidR="00B85423" w:rsidRPr="00F042CF" w:rsidRDefault="00B85423" w:rsidP="00B85423">
      <w:pPr>
        <w:pStyle w:val="ECHRCoverTitle3"/>
        <w:rPr>
          <w:b w:val="0"/>
          <w:bCs/>
          <w:color w:val="auto"/>
        </w:rPr>
      </w:pPr>
      <w:r>
        <w:rPr>
          <w:b w:val="0"/>
          <w:color w:val="auto"/>
        </w:rPr>
        <w:t>Prima ediție – 30 aprilie 2023</w:t>
      </w:r>
    </w:p>
    <w:p w14:paraId="25022988" w14:textId="77777777" w:rsidR="00B85423" w:rsidRPr="00F042CF" w:rsidRDefault="00B85423" w:rsidP="00B85423">
      <w:pPr>
        <w:jc w:val="center"/>
      </w:pPr>
    </w:p>
    <w:p w14:paraId="5EFFF9BB" w14:textId="77777777" w:rsidR="00B85423" w:rsidRPr="00F042CF" w:rsidRDefault="00B85423" w:rsidP="00B85423">
      <w:pPr>
        <w:jc w:val="center"/>
      </w:pPr>
    </w:p>
    <w:p w14:paraId="1D1C6509" w14:textId="77777777" w:rsidR="00B85423" w:rsidRPr="00F042CF" w:rsidRDefault="00B85423" w:rsidP="00B85423">
      <w:pPr>
        <w:jc w:val="center"/>
      </w:pPr>
    </w:p>
    <w:p w14:paraId="655CC589" w14:textId="77777777" w:rsidR="00B85423" w:rsidRPr="00F042CF" w:rsidRDefault="00B85423" w:rsidP="00B85423">
      <w:pPr>
        <w:jc w:val="center"/>
      </w:pPr>
    </w:p>
    <w:p w14:paraId="33130C9C" w14:textId="77777777" w:rsidR="00B85423" w:rsidRPr="00F042CF" w:rsidRDefault="00B85423" w:rsidP="00B85423">
      <w:pPr>
        <w:jc w:val="center"/>
      </w:pPr>
    </w:p>
    <w:p w14:paraId="7CD78F77" w14:textId="77777777" w:rsidR="00B85423" w:rsidRPr="00F042CF" w:rsidRDefault="00B85423" w:rsidP="00B85423">
      <w:pPr>
        <w:jc w:val="center"/>
      </w:pPr>
    </w:p>
    <w:p w14:paraId="74A7BD6A" w14:textId="77777777" w:rsidR="00B85423" w:rsidRPr="00F042CF" w:rsidRDefault="00B85423" w:rsidP="00B85423">
      <w:pPr>
        <w:jc w:val="center"/>
      </w:pPr>
    </w:p>
    <w:p w14:paraId="621A8F01" w14:textId="77777777" w:rsidR="00B85423" w:rsidRPr="00F042CF" w:rsidRDefault="00B85423" w:rsidP="00B85423">
      <w:pPr>
        <w:jc w:val="center"/>
      </w:pPr>
      <w:r>
        <w:t>Întocmit de Grefă. Nu obligă Curtea.</w:t>
      </w:r>
    </w:p>
    <w:p w14:paraId="2FED112D" w14:textId="77777777" w:rsidR="00B85423" w:rsidRPr="00F042CF" w:rsidRDefault="00B85423" w:rsidP="00B85423">
      <w:pPr>
        <w:jc w:val="center"/>
      </w:pPr>
      <w:r>
        <w:br w:type="page"/>
      </w:r>
    </w:p>
    <w:p w14:paraId="34B8AFD5" w14:textId="77777777" w:rsidR="00B85423" w:rsidRPr="00F042CF" w:rsidRDefault="00B85423" w:rsidP="00B85423">
      <w:pPr>
        <w:pStyle w:val="ECHRParaSpaced"/>
      </w:pPr>
    </w:p>
    <w:p w14:paraId="2C3E58F8" w14:textId="77777777" w:rsidR="00B85423" w:rsidRPr="00F042CF" w:rsidRDefault="00B85423" w:rsidP="00B85423">
      <w:pPr>
        <w:pStyle w:val="ECHRParaSpaced"/>
      </w:pPr>
    </w:p>
    <w:p w14:paraId="6EE7ECB8" w14:textId="77777777" w:rsidR="00B85423" w:rsidRPr="00F042CF" w:rsidRDefault="00B85423" w:rsidP="00B85423">
      <w:pPr>
        <w:pStyle w:val="ECHRParaSpaced"/>
      </w:pPr>
    </w:p>
    <w:p w14:paraId="52714BC0" w14:textId="77777777" w:rsidR="00B85423" w:rsidRPr="00F042CF" w:rsidRDefault="00B85423" w:rsidP="00B85423">
      <w:pPr>
        <w:pStyle w:val="ECHRParaSpaced"/>
      </w:pPr>
    </w:p>
    <w:p w14:paraId="5F73D6CB" w14:textId="77777777" w:rsidR="00B85423" w:rsidRPr="00F042CF" w:rsidRDefault="00B85423" w:rsidP="00B85423">
      <w:pPr>
        <w:pStyle w:val="ECHRParaSpaced"/>
      </w:pPr>
    </w:p>
    <w:p w14:paraId="7A0425F9" w14:textId="77777777" w:rsidR="00B85423" w:rsidRPr="00F042CF" w:rsidRDefault="00B85423" w:rsidP="00B85423">
      <w:pPr>
        <w:pStyle w:val="ECHRParaSpaced"/>
      </w:pPr>
    </w:p>
    <w:p w14:paraId="0C31C7CF" w14:textId="77777777" w:rsidR="00B85423" w:rsidRPr="00F042CF" w:rsidRDefault="00B85423" w:rsidP="00B85423">
      <w:pPr>
        <w:pStyle w:val="ECHRParaSpaced"/>
      </w:pPr>
    </w:p>
    <w:p w14:paraId="6CCAF789" w14:textId="77777777" w:rsidR="00B85423" w:rsidRPr="00F042CF" w:rsidRDefault="00B85423" w:rsidP="00B85423">
      <w:pPr>
        <w:pStyle w:val="ECHRParaSpaced"/>
      </w:pPr>
    </w:p>
    <w:p w14:paraId="41872A78" w14:textId="77777777" w:rsidR="00B85423" w:rsidRPr="00F042CF" w:rsidRDefault="00B85423" w:rsidP="00B85423">
      <w:pPr>
        <w:pStyle w:val="ECHRParaSpaced"/>
      </w:pPr>
    </w:p>
    <w:p w14:paraId="7975266A" w14:textId="77777777" w:rsidR="00B85423" w:rsidRPr="00F042CF" w:rsidRDefault="00B85423" w:rsidP="00B85423">
      <w:pPr>
        <w:pStyle w:val="ECHRParaSpaced"/>
      </w:pPr>
    </w:p>
    <w:p w14:paraId="1E4FB522" w14:textId="77777777" w:rsidR="00B85423" w:rsidRPr="00F042CF" w:rsidRDefault="00B85423" w:rsidP="00B85423">
      <w:pPr>
        <w:pStyle w:val="ECHRParaSpaced"/>
      </w:pPr>
    </w:p>
    <w:p w14:paraId="72E4A04E" w14:textId="77777777" w:rsidR="00B85423" w:rsidRPr="00F042CF" w:rsidRDefault="00B85423" w:rsidP="00B85423">
      <w:pPr>
        <w:pStyle w:val="ECHRParaSpaced"/>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8F8F8" w:themeFill="background2"/>
        <w:tblLook w:val="0480" w:firstRow="0" w:lastRow="0" w:firstColumn="1" w:lastColumn="0" w:noHBand="0" w:noVBand="1"/>
      </w:tblPr>
      <w:tblGrid>
        <w:gridCol w:w="9027"/>
      </w:tblGrid>
      <w:tr w:rsidR="00B85423" w:rsidRPr="00F042CF" w14:paraId="7EECD033" w14:textId="77777777" w:rsidTr="00417015">
        <w:tc>
          <w:tcPr>
            <w:tcW w:w="9243" w:type="dxa"/>
          </w:tcPr>
          <w:p w14:paraId="47E6D110" w14:textId="77777777" w:rsidR="00B85423" w:rsidRPr="00846D25" w:rsidRDefault="00B85423" w:rsidP="00417015">
            <w:pPr>
              <w:pStyle w:val="ECHRParaSpaced"/>
            </w:pPr>
            <w:r>
              <w:t xml:space="preserve">Invităm editorii sau organizațiile care doresc să traducă și/sau să reproducă integral sau parțial acest ghid, în format tipărit sau electronic, să completeze formularul de contact </w:t>
            </w:r>
            <w:hyperlink r:id="rId9" w:tgtFrame="_blank" w:history="1">
              <w:r w:rsidRPr="00846D25">
                <w:rPr>
                  <w:rStyle w:val="Hyperlink"/>
                </w:rPr>
                <w:t>cerere de reproducere sau republicare a unei traduceri</w:t>
              </w:r>
            </w:hyperlink>
            <w:r w:rsidRPr="00846D25">
              <w:t>, pentru a se informa cu privire la procedura de autorizare.</w:t>
            </w:r>
          </w:p>
          <w:p w14:paraId="7CEF2F0C" w14:textId="77777777" w:rsidR="00B85423" w:rsidRPr="00F042CF" w:rsidRDefault="00B85423" w:rsidP="00417015">
            <w:pPr>
              <w:pStyle w:val="ECHRParaSpaced"/>
              <w:rPr>
                <w:sz w:val="20"/>
                <w:szCs w:val="20"/>
              </w:rPr>
            </w:pPr>
            <w:r w:rsidRPr="00846D25">
              <w:t xml:space="preserve">Pentru informații privind traducerile în curs de realizare ale ghidurilor privind jurisprudența, vă rugăm consultați lista </w:t>
            </w:r>
            <w:hyperlink r:id="rId10" w:history="1">
              <w:r w:rsidRPr="00846D25">
                <w:rPr>
                  <w:rStyle w:val="Hyperlink"/>
                </w:rPr>
                <w:t>Traduceri în curs</w:t>
              </w:r>
            </w:hyperlink>
            <w:r w:rsidRPr="00846D25">
              <w:t>.</w:t>
            </w:r>
          </w:p>
        </w:tc>
      </w:tr>
    </w:tbl>
    <w:p w14:paraId="5DFC23A5" w14:textId="77777777" w:rsidR="00B85423" w:rsidRPr="00F042CF" w:rsidRDefault="00B85423" w:rsidP="00B85423">
      <w:pPr>
        <w:pStyle w:val="ECHRParaSpaced"/>
      </w:pPr>
    </w:p>
    <w:p w14:paraId="2CF0592B" w14:textId="77777777" w:rsidR="00B85423" w:rsidRPr="00F042CF" w:rsidRDefault="00B85423" w:rsidP="00B85423">
      <w:pPr>
        <w:pStyle w:val="ECHRParaSpaced"/>
      </w:pPr>
    </w:p>
    <w:p w14:paraId="1B999380" w14:textId="77777777" w:rsidR="00B85423" w:rsidRPr="00F042CF" w:rsidRDefault="00B85423" w:rsidP="00B85423">
      <w:pPr>
        <w:pStyle w:val="ECHRParaSpaced"/>
      </w:pPr>
    </w:p>
    <w:p w14:paraId="6DBC56E9" w14:textId="77777777" w:rsidR="00B85423" w:rsidRPr="00F042CF" w:rsidRDefault="00B85423" w:rsidP="00B85423">
      <w:pPr>
        <w:pStyle w:val="ECHRParaSpaced"/>
      </w:pPr>
    </w:p>
    <w:p w14:paraId="6D5F186F" w14:textId="77777777" w:rsidR="00B85423" w:rsidRPr="00F042CF" w:rsidRDefault="00B85423" w:rsidP="00B85423">
      <w:pPr>
        <w:pStyle w:val="ECHRParaSpaced"/>
      </w:pPr>
    </w:p>
    <w:p w14:paraId="74395AD3" w14:textId="77777777" w:rsidR="00B85423" w:rsidRPr="00F042CF" w:rsidRDefault="00B85423" w:rsidP="00B85423">
      <w:pPr>
        <w:pStyle w:val="ECHRParaSpaced"/>
      </w:pPr>
    </w:p>
    <w:p w14:paraId="575E3E45" w14:textId="77777777" w:rsidR="00B85423" w:rsidRPr="00F042CF" w:rsidRDefault="00B85423" w:rsidP="00B85423">
      <w:pPr>
        <w:pStyle w:val="ECHRParaSpaced"/>
      </w:pPr>
    </w:p>
    <w:p w14:paraId="5587D361" w14:textId="77777777" w:rsidR="00B85423" w:rsidRPr="00F042CF" w:rsidRDefault="00B85423" w:rsidP="00B85423">
      <w:pPr>
        <w:pStyle w:val="ECHRParaSpaced"/>
      </w:pPr>
    </w:p>
    <w:p w14:paraId="56C502CF" w14:textId="77777777" w:rsidR="00B85423" w:rsidRPr="00F042CF" w:rsidRDefault="00B85423" w:rsidP="00B85423">
      <w:pPr>
        <w:pStyle w:val="ECHRParaSpaced"/>
      </w:pPr>
    </w:p>
    <w:p w14:paraId="5F099F7B" w14:textId="77777777" w:rsidR="00B85423" w:rsidRPr="00F042CF" w:rsidRDefault="00B85423" w:rsidP="00B85423">
      <w:pPr>
        <w:pStyle w:val="ECHRParaSpaced"/>
      </w:pPr>
    </w:p>
    <w:p w14:paraId="0F381B30" w14:textId="77777777" w:rsidR="00B85423" w:rsidRPr="00F042CF" w:rsidRDefault="00B85423" w:rsidP="00B85423">
      <w:pPr>
        <w:pStyle w:val="ECHRParaSpaced"/>
      </w:pPr>
    </w:p>
    <w:p w14:paraId="7677AA52" w14:textId="77777777" w:rsidR="00B85423" w:rsidRPr="00F042CF" w:rsidRDefault="00B85423" w:rsidP="00B85423">
      <w:pPr>
        <w:pStyle w:val="ECHRCoverTitle4"/>
        <w:tabs>
          <w:tab w:val="clear" w:pos="7938"/>
        </w:tabs>
        <w:ind w:left="0" w:right="96"/>
        <w:jc w:val="both"/>
        <w:rPr>
          <w:color w:val="auto"/>
          <w:sz w:val="20"/>
          <w:szCs w:val="20"/>
        </w:rPr>
      </w:pPr>
      <w:r>
        <w:rPr>
          <w:color w:val="auto"/>
          <w:sz w:val="20"/>
        </w:rPr>
        <w:t>Acest ghid a fost întocmit sub autoritatea Jurisconsultului și nu obligă Curtea. Poate suferi modificări de formă.</w:t>
      </w:r>
    </w:p>
    <w:p w14:paraId="67CDFA3B" w14:textId="77777777" w:rsidR="00B85423" w:rsidRPr="00F042CF" w:rsidRDefault="00B85423" w:rsidP="00B85423">
      <w:pPr>
        <w:pStyle w:val="ECHRCoverTitle4"/>
        <w:tabs>
          <w:tab w:val="clear" w:pos="7938"/>
        </w:tabs>
        <w:ind w:left="0" w:right="96"/>
        <w:jc w:val="both"/>
        <w:rPr>
          <w:color w:val="auto"/>
          <w:sz w:val="20"/>
          <w:szCs w:val="20"/>
        </w:rPr>
      </w:pPr>
      <w:r>
        <w:rPr>
          <w:color w:val="auto"/>
          <w:sz w:val="20"/>
        </w:rPr>
        <w:t>Textul original al acestui ghid este redactat în limba engleză. A fost finalizat la 30 aprilie 2023. Va fi actualizat periodic.</w:t>
      </w:r>
    </w:p>
    <w:p w14:paraId="64059FBE" w14:textId="77777777" w:rsidR="00B85423" w:rsidRDefault="00B85423" w:rsidP="00B85423">
      <w:pPr>
        <w:pStyle w:val="ECHRCoverTitle4"/>
        <w:tabs>
          <w:tab w:val="clear" w:pos="7938"/>
        </w:tabs>
        <w:ind w:left="0" w:right="96"/>
        <w:jc w:val="both"/>
        <w:rPr>
          <w:color w:val="auto"/>
          <w:sz w:val="20"/>
        </w:rPr>
      </w:pPr>
      <w:r>
        <w:rPr>
          <w:color w:val="auto"/>
          <w:sz w:val="20"/>
        </w:rPr>
        <w:t xml:space="preserve">Ghidurile privind jurisprudența pot fi descărcate de la adresa </w:t>
      </w:r>
      <w:hyperlink r:id="rId11" w:tgtFrame="_blank" w:history="1">
        <w:r>
          <w:rPr>
            <w:rStyle w:val="FollowedHyperlink"/>
            <w:sz w:val="20"/>
          </w:rPr>
          <w:t>https://ks.echr.coe.int</w:t>
        </w:r>
      </w:hyperlink>
      <w:r>
        <w:rPr>
          <w:color w:val="auto"/>
          <w:sz w:val="20"/>
        </w:rPr>
        <w:t xml:space="preserve">. Pentru informații actualizate despre publicații, vă rugăm să accesați contul de </w:t>
      </w:r>
      <w:proofErr w:type="spellStart"/>
      <w:r>
        <w:rPr>
          <w:color w:val="auto"/>
          <w:sz w:val="20"/>
        </w:rPr>
        <w:t>Twitter</w:t>
      </w:r>
      <w:proofErr w:type="spellEnd"/>
      <w:r>
        <w:rPr>
          <w:color w:val="auto"/>
          <w:sz w:val="20"/>
        </w:rPr>
        <w:t xml:space="preserve"> al Curții </w:t>
      </w:r>
      <w:hyperlink r:id="rId12" w:history="1">
        <w:r>
          <w:rPr>
            <w:rStyle w:val="Hyperlink"/>
            <w:sz w:val="20"/>
          </w:rPr>
          <w:t>https:/twitter.com/ECHR_CEDH</w:t>
        </w:r>
      </w:hyperlink>
      <w:r>
        <w:rPr>
          <w:color w:val="auto"/>
          <w:sz w:val="20"/>
        </w:rPr>
        <w:t>.</w:t>
      </w:r>
    </w:p>
    <w:p w14:paraId="46CE34F5" w14:textId="77777777" w:rsidR="00EE6C29" w:rsidRPr="00F042CF" w:rsidRDefault="00EE6C29" w:rsidP="00B85423">
      <w:pPr>
        <w:pStyle w:val="ECHRCoverTitle4"/>
        <w:tabs>
          <w:tab w:val="clear" w:pos="7938"/>
        </w:tabs>
        <w:ind w:left="0" w:right="96"/>
        <w:jc w:val="both"/>
        <w:rPr>
          <w:color w:val="auto"/>
          <w:sz w:val="20"/>
          <w:szCs w:val="20"/>
        </w:rPr>
      </w:pPr>
      <w:r w:rsidRPr="00454765">
        <w:rPr>
          <w:color w:val="auto"/>
          <w:sz w:val="20"/>
          <w:szCs w:val="20"/>
        </w:rPr>
        <w:t>Prezenta traducere este publicată cu acordul Consiliului Europei și al Curții Europene a Drepturilor Omului și reprezintă responsabilitatea exclusivă a Institutului European din România.</w:t>
      </w:r>
    </w:p>
    <w:p w14:paraId="6FD27B49" w14:textId="77777777" w:rsidR="00B85423" w:rsidRPr="00F042CF" w:rsidRDefault="00B85423" w:rsidP="00B85423">
      <w:pPr>
        <w:pStyle w:val="ECHRCoverTitle4"/>
        <w:tabs>
          <w:tab w:val="clear" w:pos="7938"/>
        </w:tabs>
        <w:ind w:left="0" w:right="96"/>
        <w:jc w:val="both"/>
        <w:rPr>
          <w:color w:val="auto"/>
          <w:sz w:val="20"/>
          <w:szCs w:val="20"/>
        </w:rPr>
      </w:pPr>
      <w:r>
        <w:rPr>
          <w:color w:val="auto"/>
          <w:sz w:val="20"/>
        </w:rPr>
        <w:t>© Consiliul Europei/Curtea Europeană a Drepturilor Omului, 2023</w:t>
      </w:r>
      <w:r>
        <w:rPr>
          <w:color w:val="auto"/>
          <w:sz w:val="20"/>
        </w:rPr>
        <w:br w:type="page"/>
      </w:r>
    </w:p>
    <w:sdt>
      <w:sdtPr>
        <w:rPr>
          <w:rFonts w:asciiTheme="minorHAnsi" w:hAnsiTheme="minorHAnsi"/>
          <w:b w:val="0"/>
          <w:color w:val="auto"/>
          <w:sz w:val="22"/>
        </w:rPr>
        <w:id w:val="-1845230482"/>
        <w:docPartObj>
          <w:docPartGallery w:val="Table of Contents"/>
          <w:docPartUnique/>
        </w:docPartObj>
      </w:sdtPr>
      <w:sdtEndPr>
        <w:rPr>
          <w:bCs/>
        </w:rPr>
      </w:sdtEndPr>
      <w:sdtContent>
        <w:p w14:paraId="78D08904" w14:textId="77777777" w:rsidR="00B85423" w:rsidRPr="00F042CF" w:rsidRDefault="00B85423" w:rsidP="00B85423">
          <w:pPr>
            <w:pStyle w:val="TOCHeading"/>
            <w:rPr>
              <w:color w:val="auto"/>
            </w:rPr>
          </w:pPr>
          <w:r>
            <w:rPr>
              <w:color w:val="auto"/>
            </w:rPr>
            <w:t>Cuprins</w:t>
          </w:r>
        </w:p>
        <w:p w14:paraId="73255510" w14:textId="77777777" w:rsidR="00B85423" w:rsidRPr="00F042CF" w:rsidRDefault="00B85423" w:rsidP="00B85423"/>
        <w:p w14:paraId="6E29606A" w14:textId="420F10FB" w:rsidR="009945CC" w:rsidRDefault="00B85423">
          <w:pPr>
            <w:pStyle w:val="TOC1"/>
            <w:rPr>
              <w:rFonts w:eastAsiaTheme="minorEastAsia"/>
              <w:noProof/>
              <w:color w:val="auto"/>
              <w:lang w:eastAsia="ro-RO"/>
            </w:rPr>
          </w:pPr>
          <w:r w:rsidRPr="00F042CF">
            <w:rPr>
              <w:color w:val="00548C" w:themeColor="accent3" w:themeShade="BF"/>
              <w:sz w:val="28"/>
            </w:rPr>
            <w:fldChar w:fldCharType="begin"/>
          </w:r>
          <w:r w:rsidRPr="00F042CF">
            <w:instrText xml:space="preserve"> TOC \o "1-7" \h \z \u </w:instrText>
          </w:r>
          <w:r w:rsidRPr="00F042CF">
            <w:fldChar w:fldCharType="separate"/>
          </w:r>
          <w:hyperlink w:anchor="_Toc162525747" w:history="1">
            <w:r w:rsidR="009945CC" w:rsidRPr="00AC6EB4">
              <w:rPr>
                <w:rStyle w:val="Hyperlink"/>
                <w:noProof/>
              </w:rPr>
              <w:t>În atenția cititorilor</w:t>
            </w:r>
            <w:r w:rsidR="009945CC">
              <w:rPr>
                <w:noProof/>
                <w:webHidden/>
              </w:rPr>
              <w:tab/>
            </w:r>
            <w:r w:rsidR="009945CC">
              <w:rPr>
                <w:noProof/>
                <w:webHidden/>
              </w:rPr>
              <w:fldChar w:fldCharType="begin"/>
            </w:r>
            <w:r w:rsidR="009945CC">
              <w:rPr>
                <w:noProof/>
                <w:webHidden/>
              </w:rPr>
              <w:instrText xml:space="preserve"> PAGEREF _Toc162525747 \h </w:instrText>
            </w:r>
            <w:r w:rsidR="009945CC">
              <w:rPr>
                <w:noProof/>
                <w:webHidden/>
              </w:rPr>
            </w:r>
            <w:r w:rsidR="009945CC">
              <w:rPr>
                <w:noProof/>
                <w:webHidden/>
              </w:rPr>
              <w:fldChar w:fldCharType="separate"/>
            </w:r>
            <w:r w:rsidR="00852EF6">
              <w:rPr>
                <w:noProof/>
                <w:webHidden/>
              </w:rPr>
              <w:t>4</w:t>
            </w:r>
            <w:r w:rsidR="009945CC">
              <w:rPr>
                <w:noProof/>
                <w:webHidden/>
              </w:rPr>
              <w:fldChar w:fldCharType="end"/>
            </w:r>
          </w:hyperlink>
        </w:p>
        <w:p w14:paraId="4464B8BF" w14:textId="69137B84" w:rsidR="009945CC" w:rsidRDefault="00C62AA8">
          <w:pPr>
            <w:pStyle w:val="TOC1"/>
            <w:rPr>
              <w:rFonts w:eastAsiaTheme="minorEastAsia"/>
              <w:noProof/>
              <w:color w:val="auto"/>
              <w:lang w:eastAsia="ro-RO"/>
            </w:rPr>
          </w:pPr>
          <w:hyperlink w:anchor="_Toc162525748" w:history="1">
            <w:r w:rsidR="009945CC" w:rsidRPr="00AC6EB4">
              <w:rPr>
                <w:rStyle w:val="Hyperlink"/>
                <w:noProof/>
              </w:rPr>
              <w:t>Introducere</w:t>
            </w:r>
            <w:r w:rsidR="009945CC">
              <w:rPr>
                <w:noProof/>
                <w:webHidden/>
              </w:rPr>
              <w:tab/>
            </w:r>
            <w:r w:rsidR="009945CC">
              <w:rPr>
                <w:noProof/>
                <w:webHidden/>
              </w:rPr>
              <w:fldChar w:fldCharType="begin"/>
            </w:r>
            <w:r w:rsidR="009945CC">
              <w:rPr>
                <w:noProof/>
                <w:webHidden/>
              </w:rPr>
              <w:instrText xml:space="preserve"> PAGEREF _Toc162525748 \h </w:instrText>
            </w:r>
            <w:r w:rsidR="009945CC">
              <w:rPr>
                <w:noProof/>
                <w:webHidden/>
              </w:rPr>
            </w:r>
            <w:r w:rsidR="009945CC">
              <w:rPr>
                <w:noProof/>
                <w:webHidden/>
              </w:rPr>
              <w:fldChar w:fldCharType="separate"/>
            </w:r>
            <w:r w:rsidR="00852EF6">
              <w:rPr>
                <w:noProof/>
                <w:webHidden/>
              </w:rPr>
              <w:t>5</w:t>
            </w:r>
            <w:r w:rsidR="009945CC">
              <w:rPr>
                <w:noProof/>
                <w:webHidden/>
              </w:rPr>
              <w:fldChar w:fldCharType="end"/>
            </w:r>
          </w:hyperlink>
        </w:p>
        <w:p w14:paraId="67104323" w14:textId="66959A6C" w:rsidR="009945CC" w:rsidRDefault="00C62AA8">
          <w:pPr>
            <w:pStyle w:val="TOC1"/>
            <w:rPr>
              <w:rFonts w:eastAsiaTheme="minorEastAsia"/>
              <w:noProof/>
              <w:color w:val="auto"/>
              <w:lang w:eastAsia="ro-RO"/>
            </w:rPr>
          </w:pPr>
          <w:hyperlink w:anchor="_Toc162525749" w:history="1">
            <w:r w:rsidR="009945CC" w:rsidRPr="00AC6EB4">
              <w:rPr>
                <w:rStyle w:val="Hyperlink"/>
                <w:noProof/>
              </w:rPr>
              <w:t>I. Dreptul la două grade de jurisdicție în materie penală: art. 2 § 1 din Protocolul nr. 7</w:t>
            </w:r>
            <w:r w:rsidR="009945CC">
              <w:rPr>
                <w:noProof/>
                <w:webHidden/>
              </w:rPr>
              <w:tab/>
            </w:r>
            <w:r w:rsidR="009945CC">
              <w:rPr>
                <w:noProof/>
                <w:webHidden/>
              </w:rPr>
              <w:fldChar w:fldCharType="begin"/>
            </w:r>
            <w:r w:rsidR="009945CC">
              <w:rPr>
                <w:noProof/>
                <w:webHidden/>
              </w:rPr>
              <w:instrText xml:space="preserve"> PAGEREF _Toc162525749 \h </w:instrText>
            </w:r>
            <w:r w:rsidR="009945CC">
              <w:rPr>
                <w:noProof/>
                <w:webHidden/>
              </w:rPr>
            </w:r>
            <w:r w:rsidR="009945CC">
              <w:rPr>
                <w:noProof/>
                <w:webHidden/>
              </w:rPr>
              <w:fldChar w:fldCharType="separate"/>
            </w:r>
            <w:r w:rsidR="00852EF6">
              <w:rPr>
                <w:noProof/>
                <w:webHidden/>
              </w:rPr>
              <w:t>5</w:t>
            </w:r>
            <w:r w:rsidR="009945CC">
              <w:rPr>
                <w:noProof/>
                <w:webHidden/>
              </w:rPr>
              <w:fldChar w:fldCharType="end"/>
            </w:r>
          </w:hyperlink>
        </w:p>
        <w:p w14:paraId="75EC880D" w14:textId="1D800B5F" w:rsidR="009945CC" w:rsidRDefault="00C62AA8">
          <w:pPr>
            <w:pStyle w:val="TOC2"/>
            <w:tabs>
              <w:tab w:val="right" w:leader="dot" w:pos="9017"/>
            </w:tabs>
            <w:rPr>
              <w:rFonts w:eastAsiaTheme="minorEastAsia"/>
              <w:noProof/>
              <w:lang w:eastAsia="ro-RO"/>
            </w:rPr>
          </w:pPr>
          <w:hyperlink w:anchor="_Toc162525750" w:history="1">
            <w:r w:rsidR="009945CC" w:rsidRPr="00AC6EB4">
              <w:rPr>
                <w:rStyle w:val="Hyperlink"/>
                <w:noProof/>
              </w:rPr>
              <w:t>A. Aplicabilitatea dreptului la două grade de jurisdicție</w:t>
            </w:r>
            <w:r w:rsidR="009945CC">
              <w:rPr>
                <w:noProof/>
                <w:webHidden/>
              </w:rPr>
              <w:tab/>
            </w:r>
            <w:r w:rsidR="009945CC">
              <w:rPr>
                <w:noProof/>
                <w:webHidden/>
              </w:rPr>
              <w:fldChar w:fldCharType="begin"/>
            </w:r>
            <w:r w:rsidR="009945CC">
              <w:rPr>
                <w:noProof/>
                <w:webHidden/>
              </w:rPr>
              <w:instrText xml:space="preserve"> PAGEREF _Toc162525750 \h </w:instrText>
            </w:r>
            <w:r w:rsidR="009945CC">
              <w:rPr>
                <w:noProof/>
                <w:webHidden/>
              </w:rPr>
            </w:r>
            <w:r w:rsidR="009945CC">
              <w:rPr>
                <w:noProof/>
                <w:webHidden/>
              </w:rPr>
              <w:fldChar w:fldCharType="separate"/>
            </w:r>
            <w:r w:rsidR="00852EF6">
              <w:rPr>
                <w:noProof/>
                <w:webHidden/>
              </w:rPr>
              <w:t>5</w:t>
            </w:r>
            <w:r w:rsidR="009945CC">
              <w:rPr>
                <w:noProof/>
                <w:webHidden/>
              </w:rPr>
              <w:fldChar w:fldCharType="end"/>
            </w:r>
          </w:hyperlink>
        </w:p>
        <w:p w14:paraId="0E2C61F9" w14:textId="1F2E6AD9" w:rsidR="009945CC" w:rsidRDefault="00C62AA8">
          <w:pPr>
            <w:pStyle w:val="TOC3"/>
            <w:rPr>
              <w:rFonts w:eastAsiaTheme="minorEastAsia"/>
              <w:noProof/>
              <w:lang w:eastAsia="ro-RO"/>
            </w:rPr>
          </w:pPr>
          <w:hyperlink w:anchor="_Toc162525751" w:history="1">
            <w:r w:rsidR="009945CC" w:rsidRPr="00AC6EB4">
              <w:rPr>
                <w:rStyle w:val="Hyperlink"/>
                <w:noProof/>
              </w:rPr>
              <w:t>1. „Infracțiune”</w:t>
            </w:r>
            <w:r w:rsidR="009945CC">
              <w:rPr>
                <w:noProof/>
                <w:webHidden/>
              </w:rPr>
              <w:tab/>
            </w:r>
            <w:r w:rsidR="009945CC">
              <w:rPr>
                <w:noProof/>
                <w:webHidden/>
              </w:rPr>
              <w:fldChar w:fldCharType="begin"/>
            </w:r>
            <w:r w:rsidR="009945CC">
              <w:rPr>
                <w:noProof/>
                <w:webHidden/>
              </w:rPr>
              <w:instrText xml:space="preserve"> PAGEREF _Toc162525751 \h </w:instrText>
            </w:r>
            <w:r w:rsidR="009945CC">
              <w:rPr>
                <w:noProof/>
                <w:webHidden/>
              </w:rPr>
            </w:r>
            <w:r w:rsidR="009945CC">
              <w:rPr>
                <w:noProof/>
                <w:webHidden/>
              </w:rPr>
              <w:fldChar w:fldCharType="separate"/>
            </w:r>
            <w:r w:rsidR="00852EF6">
              <w:rPr>
                <w:noProof/>
                <w:webHidden/>
              </w:rPr>
              <w:t>5</w:t>
            </w:r>
            <w:r w:rsidR="009945CC">
              <w:rPr>
                <w:noProof/>
                <w:webHidden/>
              </w:rPr>
              <w:fldChar w:fldCharType="end"/>
            </w:r>
          </w:hyperlink>
        </w:p>
        <w:p w14:paraId="57B73BB0" w14:textId="178BEAA4" w:rsidR="009945CC" w:rsidRDefault="00C62AA8">
          <w:pPr>
            <w:pStyle w:val="TOC3"/>
            <w:rPr>
              <w:rFonts w:eastAsiaTheme="minorEastAsia"/>
              <w:noProof/>
              <w:lang w:eastAsia="ro-RO"/>
            </w:rPr>
          </w:pPr>
          <w:hyperlink w:anchor="_Toc162525752" w:history="1">
            <w:r w:rsidR="009945CC" w:rsidRPr="00AC6EB4">
              <w:rPr>
                <w:rStyle w:val="Hyperlink"/>
                <w:noProof/>
              </w:rPr>
              <w:t>2. Decizie care constituie o „condamnare” sau o „declarație de vinovăție”</w:t>
            </w:r>
            <w:r w:rsidR="009945CC">
              <w:rPr>
                <w:noProof/>
                <w:webHidden/>
              </w:rPr>
              <w:tab/>
            </w:r>
            <w:r w:rsidR="009945CC">
              <w:rPr>
                <w:noProof/>
                <w:webHidden/>
              </w:rPr>
              <w:fldChar w:fldCharType="begin"/>
            </w:r>
            <w:r w:rsidR="009945CC">
              <w:rPr>
                <w:noProof/>
                <w:webHidden/>
              </w:rPr>
              <w:instrText xml:space="preserve"> PAGEREF _Toc162525752 \h </w:instrText>
            </w:r>
            <w:r w:rsidR="009945CC">
              <w:rPr>
                <w:noProof/>
                <w:webHidden/>
              </w:rPr>
            </w:r>
            <w:r w:rsidR="009945CC">
              <w:rPr>
                <w:noProof/>
                <w:webHidden/>
              </w:rPr>
              <w:fldChar w:fldCharType="separate"/>
            </w:r>
            <w:r w:rsidR="00852EF6">
              <w:rPr>
                <w:noProof/>
                <w:webHidden/>
              </w:rPr>
              <w:t>6</w:t>
            </w:r>
            <w:r w:rsidR="009945CC">
              <w:rPr>
                <w:noProof/>
                <w:webHidden/>
              </w:rPr>
              <w:fldChar w:fldCharType="end"/>
            </w:r>
          </w:hyperlink>
        </w:p>
        <w:p w14:paraId="2B79AB8D" w14:textId="6A358592" w:rsidR="009945CC" w:rsidRDefault="00C62AA8">
          <w:pPr>
            <w:pStyle w:val="TOC3"/>
            <w:rPr>
              <w:rFonts w:eastAsiaTheme="minorEastAsia"/>
              <w:noProof/>
              <w:lang w:eastAsia="ro-RO"/>
            </w:rPr>
          </w:pPr>
          <w:hyperlink w:anchor="_Toc162525753" w:history="1">
            <w:r w:rsidR="009945CC" w:rsidRPr="00AC6EB4">
              <w:rPr>
                <w:rStyle w:val="Hyperlink"/>
                <w:noProof/>
              </w:rPr>
              <w:t>3. Decizie pronunțată de un „tribunal”</w:t>
            </w:r>
            <w:r w:rsidR="009945CC">
              <w:rPr>
                <w:noProof/>
                <w:webHidden/>
              </w:rPr>
              <w:tab/>
            </w:r>
            <w:r w:rsidR="009945CC">
              <w:rPr>
                <w:noProof/>
                <w:webHidden/>
              </w:rPr>
              <w:fldChar w:fldCharType="begin"/>
            </w:r>
            <w:r w:rsidR="009945CC">
              <w:rPr>
                <w:noProof/>
                <w:webHidden/>
              </w:rPr>
              <w:instrText xml:space="preserve"> PAGEREF _Toc162525753 \h </w:instrText>
            </w:r>
            <w:r w:rsidR="009945CC">
              <w:rPr>
                <w:noProof/>
                <w:webHidden/>
              </w:rPr>
            </w:r>
            <w:r w:rsidR="009945CC">
              <w:rPr>
                <w:noProof/>
                <w:webHidden/>
              </w:rPr>
              <w:fldChar w:fldCharType="separate"/>
            </w:r>
            <w:r w:rsidR="00852EF6">
              <w:rPr>
                <w:noProof/>
                <w:webHidden/>
              </w:rPr>
              <w:t>6</w:t>
            </w:r>
            <w:r w:rsidR="009945CC">
              <w:rPr>
                <w:noProof/>
                <w:webHidden/>
              </w:rPr>
              <w:fldChar w:fldCharType="end"/>
            </w:r>
          </w:hyperlink>
        </w:p>
        <w:p w14:paraId="75B7072D" w14:textId="5D5164FB" w:rsidR="009945CC" w:rsidRDefault="00C62AA8">
          <w:pPr>
            <w:pStyle w:val="TOC2"/>
            <w:tabs>
              <w:tab w:val="right" w:leader="dot" w:pos="9017"/>
            </w:tabs>
            <w:rPr>
              <w:rFonts w:eastAsiaTheme="minorEastAsia"/>
              <w:noProof/>
              <w:lang w:eastAsia="ro-RO"/>
            </w:rPr>
          </w:pPr>
          <w:hyperlink w:anchor="_Toc162525754" w:history="1">
            <w:r w:rsidR="009945CC" w:rsidRPr="00AC6EB4">
              <w:rPr>
                <w:rStyle w:val="Hyperlink"/>
                <w:noProof/>
              </w:rPr>
              <w:t>B. Organizarea sistemului cu două grade de jurisdicție</w:t>
            </w:r>
            <w:r w:rsidR="009945CC">
              <w:rPr>
                <w:noProof/>
                <w:webHidden/>
              </w:rPr>
              <w:tab/>
            </w:r>
            <w:r w:rsidR="009945CC">
              <w:rPr>
                <w:noProof/>
                <w:webHidden/>
              </w:rPr>
              <w:fldChar w:fldCharType="begin"/>
            </w:r>
            <w:r w:rsidR="009945CC">
              <w:rPr>
                <w:noProof/>
                <w:webHidden/>
              </w:rPr>
              <w:instrText xml:space="preserve"> PAGEREF _Toc162525754 \h </w:instrText>
            </w:r>
            <w:r w:rsidR="009945CC">
              <w:rPr>
                <w:noProof/>
                <w:webHidden/>
              </w:rPr>
            </w:r>
            <w:r w:rsidR="009945CC">
              <w:rPr>
                <w:noProof/>
                <w:webHidden/>
              </w:rPr>
              <w:fldChar w:fldCharType="separate"/>
            </w:r>
            <w:r w:rsidR="00852EF6">
              <w:rPr>
                <w:noProof/>
                <w:webHidden/>
              </w:rPr>
              <w:t>7</w:t>
            </w:r>
            <w:r w:rsidR="009945CC">
              <w:rPr>
                <w:noProof/>
                <w:webHidden/>
              </w:rPr>
              <w:fldChar w:fldCharType="end"/>
            </w:r>
          </w:hyperlink>
        </w:p>
        <w:p w14:paraId="099B4A14" w14:textId="45A9D29B" w:rsidR="009945CC" w:rsidRDefault="00C62AA8">
          <w:pPr>
            <w:pStyle w:val="TOC3"/>
            <w:rPr>
              <w:rFonts w:eastAsiaTheme="minorEastAsia"/>
              <w:noProof/>
              <w:lang w:eastAsia="ro-RO"/>
            </w:rPr>
          </w:pPr>
          <w:hyperlink w:anchor="_Toc162525755" w:history="1">
            <w:r w:rsidR="009945CC" w:rsidRPr="00AC6EB4">
              <w:rPr>
                <w:rStyle w:val="Hyperlink"/>
                <w:noProof/>
              </w:rPr>
              <w:t>1. Organul de control: „jurisdicția superioară”</w:t>
            </w:r>
            <w:r w:rsidR="009945CC">
              <w:rPr>
                <w:noProof/>
                <w:webHidden/>
              </w:rPr>
              <w:tab/>
            </w:r>
            <w:r w:rsidR="009945CC">
              <w:rPr>
                <w:noProof/>
                <w:webHidden/>
              </w:rPr>
              <w:fldChar w:fldCharType="begin"/>
            </w:r>
            <w:r w:rsidR="009945CC">
              <w:rPr>
                <w:noProof/>
                <w:webHidden/>
              </w:rPr>
              <w:instrText xml:space="preserve"> PAGEREF _Toc162525755 \h </w:instrText>
            </w:r>
            <w:r w:rsidR="009945CC">
              <w:rPr>
                <w:noProof/>
                <w:webHidden/>
              </w:rPr>
            </w:r>
            <w:r w:rsidR="009945CC">
              <w:rPr>
                <w:noProof/>
                <w:webHidden/>
              </w:rPr>
              <w:fldChar w:fldCharType="separate"/>
            </w:r>
            <w:r w:rsidR="00852EF6">
              <w:rPr>
                <w:noProof/>
                <w:webHidden/>
              </w:rPr>
              <w:t>7</w:t>
            </w:r>
            <w:r w:rsidR="009945CC">
              <w:rPr>
                <w:noProof/>
                <w:webHidden/>
              </w:rPr>
              <w:fldChar w:fldCharType="end"/>
            </w:r>
          </w:hyperlink>
        </w:p>
        <w:p w14:paraId="25759724" w14:textId="6F16B348" w:rsidR="009945CC" w:rsidRDefault="00C62AA8">
          <w:pPr>
            <w:pStyle w:val="TOC3"/>
            <w:rPr>
              <w:rFonts w:eastAsiaTheme="minorEastAsia"/>
              <w:noProof/>
              <w:lang w:eastAsia="ro-RO"/>
            </w:rPr>
          </w:pPr>
          <w:hyperlink w:anchor="_Toc162525756" w:history="1">
            <w:r w:rsidR="009945CC" w:rsidRPr="00AC6EB4">
              <w:rPr>
                <w:rStyle w:val="Hyperlink"/>
                <w:noProof/>
              </w:rPr>
              <w:t>2. Marja de apreciere în organizarea sistemului cu două grade de jurisdicție</w:t>
            </w:r>
            <w:r w:rsidR="009945CC">
              <w:rPr>
                <w:noProof/>
                <w:webHidden/>
              </w:rPr>
              <w:tab/>
            </w:r>
            <w:r w:rsidR="009945CC">
              <w:rPr>
                <w:noProof/>
                <w:webHidden/>
              </w:rPr>
              <w:fldChar w:fldCharType="begin"/>
            </w:r>
            <w:r w:rsidR="009945CC">
              <w:rPr>
                <w:noProof/>
                <w:webHidden/>
              </w:rPr>
              <w:instrText xml:space="preserve"> PAGEREF _Toc162525756 \h </w:instrText>
            </w:r>
            <w:r w:rsidR="009945CC">
              <w:rPr>
                <w:noProof/>
                <w:webHidden/>
              </w:rPr>
            </w:r>
            <w:r w:rsidR="009945CC">
              <w:rPr>
                <w:noProof/>
                <w:webHidden/>
              </w:rPr>
              <w:fldChar w:fldCharType="separate"/>
            </w:r>
            <w:r w:rsidR="00852EF6">
              <w:rPr>
                <w:noProof/>
                <w:webHidden/>
              </w:rPr>
              <w:t>7</w:t>
            </w:r>
            <w:r w:rsidR="009945CC">
              <w:rPr>
                <w:noProof/>
                <w:webHidden/>
              </w:rPr>
              <w:fldChar w:fldCharType="end"/>
            </w:r>
          </w:hyperlink>
        </w:p>
        <w:p w14:paraId="2B340A8F" w14:textId="205B2ECE" w:rsidR="009945CC" w:rsidRDefault="00C62AA8">
          <w:pPr>
            <w:pStyle w:val="TOC3"/>
            <w:rPr>
              <w:rFonts w:eastAsiaTheme="minorEastAsia"/>
              <w:noProof/>
              <w:lang w:eastAsia="ro-RO"/>
            </w:rPr>
          </w:pPr>
          <w:hyperlink w:anchor="_Toc162525757" w:history="1">
            <w:r w:rsidR="009945CC" w:rsidRPr="00AC6EB4">
              <w:rPr>
                <w:rStyle w:val="Hyperlink"/>
                <w:noProof/>
              </w:rPr>
              <w:t>3. Eficacitatea examinării</w:t>
            </w:r>
            <w:r w:rsidR="009945CC">
              <w:rPr>
                <w:noProof/>
                <w:webHidden/>
              </w:rPr>
              <w:tab/>
            </w:r>
            <w:r w:rsidR="009945CC">
              <w:rPr>
                <w:noProof/>
                <w:webHidden/>
              </w:rPr>
              <w:fldChar w:fldCharType="begin"/>
            </w:r>
            <w:r w:rsidR="009945CC">
              <w:rPr>
                <w:noProof/>
                <w:webHidden/>
              </w:rPr>
              <w:instrText xml:space="preserve"> PAGEREF _Toc162525757 \h </w:instrText>
            </w:r>
            <w:r w:rsidR="009945CC">
              <w:rPr>
                <w:noProof/>
                <w:webHidden/>
              </w:rPr>
            </w:r>
            <w:r w:rsidR="009945CC">
              <w:rPr>
                <w:noProof/>
                <w:webHidden/>
              </w:rPr>
              <w:fldChar w:fldCharType="separate"/>
            </w:r>
            <w:r w:rsidR="00852EF6">
              <w:rPr>
                <w:noProof/>
                <w:webHidden/>
              </w:rPr>
              <w:t>8</w:t>
            </w:r>
            <w:r w:rsidR="009945CC">
              <w:rPr>
                <w:noProof/>
                <w:webHidden/>
              </w:rPr>
              <w:fldChar w:fldCharType="end"/>
            </w:r>
          </w:hyperlink>
        </w:p>
        <w:p w14:paraId="0685D88F" w14:textId="1A4EB5DE" w:rsidR="009945CC" w:rsidRDefault="00C62AA8">
          <w:pPr>
            <w:pStyle w:val="TOC1"/>
            <w:rPr>
              <w:rFonts w:eastAsiaTheme="minorEastAsia"/>
              <w:noProof/>
              <w:color w:val="auto"/>
              <w:lang w:eastAsia="ro-RO"/>
            </w:rPr>
          </w:pPr>
          <w:hyperlink w:anchor="_Toc162525758" w:history="1">
            <w:r w:rsidR="009945CC" w:rsidRPr="00AC6EB4">
              <w:rPr>
                <w:rStyle w:val="Hyperlink"/>
                <w:noProof/>
              </w:rPr>
              <w:t>II. Excepții de la dreptul la două grade de jurisdicție: art. 2 § 2 din Protocolul nr. 7 la Convenție</w:t>
            </w:r>
            <w:r w:rsidR="009945CC">
              <w:rPr>
                <w:noProof/>
                <w:webHidden/>
              </w:rPr>
              <w:tab/>
            </w:r>
            <w:r w:rsidR="009945CC">
              <w:rPr>
                <w:noProof/>
                <w:webHidden/>
              </w:rPr>
              <w:fldChar w:fldCharType="begin"/>
            </w:r>
            <w:r w:rsidR="009945CC">
              <w:rPr>
                <w:noProof/>
                <w:webHidden/>
              </w:rPr>
              <w:instrText xml:space="preserve"> PAGEREF _Toc162525758 \h </w:instrText>
            </w:r>
            <w:r w:rsidR="009945CC">
              <w:rPr>
                <w:noProof/>
                <w:webHidden/>
              </w:rPr>
            </w:r>
            <w:r w:rsidR="009945CC">
              <w:rPr>
                <w:noProof/>
                <w:webHidden/>
              </w:rPr>
              <w:fldChar w:fldCharType="separate"/>
            </w:r>
            <w:r w:rsidR="00852EF6">
              <w:rPr>
                <w:noProof/>
                <w:webHidden/>
              </w:rPr>
              <w:t>10</w:t>
            </w:r>
            <w:r w:rsidR="009945CC">
              <w:rPr>
                <w:noProof/>
                <w:webHidden/>
              </w:rPr>
              <w:fldChar w:fldCharType="end"/>
            </w:r>
          </w:hyperlink>
        </w:p>
        <w:p w14:paraId="57D199CC" w14:textId="1B0CC3FD" w:rsidR="009945CC" w:rsidRDefault="00C62AA8">
          <w:pPr>
            <w:pStyle w:val="TOC2"/>
            <w:tabs>
              <w:tab w:val="right" w:leader="dot" w:pos="9017"/>
            </w:tabs>
            <w:rPr>
              <w:rFonts w:eastAsiaTheme="minorEastAsia"/>
              <w:noProof/>
              <w:lang w:eastAsia="ro-RO"/>
            </w:rPr>
          </w:pPr>
          <w:hyperlink w:anchor="_Toc162525759" w:history="1">
            <w:r w:rsidR="009945CC" w:rsidRPr="00AC6EB4">
              <w:rPr>
                <w:rStyle w:val="Hyperlink"/>
                <w:noProof/>
              </w:rPr>
              <w:t>A. Infracțiuni minore</w:t>
            </w:r>
            <w:r w:rsidR="009945CC">
              <w:rPr>
                <w:noProof/>
                <w:webHidden/>
              </w:rPr>
              <w:tab/>
            </w:r>
            <w:r w:rsidR="009945CC">
              <w:rPr>
                <w:noProof/>
                <w:webHidden/>
              </w:rPr>
              <w:fldChar w:fldCharType="begin"/>
            </w:r>
            <w:r w:rsidR="009945CC">
              <w:rPr>
                <w:noProof/>
                <w:webHidden/>
              </w:rPr>
              <w:instrText xml:space="preserve"> PAGEREF _Toc162525759 \h </w:instrText>
            </w:r>
            <w:r w:rsidR="009945CC">
              <w:rPr>
                <w:noProof/>
                <w:webHidden/>
              </w:rPr>
            </w:r>
            <w:r w:rsidR="009945CC">
              <w:rPr>
                <w:noProof/>
                <w:webHidden/>
              </w:rPr>
              <w:fldChar w:fldCharType="separate"/>
            </w:r>
            <w:r w:rsidR="00852EF6">
              <w:rPr>
                <w:noProof/>
                <w:webHidden/>
              </w:rPr>
              <w:t>10</w:t>
            </w:r>
            <w:r w:rsidR="009945CC">
              <w:rPr>
                <w:noProof/>
                <w:webHidden/>
              </w:rPr>
              <w:fldChar w:fldCharType="end"/>
            </w:r>
          </w:hyperlink>
        </w:p>
        <w:p w14:paraId="1F061BA0" w14:textId="527EFFE4" w:rsidR="009945CC" w:rsidRDefault="00C62AA8">
          <w:pPr>
            <w:pStyle w:val="TOC2"/>
            <w:tabs>
              <w:tab w:val="right" w:leader="dot" w:pos="9017"/>
            </w:tabs>
            <w:rPr>
              <w:rFonts w:eastAsiaTheme="minorEastAsia"/>
              <w:noProof/>
              <w:lang w:eastAsia="ro-RO"/>
            </w:rPr>
          </w:pPr>
          <w:hyperlink w:anchor="_Toc162525760" w:history="1">
            <w:r w:rsidR="009945CC" w:rsidRPr="00AC6EB4">
              <w:rPr>
                <w:rStyle w:val="Hyperlink"/>
                <w:noProof/>
              </w:rPr>
              <w:t>B. Judecată în primă instanță de către cea mai înaltă jurisdicție</w:t>
            </w:r>
            <w:r w:rsidR="009945CC">
              <w:rPr>
                <w:noProof/>
                <w:webHidden/>
              </w:rPr>
              <w:tab/>
            </w:r>
            <w:r w:rsidR="009945CC">
              <w:rPr>
                <w:noProof/>
                <w:webHidden/>
              </w:rPr>
              <w:fldChar w:fldCharType="begin"/>
            </w:r>
            <w:r w:rsidR="009945CC">
              <w:rPr>
                <w:noProof/>
                <w:webHidden/>
              </w:rPr>
              <w:instrText xml:space="preserve"> PAGEREF _Toc162525760 \h </w:instrText>
            </w:r>
            <w:r w:rsidR="009945CC">
              <w:rPr>
                <w:noProof/>
                <w:webHidden/>
              </w:rPr>
            </w:r>
            <w:r w:rsidR="009945CC">
              <w:rPr>
                <w:noProof/>
                <w:webHidden/>
              </w:rPr>
              <w:fldChar w:fldCharType="separate"/>
            </w:r>
            <w:r w:rsidR="00852EF6">
              <w:rPr>
                <w:noProof/>
                <w:webHidden/>
              </w:rPr>
              <w:t>11</w:t>
            </w:r>
            <w:r w:rsidR="009945CC">
              <w:rPr>
                <w:noProof/>
                <w:webHidden/>
              </w:rPr>
              <w:fldChar w:fldCharType="end"/>
            </w:r>
          </w:hyperlink>
          <w:bookmarkStart w:id="0" w:name="_GoBack"/>
          <w:bookmarkEnd w:id="0"/>
        </w:p>
        <w:p w14:paraId="485E8DE9" w14:textId="59869145" w:rsidR="009945CC" w:rsidRDefault="00C62AA8">
          <w:pPr>
            <w:pStyle w:val="TOC2"/>
            <w:tabs>
              <w:tab w:val="right" w:leader="dot" w:pos="9017"/>
            </w:tabs>
            <w:rPr>
              <w:rFonts w:eastAsiaTheme="minorEastAsia"/>
              <w:noProof/>
              <w:lang w:eastAsia="ro-RO"/>
            </w:rPr>
          </w:pPr>
          <w:hyperlink w:anchor="_Toc162525761" w:history="1">
            <w:r w:rsidR="009945CC" w:rsidRPr="00AC6EB4">
              <w:rPr>
                <w:rStyle w:val="Hyperlink"/>
                <w:noProof/>
              </w:rPr>
              <w:t>C. Declararea vinovăției și condamnarea ca urmare a unui recurs împotriva achitării în primă instanță</w:t>
            </w:r>
            <w:r w:rsidR="009945CC">
              <w:rPr>
                <w:noProof/>
                <w:webHidden/>
              </w:rPr>
              <w:tab/>
            </w:r>
            <w:r w:rsidR="009945CC">
              <w:rPr>
                <w:noProof/>
                <w:webHidden/>
              </w:rPr>
              <w:fldChar w:fldCharType="begin"/>
            </w:r>
            <w:r w:rsidR="009945CC">
              <w:rPr>
                <w:noProof/>
                <w:webHidden/>
              </w:rPr>
              <w:instrText xml:space="preserve"> PAGEREF _Toc162525761 \h </w:instrText>
            </w:r>
            <w:r w:rsidR="009945CC">
              <w:rPr>
                <w:noProof/>
                <w:webHidden/>
              </w:rPr>
            </w:r>
            <w:r w:rsidR="009945CC">
              <w:rPr>
                <w:noProof/>
                <w:webHidden/>
              </w:rPr>
              <w:fldChar w:fldCharType="separate"/>
            </w:r>
            <w:r w:rsidR="00852EF6">
              <w:rPr>
                <w:noProof/>
                <w:webHidden/>
              </w:rPr>
              <w:t>12</w:t>
            </w:r>
            <w:r w:rsidR="009945CC">
              <w:rPr>
                <w:noProof/>
                <w:webHidden/>
              </w:rPr>
              <w:fldChar w:fldCharType="end"/>
            </w:r>
          </w:hyperlink>
        </w:p>
        <w:p w14:paraId="6E76F3BE" w14:textId="54FB751C" w:rsidR="009945CC" w:rsidRDefault="00C62AA8">
          <w:pPr>
            <w:pStyle w:val="TOC1"/>
            <w:rPr>
              <w:rFonts w:eastAsiaTheme="minorEastAsia"/>
              <w:noProof/>
              <w:color w:val="auto"/>
              <w:lang w:eastAsia="ro-RO"/>
            </w:rPr>
          </w:pPr>
          <w:hyperlink w:anchor="_Toc162525762" w:history="1">
            <w:r w:rsidR="009945CC" w:rsidRPr="00AC6EB4">
              <w:rPr>
                <w:rStyle w:val="Hyperlink"/>
                <w:noProof/>
              </w:rPr>
              <w:t>Lista cauzelor citate</w:t>
            </w:r>
            <w:r w:rsidR="009945CC">
              <w:rPr>
                <w:noProof/>
                <w:webHidden/>
              </w:rPr>
              <w:tab/>
            </w:r>
            <w:r w:rsidR="009945CC">
              <w:rPr>
                <w:noProof/>
                <w:webHidden/>
              </w:rPr>
              <w:fldChar w:fldCharType="begin"/>
            </w:r>
            <w:r w:rsidR="009945CC">
              <w:rPr>
                <w:noProof/>
                <w:webHidden/>
              </w:rPr>
              <w:instrText xml:space="preserve"> PAGEREF _Toc162525762 \h </w:instrText>
            </w:r>
            <w:r w:rsidR="009945CC">
              <w:rPr>
                <w:noProof/>
                <w:webHidden/>
              </w:rPr>
            </w:r>
            <w:r w:rsidR="009945CC">
              <w:rPr>
                <w:noProof/>
                <w:webHidden/>
              </w:rPr>
              <w:fldChar w:fldCharType="separate"/>
            </w:r>
            <w:r w:rsidR="00852EF6">
              <w:rPr>
                <w:noProof/>
                <w:webHidden/>
              </w:rPr>
              <w:t>13</w:t>
            </w:r>
            <w:r w:rsidR="009945CC">
              <w:rPr>
                <w:noProof/>
                <w:webHidden/>
              </w:rPr>
              <w:fldChar w:fldCharType="end"/>
            </w:r>
          </w:hyperlink>
        </w:p>
        <w:p w14:paraId="6FB24D33" w14:textId="229FF93D" w:rsidR="00B85423" w:rsidRPr="00F042CF" w:rsidRDefault="00B85423" w:rsidP="00B85423">
          <w:r w:rsidRPr="00F042CF">
            <w:rPr>
              <w:b/>
            </w:rPr>
            <w:fldChar w:fldCharType="end"/>
          </w:r>
        </w:p>
      </w:sdtContent>
    </w:sdt>
    <w:p w14:paraId="26488515" w14:textId="77777777" w:rsidR="00B85423" w:rsidRPr="00F042CF" w:rsidRDefault="00B85423" w:rsidP="00B85423"/>
    <w:p w14:paraId="47262B4E" w14:textId="77777777" w:rsidR="00B85423" w:rsidRPr="00F042CF" w:rsidRDefault="00B85423" w:rsidP="00B85423">
      <w:r>
        <w:br w:type="page"/>
      </w:r>
    </w:p>
    <w:p w14:paraId="1E581D6A" w14:textId="77777777" w:rsidR="00B85423" w:rsidRPr="00F042CF" w:rsidRDefault="00B85423" w:rsidP="00B85423">
      <w:pPr>
        <w:pStyle w:val="ECHRTitleCentreTOC1"/>
        <w:rPr>
          <w:color w:val="auto"/>
        </w:rPr>
      </w:pPr>
      <w:bookmarkStart w:id="1" w:name="_Toc445478948"/>
      <w:bookmarkStart w:id="2" w:name="_Toc453254376"/>
      <w:bookmarkStart w:id="3" w:name="_Toc162525747"/>
      <w:bookmarkStart w:id="4" w:name="_Toc436664096"/>
      <w:bookmarkStart w:id="5" w:name="_Toc436664763"/>
      <w:bookmarkStart w:id="6" w:name="_Toc436741689"/>
      <w:bookmarkStart w:id="7" w:name="_Toc436833763"/>
      <w:bookmarkStart w:id="8" w:name="_Toc437417579"/>
      <w:bookmarkStart w:id="9" w:name="_Toc441568626"/>
      <w:r>
        <w:rPr>
          <w:color w:val="auto"/>
        </w:rPr>
        <w:lastRenderedPageBreak/>
        <w:t>În atenția cititorilor</w:t>
      </w:r>
      <w:bookmarkEnd w:id="1"/>
      <w:bookmarkEnd w:id="2"/>
      <w:bookmarkEnd w:id="3"/>
    </w:p>
    <w:p w14:paraId="356D2953" w14:textId="77777777" w:rsidR="00B85423" w:rsidRPr="00F042CF" w:rsidRDefault="00B85423" w:rsidP="00B85423">
      <w:pPr>
        <w:pStyle w:val="ECHRParaSpaced"/>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 Prezentul ghid analizează și rezumă jurisprudența referitoare la art. 2 din Protocolul nr. 7 la Convenția europeană a drepturilor omului (denumită în continuare „Convenția” sau „Convenția europeană”). Cititorii vor găsi aici principiile-cheie dezvoltate în acest domeniu, precum și precedentele relevante.</w:t>
      </w:r>
    </w:p>
    <w:p w14:paraId="37D7295F" w14:textId="77777777" w:rsidR="00B85423" w:rsidRPr="00F042CF" w:rsidRDefault="00B85423" w:rsidP="00B85423">
      <w:pPr>
        <w:pStyle w:val="ECHRParaSpaced"/>
      </w:pPr>
      <w:r>
        <w:t>Jurisprudența citată a fost selectată dintre hotărârile și deciziile de referință, importante și/sau recente.</w:t>
      </w:r>
      <w:r w:rsidRPr="00F042CF">
        <w:rPr>
          <w:vertAlign w:val="superscript"/>
        </w:rPr>
        <w:footnoteReference w:customMarkFollows="1" w:id="1"/>
        <w:sym w:font="Symbol" w:char="F02A"/>
      </w:r>
    </w:p>
    <w:p w14:paraId="545B01A5" w14:textId="77777777" w:rsidR="00B85423" w:rsidRPr="00F042CF" w:rsidRDefault="00B85423" w:rsidP="00B85423">
      <w:pPr>
        <w:pStyle w:val="ECHRParaSpaced"/>
      </w:pPr>
      <w:r>
        <w:t>Hotărârile și deciziile Curții nu doar soluționează cauzele cu care a fost sesizată, ci servesc, în sens mai larg, pentru a clarifica, proteja și dezvolta normele Convenției, contribuind astfel la respectarea, de către state, a angajamentelor pe care și le-au asumat în calitate de părți contractante [</w:t>
      </w:r>
      <w:hyperlink r:id="rId13" w:history="1">
        <w:r>
          <w:rPr>
            <w:rStyle w:val="Hyperlink"/>
          </w:rPr>
          <w:t>Irlanda împotriva Regatului Unit</w:t>
        </w:r>
      </w:hyperlink>
      <w:r>
        <w:t xml:space="preserve">, 18 ianuarie 1978, pct. 154, seria A nr. 25, și, mai recent, </w:t>
      </w:r>
      <w:hyperlink r:id="rId14" w:history="1">
        <w:proofErr w:type="spellStart"/>
        <w:r>
          <w:rPr>
            <w:rStyle w:val="Hyperlink"/>
          </w:rPr>
          <w:t>Jeronovičs</w:t>
        </w:r>
        <w:proofErr w:type="spellEnd"/>
        <w:r>
          <w:rPr>
            <w:rStyle w:val="Hyperlink"/>
          </w:rPr>
          <w:t xml:space="preserve"> împotriva Letoniei</w:t>
        </w:r>
      </w:hyperlink>
      <w:r>
        <w:t xml:space="preserve"> (MC), nr. 44898/10, pct. 109, 5 iulie 2016]. </w:t>
      </w:r>
    </w:p>
    <w:p w14:paraId="425AF281" w14:textId="77777777" w:rsidR="00B85423" w:rsidRPr="00F042CF" w:rsidRDefault="00B85423" w:rsidP="00B85423">
      <w:pPr>
        <w:pStyle w:val="ECHRParaSpaced"/>
      </w:pPr>
      <w:r>
        <w:t>Sistemul instituit de Convenție are ca finalitate să soluționeze, în interesul general, probleme care țin de ordinea publică, ridicând standardele de protecție a drepturilor omului și extinzând jurisprudența din acest domeniu la întreaga comunitate a statelor parte la Convenție [</w:t>
      </w:r>
      <w:proofErr w:type="spellStart"/>
      <w:r w:rsidR="00694606">
        <w:fldChar w:fldCharType="begin"/>
      </w:r>
      <w:r w:rsidR="00694606">
        <w:instrText xml:space="preserve"> HYPERLINK "http://hudoc.echr.coe.int/eng?i=001-109868" \t "_blank" </w:instrText>
      </w:r>
      <w:r w:rsidR="00694606">
        <w:fldChar w:fldCharType="separate"/>
      </w:r>
      <w:r>
        <w:rPr>
          <w:rStyle w:val="Hyperlink"/>
        </w:rPr>
        <w:t>Konstantin</w:t>
      </w:r>
      <w:proofErr w:type="spellEnd"/>
      <w:r>
        <w:rPr>
          <w:rStyle w:val="Hyperlink"/>
        </w:rPr>
        <w:t xml:space="preserve"> </w:t>
      </w:r>
      <w:proofErr w:type="spellStart"/>
      <w:r>
        <w:rPr>
          <w:rStyle w:val="Hyperlink"/>
        </w:rPr>
        <w:t>Markin</w:t>
      </w:r>
      <w:proofErr w:type="spellEnd"/>
      <w:r>
        <w:rPr>
          <w:rStyle w:val="Hyperlink"/>
        </w:rPr>
        <w:t xml:space="preserve"> împotriva Rusiei</w:t>
      </w:r>
      <w:r w:rsidR="00694606">
        <w:rPr>
          <w:rStyle w:val="Hyperlink"/>
        </w:rPr>
        <w:fldChar w:fldCharType="end"/>
      </w:r>
      <w:r>
        <w:rPr>
          <w:i/>
          <w:color w:val="0072BC" w:themeColor="hyperlink"/>
        </w:rPr>
        <w:t xml:space="preserve"> </w:t>
      </w:r>
      <w:r>
        <w:t>(MC), nr. 30078/06, pct. 89, CEDO 2012]. Astfel, Curtea a subliniat rolul Convenției ca „instrument constituțional al ordinii publice europene” în domeniul drepturilor omului [</w:t>
      </w:r>
      <w:proofErr w:type="spellStart"/>
      <w:r w:rsidR="00694606">
        <w:fldChar w:fldCharType="begin"/>
      </w:r>
      <w:r w:rsidR="00694606">
        <w:instrText xml:space="preserve"> HYPERLINK "http://hudoc.echr.coe.int/eng?i=001-69564" </w:instrText>
      </w:r>
      <w:r w:rsidR="00694606">
        <w:fldChar w:fldCharType="separate"/>
      </w:r>
      <w:r>
        <w:rPr>
          <w:rStyle w:val="Hyperlink"/>
        </w:rPr>
        <w:t>Bosphorus</w:t>
      </w:r>
      <w:proofErr w:type="spellEnd"/>
      <w:r>
        <w:rPr>
          <w:rStyle w:val="Hyperlink"/>
        </w:rPr>
        <w:t xml:space="preserve"> Hava </w:t>
      </w:r>
      <w:proofErr w:type="spellStart"/>
      <w:r>
        <w:rPr>
          <w:rStyle w:val="Hyperlink"/>
        </w:rPr>
        <w:t>Yolları</w:t>
      </w:r>
      <w:proofErr w:type="spellEnd"/>
      <w:r>
        <w:rPr>
          <w:rStyle w:val="Hyperlink"/>
        </w:rPr>
        <w:t xml:space="preserve"> </w:t>
      </w:r>
      <w:proofErr w:type="spellStart"/>
      <w:r>
        <w:rPr>
          <w:rStyle w:val="Hyperlink"/>
        </w:rPr>
        <w:t>Turizm</w:t>
      </w:r>
      <w:proofErr w:type="spellEnd"/>
      <w:r>
        <w:rPr>
          <w:rStyle w:val="Hyperlink"/>
        </w:rPr>
        <w:t xml:space="preserve"> </w:t>
      </w:r>
      <w:proofErr w:type="spellStart"/>
      <w:r>
        <w:rPr>
          <w:rStyle w:val="Hyperlink"/>
        </w:rPr>
        <w:t>ve</w:t>
      </w:r>
      <w:proofErr w:type="spellEnd"/>
      <w:r>
        <w:rPr>
          <w:rStyle w:val="Hyperlink"/>
        </w:rPr>
        <w:t xml:space="preserve"> </w:t>
      </w:r>
      <w:proofErr w:type="spellStart"/>
      <w:r>
        <w:rPr>
          <w:rStyle w:val="Hyperlink"/>
        </w:rPr>
        <w:t>Ticaret</w:t>
      </w:r>
      <w:proofErr w:type="spellEnd"/>
      <w:r>
        <w:rPr>
          <w:rStyle w:val="Hyperlink"/>
        </w:rPr>
        <w:t xml:space="preserve"> Anonim </w:t>
      </w:r>
      <w:proofErr w:type="spellStart"/>
      <w:r>
        <w:rPr>
          <w:rStyle w:val="Hyperlink"/>
        </w:rPr>
        <w:t>Şirketi</w:t>
      </w:r>
      <w:proofErr w:type="spellEnd"/>
      <w:r>
        <w:rPr>
          <w:rStyle w:val="Hyperlink"/>
        </w:rPr>
        <w:t xml:space="preserve"> împotriva Irlandei</w:t>
      </w:r>
      <w:r w:rsidR="00694606">
        <w:rPr>
          <w:rStyle w:val="Hyperlink"/>
        </w:rPr>
        <w:fldChar w:fldCharType="end"/>
      </w:r>
      <w:r>
        <w:t xml:space="preserve"> (MC), nr. 45036/98, pct. 156, CEDO 2005-VI, și, mai recent, </w:t>
      </w:r>
      <w:hyperlink r:id="rId15" w:history="1">
        <w:r>
          <w:rPr>
            <w:rStyle w:val="Hyperlink"/>
          </w:rPr>
          <w:t>N.D. și N.T. împotriva Spaniei</w:t>
        </w:r>
      </w:hyperlink>
      <w:r>
        <w:t xml:space="preserve"> (MC), nr. 8675/15 și 8697/15, pct. 110, 13 februarie 2020].</w:t>
      </w:r>
    </w:p>
    <w:p w14:paraId="3616175B" w14:textId="77777777" w:rsidR="00B85423" w:rsidRPr="00F042CF" w:rsidRDefault="00B85423" w:rsidP="00B85423">
      <w:pPr>
        <w:pStyle w:val="ECHRParaSpaced"/>
      </w:pPr>
      <w:bookmarkStart w:id="10" w:name="_Hlk109038103"/>
      <w:r>
        <w:t>Protocolul nr. 15 la Convenție a introdus recent principiul subsidiarității în preambulul Convenției. Acest 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proofErr w:type="spellStart"/>
      <w:r w:rsidR="00694606">
        <w:fldChar w:fldCharType="begin"/>
      </w:r>
      <w:r w:rsidR="00694606">
        <w:instrText xml:space="preserve"> HYPERLINK "https://hudoc.echr.coe.int/eng?i=001-216400" </w:instrText>
      </w:r>
      <w:r w:rsidR="00694606">
        <w:fldChar w:fldCharType="separate"/>
      </w:r>
      <w:r>
        <w:rPr>
          <w:rStyle w:val="Hyperlink"/>
        </w:rPr>
        <w:t>Grzęda</w:t>
      </w:r>
      <w:proofErr w:type="spellEnd"/>
      <w:r>
        <w:rPr>
          <w:rStyle w:val="Hyperlink"/>
        </w:rPr>
        <w:t xml:space="preserve"> împotriva Poloniei</w:t>
      </w:r>
      <w:r w:rsidR="00694606">
        <w:rPr>
          <w:rStyle w:val="Hyperlink"/>
        </w:rPr>
        <w:fldChar w:fldCharType="end"/>
      </w:r>
      <w:r>
        <w:t xml:space="preserve"> (MC), pct. 324].</w:t>
      </w:r>
      <w:bookmarkEnd w:id="10"/>
    </w:p>
    <w:p w14:paraId="088AC565" w14:textId="77777777" w:rsidR="00B85423" w:rsidRPr="00F042CF" w:rsidRDefault="00B85423" w:rsidP="00B85423">
      <w:pPr>
        <w:pStyle w:val="ECHRParaSpaced"/>
      </w:pPr>
      <w:r>
        <w:t xml:space="preserve">Prezentul ghid include trimiteri la cuvinte-cheie din fiecare articol citat din Convenție sau din protocoalele la aceasta. Problemele juridice abordate în fiecare cauză sunt sintetizate într-o </w:t>
      </w:r>
      <w:hyperlink r:id="rId16" w:history="1">
        <w:r>
          <w:rPr>
            <w:rStyle w:val="Hyperlink"/>
          </w:rPr>
          <w:t>Listă de cuvinte-cheie</w:t>
        </w:r>
      </w:hyperlink>
      <w:r>
        <w:t>, selectate dintr-un tezaur de termeni extrași (în majoritatea cazurilor) direct din textul Convenției și din protocoalele la aceasta.</w:t>
      </w:r>
    </w:p>
    <w:p w14:paraId="4EC3642B" w14:textId="77777777" w:rsidR="00B85423" w:rsidRPr="00F042CF" w:rsidRDefault="00C62AA8" w:rsidP="00B85423">
      <w:pPr>
        <w:pStyle w:val="ECHRParaSpaced"/>
      </w:pPr>
      <w:hyperlink r:id="rId17" w:history="1">
        <w:r w:rsidR="00B85423">
          <w:rPr>
            <w:rStyle w:val="Hyperlink"/>
          </w:rPr>
          <w:t>Baza de date HUDOC</w:t>
        </w:r>
      </w:hyperlink>
      <w:r w:rsidR="00B85423">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cauză sunt disponibile în fila Detalii cauză. Pentru informații suplimentare privind baza de date și cuvintele-cheie, consultați </w:t>
      </w:r>
      <w:hyperlink r:id="rId18" w:history="1">
        <w:r w:rsidR="00B85423">
          <w:rPr>
            <w:rStyle w:val="Hyperlink"/>
          </w:rPr>
          <w:t>Manual de utilizare HUDOC</w:t>
        </w:r>
      </w:hyperlink>
      <w:r w:rsidR="00B85423">
        <w:t>.</w:t>
      </w:r>
    </w:p>
    <w:p w14:paraId="38E6B377" w14:textId="77777777" w:rsidR="00B85423" w:rsidRPr="00F042CF" w:rsidRDefault="00B85423" w:rsidP="00B85423">
      <w:pPr>
        <w:pStyle w:val="ECHRParaSpaced"/>
      </w:pPr>
    </w:p>
    <w:p w14:paraId="057FC103" w14:textId="77777777" w:rsidR="00B85423" w:rsidRPr="00F042CF" w:rsidRDefault="00B85423" w:rsidP="00B85423">
      <w:pPr>
        <w:pStyle w:val="ECHRParaSpaced"/>
      </w:pPr>
    </w:p>
    <w:p w14:paraId="111C4F55" w14:textId="77777777" w:rsidR="00B85423" w:rsidRPr="00F042CF" w:rsidRDefault="00B85423" w:rsidP="00B85423">
      <w:pPr>
        <w:pStyle w:val="ECHRTitleTOC1"/>
        <w:rPr>
          <w:color w:val="auto"/>
        </w:rPr>
      </w:pPr>
      <w:r>
        <w:br w:type="page"/>
      </w:r>
      <w:bookmarkStart w:id="11" w:name="_Toc162525748"/>
      <w:r>
        <w:rPr>
          <w:color w:val="auto"/>
        </w:rPr>
        <w:lastRenderedPageBreak/>
        <w:t>Introducere</w:t>
      </w:r>
      <w:bookmarkEnd w:id="11"/>
    </w:p>
    <w:p w14:paraId="061C2F0C" w14:textId="77777777" w:rsidR="00B85423" w:rsidRPr="00F042CF" w:rsidRDefault="00C62AA8" w:rsidP="00B85423">
      <w:pPr>
        <w:pStyle w:val="ECHRParaSpaced"/>
      </w:pPr>
      <w:r>
        <w:fldChar w:fldCharType="begin"/>
      </w:r>
      <w:r>
        <w:instrText xml:space="preserve"> SEQ level0 \*arabic \* MERGEFORMAT </w:instrText>
      </w:r>
      <w:r>
        <w:fldChar w:fldCharType="separate"/>
      </w:r>
      <w:r w:rsidR="00852EF6">
        <w:rPr>
          <w:noProof/>
        </w:rPr>
        <w:t>1</w:t>
      </w:r>
      <w:r>
        <w:fldChar w:fldCharType="end"/>
      </w:r>
      <w:r w:rsidR="0086588B">
        <w:t>.  Art. 2 din Protocolul nr. 7 completează garanțiile referitoare la un proces echitabil consacrate de art. 6 din Convenție</w:t>
      </w:r>
      <w:r w:rsidR="00B85423" w:rsidRPr="00F042CF">
        <w:rPr>
          <w:vertAlign w:val="superscript"/>
        </w:rPr>
        <w:footnoteReference w:id="2"/>
      </w:r>
      <w:r w:rsidR="0086588B">
        <w:t xml:space="preserve"> prin recunoașterea unui drept la două grade de jurisdicție în fața unei jurisdicții superioare împotriva unei condamnări sau a unei pedepse pronunțate în primă instanță. În această privință, trebuie remarcat că art. 6 nu garantează dreptul la două grade de jurisdicție împotriva unei decizii pronunțate în primă instanță (</w:t>
      </w:r>
      <w:proofErr w:type="spellStart"/>
      <w:r w:rsidR="00694606">
        <w:fldChar w:fldCharType="begin"/>
      </w:r>
      <w:r w:rsidR="00694606">
        <w:instrText xml:space="preserve"> HYPERLINK "https://hudoc.echr.coe.int/eng?i=001-103598" </w:instrText>
      </w:r>
      <w:r w:rsidR="00694606">
        <w:fldChar w:fldCharType="separate"/>
      </w:r>
      <w:r w:rsidR="0086588B">
        <w:rPr>
          <w:rStyle w:val="Hyperlink"/>
        </w:rPr>
        <w:t>Lalmahomed</w:t>
      </w:r>
      <w:proofErr w:type="spellEnd"/>
      <w:r w:rsidR="0086588B">
        <w:rPr>
          <w:rStyle w:val="Hyperlink"/>
        </w:rPr>
        <w:t xml:space="preserve"> împotriva Țărilor de Jos</w:t>
      </w:r>
      <w:r w:rsidR="00694606">
        <w:rPr>
          <w:rStyle w:val="Hyperlink"/>
        </w:rPr>
        <w:fldChar w:fldCharType="end"/>
      </w:r>
      <w:r w:rsidR="0086588B">
        <w:t>, 2011, pct. 35). Totuși, în cazul în care legea națională prevede dreptul la două grade de jurisdicție, calea de atac va fi tratată ca o prelungire a procesului de judecată și, în consecință, va intra sub incidența art. 6 din Convenție (</w:t>
      </w:r>
      <w:proofErr w:type="spellStart"/>
      <w:r w:rsidR="00694606">
        <w:fldChar w:fldCharType="begin"/>
      </w:r>
      <w:r w:rsidR="00694606">
        <w:instrText xml:space="preserve"> HYPERLINK "https://hudoc.echr.coe.int/eng?i=001-79432" </w:instrText>
      </w:r>
      <w:r w:rsidR="00694606">
        <w:fldChar w:fldCharType="separate"/>
      </w:r>
      <w:r w:rsidR="0086588B">
        <w:rPr>
          <w:rStyle w:val="Hyperlink"/>
        </w:rPr>
        <w:t>Evrenos</w:t>
      </w:r>
      <w:proofErr w:type="spellEnd"/>
      <w:r w:rsidR="0086588B">
        <w:rPr>
          <w:rStyle w:val="Hyperlink"/>
        </w:rPr>
        <w:t xml:space="preserve"> </w:t>
      </w:r>
      <w:proofErr w:type="spellStart"/>
      <w:r w:rsidR="0086588B">
        <w:rPr>
          <w:rStyle w:val="Hyperlink"/>
        </w:rPr>
        <w:t>Önen</w:t>
      </w:r>
      <w:proofErr w:type="spellEnd"/>
      <w:r w:rsidR="0086588B">
        <w:rPr>
          <w:rStyle w:val="Hyperlink"/>
        </w:rPr>
        <w:t xml:space="preserve"> împotriva Turciei</w:t>
      </w:r>
      <w:r w:rsidR="00694606">
        <w:rPr>
          <w:rStyle w:val="Hyperlink"/>
        </w:rPr>
        <w:fldChar w:fldCharType="end"/>
      </w:r>
      <w:r w:rsidR="0086588B">
        <w:t>, 2007, pct. 28).</w:t>
      </w:r>
    </w:p>
    <w:p w14:paraId="0245978F" w14:textId="77777777" w:rsidR="00B85423" w:rsidRPr="00F042CF" w:rsidRDefault="00C62AA8" w:rsidP="00B85423">
      <w:pPr>
        <w:pStyle w:val="ECHRParaSpaced"/>
      </w:pPr>
      <w:r>
        <w:fldChar w:fldCharType="begin"/>
      </w:r>
      <w:r>
        <w:instrText xml:space="preserve"> SE</w:instrText>
      </w:r>
      <w:r>
        <w:instrText xml:space="preserve">Q level0 \*arabic \* MERGEFORMAT </w:instrText>
      </w:r>
      <w:r>
        <w:fldChar w:fldCharType="separate"/>
      </w:r>
      <w:r w:rsidR="00852EF6">
        <w:rPr>
          <w:noProof/>
        </w:rPr>
        <w:t>2</w:t>
      </w:r>
      <w:r>
        <w:fldChar w:fldCharType="end"/>
      </w:r>
      <w:r w:rsidR="0086588B">
        <w:t>.  Dreptul unei persoane condamnate pentru o infracțiune de a cere examinarea cauzei sale de către o jurisdicție superioară nu este absolut: acesta poate fi limitat dacă intră sub incidența uneia dintre excepțiile prevăzute de art. 2 § 2 din Protocolul nr. 7.</w:t>
      </w:r>
    </w:p>
    <w:p w14:paraId="42D40544" w14:textId="77777777" w:rsidR="00B85423" w:rsidRPr="00F042CF" w:rsidRDefault="00B85423" w:rsidP="00B85423">
      <w:pPr>
        <w:pStyle w:val="ECHRHeading1"/>
      </w:pPr>
      <w:bookmarkStart w:id="12" w:name="_Toc162525749"/>
      <w:r>
        <w:t>D</w:t>
      </w:r>
      <w:bookmarkEnd w:id="4"/>
      <w:bookmarkEnd w:id="5"/>
      <w:bookmarkEnd w:id="6"/>
      <w:bookmarkEnd w:id="7"/>
      <w:bookmarkEnd w:id="8"/>
      <w:bookmarkEnd w:id="9"/>
      <w:r>
        <w:t>reptul la două grade de jurisdicție în materie penală: art. 2 § 1 din Protocolul nr. 7</w:t>
      </w:r>
      <w:bookmarkEnd w:id="12"/>
    </w:p>
    <w:p w14:paraId="5ADAE403" w14:textId="77777777" w:rsidR="00B85423" w:rsidRPr="00F042CF" w:rsidRDefault="00B85423" w:rsidP="00B85423">
      <w:pPr>
        <w:pStyle w:val="ECHRParaHanging"/>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B85423" w:rsidRPr="00F042CF" w14:paraId="7BB9B71F" w14:textId="77777777" w:rsidTr="00417015">
        <w:trPr>
          <w:trHeight w:val="1027"/>
        </w:trPr>
        <w:tc>
          <w:tcPr>
            <w:tcW w:w="9243" w:type="dxa"/>
          </w:tcPr>
          <w:p w14:paraId="1A6A1D8F" w14:textId="77777777" w:rsidR="00B85423" w:rsidRPr="00F042CF" w:rsidRDefault="00B85423" w:rsidP="00417015">
            <w:pPr>
              <w:pStyle w:val="ECHRTitle3"/>
            </w:pPr>
            <w:r>
              <w:t>Art. 2 din Protocolul nr. 7 la Convenție</w:t>
            </w:r>
          </w:p>
          <w:p w14:paraId="73FCC1F3" w14:textId="77777777" w:rsidR="00B85423" w:rsidRPr="00F042CF" w:rsidRDefault="00B85423" w:rsidP="00417015">
            <w:pPr>
              <w:pStyle w:val="JuQuot"/>
              <w:rPr>
                <w:rFonts w:asciiTheme="minorHAnsi" w:hAnsiTheme="minorHAnsi" w:cstheme="minorHAnsi"/>
              </w:rPr>
            </w:pPr>
            <w:r>
              <w:rPr>
                <w:rFonts w:asciiTheme="minorHAnsi" w:hAnsiTheme="minorHAnsi"/>
              </w:rPr>
              <w:t>„1.  Orice persoană declarată vinovată de o infracțiune de către un tribunal are dreptul să ceară examinarea declarației de vinovăție sau a condamnării de către o jurisdicție superioară. Exercitarea acestui drept, inclusiv motivele pentru care acesta poate fi exercitat, sunt reglementate de lege.</w:t>
            </w:r>
          </w:p>
          <w:p w14:paraId="42A980A9" w14:textId="77777777" w:rsidR="00B85423" w:rsidRPr="00F042CF" w:rsidRDefault="00B85423" w:rsidP="00417015">
            <w:pPr>
              <w:pStyle w:val="JuQuot"/>
              <w:rPr>
                <w:rFonts w:asciiTheme="minorHAnsi" w:hAnsiTheme="minorHAnsi" w:cstheme="minorHAnsi"/>
              </w:rPr>
            </w:pPr>
            <w:r>
              <w:rPr>
                <w:rFonts w:asciiTheme="minorHAnsi" w:hAnsiTheme="minorHAnsi"/>
              </w:rPr>
              <w:t>2.  Acest drept poate face obiectul unor excepții în cazul infracțiunilor minore, așa cum acestea sunt definite de lege, sau când cel interesat a fost judecat în primă instanță de către cea mai înaltă jurisdicție ori a fost declarat vinovat și condamnat ca urmare a unui recurs împotriva achitării sale.”</w:t>
            </w:r>
          </w:p>
        </w:tc>
      </w:tr>
      <w:tr w:rsidR="00B85423" w:rsidRPr="00F042CF" w14:paraId="0499C12D" w14:textId="77777777" w:rsidTr="00417015">
        <w:trPr>
          <w:trHeight w:val="772"/>
        </w:trPr>
        <w:tc>
          <w:tcPr>
            <w:tcW w:w="9243" w:type="dxa"/>
          </w:tcPr>
          <w:p w14:paraId="1EB31766" w14:textId="77777777" w:rsidR="00B85423" w:rsidRPr="00F042CF" w:rsidRDefault="00B85423" w:rsidP="00417015">
            <w:pPr>
              <w:pStyle w:val="ECHRTitle3"/>
              <w:spacing w:before="120" w:after="120"/>
              <w:contextualSpacing w:val="0"/>
            </w:pPr>
            <w:r>
              <w:t>Cuvinte-cheie HUDOC</w:t>
            </w:r>
          </w:p>
          <w:p w14:paraId="579576B3" w14:textId="77777777" w:rsidR="00B85423" w:rsidRPr="00F042CF" w:rsidRDefault="00B85423" w:rsidP="00417015">
            <w:pPr>
              <w:pStyle w:val="JuQuot"/>
            </w:pPr>
            <w:r>
              <w:t>Condamnare (P7-2) - Infracțiune (P7-2) - Instanță competentă (P7-2) - Examinarea condamnării (P7-2) - Examinarea pedepsei (P7-2) - Jurisdicție superioară (P7-2)</w:t>
            </w:r>
          </w:p>
          <w:p w14:paraId="1BF79848" w14:textId="77777777" w:rsidR="00B85423" w:rsidRPr="00F042CF" w:rsidRDefault="00B85423" w:rsidP="00417015">
            <w:pPr>
              <w:pStyle w:val="JuQuot"/>
            </w:pPr>
            <w:r>
              <w:t>Lege națională (P7-2): Infracțiuni minore (P7-2) - Judecată în primă instanță de către cea mai înaltă jurisdicție (P7-2) - Condamnare ca urmare a unui recurs împotriva achitării (P7-2)</w:t>
            </w:r>
          </w:p>
        </w:tc>
      </w:tr>
    </w:tbl>
    <w:p w14:paraId="1994859C" w14:textId="77777777" w:rsidR="00B85423" w:rsidRPr="00F042CF" w:rsidRDefault="00B85423" w:rsidP="00B85423">
      <w:pPr>
        <w:pStyle w:val="ECHRParaHanging"/>
      </w:pPr>
    </w:p>
    <w:p w14:paraId="71D6763B" w14:textId="77777777" w:rsidR="00B85423" w:rsidRPr="00F042CF" w:rsidRDefault="00B85423" w:rsidP="00B85423">
      <w:pPr>
        <w:pStyle w:val="ECHRHeading2"/>
      </w:pPr>
      <w:bookmarkStart w:id="13" w:name="_Toc162525750"/>
      <w:r>
        <w:t>Aplicabilitatea dreptului la două grade de jurisdicție</w:t>
      </w:r>
      <w:bookmarkEnd w:id="13"/>
    </w:p>
    <w:p w14:paraId="4B8296FD" w14:textId="77777777" w:rsidR="00B85423" w:rsidRPr="00F042CF" w:rsidRDefault="00C62AA8" w:rsidP="00B85423">
      <w:pPr>
        <w:pStyle w:val="ECHRParaSpaced"/>
      </w:pPr>
      <w:r>
        <w:fldChar w:fldCharType="begin"/>
      </w:r>
      <w:r>
        <w:instrText xml:space="preserve"> SEQ level0 \*arabic </w:instrText>
      </w:r>
      <w:r>
        <w:fldChar w:fldCharType="separate"/>
      </w:r>
      <w:r w:rsidR="00852EF6">
        <w:rPr>
          <w:noProof/>
        </w:rPr>
        <w:t>3</w:t>
      </w:r>
      <w:r>
        <w:fldChar w:fldCharType="end"/>
      </w:r>
      <w:r w:rsidR="00B85423">
        <w:t>.  Sub rezerva excepțiilor permise de paragraful 2, dreptul la două grade de jurisdicție garantat de art. 2 din Protocolul nr. 7 se aplică deciziilor care: (1) se referă la o „infracțiune”; (2) constituie o „condamnare” sau o „declarație de vinovăție”; și (3) sunt pronunțate de un „tribunal”.</w:t>
      </w:r>
      <w:r w:rsidR="00B85423" w:rsidRPr="00F042CF">
        <w:rPr>
          <w:vertAlign w:val="superscript"/>
        </w:rPr>
        <w:footnoteReference w:id="3"/>
      </w:r>
    </w:p>
    <w:p w14:paraId="6BE754EE" w14:textId="77777777" w:rsidR="00B85423" w:rsidRPr="00F042CF" w:rsidRDefault="00B85423" w:rsidP="00B85423">
      <w:pPr>
        <w:pStyle w:val="ECHRHeading3"/>
      </w:pPr>
      <w:bookmarkStart w:id="14" w:name="_Toc162525751"/>
      <w:r>
        <w:t>„Infracțiune”</w:t>
      </w:r>
      <w:bookmarkEnd w:id="14"/>
    </w:p>
    <w:p w14:paraId="24B21351" w14:textId="77777777" w:rsidR="00B85423" w:rsidRPr="00F042CF" w:rsidRDefault="00B85423" w:rsidP="00B85423">
      <w:pPr>
        <w:pStyle w:val="ECHRParaSpaced"/>
        <w:rPr>
          <w:rFonts w:ascii="Calibri" w:hAnsi="Calibri" w:cs="Calibri"/>
        </w:rPr>
      </w:pPr>
      <w:r w:rsidRPr="00F042CF">
        <w:rPr>
          <w:rFonts w:ascii="Calibri" w:hAnsi="Calibri" w:cs="Calibri"/>
        </w:rPr>
        <w:fldChar w:fldCharType="begin"/>
      </w:r>
      <w:r w:rsidRPr="00F042CF">
        <w:rPr>
          <w:rFonts w:ascii="Calibri" w:hAnsi="Calibri" w:cs="Calibri"/>
        </w:rPr>
        <w:instrText xml:space="preserve"> SEQ level0 \*arabic \* MERGEFORMAT </w:instrText>
      </w:r>
      <w:r w:rsidRPr="00F042CF">
        <w:rPr>
          <w:rFonts w:ascii="Calibri" w:hAnsi="Calibri" w:cs="Calibri"/>
        </w:rPr>
        <w:fldChar w:fldCharType="separate"/>
      </w:r>
      <w:r w:rsidR="00852EF6">
        <w:rPr>
          <w:rFonts w:ascii="Calibri" w:hAnsi="Calibri" w:cs="Calibri"/>
          <w:noProof/>
        </w:rPr>
        <w:t>4</w:t>
      </w:r>
      <w:r w:rsidRPr="00F042CF">
        <w:rPr>
          <w:rFonts w:ascii="Calibri" w:hAnsi="Calibri" w:cs="Calibri"/>
        </w:rPr>
        <w:fldChar w:fldCharType="end"/>
      </w:r>
      <w:r>
        <w:rPr>
          <w:rFonts w:ascii="Calibri" w:hAnsi="Calibri"/>
        </w:rPr>
        <w:t>.  </w:t>
      </w:r>
      <w:r>
        <w:t>În conformitate cu jurisprudența Curții, noțiunea de „infracțiune” prevăzută de art. 2 § 1 din Protocolul nr. 7 corespunde celei de „acuzație în materie penală” prevăzută de art. 6 § 1 din Convenție</w:t>
      </w:r>
      <w:r>
        <w:rPr>
          <w:rFonts w:ascii="Calibri" w:hAnsi="Calibri"/>
        </w:rPr>
        <w:t xml:space="preserve"> </w:t>
      </w:r>
      <w:r>
        <w:rPr>
          <w:rFonts w:ascii="Calibri" w:hAnsi="Calibri"/>
        </w:rPr>
        <w:lastRenderedPageBreak/>
        <w:t>[</w:t>
      </w:r>
      <w:proofErr w:type="spellStart"/>
      <w:r w:rsidR="00694606">
        <w:fldChar w:fldCharType="begin"/>
      </w:r>
      <w:r w:rsidR="00694606">
        <w:instrText xml:space="preserve"> HYPERLINK "https://hudoc.echr.coe.int/fre?i=001-70094" </w:instrText>
      </w:r>
      <w:r w:rsidR="00694606">
        <w:fldChar w:fldCharType="separate"/>
      </w:r>
      <w:r>
        <w:rPr>
          <w:rStyle w:val="Hyperlink"/>
        </w:rPr>
        <w:t>Gurepka</w:t>
      </w:r>
      <w:proofErr w:type="spellEnd"/>
      <w:r>
        <w:rPr>
          <w:rStyle w:val="Hyperlink"/>
        </w:rPr>
        <w:t xml:space="preserve"> împotriva Ucrainei</w:t>
      </w:r>
      <w:r w:rsidR="00694606">
        <w:rPr>
          <w:rStyle w:val="Hyperlink"/>
        </w:rPr>
        <w:fldChar w:fldCharType="end"/>
      </w:r>
      <w:r>
        <w:rPr>
          <w:rFonts w:ascii="Calibri" w:hAnsi="Calibri"/>
        </w:rPr>
        <w:t xml:space="preserve">, 2005, pct. 55; </w:t>
      </w:r>
      <w:hyperlink r:id="rId19" w:history="1">
        <w:proofErr w:type="spellStart"/>
        <w:r>
          <w:rPr>
            <w:rStyle w:val="Hyperlink"/>
          </w:rPr>
          <w:t>Zaicevs</w:t>
        </w:r>
        <w:proofErr w:type="spellEnd"/>
        <w:r>
          <w:rPr>
            <w:rStyle w:val="Hyperlink"/>
          </w:rPr>
          <w:t xml:space="preserve"> împotriva Letoniei</w:t>
        </w:r>
      </w:hyperlink>
      <w:r>
        <w:rPr>
          <w:rFonts w:ascii="Calibri" w:hAnsi="Calibri"/>
        </w:rPr>
        <w:t xml:space="preserve">, 2007, pct. 53; </w:t>
      </w:r>
      <w:hyperlink r:id="rId20" w:history="1">
        <w:proofErr w:type="spellStart"/>
        <w:r>
          <w:rPr>
            <w:rStyle w:val="Hyperlink"/>
          </w:rPr>
          <w:t>Kamburov</w:t>
        </w:r>
        <w:proofErr w:type="spellEnd"/>
        <w:r>
          <w:rPr>
            <w:rStyle w:val="Hyperlink"/>
          </w:rPr>
          <w:t xml:space="preserve"> împotriva Bulgariei</w:t>
        </w:r>
      </w:hyperlink>
      <w:r>
        <w:rPr>
          <w:rFonts w:ascii="Calibri" w:hAnsi="Calibri"/>
        </w:rPr>
        <w:t xml:space="preserve">, 2009, pct. 22; </w:t>
      </w:r>
      <w:hyperlink r:id="rId21" w:history="1">
        <w:proofErr w:type="spellStart"/>
        <w:r>
          <w:rPr>
            <w:rStyle w:val="Hyperlink"/>
          </w:rPr>
          <w:t>Stanchev</w:t>
        </w:r>
        <w:proofErr w:type="spellEnd"/>
        <w:r>
          <w:rPr>
            <w:rStyle w:val="Hyperlink"/>
          </w:rPr>
          <w:t xml:space="preserve"> împotriva Bulgariei</w:t>
        </w:r>
      </w:hyperlink>
      <w:r>
        <w:rPr>
          <w:rFonts w:ascii="Calibri" w:hAnsi="Calibri"/>
        </w:rPr>
        <w:t xml:space="preserve">, 2009, pct. 44; </w:t>
      </w:r>
      <w:hyperlink r:id="rId22" w:history="1">
        <w:proofErr w:type="spellStart"/>
        <w:r>
          <w:rPr>
            <w:rStyle w:val="Hyperlink"/>
          </w:rPr>
          <w:t>Kindlhofer</w:t>
        </w:r>
        <w:proofErr w:type="spellEnd"/>
        <w:r>
          <w:rPr>
            <w:rStyle w:val="Hyperlink"/>
          </w:rPr>
          <w:t xml:space="preserve"> împotriva Austriei</w:t>
        </w:r>
      </w:hyperlink>
      <w:r>
        <w:rPr>
          <w:rFonts w:ascii="Calibri" w:hAnsi="Calibri"/>
        </w:rPr>
        <w:t xml:space="preserve">, 2021, pct. 30; </w:t>
      </w:r>
      <w:hyperlink r:id="rId23" w:history="1">
        <w:r>
          <w:rPr>
            <w:rStyle w:val="Hyperlink"/>
            <w:rFonts w:ascii="Calibri" w:hAnsi="Calibri"/>
          </w:rPr>
          <w:t>Grosam împotriva Republicii Cehe</w:t>
        </w:r>
      </w:hyperlink>
      <w:r>
        <w:rPr>
          <w:rFonts w:ascii="Calibri" w:hAnsi="Calibri"/>
        </w:rPr>
        <w:t xml:space="preserve"> (MC), 2023, pct. 111 și 140]. În consecință, încadrarea procesului ca „penal” în sensul art. 6 din Convenție este la fel de relevantă și pentru încadrarea în raport cu art. 2 din Protocolul nr. 7.</w:t>
      </w:r>
    </w:p>
    <w:p w14:paraId="5E9BD0C8" w14:textId="77777777" w:rsidR="00B85423" w:rsidRPr="00F042CF" w:rsidRDefault="00B85423" w:rsidP="00B85423">
      <w:pPr>
        <w:pStyle w:val="ECHRParaSpaced"/>
        <w:rPr>
          <w:rFonts w:ascii="Calibri" w:hAnsi="Calibri" w:cs="Calibri"/>
        </w:rPr>
      </w:pPr>
      <w:r w:rsidRPr="00F042CF">
        <w:rPr>
          <w:rFonts w:ascii="Calibri" w:hAnsi="Calibri" w:cs="Calibri"/>
        </w:rPr>
        <w:fldChar w:fldCharType="begin"/>
      </w:r>
      <w:r w:rsidRPr="00F042CF">
        <w:rPr>
          <w:rFonts w:ascii="Calibri" w:hAnsi="Calibri" w:cs="Calibri"/>
        </w:rPr>
        <w:instrText xml:space="preserve"> SEQ level0 \*arabic \* MERGEFORMAT </w:instrText>
      </w:r>
      <w:r w:rsidRPr="00F042CF">
        <w:rPr>
          <w:rFonts w:ascii="Calibri" w:hAnsi="Calibri" w:cs="Calibri"/>
        </w:rPr>
        <w:fldChar w:fldCharType="separate"/>
      </w:r>
      <w:r w:rsidR="00852EF6">
        <w:rPr>
          <w:rFonts w:ascii="Calibri" w:hAnsi="Calibri" w:cs="Calibri"/>
          <w:noProof/>
        </w:rPr>
        <w:t>5</w:t>
      </w:r>
      <w:r w:rsidRPr="00F042CF">
        <w:rPr>
          <w:rFonts w:ascii="Calibri" w:hAnsi="Calibri" w:cs="Calibri"/>
        </w:rPr>
        <w:fldChar w:fldCharType="end"/>
      </w:r>
      <w:r>
        <w:rPr>
          <w:rFonts w:ascii="Calibri" w:hAnsi="Calibri"/>
        </w:rPr>
        <w:t>.  </w:t>
      </w:r>
      <w:r>
        <w:t>Astfel, în cauzele în care Curtea constată că art. 6 este aplicabil procesului în discuție, aceasta concluzionează așadar că se aplică de asemenea art. 2 din Protocolul nr. 7 (</w:t>
      </w:r>
      <w:proofErr w:type="spellStart"/>
      <w:r w:rsidR="00694606">
        <w:fldChar w:fldCharType="begin"/>
      </w:r>
      <w:r w:rsidR="00694606">
        <w:instrText xml:space="preserve"> HYPERLINK "https://hudoc.echr.coe.int/tur?i=001-57479" </w:instrText>
      </w:r>
      <w:r w:rsidR="00694606">
        <w:fldChar w:fldCharType="separate"/>
      </w:r>
      <w:r>
        <w:rPr>
          <w:rStyle w:val="Hyperlink"/>
          <w:rFonts w:ascii="Calibri" w:hAnsi="Calibri"/>
        </w:rPr>
        <w:t>Engel</w:t>
      </w:r>
      <w:proofErr w:type="spellEnd"/>
      <w:r>
        <w:rPr>
          <w:rStyle w:val="Hyperlink"/>
          <w:rFonts w:ascii="Calibri" w:hAnsi="Calibri"/>
        </w:rPr>
        <w:t xml:space="preserve"> și alții împotriva Țărilor de Jos</w:t>
      </w:r>
      <w:r w:rsidR="00694606">
        <w:rPr>
          <w:rStyle w:val="Hyperlink"/>
          <w:rFonts w:ascii="Calibri" w:hAnsi="Calibri"/>
        </w:rPr>
        <w:fldChar w:fldCharType="end"/>
      </w:r>
      <w:r>
        <w:t xml:space="preserve">, 1976, pct. 82-83; </w:t>
      </w:r>
      <w:hyperlink r:id="rId24" w:history="1">
        <w:proofErr w:type="spellStart"/>
        <w:r>
          <w:rPr>
            <w:rStyle w:val="Hyperlink"/>
            <w:rFonts w:ascii="Calibri" w:hAnsi="Calibri"/>
          </w:rPr>
          <w:t>Gurepka</w:t>
        </w:r>
        <w:proofErr w:type="spellEnd"/>
        <w:r>
          <w:rPr>
            <w:rStyle w:val="Hyperlink"/>
            <w:rFonts w:ascii="Calibri" w:hAnsi="Calibri"/>
          </w:rPr>
          <w:t xml:space="preserve"> împotriva Ucrainei</w:t>
        </w:r>
      </w:hyperlink>
      <w:r>
        <w:t>, 2005, pct. 59;</w:t>
      </w:r>
      <w:r>
        <w:rPr>
          <w:rFonts w:ascii="Calibri" w:hAnsi="Calibri"/>
        </w:rPr>
        <w:t xml:space="preserve"> </w:t>
      </w:r>
      <w:hyperlink r:id="rId25" w:history="1">
        <w:proofErr w:type="spellStart"/>
        <w:r>
          <w:rPr>
            <w:rStyle w:val="Hyperlink"/>
            <w:rFonts w:ascii="Calibri" w:hAnsi="Calibri"/>
          </w:rPr>
          <w:t>Zaicevs</w:t>
        </w:r>
        <w:proofErr w:type="spellEnd"/>
        <w:r>
          <w:rPr>
            <w:rStyle w:val="Hyperlink"/>
            <w:rFonts w:ascii="Calibri" w:hAnsi="Calibri"/>
          </w:rPr>
          <w:t xml:space="preserve"> împotriva Letoniei</w:t>
        </w:r>
      </w:hyperlink>
      <w:r>
        <w:t xml:space="preserve">, 2007, pct. 53; </w:t>
      </w:r>
      <w:hyperlink r:id="rId26" w:history="1">
        <w:proofErr w:type="spellStart"/>
        <w:r>
          <w:rPr>
            <w:rStyle w:val="Hyperlink"/>
            <w:rFonts w:ascii="Calibri" w:hAnsi="Calibri"/>
          </w:rPr>
          <w:t>Galstyan</w:t>
        </w:r>
        <w:proofErr w:type="spellEnd"/>
        <w:r>
          <w:rPr>
            <w:rStyle w:val="Hyperlink"/>
            <w:rFonts w:ascii="Calibri" w:hAnsi="Calibri"/>
          </w:rPr>
          <w:t xml:space="preserve"> împotriva Armeniei</w:t>
        </w:r>
      </w:hyperlink>
      <w:r>
        <w:t>, 2007, pct. 120).</w:t>
      </w:r>
    </w:p>
    <w:p w14:paraId="1AA57801" w14:textId="77777777" w:rsidR="00B85423" w:rsidRPr="00F042CF" w:rsidRDefault="00B85423" w:rsidP="00B85423">
      <w:pPr>
        <w:pStyle w:val="ECHRParaSpaced"/>
        <w:rPr>
          <w:rFonts w:ascii="Calibri" w:hAnsi="Calibri" w:cs="Calibri"/>
        </w:rPr>
      </w:pPr>
      <w:r w:rsidRPr="00F042CF">
        <w:rPr>
          <w:rFonts w:ascii="Calibri" w:hAnsi="Calibri" w:cs="Calibri"/>
        </w:rPr>
        <w:fldChar w:fldCharType="begin"/>
      </w:r>
      <w:r w:rsidRPr="00F042CF">
        <w:rPr>
          <w:rFonts w:ascii="Calibri" w:hAnsi="Calibri" w:cs="Calibri"/>
        </w:rPr>
        <w:instrText xml:space="preserve"> SEQ level0 \*arabic \* MERGEFORMAT </w:instrText>
      </w:r>
      <w:r w:rsidRPr="00F042CF">
        <w:rPr>
          <w:rFonts w:ascii="Calibri" w:hAnsi="Calibri" w:cs="Calibri"/>
        </w:rPr>
        <w:fldChar w:fldCharType="separate"/>
      </w:r>
      <w:r w:rsidR="00852EF6">
        <w:rPr>
          <w:rFonts w:ascii="Calibri" w:hAnsi="Calibri" w:cs="Calibri"/>
          <w:noProof/>
        </w:rPr>
        <w:t>6</w:t>
      </w:r>
      <w:r w:rsidRPr="00F042CF">
        <w:rPr>
          <w:rFonts w:ascii="Calibri" w:hAnsi="Calibri" w:cs="Calibri"/>
        </w:rPr>
        <w:fldChar w:fldCharType="end"/>
      </w:r>
      <w:r>
        <w:rPr>
          <w:rFonts w:ascii="Calibri" w:hAnsi="Calibri"/>
        </w:rPr>
        <w:t>.  </w:t>
      </w:r>
      <w:r>
        <w:t xml:space="preserve">Pentru a interpreta noțiunea de „infracțiune” prevăzută de art. 2 din Protocolul nr. 7, Curtea a folosit „criteriile </w:t>
      </w:r>
      <w:proofErr w:type="spellStart"/>
      <w:r>
        <w:t>Engel</w:t>
      </w:r>
      <w:proofErr w:type="spellEnd"/>
      <w:r>
        <w:t>”, dezvoltate în cauza</w:t>
      </w:r>
      <w:r>
        <w:rPr>
          <w:rFonts w:ascii="Calibri" w:hAnsi="Calibri"/>
        </w:rPr>
        <w:t xml:space="preserve"> </w:t>
      </w:r>
      <w:hyperlink r:id="rId27" w:history="1">
        <w:proofErr w:type="spellStart"/>
        <w:r>
          <w:rPr>
            <w:rStyle w:val="Hyperlink"/>
          </w:rPr>
          <w:t>Engel</w:t>
        </w:r>
        <w:proofErr w:type="spellEnd"/>
        <w:r>
          <w:rPr>
            <w:rStyle w:val="Hyperlink"/>
          </w:rPr>
          <w:t xml:space="preserve"> și alții împotriva Țărilor de Jos</w:t>
        </w:r>
      </w:hyperlink>
      <w:r>
        <w:rPr>
          <w:rFonts w:ascii="Calibri" w:hAnsi="Calibri"/>
          <w:i/>
          <w:color w:val="0072BC" w:themeColor="hyperlink"/>
        </w:rPr>
        <w:t xml:space="preserve"> </w:t>
      </w:r>
      <w:r>
        <w:t>în legătură cu art. 6 § 1 din Convenție.</w:t>
      </w:r>
      <w:r>
        <w:rPr>
          <w:rFonts w:ascii="Calibri" w:hAnsi="Calibri"/>
        </w:rPr>
        <w:t xml:space="preserve"> Astfel, aplicabilitatea art. 2 din Protocolul nr. 7 se apreciază pe baza a trei criterii: </w:t>
      </w:r>
      <w:r>
        <w:t>(a) încadrarea infracțiunii în legea națională; (b) natura infracțiunii; și (c) gradul de severitate al pedepsei pentru infracțiunea săvârșită</w:t>
      </w:r>
      <w:r>
        <w:rPr>
          <w:rFonts w:ascii="Calibri" w:hAnsi="Calibri"/>
        </w:rPr>
        <w:t xml:space="preserve"> (</w:t>
      </w:r>
      <w:proofErr w:type="spellStart"/>
      <w:r w:rsidR="00694606">
        <w:fldChar w:fldCharType="begin"/>
      </w:r>
      <w:r w:rsidR="00694606">
        <w:instrText xml:space="preserve"> HYPERLINK "https://hudoc.echr.coe.int/fre?i=001-92389" </w:instrText>
      </w:r>
      <w:r w:rsidR="00694606">
        <w:fldChar w:fldCharType="separate"/>
      </w:r>
      <w:r>
        <w:rPr>
          <w:rStyle w:val="Hyperlink"/>
        </w:rPr>
        <w:t>Kamburov</w:t>
      </w:r>
      <w:proofErr w:type="spellEnd"/>
      <w:r>
        <w:rPr>
          <w:rStyle w:val="Hyperlink"/>
        </w:rPr>
        <w:t xml:space="preserve"> împotriva Bulgariei</w:t>
      </w:r>
      <w:r w:rsidR="00694606">
        <w:rPr>
          <w:rStyle w:val="Hyperlink"/>
        </w:rPr>
        <w:fldChar w:fldCharType="end"/>
      </w:r>
      <w:r>
        <w:rPr>
          <w:rFonts w:ascii="Calibri" w:hAnsi="Calibri"/>
        </w:rPr>
        <w:t xml:space="preserve">, 2009, pct. 22; </w:t>
      </w:r>
      <w:hyperlink r:id="rId28" w:history="1">
        <w:proofErr w:type="spellStart"/>
        <w:r>
          <w:rPr>
            <w:rStyle w:val="Hyperlink"/>
          </w:rPr>
          <w:t>Saquetti</w:t>
        </w:r>
        <w:proofErr w:type="spellEnd"/>
        <w:r>
          <w:rPr>
            <w:rStyle w:val="Hyperlink"/>
          </w:rPr>
          <w:t xml:space="preserve"> Iglesias împotriva Spaniei</w:t>
        </w:r>
      </w:hyperlink>
      <w:r>
        <w:rPr>
          <w:rFonts w:ascii="Calibri" w:hAnsi="Calibri"/>
        </w:rPr>
        <w:t xml:space="preserve">, 2020, pct. 22). </w:t>
      </w:r>
      <w:r>
        <w:t>În acest context, încadrarea infracțiunii în legea națională a statului pârât are doar o valoare relativă (</w:t>
      </w:r>
      <w:proofErr w:type="spellStart"/>
      <w:r w:rsidR="00694606">
        <w:fldChar w:fldCharType="begin"/>
      </w:r>
      <w:r w:rsidR="00694606">
        <w:instrText xml:space="preserve"> HYPERLINK "https://hudoc.echr.coe.int/tur?i=001-57479" </w:instrText>
      </w:r>
      <w:r w:rsidR="00694606">
        <w:fldChar w:fldCharType="separate"/>
      </w:r>
      <w:r>
        <w:rPr>
          <w:rStyle w:val="Hyperlink"/>
        </w:rPr>
        <w:t>Engel</w:t>
      </w:r>
      <w:proofErr w:type="spellEnd"/>
      <w:r>
        <w:rPr>
          <w:rStyle w:val="Hyperlink"/>
        </w:rPr>
        <w:t xml:space="preserve"> și alții împotriva Țărilor de Jos</w:t>
      </w:r>
      <w:r w:rsidR="00694606">
        <w:rPr>
          <w:rStyle w:val="Hyperlink"/>
        </w:rPr>
        <w:fldChar w:fldCharType="end"/>
      </w:r>
      <w:r>
        <w:t xml:space="preserve">, 1976, pct. 82; </w:t>
      </w:r>
      <w:hyperlink r:id="rId29" w:history="1">
        <w:proofErr w:type="spellStart"/>
        <w:r>
          <w:rPr>
            <w:rStyle w:val="Hyperlink"/>
          </w:rPr>
          <w:t>Zaicevs</w:t>
        </w:r>
        <w:proofErr w:type="spellEnd"/>
        <w:r>
          <w:rPr>
            <w:rStyle w:val="Hyperlink"/>
          </w:rPr>
          <w:t xml:space="preserve"> împotriva Letoniei</w:t>
        </w:r>
      </w:hyperlink>
      <w:r>
        <w:t xml:space="preserve">, 2007, pct. 55; </w:t>
      </w:r>
      <w:hyperlink r:id="rId30" w:history="1">
        <w:proofErr w:type="spellStart"/>
        <w:r>
          <w:rPr>
            <w:rStyle w:val="Hyperlink"/>
          </w:rPr>
          <w:t>Stanchev</w:t>
        </w:r>
        <w:proofErr w:type="spellEnd"/>
        <w:r>
          <w:rPr>
            <w:rStyle w:val="Hyperlink"/>
          </w:rPr>
          <w:t xml:space="preserve"> împotriva Bulgariei</w:t>
        </w:r>
      </w:hyperlink>
      <w:r>
        <w:t xml:space="preserve">, 2009, pct. 44; </w:t>
      </w:r>
      <w:hyperlink r:id="rId31" w:history="1">
        <w:proofErr w:type="spellStart"/>
        <w:r>
          <w:rPr>
            <w:rStyle w:val="Hyperlink"/>
          </w:rPr>
          <w:t>Saquetti</w:t>
        </w:r>
        <w:proofErr w:type="spellEnd"/>
        <w:r>
          <w:rPr>
            <w:rStyle w:val="Hyperlink"/>
          </w:rPr>
          <w:t xml:space="preserve"> Iglesias împotriva Spaniei</w:t>
        </w:r>
      </w:hyperlink>
      <w:r>
        <w:t>, 2020, pct. 22), pe când însăși natura infracțiunii în discuție este un factor de o importanță mai mare (</w:t>
      </w:r>
      <w:proofErr w:type="spellStart"/>
      <w:r w:rsidR="00694606">
        <w:fldChar w:fldCharType="begin"/>
      </w:r>
      <w:r w:rsidR="00694606">
        <w:instrText xml:space="preserve"> HYPERLINK "https://hudoc.echr.coe.int/tur?i=001-57479" </w:instrText>
      </w:r>
      <w:r w:rsidR="00694606">
        <w:fldChar w:fldCharType="separate"/>
      </w:r>
      <w:r>
        <w:rPr>
          <w:rStyle w:val="Hyperlink"/>
        </w:rPr>
        <w:t>Engel</w:t>
      </w:r>
      <w:proofErr w:type="spellEnd"/>
      <w:r>
        <w:rPr>
          <w:rStyle w:val="Hyperlink"/>
        </w:rPr>
        <w:t xml:space="preserve"> și alții împotriva Țărilor de Jos</w:t>
      </w:r>
      <w:r w:rsidR="00694606">
        <w:rPr>
          <w:rStyle w:val="Hyperlink"/>
        </w:rPr>
        <w:fldChar w:fldCharType="end"/>
      </w:r>
      <w:r>
        <w:t xml:space="preserve">, 1976, pct. 82; </w:t>
      </w:r>
      <w:hyperlink r:id="rId32" w:history="1">
        <w:proofErr w:type="spellStart"/>
        <w:r>
          <w:rPr>
            <w:rStyle w:val="Hyperlink"/>
          </w:rPr>
          <w:t>Galstyan</w:t>
        </w:r>
        <w:proofErr w:type="spellEnd"/>
        <w:r>
          <w:rPr>
            <w:rStyle w:val="Hyperlink"/>
          </w:rPr>
          <w:t xml:space="preserve"> împotriva Armeniei</w:t>
        </w:r>
      </w:hyperlink>
      <w:r>
        <w:t>, 2007, pct. 58).</w:t>
      </w:r>
      <w:r w:rsidRPr="00F042CF">
        <w:rPr>
          <w:rFonts w:ascii="Calibri" w:hAnsi="Calibri" w:cs="Calibri"/>
          <w:vertAlign w:val="superscript"/>
        </w:rPr>
        <w:footnoteReference w:id="4"/>
      </w:r>
    </w:p>
    <w:p w14:paraId="58F96EB1" w14:textId="77777777" w:rsidR="00B85423" w:rsidRPr="00F042CF" w:rsidRDefault="00B85423" w:rsidP="00B85423">
      <w:pPr>
        <w:pStyle w:val="ECHRHeading3"/>
      </w:pPr>
      <w:bookmarkStart w:id="15" w:name="_Toc162525752"/>
      <w:r>
        <w:t>Decizie care constituie o „condamnare” sau o „declarație de vinovăție”</w:t>
      </w:r>
      <w:bookmarkEnd w:id="15"/>
    </w:p>
    <w:p w14:paraId="74185C35"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7</w:t>
      </w:r>
      <w:r w:rsidRPr="00F042CF">
        <w:rPr>
          <w:rFonts w:cstheme="minorHAnsi"/>
        </w:rPr>
        <w:fldChar w:fldCharType="end"/>
      </w:r>
      <w:r>
        <w:t>.  Art. 2 din Protocolul nr. 7 se aplică în cazul unei „condamnări” sau al unei „declarații de vinovăție”. Această dispoziție nu garantează dreptul la două grade de jurisdicție împotriva unei decizii de achitare sau a oricărei alte decizii care nu constituie o constatare formală a vinovăției sau aplicarea unei sancțiuni: existența unei constatări formale a vinovăției care se soldează cu o condamnare sau o declarație de vinovăție este o condiție prealabilă pentru aplicarea garanțiilor prevăzute de art. 2 din Protocolul nr. 7. O astfel de constatare trebuie să fie obiectul și rezultatul procedurii și nu implică întotdeauna aplicarea unei sancțiuni. De regulă, aceasta trebuie să fie menționată în dispozitivul unui verdict. În orice caz, factorul decisiv trebuie să fie dacă o anumită decizie a avut ca scop constatarea vinovăției unei persoane pentru o infracțiune [</w:t>
      </w:r>
      <w:proofErr w:type="spellStart"/>
      <w:r w:rsidR="00694606">
        <w:fldChar w:fldCharType="begin"/>
      </w:r>
      <w:r w:rsidR="00694606">
        <w:instrText xml:space="preserve"> HYPERLINK "https://hudoc.echr.coe.int/eng?i=001-95995" </w:instrText>
      </w:r>
      <w:r w:rsidR="00694606">
        <w:fldChar w:fldCharType="separate"/>
      </w:r>
      <w:r>
        <w:rPr>
          <w:rStyle w:val="Hyperlink"/>
        </w:rPr>
        <w:t>Rybka</w:t>
      </w:r>
      <w:proofErr w:type="spellEnd"/>
      <w:r>
        <w:rPr>
          <w:rStyle w:val="Hyperlink"/>
        </w:rPr>
        <w:t xml:space="preserve"> împotriva Ucrainei</w:t>
      </w:r>
      <w:r w:rsidR="00694606">
        <w:rPr>
          <w:rStyle w:val="Hyperlink"/>
        </w:rPr>
        <w:fldChar w:fldCharType="end"/>
      </w:r>
      <w:r>
        <w:rPr>
          <w:i/>
          <w:color w:val="0072BC" w:themeColor="hyperlink"/>
        </w:rPr>
        <w:t xml:space="preserve"> </w:t>
      </w:r>
      <w:r>
        <w:t xml:space="preserve">(dec.), 2009]. Totuși, în circumstanțele unei anumite cauze, un reclamant poate depune plângere fie cu privire la „condamnarea” sa sau unele aspecte ale „condamnării” (de exemplu, </w:t>
      </w:r>
      <w:hyperlink r:id="rId33" w:history="1">
        <w:proofErr w:type="spellStart"/>
        <w:r>
          <w:rPr>
            <w:rStyle w:val="Hyperlink"/>
          </w:rPr>
          <w:t>Rostovtsev</w:t>
        </w:r>
        <w:proofErr w:type="spellEnd"/>
        <w:r>
          <w:rPr>
            <w:rStyle w:val="Hyperlink"/>
          </w:rPr>
          <w:t xml:space="preserve"> împotriva Ucrainei</w:t>
        </w:r>
      </w:hyperlink>
      <w:r>
        <w:t xml:space="preserve">, 2017, pct. 30), fie cu privire la „pedeapsă”, inclusiv modurile de executare a acesteia (de exemplu, </w:t>
      </w:r>
      <w:hyperlink r:id="rId34" w:history="1">
        <w:proofErr w:type="spellStart"/>
        <w:r>
          <w:rPr>
            <w:rStyle w:val="Hyperlink"/>
          </w:rPr>
          <w:t>Tsvetkova</w:t>
        </w:r>
        <w:proofErr w:type="spellEnd"/>
        <w:r>
          <w:rPr>
            <w:rStyle w:val="Hyperlink"/>
          </w:rPr>
          <w:t xml:space="preserve"> și alții împotriva Rusiei</w:t>
        </w:r>
      </w:hyperlink>
      <w:r>
        <w:t xml:space="preserve">, 2018, pct. 179-191; și </w:t>
      </w:r>
      <w:hyperlink r:id="rId35" w:history="1">
        <w:proofErr w:type="spellStart"/>
        <w:r>
          <w:rPr>
            <w:rStyle w:val="Hyperlink"/>
          </w:rPr>
          <w:t>Martynyuk</w:t>
        </w:r>
        <w:proofErr w:type="spellEnd"/>
        <w:r>
          <w:rPr>
            <w:rStyle w:val="Hyperlink"/>
          </w:rPr>
          <w:t xml:space="preserve"> împotriva Rusiei</w:t>
        </w:r>
      </w:hyperlink>
      <w:r>
        <w:t>, 2019, pct. 37-43).</w:t>
      </w:r>
    </w:p>
    <w:p w14:paraId="65964A46" w14:textId="77777777" w:rsidR="00B85423" w:rsidRPr="00F042CF" w:rsidRDefault="00B85423" w:rsidP="00B85423">
      <w:pPr>
        <w:pStyle w:val="ECHRHeading3"/>
      </w:pPr>
      <w:bookmarkStart w:id="16" w:name="_Toc162525753"/>
      <w:r>
        <w:t>Decizie pronunțată de un „tribunal”</w:t>
      </w:r>
      <w:bookmarkEnd w:id="16"/>
    </w:p>
    <w:p w14:paraId="51AC445B"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8</w:t>
      </w:r>
      <w:r w:rsidRPr="00F042CF">
        <w:rPr>
          <w:rFonts w:cstheme="minorHAnsi"/>
        </w:rPr>
        <w:fldChar w:fldCharType="end"/>
      </w:r>
      <w:r>
        <w:t>.  Pentru ca dreptul la două grade de jurisdicție în temeiul art. 2 din Protocolul nr. 7 să se aplice, declarația de vinovăție sau condamnarea trebuie să fie pronunțată de un „tribunal”. Conform Raportului explicativ privind Protocolul nr. 7, termenul „tribunal” a fost folosit în textul art. 2 din Protocolul nr. 7 pentru a clarifica faptul că domeniul de aplicare al acestui articol nu se extinde la infracțiunile judecate de organisme care nu sunt instanțe în sensul art. 6 din Convenție.</w:t>
      </w:r>
      <w:r w:rsidRPr="00F042CF">
        <w:rPr>
          <w:rFonts w:cstheme="minorHAnsi"/>
          <w:vertAlign w:val="superscript"/>
        </w:rPr>
        <w:footnoteReference w:id="5"/>
      </w:r>
    </w:p>
    <w:p w14:paraId="58C74A99"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9</w:t>
      </w:r>
      <w:r w:rsidRPr="00F042CF">
        <w:rPr>
          <w:rFonts w:cstheme="minorHAnsi"/>
        </w:rPr>
        <w:fldChar w:fldCharType="end"/>
      </w:r>
      <w:r>
        <w:t xml:space="preserve">.  Curtea a constatat, de exemplu, că o autoritate administrativă locală care aplică amenzi pentru contravenții nu poate fi considerată „instanță” în sensul art. 6 § 1, astfel încât nu era un „tribunal” în </w:t>
      </w:r>
      <w:r>
        <w:lastRenderedPageBreak/>
        <w:t>sensul art. 2 din Protocolul nr. 7 [</w:t>
      </w:r>
      <w:proofErr w:type="spellStart"/>
      <w:r w:rsidR="00694606">
        <w:fldChar w:fldCharType="begin"/>
      </w:r>
      <w:r w:rsidR="00694606">
        <w:instrText xml:space="preserve"> HYPERLINK "https://hudoc.echr.coe.int/eng?i=001-4722" </w:instrText>
      </w:r>
      <w:r w:rsidR="00694606">
        <w:fldChar w:fldCharType="separate"/>
      </w:r>
      <w:r>
        <w:rPr>
          <w:rStyle w:val="Hyperlink"/>
        </w:rPr>
        <w:t>Hubner</w:t>
      </w:r>
      <w:proofErr w:type="spellEnd"/>
      <w:r>
        <w:rPr>
          <w:rStyle w:val="Hyperlink"/>
        </w:rPr>
        <w:t xml:space="preserve"> împotriva Austriei</w:t>
      </w:r>
      <w:r w:rsidR="00694606">
        <w:rPr>
          <w:rStyle w:val="Hyperlink"/>
        </w:rPr>
        <w:fldChar w:fldCharType="end"/>
      </w:r>
      <w:r>
        <w:t xml:space="preserve"> (dec.), 1999]. În cazul în care o decizie a fost într-adevăr pronunțată de un „tribunal”, art. 2 § 1 din Protocolul nr. 7 ar impune, prin urmare, ca aceasta să fie examinată de o „jurisdicție superioară” (</w:t>
      </w:r>
      <w:hyperlink r:id="rId36" w:history="1">
        <w:r>
          <w:rPr>
            <w:rStyle w:val="Hyperlink"/>
          </w:rPr>
          <w:t>Grecu împotriva României</w:t>
        </w:r>
      </w:hyperlink>
      <w:r>
        <w:t>, 2006, pct. 83-84).</w:t>
      </w:r>
    </w:p>
    <w:p w14:paraId="7085ACDD" w14:textId="77777777" w:rsidR="00B85423" w:rsidRPr="00F042CF" w:rsidRDefault="00B85423" w:rsidP="00B85423">
      <w:pPr>
        <w:pStyle w:val="ECHRHeading2"/>
        <w:spacing w:after="120"/>
      </w:pPr>
      <w:bookmarkStart w:id="17" w:name="_Toc162525754"/>
      <w:r>
        <w:t>Organizarea sistemului cu două grade de jurisdicție</w:t>
      </w:r>
      <w:bookmarkEnd w:id="17"/>
    </w:p>
    <w:p w14:paraId="53459FF5" w14:textId="77777777" w:rsidR="00B85423" w:rsidRPr="00F042CF" w:rsidRDefault="00B85423" w:rsidP="00B85423">
      <w:pPr>
        <w:pStyle w:val="ECHRHeading3"/>
      </w:pPr>
      <w:bookmarkStart w:id="18" w:name="_Toc162525755"/>
      <w:r>
        <w:t>Organul de control: „jurisdicția superioară”</w:t>
      </w:r>
      <w:bookmarkEnd w:id="18"/>
    </w:p>
    <w:p w14:paraId="311655A4"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10</w:t>
      </w:r>
      <w:r w:rsidRPr="00F042CF">
        <w:rPr>
          <w:rFonts w:cstheme="minorHAnsi"/>
        </w:rPr>
        <w:fldChar w:fldCharType="end"/>
      </w:r>
      <w:r>
        <w:t>.  Art. 2 din Protocolul nr. 7, atunci când este aplicabil, garantează o examinare a declarației de vinovăție sau a condamnării de către o „jurisdicție superioară”.</w:t>
      </w:r>
    </w:p>
    <w:p w14:paraId="40E05409"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11</w:t>
      </w:r>
      <w:r w:rsidRPr="00F042CF">
        <w:rPr>
          <w:rFonts w:cstheme="minorHAnsi"/>
        </w:rPr>
        <w:fldChar w:fldCharType="end"/>
      </w:r>
      <w:r>
        <w:t>.  „Jurisdicția superioară” trebuie să exercite control judecătoresc deplin și trebuie să fie considerată „instanță” în sensul art. 6 § 1 din Convenție</w:t>
      </w:r>
      <w:r w:rsidRPr="00F042CF">
        <w:rPr>
          <w:rFonts w:cstheme="minorHAnsi"/>
          <w:vertAlign w:val="superscript"/>
        </w:rPr>
        <w:footnoteReference w:id="6"/>
      </w:r>
      <w:r>
        <w:t xml:space="preserve"> (</w:t>
      </w:r>
      <w:hyperlink r:id="rId37" w:history="1">
        <w:r>
          <w:rPr>
            <w:rStyle w:val="Hyperlink"/>
          </w:rPr>
          <w:t>Grecu împotriva României</w:t>
        </w:r>
      </w:hyperlink>
      <w:r>
        <w:t>, 2006, pct. 83), astfel încât înțelesul termenului „instanță” de la art. 6 din Convenție să fie același pentru termenul „tribunal” de la art. 2 din Protocolul nr. 7 (</w:t>
      </w:r>
      <w:proofErr w:type="spellStart"/>
      <w:r w:rsidR="00694606">
        <w:fldChar w:fldCharType="begin"/>
      </w:r>
      <w:r w:rsidR="00694606">
        <w:instrText xml:space="preserve"> HYPERLINK "https://hudoc.echr.coe.int/fre?i=001-203699" </w:instrText>
      </w:r>
      <w:r w:rsidR="00694606">
        <w:fldChar w:fldCharType="separate"/>
      </w:r>
      <w:r>
        <w:rPr>
          <w:rStyle w:val="Hyperlink"/>
        </w:rPr>
        <w:t>Saquetti</w:t>
      </w:r>
      <w:proofErr w:type="spellEnd"/>
      <w:r>
        <w:rPr>
          <w:rStyle w:val="Hyperlink"/>
        </w:rPr>
        <w:t xml:space="preserve"> Iglesias împotriva Spaniei</w:t>
      </w:r>
      <w:r w:rsidR="00694606">
        <w:rPr>
          <w:rStyle w:val="Hyperlink"/>
        </w:rPr>
        <w:fldChar w:fldCharType="end"/>
      </w:r>
      <w:r>
        <w:t>, 2020, pct. 53).</w:t>
      </w:r>
    </w:p>
    <w:p w14:paraId="7904C6D7"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12</w:t>
      </w:r>
      <w:r w:rsidRPr="00F042CF">
        <w:rPr>
          <w:rFonts w:cstheme="minorHAnsi"/>
        </w:rPr>
        <w:fldChar w:fldCharType="end"/>
      </w:r>
      <w:r>
        <w:t xml:space="preserve">.  În cauza </w:t>
      </w:r>
      <w:hyperlink r:id="rId38" w:history="1">
        <w:proofErr w:type="spellStart"/>
        <w:r>
          <w:rPr>
            <w:rStyle w:val="Hyperlink"/>
          </w:rPr>
          <w:t>Zaicevs</w:t>
        </w:r>
        <w:proofErr w:type="spellEnd"/>
        <w:r>
          <w:rPr>
            <w:rStyle w:val="Hyperlink"/>
          </w:rPr>
          <w:t xml:space="preserve"> împotriva Letoniei</w:t>
        </w:r>
      </w:hyperlink>
      <w:r>
        <w:t>, 2007, pct. 54, Curtea a constatat că posibilele căi de atac sub forma unei cereri din partea unui terț adresate procurorului sau a unei cereri adresate președintelui jurisdicției superioare pentru revocarea ordonanței nu îndeplinesc cerințele art. 2 din Protocolul nr. 7 întrucât aceste organe nu sunt considerate a fi o „jurisdicție superioară” în cadrul sistemului național cu două grade de jurisdicție.</w:t>
      </w:r>
    </w:p>
    <w:p w14:paraId="474D23AF"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13</w:t>
      </w:r>
      <w:r w:rsidRPr="00F042CF">
        <w:rPr>
          <w:rFonts w:cstheme="minorHAnsi"/>
        </w:rPr>
        <w:fldChar w:fldCharType="end"/>
      </w:r>
      <w:r>
        <w:t xml:space="preserve">.  În mod similar, în cauza </w:t>
      </w:r>
      <w:hyperlink r:id="rId39" w:history="1">
        <w:proofErr w:type="spellStart"/>
        <w:r>
          <w:rPr>
            <w:rStyle w:val="Hyperlink"/>
          </w:rPr>
          <w:t>Gurepka</w:t>
        </w:r>
        <w:proofErr w:type="spellEnd"/>
        <w:r>
          <w:rPr>
            <w:rStyle w:val="Hyperlink"/>
          </w:rPr>
          <w:t xml:space="preserve"> împotriva Ucrainei</w:t>
        </w:r>
      </w:hyperlink>
      <w:r>
        <w:t>, 2005, pct. 60-61, Curtea a constatat că o cale extraordinară de atac, care putea fi inițiată doar de un procuror sau printr-o cerere a președintelui jurisdicției superioare, nu poate fi considerată adecvată din perspectiva art. 2 din Protocolul nr. 7.</w:t>
      </w:r>
    </w:p>
    <w:p w14:paraId="755EDAE5"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14</w:t>
      </w:r>
      <w:r w:rsidRPr="00F042CF">
        <w:rPr>
          <w:rFonts w:cstheme="minorHAnsi"/>
        </w:rPr>
        <w:fldChar w:fldCharType="end"/>
      </w:r>
      <w:r>
        <w:t xml:space="preserve">.  Curtea a ajuns la o concluzie similară în cauza </w:t>
      </w:r>
      <w:hyperlink r:id="rId40" w:history="1">
        <w:r>
          <w:rPr>
            <w:rStyle w:val="Hyperlink"/>
          </w:rPr>
          <w:t>Grecu împotriva României</w:t>
        </w:r>
      </w:hyperlink>
      <w:r>
        <w:t>, 2006, pct. 83-86, în care nu a existat o cale de atac împotriva deciziei pronunțate în primă instanță ca urmare a examinării ordonanțelor procurorului. Curtea a statuat că, din cauza lipsei de reglementare națională a căilor de atac împotriva deciziei judecătoriei competente să examineze plângerea împotriva unei ordonanțe a procurorului, reclamantul a fost lipsit de dreptul de a i se examina cauza penală de către un tribunal, ceea ce constituie o încălcare a art. 2 din Protocolul nr. 7. În plus, Curtea a remarcat că parchetul nu este o „instanță” în sensul art. 6 din Convenție.</w:t>
      </w:r>
      <w:bookmarkStart w:id="19" w:name="_Toc441568640"/>
      <w:bookmarkStart w:id="20" w:name="_Toc437417593"/>
      <w:bookmarkStart w:id="21" w:name="_Toc436833777"/>
      <w:bookmarkStart w:id="22" w:name="_Toc436741703"/>
      <w:bookmarkStart w:id="23" w:name="_Toc436664777"/>
      <w:bookmarkStart w:id="24" w:name="_Toc436664110"/>
    </w:p>
    <w:p w14:paraId="530079BA"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15</w:t>
      </w:r>
      <w:r w:rsidRPr="00F042CF">
        <w:rPr>
          <w:rFonts w:cstheme="minorHAnsi"/>
        </w:rPr>
        <w:fldChar w:fldCharType="end"/>
      </w:r>
      <w:r>
        <w:t xml:space="preserve">.  În cauza </w:t>
      </w:r>
      <w:hyperlink r:id="rId41" w:history="1">
        <w:proofErr w:type="spellStart"/>
        <w:r>
          <w:rPr>
            <w:rStyle w:val="Hyperlink"/>
          </w:rPr>
          <w:t>Saquetti</w:t>
        </w:r>
        <w:proofErr w:type="spellEnd"/>
        <w:r>
          <w:rPr>
            <w:rStyle w:val="Hyperlink"/>
          </w:rPr>
          <w:t xml:space="preserve"> Iglesias împotriva Spaniei</w:t>
        </w:r>
      </w:hyperlink>
      <w:r>
        <w:t xml:space="preserve">, 2020, pct. 52-57, făcând referire la Raportul explicativ privind Protocolul nr. 7, Curtea a reiterat că, deși instanțele de apel sau de casație pot fi caracterizate ca efectuând o „examinare de către o jurisdicție superioară” în sensul art. 2 din Protocolul nr. 7, acest lucru nu este clar în ceea ce privește curțile constituționale. În respectiva cauză, Curtea a examinat dacă rolul Curții Constituționale a Spaniei în ceea ce privește procedurile </w:t>
      </w:r>
      <w:proofErr w:type="spellStart"/>
      <w:r>
        <w:rPr>
          <w:i/>
          <w:iCs/>
        </w:rPr>
        <w:t>amparo</w:t>
      </w:r>
      <w:proofErr w:type="spellEnd"/>
      <w:r>
        <w:t xml:space="preserve"> îndeplinește cerințele „dreptului la două grade jurisdicție”. În lumina competențelor conferite Curții Constituționale a Spaniei – care s-au limitat la problema compatibilității </w:t>
      </w:r>
      <w:bookmarkStart w:id="25" w:name="lt_pId339"/>
      <w:r>
        <w:t>hotărârilor administrative sau judecătorești cu drepturile fundamentale relevante</w:t>
      </w:r>
      <w:bookmarkEnd w:id="25"/>
      <w:r>
        <w:t xml:space="preserve"> garantate de Constituție, fără posibilitatea unui control suplimentar al actelor instanțelor – Curtea a constatat că rolul Curții Constituționale în asigurarea celui de-al doilea grad de jurisdicție necesar nu era adecvat și a concluzionat că Curtea Constituțională nu poate fi considerată o jurisdicție superioară în sensul art. 2 din Protocolul nr. 7.</w:t>
      </w:r>
    </w:p>
    <w:p w14:paraId="544ABC32" w14:textId="77777777" w:rsidR="00B85423" w:rsidRPr="00F042CF" w:rsidRDefault="00B85423" w:rsidP="00B85423">
      <w:pPr>
        <w:pStyle w:val="ECHRHeading3"/>
      </w:pPr>
      <w:bookmarkStart w:id="26" w:name="_Toc162525756"/>
      <w:r>
        <w:t>Marja de apreciere în organizarea sistemului cu două grade de jurisdicție</w:t>
      </w:r>
      <w:bookmarkEnd w:id="26"/>
    </w:p>
    <w:p w14:paraId="5222AC05"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16</w:t>
      </w:r>
      <w:r w:rsidRPr="00F042CF">
        <w:rPr>
          <w:rFonts w:cstheme="minorHAnsi"/>
        </w:rPr>
        <w:fldChar w:fldCharType="end"/>
      </w:r>
      <w:r>
        <w:t>.  Curtea a reiterat faptul că statele beneficiază, în principiu, de o largă marjă de apreciere la stabilirea modului în care trebuie exercitat dreptul garantat de art. 2 din Protocolul nr. 7 (</w:t>
      </w:r>
      <w:hyperlink r:id="rId42" w:history="1">
        <w:r>
          <w:rPr>
            <w:rStyle w:val="Hyperlink"/>
          </w:rPr>
          <w:t>Krombach împotriva Franței</w:t>
        </w:r>
      </w:hyperlink>
      <w:r>
        <w:t xml:space="preserve">, 2001, pct. 96; </w:t>
      </w:r>
      <w:hyperlink r:id="rId43" w:history="1">
        <w:proofErr w:type="spellStart"/>
        <w:r>
          <w:rPr>
            <w:rStyle w:val="Hyperlink"/>
          </w:rPr>
          <w:t>Gurepka</w:t>
        </w:r>
        <w:proofErr w:type="spellEnd"/>
        <w:r>
          <w:rPr>
            <w:rStyle w:val="Hyperlink"/>
          </w:rPr>
          <w:t xml:space="preserve"> împotriva Ucrainei</w:t>
        </w:r>
      </w:hyperlink>
      <w:r>
        <w:t xml:space="preserve">, 2005, pct. 59; </w:t>
      </w:r>
      <w:hyperlink r:id="rId44" w:history="1">
        <w:proofErr w:type="spellStart"/>
        <w:r>
          <w:rPr>
            <w:rStyle w:val="Hyperlink"/>
          </w:rPr>
          <w:t>Galstyan</w:t>
        </w:r>
        <w:proofErr w:type="spellEnd"/>
        <w:r>
          <w:rPr>
            <w:rStyle w:val="Hyperlink"/>
          </w:rPr>
          <w:t xml:space="preserve"> împotriva Armeniei</w:t>
        </w:r>
      </w:hyperlink>
      <w:r>
        <w:t xml:space="preserve">, 2007, pct. 125; </w:t>
      </w:r>
      <w:hyperlink r:id="rId45" w:history="1">
        <w:proofErr w:type="spellStart"/>
        <w:r>
          <w:rPr>
            <w:rStyle w:val="Hyperlink"/>
          </w:rPr>
          <w:t>Natsvlishvili</w:t>
        </w:r>
        <w:proofErr w:type="spellEnd"/>
        <w:r>
          <w:rPr>
            <w:rStyle w:val="Hyperlink"/>
          </w:rPr>
          <w:t xml:space="preserve"> și </w:t>
        </w:r>
        <w:proofErr w:type="spellStart"/>
        <w:r>
          <w:rPr>
            <w:rStyle w:val="Hyperlink"/>
          </w:rPr>
          <w:t>Togonidze</w:t>
        </w:r>
        <w:proofErr w:type="spellEnd"/>
        <w:r>
          <w:rPr>
            <w:rStyle w:val="Hyperlink"/>
          </w:rPr>
          <w:t xml:space="preserve"> împotriva Georgiei</w:t>
        </w:r>
      </w:hyperlink>
      <w:r>
        <w:t xml:space="preserve">, 2014, pct. 96; </w:t>
      </w:r>
      <w:hyperlink r:id="rId46" w:history="1">
        <w:proofErr w:type="spellStart"/>
        <w:r>
          <w:rPr>
            <w:rStyle w:val="Hyperlink"/>
          </w:rPr>
          <w:t>Shvydka</w:t>
        </w:r>
        <w:proofErr w:type="spellEnd"/>
        <w:r>
          <w:rPr>
            <w:rStyle w:val="Hyperlink"/>
          </w:rPr>
          <w:t xml:space="preserve"> împotriva Ucrainei</w:t>
        </w:r>
      </w:hyperlink>
      <w:r>
        <w:t xml:space="preserve">, 2014, pct. 48; </w:t>
      </w:r>
      <w:hyperlink r:id="rId47" w:history="1">
        <w:r>
          <w:rPr>
            <w:rStyle w:val="Hyperlink"/>
          </w:rPr>
          <w:t xml:space="preserve">Ruslan </w:t>
        </w:r>
        <w:proofErr w:type="spellStart"/>
        <w:r>
          <w:rPr>
            <w:rStyle w:val="Hyperlink"/>
          </w:rPr>
          <w:t>Yakovenko</w:t>
        </w:r>
        <w:proofErr w:type="spellEnd"/>
        <w:r>
          <w:rPr>
            <w:rStyle w:val="Hyperlink"/>
          </w:rPr>
          <w:t xml:space="preserve"> împotriva Ucrainei</w:t>
        </w:r>
      </w:hyperlink>
      <w:r>
        <w:t xml:space="preserve">, 2015, pct. 76; </w:t>
      </w:r>
      <w:hyperlink r:id="rId48" w:history="1">
        <w:proofErr w:type="spellStart"/>
        <w:r>
          <w:rPr>
            <w:rStyle w:val="Hyperlink"/>
          </w:rPr>
          <w:t>Rostovtsev</w:t>
        </w:r>
        <w:proofErr w:type="spellEnd"/>
        <w:r>
          <w:rPr>
            <w:rStyle w:val="Hyperlink"/>
          </w:rPr>
          <w:t xml:space="preserve"> </w:t>
        </w:r>
        <w:r>
          <w:rPr>
            <w:rStyle w:val="Hyperlink"/>
          </w:rPr>
          <w:lastRenderedPageBreak/>
          <w:t>împotriva Ucrainei</w:t>
        </w:r>
      </w:hyperlink>
      <w:r>
        <w:t xml:space="preserve">, 2017, pct. 27; </w:t>
      </w:r>
      <w:hyperlink r:id="rId49" w:history="1">
        <w:r>
          <w:rPr>
            <w:rStyle w:val="Hyperlink"/>
          </w:rPr>
          <w:t>Y.B. împotriva Rusiei</w:t>
        </w:r>
      </w:hyperlink>
      <w:r>
        <w:t>, 2021, pct. 40). Cu alte cuvinte, art. 2 din Protocolul nr. 7 lasă ca modalitățile de exercitare a acestui drept și motivele pentru care acesta poate fi exercitat să fie stabilite de legea națională.</w:t>
      </w:r>
      <w:r w:rsidRPr="00F042CF">
        <w:rPr>
          <w:rFonts w:cstheme="minorHAnsi"/>
          <w:vertAlign w:val="superscript"/>
        </w:rPr>
        <w:footnoteReference w:id="7"/>
      </w:r>
    </w:p>
    <w:p w14:paraId="172E1E33"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17</w:t>
      </w:r>
      <w:r w:rsidRPr="00F042CF">
        <w:rPr>
          <w:rFonts w:cstheme="minorHAnsi"/>
        </w:rPr>
        <w:fldChar w:fldCharType="end"/>
      </w:r>
      <w:r>
        <w:t>.  Prin urmare, statele pot să prevadă fie că domeniul de aplicare al examinării de către jurisdicția superioară a unei declarații de vinovăție sau a unei condamnări cuprinde chestiuni atât de fapt, cât și de drept, fie că se limitează exclusiv la chestiuni de drept (</w:t>
      </w:r>
      <w:hyperlink r:id="rId50" w:history="1">
        <w:r>
          <w:rPr>
            <w:rStyle w:val="Hyperlink"/>
          </w:rPr>
          <w:t>Krombach împotriva Franței</w:t>
        </w:r>
      </w:hyperlink>
      <w:r>
        <w:t xml:space="preserve">, 2001, pct. 96; </w:t>
      </w:r>
      <w:hyperlink r:id="rId51" w:history="1">
        <w:r>
          <w:rPr>
            <w:rStyle w:val="Hyperlink"/>
          </w:rPr>
          <w:t>Müller împotriva Austriei</w:t>
        </w:r>
      </w:hyperlink>
      <w:r>
        <w:t xml:space="preserve">, 2006, pct. 25; </w:t>
      </w:r>
      <w:hyperlink r:id="rId52" w:history="1">
        <w:proofErr w:type="spellStart"/>
        <w:r>
          <w:rPr>
            <w:rStyle w:val="Hyperlink"/>
          </w:rPr>
          <w:t>Shvydka</w:t>
        </w:r>
        <w:proofErr w:type="spellEnd"/>
        <w:r>
          <w:rPr>
            <w:rStyle w:val="Hyperlink"/>
          </w:rPr>
          <w:t xml:space="preserve"> împotriva Ucrainei</w:t>
        </w:r>
      </w:hyperlink>
      <w:r>
        <w:t xml:space="preserve">, 2014, pct. 49; </w:t>
      </w:r>
      <w:hyperlink r:id="rId53" w:history="1">
        <w:proofErr w:type="spellStart"/>
        <w:r>
          <w:rPr>
            <w:rStyle w:val="Hyperlink"/>
          </w:rPr>
          <w:t>Rostovtsev</w:t>
        </w:r>
        <w:proofErr w:type="spellEnd"/>
        <w:r>
          <w:rPr>
            <w:rStyle w:val="Hyperlink"/>
          </w:rPr>
          <w:t xml:space="preserve"> împotriva Ucrainei</w:t>
        </w:r>
      </w:hyperlink>
      <w:r>
        <w:t xml:space="preserve">, 2017, pct. 27; </w:t>
      </w:r>
      <w:hyperlink r:id="rId54" w:history="1">
        <w:r>
          <w:rPr>
            <w:rStyle w:val="Hyperlink"/>
          </w:rPr>
          <w:t>Y.B. împotriva Rusiei</w:t>
        </w:r>
      </w:hyperlink>
      <w:r>
        <w:t>, 2021, pct. 40). În plus, justițiabilul care dorește examinarea cauzei în al doilea grad de jurisdicție poate fi uneori obligat să solicite permisiunea în acest sens, iar în anumite cazuri, însăși cererea de autorizare pentru a exercita o cale de atac poate fi considerată o formă adecvată de examinare în sensul art. 2 din Protocolul nr. 7</w:t>
      </w:r>
      <w:r w:rsidRPr="00F042CF">
        <w:rPr>
          <w:rFonts w:cstheme="minorHAnsi"/>
          <w:vertAlign w:val="superscript"/>
        </w:rPr>
        <w:footnoteReference w:id="8"/>
      </w:r>
      <w:r>
        <w:t>. Totuși, orice restrângeri incluse în legea națională privind exercitarea dreptului consacrat de art. 2 din Protocolul nr. 7 trebuie, prin analogie cu dreptul de acces la o instanță garantat de art. 6 § 1, să urmărească un scop legitim și să nu aducă atingere înseși esenței dreptului respectiv (</w:t>
      </w:r>
      <w:hyperlink r:id="rId55" w:history="1">
        <w:r>
          <w:rPr>
            <w:rStyle w:val="Hyperlink"/>
          </w:rPr>
          <w:t>Krombach împotriva Franței</w:t>
        </w:r>
      </w:hyperlink>
      <w:r>
        <w:t xml:space="preserve">, 2001, pct. 96; </w:t>
      </w:r>
      <w:hyperlink r:id="rId56" w:history="1">
        <w:proofErr w:type="spellStart"/>
        <w:r>
          <w:rPr>
            <w:rStyle w:val="Hyperlink"/>
          </w:rPr>
          <w:t>Gurepka</w:t>
        </w:r>
        <w:proofErr w:type="spellEnd"/>
        <w:r>
          <w:rPr>
            <w:rStyle w:val="Hyperlink"/>
          </w:rPr>
          <w:t xml:space="preserve"> împotriva Ucrainei</w:t>
        </w:r>
      </w:hyperlink>
      <w:r>
        <w:t xml:space="preserve">, 2005, pct. 59; </w:t>
      </w:r>
      <w:hyperlink r:id="rId57" w:history="1">
        <w:proofErr w:type="spellStart"/>
        <w:r>
          <w:rPr>
            <w:rStyle w:val="Hyperlink"/>
          </w:rPr>
          <w:t>Galstyan</w:t>
        </w:r>
        <w:proofErr w:type="spellEnd"/>
        <w:r>
          <w:rPr>
            <w:rStyle w:val="Hyperlink"/>
          </w:rPr>
          <w:t xml:space="preserve"> împotriva Armeniei</w:t>
        </w:r>
      </w:hyperlink>
      <w:r>
        <w:t xml:space="preserve">, 2007, pct. 125; </w:t>
      </w:r>
      <w:hyperlink r:id="rId58" w:history="1">
        <w:proofErr w:type="spellStart"/>
        <w:r>
          <w:rPr>
            <w:rStyle w:val="Hyperlink"/>
          </w:rPr>
          <w:t>Shvydka</w:t>
        </w:r>
        <w:proofErr w:type="spellEnd"/>
        <w:r>
          <w:rPr>
            <w:rStyle w:val="Hyperlink"/>
          </w:rPr>
          <w:t xml:space="preserve"> împotriva Ucrainei</w:t>
        </w:r>
      </w:hyperlink>
      <w:r>
        <w:t xml:space="preserve">, 2014, pct. 49; </w:t>
      </w:r>
      <w:hyperlink r:id="rId59" w:history="1">
        <w:r>
          <w:rPr>
            <w:rStyle w:val="Hyperlink"/>
          </w:rPr>
          <w:t xml:space="preserve">Ruslan </w:t>
        </w:r>
        <w:proofErr w:type="spellStart"/>
        <w:r>
          <w:rPr>
            <w:rStyle w:val="Hyperlink"/>
          </w:rPr>
          <w:t>Yakovenko</w:t>
        </w:r>
        <w:proofErr w:type="spellEnd"/>
        <w:r>
          <w:rPr>
            <w:rStyle w:val="Hyperlink"/>
          </w:rPr>
          <w:t xml:space="preserve"> împotriva Ucrainei</w:t>
        </w:r>
      </w:hyperlink>
      <w:r>
        <w:t xml:space="preserve">, 2015, pct. 78; </w:t>
      </w:r>
      <w:hyperlink r:id="rId60" w:history="1">
        <w:proofErr w:type="spellStart"/>
        <w:r>
          <w:rPr>
            <w:rStyle w:val="Hyperlink"/>
          </w:rPr>
          <w:t>Rostovtsev</w:t>
        </w:r>
        <w:proofErr w:type="spellEnd"/>
        <w:r>
          <w:rPr>
            <w:rStyle w:val="Hyperlink"/>
          </w:rPr>
          <w:t xml:space="preserve"> împotriva Ucrainei</w:t>
        </w:r>
      </w:hyperlink>
      <w:r>
        <w:t xml:space="preserve">, 2017, pct. 27; </w:t>
      </w:r>
      <w:hyperlink r:id="rId61" w:history="1">
        <w:r>
          <w:rPr>
            <w:rStyle w:val="Hyperlink"/>
          </w:rPr>
          <w:t>Y.B. împotriva Rusiei</w:t>
        </w:r>
      </w:hyperlink>
      <w:r>
        <w:t>, 2021, pct. 40).</w:t>
      </w:r>
    </w:p>
    <w:p w14:paraId="5F4950F5"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18</w:t>
      </w:r>
      <w:r w:rsidRPr="00F042CF">
        <w:rPr>
          <w:rFonts w:cstheme="minorHAnsi"/>
        </w:rPr>
        <w:fldChar w:fldCharType="end"/>
      </w:r>
      <w:r>
        <w:t xml:space="preserve">.  Astfel, de exemplu, în cauza </w:t>
      </w:r>
      <w:hyperlink r:id="rId62" w:history="1">
        <w:proofErr w:type="spellStart"/>
        <w:r>
          <w:rPr>
            <w:rStyle w:val="Hyperlink"/>
          </w:rPr>
          <w:t>Saquetti</w:t>
        </w:r>
        <w:proofErr w:type="spellEnd"/>
        <w:r>
          <w:rPr>
            <w:rStyle w:val="Hyperlink"/>
          </w:rPr>
          <w:t xml:space="preserve"> Iglesias împotriva Spaniei</w:t>
        </w:r>
      </w:hyperlink>
      <w:r>
        <w:t>, 2020, pct. 60-61, Curtea a constatat că limitarea posibilității reclamantului de a contesta condamnarea sa numai în fața Curții Constituționale (care nu putea fi considerată „jurisdicție superioară” în sensul art. 2 din Protocolul nr. 7) l-a împiedicat pe reclamant să obțină examinarea, de către o jurisdicție superioară, a deciziei pronunțate împotriva sa și a adus atingere înseși esenței dreptului garantat de art. 2 din Protocolul nr. 7, depășind astfel marja de apreciere acordată statului.</w:t>
      </w:r>
    </w:p>
    <w:p w14:paraId="1AB3BD51" w14:textId="77777777" w:rsidR="00B85423" w:rsidRPr="00F042CF" w:rsidRDefault="00B85423" w:rsidP="00B85423">
      <w:pPr>
        <w:pStyle w:val="ECHRHeading3"/>
        <w:numPr>
          <w:ilvl w:val="2"/>
          <w:numId w:val="5"/>
        </w:numPr>
      </w:pPr>
      <w:bookmarkStart w:id="28" w:name="_Toc162525757"/>
      <w:r>
        <w:t>Eficacitatea examinării</w:t>
      </w:r>
      <w:bookmarkEnd w:id="28"/>
    </w:p>
    <w:p w14:paraId="7C729EFE" w14:textId="77777777" w:rsidR="00B85423" w:rsidRPr="00F042CF" w:rsidRDefault="00B85423" w:rsidP="00B85423">
      <w:pPr>
        <w:pStyle w:val="ECHRParaSpaced"/>
        <w:rPr>
          <w:rFonts w:cstheme="minorHAnsi"/>
        </w:rPr>
      </w:pPr>
      <w:r w:rsidRPr="00F042CF">
        <w:rPr>
          <w:rFonts w:cstheme="minorHAnsi"/>
          <w:color w:val="000000"/>
        </w:rPr>
        <w:fldChar w:fldCharType="begin"/>
      </w:r>
      <w:r w:rsidRPr="00F042CF">
        <w:rPr>
          <w:rFonts w:cstheme="minorHAnsi"/>
          <w:color w:val="000000"/>
        </w:rPr>
        <w:instrText xml:space="preserve"> SEQ level0 \*arabic \* MERGEFORMAT </w:instrText>
      </w:r>
      <w:r w:rsidRPr="00F042CF">
        <w:rPr>
          <w:rFonts w:cstheme="minorHAnsi"/>
          <w:color w:val="000000"/>
        </w:rPr>
        <w:fldChar w:fldCharType="separate"/>
      </w:r>
      <w:r w:rsidR="00852EF6">
        <w:rPr>
          <w:rFonts w:cstheme="minorHAnsi"/>
          <w:noProof/>
          <w:color w:val="000000"/>
        </w:rPr>
        <w:t>19</w:t>
      </w:r>
      <w:r w:rsidRPr="00F042CF">
        <w:rPr>
          <w:rFonts w:cstheme="minorHAnsi"/>
          <w:color w:val="000000"/>
        </w:rPr>
        <w:fldChar w:fldCharType="end"/>
      </w:r>
      <w:r>
        <w:rPr>
          <w:color w:val="000000"/>
        </w:rPr>
        <w:t>.  </w:t>
      </w:r>
      <w:r>
        <w:t>Art. 2 din Protocolul nr. 7 reglementează în principal chestiuni instituționale, ca de exemplu accesibilitatea instanței de apel sau sfera de aplicare a controlului exercitat de o astfel de jurisdicție (</w:t>
      </w:r>
      <w:proofErr w:type="spellStart"/>
      <w:r w:rsidR="00694606">
        <w:fldChar w:fldCharType="begin"/>
      </w:r>
      <w:r w:rsidR="00694606">
        <w:instrText xml:space="preserve"> HYPERLINK "https://hudoc.echr.coe.int/fre?i=001-147445" </w:instrText>
      </w:r>
      <w:r w:rsidR="00694606">
        <w:fldChar w:fldCharType="separate"/>
      </w:r>
      <w:r>
        <w:rPr>
          <w:rStyle w:val="Hyperlink"/>
        </w:rPr>
        <w:t>Shvydka</w:t>
      </w:r>
      <w:proofErr w:type="spellEnd"/>
      <w:r>
        <w:rPr>
          <w:rStyle w:val="Hyperlink"/>
        </w:rPr>
        <w:t xml:space="preserve"> împotriva Ucrainei</w:t>
      </w:r>
      <w:r w:rsidR="00694606">
        <w:rPr>
          <w:rStyle w:val="Hyperlink"/>
        </w:rPr>
        <w:fldChar w:fldCharType="end"/>
      </w:r>
      <w:r>
        <w:t xml:space="preserve">, 2014, pct. 49; </w:t>
      </w:r>
      <w:hyperlink r:id="rId63" w:history="1">
        <w:r>
          <w:rPr>
            <w:rStyle w:val="Hyperlink"/>
          </w:rPr>
          <w:t xml:space="preserve">Ruslan </w:t>
        </w:r>
        <w:proofErr w:type="spellStart"/>
        <w:r>
          <w:rPr>
            <w:rStyle w:val="Hyperlink"/>
          </w:rPr>
          <w:t>Yakovenko</w:t>
        </w:r>
        <w:proofErr w:type="spellEnd"/>
        <w:r>
          <w:rPr>
            <w:rStyle w:val="Hyperlink"/>
          </w:rPr>
          <w:t xml:space="preserve"> împotriva Ucrainei</w:t>
        </w:r>
      </w:hyperlink>
      <w:r>
        <w:t xml:space="preserve">, 2015, pct. 77; </w:t>
      </w:r>
      <w:hyperlink r:id="rId64" w:history="1">
        <w:proofErr w:type="spellStart"/>
        <w:r>
          <w:rPr>
            <w:rStyle w:val="Hyperlink"/>
          </w:rPr>
          <w:t>Fırat</w:t>
        </w:r>
        <w:proofErr w:type="spellEnd"/>
        <w:r>
          <w:rPr>
            <w:rStyle w:val="Hyperlink"/>
          </w:rPr>
          <w:t xml:space="preserve"> împotriva Greciei</w:t>
        </w:r>
      </w:hyperlink>
      <w:r>
        <w:t>, 2017, pct. 37).</w:t>
      </w:r>
    </w:p>
    <w:p w14:paraId="544A7CEB"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20</w:t>
      </w:r>
      <w:r w:rsidRPr="00F042CF">
        <w:rPr>
          <w:rFonts w:cstheme="minorHAnsi"/>
        </w:rPr>
        <w:fldChar w:fldCharType="end"/>
      </w:r>
      <w:r>
        <w:t>.  În cazul în care există dreptul la o examinare în temeiul art. 2 din Protocolul nr. 7, acesta ar trebui să fie efectiv (</w:t>
      </w:r>
      <w:proofErr w:type="spellStart"/>
      <w:r w:rsidR="00694606">
        <w:fldChar w:fldCharType="begin"/>
      </w:r>
      <w:r w:rsidR="00694606">
        <w:instrText xml:space="preserve"> HYPERLINK "https://hudoc.echr.coe.int/fre?i=001-147445" </w:instrText>
      </w:r>
      <w:r w:rsidR="00694606">
        <w:fldChar w:fldCharType="separate"/>
      </w:r>
      <w:r>
        <w:rPr>
          <w:rStyle w:val="Hyperlink"/>
        </w:rPr>
        <w:t>Shvydka</w:t>
      </w:r>
      <w:proofErr w:type="spellEnd"/>
      <w:r>
        <w:rPr>
          <w:rStyle w:val="Hyperlink"/>
        </w:rPr>
        <w:t xml:space="preserve"> împotriva Ucrainei</w:t>
      </w:r>
      <w:r w:rsidR="00694606">
        <w:rPr>
          <w:rStyle w:val="Hyperlink"/>
        </w:rPr>
        <w:fldChar w:fldCharType="end"/>
      </w:r>
      <w:r>
        <w:t>, 2014, pct. 50): pentru ca examinarea să fie eficientă, aceasta trebuie să fie independentă de orice acțiune discreționară din partea autorităților și trebuie să fie accesibilă în mod direct celor interesați (</w:t>
      </w:r>
      <w:proofErr w:type="spellStart"/>
      <w:r w:rsidR="00694606">
        <w:fldChar w:fldCharType="begin"/>
      </w:r>
      <w:r w:rsidR="00694606">
        <w:instrText xml:space="preserve"> HYPERLINK "https://hudoc.echr.coe.int/fre?i=001-70094" </w:instrText>
      </w:r>
      <w:r w:rsidR="00694606">
        <w:fldChar w:fldCharType="separate"/>
      </w:r>
      <w:r>
        <w:rPr>
          <w:rStyle w:val="Hyperlink"/>
        </w:rPr>
        <w:t>Gurepka</w:t>
      </w:r>
      <w:proofErr w:type="spellEnd"/>
      <w:r>
        <w:rPr>
          <w:rStyle w:val="Hyperlink"/>
        </w:rPr>
        <w:t xml:space="preserve"> împotriva Ucrainei</w:t>
      </w:r>
      <w:r w:rsidR="00694606">
        <w:rPr>
          <w:rStyle w:val="Hyperlink"/>
        </w:rPr>
        <w:fldChar w:fldCharType="end"/>
      </w:r>
      <w:r>
        <w:t>, 2005, pct. 59).</w:t>
      </w:r>
    </w:p>
    <w:p w14:paraId="48A72CF2" w14:textId="77777777" w:rsidR="00B85423" w:rsidRPr="00F042CF" w:rsidRDefault="00B85423" w:rsidP="00B85423">
      <w:pPr>
        <w:pStyle w:val="ECHRParaSpaced"/>
        <w:rPr>
          <w:rFonts w:asciiTheme="majorHAnsi" w:hAnsiTheme="majorHAnsi" w:cstheme="majorHAnsi"/>
        </w:rPr>
      </w:pPr>
      <w:r w:rsidRPr="00F042CF">
        <w:rPr>
          <w:rFonts w:asciiTheme="majorHAnsi" w:hAnsiTheme="majorHAnsi" w:cstheme="majorHAnsi"/>
        </w:rPr>
        <w:fldChar w:fldCharType="begin"/>
      </w:r>
      <w:r w:rsidRPr="00F042CF">
        <w:rPr>
          <w:rFonts w:asciiTheme="majorHAnsi" w:hAnsiTheme="majorHAnsi" w:cstheme="majorHAnsi"/>
        </w:rPr>
        <w:instrText xml:space="preserve"> SEQ level0 \*arabic \* MERGEFORMAT </w:instrText>
      </w:r>
      <w:r w:rsidRPr="00F042CF">
        <w:rPr>
          <w:rFonts w:asciiTheme="majorHAnsi" w:hAnsiTheme="majorHAnsi" w:cstheme="majorHAnsi"/>
        </w:rPr>
        <w:fldChar w:fldCharType="separate"/>
      </w:r>
      <w:r w:rsidR="00852EF6">
        <w:rPr>
          <w:rFonts w:asciiTheme="majorHAnsi" w:hAnsiTheme="majorHAnsi" w:cstheme="majorHAnsi"/>
          <w:noProof/>
        </w:rPr>
        <w:t>21</w:t>
      </w:r>
      <w:r w:rsidRPr="00F042CF">
        <w:rPr>
          <w:rFonts w:asciiTheme="majorHAnsi" w:hAnsiTheme="majorHAnsi" w:cstheme="majorHAnsi"/>
        </w:rPr>
        <w:fldChar w:fldCharType="end"/>
      </w:r>
      <w:r>
        <w:rPr>
          <w:rFonts w:asciiTheme="majorHAnsi" w:hAnsiTheme="majorHAnsi"/>
        </w:rPr>
        <w:t>.  </w:t>
      </w:r>
      <w:r>
        <w:t>În cauza</w:t>
      </w:r>
      <w:r>
        <w:rPr>
          <w:rFonts w:asciiTheme="majorHAnsi" w:hAnsiTheme="majorHAnsi"/>
        </w:rPr>
        <w:t xml:space="preserve"> </w:t>
      </w:r>
      <w:hyperlink r:id="rId65" w:history="1">
        <w:proofErr w:type="spellStart"/>
        <w:r>
          <w:rPr>
            <w:rStyle w:val="Hyperlink"/>
            <w:rFonts w:asciiTheme="majorHAnsi" w:hAnsiTheme="majorHAnsi"/>
          </w:rPr>
          <w:t>Kamburov</w:t>
        </w:r>
        <w:proofErr w:type="spellEnd"/>
        <w:r>
          <w:rPr>
            <w:rStyle w:val="Hyperlink"/>
            <w:rFonts w:asciiTheme="majorHAnsi" w:hAnsiTheme="majorHAnsi"/>
          </w:rPr>
          <w:t xml:space="preserve"> împotriva Bulgariei</w:t>
        </w:r>
      </w:hyperlink>
      <w:r>
        <w:rPr>
          <w:rFonts w:asciiTheme="majorHAnsi" w:hAnsiTheme="majorHAnsi"/>
        </w:rPr>
        <w:t xml:space="preserve">, 2009, pct. 24, Curtea a statuat că procedura de examinare nu îndeplinea cerințele prevăzute de art. 2 din Protocolul nr. 7 întrucât nu era direct accesibilă reclamantului. </w:t>
      </w:r>
      <w:r>
        <w:t xml:space="preserve">În cauza </w:t>
      </w:r>
      <w:hyperlink r:id="rId66" w:history="1">
        <w:proofErr w:type="spellStart"/>
        <w:r>
          <w:rPr>
            <w:rStyle w:val="Hyperlink"/>
          </w:rPr>
          <w:t>Gurepka</w:t>
        </w:r>
        <w:proofErr w:type="spellEnd"/>
        <w:r>
          <w:rPr>
            <w:rStyle w:val="Hyperlink"/>
          </w:rPr>
          <w:t xml:space="preserve"> împotriva Ucrainei</w:t>
        </w:r>
      </w:hyperlink>
      <w:r>
        <w:t>, 2005, pct. 57-61, reclamantul s-a plâns că nu dispunea de nicio cale de atac efectivă pentru plângerea sa referitoare la pedeapsa sa constând în arestare administrativă și detenție.</w:t>
      </w:r>
      <w:r>
        <w:rPr>
          <w:rFonts w:asciiTheme="majorHAnsi" w:hAnsiTheme="majorHAnsi"/>
        </w:rPr>
        <w:t xml:space="preserve"> Considerând că procedura corespunzătoare celui de al doilea grad de jurisdicție nu era accesibilă în mod direct reclamantului și nu a fost inițiată din propria inițiativă a acestuia, Curtea a statuat că simplul fapt că o astfel de procedură de examinare a avut un oarecare impact pozitiv, deși temporar, asupra situației reclamantului (suspendarea executării pedepsei) nu era în sine suficient pentru a concluziona că respectiva cale de atac constituia o cale de atac efectivă care îndeplinește cerințele prevăzute de art. 2 din Protocolul nr. 7.</w:t>
      </w:r>
    </w:p>
    <w:p w14:paraId="50741721" w14:textId="77777777" w:rsidR="00B85423" w:rsidRPr="00F042CF" w:rsidRDefault="00B85423" w:rsidP="00B85423">
      <w:pPr>
        <w:pStyle w:val="ECHRParaSpaced"/>
        <w:rPr>
          <w:rFonts w:asciiTheme="majorHAnsi" w:hAnsiTheme="majorHAnsi" w:cstheme="majorHAnsi"/>
        </w:rPr>
      </w:pPr>
      <w:r w:rsidRPr="00F042CF">
        <w:rPr>
          <w:rFonts w:asciiTheme="majorHAnsi" w:hAnsiTheme="majorHAnsi" w:cstheme="majorHAnsi"/>
        </w:rPr>
        <w:fldChar w:fldCharType="begin"/>
      </w:r>
      <w:r w:rsidRPr="00F042CF">
        <w:rPr>
          <w:rFonts w:asciiTheme="majorHAnsi" w:hAnsiTheme="majorHAnsi" w:cstheme="majorHAnsi"/>
        </w:rPr>
        <w:instrText xml:space="preserve"> SEQ level0 \*arabic \* MERGEFORMAT </w:instrText>
      </w:r>
      <w:r w:rsidRPr="00F042CF">
        <w:rPr>
          <w:rFonts w:asciiTheme="majorHAnsi" w:hAnsiTheme="majorHAnsi" w:cstheme="majorHAnsi"/>
        </w:rPr>
        <w:fldChar w:fldCharType="separate"/>
      </w:r>
      <w:r w:rsidR="00852EF6">
        <w:rPr>
          <w:rFonts w:asciiTheme="majorHAnsi" w:hAnsiTheme="majorHAnsi" w:cstheme="majorHAnsi"/>
          <w:noProof/>
        </w:rPr>
        <w:t>22</w:t>
      </w:r>
      <w:r w:rsidRPr="00F042CF">
        <w:rPr>
          <w:rFonts w:asciiTheme="majorHAnsi" w:hAnsiTheme="majorHAnsi" w:cstheme="majorHAnsi"/>
        </w:rPr>
        <w:fldChar w:fldCharType="end"/>
      </w:r>
      <w:r>
        <w:rPr>
          <w:rFonts w:asciiTheme="majorHAnsi" w:hAnsiTheme="majorHAnsi"/>
        </w:rPr>
        <w:t>.  </w:t>
      </w:r>
      <w:r>
        <w:t>Curtea a ajuns la concluzii similare și în alte două cauze pe această temă</w:t>
      </w:r>
      <w:r>
        <w:rPr>
          <w:rFonts w:asciiTheme="majorHAnsi" w:hAnsiTheme="majorHAnsi"/>
        </w:rPr>
        <w:t xml:space="preserve">, </w:t>
      </w:r>
      <w:hyperlink r:id="rId67" w:history="1">
        <w:proofErr w:type="spellStart"/>
        <w:r>
          <w:rPr>
            <w:rStyle w:val="Hyperlink"/>
          </w:rPr>
          <w:t>Galstyan</w:t>
        </w:r>
        <w:proofErr w:type="spellEnd"/>
        <w:r>
          <w:rPr>
            <w:rStyle w:val="Hyperlink"/>
          </w:rPr>
          <w:t xml:space="preserve"> împotriva Armeniei</w:t>
        </w:r>
      </w:hyperlink>
      <w:r>
        <w:rPr>
          <w:rFonts w:asciiTheme="majorHAnsi" w:hAnsiTheme="majorHAnsi"/>
          <w:color w:val="0072BC" w:themeColor="hyperlink"/>
        </w:rPr>
        <w:t xml:space="preserve">, </w:t>
      </w:r>
      <w:r>
        <w:rPr>
          <w:rFonts w:asciiTheme="majorHAnsi" w:hAnsiTheme="majorHAnsi"/>
        </w:rPr>
        <w:t xml:space="preserve">2007, pct. 124-127, și </w:t>
      </w:r>
      <w:hyperlink r:id="rId68" w:history="1">
        <w:proofErr w:type="spellStart"/>
        <w:r>
          <w:rPr>
            <w:rStyle w:val="Hyperlink"/>
          </w:rPr>
          <w:t>Kakabadze</w:t>
        </w:r>
        <w:proofErr w:type="spellEnd"/>
        <w:r>
          <w:rPr>
            <w:rStyle w:val="Hyperlink"/>
          </w:rPr>
          <w:t xml:space="preserve"> și alții împotriva Georgiei</w:t>
        </w:r>
      </w:hyperlink>
      <w:r>
        <w:rPr>
          <w:rFonts w:asciiTheme="majorHAnsi" w:hAnsiTheme="majorHAnsi"/>
        </w:rPr>
        <w:t xml:space="preserve">, 2012, pct. 97-98, în care procedura internă de examinare extraordinară depindea de puterea discreționară a autorităților </w:t>
      </w:r>
      <w:r>
        <w:rPr>
          <w:rFonts w:asciiTheme="majorHAnsi" w:hAnsiTheme="majorHAnsi"/>
        </w:rPr>
        <w:lastRenderedPageBreak/>
        <w:t>naționale și nu era guvernată de reguli sau termene clar definite. Curtea nu a considerat că aceasta constituia o cale efectivă în sensul art. 2 din Protocolul nr. 7.</w:t>
      </w:r>
    </w:p>
    <w:p w14:paraId="10A83751" w14:textId="77777777" w:rsidR="00B85423" w:rsidRPr="00F042CF" w:rsidRDefault="00B85423" w:rsidP="00B85423">
      <w:pPr>
        <w:pStyle w:val="ECHRParaSpaced"/>
        <w:rPr>
          <w:rFonts w:cstheme="minorHAnsi"/>
          <w:color w:val="000000"/>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23</w:t>
      </w:r>
      <w:r w:rsidRPr="00F042CF">
        <w:rPr>
          <w:rFonts w:cstheme="minorHAnsi"/>
        </w:rPr>
        <w:fldChar w:fldCharType="end"/>
      </w:r>
      <w:r>
        <w:t>.  Curtea a constatat că o examinare în temeiul art. 2 din Protocolul nr. 7 trebuie să prevadă posibilitatea de a remedia orice deficiențe în etapa judecății sau a stabilirii pedepselor după ce acestea s-au încheiat cu o condamnare. Astfel, al doilea grad de jurisdicție în cadrul procedurii penale trebuie să aibă un efect suspensiv (</w:t>
      </w:r>
      <w:proofErr w:type="spellStart"/>
      <w:r w:rsidR="00694606">
        <w:fldChar w:fldCharType="begin"/>
      </w:r>
      <w:r w:rsidR="00694606">
        <w:instrText xml:space="preserve"> HYPERLINK "https://hudoc.echr.coe.int/fre?i=001-147445" </w:instrText>
      </w:r>
      <w:r w:rsidR="00694606">
        <w:fldChar w:fldCharType="separate"/>
      </w:r>
      <w:r>
        <w:rPr>
          <w:rStyle w:val="Hyperlink"/>
        </w:rPr>
        <w:t>Shvydka</w:t>
      </w:r>
      <w:proofErr w:type="spellEnd"/>
      <w:r>
        <w:rPr>
          <w:rStyle w:val="Hyperlink"/>
        </w:rPr>
        <w:t xml:space="preserve"> împotriva Ucrainei</w:t>
      </w:r>
      <w:r w:rsidR="00694606">
        <w:rPr>
          <w:rStyle w:val="Hyperlink"/>
        </w:rPr>
        <w:fldChar w:fldCharType="end"/>
      </w:r>
      <w:r>
        <w:t>, 2014, pct. 51-53). În cauza citată, Curtea a constatat o încălcare a art. 2 din Protocolul nr. 7 deoarece calea de atac exercitată de reclamantă împotriva hotărârii judecătoriei era lipsită de efect suspensiv, ceea ce a dus la executarea imediată a pedepsei și, în consecință, examinarea în al doilea grad de jurisdicție a avut loc numai după ce reclamantei i s-a aplicat pedeapsa privativă de libertate și după ce aceasta a executat pedeapsa integral.</w:t>
      </w:r>
      <w:r>
        <w:rPr>
          <w:color w:val="000000"/>
        </w:rPr>
        <w:t xml:space="preserve"> </w:t>
      </w:r>
      <w:r>
        <w:t xml:space="preserve">În mod similar, în cauza </w:t>
      </w:r>
      <w:hyperlink r:id="rId69" w:history="1">
        <w:proofErr w:type="spellStart"/>
        <w:r>
          <w:rPr>
            <w:rStyle w:val="Hyperlink"/>
          </w:rPr>
          <w:t>Tsvetkova</w:t>
        </w:r>
        <w:proofErr w:type="spellEnd"/>
        <w:r>
          <w:rPr>
            <w:rStyle w:val="Hyperlink"/>
          </w:rPr>
          <w:t xml:space="preserve"> și alții împotriva Rusiei</w:t>
        </w:r>
      </w:hyperlink>
      <w:r>
        <w:t>, 2018, pct. 188-191, procedura în al doilea grad de jurisdicție nu a avut efect suspensiv și a fost examinată abia după ce reclamanta și-a executat pedeapsa, ceea ce a echivalat cu o încălcare a art. 2 din Protocolul nr. 7.</w:t>
      </w:r>
    </w:p>
    <w:p w14:paraId="205EC83D" w14:textId="77777777" w:rsidR="00B85423" w:rsidRPr="00F042CF" w:rsidRDefault="00B85423" w:rsidP="00B85423">
      <w:pPr>
        <w:pStyle w:val="ECHRParaSpaced"/>
        <w:rPr>
          <w:rFonts w:cstheme="minorHAnsi"/>
          <w:color w:val="000000"/>
        </w:rPr>
      </w:pPr>
      <w:r w:rsidRPr="00F042CF">
        <w:rPr>
          <w:rFonts w:cstheme="minorHAnsi"/>
          <w:color w:val="000000"/>
        </w:rPr>
        <w:fldChar w:fldCharType="begin"/>
      </w:r>
      <w:r w:rsidRPr="00F042CF">
        <w:rPr>
          <w:rFonts w:cstheme="minorHAnsi"/>
          <w:color w:val="000000"/>
        </w:rPr>
        <w:instrText xml:space="preserve"> SEQ level0 \*arabic \* MERGEFORMAT </w:instrText>
      </w:r>
      <w:r w:rsidRPr="00F042CF">
        <w:rPr>
          <w:rFonts w:cstheme="minorHAnsi"/>
          <w:color w:val="000000"/>
        </w:rPr>
        <w:fldChar w:fldCharType="separate"/>
      </w:r>
      <w:r w:rsidR="00852EF6">
        <w:rPr>
          <w:rFonts w:cstheme="minorHAnsi"/>
          <w:noProof/>
          <w:color w:val="000000"/>
        </w:rPr>
        <w:t>24</w:t>
      </w:r>
      <w:r w:rsidRPr="00F042CF">
        <w:rPr>
          <w:rFonts w:cstheme="minorHAnsi"/>
          <w:color w:val="000000"/>
        </w:rPr>
        <w:fldChar w:fldCharType="end"/>
      </w:r>
      <w:r>
        <w:rPr>
          <w:color w:val="000000"/>
        </w:rPr>
        <w:t xml:space="preserve">.  În acest context, în cazul în care calea de atac nu a avut efect suspensiv, Curtea nu a considerat că o cale de atac retroactivă și pur compensatorie în cazul casării hotărârii de condamnare în primă instanță ar putea fi considerată un substitut al dreptului la examinare garantat de art. 2 din Protocolul nr. 7. </w:t>
      </w:r>
      <w:r>
        <w:t>Curtea a subliniat că a hotărî altfel ar fi contrar principiului consacrat al jurisprudenței sale, conform căruia Convenția are ca scop să garanteze nu drepturi teoretice sau iluzorii, ci drepturi concrete și efective (</w:t>
      </w:r>
      <w:proofErr w:type="spellStart"/>
      <w:r w:rsidR="00694606">
        <w:fldChar w:fldCharType="begin"/>
      </w:r>
      <w:r w:rsidR="00694606">
        <w:instrText xml:space="preserve"> HYPERLINK "https://hudoc.echr.coe.int/fre?i=001-147445" </w:instrText>
      </w:r>
      <w:r w:rsidR="00694606">
        <w:fldChar w:fldCharType="separate"/>
      </w:r>
      <w:r>
        <w:rPr>
          <w:rStyle w:val="Hyperlink"/>
        </w:rPr>
        <w:t>Shvydka</w:t>
      </w:r>
      <w:proofErr w:type="spellEnd"/>
      <w:r>
        <w:rPr>
          <w:rStyle w:val="Hyperlink"/>
        </w:rPr>
        <w:t xml:space="preserve"> împotriva Ucrainei</w:t>
      </w:r>
      <w:r w:rsidR="00694606">
        <w:rPr>
          <w:rStyle w:val="Hyperlink"/>
        </w:rPr>
        <w:fldChar w:fldCharType="end"/>
      </w:r>
      <w:r>
        <w:t xml:space="preserve">, 2014, pct. 54; </w:t>
      </w:r>
      <w:hyperlink r:id="rId70" w:history="1">
        <w:proofErr w:type="spellStart"/>
        <w:r>
          <w:rPr>
            <w:rStyle w:val="Hyperlink"/>
          </w:rPr>
          <w:t>Tsvetkova</w:t>
        </w:r>
        <w:proofErr w:type="spellEnd"/>
        <w:r>
          <w:rPr>
            <w:rStyle w:val="Hyperlink"/>
          </w:rPr>
          <w:t xml:space="preserve"> și alții împotriva Rusiei</w:t>
        </w:r>
      </w:hyperlink>
      <w:r>
        <w:t>, 2018, pct. 189).</w:t>
      </w:r>
    </w:p>
    <w:p w14:paraId="6F348D45" w14:textId="77777777" w:rsidR="00B85423" w:rsidRPr="00F042CF" w:rsidRDefault="00B85423" w:rsidP="00B85423">
      <w:pPr>
        <w:pStyle w:val="ECHRParaSpaced"/>
        <w:rPr>
          <w:rFonts w:cstheme="minorHAnsi"/>
          <w:color w:val="000000"/>
        </w:rPr>
      </w:pPr>
      <w:r w:rsidRPr="00F042CF">
        <w:rPr>
          <w:rFonts w:cstheme="minorHAnsi"/>
          <w:color w:val="000000"/>
        </w:rPr>
        <w:fldChar w:fldCharType="begin"/>
      </w:r>
      <w:r w:rsidRPr="00F042CF">
        <w:rPr>
          <w:rFonts w:cstheme="minorHAnsi"/>
          <w:color w:val="000000"/>
        </w:rPr>
        <w:instrText xml:space="preserve"> SEQ level0 \*arabic \* MERGEFORMAT </w:instrText>
      </w:r>
      <w:r w:rsidRPr="00F042CF">
        <w:rPr>
          <w:rFonts w:cstheme="minorHAnsi"/>
          <w:color w:val="000000"/>
        </w:rPr>
        <w:fldChar w:fldCharType="separate"/>
      </w:r>
      <w:r w:rsidR="00852EF6">
        <w:rPr>
          <w:rFonts w:cstheme="minorHAnsi"/>
          <w:noProof/>
          <w:color w:val="000000"/>
        </w:rPr>
        <w:t>25</w:t>
      </w:r>
      <w:r w:rsidRPr="00F042CF">
        <w:rPr>
          <w:rFonts w:cstheme="minorHAnsi"/>
          <w:color w:val="000000"/>
        </w:rPr>
        <w:fldChar w:fldCharType="end"/>
      </w:r>
      <w:r>
        <w:rPr>
          <w:color w:val="000000"/>
        </w:rPr>
        <w:t>.  </w:t>
      </w:r>
      <w:r>
        <w:t xml:space="preserve">În schimb, în cauza </w:t>
      </w:r>
      <w:hyperlink r:id="rId71" w:history="1">
        <w:proofErr w:type="spellStart"/>
        <w:r>
          <w:rPr>
            <w:rStyle w:val="Hyperlink"/>
          </w:rPr>
          <w:t>Fırat</w:t>
        </w:r>
        <w:proofErr w:type="spellEnd"/>
        <w:r>
          <w:rPr>
            <w:rStyle w:val="Hyperlink"/>
          </w:rPr>
          <w:t xml:space="preserve"> împotriva Greciei</w:t>
        </w:r>
      </w:hyperlink>
      <w:r>
        <w:t xml:space="preserve">, 2017, pct. 39-46, în care reclamantul, resortisant turc acuzat de trafic de </w:t>
      </w:r>
      <w:proofErr w:type="spellStart"/>
      <w:r>
        <w:t>migranți</w:t>
      </w:r>
      <w:proofErr w:type="spellEnd"/>
      <w:r>
        <w:t xml:space="preserve"> aflați în situație de ședere ilegală, nu avea legături cu Grecia și nu a avut reședința în această țară, Curtea nu a considerat că simpla lipsă a efectului suspensiv al căii de atac exercitate împotriva hotărârii pronunțate în primă instanță era contrară art. 2 din Protocolul nr. 7.</w:t>
      </w:r>
      <w:r>
        <w:rPr>
          <w:color w:val="000000"/>
        </w:rPr>
        <w:t xml:space="preserve"> Curtea a constatat că, în raport cu legislația națională, reclamantul ar fi avut dreptul la liberare condiționată ulterior hotărârii curții de apel și cu condiția să fi executat o fracțiune din pedeapsă, ceea ce nu era cazul în speță. Prin urmare, Curtea a concluzionat că exercitarea de către reclamant a dreptului său la două grade de jurisdicție nu s-a făcut cu prețul libertății sale. În consecință, Curtea a constatat că nu a fost încălcat art. 2 din Protocolul nr. 7 la Convenție.</w:t>
      </w:r>
    </w:p>
    <w:p w14:paraId="4E1C8A59"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26</w:t>
      </w:r>
      <w:r w:rsidRPr="00F042CF">
        <w:rPr>
          <w:rFonts w:cstheme="minorHAnsi"/>
        </w:rPr>
        <w:fldChar w:fldCharType="end"/>
      </w:r>
      <w:r>
        <w:t xml:space="preserve">.  Potrivit jurisprudenței Curții, exercitarea dreptului la două grade de jurisdicție nu poate fi împiedicată atribuind efecte negative </w:t>
      </w:r>
      <w:r>
        <w:rPr>
          <w:i/>
          <w:iCs/>
        </w:rPr>
        <w:t>de facto</w:t>
      </w:r>
      <w:r>
        <w:t xml:space="preserve"> exercitării, de către o persoană acuzată de o infracțiune, a dreptului său la două grade de jurisdicție (</w:t>
      </w:r>
      <w:hyperlink r:id="rId72" w:history="1">
        <w:r>
          <w:rPr>
            <w:rStyle w:val="Hyperlink"/>
          </w:rPr>
          <w:t xml:space="preserve">Ruslan </w:t>
        </w:r>
        <w:proofErr w:type="spellStart"/>
        <w:r>
          <w:rPr>
            <w:rStyle w:val="Hyperlink"/>
          </w:rPr>
          <w:t>Yakovenko</w:t>
        </w:r>
        <w:proofErr w:type="spellEnd"/>
        <w:r>
          <w:rPr>
            <w:rStyle w:val="Hyperlink"/>
          </w:rPr>
          <w:t xml:space="preserve"> împotriva Ucrainei</w:t>
        </w:r>
      </w:hyperlink>
      <w:r>
        <w:t>, 2015, pct. 79-83). În cauza citată, instanțele naționale au considerat necesară menținerea reclamantului în detenție ca măsură preventivă până la rămânerea definitivă a hotărârii pronunțate în primă instanță, chiar și după ce acesta executase deja pedeapsa închisorii aplicată prin acea hotărâre. În lipsa exercitării unei căi de atac, termenul în discuție a fost de 12 zile. Dacă reclamantul ar fi decis să exercite o cale de atac, punerea sa în libertate ar fi avut o întârziere cu o durată nedeterminată după rămânerea definitivă a hotărârii. În aceste condiții, Curtea a constatat că exercitarea de către reclamant a dreptului său la două grade de jurisdicție ar fi avut loc cu prețul libertății sale, cu atât mai mult cu cât durata detenției sale în timpul exercitării căii de atac ar fi fost incertă, aducând astfel atingere înseși esenței dreptului său, ceea ce constituie o încălcare a art. 2 din Protocolul nr. 7 la Convenție.</w:t>
      </w:r>
    </w:p>
    <w:p w14:paraId="37F462F5" w14:textId="77777777" w:rsidR="00B85423" w:rsidRPr="00F042CF" w:rsidRDefault="00B85423" w:rsidP="00B85423">
      <w:pPr>
        <w:rPr>
          <w:rFonts w:cstheme="minorHAnsi"/>
        </w:rPr>
      </w:pPr>
      <w:r>
        <w:br w:type="page"/>
      </w:r>
    </w:p>
    <w:p w14:paraId="358516B0" w14:textId="77777777" w:rsidR="00B85423" w:rsidRPr="00F042CF" w:rsidRDefault="00B85423" w:rsidP="00B85423">
      <w:pPr>
        <w:pStyle w:val="ECHRHeading1"/>
      </w:pPr>
      <w:bookmarkStart w:id="29" w:name="_Toc162525758"/>
      <w:r>
        <w:lastRenderedPageBreak/>
        <w:t>Excepții de la dreptul la două grade de jurisdicție: art. 2 § 2 din Protocolul nr. 7 la Convenție</w:t>
      </w:r>
      <w:bookmarkEnd w:id="29"/>
    </w:p>
    <w:p w14:paraId="4DC434EE" w14:textId="77777777" w:rsidR="00B85423" w:rsidRPr="00F042CF" w:rsidRDefault="00B85423" w:rsidP="00B85423">
      <w:pPr>
        <w:pStyle w:val="ECHRParaHanging"/>
        <w:keepNext/>
        <w:ind w:left="0" w:firstLine="0"/>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B85423" w:rsidRPr="00F042CF" w14:paraId="7646E2DB" w14:textId="77777777" w:rsidTr="00417015">
        <w:trPr>
          <w:trHeight w:val="1027"/>
        </w:trPr>
        <w:tc>
          <w:tcPr>
            <w:tcW w:w="9243" w:type="dxa"/>
          </w:tcPr>
          <w:p w14:paraId="7B2F63E0" w14:textId="77777777" w:rsidR="00B85423" w:rsidRPr="00F042CF" w:rsidRDefault="00B85423" w:rsidP="00417015">
            <w:pPr>
              <w:pStyle w:val="ECHRTitle3"/>
            </w:pPr>
            <w:r>
              <w:t>Art. 2 § 2 din Protocolul nr. 7 la Convenție</w:t>
            </w:r>
          </w:p>
          <w:p w14:paraId="64178B46" w14:textId="77777777" w:rsidR="00B85423" w:rsidRPr="00F042CF" w:rsidRDefault="00B85423" w:rsidP="00417015">
            <w:pPr>
              <w:pStyle w:val="ECHRParaQuote"/>
              <w:rPr>
                <w:rFonts w:cstheme="minorHAnsi"/>
              </w:rPr>
            </w:pPr>
            <w:r>
              <w:t>„2.  Acest drept poate face obiectul unor excepții în cazul infracțiunilor minore, așa cum acestea sunt definite de lege, sau când cel interesat a fost judecat în primă instanță de către cea mai înaltă jurisdicție ori a fost declarat vinovat și condamnat ca urmare a unui recurs împotriva achitării sale.”</w:t>
            </w:r>
          </w:p>
        </w:tc>
      </w:tr>
    </w:tbl>
    <w:p w14:paraId="1879D104" w14:textId="77777777" w:rsidR="00B85423" w:rsidRPr="00F042CF" w:rsidRDefault="00B85423" w:rsidP="00B85423">
      <w:pPr>
        <w:pStyle w:val="ECHRParaHanging"/>
      </w:pPr>
    </w:p>
    <w:p w14:paraId="145437D5" w14:textId="77777777" w:rsidR="00B85423" w:rsidRPr="00F042CF" w:rsidRDefault="00C62AA8" w:rsidP="00B85423">
      <w:pPr>
        <w:pStyle w:val="ECHRParaSpaced"/>
      </w:pPr>
      <w:r>
        <w:fldChar w:fldCharType="begin"/>
      </w:r>
      <w:r>
        <w:instrText xml:space="preserve"> SEQ level0</w:instrText>
      </w:r>
      <w:r>
        <w:instrText xml:space="preserve"> \*arabic \* MERGEFORMAT </w:instrText>
      </w:r>
      <w:r>
        <w:fldChar w:fldCharType="separate"/>
      </w:r>
      <w:r w:rsidR="00852EF6">
        <w:rPr>
          <w:noProof/>
        </w:rPr>
        <w:t>27</w:t>
      </w:r>
      <w:r>
        <w:fldChar w:fldCharType="end"/>
      </w:r>
      <w:r w:rsidR="0086588B">
        <w:t>.  Paragraful 2 al art. 2 din Protocolul nr. 7 permite trei excepții de la dreptul la examinare de către o jurisdicție superioară:</w:t>
      </w:r>
    </w:p>
    <w:p w14:paraId="7DEEB4C0" w14:textId="77777777" w:rsidR="00B85423" w:rsidRPr="00F042CF" w:rsidRDefault="00B85423" w:rsidP="00B85423">
      <w:pPr>
        <w:pStyle w:val="ECHRParaSpaced"/>
        <w:numPr>
          <w:ilvl w:val="0"/>
          <w:numId w:val="40"/>
        </w:numPr>
      </w:pPr>
      <w:r>
        <w:t>în cazul infracțiunilor minore, așa cum acestea sunt definite de lege;</w:t>
      </w:r>
    </w:p>
    <w:p w14:paraId="499929CD" w14:textId="77777777" w:rsidR="00B85423" w:rsidRPr="00F042CF" w:rsidRDefault="00B85423" w:rsidP="00B85423">
      <w:pPr>
        <w:pStyle w:val="ECHRParaSpaced"/>
        <w:numPr>
          <w:ilvl w:val="0"/>
          <w:numId w:val="40"/>
        </w:numPr>
      </w:pPr>
      <w:r>
        <w:t>când persoana în cauză a fost judecată în primă instanță de către cea mai înaltă jurisdicție; și</w:t>
      </w:r>
    </w:p>
    <w:p w14:paraId="13E587A6" w14:textId="77777777" w:rsidR="00B85423" w:rsidRPr="00F042CF" w:rsidRDefault="00B85423" w:rsidP="00B85423">
      <w:pPr>
        <w:pStyle w:val="ECHRParaSpaced"/>
        <w:numPr>
          <w:ilvl w:val="0"/>
          <w:numId w:val="40"/>
        </w:numPr>
      </w:pPr>
      <w:r>
        <w:t>când persoana în cauză a fost declarată vinovată și condamnată ca urmare a unui recurs împotriva achitării sale.</w:t>
      </w:r>
      <w:r w:rsidRPr="00F042CF">
        <w:rPr>
          <w:vertAlign w:val="superscript"/>
        </w:rPr>
        <w:footnoteReference w:id="9"/>
      </w:r>
    </w:p>
    <w:p w14:paraId="6791AD8A" w14:textId="77777777" w:rsidR="00B85423" w:rsidRPr="00F042CF" w:rsidRDefault="00B85423" w:rsidP="00B85423">
      <w:pPr>
        <w:pStyle w:val="ECHRHeading2"/>
      </w:pPr>
      <w:bookmarkStart w:id="30" w:name="_Toc162525759"/>
      <w:r>
        <w:t>Infracțiuni minore</w:t>
      </w:r>
      <w:bookmarkEnd w:id="30"/>
    </w:p>
    <w:bookmarkStart w:id="31" w:name="_Hlk132156490"/>
    <w:p w14:paraId="5ABB76D9" w14:textId="77777777" w:rsidR="00B85423" w:rsidRPr="00F042CF" w:rsidRDefault="00B85423" w:rsidP="00B85423">
      <w:pPr>
        <w:pStyle w:val="ECHRParaSpaced"/>
      </w:pPr>
      <w:r w:rsidRPr="00F042CF">
        <w:fldChar w:fldCharType="begin"/>
      </w:r>
      <w:r w:rsidRPr="00F042CF">
        <w:instrText xml:space="preserve"> SEQ level0 \*arabic \* MERGEFORMAT </w:instrText>
      </w:r>
      <w:r w:rsidRPr="00F042CF">
        <w:fldChar w:fldCharType="separate"/>
      </w:r>
      <w:r w:rsidR="00852EF6">
        <w:rPr>
          <w:noProof/>
        </w:rPr>
        <w:t>28</w:t>
      </w:r>
      <w:r w:rsidRPr="00F042CF">
        <w:fldChar w:fldCharType="end"/>
      </w:r>
      <w:r>
        <w:t>.  Prima excepție pe care o permite paragraful 2 al art. 2 din Protocolul nr. 7 este pentru categoria „infracțiuni minore”.</w:t>
      </w:r>
    </w:p>
    <w:p w14:paraId="64CB5C5D" w14:textId="77777777" w:rsidR="00B85423" w:rsidRPr="00F042CF" w:rsidRDefault="00C62AA8" w:rsidP="00B85423">
      <w:pPr>
        <w:pStyle w:val="ECHRParaSpaced"/>
      </w:pPr>
      <w:r>
        <w:fldChar w:fldCharType="begin"/>
      </w:r>
      <w:r>
        <w:instrText xml:space="preserve"> SEQ level0 \*arabic \* MERGEFORMAT </w:instrText>
      </w:r>
      <w:r>
        <w:fldChar w:fldCharType="separate"/>
      </w:r>
      <w:r w:rsidR="00852EF6">
        <w:rPr>
          <w:noProof/>
        </w:rPr>
        <w:t>29</w:t>
      </w:r>
      <w:r>
        <w:fldChar w:fldCharType="end"/>
      </w:r>
      <w:r w:rsidR="0086588B">
        <w:t>.  În conformitate cu Raportul explicativ,</w:t>
      </w:r>
      <w:r w:rsidR="00B85423" w:rsidRPr="00F042CF">
        <w:rPr>
          <w:vertAlign w:val="superscript"/>
        </w:rPr>
        <w:footnoteReference w:id="10"/>
      </w:r>
      <w:r w:rsidR="0086588B">
        <w:t xml:space="preserve"> Curtea a recunoscut că, pentru a decide dacă o infracțiune este minoră, un criteriu important este acela dacă infracțiunea se pedepsește sau nu cu închisoarea (</w:t>
      </w:r>
      <w:hyperlink r:id="rId73" w:history="1">
        <w:r w:rsidR="0086588B">
          <w:rPr>
            <w:rStyle w:val="Hyperlink"/>
          </w:rPr>
          <w:t>Grecu împotriva României</w:t>
        </w:r>
      </w:hyperlink>
      <w:r w:rsidR="0086588B">
        <w:t xml:space="preserve">, 2006, pct. 82; </w:t>
      </w:r>
      <w:hyperlink r:id="rId74" w:history="1">
        <w:proofErr w:type="spellStart"/>
        <w:r w:rsidR="0086588B">
          <w:rPr>
            <w:rStyle w:val="Hyperlink"/>
          </w:rPr>
          <w:t>Zaicevs</w:t>
        </w:r>
        <w:proofErr w:type="spellEnd"/>
        <w:r w:rsidR="0086588B">
          <w:rPr>
            <w:rStyle w:val="Hyperlink"/>
          </w:rPr>
          <w:t xml:space="preserve"> împotriva Letoniei</w:t>
        </w:r>
      </w:hyperlink>
      <w:r w:rsidR="0086588B">
        <w:t xml:space="preserve">, 2007, pct. 55; </w:t>
      </w:r>
      <w:hyperlink r:id="rId75" w:history="1">
        <w:proofErr w:type="spellStart"/>
        <w:r w:rsidR="0086588B">
          <w:rPr>
            <w:rStyle w:val="Hyperlink"/>
          </w:rPr>
          <w:t>Kamburov</w:t>
        </w:r>
        <w:proofErr w:type="spellEnd"/>
        <w:r w:rsidR="0086588B">
          <w:rPr>
            <w:rStyle w:val="Hyperlink"/>
          </w:rPr>
          <w:t xml:space="preserve"> împotriva Bulgariei</w:t>
        </w:r>
      </w:hyperlink>
      <w:r w:rsidR="0086588B">
        <w:t xml:space="preserve">, 2009, pct. 25; </w:t>
      </w:r>
      <w:hyperlink r:id="rId76" w:history="1">
        <w:proofErr w:type="spellStart"/>
        <w:r w:rsidR="0086588B">
          <w:rPr>
            <w:rStyle w:val="Hyperlink"/>
          </w:rPr>
          <w:t>Stanchev</w:t>
        </w:r>
        <w:proofErr w:type="spellEnd"/>
        <w:r w:rsidR="0086588B">
          <w:rPr>
            <w:rStyle w:val="Hyperlink"/>
          </w:rPr>
          <w:t xml:space="preserve"> împotriva Bulgariei</w:t>
        </w:r>
      </w:hyperlink>
      <w:r w:rsidR="0086588B">
        <w:t xml:space="preserve">, 2009, pct. 47; </w:t>
      </w:r>
      <w:hyperlink r:id="rId77" w:history="1">
        <w:proofErr w:type="spellStart"/>
        <w:r w:rsidR="0086588B">
          <w:rPr>
            <w:rStyle w:val="Hyperlink"/>
          </w:rPr>
          <w:t>Kindlhofer</w:t>
        </w:r>
        <w:proofErr w:type="spellEnd"/>
        <w:r w:rsidR="0086588B">
          <w:rPr>
            <w:rStyle w:val="Hyperlink"/>
          </w:rPr>
          <w:t xml:space="preserve"> împotriva Austriei</w:t>
        </w:r>
      </w:hyperlink>
      <w:r w:rsidR="0086588B">
        <w:t>, 2021, pct. 30). În cadrul acestei aprecieri, Curtea trebuie să țină seama de circumstanțele specifice ale cauzei (</w:t>
      </w:r>
      <w:proofErr w:type="spellStart"/>
      <w:r w:rsidR="00694606">
        <w:fldChar w:fldCharType="begin"/>
      </w:r>
      <w:r w:rsidR="00694606">
        <w:instrText xml:space="preserve"> HYPERLINK "https://hudoc.echr.coe.int/fre?i=001-212689" </w:instrText>
      </w:r>
      <w:r w:rsidR="00694606">
        <w:fldChar w:fldCharType="separate"/>
      </w:r>
      <w:r w:rsidR="0086588B">
        <w:rPr>
          <w:rStyle w:val="Hyperlink"/>
        </w:rPr>
        <w:t>Kindlhofer</w:t>
      </w:r>
      <w:proofErr w:type="spellEnd"/>
      <w:r w:rsidR="0086588B">
        <w:rPr>
          <w:rStyle w:val="Hyperlink"/>
        </w:rPr>
        <w:t xml:space="preserve"> împotriva Austriei</w:t>
      </w:r>
      <w:r w:rsidR="00694606">
        <w:rPr>
          <w:rStyle w:val="Hyperlink"/>
        </w:rPr>
        <w:fldChar w:fldCharType="end"/>
      </w:r>
      <w:r w:rsidR="0086588B">
        <w:t>, 2021, pct. 42).</w:t>
      </w:r>
    </w:p>
    <w:p w14:paraId="68A34D73"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30</w:t>
      </w:r>
      <w:r w:rsidRPr="00F042CF">
        <w:rPr>
          <w:rFonts w:cstheme="minorHAnsi"/>
        </w:rPr>
        <w:fldChar w:fldCharType="end"/>
      </w:r>
      <w:r>
        <w:t>.  În consecință, Curtea a statuat că o infracțiune pentru care legea prevede o pedeapsă privativă de libertate ca pedeapsă principală nu poate fi caracterizată ca „minoră” în sensul celui de-al doilea paragraf al articolului respectiv (</w:t>
      </w:r>
      <w:proofErr w:type="spellStart"/>
      <w:r w:rsidR="00694606">
        <w:fldChar w:fldCharType="begin"/>
      </w:r>
      <w:r w:rsidR="00694606">
        <w:instrText xml:space="preserve"> HYPERLINK "https://hudoc.echr.coe.int/fre?i=001-82001" </w:instrText>
      </w:r>
      <w:r w:rsidR="00694606">
        <w:fldChar w:fldCharType="separate"/>
      </w:r>
      <w:r>
        <w:rPr>
          <w:rStyle w:val="Hyperlink"/>
        </w:rPr>
        <w:t>Zaicevs</w:t>
      </w:r>
      <w:proofErr w:type="spellEnd"/>
      <w:r>
        <w:rPr>
          <w:rStyle w:val="Hyperlink"/>
        </w:rPr>
        <w:t xml:space="preserve"> împotriva Letoniei</w:t>
      </w:r>
      <w:r w:rsidR="00694606">
        <w:rPr>
          <w:rStyle w:val="Hyperlink"/>
        </w:rPr>
        <w:fldChar w:fldCharType="end"/>
      </w:r>
      <w:r>
        <w:t xml:space="preserve">, 2007, pct. 55; </w:t>
      </w:r>
      <w:hyperlink r:id="rId78" w:history="1">
        <w:proofErr w:type="spellStart"/>
        <w:r>
          <w:rPr>
            <w:rStyle w:val="Hyperlink"/>
          </w:rPr>
          <w:t>Kamburov</w:t>
        </w:r>
        <w:proofErr w:type="spellEnd"/>
        <w:r>
          <w:rPr>
            <w:rStyle w:val="Hyperlink"/>
          </w:rPr>
          <w:t xml:space="preserve"> împotriva Bulgariei</w:t>
        </w:r>
      </w:hyperlink>
      <w:r>
        <w:t xml:space="preserve">, 2009, pct. 26; </w:t>
      </w:r>
      <w:hyperlink r:id="rId79" w:history="1">
        <w:proofErr w:type="spellStart"/>
        <w:r>
          <w:rPr>
            <w:rStyle w:val="Hyperlink"/>
          </w:rPr>
          <w:t>Stanchev</w:t>
        </w:r>
        <w:proofErr w:type="spellEnd"/>
        <w:r>
          <w:rPr>
            <w:rStyle w:val="Hyperlink"/>
          </w:rPr>
          <w:t xml:space="preserve"> împotriva Bulgariei</w:t>
        </w:r>
      </w:hyperlink>
      <w:r>
        <w:t xml:space="preserve">, 2009, pct. 48, </w:t>
      </w:r>
      <w:hyperlink r:id="rId80" w:history="1">
        <w:proofErr w:type="spellStart"/>
        <w:r>
          <w:rPr>
            <w:rStyle w:val="Hyperlink"/>
          </w:rPr>
          <w:t>Zhelyazkov</w:t>
        </w:r>
        <w:proofErr w:type="spellEnd"/>
        <w:r>
          <w:rPr>
            <w:rStyle w:val="Hyperlink"/>
          </w:rPr>
          <w:t xml:space="preserve"> împotriva Bulgariei</w:t>
        </w:r>
      </w:hyperlink>
      <w:r>
        <w:t>, 2012, pct. 43).</w:t>
      </w:r>
    </w:p>
    <w:p w14:paraId="5BDF23AB"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31</w:t>
      </w:r>
      <w:r w:rsidRPr="00F042CF">
        <w:rPr>
          <w:rFonts w:cstheme="minorHAnsi"/>
        </w:rPr>
        <w:fldChar w:fldCharType="end"/>
      </w:r>
      <w:r>
        <w:t>.  Curtea nu a considerat că următoarele infracțiuni sunt „minore”:</w:t>
      </w:r>
    </w:p>
    <w:p w14:paraId="1A6850BB" w14:textId="77777777" w:rsidR="00B85423" w:rsidRPr="00F042CF" w:rsidRDefault="00B85423" w:rsidP="00B85423">
      <w:pPr>
        <w:pStyle w:val="ECHRBullet1"/>
        <w:numPr>
          <w:ilvl w:val="0"/>
          <w:numId w:val="1"/>
        </w:numPr>
      </w:pPr>
      <w:r>
        <w:t xml:space="preserve">În cauza </w:t>
      </w:r>
      <w:hyperlink r:id="rId81" w:history="1">
        <w:r>
          <w:rPr>
            <w:rStyle w:val="Hyperlink"/>
          </w:rPr>
          <w:t>Grecu împotriva României</w:t>
        </w:r>
      </w:hyperlink>
      <w:r>
        <w:t>, 2006, pct. 82, infracțiunea se pedepsea cu închisoare de la 6 luni la 5 ani;</w:t>
      </w:r>
    </w:p>
    <w:p w14:paraId="2EEDE835" w14:textId="77777777" w:rsidR="00B85423" w:rsidRPr="00F042CF" w:rsidRDefault="00B85423" w:rsidP="00B85423">
      <w:pPr>
        <w:pStyle w:val="ECHRBullet1"/>
      </w:pPr>
      <w:r>
        <w:t xml:space="preserve">În cauzele </w:t>
      </w:r>
      <w:hyperlink r:id="rId82" w:history="1">
        <w:proofErr w:type="spellStart"/>
        <w:r>
          <w:rPr>
            <w:rStyle w:val="Hyperlink"/>
          </w:rPr>
          <w:t>Zaicevs</w:t>
        </w:r>
        <w:proofErr w:type="spellEnd"/>
        <w:r>
          <w:rPr>
            <w:rStyle w:val="Hyperlink"/>
          </w:rPr>
          <w:t xml:space="preserve"> împotriva Letoniei</w:t>
        </w:r>
      </w:hyperlink>
      <w:r>
        <w:t xml:space="preserve">, 2007, pct. 55; </w:t>
      </w:r>
      <w:hyperlink r:id="rId83" w:history="1">
        <w:proofErr w:type="spellStart"/>
        <w:r>
          <w:rPr>
            <w:rStyle w:val="Hyperlink"/>
          </w:rPr>
          <w:t>Kamburov</w:t>
        </w:r>
        <w:proofErr w:type="spellEnd"/>
        <w:r>
          <w:rPr>
            <w:rStyle w:val="Hyperlink"/>
          </w:rPr>
          <w:t xml:space="preserve"> împotriva Bulgariei</w:t>
        </w:r>
      </w:hyperlink>
      <w:r>
        <w:t xml:space="preserve">, 2009, pct. 26; și </w:t>
      </w:r>
      <w:hyperlink r:id="rId84" w:history="1">
        <w:proofErr w:type="spellStart"/>
        <w:r>
          <w:rPr>
            <w:rStyle w:val="Hyperlink"/>
          </w:rPr>
          <w:t>Stanchev</w:t>
        </w:r>
        <w:proofErr w:type="spellEnd"/>
        <w:r>
          <w:rPr>
            <w:rStyle w:val="Hyperlink"/>
          </w:rPr>
          <w:t xml:space="preserve"> împotriva Bulgariei</w:t>
        </w:r>
      </w:hyperlink>
      <w:r>
        <w:t>, 2009, art. 48, infracțiunile se pedepseau cu închisoare până la 15 zile.</w:t>
      </w:r>
    </w:p>
    <w:p w14:paraId="77F1FDA9" w14:textId="77777777" w:rsidR="00B85423" w:rsidRPr="00F042CF" w:rsidRDefault="00C62AA8" w:rsidP="00B85423">
      <w:pPr>
        <w:pStyle w:val="ECHRParaSpaced"/>
      </w:pPr>
      <w:r>
        <w:fldChar w:fldCharType="begin"/>
      </w:r>
      <w:r>
        <w:instrText xml:space="preserve"> SEQ level0 \*arabic \* MERGEFORMAT </w:instrText>
      </w:r>
      <w:r>
        <w:fldChar w:fldCharType="separate"/>
      </w:r>
      <w:r w:rsidR="00852EF6">
        <w:rPr>
          <w:noProof/>
        </w:rPr>
        <w:t>32</w:t>
      </w:r>
      <w:r>
        <w:fldChar w:fldCharType="end"/>
      </w:r>
      <w:r w:rsidR="0086588B">
        <w:t xml:space="preserve">.  În schimb, în cauza </w:t>
      </w:r>
      <w:hyperlink r:id="rId85" w:history="1">
        <w:proofErr w:type="spellStart"/>
        <w:r w:rsidR="0086588B">
          <w:rPr>
            <w:rStyle w:val="Hyperlink"/>
          </w:rPr>
          <w:t>Luchaninova</w:t>
        </w:r>
        <w:proofErr w:type="spellEnd"/>
        <w:r w:rsidR="0086588B">
          <w:rPr>
            <w:rStyle w:val="Hyperlink"/>
          </w:rPr>
          <w:t xml:space="preserve"> împotriva Ucrainei</w:t>
        </w:r>
      </w:hyperlink>
      <w:r w:rsidR="0086588B">
        <w:t>, 2011, pct. 72, în care reclamanta a fost condamnată pentru furt minor care nu se pedepsea cu închisoarea, Curtea a concluzionat că aceasta era minoră, încadrându-se în excepții. În plus, Curtea a examinat această chestiune independent de faptul că Guvernul nu a prezentat observații privind acest aspect al cauzei.</w:t>
      </w:r>
    </w:p>
    <w:p w14:paraId="199D3661" w14:textId="77777777" w:rsidR="00B85423" w:rsidRPr="00F042CF" w:rsidRDefault="00B85423" w:rsidP="00B85423">
      <w:pPr>
        <w:pStyle w:val="ECHRParaSpaced"/>
        <w:rPr>
          <w:rFonts w:cstheme="minorHAnsi"/>
        </w:rPr>
      </w:pPr>
      <w:r w:rsidRPr="00F042CF">
        <w:rPr>
          <w:rFonts w:cstheme="minorHAnsi"/>
        </w:rPr>
        <w:lastRenderedPageBreak/>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33</w:t>
      </w:r>
      <w:r w:rsidRPr="00F042CF">
        <w:rPr>
          <w:rFonts w:cstheme="minorHAnsi"/>
        </w:rPr>
        <w:fldChar w:fldCharType="end"/>
      </w:r>
      <w:r>
        <w:t xml:space="preserve">.  În cauza </w:t>
      </w:r>
      <w:hyperlink r:id="rId86" w:history="1">
        <w:proofErr w:type="spellStart"/>
        <w:r>
          <w:rPr>
            <w:rStyle w:val="Hyperlink"/>
          </w:rPr>
          <w:t>Kindlhofer</w:t>
        </w:r>
        <w:proofErr w:type="spellEnd"/>
        <w:r>
          <w:rPr>
            <w:rStyle w:val="Hyperlink"/>
          </w:rPr>
          <w:t xml:space="preserve"> împotriva Austriei</w:t>
        </w:r>
      </w:hyperlink>
      <w:r>
        <w:t>, 2021, pct. 38-42, Curtea a abordat, pentru prima dată, chestiunea dacă poate fi considerată „minoră” o infracțiune pentru care legea prevedea o pedeapsă cu închisoarea de până la 2 săptămâni în caz de neplată a sancțiunii financiare. În respectiva cauză, reclamantului i s-a aplicat o amendă de 200 EUR, sau 4 zile de închisoare în caz de neplată, pentru o infracțiune la regimul circulației pe drumurile publice. Curtea a considerat că problema esențială era dacă era probabil ca pedeapsa cu închisoarea în caz de neplată să fie efectiv executată, ceea ce obliga Curtea să examineze regimul juridic al executării pedepsei închisorii în caz de neplată în ordinea juridică internă. În cauza respectivă, Curtea a constatat că aplicarea pedepsei cu închisoarea în caz de neîndeplinire a obligației de plată constituia o măsură excepțională în temeiul legii naționale, a cărei executare era supusă mai multor garanții procedurale (trebuie ca persoana condamnată să fie informată în mod clar despre acest risc și să i se pună la dispoziție mijloacele corespunzătoare pentru a-l evita). În aceste condiții, Curtea a considerat că măsura în discuție era substanțial diferită de pedeapsa închisorii ca sancțiune principală și, prin urmare, nu a împiedicat ca infracțiunea pentru care a fost condamnat reclamantul să fie considerată minoră în sensul art. 2 § 2 din Protocolul nr. 7. Curtea a mai observat următoarele elemente: nici cuantumul amenzii aplicate efectiv, nici cuantumul maxim al amenzii de care era pasibil reclamantul, nu păreau în sine suficient de ridicate pentru ca infracțiunea să nu fie calificată drept minoră; în cadrul sistemului penal administrativ intern, infracțiunea de bază nu era considerată gravă; iar reclamantul nu a susținut că nu putea plăti amenda sau că valoarea amenzii aplicate nu lua suficient în considerare situația sa financiară. Prin urmare, Curtea a concluzionat că, în pofida inexistenței unei căi de atac împotriva hotărârii de condamnare, nu a fost încălcat art. 2 din Protocolul nr. 7 la Convenție.</w:t>
      </w:r>
    </w:p>
    <w:p w14:paraId="3F3BF5FD" w14:textId="77777777" w:rsidR="00B85423" w:rsidRPr="00F042CF" w:rsidRDefault="00B85423" w:rsidP="00B85423">
      <w:pPr>
        <w:pStyle w:val="ECHRParaSpaced"/>
        <w:rPr>
          <w:rFonts w:cstheme="minorHAnsi"/>
        </w:rPr>
      </w:pPr>
      <w:r w:rsidRPr="00F042CF">
        <w:rPr>
          <w:rFonts w:cstheme="minorHAnsi"/>
        </w:rPr>
        <w:fldChar w:fldCharType="begin"/>
      </w:r>
      <w:r w:rsidRPr="00F042CF">
        <w:rPr>
          <w:rFonts w:cstheme="minorHAnsi"/>
        </w:rPr>
        <w:instrText xml:space="preserve"> SEQ level0 \*arabic \* MERGEFORMAT </w:instrText>
      </w:r>
      <w:r w:rsidRPr="00F042CF">
        <w:rPr>
          <w:rFonts w:cstheme="minorHAnsi"/>
        </w:rPr>
        <w:fldChar w:fldCharType="separate"/>
      </w:r>
      <w:r w:rsidR="00852EF6">
        <w:rPr>
          <w:rFonts w:cstheme="minorHAnsi"/>
          <w:noProof/>
        </w:rPr>
        <w:t>34</w:t>
      </w:r>
      <w:r w:rsidRPr="00F042CF">
        <w:rPr>
          <w:rFonts w:cstheme="minorHAnsi"/>
        </w:rPr>
        <w:fldChar w:fldCharType="end"/>
      </w:r>
      <w:r>
        <w:t xml:space="preserve">.  În cauza </w:t>
      </w:r>
      <w:hyperlink r:id="rId87" w:history="1">
        <w:proofErr w:type="spellStart"/>
        <w:r>
          <w:rPr>
            <w:rStyle w:val="Hyperlink"/>
          </w:rPr>
          <w:t>Saquetti</w:t>
        </w:r>
        <w:proofErr w:type="spellEnd"/>
        <w:r>
          <w:rPr>
            <w:rStyle w:val="Hyperlink"/>
          </w:rPr>
          <w:t xml:space="preserve"> Iglesias împotriva Spaniei</w:t>
        </w:r>
      </w:hyperlink>
      <w:r>
        <w:t>, 2020, pct. 36-45, Curtea a explicat că absența unei pedepse cu închisoarea nu este nici un factor decisiv, nici singurul criteriu care trebuie luat în considerare pentru a stabili dacă o infracțiune este minoră. Pentru Curte, relativul caracter ușor al pedepsei în discuție nu poate priva o infracțiune de caracterul său inerent penal. Pentru nedeclararea unei sume de bani la trecerea prin vamă într-un aeroport, reclamantul era pasibil de o amendă cuprinsă între 600 EUR și dublul valorii mijloacelor de plată utilizate și, în cele din urmă, a fost condamnat la plata integrală a sumei puse sub sechestru (153 800 EUR). Având în vedere circumstanțele cauzei (confiscarea aproape în întregime a sumei descoperite, echivalentă cu totalul economiilor personale, neprovenite din practici legate de spălarea banilor, sumele care au fost declarate la întoarcerea în Spania de către reclamant, care nu avea cazier judiciar) și reiterând că sancțiunea ar trebui să corespundă gravității încălcării constatate (neîndeplinirea obligației de declarare), Curtea a concluzionat că infracțiunea nu trebuia să fie considerată „minoră” în sensul art. 2 din Protocolul nr. 7, astfel încât excepția nu era aplicabilă. Curtea a remarcat, de asemenea, că autoritățile naționale nu au efectuat o apreciere a proporționalității, chiar dacă o astfel de apreciere era necesară în temeiul legii naționale.</w:t>
      </w:r>
      <w:bookmarkStart w:id="32" w:name="_Hlk132157278"/>
    </w:p>
    <w:p w14:paraId="7A58C113" w14:textId="77777777" w:rsidR="00B85423" w:rsidRPr="00F042CF" w:rsidRDefault="00B85423" w:rsidP="00B85423">
      <w:pPr>
        <w:pStyle w:val="ECHRHeading2"/>
      </w:pPr>
      <w:bookmarkStart w:id="33" w:name="_Toc162525760"/>
      <w:bookmarkEnd w:id="31"/>
      <w:bookmarkEnd w:id="32"/>
      <w:r>
        <w:t>Judecată în primă instanță de către cea mai înaltă jurisdicție</w:t>
      </w:r>
      <w:bookmarkEnd w:id="33"/>
    </w:p>
    <w:p w14:paraId="39F3F1C2" w14:textId="77777777" w:rsidR="00B85423" w:rsidRPr="00F042CF" w:rsidRDefault="00C62AA8" w:rsidP="00B85423">
      <w:pPr>
        <w:pStyle w:val="ECHRParaSpaced"/>
      </w:pPr>
      <w:r>
        <w:fldChar w:fldCharType="begin"/>
      </w:r>
      <w:r>
        <w:instrText xml:space="preserve"> SEQ level0 \*arabic \* MERGEFORMAT </w:instrText>
      </w:r>
      <w:r>
        <w:fldChar w:fldCharType="separate"/>
      </w:r>
      <w:r w:rsidR="00852EF6">
        <w:rPr>
          <w:noProof/>
        </w:rPr>
        <w:t>35</w:t>
      </w:r>
      <w:r>
        <w:fldChar w:fldCharType="end"/>
      </w:r>
      <w:r w:rsidR="0086588B">
        <w:t>.  A doua excepție se referă la cazurile în care, indiferent de motiv, în temeiul dreptului intern relevant, persoana respectivă a fost judecată în primă instanță de către cea mai înaltă jurisdicție. Exemplele prezentate în Raportul explicativ pentru astfel de procese țin de funcția reclamantului (de ministru, judecător sau titular al altor înalte funcții) sau țin de naturii infracțiunii.</w:t>
      </w:r>
      <w:r w:rsidR="00B85423" w:rsidRPr="00F042CF">
        <w:rPr>
          <w:vertAlign w:val="superscript"/>
        </w:rPr>
        <w:footnoteReference w:id="11"/>
      </w:r>
    </w:p>
    <w:p w14:paraId="5E8E830E" w14:textId="77777777" w:rsidR="00B85423" w:rsidRPr="00F042CF" w:rsidRDefault="00C62AA8" w:rsidP="00B85423">
      <w:pPr>
        <w:pStyle w:val="ECHRParaSpaced"/>
      </w:pPr>
      <w:r>
        <w:fldChar w:fldCharType="begin"/>
      </w:r>
      <w:r>
        <w:instrText xml:space="preserve"> SEQ level0 \*arabic \* MERGEF</w:instrText>
      </w:r>
      <w:r>
        <w:instrText xml:space="preserve">ORMAT </w:instrText>
      </w:r>
      <w:r>
        <w:fldChar w:fldCharType="separate"/>
      </w:r>
      <w:r w:rsidR="00852EF6">
        <w:rPr>
          <w:noProof/>
        </w:rPr>
        <w:t>36</w:t>
      </w:r>
      <w:r>
        <w:fldChar w:fldCharType="end"/>
      </w:r>
      <w:r w:rsidR="0086588B">
        <w:t xml:space="preserve">.  În cauza </w:t>
      </w:r>
      <w:hyperlink r:id="rId88" w:history="1">
        <w:proofErr w:type="spellStart"/>
        <w:r w:rsidR="0086588B">
          <w:rPr>
            <w:rStyle w:val="Hyperlink"/>
          </w:rPr>
          <w:t>Saquetti</w:t>
        </w:r>
        <w:proofErr w:type="spellEnd"/>
        <w:r w:rsidR="0086588B">
          <w:rPr>
            <w:rStyle w:val="Hyperlink"/>
          </w:rPr>
          <w:t xml:space="preserve"> Iglesias împotriva Spaniei</w:t>
        </w:r>
      </w:hyperlink>
      <w:r w:rsidR="0086588B">
        <w:t xml:space="preserve">, 2020, pct. 46, Curtea a considerat că excepția prevăzută de art. 2 § 2 din Protocolul nr. 7 nu se aplică în cazul în care o cale de atac ar putea fi exercitată în fața unei instanțe superioare care face parte din ierarhia ordinară a instanțelor (în speță, din cauza </w:t>
      </w:r>
      <w:bookmarkStart w:id="34" w:name="lt_pId315"/>
      <w:r w:rsidR="0086588B">
        <w:t>valorii ridicate a sumei în litigiu</w:t>
      </w:r>
      <w:bookmarkEnd w:id="34"/>
      <w:r w:rsidR="0086588B">
        <w:t>).</w:t>
      </w:r>
    </w:p>
    <w:p w14:paraId="1C46994A" w14:textId="77777777" w:rsidR="00B85423" w:rsidRPr="00F042CF" w:rsidRDefault="00B85423" w:rsidP="00B85423">
      <w:pPr>
        <w:pStyle w:val="ECHRHeading2"/>
      </w:pPr>
      <w:bookmarkStart w:id="35" w:name="_Toc162525761"/>
      <w:r>
        <w:lastRenderedPageBreak/>
        <w:t>Declararea vinovăției și condamnarea ca urmare a unui recurs împotriva achitării în primă instanță</w:t>
      </w:r>
      <w:bookmarkEnd w:id="35"/>
    </w:p>
    <w:p w14:paraId="5B736042" w14:textId="77777777" w:rsidR="00B85423" w:rsidRPr="00F042CF" w:rsidRDefault="00C62AA8" w:rsidP="00B85423">
      <w:pPr>
        <w:pStyle w:val="ECHRParaSpaced"/>
      </w:pPr>
      <w:r>
        <w:fldChar w:fldCharType="begin"/>
      </w:r>
      <w:r>
        <w:instrText xml:space="preserve"> SEQ level0 \*arabic \* MERGEFORMAT </w:instrText>
      </w:r>
      <w:r>
        <w:fldChar w:fldCharType="separate"/>
      </w:r>
      <w:r w:rsidR="00852EF6">
        <w:rPr>
          <w:noProof/>
        </w:rPr>
        <w:t>37</w:t>
      </w:r>
      <w:r>
        <w:fldChar w:fldCharType="end"/>
      </w:r>
      <w:r w:rsidR="0086588B">
        <w:t>.  A treia excepție de la dreptul de examinare de către o jurisdicție superioară o constituie declararea vinovăției și condamnarea ca urmare a unui recurs împotriva achitării în primă instanță.</w:t>
      </w:r>
      <w:r w:rsidR="00B85423" w:rsidRPr="00F042CF">
        <w:rPr>
          <w:vertAlign w:val="superscript"/>
        </w:rPr>
        <w:footnoteReference w:id="12"/>
      </w:r>
      <w:r w:rsidR="0086588B">
        <w:rPr>
          <w:vertAlign w:val="superscript"/>
        </w:rPr>
        <w:t xml:space="preserve"> </w:t>
      </w:r>
      <w:r w:rsidR="0086588B">
        <w:t>Poate fi vorba, de asemenea, de cazuri în care jurisdicția superioară aplică o sancțiune care nu a fost aplicată în primă instanță [</w:t>
      </w:r>
      <w:proofErr w:type="spellStart"/>
      <w:r w:rsidR="00694606">
        <w:fldChar w:fldCharType="begin"/>
      </w:r>
      <w:r w:rsidR="00694606">
        <w:instrText xml:space="preserve"> HYPERLINK "https://hudoc.echr.coe.int/eng?i=001-22846" </w:instrText>
      </w:r>
      <w:r w:rsidR="00694606">
        <w:fldChar w:fldCharType="separate"/>
      </w:r>
      <w:r w:rsidR="0086588B">
        <w:rPr>
          <w:rStyle w:val="Hyperlink"/>
        </w:rPr>
        <w:t>Fortum</w:t>
      </w:r>
      <w:proofErr w:type="spellEnd"/>
      <w:r w:rsidR="0086588B">
        <w:rPr>
          <w:rStyle w:val="Hyperlink"/>
        </w:rPr>
        <w:t xml:space="preserve"> </w:t>
      </w:r>
      <w:proofErr w:type="spellStart"/>
      <w:r w:rsidR="0086588B">
        <w:rPr>
          <w:rStyle w:val="Hyperlink"/>
        </w:rPr>
        <w:t>Oil</w:t>
      </w:r>
      <w:proofErr w:type="spellEnd"/>
      <w:r w:rsidR="0086588B">
        <w:rPr>
          <w:rStyle w:val="Hyperlink"/>
        </w:rPr>
        <w:t xml:space="preserve"> </w:t>
      </w:r>
      <w:proofErr w:type="spellStart"/>
      <w:r w:rsidR="0086588B">
        <w:rPr>
          <w:rStyle w:val="Hyperlink"/>
        </w:rPr>
        <w:t>And</w:t>
      </w:r>
      <w:proofErr w:type="spellEnd"/>
      <w:r w:rsidR="0086588B">
        <w:rPr>
          <w:rStyle w:val="Hyperlink"/>
        </w:rPr>
        <w:t xml:space="preserve"> Gas </w:t>
      </w:r>
      <w:proofErr w:type="spellStart"/>
      <w:r w:rsidR="0086588B">
        <w:rPr>
          <w:rStyle w:val="Hyperlink"/>
        </w:rPr>
        <w:t>Oy</w:t>
      </w:r>
      <w:proofErr w:type="spellEnd"/>
      <w:r w:rsidR="0086588B">
        <w:rPr>
          <w:rStyle w:val="Hyperlink"/>
        </w:rPr>
        <w:t xml:space="preserve"> împotriva Finlandei</w:t>
      </w:r>
      <w:r w:rsidR="00694606">
        <w:rPr>
          <w:rStyle w:val="Hyperlink"/>
        </w:rPr>
        <w:fldChar w:fldCharType="end"/>
      </w:r>
      <w:r w:rsidR="0086588B">
        <w:t xml:space="preserve"> (dec.), 2002] sau cazuri în care jurisdicția superioară a modificat acuzațiile examinate în primă instanță [</w:t>
      </w:r>
      <w:proofErr w:type="spellStart"/>
      <w:r w:rsidR="00694606">
        <w:fldChar w:fldCharType="begin"/>
      </w:r>
      <w:r w:rsidR="00694606">
        <w:instrText xml:space="preserve"> HYPERLINK "https://hudoc.echr.coe.int/eng?i=001-96198" </w:instrText>
      </w:r>
      <w:r w:rsidR="00694606">
        <w:fldChar w:fldCharType="separate"/>
      </w:r>
      <w:r w:rsidR="0086588B">
        <w:rPr>
          <w:rStyle w:val="Hyperlink"/>
        </w:rPr>
        <w:t>Landgren</w:t>
      </w:r>
      <w:proofErr w:type="spellEnd"/>
      <w:r w:rsidR="0086588B">
        <w:rPr>
          <w:rStyle w:val="Hyperlink"/>
        </w:rPr>
        <w:t xml:space="preserve"> împotriva Finlandei</w:t>
      </w:r>
      <w:r w:rsidR="00694606">
        <w:rPr>
          <w:rStyle w:val="Hyperlink"/>
        </w:rPr>
        <w:fldChar w:fldCharType="end"/>
      </w:r>
      <w:r w:rsidR="0086588B">
        <w:t xml:space="preserve"> (dec.), 2009].</w:t>
      </w:r>
    </w:p>
    <w:p w14:paraId="74409C8A" w14:textId="77777777" w:rsidR="00B85423" w:rsidRPr="00F042CF" w:rsidRDefault="00B85423" w:rsidP="00B85423">
      <w:pPr>
        <w:pStyle w:val="ECHRHeading1"/>
        <w:keepNext w:val="0"/>
        <w:keepLines w:val="0"/>
      </w:pPr>
      <w:r>
        <w:br w:type="page"/>
      </w:r>
    </w:p>
    <w:p w14:paraId="6DC24ECB" w14:textId="77777777" w:rsidR="00B85423" w:rsidRPr="00F042CF" w:rsidRDefault="00B85423" w:rsidP="00B85423">
      <w:pPr>
        <w:pStyle w:val="ECHRTitleCentreTOC1"/>
        <w:rPr>
          <w:color w:val="auto"/>
        </w:rPr>
      </w:pPr>
      <w:bookmarkStart w:id="36" w:name="_Toc162525762"/>
      <w:r>
        <w:rPr>
          <w:color w:val="auto"/>
        </w:rPr>
        <w:lastRenderedPageBreak/>
        <w:t>Lista cauzelor citate</w:t>
      </w:r>
      <w:bookmarkEnd w:id="19"/>
      <w:bookmarkEnd w:id="20"/>
      <w:bookmarkEnd w:id="21"/>
      <w:bookmarkEnd w:id="22"/>
      <w:bookmarkEnd w:id="23"/>
      <w:bookmarkEnd w:id="24"/>
      <w:bookmarkEnd w:id="36"/>
    </w:p>
    <w:p w14:paraId="5255BAE8" w14:textId="77777777" w:rsidR="00B85423" w:rsidRPr="00F042CF" w:rsidRDefault="00B85423" w:rsidP="00B85423">
      <w:pPr>
        <w:pStyle w:val="ECHRParaSpaced"/>
      </w:pPr>
    </w:p>
    <w:p w14:paraId="3DF0252E" w14:textId="77777777" w:rsidR="00B85423" w:rsidRPr="00F042CF" w:rsidRDefault="00B85423" w:rsidP="00B85423">
      <w:pPr>
        <w:pStyle w:val="ECHRParaSpaced"/>
      </w:pPr>
      <w:r>
        <w:t>Jurisprudența citată în prezentul ghid face trimitere la hotărâri sau decizii pronunțate de Curte, precum și la decizii sau rapoarte ale Comisiei Europene a Drepturilor Omului („Comisia”).</w:t>
      </w:r>
    </w:p>
    <w:p w14:paraId="40CF39D1" w14:textId="77777777" w:rsidR="00B85423" w:rsidRPr="00F042CF" w:rsidRDefault="00B85423" w:rsidP="00B85423">
      <w:pPr>
        <w:pStyle w:val="ECHRParaSpaced"/>
      </w:pPr>
      <w:r>
        <w:t>Dacă nu se specifică altfel, trimiterea este la o hotărâre pe fond, pronunțată de o cameră a Curții. Abrevierea „(dec.)” arată că este vorba despre o decizie a Curții, iar „(MC)” că respectiva cauză a fost examinată de Marea Cameră.</w:t>
      </w:r>
    </w:p>
    <w:p w14:paraId="68E9D42D" w14:textId="77777777" w:rsidR="00B85423" w:rsidRPr="00F042CF" w:rsidRDefault="00B85423" w:rsidP="00B85423">
      <w:pPr>
        <w:pStyle w:val="ECHRParaSpaced"/>
      </w:pPr>
      <w:r>
        <w:t>Hotărârile Camerei care nu sunt definitive, în sensul art. 44 din Convenție sunt marcate cu un asterisc (*)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cazul în care cererea de retrimitere este admisă de Colegiul Marii Camere, hotărârea pronunțată ulterior de Marea Cameră este cea care devine definitivă, și nu cea a Camerei.</w:t>
      </w:r>
    </w:p>
    <w:p w14:paraId="6D7DA699" w14:textId="77777777" w:rsidR="00B85423" w:rsidRPr="00F042CF" w:rsidRDefault="00B85423" w:rsidP="00B85423">
      <w:pPr>
        <w:pStyle w:val="ECHRParaSpaced"/>
      </w:pPr>
      <w:r>
        <w:t>Hiperlinkurile cauzelor citate în versiunea electronică a ghidului direcționează spre baza de date HUDOC (</w:t>
      </w:r>
      <w:hyperlink r:id="rId89" w:history="1">
        <w:r>
          <w:rPr>
            <w:rStyle w:val="Hyperlink"/>
          </w:rPr>
          <w:t>http://hudoc.echr.coe.int</w:t>
        </w:r>
      </w:hyperlink>
      <w:r>
        <w: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rapoarte),precum și la rezoluțiile Comitetului de Miniștri.</w:t>
      </w:r>
    </w:p>
    <w:p w14:paraId="086D3D23" w14:textId="77777777" w:rsidR="00B85423" w:rsidRPr="00F042CF" w:rsidRDefault="00B85423" w:rsidP="00B85423">
      <w:pPr>
        <w:pStyle w:val="ECHRParaSpaced"/>
      </w:pPr>
      <w:r>
        <w:t xml:space="preserve">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  Toate versiunile lingvistice disponibile pentru cauzele citate pot fi consultate accesând rubrica „Versiuni lingvistice” din baza de date </w:t>
      </w:r>
      <w:hyperlink r:id="rId90" w:history="1">
        <w:r>
          <w:rPr>
            <w:rStyle w:val="Hyperlink"/>
          </w:rPr>
          <w:t>HUDOC</w:t>
        </w:r>
      </w:hyperlink>
      <w:r>
        <w:t>, care apare după ce dați clic pe hiperlinkul cauzei.</w:t>
      </w:r>
    </w:p>
    <w:p w14:paraId="61CF1D70" w14:textId="77777777" w:rsidR="00B85423" w:rsidRPr="00F042CF" w:rsidRDefault="00B85423" w:rsidP="00B85423">
      <w:pPr>
        <w:pStyle w:val="ECHRParaSpaced"/>
      </w:pPr>
    </w:p>
    <w:p w14:paraId="61A93497" w14:textId="77777777" w:rsidR="00B85423" w:rsidRPr="00F042CF" w:rsidRDefault="00B85423" w:rsidP="00B85423">
      <w:pPr>
        <w:pStyle w:val="ECHRTitleCentre1"/>
        <w:rPr>
          <w:color w:val="auto"/>
        </w:rPr>
      </w:pPr>
      <w:r>
        <w:rPr>
          <w:color w:val="auto"/>
        </w:rPr>
        <w:t>—E—</w:t>
      </w:r>
    </w:p>
    <w:p w14:paraId="33537C11" w14:textId="77777777" w:rsidR="00B85423" w:rsidRPr="00F042CF" w:rsidRDefault="00C62AA8" w:rsidP="00B85423">
      <w:pPr>
        <w:pStyle w:val="ECHRParaHanging"/>
        <w:rPr>
          <w:rFonts w:ascii="Calibri" w:hAnsi="Calibri" w:cs="Calibri"/>
        </w:rPr>
      </w:pPr>
      <w:hyperlink r:id="rId91" w:history="1">
        <w:proofErr w:type="spellStart"/>
        <w:r w:rsidR="0086588B">
          <w:rPr>
            <w:rStyle w:val="Hyperlink"/>
            <w:rFonts w:ascii="Calibri" w:hAnsi="Calibri"/>
          </w:rPr>
          <w:t>Engel</w:t>
        </w:r>
        <w:proofErr w:type="spellEnd"/>
        <w:r w:rsidR="0086588B">
          <w:rPr>
            <w:rStyle w:val="Hyperlink"/>
            <w:rFonts w:ascii="Calibri" w:hAnsi="Calibri"/>
          </w:rPr>
          <w:t xml:space="preserve"> și alții împotriva Țărilor de Jos</w:t>
        </w:r>
      </w:hyperlink>
      <w:r w:rsidR="0086588B">
        <w:rPr>
          <w:rFonts w:ascii="Calibri" w:hAnsi="Calibri"/>
        </w:rPr>
        <w:t>, 8 iunie 1976, seria A nr. 22</w:t>
      </w:r>
    </w:p>
    <w:p w14:paraId="24CB71A4" w14:textId="77777777" w:rsidR="00B85423" w:rsidRPr="00F042CF" w:rsidRDefault="00C62AA8" w:rsidP="00B85423">
      <w:pPr>
        <w:pStyle w:val="ECHRParaHanging"/>
      </w:pPr>
      <w:hyperlink r:id="rId92" w:history="1">
        <w:proofErr w:type="spellStart"/>
        <w:r w:rsidR="0086588B">
          <w:rPr>
            <w:rStyle w:val="Hyperlink"/>
          </w:rPr>
          <w:t>Evrenos</w:t>
        </w:r>
        <w:proofErr w:type="spellEnd"/>
        <w:r w:rsidR="0086588B">
          <w:rPr>
            <w:rStyle w:val="Hyperlink"/>
          </w:rPr>
          <w:t xml:space="preserve"> </w:t>
        </w:r>
        <w:proofErr w:type="spellStart"/>
        <w:r w:rsidR="0086588B">
          <w:rPr>
            <w:rStyle w:val="Hyperlink"/>
          </w:rPr>
          <w:t>Önen</w:t>
        </w:r>
        <w:proofErr w:type="spellEnd"/>
        <w:r w:rsidR="0086588B">
          <w:rPr>
            <w:rStyle w:val="Hyperlink"/>
          </w:rPr>
          <w:t xml:space="preserve"> împotriva Turciei</w:t>
        </w:r>
      </w:hyperlink>
      <w:r w:rsidR="0086588B">
        <w:t>, nr. 29782/02, 15 februarie 2007</w:t>
      </w:r>
    </w:p>
    <w:p w14:paraId="2BD375C6" w14:textId="77777777" w:rsidR="00B85423" w:rsidRPr="00F042CF" w:rsidRDefault="00B85423" w:rsidP="00B85423">
      <w:pPr>
        <w:pStyle w:val="ECHRTitleCentre1"/>
        <w:rPr>
          <w:color w:val="auto"/>
        </w:rPr>
      </w:pPr>
      <w:r>
        <w:rPr>
          <w:color w:val="auto"/>
        </w:rPr>
        <w:t>—F—</w:t>
      </w:r>
    </w:p>
    <w:p w14:paraId="6A59F48F" w14:textId="77777777" w:rsidR="00B85423" w:rsidRPr="00F042CF" w:rsidRDefault="00C62AA8" w:rsidP="00B85423">
      <w:pPr>
        <w:jc w:val="both"/>
        <w:rPr>
          <w:rFonts w:cstheme="minorHAnsi"/>
        </w:rPr>
      </w:pPr>
      <w:hyperlink r:id="rId93" w:history="1">
        <w:proofErr w:type="spellStart"/>
        <w:r w:rsidR="0086588B">
          <w:rPr>
            <w:rStyle w:val="Hyperlink"/>
          </w:rPr>
          <w:t>Fırat</w:t>
        </w:r>
        <w:proofErr w:type="spellEnd"/>
        <w:r w:rsidR="0086588B">
          <w:rPr>
            <w:rStyle w:val="Hyperlink"/>
          </w:rPr>
          <w:t xml:space="preserve"> împotriva Greciei</w:t>
        </w:r>
      </w:hyperlink>
      <w:r w:rsidR="0086588B">
        <w:t>, nr. 46005/11, 9 noiembrie 2017</w:t>
      </w:r>
    </w:p>
    <w:p w14:paraId="180804AB" w14:textId="77777777" w:rsidR="00B85423" w:rsidRPr="00F042CF" w:rsidRDefault="00C62AA8" w:rsidP="00B85423">
      <w:pPr>
        <w:jc w:val="both"/>
      </w:pPr>
      <w:hyperlink r:id="rId94" w:history="1">
        <w:proofErr w:type="spellStart"/>
        <w:r w:rsidR="0086588B">
          <w:rPr>
            <w:rStyle w:val="Hyperlink"/>
          </w:rPr>
          <w:t>Fortum</w:t>
        </w:r>
        <w:proofErr w:type="spellEnd"/>
        <w:r w:rsidR="0086588B">
          <w:rPr>
            <w:rStyle w:val="Hyperlink"/>
          </w:rPr>
          <w:t xml:space="preserve"> </w:t>
        </w:r>
        <w:proofErr w:type="spellStart"/>
        <w:r w:rsidR="0086588B">
          <w:rPr>
            <w:rStyle w:val="Hyperlink"/>
          </w:rPr>
          <w:t>Oil</w:t>
        </w:r>
        <w:proofErr w:type="spellEnd"/>
        <w:r w:rsidR="0086588B">
          <w:rPr>
            <w:rStyle w:val="Hyperlink"/>
          </w:rPr>
          <w:t xml:space="preserve"> </w:t>
        </w:r>
        <w:proofErr w:type="spellStart"/>
        <w:r w:rsidR="0086588B">
          <w:rPr>
            <w:rStyle w:val="Hyperlink"/>
          </w:rPr>
          <w:t>And</w:t>
        </w:r>
        <w:proofErr w:type="spellEnd"/>
        <w:r w:rsidR="0086588B">
          <w:rPr>
            <w:rStyle w:val="Hyperlink"/>
          </w:rPr>
          <w:t xml:space="preserve"> Gas </w:t>
        </w:r>
        <w:proofErr w:type="spellStart"/>
        <w:r w:rsidR="0086588B">
          <w:rPr>
            <w:rStyle w:val="Hyperlink"/>
          </w:rPr>
          <w:t>Oy</w:t>
        </w:r>
        <w:proofErr w:type="spellEnd"/>
        <w:r w:rsidR="0086588B">
          <w:rPr>
            <w:rStyle w:val="Hyperlink"/>
          </w:rPr>
          <w:t xml:space="preserve"> împotriva Finlandei</w:t>
        </w:r>
      </w:hyperlink>
      <w:r w:rsidR="0086588B">
        <w:t xml:space="preserve"> (dec.), nr. 32559/96, 12 noiembrie 2002</w:t>
      </w:r>
    </w:p>
    <w:p w14:paraId="06A7CB1F" w14:textId="77777777" w:rsidR="00B85423" w:rsidRPr="00F042CF" w:rsidRDefault="00B85423" w:rsidP="00B85423">
      <w:pPr>
        <w:pStyle w:val="ECHRTitleCentre1"/>
        <w:rPr>
          <w:color w:val="auto"/>
        </w:rPr>
      </w:pPr>
      <w:r>
        <w:rPr>
          <w:color w:val="auto"/>
        </w:rPr>
        <w:t>—G—</w:t>
      </w:r>
    </w:p>
    <w:p w14:paraId="6E28242C" w14:textId="77777777" w:rsidR="00B85423" w:rsidRPr="00F042CF" w:rsidRDefault="00C62AA8" w:rsidP="00B85423">
      <w:pPr>
        <w:jc w:val="both"/>
        <w:rPr>
          <w:rFonts w:cstheme="minorHAnsi"/>
        </w:rPr>
      </w:pPr>
      <w:hyperlink r:id="rId95" w:history="1">
        <w:proofErr w:type="spellStart"/>
        <w:r w:rsidR="0086588B">
          <w:rPr>
            <w:rStyle w:val="Hyperlink"/>
          </w:rPr>
          <w:t>Galstyan</w:t>
        </w:r>
        <w:proofErr w:type="spellEnd"/>
        <w:r w:rsidR="0086588B">
          <w:rPr>
            <w:rStyle w:val="Hyperlink"/>
          </w:rPr>
          <w:t xml:space="preserve"> împotriva Armeniei</w:t>
        </w:r>
      </w:hyperlink>
      <w:r w:rsidR="0086588B">
        <w:t>, nr. 26986/03, 15 noiembrie 2007</w:t>
      </w:r>
    </w:p>
    <w:p w14:paraId="1500A9DE" w14:textId="77777777" w:rsidR="00B85423" w:rsidRPr="00F042CF" w:rsidRDefault="00C62AA8" w:rsidP="00B85423">
      <w:pPr>
        <w:jc w:val="both"/>
        <w:rPr>
          <w:rFonts w:cstheme="minorHAnsi"/>
        </w:rPr>
      </w:pPr>
      <w:hyperlink r:id="rId96" w:history="1">
        <w:r w:rsidR="0086588B">
          <w:rPr>
            <w:rStyle w:val="Hyperlink"/>
          </w:rPr>
          <w:t>Grecu împotriva României</w:t>
        </w:r>
      </w:hyperlink>
      <w:r w:rsidR="0086588B">
        <w:t>, nr. 75101/01, 30 noiembrie 2006</w:t>
      </w:r>
    </w:p>
    <w:p w14:paraId="5581631E" w14:textId="77777777" w:rsidR="00B85423" w:rsidRPr="00F042CF" w:rsidRDefault="00C62AA8" w:rsidP="00B85423">
      <w:pPr>
        <w:jc w:val="both"/>
        <w:rPr>
          <w:rFonts w:cstheme="minorHAnsi"/>
        </w:rPr>
      </w:pPr>
      <w:hyperlink r:id="rId97" w:history="1">
        <w:r w:rsidR="0086588B">
          <w:rPr>
            <w:rStyle w:val="Hyperlink"/>
          </w:rPr>
          <w:t>Grosam împotriva Republicii Cehe</w:t>
        </w:r>
      </w:hyperlink>
      <w:r w:rsidR="0086588B">
        <w:t xml:space="preserve"> (MC), nr. 19750/13, 1 iunie 2023</w:t>
      </w:r>
    </w:p>
    <w:p w14:paraId="5FC45BF3" w14:textId="77777777" w:rsidR="00B85423" w:rsidRPr="00F042CF" w:rsidRDefault="00C62AA8" w:rsidP="00B85423">
      <w:pPr>
        <w:jc w:val="both"/>
        <w:rPr>
          <w:rFonts w:cstheme="minorHAnsi"/>
        </w:rPr>
      </w:pPr>
      <w:hyperlink r:id="rId98" w:history="1">
        <w:proofErr w:type="spellStart"/>
        <w:r w:rsidR="0086588B">
          <w:rPr>
            <w:rStyle w:val="Hyperlink"/>
          </w:rPr>
          <w:t>Gurepka</w:t>
        </w:r>
        <w:proofErr w:type="spellEnd"/>
        <w:r w:rsidR="0086588B">
          <w:rPr>
            <w:rStyle w:val="Hyperlink"/>
          </w:rPr>
          <w:t xml:space="preserve"> împotriva Ucrainei</w:t>
        </w:r>
      </w:hyperlink>
      <w:r w:rsidR="0086588B">
        <w:t>, nr. 61406/00, 6 septembrie 2005</w:t>
      </w:r>
    </w:p>
    <w:p w14:paraId="0B086241" w14:textId="77777777" w:rsidR="00B85423" w:rsidRPr="00F042CF" w:rsidRDefault="00B85423" w:rsidP="00B85423">
      <w:pPr>
        <w:pStyle w:val="ECHRTitleCentre1"/>
        <w:rPr>
          <w:color w:val="auto"/>
        </w:rPr>
      </w:pPr>
      <w:r>
        <w:rPr>
          <w:color w:val="auto"/>
        </w:rPr>
        <w:t>—H—</w:t>
      </w:r>
    </w:p>
    <w:p w14:paraId="5BAE1D72" w14:textId="77777777" w:rsidR="00B85423" w:rsidRPr="00F042CF" w:rsidRDefault="00C62AA8" w:rsidP="00B85423">
      <w:pPr>
        <w:jc w:val="both"/>
        <w:rPr>
          <w:rFonts w:cstheme="minorHAnsi"/>
        </w:rPr>
      </w:pPr>
      <w:hyperlink r:id="rId99" w:history="1">
        <w:proofErr w:type="spellStart"/>
        <w:r w:rsidR="0086588B">
          <w:rPr>
            <w:rStyle w:val="Hyperlink"/>
          </w:rPr>
          <w:t>Hubner</w:t>
        </w:r>
        <w:proofErr w:type="spellEnd"/>
        <w:r w:rsidR="0086588B">
          <w:rPr>
            <w:rStyle w:val="Hyperlink"/>
          </w:rPr>
          <w:t xml:space="preserve"> împotriva Austriei</w:t>
        </w:r>
      </w:hyperlink>
      <w:r w:rsidR="0086588B">
        <w:t xml:space="preserve"> (dec.), nr. 34311/96, 31 august 1999</w:t>
      </w:r>
    </w:p>
    <w:p w14:paraId="41AC8358" w14:textId="77777777" w:rsidR="00B85423" w:rsidRPr="00F042CF" w:rsidRDefault="00B85423" w:rsidP="00B85423">
      <w:pPr>
        <w:pStyle w:val="ECHRTitleCentre1"/>
        <w:rPr>
          <w:color w:val="auto"/>
        </w:rPr>
      </w:pPr>
      <w:r>
        <w:rPr>
          <w:color w:val="auto"/>
        </w:rPr>
        <w:t>—K—</w:t>
      </w:r>
    </w:p>
    <w:p w14:paraId="12379426" w14:textId="77777777" w:rsidR="00B85423" w:rsidRPr="00F042CF" w:rsidRDefault="00C62AA8" w:rsidP="00B85423">
      <w:pPr>
        <w:jc w:val="both"/>
        <w:rPr>
          <w:rFonts w:cstheme="minorHAnsi"/>
        </w:rPr>
      </w:pPr>
      <w:hyperlink r:id="rId100" w:history="1">
        <w:proofErr w:type="spellStart"/>
        <w:r w:rsidR="0086588B">
          <w:rPr>
            <w:rStyle w:val="Hyperlink"/>
          </w:rPr>
          <w:t>Kakabadze</w:t>
        </w:r>
        <w:proofErr w:type="spellEnd"/>
        <w:r w:rsidR="0086588B">
          <w:rPr>
            <w:rStyle w:val="Hyperlink"/>
          </w:rPr>
          <w:t xml:space="preserve"> și alții împotriva Georgiei</w:t>
        </w:r>
      </w:hyperlink>
      <w:r w:rsidR="0086588B">
        <w:t>, nr. 1484/07, 2 octombrie 2012</w:t>
      </w:r>
    </w:p>
    <w:p w14:paraId="793B2CB9" w14:textId="77777777" w:rsidR="00B85423" w:rsidRPr="00F042CF" w:rsidRDefault="00C62AA8" w:rsidP="00B85423">
      <w:pPr>
        <w:jc w:val="both"/>
        <w:rPr>
          <w:rFonts w:cstheme="minorHAnsi"/>
        </w:rPr>
      </w:pPr>
      <w:hyperlink r:id="rId101" w:history="1">
        <w:proofErr w:type="spellStart"/>
        <w:r w:rsidR="0086588B">
          <w:rPr>
            <w:rStyle w:val="Hyperlink"/>
          </w:rPr>
          <w:t>Kamburov</w:t>
        </w:r>
        <w:proofErr w:type="spellEnd"/>
        <w:r w:rsidR="0086588B">
          <w:rPr>
            <w:rStyle w:val="Hyperlink"/>
          </w:rPr>
          <w:t xml:space="preserve"> împotriva Bulgariei</w:t>
        </w:r>
      </w:hyperlink>
      <w:r w:rsidR="0086588B">
        <w:t>, nr. 31001/02, 23 aprilie 2009</w:t>
      </w:r>
    </w:p>
    <w:bookmarkStart w:id="37" w:name="_Hlk128746637"/>
    <w:p w14:paraId="6E2FBAE0" w14:textId="77777777" w:rsidR="00B85423" w:rsidRPr="00F042CF" w:rsidRDefault="00B85423" w:rsidP="00B85423">
      <w:pPr>
        <w:tabs>
          <w:tab w:val="left" w:pos="2592"/>
        </w:tabs>
        <w:jc w:val="both"/>
        <w:rPr>
          <w:rFonts w:cstheme="minorHAnsi"/>
        </w:rPr>
      </w:pPr>
      <w:r w:rsidRPr="00F042CF">
        <w:fldChar w:fldCharType="begin"/>
      </w:r>
      <w:r w:rsidRPr="00F042CF">
        <w:rPr>
          <w:rFonts w:cstheme="minorHAnsi"/>
        </w:rPr>
        <w:instrText xml:space="preserve"> HYPERLINK "https://hudoc.echr.coe.int/fre?i=001-212689" </w:instrText>
      </w:r>
      <w:r w:rsidRPr="00F042CF">
        <w:fldChar w:fldCharType="separate"/>
      </w:r>
      <w:proofErr w:type="spellStart"/>
      <w:r>
        <w:rPr>
          <w:rStyle w:val="Hyperlink"/>
        </w:rPr>
        <w:t>Kindlhofer</w:t>
      </w:r>
      <w:proofErr w:type="spellEnd"/>
      <w:r>
        <w:rPr>
          <w:rStyle w:val="Hyperlink"/>
        </w:rPr>
        <w:t xml:space="preserve"> împotriva Austriei</w:t>
      </w:r>
      <w:r w:rsidRPr="00F042CF">
        <w:rPr>
          <w:rStyle w:val="Hyperlink"/>
          <w:rFonts w:cstheme="minorHAnsi"/>
          <w:i w:val="0"/>
        </w:rPr>
        <w:fldChar w:fldCharType="end"/>
      </w:r>
      <w:r>
        <w:t>, nr. 20962/15, 26 octombrie 2021</w:t>
      </w:r>
      <w:bookmarkEnd w:id="37"/>
    </w:p>
    <w:p w14:paraId="38212560" w14:textId="77777777" w:rsidR="00B85423" w:rsidRPr="00F042CF" w:rsidRDefault="00C62AA8" w:rsidP="00B85423">
      <w:pPr>
        <w:tabs>
          <w:tab w:val="left" w:pos="2592"/>
        </w:tabs>
        <w:jc w:val="both"/>
        <w:rPr>
          <w:rFonts w:cstheme="minorHAnsi"/>
        </w:rPr>
      </w:pPr>
      <w:hyperlink r:id="rId102" w:history="1">
        <w:r w:rsidR="0086588B">
          <w:rPr>
            <w:rStyle w:val="Hyperlink"/>
          </w:rPr>
          <w:t>Krombach împotriva Franței</w:t>
        </w:r>
      </w:hyperlink>
      <w:r w:rsidR="0086588B">
        <w:t>, nr. 29731/96, 13 februarie 2001</w:t>
      </w:r>
    </w:p>
    <w:p w14:paraId="6AA3B368" w14:textId="77777777" w:rsidR="00B85423" w:rsidRPr="00F042CF" w:rsidRDefault="00B85423" w:rsidP="00B85423">
      <w:pPr>
        <w:pStyle w:val="ECHRTitleCentre1"/>
        <w:rPr>
          <w:color w:val="auto"/>
        </w:rPr>
      </w:pPr>
      <w:r>
        <w:rPr>
          <w:color w:val="auto"/>
        </w:rPr>
        <w:t>—L—</w:t>
      </w:r>
    </w:p>
    <w:p w14:paraId="25268D53" w14:textId="77777777" w:rsidR="00B85423" w:rsidRPr="00F042CF" w:rsidRDefault="00C62AA8" w:rsidP="00B85423">
      <w:pPr>
        <w:tabs>
          <w:tab w:val="left" w:pos="2592"/>
        </w:tabs>
        <w:jc w:val="both"/>
        <w:rPr>
          <w:rFonts w:cstheme="minorHAnsi"/>
        </w:rPr>
      </w:pPr>
      <w:hyperlink r:id="rId103" w:history="1">
        <w:proofErr w:type="spellStart"/>
        <w:r w:rsidR="0086588B">
          <w:rPr>
            <w:rStyle w:val="Hyperlink"/>
          </w:rPr>
          <w:t>Lalmahomed</w:t>
        </w:r>
        <w:proofErr w:type="spellEnd"/>
        <w:r w:rsidR="0086588B">
          <w:rPr>
            <w:rStyle w:val="Hyperlink"/>
          </w:rPr>
          <w:t xml:space="preserve"> împotriva Țărilor de Jos</w:t>
        </w:r>
      </w:hyperlink>
      <w:r w:rsidR="0086588B">
        <w:t>, nr. 26036/08, 22 februarie 2011</w:t>
      </w:r>
    </w:p>
    <w:p w14:paraId="53087C3F" w14:textId="77777777" w:rsidR="00B85423" w:rsidRPr="00F042CF" w:rsidRDefault="00C62AA8" w:rsidP="00B85423">
      <w:pPr>
        <w:jc w:val="both"/>
      </w:pPr>
      <w:hyperlink r:id="rId104" w:history="1">
        <w:proofErr w:type="spellStart"/>
        <w:r w:rsidR="0086588B">
          <w:rPr>
            <w:rStyle w:val="Hyperlink"/>
          </w:rPr>
          <w:t>Landgren</w:t>
        </w:r>
        <w:proofErr w:type="spellEnd"/>
        <w:r w:rsidR="0086588B">
          <w:rPr>
            <w:rStyle w:val="Hyperlink"/>
          </w:rPr>
          <w:t xml:space="preserve"> împotriva Finlandei</w:t>
        </w:r>
      </w:hyperlink>
      <w:r w:rsidR="0086588B">
        <w:t xml:space="preserve"> (dec.), nr. 11459/07, 17 noiembrie 2009</w:t>
      </w:r>
    </w:p>
    <w:p w14:paraId="07936797" w14:textId="77777777" w:rsidR="00B85423" w:rsidRPr="00F042CF" w:rsidRDefault="00C62AA8" w:rsidP="00B85423">
      <w:pPr>
        <w:jc w:val="both"/>
        <w:rPr>
          <w:rFonts w:cstheme="minorHAnsi"/>
        </w:rPr>
      </w:pPr>
      <w:hyperlink r:id="rId105" w:history="1">
        <w:proofErr w:type="spellStart"/>
        <w:r w:rsidR="0086588B">
          <w:rPr>
            <w:rStyle w:val="Hyperlink"/>
          </w:rPr>
          <w:t>Luchaninova</w:t>
        </w:r>
        <w:proofErr w:type="spellEnd"/>
        <w:r w:rsidR="0086588B">
          <w:rPr>
            <w:rStyle w:val="Hyperlink"/>
          </w:rPr>
          <w:t xml:space="preserve"> împotriva Ucrainei</w:t>
        </w:r>
      </w:hyperlink>
      <w:r w:rsidR="0086588B">
        <w:t>, nr. 16347/02, 9 iunie 2011</w:t>
      </w:r>
    </w:p>
    <w:p w14:paraId="3CF9B225" w14:textId="77777777" w:rsidR="00B85423" w:rsidRPr="00F042CF" w:rsidRDefault="00B85423" w:rsidP="00B85423">
      <w:pPr>
        <w:pStyle w:val="ECHRTitleCentre1"/>
        <w:rPr>
          <w:color w:val="auto"/>
        </w:rPr>
      </w:pPr>
      <w:r>
        <w:rPr>
          <w:color w:val="auto"/>
        </w:rPr>
        <w:t>—M—</w:t>
      </w:r>
    </w:p>
    <w:p w14:paraId="52340850" w14:textId="77777777" w:rsidR="00B85423" w:rsidRPr="00F042CF" w:rsidRDefault="00C62AA8" w:rsidP="00B85423">
      <w:pPr>
        <w:pStyle w:val="ECHRParaHanging"/>
        <w:rPr>
          <w:rFonts w:cstheme="minorHAnsi"/>
        </w:rPr>
      </w:pPr>
      <w:hyperlink r:id="rId106" w:history="1">
        <w:proofErr w:type="spellStart"/>
        <w:r w:rsidR="0086588B">
          <w:rPr>
            <w:rStyle w:val="Hyperlink"/>
          </w:rPr>
          <w:t>Martynyuk</w:t>
        </w:r>
        <w:proofErr w:type="spellEnd"/>
        <w:r w:rsidR="0086588B">
          <w:rPr>
            <w:rStyle w:val="Hyperlink"/>
          </w:rPr>
          <w:t xml:space="preserve"> împotriva Rusiei</w:t>
        </w:r>
      </w:hyperlink>
      <w:r w:rsidR="0086588B">
        <w:t>, nr. 13764/15, 8 octombrie 2019</w:t>
      </w:r>
    </w:p>
    <w:p w14:paraId="312FBADB" w14:textId="77777777" w:rsidR="00B85423" w:rsidRPr="00F042CF" w:rsidRDefault="00C62AA8" w:rsidP="00B85423">
      <w:pPr>
        <w:pStyle w:val="ECHRParaHanging"/>
        <w:rPr>
          <w:rFonts w:cstheme="minorHAnsi"/>
        </w:rPr>
      </w:pPr>
      <w:hyperlink r:id="rId107" w:history="1">
        <w:r w:rsidR="0086588B">
          <w:rPr>
            <w:rStyle w:val="Hyperlink"/>
          </w:rPr>
          <w:t>Müller împotriva Austriei</w:t>
        </w:r>
      </w:hyperlink>
      <w:r w:rsidR="0086588B">
        <w:t>, nr. 12555/03, 5 octombrie 2006</w:t>
      </w:r>
    </w:p>
    <w:p w14:paraId="0F203C94" w14:textId="77777777" w:rsidR="00B85423" w:rsidRPr="00F042CF" w:rsidRDefault="00B85423" w:rsidP="00B85423">
      <w:pPr>
        <w:pStyle w:val="ECHRTitleCentre1"/>
        <w:rPr>
          <w:color w:val="auto"/>
        </w:rPr>
      </w:pPr>
      <w:r>
        <w:rPr>
          <w:color w:val="auto"/>
        </w:rPr>
        <w:t>—N—</w:t>
      </w:r>
    </w:p>
    <w:p w14:paraId="62C0A526" w14:textId="77777777" w:rsidR="00B85423" w:rsidRPr="00F042CF" w:rsidRDefault="00C62AA8" w:rsidP="00B85423">
      <w:pPr>
        <w:jc w:val="both"/>
        <w:rPr>
          <w:rFonts w:cstheme="minorHAnsi"/>
        </w:rPr>
      </w:pPr>
      <w:hyperlink r:id="rId108" w:history="1">
        <w:proofErr w:type="spellStart"/>
        <w:r w:rsidR="0086588B">
          <w:rPr>
            <w:rStyle w:val="Hyperlink"/>
          </w:rPr>
          <w:t>Natsvlishvili</w:t>
        </w:r>
        <w:proofErr w:type="spellEnd"/>
        <w:r w:rsidR="0086588B">
          <w:rPr>
            <w:rStyle w:val="Hyperlink"/>
          </w:rPr>
          <w:t xml:space="preserve"> și </w:t>
        </w:r>
        <w:proofErr w:type="spellStart"/>
        <w:r w:rsidR="0086588B">
          <w:rPr>
            <w:rStyle w:val="Hyperlink"/>
          </w:rPr>
          <w:t>Togonidze</w:t>
        </w:r>
        <w:proofErr w:type="spellEnd"/>
        <w:r w:rsidR="0086588B">
          <w:rPr>
            <w:rStyle w:val="Hyperlink"/>
          </w:rPr>
          <w:t xml:space="preserve"> împotriva Georgiei</w:t>
        </w:r>
      </w:hyperlink>
      <w:r w:rsidR="0086588B">
        <w:t>, nr. 9043/05, 29 aprilie 2014</w:t>
      </w:r>
    </w:p>
    <w:p w14:paraId="138C832A" w14:textId="77777777" w:rsidR="00B85423" w:rsidRPr="00F042CF" w:rsidRDefault="00B85423" w:rsidP="00B85423">
      <w:pPr>
        <w:pStyle w:val="ECHRTitleCentre1"/>
        <w:rPr>
          <w:color w:val="auto"/>
        </w:rPr>
      </w:pPr>
      <w:r>
        <w:rPr>
          <w:color w:val="auto"/>
        </w:rPr>
        <w:t>—R—</w:t>
      </w:r>
    </w:p>
    <w:p w14:paraId="1090AC5D" w14:textId="77777777" w:rsidR="00B85423" w:rsidRPr="00F042CF" w:rsidRDefault="00C62AA8" w:rsidP="00B85423">
      <w:pPr>
        <w:jc w:val="both"/>
        <w:rPr>
          <w:rFonts w:cstheme="minorHAnsi"/>
        </w:rPr>
      </w:pPr>
      <w:hyperlink r:id="rId109" w:history="1">
        <w:proofErr w:type="spellStart"/>
        <w:r w:rsidR="0086588B">
          <w:rPr>
            <w:rStyle w:val="Hyperlink"/>
          </w:rPr>
          <w:t>Rostovtsev</w:t>
        </w:r>
        <w:proofErr w:type="spellEnd"/>
        <w:r w:rsidR="0086588B">
          <w:rPr>
            <w:rStyle w:val="Hyperlink"/>
          </w:rPr>
          <w:t xml:space="preserve"> împotriva Ucrainei</w:t>
        </w:r>
      </w:hyperlink>
      <w:r w:rsidR="0086588B">
        <w:t>, nr. 2728/16, 25 iulie 2017</w:t>
      </w:r>
    </w:p>
    <w:p w14:paraId="193137EA" w14:textId="77777777" w:rsidR="00B85423" w:rsidRPr="00F042CF" w:rsidRDefault="00C62AA8" w:rsidP="00B85423">
      <w:pPr>
        <w:jc w:val="both"/>
        <w:rPr>
          <w:rFonts w:cstheme="minorHAnsi"/>
        </w:rPr>
      </w:pPr>
      <w:hyperlink r:id="rId110" w:history="1">
        <w:r w:rsidR="0086588B">
          <w:rPr>
            <w:rStyle w:val="Hyperlink"/>
          </w:rPr>
          <w:t xml:space="preserve">Ruslan </w:t>
        </w:r>
        <w:proofErr w:type="spellStart"/>
        <w:r w:rsidR="0086588B">
          <w:rPr>
            <w:rStyle w:val="Hyperlink"/>
          </w:rPr>
          <w:t>Yakovenko</w:t>
        </w:r>
        <w:proofErr w:type="spellEnd"/>
        <w:r w:rsidR="0086588B">
          <w:rPr>
            <w:rStyle w:val="Hyperlink"/>
          </w:rPr>
          <w:t xml:space="preserve"> împotriva Ucrainei</w:t>
        </w:r>
      </w:hyperlink>
      <w:r w:rsidR="0086588B">
        <w:t>, nr. 5425/11, 4 iunie 2015</w:t>
      </w:r>
    </w:p>
    <w:p w14:paraId="103AD477" w14:textId="77777777" w:rsidR="00B85423" w:rsidRPr="00F042CF" w:rsidRDefault="00C62AA8" w:rsidP="00B85423">
      <w:pPr>
        <w:jc w:val="both"/>
        <w:rPr>
          <w:rFonts w:cstheme="minorHAnsi"/>
        </w:rPr>
      </w:pPr>
      <w:hyperlink r:id="rId111" w:history="1">
        <w:proofErr w:type="spellStart"/>
        <w:r w:rsidR="0086588B">
          <w:rPr>
            <w:rStyle w:val="Hyperlink"/>
          </w:rPr>
          <w:t>Rybka</w:t>
        </w:r>
        <w:proofErr w:type="spellEnd"/>
        <w:r w:rsidR="0086588B">
          <w:rPr>
            <w:rStyle w:val="Hyperlink"/>
          </w:rPr>
          <w:t xml:space="preserve"> împotriva Ucrainei</w:t>
        </w:r>
      </w:hyperlink>
      <w:r w:rsidR="0086588B">
        <w:t xml:space="preserve"> (dec.), nr. 10544/03,17 noiembrie 2009</w:t>
      </w:r>
    </w:p>
    <w:p w14:paraId="3BF5A582" w14:textId="77777777" w:rsidR="00B85423" w:rsidRPr="00F042CF" w:rsidRDefault="00B85423" w:rsidP="00B85423">
      <w:pPr>
        <w:pStyle w:val="ECHRTitleCentre1"/>
        <w:rPr>
          <w:color w:val="auto"/>
        </w:rPr>
      </w:pPr>
      <w:r>
        <w:rPr>
          <w:color w:val="auto"/>
        </w:rPr>
        <w:t>—S—</w:t>
      </w:r>
    </w:p>
    <w:p w14:paraId="59DB429E" w14:textId="77777777" w:rsidR="00B85423" w:rsidRPr="00F042CF" w:rsidRDefault="00C62AA8" w:rsidP="00B85423">
      <w:pPr>
        <w:pStyle w:val="ECHRParaHanging"/>
        <w:ind w:left="0" w:firstLine="0"/>
        <w:rPr>
          <w:rFonts w:cstheme="minorHAnsi"/>
        </w:rPr>
      </w:pPr>
      <w:hyperlink r:id="rId112" w:history="1">
        <w:proofErr w:type="spellStart"/>
        <w:r w:rsidR="0086588B">
          <w:rPr>
            <w:rStyle w:val="Hyperlink"/>
          </w:rPr>
          <w:t>Saquetti</w:t>
        </w:r>
        <w:proofErr w:type="spellEnd"/>
        <w:r w:rsidR="0086588B">
          <w:rPr>
            <w:rStyle w:val="Hyperlink"/>
          </w:rPr>
          <w:t xml:space="preserve"> Iglesias împotriva Spaniei</w:t>
        </w:r>
      </w:hyperlink>
      <w:r w:rsidR="0086588B">
        <w:t>, nr. 50514/13, 30 iunie 2020</w:t>
      </w:r>
    </w:p>
    <w:p w14:paraId="4B9791CC" w14:textId="77777777" w:rsidR="00B85423" w:rsidRPr="00F042CF" w:rsidRDefault="00C62AA8" w:rsidP="00B85423">
      <w:pPr>
        <w:jc w:val="both"/>
        <w:rPr>
          <w:rFonts w:cstheme="minorHAnsi"/>
        </w:rPr>
      </w:pPr>
      <w:hyperlink r:id="rId113" w:history="1">
        <w:proofErr w:type="spellStart"/>
        <w:r w:rsidR="0086588B">
          <w:rPr>
            <w:rStyle w:val="Hyperlink"/>
          </w:rPr>
          <w:t>Shvydka</w:t>
        </w:r>
        <w:proofErr w:type="spellEnd"/>
        <w:r w:rsidR="0086588B">
          <w:rPr>
            <w:rStyle w:val="Hyperlink"/>
          </w:rPr>
          <w:t xml:space="preserve"> împotriva Ucrainei</w:t>
        </w:r>
      </w:hyperlink>
      <w:r w:rsidR="0086588B">
        <w:t>, nr. 17888/12, 30 octombrie 2014</w:t>
      </w:r>
    </w:p>
    <w:p w14:paraId="10C11641" w14:textId="77777777" w:rsidR="00B85423" w:rsidRPr="00F042CF" w:rsidRDefault="00C62AA8" w:rsidP="00B85423">
      <w:pPr>
        <w:jc w:val="both"/>
        <w:rPr>
          <w:rFonts w:cstheme="minorHAnsi"/>
          <w:iCs/>
        </w:rPr>
      </w:pPr>
      <w:hyperlink r:id="rId114" w:history="1">
        <w:proofErr w:type="spellStart"/>
        <w:r w:rsidR="0086588B">
          <w:rPr>
            <w:rStyle w:val="Hyperlink"/>
          </w:rPr>
          <w:t>Stanchev</w:t>
        </w:r>
        <w:proofErr w:type="spellEnd"/>
        <w:r w:rsidR="0086588B">
          <w:rPr>
            <w:rStyle w:val="Hyperlink"/>
          </w:rPr>
          <w:t xml:space="preserve"> împotriva Bulgariei</w:t>
        </w:r>
      </w:hyperlink>
      <w:r w:rsidR="0086588B">
        <w:t>, nr. 8682/02, 1 octombrie 2009</w:t>
      </w:r>
    </w:p>
    <w:p w14:paraId="5A7F789B" w14:textId="77777777" w:rsidR="00B85423" w:rsidRPr="00F042CF" w:rsidRDefault="00B85423" w:rsidP="00B85423">
      <w:pPr>
        <w:pStyle w:val="ECHRTitleCentre1"/>
        <w:rPr>
          <w:color w:val="auto"/>
        </w:rPr>
      </w:pPr>
      <w:r>
        <w:rPr>
          <w:color w:val="auto"/>
        </w:rPr>
        <w:t>—T—</w:t>
      </w:r>
    </w:p>
    <w:p w14:paraId="6742A69A" w14:textId="77777777" w:rsidR="00B85423" w:rsidRPr="00F042CF" w:rsidRDefault="00C62AA8" w:rsidP="00B85423">
      <w:pPr>
        <w:pStyle w:val="ECHRParaSpaced"/>
        <w:spacing w:before="0" w:after="0"/>
        <w:rPr>
          <w:rFonts w:cstheme="minorHAnsi"/>
        </w:rPr>
      </w:pPr>
      <w:hyperlink r:id="rId115" w:history="1">
        <w:proofErr w:type="spellStart"/>
        <w:r w:rsidR="0086588B">
          <w:rPr>
            <w:rStyle w:val="Hyperlink"/>
          </w:rPr>
          <w:t>Tsvetkova</w:t>
        </w:r>
        <w:proofErr w:type="spellEnd"/>
        <w:r w:rsidR="0086588B">
          <w:rPr>
            <w:rStyle w:val="Hyperlink"/>
          </w:rPr>
          <w:t xml:space="preserve"> și alții împotriva Rusiei</w:t>
        </w:r>
      </w:hyperlink>
      <w:r w:rsidR="0086588B">
        <w:t>, nr. 54381/08 și alte 5, 10 aprilie 2018</w:t>
      </w:r>
    </w:p>
    <w:p w14:paraId="02FE490D" w14:textId="77777777" w:rsidR="00B85423" w:rsidRPr="00F042CF" w:rsidRDefault="00B85423" w:rsidP="00B85423">
      <w:pPr>
        <w:pStyle w:val="ECHRTitleCentre1"/>
        <w:rPr>
          <w:color w:val="auto"/>
        </w:rPr>
      </w:pPr>
      <w:r>
        <w:rPr>
          <w:color w:val="auto"/>
        </w:rPr>
        <w:t>—Y—</w:t>
      </w:r>
    </w:p>
    <w:p w14:paraId="704528CC" w14:textId="77777777" w:rsidR="00B85423" w:rsidRPr="00F042CF" w:rsidRDefault="00C62AA8" w:rsidP="00B85423">
      <w:pPr>
        <w:pStyle w:val="ECHRParaHanging"/>
        <w:ind w:left="0" w:firstLine="0"/>
        <w:rPr>
          <w:rFonts w:cstheme="minorHAnsi"/>
        </w:rPr>
      </w:pPr>
      <w:hyperlink r:id="rId116" w:history="1">
        <w:r w:rsidR="0086588B">
          <w:rPr>
            <w:rStyle w:val="Hyperlink"/>
          </w:rPr>
          <w:t>Y.B. împotriva Rusiei</w:t>
        </w:r>
      </w:hyperlink>
      <w:r w:rsidR="0086588B">
        <w:t>, nr. 71155/17, 20 iulie 2021</w:t>
      </w:r>
    </w:p>
    <w:p w14:paraId="283B1957" w14:textId="77777777" w:rsidR="00B85423" w:rsidRPr="00F042CF" w:rsidRDefault="00B85423" w:rsidP="00B85423">
      <w:pPr>
        <w:pStyle w:val="ECHRTitleCentre1"/>
        <w:rPr>
          <w:color w:val="auto"/>
        </w:rPr>
      </w:pPr>
      <w:r>
        <w:rPr>
          <w:color w:val="auto"/>
        </w:rPr>
        <w:t>—Z—</w:t>
      </w:r>
    </w:p>
    <w:p w14:paraId="7E47F97D" w14:textId="77777777" w:rsidR="00B85423" w:rsidRPr="00F042CF" w:rsidRDefault="00C62AA8" w:rsidP="00B85423">
      <w:pPr>
        <w:jc w:val="both"/>
        <w:rPr>
          <w:rFonts w:cstheme="minorHAnsi"/>
        </w:rPr>
      </w:pPr>
      <w:hyperlink r:id="rId117" w:history="1">
        <w:proofErr w:type="spellStart"/>
        <w:r w:rsidR="0086588B">
          <w:rPr>
            <w:rStyle w:val="Hyperlink"/>
          </w:rPr>
          <w:t>Zaicevs</w:t>
        </w:r>
        <w:proofErr w:type="spellEnd"/>
        <w:r w:rsidR="0086588B">
          <w:rPr>
            <w:rStyle w:val="Hyperlink"/>
          </w:rPr>
          <w:t xml:space="preserve"> împotriva Letoniei</w:t>
        </w:r>
      </w:hyperlink>
      <w:r w:rsidR="0086588B">
        <w:t>, nr. 65022/01, 31 iulie 2007</w:t>
      </w:r>
    </w:p>
    <w:p w14:paraId="2A3B3D47" w14:textId="77777777" w:rsidR="00B85423" w:rsidRPr="00F042CF" w:rsidRDefault="00C62AA8" w:rsidP="00B85423">
      <w:pPr>
        <w:jc w:val="both"/>
        <w:rPr>
          <w:rFonts w:cstheme="minorHAnsi"/>
        </w:rPr>
      </w:pPr>
      <w:hyperlink r:id="rId118" w:history="1">
        <w:proofErr w:type="spellStart"/>
        <w:r w:rsidR="0086588B">
          <w:rPr>
            <w:rStyle w:val="Hyperlink"/>
          </w:rPr>
          <w:t>Zhelyazkov</w:t>
        </w:r>
        <w:proofErr w:type="spellEnd"/>
        <w:r w:rsidR="0086588B">
          <w:rPr>
            <w:rStyle w:val="Hyperlink"/>
          </w:rPr>
          <w:t xml:space="preserve"> împotriva Bulgariei</w:t>
        </w:r>
      </w:hyperlink>
      <w:r w:rsidR="0086588B">
        <w:t>, nr. 11332/04, 9 octombrie 2012</w:t>
      </w:r>
    </w:p>
    <w:p w14:paraId="3DAA92DA" w14:textId="77777777" w:rsidR="009E42ED" w:rsidRPr="00F042CF" w:rsidRDefault="009E42ED" w:rsidP="00B85423">
      <w:pPr>
        <w:pStyle w:val="ECHRParaHanging"/>
      </w:pPr>
    </w:p>
    <w:sectPr w:rsidR="009E42ED" w:rsidRPr="00F042CF" w:rsidSect="001E2B25">
      <w:headerReference w:type="even" r:id="rId119"/>
      <w:headerReference w:type="default" r:id="rId120"/>
      <w:footerReference w:type="even" r:id="rId121"/>
      <w:footerReference w:type="default" r:id="rId122"/>
      <w:headerReference w:type="first" r:id="rId123"/>
      <w:footerReference w:type="first" r:id="rId124"/>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C96DC" w14:textId="77777777" w:rsidR="00C62AA8" w:rsidRPr="00923E23" w:rsidRDefault="00C62AA8" w:rsidP="00E255CC">
      <w:r w:rsidRPr="00923E23">
        <w:separator/>
      </w:r>
    </w:p>
  </w:endnote>
  <w:endnote w:type="continuationSeparator" w:id="0">
    <w:p w14:paraId="6F189A8A" w14:textId="77777777" w:rsidR="00C62AA8" w:rsidRPr="00923E23" w:rsidRDefault="00C62AA8" w:rsidP="00E255CC">
      <w:r w:rsidRPr="00923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0E363" w14:textId="77777777" w:rsidR="00E67D04" w:rsidRPr="00B85423" w:rsidRDefault="00E67D04" w:rsidP="00B85423">
    <w:pPr>
      <w:pStyle w:val="ECHRFooter"/>
    </w:pPr>
    <w:r w:rsidRPr="00B85423">
      <w:fldChar w:fldCharType="begin"/>
    </w:r>
    <w:r w:rsidRPr="00B85423">
      <w:instrText xml:space="preserve"> PAGE </w:instrText>
    </w:r>
    <w:r w:rsidRPr="00B85423">
      <w:fldChar w:fldCharType="separate"/>
    </w:r>
    <w:r w:rsidR="00FE2104" w:rsidRPr="00B85423">
      <w:t>9</w:t>
    </w:r>
    <w:r w:rsidRPr="00B85423">
      <w:fldChar w:fldCharType="end"/>
    </w:r>
    <w:r>
      <w:tab/>
      <w:t>© Consiliul Europei / Curtea Europeană a Drepturilor Omului,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99554" w14:textId="249ECC1F" w:rsidR="00E67D04" w:rsidRPr="00B85423" w:rsidRDefault="00E67D04" w:rsidP="00B85423">
    <w:pPr>
      <w:pStyle w:val="ECHRFooter"/>
    </w:pPr>
    <w:r>
      <w:t>Curtea Europeană a Drepturilor Omului</w:t>
    </w:r>
    <w:r>
      <w:tab/>
    </w:r>
    <w:r w:rsidR="00F67831" w:rsidRPr="00B85423">
      <w:fldChar w:fldCharType="begin"/>
    </w:r>
    <w:r w:rsidR="00F67831" w:rsidRPr="00B85423">
      <w:instrText xml:space="preserve"> PAGE </w:instrText>
    </w:r>
    <w:r w:rsidR="00F67831" w:rsidRPr="00B85423">
      <w:fldChar w:fldCharType="separate"/>
    </w:r>
    <w:r w:rsidR="00852EF6">
      <w:rPr>
        <w:noProof/>
      </w:rPr>
      <w:t>14</w:t>
    </w:r>
    <w:r w:rsidR="00F67831" w:rsidRPr="00B85423">
      <w:fldChar w:fldCharType="end"/>
    </w:r>
    <w:r>
      <w:t>/</w:t>
    </w:r>
    <w:r w:rsidR="00C62AA8">
      <w:rPr>
        <w:noProof/>
      </w:rPr>
      <w:fldChar w:fldCharType="begin"/>
    </w:r>
    <w:r w:rsidR="00C62AA8">
      <w:rPr>
        <w:noProof/>
      </w:rPr>
      <w:instrText xml:space="preserve"> NUMPAGES </w:instrText>
    </w:r>
    <w:r w:rsidR="00C62AA8">
      <w:rPr>
        <w:noProof/>
      </w:rPr>
      <w:fldChar w:fldCharType="separate"/>
    </w:r>
    <w:r w:rsidR="00852EF6">
      <w:rPr>
        <w:noProof/>
      </w:rPr>
      <w:t>14</w:t>
    </w:r>
    <w:r w:rsidR="00C62AA8">
      <w:rPr>
        <w:noProof/>
      </w:rPr>
      <w:fldChar w:fldCharType="end"/>
    </w:r>
    <w:r>
      <w:tab/>
      <w:t>Ultima actualizare: 30.04.2023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846D25" w14:paraId="1C432B69" w14:textId="77777777" w:rsidTr="00BE1F2A">
      <w:tc>
        <w:tcPr>
          <w:tcW w:w="4530" w:type="dxa"/>
        </w:tcPr>
        <w:p w14:paraId="081218FD" w14:textId="77777777" w:rsidR="00846D25" w:rsidRDefault="00846D25" w:rsidP="00846D25">
          <w:pPr>
            <w:pStyle w:val="Footer"/>
            <w:ind w:left="0"/>
            <w:jc w:val="center"/>
            <w:rPr>
              <w:lang w:val="en-GB"/>
            </w:rPr>
          </w:pPr>
          <w:r>
            <w:rPr>
              <w:rFonts w:eastAsiaTheme="minorHAnsi"/>
            </w:rPr>
            <w:object w:dxaOrig="1094" w:dyaOrig="1048" w14:anchorId="5FEFA8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o:ole="">
                <v:imagedata r:id="rId1" o:title=""/>
              </v:shape>
              <o:OLEObject Type="Embed" ProgID="CorelDRAW.Graphic.11" ShapeID="_x0000_i1025" DrawAspect="Content" ObjectID="_1773139877" r:id="rId2"/>
            </w:object>
          </w:r>
        </w:p>
      </w:tc>
      <w:tc>
        <w:tcPr>
          <w:tcW w:w="6068" w:type="dxa"/>
        </w:tcPr>
        <w:p w14:paraId="39556652" w14:textId="77777777" w:rsidR="00846D25" w:rsidRDefault="00846D25" w:rsidP="00846D25">
          <w:pPr>
            <w:pStyle w:val="Footer"/>
            <w:ind w:left="0"/>
            <w:jc w:val="center"/>
            <w:rPr>
              <w:lang w:val="en-GB"/>
            </w:rPr>
          </w:pPr>
          <w:r>
            <w:rPr>
              <w:lang w:val="en-GB"/>
            </w:rPr>
            <w:t xml:space="preserve">  </w:t>
          </w:r>
          <w:r>
            <w:rPr>
              <w:noProof/>
              <w:sz w:val="4"/>
              <w:lang w:val="en-US"/>
            </w:rPr>
            <w:drawing>
              <wp:inline distT="0" distB="0" distL="0" distR="0" wp14:anchorId="57E529E5" wp14:editId="0D850C5D">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40566EC4" w14:textId="498E5B6F" w:rsidR="00E67D04" w:rsidRPr="00F67831" w:rsidRDefault="00E67D04" w:rsidP="00F67831">
    <w:pPr>
      <w:tabs>
        <w:tab w:val="center" w:pos="4500"/>
      </w:tabs>
      <w:jc w:val="cen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A587D" w14:textId="77777777" w:rsidR="00C62AA8" w:rsidRPr="00923E23" w:rsidRDefault="00C62AA8" w:rsidP="00E255CC">
      <w:r w:rsidRPr="00923E23">
        <w:separator/>
      </w:r>
    </w:p>
  </w:footnote>
  <w:footnote w:type="continuationSeparator" w:id="0">
    <w:p w14:paraId="75337966" w14:textId="77777777" w:rsidR="00C62AA8" w:rsidRPr="00923E23" w:rsidRDefault="00C62AA8" w:rsidP="00E255CC">
      <w:r w:rsidRPr="00923E23">
        <w:continuationSeparator/>
      </w:r>
    </w:p>
  </w:footnote>
  <w:footnote w:id="1">
    <w:p w14:paraId="21FA5EE5" w14:textId="77777777" w:rsidR="00B85423" w:rsidRPr="00B85423" w:rsidRDefault="00B85423" w:rsidP="00B85423">
      <w:pPr>
        <w:pStyle w:val="FootnoteText"/>
      </w:pPr>
      <w:r>
        <w:sym w:font="Symbol" w:char="F02A"/>
      </w:r>
      <w:r>
        <w:t xml:space="preserve"> Jurisprudența citată poate fi în una sau în ambele limbi oficiale (franceză și engleză) ale Curții și ale Comisiei Europene a Drepturilor Omului. Dacă nu se specifică altfel,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 (*).</w:t>
      </w:r>
    </w:p>
  </w:footnote>
  <w:footnote w:id="2">
    <w:p w14:paraId="1D1730D0" w14:textId="77777777" w:rsidR="00B85423" w:rsidRPr="00B85423" w:rsidRDefault="00B85423" w:rsidP="00B85423">
      <w:pPr>
        <w:pStyle w:val="FootnoteText"/>
      </w:pPr>
      <w:r>
        <w:rPr>
          <w:vertAlign w:val="superscript"/>
        </w:rPr>
        <w:footnoteRef/>
      </w:r>
      <w:r>
        <w:t xml:space="preserve"> A se vedea și </w:t>
      </w:r>
      <w:hyperlink r:id="rId1" w:history="1">
        <w:r>
          <w:rPr>
            <w:rStyle w:val="Hyperlink"/>
          </w:rPr>
          <w:t>Ghid privind art. 6 din Convenția europeană a drepturilor omului</w:t>
        </w:r>
      </w:hyperlink>
      <w:r>
        <w:t xml:space="preserve">, </w:t>
      </w:r>
      <w:r>
        <w:rPr>
          <w:i/>
          <w:iCs/>
        </w:rPr>
        <w:t>Dreptul la un proces echitabil (latura penală)</w:t>
      </w:r>
      <w:r>
        <w:t>.</w:t>
      </w:r>
    </w:p>
  </w:footnote>
  <w:footnote w:id="3">
    <w:p w14:paraId="1DB86931" w14:textId="77777777" w:rsidR="00B85423" w:rsidRPr="00B85423" w:rsidRDefault="00B85423" w:rsidP="00B85423">
      <w:pPr>
        <w:pStyle w:val="FootnoteText"/>
      </w:pPr>
      <w:r>
        <w:rPr>
          <w:vertAlign w:val="superscript"/>
        </w:rPr>
        <w:footnoteRef/>
      </w:r>
      <w:r>
        <w:t xml:space="preserve"> A se vedea și </w:t>
      </w:r>
      <w:hyperlink r:id="rId2" w:history="1">
        <w:r>
          <w:rPr>
            <w:rStyle w:val="Hyperlink"/>
          </w:rPr>
          <w:t>Raport explicativ</w:t>
        </w:r>
      </w:hyperlink>
      <w:r>
        <w:rPr>
          <w:i/>
          <w:color w:val="0072BC" w:themeColor="hyperlink"/>
        </w:rPr>
        <w:t xml:space="preserve"> </w:t>
      </w:r>
      <w:r>
        <w:t>la Protocolul nr. 7 la Convenția pentru apărarea drepturilor omului și a libertăților fundamentale, 1984, pct. 17-21.</w:t>
      </w:r>
    </w:p>
  </w:footnote>
  <w:footnote w:id="4">
    <w:p w14:paraId="46A8372B" w14:textId="77777777" w:rsidR="00B85423" w:rsidRPr="00B85423" w:rsidRDefault="00B85423" w:rsidP="00B85423">
      <w:pPr>
        <w:pStyle w:val="FootnoteText"/>
      </w:pPr>
      <w:r>
        <w:rPr>
          <w:vertAlign w:val="superscript"/>
        </w:rPr>
        <w:footnoteRef/>
      </w:r>
      <w:r>
        <w:rPr>
          <w:vertAlign w:val="superscript"/>
        </w:rPr>
        <w:t xml:space="preserve"> </w:t>
      </w:r>
      <w:r>
        <w:t xml:space="preserve">Pentru mai multe detalii privind noțiunea de acuzație în materie penală, a se vedea Secțiunea II din </w:t>
      </w:r>
      <w:hyperlink r:id="rId3" w:history="1">
        <w:r>
          <w:rPr>
            <w:rStyle w:val="Hyperlink"/>
          </w:rPr>
          <w:t>Ghid privind art. 6 din Convenția europeană a drepturilor omului</w:t>
        </w:r>
      </w:hyperlink>
      <w:r>
        <w:t xml:space="preserve">, </w:t>
      </w:r>
      <w:r>
        <w:rPr>
          <w:i/>
          <w:iCs/>
        </w:rPr>
        <w:t>Dreptul la un proces echitabil (latura penală)</w:t>
      </w:r>
      <w:r>
        <w:t>.</w:t>
      </w:r>
    </w:p>
  </w:footnote>
  <w:footnote w:id="5">
    <w:p w14:paraId="3E595991" w14:textId="77777777" w:rsidR="00B85423" w:rsidRPr="00B85423" w:rsidRDefault="00B85423" w:rsidP="00B85423">
      <w:pPr>
        <w:pStyle w:val="FootnoteText"/>
      </w:pPr>
      <w:r>
        <w:rPr>
          <w:vertAlign w:val="superscript"/>
        </w:rPr>
        <w:footnoteRef/>
      </w:r>
      <w:r>
        <w:t xml:space="preserve"> Raport explicativ, citat anterior, pct. 17. A se vedea și Secțiunea IV.A din </w:t>
      </w:r>
      <w:hyperlink r:id="rId4" w:history="1">
        <w:r>
          <w:rPr>
            <w:rStyle w:val="Hyperlink"/>
          </w:rPr>
          <w:t>Ghid privind art. 6 din Convenția europeană a drepturilor omului</w:t>
        </w:r>
      </w:hyperlink>
      <w:r>
        <w:rPr>
          <w:i/>
          <w:iCs/>
        </w:rPr>
        <w:t>, Dreptul la un proces echitabil (latura penală)</w:t>
      </w:r>
      <w:r>
        <w:t>.</w:t>
      </w:r>
    </w:p>
  </w:footnote>
  <w:footnote w:id="6">
    <w:p w14:paraId="04CDED91" w14:textId="77777777" w:rsidR="00B85423" w:rsidRPr="00B85423" w:rsidRDefault="00B85423" w:rsidP="00B85423">
      <w:pPr>
        <w:pStyle w:val="FootnoteText"/>
      </w:pPr>
      <w:r>
        <w:rPr>
          <w:vertAlign w:val="superscript"/>
        </w:rPr>
        <w:footnoteRef/>
      </w:r>
      <w:r>
        <w:rPr>
          <w:vertAlign w:val="superscript"/>
        </w:rPr>
        <w:t xml:space="preserve"> </w:t>
      </w:r>
      <w:r>
        <w:t xml:space="preserve">Pentru mai multe detalii privind noțiunea de instanță, a se vedea Secțiunea IV din </w:t>
      </w:r>
      <w:hyperlink r:id="rId5" w:history="1">
        <w:r>
          <w:rPr>
            <w:rStyle w:val="Hyperlink"/>
          </w:rPr>
          <w:t>Ghid privind art. 6 din Convenția europeană a drepturilor omului</w:t>
        </w:r>
      </w:hyperlink>
      <w:r>
        <w:t xml:space="preserve">, </w:t>
      </w:r>
      <w:r>
        <w:rPr>
          <w:i/>
          <w:iCs/>
        </w:rPr>
        <w:t>Dreptul la un proces echitabil (latura penală)</w:t>
      </w:r>
      <w:r>
        <w:t>.</w:t>
      </w:r>
    </w:p>
  </w:footnote>
  <w:footnote w:id="7">
    <w:p w14:paraId="6B1F77A4" w14:textId="77777777" w:rsidR="00B85423" w:rsidRPr="00B85423" w:rsidRDefault="00B85423" w:rsidP="00B85423">
      <w:pPr>
        <w:pStyle w:val="FootnoteText"/>
      </w:pPr>
      <w:r>
        <w:rPr>
          <w:vertAlign w:val="superscript"/>
        </w:rPr>
        <w:footnoteRef/>
      </w:r>
      <w:r>
        <w:rPr>
          <w:vertAlign w:val="superscript"/>
        </w:rPr>
        <w:t xml:space="preserve"> </w:t>
      </w:r>
      <w:bookmarkStart w:id="27" w:name="_Hlk134109150"/>
      <w:r w:rsidRPr="00B85423">
        <w:fldChar w:fldCharType="begin"/>
      </w:r>
      <w:r w:rsidRPr="00B85423">
        <w:instrText xml:space="preserve"> HYPERLINK "https://rm.coe.int/16800c96fd" </w:instrText>
      </w:r>
      <w:r w:rsidRPr="00B85423">
        <w:fldChar w:fldCharType="separate"/>
      </w:r>
      <w:r>
        <w:rPr>
          <w:rStyle w:val="Hyperlink"/>
        </w:rPr>
        <w:t>Raport explicativ</w:t>
      </w:r>
      <w:r w:rsidRPr="00B85423">
        <w:rPr>
          <w:rStyle w:val="Hyperlink"/>
        </w:rPr>
        <w:fldChar w:fldCharType="end"/>
      </w:r>
      <w:r>
        <w:t xml:space="preserve">, </w:t>
      </w:r>
      <w:bookmarkEnd w:id="27"/>
      <w:r>
        <w:t>citat anterior, pct. 18.</w:t>
      </w:r>
    </w:p>
  </w:footnote>
  <w:footnote w:id="8">
    <w:p w14:paraId="313DAF9D" w14:textId="77777777" w:rsidR="00B85423" w:rsidRPr="00B85423" w:rsidRDefault="00B85423" w:rsidP="00B85423">
      <w:pPr>
        <w:pStyle w:val="FootnoteText"/>
      </w:pPr>
      <w:r>
        <w:rPr>
          <w:vertAlign w:val="superscript"/>
        </w:rPr>
        <w:footnoteRef/>
      </w:r>
      <w:r>
        <w:rPr>
          <w:vertAlign w:val="superscript"/>
        </w:rPr>
        <w:t xml:space="preserve"> </w:t>
      </w:r>
      <w:hyperlink r:id="rId6" w:history="1">
        <w:r>
          <w:rPr>
            <w:rStyle w:val="Hyperlink"/>
          </w:rPr>
          <w:t>Ibidem</w:t>
        </w:r>
      </w:hyperlink>
      <w:r>
        <w:t>, pct. 19.</w:t>
      </w:r>
    </w:p>
  </w:footnote>
  <w:footnote w:id="9">
    <w:p w14:paraId="2686D634" w14:textId="77777777" w:rsidR="00B85423" w:rsidRPr="00B85423" w:rsidRDefault="00B85423" w:rsidP="00B85423">
      <w:pPr>
        <w:pStyle w:val="FootnoteText"/>
      </w:pPr>
      <w:r>
        <w:rPr>
          <w:vertAlign w:val="superscript"/>
        </w:rPr>
        <w:footnoteRef/>
      </w:r>
      <w:r>
        <w:rPr>
          <w:vertAlign w:val="superscript"/>
        </w:rPr>
        <w:t xml:space="preserve"> </w:t>
      </w:r>
      <w:hyperlink r:id="rId7" w:history="1">
        <w:r>
          <w:rPr>
            <w:rStyle w:val="Hyperlink"/>
          </w:rPr>
          <w:t>Raport explicativ</w:t>
        </w:r>
      </w:hyperlink>
      <w:r>
        <w:t>, citat anterior, pct. 20.</w:t>
      </w:r>
    </w:p>
  </w:footnote>
  <w:footnote w:id="10">
    <w:p w14:paraId="1DD45D43" w14:textId="77777777" w:rsidR="00B85423" w:rsidRPr="00B85423" w:rsidRDefault="00B85423" w:rsidP="00B85423">
      <w:pPr>
        <w:pStyle w:val="FootnoteText"/>
      </w:pPr>
      <w:r>
        <w:rPr>
          <w:vertAlign w:val="superscript"/>
        </w:rPr>
        <w:footnoteRef/>
      </w:r>
      <w:r>
        <w:rPr>
          <w:vertAlign w:val="superscript"/>
        </w:rPr>
        <w:t xml:space="preserve"> </w:t>
      </w:r>
      <w:hyperlink r:id="rId8" w:history="1">
        <w:r>
          <w:rPr>
            <w:rStyle w:val="Hyperlink"/>
          </w:rPr>
          <w:t>Ibidem</w:t>
        </w:r>
      </w:hyperlink>
      <w:r>
        <w:t>., pct. 21.</w:t>
      </w:r>
    </w:p>
  </w:footnote>
  <w:footnote w:id="11">
    <w:p w14:paraId="770A9B0B" w14:textId="77777777" w:rsidR="00B85423" w:rsidRPr="00B85423" w:rsidRDefault="00B85423" w:rsidP="00B85423">
      <w:pPr>
        <w:pStyle w:val="FootnoteText"/>
      </w:pPr>
      <w:r>
        <w:rPr>
          <w:vertAlign w:val="superscript"/>
        </w:rPr>
        <w:footnoteRef/>
      </w:r>
      <w:r>
        <w:rPr>
          <w:vertAlign w:val="superscript"/>
        </w:rPr>
        <w:t xml:space="preserve"> </w:t>
      </w:r>
      <w:hyperlink r:id="rId9" w:history="1">
        <w:r>
          <w:rPr>
            <w:rStyle w:val="Hyperlink"/>
          </w:rPr>
          <w:t>Raport explicativ</w:t>
        </w:r>
      </w:hyperlink>
      <w:r>
        <w:t>, citat anterior, pct. 20.</w:t>
      </w:r>
    </w:p>
  </w:footnote>
  <w:footnote w:id="12">
    <w:p w14:paraId="6CEAEEAD" w14:textId="77777777" w:rsidR="00B85423" w:rsidRPr="00B85423" w:rsidRDefault="00B85423" w:rsidP="00B85423">
      <w:pPr>
        <w:pStyle w:val="FootnoteText"/>
      </w:pPr>
      <w:r>
        <w:rPr>
          <w:vertAlign w:val="superscript"/>
        </w:rPr>
        <w:footnoteRef/>
      </w:r>
      <w:r>
        <w:rPr>
          <w:vertAlign w:val="superscript"/>
        </w:rPr>
        <w:t xml:space="preserve"> </w:t>
      </w:r>
      <w:hyperlink r:id="rId10" w:history="1">
        <w:r>
          <w:rPr>
            <w:rStyle w:val="Hyperlink"/>
          </w:rPr>
          <w:t>Ibidem</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7AD66" w14:textId="77777777" w:rsidR="00E67D04" w:rsidRPr="00B85423" w:rsidRDefault="00E67D04" w:rsidP="00B85423">
    <w:pPr>
      <w:pStyle w:val="ECHRHeader"/>
    </w:pPr>
    <w:r>
      <w:t>Ghid privind art. 2 din Protocolul nr. 7 la Convenție – Dreptul la două grade de jurisdicție în materie penală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C995D" w14:textId="77777777" w:rsidR="00E67D04" w:rsidRPr="00B85423" w:rsidRDefault="00E67D04" w:rsidP="00B85423">
    <w:pPr>
      <w:pStyle w:val="ECHR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FB812" w14:textId="77777777" w:rsidR="00EE6C29" w:rsidRDefault="00EE6C29" w:rsidP="00B85423">
    <w:pPr>
      <w:pStyle w:val="ECHRTitleCentre1"/>
      <w:rPr>
        <w:noProof/>
        <w:sz w:val="4"/>
        <w:lang w:eastAsia="ro-RO"/>
      </w:rPr>
    </w:pPr>
  </w:p>
  <w:p w14:paraId="2E657D55" w14:textId="77777777" w:rsidR="00EE6C29" w:rsidRDefault="00EE6C29" w:rsidP="00B85423">
    <w:pPr>
      <w:pStyle w:val="ECHRTitleCentre1"/>
      <w:rPr>
        <w:noProof/>
        <w:sz w:val="4"/>
        <w:lang w:eastAsia="ro-RO"/>
      </w:rPr>
    </w:pPr>
  </w:p>
  <w:p w14:paraId="0685E3D9" w14:textId="77777777" w:rsidR="00F67831" w:rsidRPr="00B85423" w:rsidRDefault="00F67831" w:rsidP="00B85423">
    <w:pPr>
      <w:pStyle w:val="ECHRTitleCentre1"/>
      <w:rPr>
        <w:sz w:val="4"/>
        <w:szCs w:val="4"/>
      </w:rPr>
    </w:pPr>
    <w:r>
      <w:rPr>
        <w:noProof/>
        <w:sz w:val="4"/>
        <w:lang w:val="en-US"/>
      </w:rPr>
      <w:drawing>
        <wp:inline distT="0" distB="0" distL="0" distR="0" wp14:anchorId="4F1F47C1" wp14:editId="7E10A81A">
          <wp:extent cx="2962275" cy="1219200"/>
          <wp:effectExtent l="0" t="0" r="9525" b="0"/>
          <wp:docPr id="12" name="Picture 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5982B7A0" w14:textId="77777777" w:rsidR="00E67D04" w:rsidRPr="00B85423" w:rsidRDefault="00E67D04" w:rsidP="00B85423">
    <w:pPr>
      <w:pStyle w:val="ECHRTitleCentre1"/>
      <w:rPr>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638AC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D44E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2EEF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BAAA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8891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F8DF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A4CE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E061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EEE7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0A88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BE7C17"/>
    <w:multiLevelType w:val="multilevel"/>
    <w:tmpl w:val="F46677C0"/>
    <w:lvl w:ilvl="0">
      <w:start w:val="1"/>
      <w:numFmt w:val="upperRoman"/>
      <w:pStyle w:val="ECHRHeading1"/>
      <w:suff w:val="space"/>
      <w:lvlText w:val="%1."/>
      <w:lvlJc w:val="left"/>
      <w:pPr>
        <w:ind w:left="0" w:firstLine="0"/>
      </w:pPr>
      <w:rPr>
        <w:rFonts w:hint="default"/>
      </w:rPr>
    </w:lvl>
    <w:lvl w:ilvl="1">
      <w:start w:val="1"/>
      <w:numFmt w:val="upperLetter"/>
      <w:pStyle w:val="ECHRHeading2"/>
      <w:suff w:val="space"/>
      <w:lvlText w:val="%2."/>
      <w:lvlJc w:val="left"/>
      <w:pPr>
        <w:ind w:left="0" w:firstLine="0"/>
      </w:pPr>
      <w:rPr>
        <w:rFonts w:hint="default"/>
      </w:rPr>
    </w:lvl>
    <w:lvl w:ilvl="2">
      <w:start w:val="1"/>
      <w:numFmt w:val="decimal"/>
      <w:pStyle w:val="ECHRHeading3"/>
      <w:suff w:val="space"/>
      <w:lvlText w:val="%3."/>
      <w:lvlJc w:val="left"/>
      <w:pPr>
        <w:ind w:left="0" w:firstLine="0"/>
      </w:pPr>
      <w:rPr>
        <w:rFonts w:hint="default"/>
      </w:rPr>
    </w:lvl>
    <w:lvl w:ilvl="3">
      <w:start w:val="1"/>
      <w:numFmt w:val="lowerLetter"/>
      <w:pStyle w:val="ECHRHeading4"/>
      <w:suff w:val="space"/>
      <w:lvlText w:val="%4."/>
      <w:lvlJc w:val="left"/>
      <w:pPr>
        <w:ind w:left="0" w:firstLine="0"/>
      </w:pPr>
      <w:rPr>
        <w:rFonts w:hint="default"/>
      </w:rPr>
    </w:lvl>
    <w:lvl w:ilvl="4">
      <w:start w:val="1"/>
      <w:numFmt w:val="lowerRoman"/>
      <w:pStyle w:val="ECHRHeading5"/>
      <w:suff w:val="space"/>
      <w:lvlText w:val="%5."/>
      <w:lvlJc w:val="left"/>
      <w:pPr>
        <w:ind w:left="0" w:firstLine="0"/>
      </w:pPr>
      <w:rPr>
        <w:rFonts w:hint="default"/>
      </w:rPr>
    </w:lvl>
    <w:lvl w:ilvl="5">
      <w:start w:val="1"/>
      <mc:AlternateContent>
        <mc:Choice Requires="w14">
          <w:numFmt w:val="custom" w:format="α, β, γ, ..."/>
        </mc:Choice>
        <mc:Fallback>
          <w:numFmt w:val="decimal"/>
        </mc:Fallback>
      </mc:AlternateContent>
      <w:pStyle w:val="ECHRHeading6"/>
      <w:suff w:val="space"/>
      <w:lvlText w:val="%6."/>
      <w:lvlJc w:val="left"/>
      <w:pPr>
        <w:ind w:left="0" w:firstLine="0"/>
      </w:pPr>
      <w:rPr>
        <w:rFonts w:asciiTheme="minorHAnsi" w:hAnsiTheme="minorHAnsi" w:hint="default"/>
      </w:rPr>
    </w:lvl>
    <w:lvl w:ilvl="6">
      <w:start w:val="1"/>
      <w:numFmt w:val="bullet"/>
      <w:pStyle w:val="ECHRHeading7"/>
      <w:lvlText w:val=""/>
      <w:lvlJc w:val="left"/>
      <w:pPr>
        <w:ind w:left="170" w:hanging="170"/>
      </w:pPr>
      <w:rPr>
        <w:rFonts w:ascii="Wingdings" w:hAnsi="Wingdings" w:hint="default"/>
        <w:color w:val="auto"/>
      </w:rPr>
    </w:lvl>
    <w:lvl w:ilvl="7">
      <w:start w:val="1"/>
      <w:numFmt w:val="bullet"/>
      <w:pStyle w:val="ECHRHeading8"/>
      <w:lvlText w:val="-"/>
      <w:lvlJc w:val="left"/>
      <w:pPr>
        <w:ind w:left="170" w:hanging="170"/>
      </w:pPr>
      <w:rPr>
        <w:rFonts w:ascii="Calibri" w:hAnsi="Calibri" w:hint="default"/>
        <w:b/>
        <w:i w:val="0"/>
        <w:color w:val="auto"/>
      </w:rPr>
    </w:lvl>
    <w:lvl w:ilvl="8">
      <w:start w:val="1"/>
      <w:numFmt w:val="bullet"/>
      <w:pStyle w:val="ECHRHeading9"/>
      <w:lvlText w:val=""/>
      <w:lvlJc w:val="left"/>
      <w:pPr>
        <w:ind w:left="170" w:hanging="170"/>
      </w:pPr>
      <w:rPr>
        <w:rFonts w:ascii="Wingdings" w:hAnsi="Wingdings" w:hint="default"/>
        <w:color w:val="auto"/>
      </w:rPr>
    </w:lvl>
  </w:abstractNum>
  <w:abstractNum w:abstractNumId="11"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5E6A40"/>
    <w:multiLevelType w:val="multilevel"/>
    <w:tmpl w:val="EAB0152A"/>
    <w:numStyleLink w:val="ECHRA1StyleList"/>
  </w:abstractNum>
  <w:abstractNum w:abstractNumId="13"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77C618"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4" w15:restartNumberingAfterBreak="0">
    <w:nsid w:val="4B4E4709"/>
    <w:multiLevelType w:val="hybridMultilevel"/>
    <w:tmpl w:val="4936FF4A"/>
    <w:lvl w:ilvl="0" w:tplc="FB50E5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EC278A8"/>
    <w:multiLevelType w:val="hybridMultilevel"/>
    <w:tmpl w:val="5304115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1"/>
  </w:num>
  <w:num w:numId="3">
    <w:abstractNumId w:val="15"/>
  </w:num>
  <w:num w:numId="4">
    <w:abstractNumId w:val="13"/>
  </w:num>
  <w:num w:numId="5">
    <w:abstractNumId w:val="10"/>
  </w:num>
  <w:num w:numId="6">
    <w:abstractNumId w:val="12"/>
  </w:num>
  <w:num w:numId="7">
    <w:abstractNumId w:val="15"/>
  </w:num>
  <w:num w:numId="8">
    <w:abstractNumId w:val="13"/>
  </w:num>
  <w:num w:numId="9">
    <w:abstractNumId w:val="11"/>
  </w:num>
  <w:num w:numId="10">
    <w:abstractNumId w:val="15"/>
  </w:num>
  <w:num w:numId="11">
    <w:abstractNumId w:val="13"/>
  </w:num>
  <w:num w:numId="12">
    <w:abstractNumId w:val="13"/>
  </w:num>
  <w:num w:numId="13">
    <w:abstractNumId w:val="13"/>
  </w:num>
  <w:num w:numId="14">
    <w:abstractNumId w:val="13"/>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2"/>
  </w:num>
  <w:num w:numId="25">
    <w:abstractNumId w:val="12"/>
  </w:num>
  <w:num w:numId="26">
    <w:abstractNumId w:val="12"/>
  </w:num>
  <w:num w:numId="27">
    <w:abstractNumId w:val="15"/>
  </w:num>
  <w:num w:numId="28">
    <w:abstractNumId w:val="15"/>
  </w:num>
  <w:num w:numId="29">
    <w:abstractNumId w:val="15"/>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6"/>
  </w:num>
  <w:num w:numId="4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Code" w:val="Guide "/>
  </w:docVars>
  <w:rsids>
    <w:rsidRoot w:val="00F67831"/>
    <w:rsid w:val="00000982"/>
    <w:rsid w:val="00001CB4"/>
    <w:rsid w:val="000042A8"/>
    <w:rsid w:val="00004308"/>
    <w:rsid w:val="00005BF0"/>
    <w:rsid w:val="00007100"/>
    <w:rsid w:val="00007154"/>
    <w:rsid w:val="0000777E"/>
    <w:rsid w:val="000103AE"/>
    <w:rsid w:val="00011D69"/>
    <w:rsid w:val="00012AD3"/>
    <w:rsid w:val="00015C2D"/>
    <w:rsid w:val="00015F00"/>
    <w:rsid w:val="00017B17"/>
    <w:rsid w:val="00022C1D"/>
    <w:rsid w:val="000245FF"/>
    <w:rsid w:val="00025765"/>
    <w:rsid w:val="00027AB3"/>
    <w:rsid w:val="00033E9E"/>
    <w:rsid w:val="00034987"/>
    <w:rsid w:val="000359C4"/>
    <w:rsid w:val="00037660"/>
    <w:rsid w:val="0004225F"/>
    <w:rsid w:val="000427A1"/>
    <w:rsid w:val="00042AAF"/>
    <w:rsid w:val="00051D89"/>
    <w:rsid w:val="00060216"/>
    <w:rsid w:val="000602DF"/>
    <w:rsid w:val="00061B05"/>
    <w:rsid w:val="0006319A"/>
    <w:rsid w:val="000632D5"/>
    <w:rsid w:val="0006370C"/>
    <w:rsid w:val="00063734"/>
    <w:rsid w:val="000644EE"/>
    <w:rsid w:val="00067438"/>
    <w:rsid w:val="0007660D"/>
    <w:rsid w:val="00076E3A"/>
    <w:rsid w:val="00080A39"/>
    <w:rsid w:val="00084F07"/>
    <w:rsid w:val="00090106"/>
    <w:rsid w:val="000925AD"/>
    <w:rsid w:val="000936E2"/>
    <w:rsid w:val="000A069B"/>
    <w:rsid w:val="000A1AC7"/>
    <w:rsid w:val="000A1C08"/>
    <w:rsid w:val="000A24EB"/>
    <w:rsid w:val="000A256B"/>
    <w:rsid w:val="000A30C2"/>
    <w:rsid w:val="000A38A8"/>
    <w:rsid w:val="000A5BCC"/>
    <w:rsid w:val="000B0A0A"/>
    <w:rsid w:val="000B0C37"/>
    <w:rsid w:val="000B3987"/>
    <w:rsid w:val="000B3E58"/>
    <w:rsid w:val="000B51F2"/>
    <w:rsid w:val="000B6923"/>
    <w:rsid w:val="000B7823"/>
    <w:rsid w:val="000C3261"/>
    <w:rsid w:val="000C5F3C"/>
    <w:rsid w:val="000C6DCC"/>
    <w:rsid w:val="000D0980"/>
    <w:rsid w:val="000D3870"/>
    <w:rsid w:val="000D47AA"/>
    <w:rsid w:val="000D6FD4"/>
    <w:rsid w:val="000D721F"/>
    <w:rsid w:val="000D7979"/>
    <w:rsid w:val="000D79DC"/>
    <w:rsid w:val="000E050B"/>
    <w:rsid w:val="000E069B"/>
    <w:rsid w:val="000E0E82"/>
    <w:rsid w:val="000E1DC5"/>
    <w:rsid w:val="000E223F"/>
    <w:rsid w:val="000E7D45"/>
    <w:rsid w:val="000F7851"/>
    <w:rsid w:val="000F7913"/>
    <w:rsid w:val="0010490A"/>
    <w:rsid w:val="00104E23"/>
    <w:rsid w:val="00106960"/>
    <w:rsid w:val="00111B0C"/>
    <w:rsid w:val="00114EC7"/>
    <w:rsid w:val="00120D6C"/>
    <w:rsid w:val="001257EC"/>
    <w:rsid w:val="00125D8E"/>
    <w:rsid w:val="0013077F"/>
    <w:rsid w:val="00133D33"/>
    <w:rsid w:val="00134D64"/>
    <w:rsid w:val="00135A30"/>
    <w:rsid w:val="0013612C"/>
    <w:rsid w:val="00137B57"/>
    <w:rsid w:val="00137FF6"/>
    <w:rsid w:val="00141650"/>
    <w:rsid w:val="001502EB"/>
    <w:rsid w:val="00155814"/>
    <w:rsid w:val="00160189"/>
    <w:rsid w:val="001602FC"/>
    <w:rsid w:val="00162A12"/>
    <w:rsid w:val="00166530"/>
    <w:rsid w:val="001705D1"/>
    <w:rsid w:val="001730E1"/>
    <w:rsid w:val="00173F7F"/>
    <w:rsid w:val="00174A4D"/>
    <w:rsid w:val="00181D7F"/>
    <w:rsid w:val="00182194"/>
    <w:rsid w:val="001827E4"/>
    <w:rsid w:val="001832BD"/>
    <w:rsid w:val="00183741"/>
    <w:rsid w:val="00184B1D"/>
    <w:rsid w:val="00185849"/>
    <w:rsid w:val="001868F4"/>
    <w:rsid w:val="001922C1"/>
    <w:rsid w:val="001943B5"/>
    <w:rsid w:val="00195134"/>
    <w:rsid w:val="001A145B"/>
    <w:rsid w:val="001A1CAA"/>
    <w:rsid w:val="001A2C68"/>
    <w:rsid w:val="001A674C"/>
    <w:rsid w:val="001B3B24"/>
    <w:rsid w:val="001B50A7"/>
    <w:rsid w:val="001B6F59"/>
    <w:rsid w:val="001C0F98"/>
    <w:rsid w:val="001C20D9"/>
    <w:rsid w:val="001C2469"/>
    <w:rsid w:val="001C2A42"/>
    <w:rsid w:val="001C5B6E"/>
    <w:rsid w:val="001D4C7C"/>
    <w:rsid w:val="001D63ED"/>
    <w:rsid w:val="001D7348"/>
    <w:rsid w:val="001D7DA2"/>
    <w:rsid w:val="001E035B"/>
    <w:rsid w:val="001E0961"/>
    <w:rsid w:val="001E1000"/>
    <w:rsid w:val="001E29C7"/>
    <w:rsid w:val="001E2A65"/>
    <w:rsid w:val="001E2B25"/>
    <w:rsid w:val="001E34F2"/>
    <w:rsid w:val="001E3EAE"/>
    <w:rsid w:val="001E462D"/>
    <w:rsid w:val="001E54E9"/>
    <w:rsid w:val="001E598F"/>
    <w:rsid w:val="001E6F32"/>
    <w:rsid w:val="001E7B39"/>
    <w:rsid w:val="001F2145"/>
    <w:rsid w:val="001F6262"/>
    <w:rsid w:val="001F67B0"/>
    <w:rsid w:val="001F7B3D"/>
    <w:rsid w:val="00201733"/>
    <w:rsid w:val="00201B25"/>
    <w:rsid w:val="00203DE2"/>
    <w:rsid w:val="00205F9F"/>
    <w:rsid w:val="00210338"/>
    <w:rsid w:val="002115FC"/>
    <w:rsid w:val="00217701"/>
    <w:rsid w:val="00230D00"/>
    <w:rsid w:val="00231DF7"/>
    <w:rsid w:val="00231FD1"/>
    <w:rsid w:val="00233CF8"/>
    <w:rsid w:val="0023479A"/>
    <w:rsid w:val="0023575D"/>
    <w:rsid w:val="00236B45"/>
    <w:rsid w:val="00237024"/>
    <w:rsid w:val="00237148"/>
    <w:rsid w:val="002407D6"/>
    <w:rsid w:val="00241DB3"/>
    <w:rsid w:val="00241DDC"/>
    <w:rsid w:val="0024222D"/>
    <w:rsid w:val="0024252E"/>
    <w:rsid w:val="00244B0E"/>
    <w:rsid w:val="00244B3D"/>
    <w:rsid w:val="00244F6C"/>
    <w:rsid w:val="00245514"/>
    <w:rsid w:val="00245F4E"/>
    <w:rsid w:val="0024626E"/>
    <w:rsid w:val="0024694E"/>
    <w:rsid w:val="002532C5"/>
    <w:rsid w:val="00255F67"/>
    <w:rsid w:val="00260C03"/>
    <w:rsid w:val="002637D9"/>
    <w:rsid w:val="00263874"/>
    <w:rsid w:val="0026540E"/>
    <w:rsid w:val="00272E05"/>
    <w:rsid w:val="00275123"/>
    <w:rsid w:val="00275419"/>
    <w:rsid w:val="00277739"/>
    <w:rsid w:val="00280B3A"/>
    <w:rsid w:val="00282240"/>
    <w:rsid w:val="00282935"/>
    <w:rsid w:val="0028378B"/>
    <w:rsid w:val="00294237"/>
    <w:rsid w:val="002948AD"/>
    <w:rsid w:val="0029509E"/>
    <w:rsid w:val="002963F2"/>
    <w:rsid w:val="00296F2A"/>
    <w:rsid w:val="002A01CC"/>
    <w:rsid w:val="002A1467"/>
    <w:rsid w:val="002A53F1"/>
    <w:rsid w:val="002A61B1"/>
    <w:rsid w:val="002A663C"/>
    <w:rsid w:val="002A6983"/>
    <w:rsid w:val="002A6E40"/>
    <w:rsid w:val="002B2CFD"/>
    <w:rsid w:val="002B444B"/>
    <w:rsid w:val="002B5887"/>
    <w:rsid w:val="002C0E27"/>
    <w:rsid w:val="002C20EC"/>
    <w:rsid w:val="002C2927"/>
    <w:rsid w:val="002C3040"/>
    <w:rsid w:val="002C39F8"/>
    <w:rsid w:val="002D022D"/>
    <w:rsid w:val="002D110A"/>
    <w:rsid w:val="002D5B08"/>
    <w:rsid w:val="002D7E59"/>
    <w:rsid w:val="002E313A"/>
    <w:rsid w:val="002E47B0"/>
    <w:rsid w:val="002E536E"/>
    <w:rsid w:val="002F2AF7"/>
    <w:rsid w:val="002F3C31"/>
    <w:rsid w:val="002F666B"/>
    <w:rsid w:val="002F7E1C"/>
    <w:rsid w:val="00301A75"/>
    <w:rsid w:val="00302F70"/>
    <w:rsid w:val="0030336F"/>
    <w:rsid w:val="0030375E"/>
    <w:rsid w:val="00305939"/>
    <w:rsid w:val="00310272"/>
    <w:rsid w:val="003119AA"/>
    <w:rsid w:val="00312A30"/>
    <w:rsid w:val="00312B28"/>
    <w:rsid w:val="00320F72"/>
    <w:rsid w:val="0032463E"/>
    <w:rsid w:val="0032558A"/>
    <w:rsid w:val="00326224"/>
    <w:rsid w:val="003303A1"/>
    <w:rsid w:val="00330F90"/>
    <w:rsid w:val="0033120F"/>
    <w:rsid w:val="0033162E"/>
    <w:rsid w:val="00332B5D"/>
    <w:rsid w:val="00336B08"/>
    <w:rsid w:val="00336B19"/>
    <w:rsid w:val="00337EE4"/>
    <w:rsid w:val="00340F30"/>
    <w:rsid w:val="00340FFD"/>
    <w:rsid w:val="003429A0"/>
    <w:rsid w:val="0034551D"/>
    <w:rsid w:val="003472C3"/>
    <w:rsid w:val="003506B1"/>
    <w:rsid w:val="00353716"/>
    <w:rsid w:val="00356AC7"/>
    <w:rsid w:val="00360008"/>
    <w:rsid w:val="003609FA"/>
    <w:rsid w:val="003710C8"/>
    <w:rsid w:val="00372D4E"/>
    <w:rsid w:val="003750BE"/>
    <w:rsid w:val="003812A9"/>
    <w:rsid w:val="003841FF"/>
    <w:rsid w:val="00387B9D"/>
    <w:rsid w:val="0039364F"/>
    <w:rsid w:val="00395D9D"/>
    <w:rsid w:val="00396686"/>
    <w:rsid w:val="00396DE1"/>
    <w:rsid w:val="0039778E"/>
    <w:rsid w:val="003A60C6"/>
    <w:rsid w:val="003B0883"/>
    <w:rsid w:val="003B2277"/>
    <w:rsid w:val="003B4941"/>
    <w:rsid w:val="003B58BD"/>
    <w:rsid w:val="003B797D"/>
    <w:rsid w:val="003C2BFC"/>
    <w:rsid w:val="003C2EE8"/>
    <w:rsid w:val="003C51D7"/>
    <w:rsid w:val="003C5714"/>
    <w:rsid w:val="003C6B9F"/>
    <w:rsid w:val="003C6E2A"/>
    <w:rsid w:val="003D0299"/>
    <w:rsid w:val="003D349F"/>
    <w:rsid w:val="003E0F71"/>
    <w:rsid w:val="003E6745"/>
    <w:rsid w:val="003F05FA"/>
    <w:rsid w:val="003F244A"/>
    <w:rsid w:val="003F30B8"/>
    <w:rsid w:val="003F3872"/>
    <w:rsid w:val="003F4C45"/>
    <w:rsid w:val="003F596C"/>
    <w:rsid w:val="003F5F7B"/>
    <w:rsid w:val="003F7D64"/>
    <w:rsid w:val="004035EF"/>
    <w:rsid w:val="00412EB6"/>
    <w:rsid w:val="00414300"/>
    <w:rsid w:val="00414DAB"/>
    <w:rsid w:val="00416489"/>
    <w:rsid w:val="00421E07"/>
    <w:rsid w:val="00422571"/>
    <w:rsid w:val="00422948"/>
    <w:rsid w:val="00423BAC"/>
    <w:rsid w:val="00423DD8"/>
    <w:rsid w:val="00424541"/>
    <w:rsid w:val="00425545"/>
    <w:rsid w:val="00425C67"/>
    <w:rsid w:val="00427E7A"/>
    <w:rsid w:val="00431160"/>
    <w:rsid w:val="00432416"/>
    <w:rsid w:val="00436C49"/>
    <w:rsid w:val="00440264"/>
    <w:rsid w:val="00441BA9"/>
    <w:rsid w:val="00447F5B"/>
    <w:rsid w:val="00452E21"/>
    <w:rsid w:val="00457483"/>
    <w:rsid w:val="0046130C"/>
    <w:rsid w:val="00461DB0"/>
    <w:rsid w:val="00463926"/>
    <w:rsid w:val="00464C9A"/>
    <w:rsid w:val="00467F62"/>
    <w:rsid w:val="004714B5"/>
    <w:rsid w:val="004720E0"/>
    <w:rsid w:val="00472E35"/>
    <w:rsid w:val="0047322C"/>
    <w:rsid w:val="00473E77"/>
    <w:rsid w:val="00474321"/>
    <w:rsid w:val="00474F3D"/>
    <w:rsid w:val="00477E3A"/>
    <w:rsid w:val="00483E5F"/>
    <w:rsid w:val="00485FF9"/>
    <w:rsid w:val="004861AD"/>
    <w:rsid w:val="004869ED"/>
    <w:rsid w:val="00487DFF"/>
    <w:rsid w:val="00490739"/>
    <w:rsid w:val="004907F0"/>
    <w:rsid w:val="0049140B"/>
    <w:rsid w:val="004923A5"/>
    <w:rsid w:val="00493466"/>
    <w:rsid w:val="004957F7"/>
    <w:rsid w:val="00496B9C"/>
    <w:rsid w:val="00496BFB"/>
    <w:rsid w:val="004A15C7"/>
    <w:rsid w:val="004A3FEA"/>
    <w:rsid w:val="004A44FA"/>
    <w:rsid w:val="004B013B"/>
    <w:rsid w:val="004B0681"/>
    <w:rsid w:val="004B112B"/>
    <w:rsid w:val="004B3B52"/>
    <w:rsid w:val="004B7099"/>
    <w:rsid w:val="004C01E4"/>
    <w:rsid w:val="004C086C"/>
    <w:rsid w:val="004C1F56"/>
    <w:rsid w:val="004C27BC"/>
    <w:rsid w:val="004C5B9B"/>
    <w:rsid w:val="004D15F3"/>
    <w:rsid w:val="004D2A4C"/>
    <w:rsid w:val="004D493C"/>
    <w:rsid w:val="004D5311"/>
    <w:rsid w:val="004D5DCC"/>
    <w:rsid w:val="004D6516"/>
    <w:rsid w:val="004E1A53"/>
    <w:rsid w:val="004E496E"/>
    <w:rsid w:val="004E5AF1"/>
    <w:rsid w:val="004E6D6E"/>
    <w:rsid w:val="004F10AF"/>
    <w:rsid w:val="004F11A4"/>
    <w:rsid w:val="004F2389"/>
    <w:rsid w:val="004F304D"/>
    <w:rsid w:val="004F61BE"/>
    <w:rsid w:val="004F64E5"/>
    <w:rsid w:val="004F66B1"/>
    <w:rsid w:val="004F6AD4"/>
    <w:rsid w:val="00500AEB"/>
    <w:rsid w:val="00503189"/>
    <w:rsid w:val="005051D4"/>
    <w:rsid w:val="005059B0"/>
    <w:rsid w:val="00511C07"/>
    <w:rsid w:val="00513525"/>
    <w:rsid w:val="005148C5"/>
    <w:rsid w:val="005173A6"/>
    <w:rsid w:val="00520BAA"/>
    <w:rsid w:val="00523420"/>
    <w:rsid w:val="00523A98"/>
    <w:rsid w:val="00525208"/>
    <w:rsid w:val="005257A5"/>
    <w:rsid w:val="005264C0"/>
    <w:rsid w:val="00526A8A"/>
    <w:rsid w:val="00530577"/>
    <w:rsid w:val="0053155A"/>
    <w:rsid w:val="00531DF2"/>
    <w:rsid w:val="00532D01"/>
    <w:rsid w:val="00536BCA"/>
    <w:rsid w:val="00540B81"/>
    <w:rsid w:val="005442EE"/>
    <w:rsid w:val="00544B7A"/>
    <w:rsid w:val="0054573F"/>
    <w:rsid w:val="005462EC"/>
    <w:rsid w:val="00547313"/>
    <w:rsid w:val="00547353"/>
    <w:rsid w:val="005474E7"/>
    <w:rsid w:val="005512A3"/>
    <w:rsid w:val="00552063"/>
    <w:rsid w:val="0055297D"/>
    <w:rsid w:val="00553B7E"/>
    <w:rsid w:val="005578CE"/>
    <w:rsid w:val="00562781"/>
    <w:rsid w:val="00564939"/>
    <w:rsid w:val="00564A79"/>
    <w:rsid w:val="00566167"/>
    <w:rsid w:val="00572845"/>
    <w:rsid w:val="0057563E"/>
    <w:rsid w:val="00576F6C"/>
    <w:rsid w:val="0058131D"/>
    <w:rsid w:val="00583A3E"/>
    <w:rsid w:val="00585B7B"/>
    <w:rsid w:val="00592772"/>
    <w:rsid w:val="00593909"/>
    <w:rsid w:val="00593B4D"/>
    <w:rsid w:val="0059574A"/>
    <w:rsid w:val="005A1B9B"/>
    <w:rsid w:val="005A6751"/>
    <w:rsid w:val="005A7930"/>
    <w:rsid w:val="005B092E"/>
    <w:rsid w:val="005B152C"/>
    <w:rsid w:val="005B1EE0"/>
    <w:rsid w:val="005B201D"/>
    <w:rsid w:val="005B2535"/>
    <w:rsid w:val="005B2B24"/>
    <w:rsid w:val="005B4425"/>
    <w:rsid w:val="005B4B94"/>
    <w:rsid w:val="005B50AE"/>
    <w:rsid w:val="005C3EE8"/>
    <w:rsid w:val="005C67BA"/>
    <w:rsid w:val="005D1548"/>
    <w:rsid w:val="005D1ACF"/>
    <w:rsid w:val="005D34F9"/>
    <w:rsid w:val="005D4066"/>
    <w:rsid w:val="005D4190"/>
    <w:rsid w:val="005D5882"/>
    <w:rsid w:val="005D67A3"/>
    <w:rsid w:val="005D72DB"/>
    <w:rsid w:val="005D73F2"/>
    <w:rsid w:val="005E2988"/>
    <w:rsid w:val="005E3085"/>
    <w:rsid w:val="005E3737"/>
    <w:rsid w:val="005E6EF1"/>
    <w:rsid w:val="005F51E1"/>
    <w:rsid w:val="005F5B32"/>
    <w:rsid w:val="006010D1"/>
    <w:rsid w:val="0060145F"/>
    <w:rsid w:val="006019EB"/>
    <w:rsid w:val="00607BE2"/>
    <w:rsid w:val="00607D91"/>
    <w:rsid w:val="00611C80"/>
    <w:rsid w:val="00613670"/>
    <w:rsid w:val="00614A20"/>
    <w:rsid w:val="00620692"/>
    <w:rsid w:val="006242CA"/>
    <w:rsid w:val="00626679"/>
    <w:rsid w:val="00627507"/>
    <w:rsid w:val="006319D3"/>
    <w:rsid w:val="00633717"/>
    <w:rsid w:val="00633D97"/>
    <w:rsid w:val="006342C1"/>
    <w:rsid w:val="006344E1"/>
    <w:rsid w:val="00634D45"/>
    <w:rsid w:val="0063515D"/>
    <w:rsid w:val="00647DFA"/>
    <w:rsid w:val="006527B3"/>
    <w:rsid w:val="006528EB"/>
    <w:rsid w:val="006545C4"/>
    <w:rsid w:val="0065481C"/>
    <w:rsid w:val="00654F4B"/>
    <w:rsid w:val="006575E6"/>
    <w:rsid w:val="00657EFC"/>
    <w:rsid w:val="00661971"/>
    <w:rsid w:val="00661CE8"/>
    <w:rsid w:val="006623D9"/>
    <w:rsid w:val="0066550C"/>
    <w:rsid w:val="006716F2"/>
    <w:rsid w:val="0067404A"/>
    <w:rsid w:val="00681593"/>
    <w:rsid w:val="00682BF2"/>
    <w:rsid w:val="00684578"/>
    <w:rsid w:val="006859CE"/>
    <w:rsid w:val="00686884"/>
    <w:rsid w:val="0068698A"/>
    <w:rsid w:val="00691270"/>
    <w:rsid w:val="00694606"/>
    <w:rsid w:val="00694BA8"/>
    <w:rsid w:val="00696805"/>
    <w:rsid w:val="006A037C"/>
    <w:rsid w:val="006A36F4"/>
    <w:rsid w:val="006A406F"/>
    <w:rsid w:val="006A5211"/>
    <w:rsid w:val="006A5388"/>
    <w:rsid w:val="006A5D3A"/>
    <w:rsid w:val="006A6F5E"/>
    <w:rsid w:val="006B25A6"/>
    <w:rsid w:val="006B42CB"/>
    <w:rsid w:val="006B44D5"/>
    <w:rsid w:val="006B6786"/>
    <w:rsid w:val="006B7EA1"/>
    <w:rsid w:val="006C23D4"/>
    <w:rsid w:val="006C2727"/>
    <w:rsid w:val="006C6380"/>
    <w:rsid w:val="006C7258"/>
    <w:rsid w:val="006C7BB0"/>
    <w:rsid w:val="006D1445"/>
    <w:rsid w:val="006D2D64"/>
    <w:rsid w:val="006D3237"/>
    <w:rsid w:val="006E0B27"/>
    <w:rsid w:val="006E2E37"/>
    <w:rsid w:val="006E3CF1"/>
    <w:rsid w:val="006E4AB4"/>
    <w:rsid w:val="006E5081"/>
    <w:rsid w:val="006E58A1"/>
    <w:rsid w:val="006E7E80"/>
    <w:rsid w:val="006F1502"/>
    <w:rsid w:val="006F48CA"/>
    <w:rsid w:val="006F64DD"/>
    <w:rsid w:val="0070032F"/>
    <w:rsid w:val="00702F40"/>
    <w:rsid w:val="00704AD4"/>
    <w:rsid w:val="00705486"/>
    <w:rsid w:val="0070637E"/>
    <w:rsid w:val="0070696A"/>
    <w:rsid w:val="00711FF3"/>
    <w:rsid w:val="00715127"/>
    <w:rsid w:val="00715E8E"/>
    <w:rsid w:val="007163C8"/>
    <w:rsid w:val="00721E6B"/>
    <w:rsid w:val="00723580"/>
    <w:rsid w:val="00723755"/>
    <w:rsid w:val="00725101"/>
    <w:rsid w:val="00725341"/>
    <w:rsid w:val="0073136C"/>
    <w:rsid w:val="00731398"/>
    <w:rsid w:val="00731F0F"/>
    <w:rsid w:val="00733250"/>
    <w:rsid w:val="00737A7C"/>
    <w:rsid w:val="00741404"/>
    <w:rsid w:val="007449E5"/>
    <w:rsid w:val="0074539C"/>
    <w:rsid w:val="007463C4"/>
    <w:rsid w:val="00747FF0"/>
    <w:rsid w:val="00750F0C"/>
    <w:rsid w:val="00754E01"/>
    <w:rsid w:val="00757E39"/>
    <w:rsid w:val="007628EE"/>
    <w:rsid w:val="00763A52"/>
    <w:rsid w:val="00764D4E"/>
    <w:rsid w:val="00765731"/>
    <w:rsid w:val="00765A1F"/>
    <w:rsid w:val="00771BBB"/>
    <w:rsid w:val="00772FEF"/>
    <w:rsid w:val="00773426"/>
    <w:rsid w:val="007746E0"/>
    <w:rsid w:val="00775B6D"/>
    <w:rsid w:val="00776D68"/>
    <w:rsid w:val="00777CDC"/>
    <w:rsid w:val="007850EE"/>
    <w:rsid w:val="007852D1"/>
    <w:rsid w:val="00785B95"/>
    <w:rsid w:val="00790E96"/>
    <w:rsid w:val="0079287C"/>
    <w:rsid w:val="00793366"/>
    <w:rsid w:val="00794A4B"/>
    <w:rsid w:val="00794A8F"/>
    <w:rsid w:val="007964E5"/>
    <w:rsid w:val="00797405"/>
    <w:rsid w:val="00797878"/>
    <w:rsid w:val="007A049C"/>
    <w:rsid w:val="007A0BDD"/>
    <w:rsid w:val="007A716F"/>
    <w:rsid w:val="007A7766"/>
    <w:rsid w:val="007B08ED"/>
    <w:rsid w:val="007B11BE"/>
    <w:rsid w:val="007B1D1B"/>
    <w:rsid w:val="007B270A"/>
    <w:rsid w:val="007B4A07"/>
    <w:rsid w:val="007C0695"/>
    <w:rsid w:val="007C0F2E"/>
    <w:rsid w:val="007C2D90"/>
    <w:rsid w:val="007C419A"/>
    <w:rsid w:val="007C4CC8"/>
    <w:rsid w:val="007C5426"/>
    <w:rsid w:val="007C5798"/>
    <w:rsid w:val="007D239B"/>
    <w:rsid w:val="007D2C24"/>
    <w:rsid w:val="007D4832"/>
    <w:rsid w:val="007E1CDA"/>
    <w:rsid w:val="007E21B2"/>
    <w:rsid w:val="007E2C4E"/>
    <w:rsid w:val="007E79FD"/>
    <w:rsid w:val="007F0AA6"/>
    <w:rsid w:val="007F1905"/>
    <w:rsid w:val="007F3517"/>
    <w:rsid w:val="007F3C97"/>
    <w:rsid w:val="00801072"/>
    <w:rsid w:val="00802C64"/>
    <w:rsid w:val="00805E52"/>
    <w:rsid w:val="008061D0"/>
    <w:rsid w:val="00810B38"/>
    <w:rsid w:val="00813E4C"/>
    <w:rsid w:val="00814C6A"/>
    <w:rsid w:val="008204C7"/>
    <w:rsid w:val="00820992"/>
    <w:rsid w:val="008222D1"/>
    <w:rsid w:val="00823602"/>
    <w:rsid w:val="008252AD"/>
    <w:rsid w:val="008255F5"/>
    <w:rsid w:val="0082699C"/>
    <w:rsid w:val="0083014E"/>
    <w:rsid w:val="00830837"/>
    <w:rsid w:val="0083214A"/>
    <w:rsid w:val="00834220"/>
    <w:rsid w:val="008346EE"/>
    <w:rsid w:val="008431A0"/>
    <w:rsid w:val="00844920"/>
    <w:rsid w:val="00844F3E"/>
    <w:rsid w:val="00845723"/>
    <w:rsid w:val="00846D25"/>
    <w:rsid w:val="00852EF6"/>
    <w:rsid w:val="00853199"/>
    <w:rsid w:val="00855856"/>
    <w:rsid w:val="008569AB"/>
    <w:rsid w:val="0086145E"/>
    <w:rsid w:val="008620A4"/>
    <w:rsid w:val="0086497A"/>
    <w:rsid w:val="0086588B"/>
    <w:rsid w:val="00867C7E"/>
    <w:rsid w:val="00870198"/>
    <w:rsid w:val="008713A1"/>
    <w:rsid w:val="008754AB"/>
    <w:rsid w:val="00875585"/>
    <w:rsid w:val="0088060C"/>
    <w:rsid w:val="00893576"/>
    <w:rsid w:val="00893E73"/>
    <w:rsid w:val="008958F2"/>
    <w:rsid w:val="008A00A9"/>
    <w:rsid w:val="008A4DA3"/>
    <w:rsid w:val="008A739C"/>
    <w:rsid w:val="008A7DEB"/>
    <w:rsid w:val="008B02DC"/>
    <w:rsid w:val="008B57CE"/>
    <w:rsid w:val="008C17D5"/>
    <w:rsid w:val="008C26DE"/>
    <w:rsid w:val="008C2816"/>
    <w:rsid w:val="008C3E24"/>
    <w:rsid w:val="008C68DB"/>
    <w:rsid w:val="008D2225"/>
    <w:rsid w:val="008D4389"/>
    <w:rsid w:val="008D4752"/>
    <w:rsid w:val="008D76F3"/>
    <w:rsid w:val="008E271C"/>
    <w:rsid w:val="008E418E"/>
    <w:rsid w:val="008E5BC6"/>
    <w:rsid w:val="008E6A25"/>
    <w:rsid w:val="008F1CDD"/>
    <w:rsid w:val="008F5193"/>
    <w:rsid w:val="008F6A6D"/>
    <w:rsid w:val="00900C50"/>
    <w:rsid w:val="009013A7"/>
    <w:rsid w:val="009017FB"/>
    <w:rsid w:val="009017FC"/>
    <w:rsid w:val="00902768"/>
    <w:rsid w:val="009043AE"/>
    <w:rsid w:val="0090506B"/>
    <w:rsid w:val="009050C9"/>
    <w:rsid w:val="00905825"/>
    <w:rsid w:val="00905F2C"/>
    <w:rsid w:val="009066FC"/>
    <w:rsid w:val="009111BE"/>
    <w:rsid w:val="009127A3"/>
    <w:rsid w:val="009133F0"/>
    <w:rsid w:val="009140A3"/>
    <w:rsid w:val="009144A2"/>
    <w:rsid w:val="0091510C"/>
    <w:rsid w:val="00915D20"/>
    <w:rsid w:val="00917A63"/>
    <w:rsid w:val="00923E23"/>
    <w:rsid w:val="009259AC"/>
    <w:rsid w:val="00926F38"/>
    <w:rsid w:val="0093044A"/>
    <w:rsid w:val="009338EE"/>
    <w:rsid w:val="00934301"/>
    <w:rsid w:val="009348D0"/>
    <w:rsid w:val="00936CD1"/>
    <w:rsid w:val="00941174"/>
    <w:rsid w:val="00941747"/>
    <w:rsid w:val="00941EFB"/>
    <w:rsid w:val="00947AFB"/>
    <w:rsid w:val="00950D47"/>
    <w:rsid w:val="00951D7D"/>
    <w:rsid w:val="00953A0B"/>
    <w:rsid w:val="009574AA"/>
    <w:rsid w:val="009630C7"/>
    <w:rsid w:val="00966620"/>
    <w:rsid w:val="009705F7"/>
    <w:rsid w:val="0097098C"/>
    <w:rsid w:val="00972B55"/>
    <w:rsid w:val="009743B7"/>
    <w:rsid w:val="0098228B"/>
    <w:rsid w:val="009828DA"/>
    <w:rsid w:val="0098342E"/>
    <w:rsid w:val="00985640"/>
    <w:rsid w:val="00985BAB"/>
    <w:rsid w:val="009870F5"/>
    <w:rsid w:val="009945CC"/>
    <w:rsid w:val="00994F17"/>
    <w:rsid w:val="00995F2D"/>
    <w:rsid w:val="009A460C"/>
    <w:rsid w:val="009A5236"/>
    <w:rsid w:val="009B1B5F"/>
    <w:rsid w:val="009B6673"/>
    <w:rsid w:val="009B719B"/>
    <w:rsid w:val="009C0C8D"/>
    <w:rsid w:val="009C191B"/>
    <w:rsid w:val="009C2BD6"/>
    <w:rsid w:val="009C2C75"/>
    <w:rsid w:val="009C388D"/>
    <w:rsid w:val="009D2B3D"/>
    <w:rsid w:val="009D559B"/>
    <w:rsid w:val="009D70BE"/>
    <w:rsid w:val="009D7564"/>
    <w:rsid w:val="009E0B3A"/>
    <w:rsid w:val="009E1F32"/>
    <w:rsid w:val="009E42ED"/>
    <w:rsid w:val="009E43F3"/>
    <w:rsid w:val="009E776C"/>
    <w:rsid w:val="009F0FBB"/>
    <w:rsid w:val="009F2EC4"/>
    <w:rsid w:val="009F49CF"/>
    <w:rsid w:val="009F6C7F"/>
    <w:rsid w:val="00A01C6E"/>
    <w:rsid w:val="00A03DB7"/>
    <w:rsid w:val="00A04C9D"/>
    <w:rsid w:val="00A134AC"/>
    <w:rsid w:val="00A13770"/>
    <w:rsid w:val="00A16B95"/>
    <w:rsid w:val="00A1726E"/>
    <w:rsid w:val="00A204CF"/>
    <w:rsid w:val="00A23D49"/>
    <w:rsid w:val="00A2447D"/>
    <w:rsid w:val="00A27004"/>
    <w:rsid w:val="00A30C29"/>
    <w:rsid w:val="00A34A01"/>
    <w:rsid w:val="00A34DD6"/>
    <w:rsid w:val="00A35BAD"/>
    <w:rsid w:val="00A36819"/>
    <w:rsid w:val="00A36989"/>
    <w:rsid w:val="00A4093F"/>
    <w:rsid w:val="00A43628"/>
    <w:rsid w:val="00A51847"/>
    <w:rsid w:val="00A52D30"/>
    <w:rsid w:val="00A54192"/>
    <w:rsid w:val="00A55943"/>
    <w:rsid w:val="00A5776C"/>
    <w:rsid w:val="00A6035E"/>
    <w:rsid w:val="00A6144C"/>
    <w:rsid w:val="00A64A5C"/>
    <w:rsid w:val="00A66617"/>
    <w:rsid w:val="00A671F8"/>
    <w:rsid w:val="00A673A4"/>
    <w:rsid w:val="00A702E9"/>
    <w:rsid w:val="00A724AE"/>
    <w:rsid w:val="00A73329"/>
    <w:rsid w:val="00A7335A"/>
    <w:rsid w:val="00A81B9B"/>
    <w:rsid w:val="00A82359"/>
    <w:rsid w:val="00A84CC7"/>
    <w:rsid w:val="00A865D2"/>
    <w:rsid w:val="00A87FC9"/>
    <w:rsid w:val="00A94C20"/>
    <w:rsid w:val="00AA12DA"/>
    <w:rsid w:val="00AA227F"/>
    <w:rsid w:val="00AA3BC7"/>
    <w:rsid w:val="00AA5893"/>
    <w:rsid w:val="00AA678E"/>
    <w:rsid w:val="00AA754A"/>
    <w:rsid w:val="00AB0410"/>
    <w:rsid w:val="00AB097E"/>
    <w:rsid w:val="00AB099E"/>
    <w:rsid w:val="00AB4328"/>
    <w:rsid w:val="00AC04A2"/>
    <w:rsid w:val="00AC6525"/>
    <w:rsid w:val="00AD0E0B"/>
    <w:rsid w:val="00AD48BF"/>
    <w:rsid w:val="00AD54A2"/>
    <w:rsid w:val="00AD6E3D"/>
    <w:rsid w:val="00AE0A2E"/>
    <w:rsid w:val="00AE354C"/>
    <w:rsid w:val="00AE4684"/>
    <w:rsid w:val="00AE72C6"/>
    <w:rsid w:val="00AF008E"/>
    <w:rsid w:val="00AF3640"/>
    <w:rsid w:val="00AF3CF7"/>
    <w:rsid w:val="00AF4B07"/>
    <w:rsid w:val="00AF6186"/>
    <w:rsid w:val="00AF62E7"/>
    <w:rsid w:val="00AF7A3A"/>
    <w:rsid w:val="00B01A05"/>
    <w:rsid w:val="00B0494D"/>
    <w:rsid w:val="00B04A15"/>
    <w:rsid w:val="00B07A23"/>
    <w:rsid w:val="00B159FC"/>
    <w:rsid w:val="00B160DB"/>
    <w:rsid w:val="00B20836"/>
    <w:rsid w:val="00B235BB"/>
    <w:rsid w:val="00B27A44"/>
    <w:rsid w:val="00B30BBF"/>
    <w:rsid w:val="00B3191B"/>
    <w:rsid w:val="00B33C03"/>
    <w:rsid w:val="00B33E21"/>
    <w:rsid w:val="00B41E9B"/>
    <w:rsid w:val="00B41ED1"/>
    <w:rsid w:val="00B44E56"/>
    <w:rsid w:val="00B45ECE"/>
    <w:rsid w:val="00B46543"/>
    <w:rsid w:val="00B47D33"/>
    <w:rsid w:val="00B5278F"/>
    <w:rsid w:val="00B538D8"/>
    <w:rsid w:val="00B539E1"/>
    <w:rsid w:val="00B53F98"/>
    <w:rsid w:val="00B54133"/>
    <w:rsid w:val="00B55564"/>
    <w:rsid w:val="00B56B61"/>
    <w:rsid w:val="00B60BF4"/>
    <w:rsid w:val="00B62742"/>
    <w:rsid w:val="00B664A7"/>
    <w:rsid w:val="00B67145"/>
    <w:rsid w:val="00B701ED"/>
    <w:rsid w:val="00B74BE8"/>
    <w:rsid w:val="00B8086C"/>
    <w:rsid w:val="00B82984"/>
    <w:rsid w:val="00B85423"/>
    <w:rsid w:val="00B861B4"/>
    <w:rsid w:val="00B86D38"/>
    <w:rsid w:val="00B86DFE"/>
    <w:rsid w:val="00B90990"/>
    <w:rsid w:val="00B91C00"/>
    <w:rsid w:val="00B922FF"/>
    <w:rsid w:val="00B9263D"/>
    <w:rsid w:val="00B9281E"/>
    <w:rsid w:val="00B930DD"/>
    <w:rsid w:val="00B93925"/>
    <w:rsid w:val="00B95187"/>
    <w:rsid w:val="00B963A8"/>
    <w:rsid w:val="00B96A07"/>
    <w:rsid w:val="00BA26E4"/>
    <w:rsid w:val="00BA27EA"/>
    <w:rsid w:val="00BA2D55"/>
    <w:rsid w:val="00BA48F9"/>
    <w:rsid w:val="00BA71B1"/>
    <w:rsid w:val="00BB0637"/>
    <w:rsid w:val="00BB0F16"/>
    <w:rsid w:val="00BB345F"/>
    <w:rsid w:val="00BB61A0"/>
    <w:rsid w:val="00BB682C"/>
    <w:rsid w:val="00BB68EA"/>
    <w:rsid w:val="00BB6E8F"/>
    <w:rsid w:val="00BB75D9"/>
    <w:rsid w:val="00BC0EEC"/>
    <w:rsid w:val="00BC1C27"/>
    <w:rsid w:val="00BC3829"/>
    <w:rsid w:val="00BC6BBF"/>
    <w:rsid w:val="00BD1572"/>
    <w:rsid w:val="00BD3781"/>
    <w:rsid w:val="00BD6086"/>
    <w:rsid w:val="00BE3774"/>
    <w:rsid w:val="00BE41E5"/>
    <w:rsid w:val="00BF4109"/>
    <w:rsid w:val="00BF4CC3"/>
    <w:rsid w:val="00C019DA"/>
    <w:rsid w:val="00C04190"/>
    <w:rsid w:val="00C054C7"/>
    <w:rsid w:val="00C057B5"/>
    <w:rsid w:val="00C169E2"/>
    <w:rsid w:val="00C17866"/>
    <w:rsid w:val="00C17A3E"/>
    <w:rsid w:val="00C22687"/>
    <w:rsid w:val="00C230F9"/>
    <w:rsid w:val="00C2330A"/>
    <w:rsid w:val="00C24754"/>
    <w:rsid w:val="00C25A7D"/>
    <w:rsid w:val="00C32E4D"/>
    <w:rsid w:val="00C333A0"/>
    <w:rsid w:val="00C3424E"/>
    <w:rsid w:val="00C36A81"/>
    <w:rsid w:val="00C370F5"/>
    <w:rsid w:val="00C372E9"/>
    <w:rsid w:val="00C41974"/>
    <w:rsid w:val="00C47296"/>
    <w:rsid w:val="00C53F4A"/>
    <w:rsid w:val="00C54125"/>
    <w:rsid w:val="00C547C1"/>
    <w:rsid w:val="00C55B54"/>
    <w:rsid w:val="00C56DFC"/>
    <w:rsid w:val="00C6098E"/>
    <w:rsid w:val="00C6152C"/>
    <w:rsid w:val="00C6254E"/>
    <w:rsid w:val="00C62AA8"/>
    <w:rsid w:val="00C64950"/>
    <w:rsid w:val="00C74172"/>
    <w:rsid w:val="00C74810"/>
    <w:rsid w:val="00C75DBB"/>
    <w:rsid w:val="00C76799"/>
    <w:rsid w:val="00C81268"/>
    <w:rsid w:val="00C82388"/>
    <w:rsid w:val="00C85727"/>
    <w:rsid w:val="00C86DF9"/>
    <w:rsid w:val="00C8732E"/>
    <w:rsid w:val="00C90D68"/>
    <w:rsid w:val="00C91DFF"/>
    <w:rsid w:val="00C939FE"/>
    <w:rsid w:val="00CA4BDA"/>
    <w:rsid w:val="00CB2951"/>
    <w:rsid w:val="00CB4BD6"/>
    <w:rsid w:val="00CB65F5"/>
    <w:rsid w:val="00CB7237"/>
    <w:rsid w:val="00CC372C"/>
    <w:rsid w:val="00CC5922"/>
    <w:rsid w:val="00CD0B62"/>
    <w:rsid w:val="00CD1038"/>
    <w:rsid w:val="00CD282B"/>
    <w:rsid w:val="00CD4C35"/>
    <w:rsid w:val="00CD58EC"/>
    <w:rsid w:val="00CD5FA7"/>
    <w:rsid w:val="00CD7369"/>
    <w:rsid w:val="00CD7CAC"/>
    <w:rsid w:val="00CE278F"/>
    <w:rsid w:val="00CE2BC6"/>
    <w:rsid w:val="00CE31D1"/>
    <w:rsid w:val="00CE3831"/>
    <w:rsid w:val="00CE4E21"/>
    <w:rsid w:val="00CE5869"/>
    <w:rsid w:val="00CE68DE"/>
    <w:rsid w:val="00CE79A1"/>
    <w:rsid w:val="00CF02A0"/>
    <w:rsid w:val="00CF2BF9"/>
    <w:rsid w:val="00CF34B6"/>
    <w:rsid w:val="00CF6DAC"/>
    <w:rsid w:val="00D00ABB"/>
    <w:rsid w:val="00D0248B"/>
    <w:rsid w:val="00D02EEC"/>
    <w:rsid w:val="00D03551"/>
    <w:rsid w:val="00D05D1E"/>
    <w:rsid w:val="00D06A63"/>
    <w:rsid w:val="00D07834"/>
    <w:rsid w:val="00D07A92"/>
    <w:rsid w:val="00D07E0E"/>
    <w:rsid w:val="00D11478"/>
    <w:rsid w:val="00D15ED0"/>
    <w:rsid w:val="00D17E57"/>
    <w:rsid w:val="00D20D72"/>
    <w:rsid w:val="00D21B3E"/>
    <w:rsid w:val="00D21FED"/>
    <w:rsid w:val="00D2230D"/>
    <w:rsid w:val="00D22528"/>
    <w:rsid w:val="00D24251"/>
    <w:rsid w:val="00D33BCF"/>
    <w:rsid w:val="00D343E2"/>
    <w:rsid w:val="00D361A2"/>
    <w:rsid w:val="00D42B28"/>
    <w:rsid w:val="00D44954"/>
    <w:rsid w:val="00D44C2E"/>
    <w:rsid w:val="00D44ED0"/>
    <w:rsid w:val="00D45414"/>
    <w:rsid w:val="00D45D74"/>
    <w:rsid w:val="00D557E1"/>
    <w:rsid w:val="00D566BD"/>
    <w:rsid w:val="00D57A4D"/>
    <w:rsid w:val="00D60AA7"/>
    <w:rsid w:val="00D60B10"/>
    <w:rsid w:val="00D6283C"/>
    <w:rsid w:val="00D65D83"/>
    <w:rsid w:val="00D71C2C"/>
    <w:rsid w:val="00D75E28"/>
    <w:rsid w:val="00D772C2"/>
    <w:rsid w:val="00D8008E"/>
    <w:rsid w:val="00D8108D"/>
    <w:rsid w:val="00D82C45"/>
    <w:rsid w:val="00D82F62"/>
    <w:rsid w:val="00D84AD8"/>
    <w:rsid w:val="00D864AC"/>
    <w:rsid w:val="00D905E7"/>
    <w:rsid w:val="00D908A8"/>
    <w:rsid w:val="00D94E10"/>
    <w:rsid w:val="00D9669F"/>
    <w:rsid w:val="00D968D2"/>
    <w:rsid w:val="00D977B6"/>
    <w:rsid w:val="00D97A4F"/>
    <w:rsid w:val="00DA0177"/>
    <w:rsid w:val="00DA0C17"/>
    <w:rsid w:val="00DA13F6"/>
    <w:rsid w:val="00DA16F1"/>
    <w:rsid w:val="00DA4A31"/>
    <w:rsid w:val="00DA5971"/>
    <w:rsid w:val="00DA7B04"/>
    <w:rsid w:val="00DB0D5B"/>
    <w:rsid w:val="00DB36C2"/>
    <w:rsid w:val="00DB4351"/>
    <w:rsid w:val="00DB4CCF"/>
    <w:rsid w:val="00DB5B16"/>
    <w:rsid w:val="00DC169B"/>
    <w:rsid w:val="00DC2AB9"/>
    <w:rsid w:val="00DC47B4"/>
    <w:rsid w:val="00DC519F"/>
    <w:rsid w:val="00DC51F6"/>
    <w:rsid w:val="00DC63F0"/>
    <w:rsid w:val="00DD1FE5"/>
    <w:rsid w:val="00DD2675"/>
    <w:rsid w:val="00DD2EC8"/>
    <w:rsid w:val="00DD347A"/>
    <w:rsid w:val="00DD4700"/>
    <w:rsid w:val="00DD53FD"/>
    <w:rsid w:val="00DD6EE5"/>
    <w:rsid w:val="00DE277D"/>
    <w:rsid w:val="00DE290E"/>
    <w:rsid w:val="00DE386C"/>
    <w:rsid w:val="00DE4D35"/>
    <w:rsid w:val="00DE6146"/>
    <w:rsid w:val="00DF098B"/>
    <w:rsid w:val="00DF11C4"/>
    <w:rsid w:val="00DF210C"/>
    <w:rsid w:val="00DF420F"/>
    <w:rsid w:val="00DF4B6A"/>
    <w:rsid w:val="00E0104D"/>
    <w:rsid w:val="00E01974"/>
    <w:rsid w:val="00E02C09"/>
    <w:rsid w:val="00E04839"/>
    <w:rsid w:val="00E04D59"/>
    <w:rsid w:val="00E05C53"/>
    <w:rsid w:val="00E07DA1"/>
    <w:rsid w:val="00E123CB"/>
    <w:rsid w:val="00E125F6"/>
    <w:rsid w:val="00E13AD8"/>
    <w:rsid w:val="00E1691B"/>
    <w:rsid w:val="00E172F4"/>
    <w:rsid w:val="00E20E13"/>
    <w:rsid w:val="00E21DBC"/>
    <w:rsid w:val="00E249FB"/>
    <w:rsid w:val="00E255CC"/>
    <w:rsid w:val="00E271A5"/>
    <w:rsid w:val="00E275D7"/>
    <w:rsid w:val="00E27DBE"/>
    <w:rsid w:val="00E32AB1"/>
    <w:rsid w:val="00E32F62"/>
    <w:rsid w:val="00E36C71"/>
    <w:rsid w:val="00E37C21"/>
    <w:rsid w:val="00E40404"/>
    <w:rsid w:val="00E452B3"/>
    <w:rsid w:val="00E467C8"/>
    <w:rsid w:val="00E47589"/>
    <w:rsid w:val="00E53FD1"/>
    <w:rsid w:val="00E549E8"/>
    <w:rsid w:val="00E559F0"/>
    <w:rsid w:val="00E60649"/>
    <w:rsid w:val="00E62B95"/>
    <w:rsid w:val="00E63A47"/>
    <w:rsid w:val="00E64915"/>
    <w:rsid w:val="00E649DD"/>
    <w:rsid w:val="00E661D4"/>
    <w:rsid w:val="00E66A12"/>
    <w:rsid w:val="00E67D04"/>
    <w:rsid w:val="00E70091"/>
    <w:rsid w:val="00E720F5"/>
    <w:rsid w:val="00E7362C"/>
    <w:rsid w:val="00E7527C"/>
    <w:rsid w:val="00E76D47"/>
    <w:rsid w:val="00E779FC"/>
    <w:rsid w:val="00E832CA"/>
    <w:rsid w:val="00E849F7"/>
    <w:rsid w:val="00E85E5C"/>
    <w:rsid w:val="00E86DC9"/>
    <w:rsid w:val="00E86DDD"/>
    <w:rsid w:val="00E86FCC"/>
    <w:rsid w:val="00E87ACB"/>
    <w:rsid w:val="00E90302"/>
    <w:rsid w:val="00E95633"/>
    <w:rsid w:val="00E95EE9"/>
    <w:rsid w:val="00E97396"/>
    <w:rsid w:val="00E976B6"/>
    <w:rsid w:val="00EA185E"/>
    <w:rsid w:val="00EA25F7"/>
    <w:rsid w:val="00EA49E3"/>
    <w:rsid w:val="00EA592A"/>
    <w:rsid w:val="00EA5F43"/>
    <w:rsid w:val="00EA7857"/>
    <w:rsid w:val="00EA7977"/>
    <w:rsid w:val="00EB105E"/>
    <w:rsid w:val="00EB32A5"/>
    <w:rsid w:val="00EB34ED"/>
    <w:rsid w:val="00EB3B37"/>
    <w:rsid w:val="00EB3DC8"/>
    <w:rsid w:val="00EB7BE0"/>
    <w:rsid w:val="00EC1ABF"/>
    <w:rsid w:val="00EC28D5"/>
    <w:rsid w:val="00EC315E"/>
    <w:rsid w:val="00EC604E"/>
    <w:rsid w:val="00ED077C"/>
    <w:rsid w:val="00ED1190"/>
    <w:rsid w:val="00ED1C56"/>
    <w:rsid w:val="00ED5ECA"/>
    <w:rsid w:val="00ED6544"/>
    <w:rsid w:val="00ED6F65"/>
    <w:rsid w:val="00ED77B1"/>
    <w:rsid w:val="00EE0277"/>
    <w:rsid w:val="00EE0FF8"/>
    <w:rsid w:val="00EE226F"/>
    <w:rsid w:val="00EE3E00"/>
    <w:rsid w:val="00EE6C29"/>
    <w:rsid w:val="00EF07FF"/>
    <w:rsid w:val="00EF4441"/>
    <w:rsid w:val="00EF5EEA"/>
    <w:rsid w:val="00F00A79"/>
    <w:rsid w:val="00F00E86"/>
    <w:rsid w:val="00F02AFF"/>
    <w:rsid w:val="00F03550"/>
    <w:rsid w:val="00F042CF"/>
    <w:rsid w:val="00F06A77"/>
    <w:rsid w:val="00F07C1E"/>
    <w:rsid w:val="00F07F50"/>
    <w:rsid w:val="00F105DB"/>
    <w:rsid w:val="00F10D88"/>
    <w:rsid w:val="00F132BC"/>
    <w:rsid w:val="00F15CB5"/>
    <w:rsid w:val="00F16AAA"/>
    <w:rsid w:val="00F1763C"/>
    <w:rsid w:val="00F21161"/>
    <w:rsid w:val="00F218EF"/>
    <w:rsid w:val="00F21BC7"/>
    <w:rsid w:val="00F24F0A"/>
    <w:rsid w:val="00F25E80"/>
    <w:rsid w:val="00F266A2"/>
    <w:rsid w:val="00F26BB9"/>
    <w:rsid w:val="00F3017B"/>
    <w:rsid w:val="00F318DC"/>
    <w:rsid w:val="00F32269"/>
    <w:rsid w:val="00F41D15"/>
    <w:rsid w:val="00F43F41"/>
    <w:rsid w:val="00F56A6F"/>
    <w:rsid w:val="00F5709C"/>
    <w:rsid w:val="00F64EF1"/>
    <w:rsid w:val="00F67831"/>
    <w:rsid w:val="00F70204"/>
    <w:rsid w:val="00F71DEE"/>
    <w:rsid w:val="00F80BD7"/>
    <w:rsid w:val="00F86367"/>
    <w:rsid w:val="00F871E9"/>
    <w:rsid w:val="00F8765F"/>
    <w:rsid w:val="00F90767"/>
    <w:rsid w:val="00F90DD5"/>
    <w:rsid w:val="00F95F0C"/>
    <w:rsid w:val="00F96967"/>
    <w:rsid w:val="00FA685B"/>
    <w:rsid w:val="00FA686B"/>
    <w:rsid w:val="00FA7592"/>
    <w:rsid w:val="00FB0C01"/>
    <w:rsid w:val="00FB17FF"/>
    <w:rsid w:val="00FB3FCE"/>
    <w:rsid w:val="00FC18F2"/>
    <w:rsid w:val="00FC39E5"/>
    <w:rsid w:val="00FC3A78"/>
    <w:rsid w:val="00FD0CF0"/>
    <w:rsid w:val="00FD1005"/>
    <w:rsid w:val="00FD318A"/>
    <w:rsid w:val="00FD5F74"/>
    <w:rsid w:val="00FD6887"/>
    <w:rsid w:val="00FD6C75"/>
    <w:rsid w:val="00FD6CD4"/>
    <w:rsid w:val="00FD7581"/>
    <w:rsid w:val="00FE2104"/>
    <w:rsid w:val="00FE57FC"/>
    <w:rsid w:val="00FE71B3"/>
    <w:rsid w:val="00FE7752"/>
    <w:rsid w:val="00FF42C5"/>
    <w:rsid w:val="00FF4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70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uiPriority="98" w:qFormat="1"/>
    <w:lsdException w:name="heading 2" w:semiHidden="1" w:uiPriority="98" w:unhideWhenUsed="1" w:qFormat="1"/>
    <w:lsdException w:name="heading 3" w:semiHidden="1" w:uiPriority="98" w:unhideWhenUsed="1" w:qFormat="1"/>
    <w:lsdException w:name="heading 4" w:semiHidden="1" w:uiPriority="98" w:unhideWhenUsed="1" w:qFormat="1"/>
    <w:lsdException w:name="heading 5" w:semiHidden="1" w:uiPriority="98"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8"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iPriority="98" w:unhideWhenUsed="1"/>
    <w:lsdException w:name="annotation text" w:semiHidden="1" w:uiPriority="98" w:unhideWhenUsed="1"/>
    <w:lsdException w:name="header" w:semiHidden="1" w:uiPriority="9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8" w:unhideWhenUsed="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iPriority="98"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59"/>
    <w:lsdException w:name="Table Theme" w:semiHidden="1" w:unhideWhenUsed="1"/>
    <w:lsdException w:name="Placeholder Text" w:semiHidden="1" w:uiPriority="98"/>
    <w:lsdException w:name="No Spacing" w:uiPriority="98" w:qFormat="1"/>
    <w:lsdException w:name="Light Shading" w:uiPriority="60"/>
    <w:lsdException w:name="Light List" w:uiPriority="61"/>
    <w:lsdException w:name="Light Grid" w:uiPriority="62"/>
    <w:lsdException w:name="Medium Shading 1" w:uiPriority="63"/>
    <w:lsdException w:name="Medium Shading 2"/>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lsdException w:name="TOC Heading" w:semiHidden="1" w:uiPriority="9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2B5D"/>
  </w:style>
  <w:style w:type="paragraph" w:styleId="Heading1">
    <w:name w:val="heading 1"/>
    <w:basedOn w:val="Normal"/>
    <w:next w:val="Normal"/>
    <w:link w:val="Heading1Char"/>
    <w:uiPriority w:val="98"/>
    <w:semiHidden/>
    <w:rsid w:val="001E29C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E29C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E29C7"/>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8"/>
    <w:semiHidden/>
    <w:rsid w:val="001E29C7"/>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8"/>
    <w:semiHidden/>
    <w:qFormat/>
    <w:rsid w:val="001E29C7"/>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8"/>
    <w:semiHidden/>
    <w:rsid w:val="001E29C7"/>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8"/>
    <w:semiHidden/>
    <w:qFormat/>
    <w:rsid w:val="001E29C7"/>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8"/>
    <w:semiHidden/>
    <w:qFormat/>
    <w:rsid w:val="001E29C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E29C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1E29C7"/>
    <w:rPr>
      <w:rFonts w:ascii="Tahoma" w:hAnsi="Tahoma" w:cs="Tahoma"/>
      <w:sz w:val="16"/>
      <w:szCs w:val="16"/>
    </w:rPr>
  </w:style>
  <w:style w:type="character" w:customStyle="1" w:styleId="BalloonTextChar">
    <w:name w:val="Balloon Text Char"/>
    <w:basedOn w:val="DefaultParagraphFont"/>
    <w:link w:val="BalloonText"/>
    <w:uiPriority w:val="98"/>
    <w:semiHidden/>
    <w:rsid w:val="001E29C7"/>
    <w:rPr>
      <w:rFonts w:ascii="Tahoma" w:hAnsi="Tahoma" w:cs="Tahoma"/>
      <w:sz w:val="16"/>
      <w:szCs w:val="16"/>
      <w:lang w:val="ro-RO"/>
    </w:rPr>
  </w:style>
  <w:style w:type="character" w:styleId="BookTitle">
    <w:name w:val="Book Title"/>
    <w:uiPriority w:val="98"/>
    <w:semiHidden/>
    <w:qFormat/>
    <w:rsid w:val="001E29C7"/>
    <w:rPr>
      <w:i/>
      <w:iCs/>
      <w:smallCaps/>
      <w:spacing w:val="5"/>
    </w:rPr>
  </w:style>
  <w:style w:type="character" w:styleId="Strong">
    <w:name w:val="Strong"/>
    <w:uiPriority w:val="98"/>
    <w:semiHidden/>
    <w:qFormat/>
    <w:rsid w:val="001E29C7"/>
    <w:rPr>
      <w:b/>
      <w:bCs/>
    </w:rPr>
  </w:style>
  <w:style w:type="paragraph" w:styleId="NoSpacing">
    <w:name w:val="No Spacing"/>
    <w:basedOn w:val="Normal"/>
    <w:link w:val="NoSpacingChar"/>
    <w:uiPriority w:val="98"/>
    <w:semiHidden/>
    <w:qFormat/>
    <w:rsid w:val="001E29C7"/>
  </w:style>
  <w:style w:type="character" w:customStyle="1" w:styleId="NoSpacingChar">
    <w:name w:val="No Spacing Char"/>
    <w:basedOn w:val="DefaultParagraphFont"/>
    <w:link w:val="NoSpacing"/>
    <w:uiPriority w:val="98"/>
    <w:semiHidden/>
    <w:rsid w:val="001E29C7"/>
    <w:rPr>
      <w:lang w:val="ro-RO"/>
    </w:rPr>
  </w:style>
  <w:style w:type="paragraph" w:customStyle="1" w:styleId="ECHRHeader">
    <w:name w:val="ECHR_Header"/>
    <w:aliases w:val="_Header"/>
    <w:basedOn w:val="Header"/>
    <w:uiPriority w:val="30"/>
    <w:rsid w:val="001E29C7"/>
    <w:rPr>
      <w:sz w:val="20"/>
    </w:rPr>
  </w:style>
  <w:style w:type="paragraph" w:customStyle="1" w:styleId="ECHRFooter">
    <w:name w:val="ECHR_Footer"/>
    <w:aliases w:val="_Footer"/>
    <w:basedOn w:val="Footer"/>
    <w:uiPriority w:val="30"/>
    <w:rsid w:val="001E29C7"/>
    <w:rPr>
      <w:sz w:val="20"/>
    </w:rPr>
  </w:style>
  <w:style w:type="paragraph" w:customStyle="1" w:styleId="ECHRCoverTitle1">
    <w:name w:val="ECHR_Cover_Title_1"/>
    <w:aliases w:val="_Title_1"/>
    <w:basedOn w:val="Normal"/>
    <w:next w:val="ECHRCoverTitle2"/>
    <w:uiPriority w:val="38"/>
    <w:qFormat/>
    <w:rsid w:val="001E29C7"/>
    <w:pPr>
      <w:spacing w:before="840"/>
      <w:contextualSpacing/>
      <w:jc w:val="center"/>
    </w:pPr>
    <w:rPr>
      <w:color w:val="00385E" w:themeColor="accent3" w:themeShade="80"/>
      <w:sz w:val="36"/>
    </w:rPr>
  </w:style>
  <w:style w:type="paragraph" w:customStyle="1" w:styleId="ECHRCoverTitle2">
    <w:name w:val="ECHR_Cover_Title_2"/>
    <w:aliases w:val="_Title_2"/>
    <w:basedOn w:val="Normal"/>
    <w:next w:val="ECHRCoverTitle3"/>
    <w:uiPriority w:val="38"/>
    <w:qFormat/>
    <w:rsid w:val="001E29C7"/>
    <w:pPr>
      <w:spacing w:before="600"/>
      <w:contextualSpacing/>
      <w:jc w:val="center"/>
    </w:pPr>
    <w:rPr>
      <w:rFonts w:asciiTheme="majorHAnsi" w:hAnsiTheme="majorHAnsi"/>
      <w:color w:val="00385E" w:themeColor="accent3" w:themeShade="80"/>
      <w:sz w:val="28"/>
    </w:rPr>
  </w:style>
  <w:style w:type="paragraph" w:styleId="Title">
    <w:name w:val="Title"/>
    <w:basedOn w:val="Normal"/>
    <w:next w:val="Normal"/>
    <w:link w:val="TitleChar"/>
    <w:uiPriority w:val="98"/>
    <w:semiHidden/>
    <w:qFormat/>
    <w:rsid w:val="001E29C7"/>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E29C7"/>
    <w:rPr>
      <w:rFonts w:asciiTheme="majorHAnsi" w:eastAsiaTheme="majorEastAsia" w:hAnsiTheme="majorHAnsi" w:cstheme="majorBidi"/>
      <w:spacing w:val="5"/>
      <w:sz w:val="52"/>
      <w:szCs w:val="52"/>
      <w:lang w:val="ro-RO" w:bidi="en-US"/>
    </w:rPr>
  </w:style>
  <w:style w:type="paragraph" w:customStyle="1" w:styleId="ECHRCoverTitle3">
    <w:name w:val="ECHR_Cover_Title_3"/>
    <w:aliases w:val="_Title_3"/>
    <w:basedOn w:val="Normal"/>
    <w:next w:val="ECHRCoverTitle4"/>
    <w:uiPriority w:val="38"/>
    <w:qFormat/>
    <w:rsid w:val="001E29C7"/>
    <w:pPr>
      <w:spacing w:before="1080" w:after="1080"/>
      <w:contextualSpacing/>
      <w:jc w:val="center"/>
    </w:pPr>
    <w:rPr>
      <w:b/>
      <w:color w:val="00385E" w:themeColor="accent3" w:themeShade="80"/>
      <w:sz w:val="24"/>
    </w:rPr>
  </w:style>
  <w:style w:type="paragraph" w:customStyle="1" w:styleId="DummyStyle">
    <w:name w:val="Dummy_Style"/>
    <w:aliases w:val="_Dummy"/>
    <w:basedOn w:val="Normal"/>
    <w:semiHidden/>
    <w:qFormat/>
    <w:rsid w:val="001E29C7"/>
    <w:rPr>
      <w:color w:val="00B050"/>
    </w:rPr>
  </w:style>
  <w:style w:type="numbering" w:customStyle="1" w:styleId="ECHRA1StyleBulletedSquare">
    <w:name w:val="ECHR_A1_Style_Bulleted_Square"/>
    <w:basedOn w:val="NoList"/>
    <w:rsid w:val="001E29C7"/>
    <w:pPr>
      <w:numPr>
        <w:numId w:val="1"/>
      </w:numPr>
    </w:pPr>
  </w:style>
  <w:style w:type="numbering" w:customStyle="1" w:styleId="ECHRA1StyleList">
    <w:name w:val="ECHR_A1_Style_List"/>
    <w:basedOn w:val="NoList"/>
    <w:uiPriority w:val="99"/>
    <w:rsid w:val="001E29C7"/>
    <w:pPr>
      <w:numPr>
        <w:numId w:val="2"/>
      </w:numPr>
    </w:pPr>
  </w:style>
  <w:style w:type="paragraph" w:customStyle="1" w:styleId="ECHRParaSpaced">
    <w:name w:val="ECHR_Para_Spaced"/>
    <w:aliases w:val="_Para_Spaced,Para_Spaced"/>
    <w:basedOn w:val="ECHRPara"/>
    <w:link w:val="ECHRParaSpacedChar"/>
    <w:uiPriority w:val="5"/>
    <w:qFormat/>
    <w:rsid w:val="001E29C7"/>
    <w:pPr>
      <w:spacing w:before="120" w:after="120"/>
    </w:pPr>
  </w:style>
  <w:style w:type="numbering" w:customStyle="1" w:styleId="ECHRA1StyleNumberedList">
    <w:name w:val="ECHR_A1_Style_Numbered_List"/>
    <w:basedOn w:val="NoList"/>
    <w:rsid w:val="001E29C7"/>
    <w:pPr>
      <w:numPr>
        <w:numId w:val="3"/>
      </w:numPr>
    </w:pPr>
  </w:style>
  <w:style w:type="paragraph" w:styleId="Header">
    <w:name w:val="header"/>
    <w:basedOn w:val="Normal"/>
    <w:link w:val="HeaderChar"/>
    <w:uiPriority w:val="98"/>
    <w:semiHidden/>
    <w:rsid w:val="001E29C7"/>
    <w:pPr>
      <w:tabs>
        <w:tab w:val="center" w:pos="4536"/>
        <w:tab w:val="right" w:pos="9696"/>
      </w:tabs>
      <w:ind w:left="-680" w:right="-680"/>
    </w:pPr>
  </w:style>
  <w:style w:type="character" w:customStyle="1" w:styleId="HeaderChar">
    <w:name w:val="Header Char"/>
    <w:basedOn w:val="DefaultParagraphFont"/>
    <w:link w:val="Header"/>
    <w:uiPriority w:val="98"/>
    <w:semiHidden/>
    <w:rsid w:val="001E29C7"/>
    <w:rPr>
      <w:lang w:val="ro-RO"/>
    </w:rPr>
  </w:style>
  <w:style w:type="character" w:customStyle="1" w:styleId="Heading1Char">
    <w:name w:val="Heading 1 Char"/>
    <w:basedOn w:val="DefaultParagraphFont"/>
    <w:link w:val="Heading1"/>
    <w:uiPriority w:val="98"/>
    <w:semiHidden/>
    <w:rsid w:val="001E29C7"/>
    <w:rPr>
      <w:rFonts w:asciiTheme="majorHAnsi" w:eastAsiaTheme="majorEastAsia" w:hAnsiTheme="majorHAnsi" w:cstheme="majorBidi"/>
      <w:b/>
      <w:bCs/>
      <w:color w:val="333333"/>
      <w:sz w:val="28"/>
      <w:szCs w:val="28"/>
      <w:lang w:val="ro-RO"/>
    </w:rPr>
  </w:style>
  <w:style w:type="paragraph" w:customStyle="1" w:styleId="ECHRHeading1">
    <w:name w:val="ECHR_Heading_1"/>
    <w:aliases w:val="_Head_1"/>
    <w:basedOn w:val="Heading1"/>
    <w:next w:val="ECHRParaSpaced"/>
    <w:uiPriority w:val="17"/>
    <w:qFormat/>
    <w:rsid w:val="009705F7"/>
    <w:pPr>
      <w:keepNext/>
      <w:keepLines/>
      <w:numPr>
        <w:numId w:val="23"/>
      </w:numPr>
      <w:spacing w:before="100" w:beforeAutospacing="1"/>
    </w:pPr>
    <w:rPr>
      <w:bCs w:val="0"/>
      <w:color w:val="auto"/>
      <w:sz w:val="32"/>
    </w:rPr>
  </w:style>
  <w:style w:type="paragraph" w:customStyle="1" w:styleId="ECHRHeading2">
    <w:name w:val="ECHR_Heading_2"/>
    <w:aliases w:val="_Head_2"/>
    <w:basedOn w:val="Heading2"/>
    <w:next w:val="ECHRParaSpaced"/>
    <w:uiPriority w:val="17"/>
    <w:qFormat/>
    <w:rsid w:val="009705F7"/>
    <w:pPr>
      <w:keepNext/>
      <w:keepLines/>
      <w:numPr>
        <w:ilvl w:val="1"/>
        <w:numId w:val="23"/>
      </w:numPr>
      <w:spacing w:before="100" w:beforeAutospacing="1"/>
      <w:contextualSpacing/>
    </w:pPr>
    <w:rPr>
      <w:bCs w:val="0"/>
      <w:color w:val="auto"/>
      <w:sz w:val="28"/>
    </w:rPr>
  </w:style>
  <w:style w:type="character" w:customStyle="1" w:styleId="Heading2Char">
    <w:name w:val="Heading 2 Char"/>
    <w:basedOn w:val="DefaultParagraphFont"/>
    <w:link w:val="Heading2"/>
    <w:uiPriority w:val="98"/>
    <w:semiHidden/>
    <w:rsid w:val="001E29C7"/>
    <w:rPr>
      <w:rFonts w:asciiTheme="majorHAnsi" w:eastAsiaTheme="majorEastAsia" w:hAnsiTheme="majorHAnsi" w:cstheme="majorBidi"/>
      <w:b/>
      <w:bCs/>
      <w:color w:val="4D4D4D"/>
      <w:sz w:val="26"/>
      <w:szCs w:val="26"/>
      <w:lang w:val="ro-RO"/>
    </w:rPr>
  </w:style>
  <w:style w:type="paragraph" w:customStyle="1" w:styleId="ECHRHeading3">
    <w:name w:val="ECHR_Heading_3"/>
    <w:aliases w:val="_Head_3"/>
    <w:basedOn w:val="Heading3"/>
    <w:next w:val="ECHRParaSpaced"/>
    <w:uiPriority w:val="17"/>
    <w:qFormat/>
    <w:rsid w:val="009705F7"/>
    <w:pPr>
      <w:keepNext/>
      <w:keepLines/>
      <w:numPr>
        <w:ilvl w:val="2"/>
        <w:numId w:val="23"/>
      </w:numPr>
      <w:spacing w:before="100" w:beforeAutospacing="1" w:line="240" w:lineRule="auto"/>
      <w:contextualSpacing/>
    </w:pPr>
    <w:rPr>
      <w:bCs w:val="0"/>
      <w:color w:val="auto"/>
      <w:sz w:val="24"/>
    </w:rPr>
  </w:style>
  <w:style w:type="paragraph" w:customStyle="1" w:styleId="ECHRHeading4">
    <w:name w:val="ECHR_Heading_4"/>
    <w:aliases w:val="_Head_4"/>
    <w:basedOn w:val="Heading4"/>
    <w:next w:val="ECHRParaSpaced"/>
    <w:uiPriority w:val="17"/>
    <w:qFormat/>
    <w:rsid w:val="009705F7"/>
    <w:pPr>
      <w:keepNext/>
      <w:keepLines/>
      <w:numPr>
        <w:ilvl w:val="3"/>
        <w:numId w:val="23"/>
      </w:numPr>
      <w:spacing w:before="100" w:beforeAutospacing="1"/>
      <w:contextualSpacing/>
    </w:pPr>
    <w:rPr>
      <w:bCs w:val="0"/>
      <w:i w:val="0"/>
      <w:iCs w:val="0"/>
      <w:color w:val="auto"/>
      <w:sz w:val="24"/>
    </w:rPr>
  </w:style>
  <w:style w:type="character" w:customStyle="1" w:styleId="Heading3Char">
    <w:name w:val="Heading 3 Char"/>
    <w:basedOn w:val="DefaultParagraphFont"/>
    <w:link w:val="Heading3"/>
    <w:uiPriority w:val="98"/>
    <w:semiHidden/>
    <w:rsid w:val="001E29C7"/>
    <w:rPr>
      <w:rFonts w:asciiTheme="majorHAnsi" w:eastAsiaTheme="majorEastAsia" w:hAnsiTheme="majorHAnsi" w:cstheme="majorBidi"/>
      <w:b/>
      <w:bCs/>
      <w:color w:val="5F5F5F"/>
      <w:lang w:val="ro-RO"/>
    </w:rPr>
  </w:style>
  <w:style w:type="paragraph" w:customStyle="1" w:styleId="ECHRHeading5">
    <w:name w:val="ECHR_Heading_5"/>
    <w:aliases w:val="_Head_5"/>
    <w:basedOn w:val="Heading5"/>
    <w:next w:val="ECHRParaSpaced"/>
    <w:uiPriority w:val="17"/>
    <w:qFormat/>
    <w:rsid w:val="001E29C7"/>
    <w:pPr>
      <w:keepNext/>
      <w:keepLines/>
      <w:numPr>
        <w:ilvl w:val="4"/>
        <w:numId w:val="23"/>
      </w:numPr>
      <w:spacing w:before="100" w:beforeAutospacing="1"/>
      <w:contextualSpacing/>
    </w:pPr>
    <w:rPr>
      <w:bCs w:val="0"/>
      <w:color w:val="00385E" w:themeColor="accent3" w:themeShade="80"/>
      <w:sz w:val="24"/>
    </w:rPr>
  </w:style>
  <w:style w:type="paragraph" w:customStyle="1" w:styleId="ECHRHeading6">
    <w:name w:val="ECHR_Heading_6"/>
    <w:aliases w:val="_Head_6"/>
    <w:basedOn w:val="Heading6"/>
    <w:next w:val="ECHRParaSpaced"/>
    <w:uiPriority w:val="17"/>
    <w:qFormat/>
    <w:rsid w:val="001E29C7"/>
    <w:pPr>
      <w:keepNext/>
      <w:keepLines/>
      <w:numPr>
        <w:ilvl w:val="5"/>
        <w:numId w:val="23"/>
      </w:numPr>
      <w:spacing w:before="100" w:beforeAutospacing="1" w:line="240" w:lineRule="auto"/>
      <w:contextualSpacing/>
    </w:pPr>
    <w:rPr>
      <w:i w:val="0"/>
      <w:color w:val="00385E" w:themeColor="accent3" w:themeShade="80"/>
      <w:sz w:val="24"/>
    </w:rPr>
  </w:style>
  <w:style w:type="character" w:customStyle="1" w:styleId="Heading4Char">
    <w:name w:val="Heading 4 Char"/>
    <w:basedOn w:val="DefaultParagraphFont"/>
    <w:link w:val="Heading4"/>
    <w:uiPriority w:val="98"/>
    <w:semiHidden/>
    <w:rsid w:val="001E29C7"/>
    <w:rPr>
      <w:rFonts w:asciiTheme="majorHAnsi" w:eastAsiaTheme="majorEastAsia" w:hAnsiTheme="majorHAnsi" w:cstheme="majorBidi"/>
      <w:b/>
      <w:bCs/>
      <w:i/>
      <w:iCs/>
      <w:color w:val="777777"/>
      <w:lang w:val="ro-RO"/>
    </w:rPr>
  </w:style>
  <w:style w:type="paragraph" w:customStyle="1" w:styleId="ECHRHeading7">
    <w:name w:val="ECHR_Heading_7"/>
    <w:aliases w:val="_Head_7"/>
    <w:basedOn w:val="Heading7"/>
    <w:next w:val="ECHRParaSpaced"/>
    <w:uiPriority w:val="17"/>
    <w:unhideWhenUsed/>
    <w:qFormat/>
    <w:rsid w:val="001E29C7"/>
    <w:pPr>
      <w:keepNext/>
      <w:keepLines/>
      <w:numPr>
        <w:ilvl w:val="6"/>
        <w:numId w:val="23"/>
      </w:numPr>
      <w:spacing w:before="100" w:beforeAutospacing="1"/>
      <w:contextualSpacing/>
    </w:pPr>
    <w:rPr>
      <w:b/>
      <w:i w:val="0"/>
      <w:color w:val="00385E" w:themeColor="accent3" w:themeShade="80"/>
      <w:sz w:val="24"/>
    </w:rPr>
  </w:style>
  <w:style w:type="character" w:customStyle="1" w:styleId="Heading5Char">
    <w:name w:val="Heading 5 Char"/>
    <w:basedOn w:val="DefaultParagraphFont"/>
    <w:link w:val="Heading5"/>
    <w:uiPriority w:val="98"/>
    <w:semiHidden/>
    <w:rsid w:val="001E29C7"/>
    <w:rPr>
      <w:rFonts w:asciiTheme="majorHAnsi" w:eastAsiaTheme="majorEastAsia" w:hAnsiTheme="majorHAnsi" w:cstheme="majorBidi"/>
      <w:b/>
      <w:bCs/>
      <w:color w:val="808080"/>
      <w:lang w:val="ro-RO"/>
    </w:rPr>
  </w:style>
  <w:style w:type="paragraph" w:customStyle="1" w:styleId="NormalJustified">
    <w:name w:val="Normal_Justified"/>
    <w:basedOn w:val="Normal"/>
    <w:semiHidden/>
    <w:rsid w:val="001E29C7"/>
    <w:pPr>
      <w:jc w:val="both"/>
    </w:pPr>
  </w:style>
  <w:style w:type="paragraph" w:customStyle="1" w:styleId="ECHRBullet3">
    <w:name w:val="ECHR_Bullet_3"/>
    <w:aliases w:val="_Bul_3"/>
    <w:basedOn w:val="ECHRBullet2"/>
    <w:uiPriority w:val="23"/>
    <w:rsid w:val="001E29C7"/>
    <w:pPr>
      <w:numPr>
        <w:ilvl w:val="2"/>
      </w:numPr>
    </w:pPr>
  </w:style>
  <w:style w:type="character" w:styleId="SubtleEmphasis">
    <w:name w:val="Subtle Emphasis"/>
    <w:uiPriority w:val="98"/>
    <w:semiHidden/>
    <w:qFormat/>
    <w:rsid w:val="001E29C7"/>
    <w:rPr>
      <w:i/>
      <w:iCs/>
    </w:rPr>
  </w:style>
  <w:style w:type="paragraph" w:customStyle="1" w:styleId="ECHRBullet4">
    <w:name w:val="ECHR_Bullet_4"/>
    <w:aliases w:val="_Bul_4"/>
    <w:basedOn w:val="ECHRBullet3"/>
    <w:uiPriority w:val="23"/>
    <w:rsid w:val="001E29C7"/>
    <w:pPr>
      <w:numPr>
        <w:ilvl w:val="3"/>
      </w:numPr>
    </w:pPr>
  </w:style>
  <w:style w:type="paragraph" w:customStyle="1" w:styleId="ECHRPara">
    <w:name w:val="ECHR_Para"/>
    <w:aliases w:val="_Para"/>
    <w:basedOn w:val="NormalJustified"/>
    <w:uiPriority w:val="4"/>
    <w:qFormat/>
    <w:rsid w:val="001E29C7"/>
  </w:style>
  <w:style w:type="paragraph" w:customStyle="1" w:styleId="ECHRConfidential">
    <w:name w:val="ECHR_Confidential"/>
    <w:aliases w:val="_Confidential"/>
    <w:basedOn w:val="ECHRPara"/>
    <w:next w:val="ECHRPara"/>
    <w:uiPriority w:val="42"/>
    <w:qFormat/>
    <w:rsid w:val="001E29C7"/>
    <w:pPr>
      <w:jc w:val="right"/>
    </w:pPr>
    <w:rPr>
      <w:color w:val="C00000"/>
      <w:sz w:val="20"/>
    </w:rPr>
  </w:style>
  <w:style w:type="paragraph" w:customStyle="1" w:styleId="ECHRDecisionBody">
    <w:name w:val="ECHR_Decision_Body"/>
    <w:aliases w:val="_Decision_Body"/>
    <w:basedOn w:val="NormalJustified"/>
    <w:uiPriority w:val="54"/>
    <w:semiHidden/>
    <w:rsid w:val="001E29C7"/>
    <w:pPr>
      <w:tabs>
        <w:tab w:val="left" w:pos="567"/>
        <w:tab w:val="left" w:pos="1134"/>
      </w:tabs>
      <w:spacing w:line="240" w:lineRule="exact"/>
      <w:jc w:val="left"/>
    </w:pPr>
    <w:rPr>
      <w:rFonts w:eastAsiaTheme="minorEastAsia"/>
    </w:rPr>
  </w:style>
  <w:style w:type="paragraph" w:customStyle="1" w:styleId="ECHRDivisionName">
    <w:name w:val="ECHR_DivisionName"/>
    <w:aliases w:val="_Div_Name"/>
    <w:basedOn w:val="Normal"/>
    <w:link w:val="ECHRDivisionNameChar"/>
    <w:uiPriority w:val="41"/>
    <w:qFormat/>
    <w:rsid w:val="001E29C7"/>
    <w:pPr>
      <w:contextualSpacing/>
      <w:jc w:val="center"/>
    </w:pPr>
    <w:rPr>
      <w:rFonts w:ascii="Arial" w:hAnsi="Arial"/>
      <w:i/>
      <w:color w:val="002856"/>
      <w:sz w:val="32"/>
    </w:rPr>
  </w:style>
  <w:style w:type="character" w:styleId="Emphasis">
    <w:name w:val="Emphasis"/>
    <w:uiPriority w:val="98"/>
    <w:semiHidden/>
    <w:qFormat/>
    <w:rsid w:val="001E29C7"/>
    <w:rPr>
      <w:b/>
      <w:bCs/>
      <w:i/>
      <w:iCs/>
      <w:spacing w:val="10"/>
      <w:bdr w:val="none" w:sz="0" w:space="0" w:color="auto"/>
      <w:shd w:val="clear" w:color="auto" w:fill="auto"/>
    </w:rPr>
  </w:style>
  <w:style w:type="paragraph" w:styleId="Footer">
    <w:name w:val="footer"/>
    <w:basedOn w:val="Normal"/>
    <w:link w:val="FooterChar"/>
    <w:uiPriority w:val="49"/>
    <w:semiHidden/>
    <w:rsid w:val="001E29C7"/>
    <w:pPr>
      <w:tabs>
        <w:tab w:val="center" w:pos="4536"/>
        <w:tab w:val="right" w:pos="9696"/>
      </w:tabs>
      <w:ind w:left="-680" w:right="-680"/>
    </w:pPr>
  </w:style>
  <w:style w:type="character" w:customStyle="1" w:styleId="FooterChar">
    <w:name w:val="Footer Char"/>
    <w:basedOn w:val="DefaultParagraphFont"/>
    <w:link w:val="Footer"/>
    <w:uiPriority w:val="49"/>
    <w:semiHidden/>
    <w:rsid w:val="001E29C7"/>
    <w:rPr>
      <w:lang w:val="ro-RO"/>
    </w:rPr>
  </w:style>
  <w:style w:type="character" w:styleId="FootnoteReference">
    <w:name w:val="footnote reference"/>
    <w:basedOn w:val="DefaultParagraphFont"/>
    <w:uiPriority w:val="98"/>
    <w:semiHidden/>
    <w:rsid w:val="001E29C7"/>
    <w:rPr>
      <w:vertAlign w:val="superscript"/>
    </w:rPr>
  </w:style>
  <w:style w:type="paragraph" w:styleId="FootnoteText">
    <w:name w:val="footnote text"/>
    <w:basedOn w:val="NormalJustified"/>
    <w:link w:val="FootnoteTextChar"/>
    <w:uiPriority w:val="98"/>
    <w:semiHidden/>
    <w:rsid w:val="001E29C7"/>
    <w:rPr>
      <w:sz w:val="20"/>
      <w:szCs w:val="20"/>
    </w:rPr>
  </w:style>
  <w:style w:type="character" w:customStyle="1" w:styleId="FootnoteTextChar">
    <w:name w:val="Footnote Text Char"/>
    <w:basedOn w:val="DefaultParagraphFont"/>
    <w:link w:val="FootnoteText"/>
    <w:uiPriority w:val="98"/>
    <w:semiHidden/>
    <w:rsid w:val="001E29C7"/>
    <w:rPr>
      <w:sz w:val="20"/>
      <w:szCs w:val="20"/>
      <w:lang w:val="ro-RO"/>
    </w:rPr>
  </w:style>
  <w:style w:type="character" w:customStyle="1" w:styleId="Heading6Char">
    <w:name w:val="Heading 6 Char"/>
    <w:basedOn w:val="DefaultParagraphFont"/>
    <w:link w:val="Heading6"/>
    <w:uiPriority w:val="98"/>
    <w:semiHidden/>
    <w:rsid w:val="001E29C7"/>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1E29C7"/>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1E29C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E29C7"/>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qFormat/>
    <w:rsid w:val="00D65D83"/>
    <w:rPr>
      <w:i/>
      <w:color w:val="0072BC" w:themeColor="hyperlink"/>
    </w:rPr>
  </w:style>
  <w:style w:type="character" w:styleId="IntenseEmphasis">
    <w:name w:val="Intense Emphasis"/>
    <w:uiPriority w:val="98"/>
    <w:semiHidden/>
    <w:qFormat/>
    <w:rsid w:val="001E29C7"/>
    <w:rPr>
      <w:b/>
      <w:bCs/>
    </w:rPr>
  </w:style>
  <w:style w:type="paragraph" w:styleId="IntenseQuote">
    <w:name w:val="Intense Quote"/>
    <w:basedOn w:val="Normal"/>
    <w:next w:val="Normal"/>
    <w:link w:val="IntenseQuoteChar"/>
    <w:uiPriority w:val="98"/>
    <w:semiHidden/>
    <w:qFormat/>
    <w:rsid w:val="001E29C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E29C7"/>
    <w:rPr>
      <w:b/>
      <w:bCs/>
      <w:i/>
      <w:iCs/>
      <w:lang w:val="ro-RO" w:bidi="en-US"/>
    </w:rPr>
  </w:style>
  <w:style w:type="character" w:styleId="IntenseReference">
    <w:name w:val="Intense Reference"/>
    <w:uiPriority w:val="98"/>
    <w:semiHidden/>
    <w:qFormat/>
    <w:rsid w:val="001E29C7"/>
    <w:rPr>
      <w:smallCaps/>
      <w:spacing w:val="5"/>
      <w:u w:val="single"/>
    </w:rPr>
  </w:style>
  <w:style w:type="paragraph" w:styleId="ListParagraph">
    <w:name w:val="List Paragraph"/>
    <w:basedOn w:val="Normal"/>
    <w:uiPriority w:val="98"/>
    <w:semiHidden/>
    <w:qFormat/>
    <w:rsid w:val="001E29C7"/>
    <w:pPr>
      <w:ind w:left="720"/>
      <w:contextualSpacing/>
    </w:pPr>
  </w:style>
  <w:style w:type="character" w:customStyle="1" w:styleId="ECHRDivisionNameChar">
    <w:name w:val="ECHR_DivisionName Char"/>
    <w:aliases w:val="_Div_Name Char"/>
    <w:basedOn w:val="DefaultParagraphFont"/>
    <w:link w:val="ECHRDivisionName"/>
    <w:uiPriority w:val="41"/>
    <w:rsid w:val="001E29C7"/>
    <w:rPr>
      <w:rFonts w:ascii="Arial" w:hAnsi="Arial"/>
      <w:i/>
      <w:color w:val="002856"/>
      <w:sz w:val="32"/>
      <w:lang w:val="ro-RO"/>
    </w:rPr>
  </w:style>
  <w:style w:type="paragraph" w:styleId="Quote">
    <w:name w:val="Quote"/>
    <w:basedOn w:val="Normal"/>
    <w:next w:val="Normal"/>
    <w:link w:val="QuoteChar"/>
    <w:uiPriority w:val="98"/>
    <w:semiHidden/>
    <w:qFormat/>
    <w:rsid w:val="001E29C7"/>
    <w:pPr>
      <w:spacing w:before="200"/>
      <w:ind w:left="360" w:right="360"/>
    </w:pPr>
    <w:rPr>
      <w:i/>
      <w:iCs/>
      <w:lang w:bidi="en-US"/>
    </w:rPr>
  </w:style>
  <w:style w:type="character" w:customStyle="1" w:styleId="QuoteChar">
    <w:name w:val="Quote Char"/>
    <w:basedOn w:val="DefaultParagraphFont"/>
    <w:link w:val="Quote"/>
    <w:uiPriority w:val="98"/>
    <w:semiHidden/>
    <w:rsid w:val="001E29C7"/>
    <w:rPr>
      <w:i/>
      <w:iCs/>
      <w:lang w:val="ro-RO" w:bidi="en-US"/>
    </w:rPr>
  </w:style>
  <w:style w:type="character" w:styleId="SubtleReference">
    <w:name w:val="Subtle Reference"/>
    <w:uiPriority w:val="98"/>
    <w:semiHidden/>
    <w:qFormat/>
    <w:rsid w:val="001E29C7"/>
    <w:rPr>
      <w:smallCaps/>
    </w:rPr>
  </w:style>
  <w:style w:type="table" w:styleId="TableGrid">
    <w:name w:val="Table Grid"/>
    <w:basedOn w:val="TableNormal"/>
    <w:uiPriority w:val="59"/>
    <w:rsid w:val="001E29C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7F0AA6"/>
    <w:pPr>
      <w:tabs>
        <w:tab w:val="right" w:leader="dot" w:pos="9017"/>
      </w:tabs>
      <w:spacing w:before="120" w:after="60"/>
      <w:ind w:left="340" w:right="340" w:hanging="340"/>
    </w:pPr>
    <w:rPr>
      <w:color w:val="0D0D0D" w:themeColor="text1" w:themeTint="F2"/>
    </w:rPr>
  </w:style>
  <w:style w:type="paragraph" w:styleId="TOC2">
    <w:name w:val="toc 2"/>
    <w:basedOn w:val="Normal"/>
    <w:next w:val="Normal"/>
    <w:autoRedefine/>
    <w:uiPriority w:val="39"/>
    <w:rsid w:val="001E29C7"/>
    <w:pPr>
      <w:spacing w:after="60"/>
      <w:ind w:left="680" w:right="340" w:hanging="340"/>
    </w:pPr>
  </w:style>
  <w:style w:type="paragraph" w:styleId="TOC3">
    <w:name w:val="toc 3"/>
    <w:basedOn w:val="Normal"/>
    <w:next w:val="Normal"/>
    <w:autoRedefine/>
    <w:uiPriority w:val="39"/>
    <w:rsid w:val="00432416"/>
    <w:pPr>
      <w:tabs>
        <w:tab w:val="right" w:leader="dot" w:pos="9017"/>
      </w:tabs>
      <w:spacing w:after="60"/>
      <w:ind w:left="1020" w:right="340" w:hanging="340"/>
    </w:pPr>
  </w:style>
  <w:style w:type="paragraph" w:styleId="TOC4">
    <w:name w:val="toc 4"/>
    <w:basedOn w:val="Normal"/>
    <w:next w:val="Normal"/>
    <w:autoRedefine/>
    <w:uiPriority w:val="39"/>
    <w:rsid w:val="001E29C7"/>
    <w:pPr>
      <w:tabs>
        <w:tab w:val="right" w:leader="dot" w:pos="9017"/>
      </w:tabs>
      <w:spacing w:after="60"/>
      <w:ind w:left="1361" w:right="340" w:hanging="340"/>
    </w:pPr>
  </w:style>
  <w:style w:type="paragraph" w:styleId="TOC5">
    <w:name w:val="toc 5"/>
    <w:basedOn w:val="Normal"/>
    <w:next w:val="Normal"/>
    <w:autoRedefine/>
    <w:uiPriority w:val="98"/>
    <w:semiHidden/>
    <w:rsid w:val="001E29C7"/>
    <w:pPr>
      <w:spacing w:after="60"/>
      <w:ind w:left="1701" w:right="340" w:hanging="340"/>
    </w:pPr>
  </w:style>
  <w:style w:type="paragraph" w:styleId="TOCHeading">
    <w:name w:val="TOC Heading"/>
    <w:basedOn w:val="ECHRTitleCentre2"/>
    <w:next w:val="Normal"/>
    <w:uiPriority w:val="98"/>
    <w:semiHidden/>
    <w:qFormat/>
    <w:rsid w:val="001E29C7"/>
  </w:style>
  <w:style w:type="table" w:customStyle="1" w:styleId="ECHRDNTable">
    <w:name w:val="ECHR_DN_Table"/>
    <w:basedOn w:val="TableNormal"/>
    <w:uiPriority w:val="99"/>
    <w:rsid w:val="001E29C7"/>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customStyle="1" w:styleId="ECHRFooterLine">
    <w:name w:val="ECHR_Footer_Line"/>
    <w:aliases w:val="_Footer_Line"/>
    <w:basedOn w:val="Normal"/>
    <w:next w:val="ECHRPara"/>
    <w:uiPriority w:val="30"/>
    <w:rsid w:val="001E29C7"/>
    <w:pPr>
      <w:pBdr>
        <w:top w:val="single" w:sz="8" w:space="1" w:color="7F7F7F" w:themeColor="text1" w:themeTint="80"/>
      </w:pBdr>
      <w:tabs>
        <w:tab w:val="center" w:pos="4536"/>
        <w:tab w:val="right" w:pos="9696"/>
      </w:tabs>
      <w:ind w:left="-680" w:right="-680"/>
    </w:pPr>
    <w:rPr>
      <w:color w:val="00548C" w:themeColor="accent3" w:themeShade="BF"/>
    </w:rPr>
  </w:style>
  <w:style w:type="paragraph" w:customStyle="1" w:styleId="ECHRFooterLineLandscape">
    <w:name w:val="ECHR_Footer_Line_Landscape"/>
    <w:aliases w:val="_Footer_Line_Landscape"/>
    <w:basedOn w:val="ECHRFooterLine"/>
    <w:uiPriority w:val="30"/>
    <w:rsid w:val="001E29C7"/>
    <w:pPr>
      <w:tabs>
        <w:tab w:val="clear" w:pos="4536"/>
        <w:tab w:val="clear" w:pos="9696"/>
        <w:tab w:val="center" w:pos="6787"/>
        <w:tab w:val="right" w:pos="14640"/>
      </w:tabs>
    </w:pPr>
  </w:style>
  <w:style w:type="paragraph" w:customStyle="1" w:styleId="ECHRHeaderDate">
    <w:name w:val="ECHR_Header_Date"/>
    <w:aliases w:val="_Ref_Date"/>
    <w:basedOn w:val="Normal"/>
    <w:uiPriority w:val="44"/>
    <w:qFormat/>
    <w:rsid w:val="001E29C7"/>
    <w:pPr>
      <w:jc w:val="right"/>
    </w:pPr>
    <w:rPr>
      <w:sz w:val="20"/>
    </w:rPr>
  </w:style>
  <w:style w:type="paragraph" w:customStyle="1" w:styleId="ECHRHeaderLandscape">
    <w:name w:val="ECHR_Header_Landscape"/>
    <w:aliases w:val="_Header_Landscape"/>
    <w:basedOn w:val="Header"/>
    <w:uiPriority w:val="30"/>
    <w:rsid w:val="001E29C7"/>
    <w:pPr>
      <w:tabs>
        <w:tab w:val="clear" w:pos="4536"/>
        <w:tab w:val="clear" w:pos="9696"/>
        <w:tab w:val="center" w:pos="6787"/>
        <w:tab w:val="right" w:pos="14640"/>
      </w:tabs>
    </w:pPr>
  </w:style>
  <w:style w:type="paragraph" w:customStyle="1" w:styleId="ECHRHeaderRefIt">
    <w:name w:val="ECHR_Header_Ref_It"/>
    <w:aliases w:val="_Ref_Ital"/>
    <w:basedOn w:val="Normal"/>
    <w:next w:val="ECHRHeaderDate"/>
    <w:uiPriority w:val="43"/>
    <w:qFormat/>
    <w:rsid w:val="001E29C7"/>
    <w:pPr>
      <w:jc w:val="right"/>
    </w:pPr>
    <w:rPr>
      <w:i/>
      <w:sz w:val="20"/>
    </w:rPr>
  </w:style>
  <w:style w:type="paragraph" w:styleId="TOAHeading">
    <w:name w:val="toa heading"/>
    <w:basedOn w:val="ECHRTitleCentre2"/>
    <w:next w:val="Normal"/>
    <w:uiPriority w:val="98"/>
    <w:semiHidden/>
    <w:rsid w:val="001E29C7"/>
    <w:rPr>
      <w:rFonts w:eastAsiaTheme="majorEastAsia" w:cstheme="majorBidi"/>
      <w:bCs/>
      <w:szCs w:val="24"/>
    </w:rPr>
  </w:style>
  <w:style w:type="table" w:customStyle="1" w:styleId="ECHRHeaderTable">
    <w:name w:val="ECHR_Header_Table"/>
    <w:basedOn w:val="TableNormal"/>
    <w:uiPriority w:val="99"/>
    <w:rsid w:val="001E29C7"/>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right"/>
      </w:pPr>
    </w:tblStylePr>
  </w:style>
  <w:style w:type="paragraph" w:customStyle="1" w:styleId="ECHRCoverTitle4">
    <w:name w:val="ECHR_Cover_Title_4"/>
    <w:aliases w:val="_Title_4"/>
    <w:basedOn w:val="Normal"/>
    <w:uiPriority w:val="38"/>
    <w:qFormat/>
    <w:rsid w:val="001E29C7"/>
    <w:pPr>
      <w:tabs>
        <w:tab w:val="right" w:pos="7938"/>
      </w:tabs>
      <w:spacing w:before="120" w:after="120"/>
      <w:ind w:left="1134" w:right="1134"/>
    </w:pPr>
    <w:rPr>
      <w:color w:val="00385E" w:themeColor="accent3" w:themeShade="80"/>
    </w:rPr>
  </w:style>
  <w:style w:type="paragraph" w:customStyle="1" w:styleId="ECHRParaQuote">
    <w:name w:val="ECHR_Para_Quote"/>
    <w:aliases w:val="_Quote"/>
    <w:basedOn w:val="ECHRParaSpaced"/>
    <w:next w:val="ECHRParaSpaced"/>
    <w:uiPriority w:val="20"/>
    <w:qFormat/>
    <w:rsid w:val="001E29C7"/>
    <w:pPr>
      <w:ind w:left="567"/>
    </w:pPr>
    <w:rPr>
      <w:sz w:val="20"/>
    </w:rPr>
  </w:style>
  <w:style w:type="table" w:customStyle="1" w:styleId="ECHRHeaderTableReduced">
    <w:name w:val="ECHR_Header_Table_Reduced"/>
    <w:basedOn w:val="TableNormal"/>
    <w:uiPriority w:val="99"/>
    <w:rsid w:val="001E29C7"/>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ECHRTitleCentre1">
    <w:name w:val="ECHR_Title_Centre_1"/>
    <w:aliases w:val="_Title_C_1"/>
    <w:basedOn w:val="Normal"/>
    <w:next w:val="ECHRParaSpaced"/>
    <w:uiPriority w:val="26"/>
    <w:qFormat/>
    <w:rsid w:val="001E29C7"/>
    <w:pPr>
      <w:keepNext/>
      <w:keepLines/>
      <w:spacing w:before="240"/>
      <w:contextualSpacing/>
      <w:jc w:val="center"/>
    </w:pPr>
    <w:rPr>
      <w:rFonts w:asciiTheme="majorHAnsi" w:hAnsiTheme="majorHAnsi"/>
      <w:b/>
      <w:color w:val="00385E" w:themeColor="accent3" w:themeShade="80"/>
      <w:sz w:val="32"/>
    </w:rPr>
  </w:style>
  <w:style w:type="table" w:customStyle="1" w:styleId="ECHRTableSimpleBox">
    <w:name w:val="ECHR_Table_Simple_Box"/>
    <w:basedOn w:val="TableNormal"/>
    <w:uiPriority w:val="99"/>
    <w:rsid w:val="001E29C7"/>
    <w:tblPr>
      <w:tblBorders>
        <w:top w:val="single" w:sz="4" w:space="0" w:color="3DB2FF" w:themeColor="accent3" w:themeTint="99"/>
        <w:left w:val="single" w:sz="4" w:space="0" w:color="3DB2FF" w:themeColor="accent3" w:themeTint="99"/>
        <w:bottom w:val="single" w:sz="4" w:space="0" w:color="3DB2FF" w:themeColor="accent3" w:themeTint="99"/>
        <w:right w:val="single" w:sz="4" w:space="0" w:color="3DB2FF" w:themeColor="accent3" w:themeTint="99"/>
      </w:tblBorders>
      <w:tblCellMar>
        <w:top w:w="113" w:type="dxa"/>
        <w:bottom w:w="113" w:type="dxa"/>
      </w:tblCellMar>
    </w:tblPr>
  </w:style>
  <w:style w:type="paragraph" w:customStyle="1" w:styleId="ECHRHeading8">
    <w:name w:val="ECHR_Heading_8"/>
    <w:aliases w:val="_Head_8"/>
    <w:basedOn w:val="Heading8"/>
    <w:next w:val="ECHRParaSpaced"/>
    <w:uiPriority w:val="17"/>
    <w:unhideWhenUsed/>
    <w:qFormat/>
    <w:rsid w:val="001E29C7"/>
    <w:pPr>
      <w:keepNext/>
      <w:keepLines/>
      <w:numPr>
        <w:ilvl w:val="7"/>
        <w:numId w:val="23"/>
      </w:numPr>
      <w:spacing w:before="100" w:beforeAutospacing="1"/>
      <w:contextualSpacing/>
    </w:pPr>
    <w:rPr>
      <w:b/>
      <w:color w:val="00385E" w:themeColor="accent3" w:themeShade="80"/>
      <w:sz w:val="24"/>
    </w:rPr>
  </w:style>
  <w:style w:type="paragraph" w:customStyle="1" w:styleId="ECHRHeading9">
    <w:name w:val="ECHR_Heading_9"/>
    <w:aliases w:val="_Head_9"/>
    <w:basedOn w:val="Heading9"/>
    <w:next w:val="ECHRParaSpaced"/>
    <w:uiPriority w:val="17"/>
    <w:unhideWhenUsed/>
    <w:qFormat/>
    <w:rsid w:val="001E29C7"/>
    <w:pPr>
      <w:keepNext/>
      <w:keepLines/>
      <w:numPr>
        <w:ilvl w:val="8"/>
        <w:numId w:val="23"/>
      </w:numPr>
      <w:spacing w:before="100" w:beforeAutospacing="1"/>
      <w:contextualSpacing/>
    </w:pPr>
    <w:rPr>
      <w:b/>
      <w:i w:val="0"/>
      <w:color w:val="00385E" w:themeColor="accent3" w:themeShade="80"/>
      <w:sz w:val="24"/>
    </w:rPr>
  </w:style>
  <w:style w:type="paragraph" w:customStyle="1" w:styleId="ECHRLine">
    <w:name w:val="ECHR_Line"/>
    <w:aliases w:val="_Line"/>
    <w:basedOn w:val="NormalJustified"/>
    <w:next w:val="Normal"/>
    <w:uiPriority w:val="46"/>
    <w:rsid w:val="001E29C7"/>
    <w:pPr>
      <w:pBdr>
        <w:bottom w:val="single" w:sz="12" w:space="1" w:color="949494" w:themeColor="text2" w:themeShade="BF"/>
      </w:pBdr>
      <w:spacing w:before="100" w:beforeAutospacing="1" w:after="100" w:afterAutospacing="1"/>
      <w:ind w:left="1985" w:right="1985"/>
      <w:jc w:val="center"/>
    </w:pPr>
  </w:style>
  <w:style w:type="paragraph" w:customStyle="1" w:styleId="ECHRList1">
    <w:name w:val="ECHR_List_1"/>
    <w:aliases w:val="_List_1"/>
    <w:basedOn w:val="NormalJustified"/>
    <w:uiPriority w:val="23"/>
    <w:qFormat/>
    <w:rsid w:val="001E29C7"/>
    <w:pPr>
      <w:numPr>
        <w:numId w:val="26"/>
      </w:numPr>
      <w:spacing w:before="60" w:after="60"/>
    </w:pPr>
  </w:style>
  <w:style w:type="paragraph" w:customStyle="1" w:styleId="ECHRList2">
    <w:name w:val="ECHR_List_2"/>
    <w:aliases w:val="_List_2"/>
    <w:basedOn w:val="ECHRList1"/>
    <w:uiPriority w:val="23"/>
    <w:rsid w:val="001E29C7"/>
    <w:pPr>
      <w:numPr>
        <w:ilvl w:val="1"/>
      </w:numPr>
    </w:pPr>
  </w:style>
  <w:style w:type="paragraph" w:customStyle="1" w:styleId="ECHRList3">
    <w:name w:val="ECHR_List_3"/>
    <w:aliases w:val="_List_3"/>
    <w:basedOn w:val="ECHRList2"/>
    <w:uiPriority w:val="23"/>
    <w:rsid w:val="001E29C7"/>
    <w:pPr>
      <w:numPr>
        <w:ilvl w:val="2"/>
      </w:numPr>
    </w:pPr>
  </w:style>
  <w:style w:type="table" w:customStyle="1" w:styleId="ECHRListTable">
    <w:name w:val="ECHR_List_Table"/>
    <w:basedOn w:val="TableNormal"/>
    <w:uiPriority w:val="99"/>
    <w:rsid w:val="001E29C7"/>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00548C"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NumberedList1">
    <w:name w:val="ECHR_Numbered_List_1"/>
    <w:aliases w:val="_Num_1"/>
    <w:basedOn w:val="Normal"/>
    <w:uiPriority w:val="23"/>
    <w:qFormat/>
    <w:rsid w:val="001E29C7"/>
    <w:pPr>
      <w:numPr>
        <w:numId w:val="29"/>
      </w:numPr>
      <w:spacing w:before="60" w:after="60"/>
    </w:pPr>
    <w:rPr>
      <w:rFonts w:eastAsiaTheme="minorEastAsia"/>
    </w:rPr>
  </w:style>
  <w:style w:type="paragraph" w:customStyle="1" w:styleId="ECHRNumberedList2">
    <w:name w:val="ECHR_Numbered_List_2"/>
    <w:aliases w:val="_Num_2"/>
    <w:basedOn w:val="ECHRNumberedList1"/>
    <w:uiPriority w:val="23"/>
    <w:rsid w:val="001E29C7"/>
    <w:pPr>
      <w:numPr>
        <w:ilvl w:val="1"/>
      </w:numPr>
    </w:pPr>
  </w:style>
  <w:style w:type="paragraph" w:customStyle="1" w:styleId="ECHRNumberedList3">
    <w:name w:val="ECHR_Numbered_List_3"/>
    <w:aliases w:val="_Num_3"/>
    <w:basedOn w:val="ECHRNumberedList2"/>
    <w:uiPriority w:val="23"/>
    <w:rsid w:val="001E29C7"/>
    <w:pPr>
      <w:numPr>
        <w:ilvl w:val="2"/>
      </w:numPr>
    </w:pPr>
  </w:style>
  <w:style w:type="paragraph" w:customStyle="1" w:styleId="ECHRBullet1">
    <w:name w:val="ECHR_Bullet_1"/>
    <w:aliases w:val="_Bul_1"/>
    <w:basedOn w:val="NormalJustified"/>
    <w:uiPriority w:val="23"/>
    <w:qFormat/>
    <w:rsid w:val="001E29C7"/>
    <w:pPr>
      <w:numPr>
        <w:numId w:val="14"/>
      </w:numPr>
      <w:spacing w:before="60" w:after="60"/>
    </w:pPr>
    <w:rPr>
      <w:rFonts w:eastAsiaTheme="minorEastAsia"/>
    </w:rPr>
  </w:style>
  <w:style w:type="paragraph" w:customStyle="1" w:styleId="ECHRBullet2">
    <w:name w:val="ECHR_Bullet_2"/>
    <w:aliases w:val="_Bul_2"/>
    <w:basedOn w:val="ECHRBullet1"/>
    <w:uiPriority w:val="23"/>
    <w:rsid w:val="001E29C7"/>
    <w:pPr>
      <w:numPr>
        <w:ilvl w:val="1"/>
      </w:numPr>
    </w:pPr>
  </w:style>
  <w:style w:type="paragraph" w:customStyle="1" w:styleId="ECHRParaIndent">
    <w:name w:val="ECHR_Para_Indent"/>
    <w:aliases w:val="_Indent"/>
    <w:basedOn w:val="ECHRParaSpaced"/>
    <w:uiPriority w:val="7"/>
    <w:qFormat/>
    <w:rsid w:val="001E29C7"/>
    <w:pPr>
      <w:ind w:left="567"/>
    </w:pPr>
  </w:style>
  <w:style w:type="character" w:customStyle="1" w:styleId="ECHRRed">
    <w:name w:val="ECHR_Red"/>
    <w:aliases w:val="_Red"/>
    <w:basedOn w:val="DefaultParagraphFont"/>
    <w:uiPriority w:val="15"/>
    <w:qFormat/>
    <w:rsid w:val="001E29C7"/>
    <w:rPr>
      <w:color w:val="C00000" w:themeColor="accent2"/>
    </w:rPr>
  </w:style>
  <w:style w:type="paragraph" w:customStyle="1" w:styleId="ECHRSpacer">
    <w:name w:val="ECHR_Spacer"/>
    <w:aliases w:val="_Spacer"/>
    <w:basedOn w:val="Normal"/>
    <w:uiPriority w:val="45"/>
    <w:rsid w:val="001E29C7"/>
    <w:rPr>
      <w:sz w:val="4"/>
    </w:rPr>
  </w:style>
  <w:style w:type="table" w:customStyle="1" w:styleId="ECHRTable">
    <w:name w:val="ECHR_Table"/>
    <w:basedOn w:val="TableNormal"/>
    <w:rsid w:val="001E29C7"/>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1E29C7"/>
    <w:pPr>
      <w:tabs>
        <w:tab w:val="left" w:pos="567"/>
        <w:tab w:val="left" w:pos="851"/>
        <w:tab w:val="right" w:pos="5273"/>
      </w:tabs>
    </w:pPr>
    <w:rPr>
      <w:color w:val="262626" w:themeColor="text1" w:themeTint="D9"/>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E29C7"/>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F8F8F8" w:themeColor="background2"/>
          <w:tl2br w:val="nil"/>
          <w:tr2bl w:val="nil"/>
        </w:tcBorders>
        <w:shd w:val="clear" w:color="auto" w:fill="0072BC" w:themeFill="accent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CentreTOC1">
    <w:name w:val="ECHR_Title_Centre_TOC_1"/>
    <w:aliases w:val="_Title_C_TOC"/>
    <w:basedOn w:val="ECHRTitleCentre1"/>
    <w:next w:val="ECHRHeading1"/>
    <w:uiPriority w:val="25"/>
    <w:qFormat/>
    <w:rsid w:val="001E29C7"/>
    <w:pPr>
      <w:outlineLvl w:val="0"/>
    </w:pPr>
  </w:style>
  <w:style w:type="paragraph" w:customStyle="1" w:styleId="ECHRTitleTOC1">
    <w:name w:val="ECHR_Title_TOC_1"/>
    <w:aliases w:val="_Title_L_TOC"/>
    <w:basedOn w:val="ECHRTitle1"/>
    <w:next w:val="ECHRHeading1"/>
    <w:uiPriority w:val="27"/>
    <w:qFormat/>
    <w:rsid w:val="001E29C7"/>
    <w:pPr>
      <w:outlineLvl w:val="0"/>
    </w:pPr>
  </w:style>
  <w:style w:type="character" w:styleId="PlaceholderText">
    <w:name w:val="Placeholder Text"/>
    <w:basedOn w:val="DefaultParagraphFont"/>
    <w:uiPriority w:val="98"/>
    <w:rsid w:val="001E29C7"/>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1E29C7"/>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2019">
    <w:name w:val="ECHR_Table_2019"/>
    <w:basedOn w:val="TableNormal"/>
    <w:uiPriority w:val="99"/>
    <w:rsid w:val="001E29C7"/>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auto"/>
        <w:sz w:val="22"/>
      </w:rPr>
      <w:tblPr/>
      <w:tcPr>
        <w:shd w:val="clear" w:color="auto" w:fill="BEE5FF" w:themeFill="accent3" w:themeFillTint="3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band2Horz">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l2br w:val="nil"/>
          <w:tr2bl w:val="nil"/>
        </w:tcBorders>
        <w:shd w:val="clear" w:color="auto" w:fill="F3F3F3" w:themeFill="text2" w:themeFillTint="33"/>
      </w:tcPr>
    </w:tblStylePr>
  </w:style>
  <w:style w:type="character" w:styleId="FollowedHyperlink">
    <w:name w:val="FollowedHyperlink"/>
    <w:basedOn w:val="DefaultParagraphFont"/>
    <w:uiPriority w:val="99"/>
    <w:semiHidden/>
    <w:qFormat/>
    <w:rsid w:val="00721E6B"/>
    <w:rPr>
      <w:i/>
      <w:color w:val="0070C0"/>
      <w:u w:val="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B0494D"/>
    <w:rPr>
      <w:sz w:val="20"/>
      <w:szCs w:val="20"/>
      <w:lang w:val="ro-RO"/>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494D"/>
    <w:rPr>
      <w:b/>
      <w:bCs/>
      <w:sz w:val="20"/>
      <w:szCs w:val="20"/>
      <w:lang w:val="ro-RO"/>
    </w:rPr>
  </w:style>
  <w:style w:type="paragraph" w:styleId="TOC6">
    <w:name w:val="toc 6"/>
    <w:basedOn w:val="Normal"/>
    <w:next w:val="Normal"/>
    <w:autoRedefine/>
    <w:uiPriority w:val="39"/>
    <w:semiHidden/>
    <w:rsid w:val="00564A79"/>
    <w:pPr>
      <w:ind w:left="2041" w:right="340" w:hanging="340"/>
    </w:pPr>
  </w:style>
  <w:style w:type="paragraph" w:styleId="TOC7">
    <w:name w:val="toc 7"/>
    <w:basedOn w:val="Normal"/>
    <w:next w:val="Normal"/>
    <w:autoRedefine/>
    <w:uiPriority w:val="39"/>
    <w:semiHidden/>
    <w:rsid w:val="00564A79"/>
    <w:pPr>
      <w:ind w:left="2381" w:right="340" w:hanging="340"/>
    </w:pPr>
  </w:style>
  <w:style w:type="table" w:customStyle="1" w:styleId="ECHRTableBoxHeader">
    <w:name w:val="ECHR_Table_Box_Header"/>
    <w:basedOn w:val="TableNormal"/>
    <w:rsid w:val="001E29C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0072BC" w:themeColor="accent3"/>
      </w:rPr>
    </w:tblStylePr>
  </w:style>
  <w:style w:type="table" w:customStyle="1" w:styleId="ECHRTableFax">
    <w:name w:val="ECHR_Table_Fax"/>
    <w:basedOn w:val="TableNormal"/>
    <w:uiPriority w:val="99"/>
    <w:rsid w:val="001E29C7"/>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1E29C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1E29C7"/>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paragraph" w:customStyle="1" w:styleId="ECHRParaHanging">
    <w:name w:val="ECHR_Para_Hanging"/>
    <w:aliases w:val="_Hanging"/>
    <w:basedOn w:val="ECHRPara"/>
    <w:uiPriority w:val="8"/>
    <w:qFormat/>
    <w:rsid w:val="001E29C7"/>
    <w:pPr>
      <w:ind w:left="567" w:hanging="567"/>
    </w:pPr>
  </w:style>
  <w:style w:type="table" w:customStyle="1" w:styleId="ECHRTableNoLines">
    <w:name w:val="ECHR_Table_No_Lines"/>
    <w:basedOn w:val="TableNormal"/>
    <w:uiPriority w:val="99"/>
    <w:rsid w:val="001E29C7"/>
    <w:tblPr>
      <w:tblCellMar>
        <w:top w:w="85" w:type="dxa"/>
        <w:left w:w="142" w:type="dxa"/>
        <w:bottom w:w="28" w:type="dxa"/>
        <w:right w:w="142" w:type="dxa"/>
      </w:tblCellMar>
    </w:tblPr>
    <w:tblStylePr w:type="firstRow">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styleId="Index1">
    <w:name w:val="index 1"/>
    <w:basedOn w:val="ECHRParaHanging"/>
    <w:next w:val="Normal"/>
    <w:autoRedefine/>
    <w:uiPriority w:val="99"/>
    <w:semiHidden/>
    <w:rsid w:val="006A5211"/>
    <w:pPr>
      <w:tabs>
        <w:tab w:val="right" w:leader="dot" w:pos="9072"/>
      </w:tabs>
      <w:ind w:right="567"/>
    </w:pPr>
    <w:rPr>
      <w:sz w:val="20"/>
    </w:rPr>
  </w:style>
  <w:style w:type="paragraph" w:styleId="IndexHeading">
    <w:name w:val="index heading"/>
    <w:basedOn w:val="ECHRTitleCentre1"/>
    <w:next w:val="Index1"/>
    <w:uiPriority w:val="99"/>
    <w:semiHidden/>
    <w:rsid w:val="006A5211"/>
    <w:pPr>
      <w:spacing w:before="480" w:after="120"/>
    </w:pPr>
    <w:rPr>
      <w:rFonts w:eastAsiaTheme="majorEastAsia" w:cstheme="majorBidi"/>
      <w:b w:val="0"/>
      <w:bCs/>
    </w:rPr>
  </w:style>
  <w:style w:type="table" w:customStyle="1" w:styleId="ECHRTableOddBanded">
    <w:name w:val="ECHR_Table_Odd_Banded"/>
    <w:basedOn w:val="TableNormal"/>
    <w:uiPriority w:val="99"/>
    <w:rsid w:val="001E29C7"/>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Title1">
    <w:name w:val="ECHR_Title_1"/>
    <w:aliases w:val="_Title_L_1"/>
    <w:basedOn w:val="Normal"/>
    <w:next w:val="ECHRParaSpaced"/>
    <w:uiPriority w:val="28"/>
    <w:qFormat/>
    <w:rsid w:val="001E29C7"/>
    <w:pPr>
      <w:keepNext/>
      <w:keepLines/>
      <w:spacing w:before="240"/>
      <w:contextualSpacing/>
    </w:pPr>
    <w:rPr>
      <w:rFonts w:asciiTheme="majorHAnsi" w:hAnsiTheme="majorHAnsi"/>
      <w:b/>
      <w:color w:val="00385E" w:themeColor="accent3" w:themeShade="80"/>
      <w:sz w:val="32"/>
    </w:rPr>
  </w:style>
  <w:style w:type="paragraph" w:customStyle="1" w:styleId="ECHRTitle2">
    <w:name w:val="ECHR_Title_2"/>
    <w:aliases w:val="_Title_L_2"/>
    <w:basedOn w:val="Normal"/>
    <w:next w:val="ECHRParaSpaced"/>
    <w:uiPriority w:val="28"/>
    <w:qFormat/>
    <w:rsid w:val="001E29C7"/>
    <w:pPr>
      <w:keepNext/>
      <w:keepLines/>
      <w:spacing w:before="240"/>
      <w:contextualSpacing/>
    </w:pPr>
    <w:rPr>
      <w:rFonts w:asciiTheme="majorHAnsi" w:hAnsiTheme="majorHAnsi"/>
      <w:b/>
      <w:color w:val="00385E" w:themeColor="accent3" w:themeShade="80"/>
      <w:sz w:val="28"/>
    </w:rPr>
  </w:style>
  <w:style w:type="paragraph" w:customStyle="1" w:styleId="ECHRTitle3">
    <w:name w:val="ECHR_Title_3"/>
    <w:aliases w:val="_Title_L_3"/>
    <w:basedOn w:val="Normal"/>
    <w:next w:val="ECHRParaSpaced"/>
    <w:uiPriority w:val="28"/>
    <w:qFormat/>
    <w:rsid w:val="001E29C7"/>
    <w:pPr>
      <w:keepNext/>
      <w:keepLines/>
      <w:spacing w:before="240"/>
      <w:contextualSpacing/>
    </w:pPr>
    <w:rPr>
      <w:rFonts w:asciiTheme="majorHAnsi" w:hAnsiTheme="majorHAnsi"/>
      <w:b/>
      <w:color w:val="00385E" w:themeColor="accent3" w:themeShade="80"/>
      <w:sz w:val="24"/>
    </w:rPr>
  </w:style>
  <w:style w:type="paragraph" w:customStyle="1" w:styleId="ECHRTitleCentre2">
    <w:name w:val="ECHR_Title_Centre_2"/>
    <w:aliases w:val="_Title_C_2"/>
    <w:basedOn w:val="Normal"/>
    <w:next w:val="ECHRParaSpaced"/>
    <w:uiPriority w:val="26"/>
    <w:qFormat/>
    <w:rsid w:val="001E29C7"/>
    <w:pPr>
      <w:keepNext/>
      <w:keepLines/>
      <w:spacing w:before="240"/>
      <w:contextualSpacing/>
      <w:jc w:val="center"/>
    </w:pPr>
    <w:rPr>
      <w:rFonts w:asciiTheme="majorHAnsi" w:hAnsiTheme="majorHAnsi"/>
      <w:b/>
      <w:color w:val="00385E" w:themeColor="accent3" w:themeShade="80"/>
      <w:sz w:val="28"/>
    </w:rPr>
  </w:style>
  <w:style w:type="paragraph" w:customStyle="1" w:styleId="ECHRTitleCentre3">
    <w:name w:val="ECHR_Title_Centre_3"/>
    <w:aliases w:val="_Title_C_3"/>
    <w:basedOn w:val="Normal"/>
    <w:next w:val="ECHRParaSpaced"/>
    <w:uiPriority w:val="26"/>
    <w:qFormat/>
    <w:rsid w:val="001E29C7"/>
    <w:pPr>
      <w:keepNext/>
      <w:keepLines/>
      <w:spacing w:before="240"/>
      <w:contextualSpacing/>
      <w:jc w:val="center"/>
    </w:pPr>
    <w:rPr>
      <w:rFonts w:asciiTheme="majorHAnsi" w:hAnsiTheme="majorHAnsi"/>
      <w:b/>
      <w:color w:val="00385E" w:themeColor="accent3" w:themeShade="80"/>
      <w:sz w:val="24"/>
    </w:rPr>
  </w:style>
  <w:style w:type="paragraph" w:customStyle="1" w:styleId="ECHRTitleQuote">
    <w:name w:val="ECHR_Title_Quote"/>
    <w:aliases w:val="_Title_Quote"/>
    <w:basedOn w:val="Normal"/>
    <w:next w:val="ECHRParaQuote"/>
    <w:uiPriority w:val="19"/>
    <w:rsid w:val="001E29C7"/>
    <w:pPr>
      <w:spacing w:before="100" w:beforeAutospacing="1"/>
      <w:contextualSpacing/>
      <w:jc w:val="center"/>
    </w:pPr>
    <w:rPr>
      <w:b/>
      <w:sz w:val="20"/>
      <w:lang w:bidi="en-US"/>
    </w:rPr>
  </w:style>
  <w:style w:type="paragraph" w:customStyle="1" w:styleId="JuCase">
    <w:name w:val="Ju_Case"/>
    <w:aliases w:val="_Case_Name"/>
    <w:basedOn w:val="Normal"/>
    <w:next w:val="ECHRParaSpaced"/>
    <w:uiPriority w:val="32"/>
    <w:semiHidden/>
    <w:rsid w:val="001E29C7"/>
    <w:rPr>
      <w:b/>
    </w:rPr>
  </w:style>
  <w:style w:type="paragraph" w:customStyle="1" w:styleId="JuCourt">
    <w:name w:val="Ju_Court"/>
    <w:aliases w:val="_Court_Names"/>
    <w:basedOn w:val="Normal"/>
    <w:uiPriority w:val="32"/>
    <w:semiHidden/>
    <w:rsid w:val="001E29C7"/>
    <w:pPr>
      <w:tabs>
        <w:tab w:val="left" w:pos="1134"/>
        <w:tab w:val="left" w:pos="1701"/>
        <w:tab w:val="right" w:pos="9072"/>
      </w:tabs>
      <w:spacing w:before="240"/>
      <w:ind w:left="567" w:hanging="567"/>
      <w:contextualSpacing/>
    </w:pPr>
  </w:style>
  <w:style w:type="paragraph" w:customStyle="1" w:styleId="JuInitialled">
    <w:name w:val="Ju_Initialled"/>
    <w:aliases w:val="_Right"/>
    <w:basedOn w:val="Normal"/>
    <w:uiPriority w:val="31"/>
    <w:semiHidden/>
    <w:rsid w:val="001E29C7"/>
    <w:pPr>
      <w:tabs>
        <w:tab w:val="center" w:pos="8222"/>
      </w:tabs>
      <w:spacing w:before="720"/>
      <w:jc w:val="right"/>
    </w:pPr>
  </w:style>
  <w:style w:type="character" w:customStyle="1" w:styleId="JuITMark">
    <w:name w:val="Ju_ITMark"/>
    <w:aliases w:val="_ITMark"/>
    <w:basedOn w:val="DefaultParagraphFont"/>
    <w:uiPriority w:val="54"/>
    <w:semiHidden/>
    <w:qFormat/>
    <w:rsid w:val="001E29C7"/>
    <w:rPr>
      <w:vanish w:val="0"/>
      <w:color w:val="auto"/>
      <w:sz w:val="14"/>
      <w:bdr w:val="none" w:sz="0" w:space="0" w:color="auto"/>
      <w:shd w:val="clear" w:color="auto" w:fill="BEE5FF" w:themeFill="background1" w:themeFillTint="33"/>
    </w:rPr>
  </w:style>
  <w:style w:type="paragraph" w:customStyle="1" w:styleId="JuJudges">
    <w:name w:val="Ju_Judges"/>
    <w:aliases w:val="_Judges"/>
    <w:basedOn w:val="Normal"/>
    <w:uiPriority w:val="32"/>
    <w:semiHidden/>
    <w:rsid w:val="001E29C7"/>
    <w:pPr>
      <w:tabs>
        <w:tab w:val="left" w:pos="567"/>
        <w:tab w:val="left" w:pos="1134"/>
      </w:tabs>
    </w:pPr>
  </w:style>
  <w:style w:type="character" w:customStyle="1" w:styleId="JuNames">
    <w:name w:val="Ju_Names"/>
    <w:aliases w:val="_Ju_Names"/>
    <w:uiPriority w:val="33"/>
    <w:semiHidden/>
    <w:rsid w:val="001E29C7"/>
    <w:rPr>
      <w:caps w:val="0"/>
      <w:smallCaps/>
    </w:rPr>
  </w:style>
  <w:style w:type="paragraph" w:customStyle="1" w:styleId="JuSigned">
    <w:name w:val="Ju_Signed"/>
    <w:aliases w:val="_Signature"/>
    <w:basedOn w:val="Normal"/>
    <w:next w:val="ECHRParaSpaced"/>
    <w:uiPriority w:val="31"/>
    <w:semiHidden/>
    <w:rsid w:val="001E29C7"/>
    <w:pPr>
      <w:tabs>
        <w:tab w:val="center" w:pos="851"/>
        <w:tab w:val="center" w:pos="8222"/>
      </w:tabs>
      <w:spacing w:before="720"/>
    </w:pPr>
  </w:style>
  <w:style w:type="table" w:customStyle="1" w:styleId="LtrTableAddress">
    <w:name w:val="Ltr_Table_Address"/>
    <w:aliases w:val="ECHR_Ltr_Table_Address"/>
    <w:basedOn w:val="TableNormal"/>
    <w:uiPriority w:val="99"/>
    <w:rsid w:val="001E29C7"/>
    <w:tblPr>
      <w:tblInd w:w="5103" w:type="dxa"/>
    </w:tblPr>
  </w:style>
  <w:style w:type="table" w:styleId="MediumShading2">
    <w:name w:val="Medium Shading 2"/>
    <w:basedOn w:val="TableNormal"/>
    <w:uiPriority w:val="99"/>
    <w:rsid w:val="001E29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PCFTableStyle">
    <w:name w:val="PCF_Table_Style"/>
    <w:aliases w:val="ECHR_PCF_Table_Style"/>
    <w:basedOn w:val="TableNormal"/>
    <w:uiPriority w:val="99"/>
    <w:rsid w:val="001E29C7"/>
    <w:rPr>
      <w:color w:val="000000" w:themeColor="text1"/>
      <w:sz w:val="18"/>
    </w:rPr>
    <w:tblPr>
      <w:tblBorders>
        <w:top w:val="single" w:sz="8" w:space="0" w:color="3DB2FF" w:themeColor="accent3" w:themeTint="99"/>
        <w:left w:val="single" w:sz="8" w:space="0" w:color="3DB2FF" w:themeColor="accent3" w:themeTint="99"/>
        <w:bottom w:val="single" w:sz="8" w:space="0" w:color="3DB2FF" w:themeColor="accent3" w:themeTint="99"/>
        <w:right w:val="single" w:sz="8" w:space="0" w:color="3DB2FF" w:themeColor="accent3" w:themeTint="99"/>
        <w:insideH w:val="single" w:sz="8" w:space="0" w:color="3DB2FF" w:themeColor="accent3" w:themeTint="99"/>
        <w:insideV w:val="single" w:sz="8" w:space="0" w:color="3DB2F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1E29C7"/>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E29C7"/>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character" w:customStyle="1" w:styleId="ECHRHyperlinkcase">
    <w:name w:val="ECHR_Hyperlinkcase"/>
    <w:aliases w:val="_Hyperlinkcase"/>
    <w:basedOn w:val="Hyperlink"/>
    <w:uiPriority w:val="98"/>
    <w:rsid w:val="001E29C7"/>
    <w:rPr>
      <w:i w:val="0"/>
      <w:color w:val="0072BC" w:themeColor="hyperlink"/>
      <w:u w:val="none"/>
    </w:rPr>
  </w:style>
  <w:style w:type="paragraph" w:customStyle="1" w:styleId="JuQuot">
    <w:name w:val="Ju_Quot"/>
    <w:basedOn w:val="Normal"/>
    <w:rsid w:val="001E1000"/>
    <w:pPr>
      <w:suppressAutoHyphens/>
      <w:spacing w:before="120" w:after="120"/>
      <w:ind w:left="403" w:firstLine="176"/>
      <w:jc w:val="both"/>
    </w:pPr>
    <w:rPr>
      <w:rFonts w:ascii="Calibri" w:eastAsia="Times New Roman" w:hAnsi="Calibri" w:cs="Times New Roman"/>
      <w:sz w:val="20"/>
      <w:szCs w:val="20"/>
    </w:rPr>
  </w:style>
  <w:style w:type="character" w:customStyle="1" w:styleId="ECHRParaSpacedChar">
    <w:name w:val="ECHR_Para_Spaced Char"/>
    <w:aliases w:val="Para_Spaced Char"/>
    <w:basedOn w:val="DefaultParagraphFont"/>
    <w:link w:val="ECHRParaSpaced"/>
    <w:uiPriority w:val="5"/>
    <w:rsid w:val="00B33E21"/>
    <w:rPr>
      <w:lang w:val="ro-RO"/>
    </w:rPr>
  </w:style>
  <w:style w:type="character" w:customStyle="1" w:styleId="UnresolvedMention">
    <w:name w:val="Unresolved Mention"/>
    <w:basedOn w:val="DefaultParagraphFont"/>
    <w:uiPriority w:val="99"/>
    <w:semiHidden/>
    <w:unhideWhenUsed/>
    <w:rsid w:val="00D65D83"/>
    <w:rPr>
      <w:color w:val="605E5C"/>
      <w:shd w:val="clear" w:color="auto" w:fill="E1DFDD"/>
    </w:rPr>
  </w:style>
  <w:style w:type="paragraph" w:styleId="Subtitle">
    <w:name w:val="Subtitle"/>
    <w:basedOn w:val="Normal"/>
    <w:next w:val="Normal"/>
    <w:link w:val="SubtitleChar"/>
    <w:uiPriority w:val="98"/>
    <w:qFormat/>
    <w:rsid w:val="00D65D8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98"/>
    <w:rsid w:val="00D65D83"/>
    <w:rPr>
      <w:rFonts w:eastAsiaTheme="minorEastAsia"/>
      <w:color w:val="5A5A5A" w:themeColor="text1" w:themeTint="A5"/>
      <w:spacing w:val="15"/>
      <w:lang w:val="ro-RO"/>
    </w:rPr>
  </w:style>
  <w:style w:type="character" w:customStyle="1" w:styleId="sb8d990e2">
    <w:name w:val="sb8d990e2"/>
    <w:basedOn w:val="DefaultParagraphFont"/>
    <w:rsid w:val="009F0FBB"/>
  </w:style>
  <w:style w:type="character" w:customStyle="1" w:styleId="s68f5eaef">
    <w:name w:val="s68f5eaef"/>
    <w:basedOn w:val="DefaultParagraphFont"/>
    <w:rsid w:val="008C68DB"/>
  </w:style>
  <w:style w:type="paragraph" w:styleId="Revision">
    <w:name w:val="Revision"/>
    <w:hidden/>
    <w:uiPriority w:val="99"/>
    <w:semiHidden/>
    <w:rsid w:val="00421E07"/>
  </w:style>
  <w:style w:type="character" w:customStyle="1" w:styleId="s9154683b">
    <w:name w:val="s9154683b"/>
    <w:basedOn w:val="DefaultParagraphFont"/>
    <w:rsid w:val="0032558A"/>
  </w:style>
  <w:style w:type="character" w:customStyle="1" w:styleId="sbb9ee52a">
    <w:name w:val="sbb9ee52a"/>
    <w:basedOn w:val="DefaultParagraphFont"/>
    <w:rsid w:val="0032558A"/>
  </w:style>
  <w:style w:type="paragraph" w:customStyle="1" w:styleId="Default">
    <w:name w:val="Default"/>
    <w:basedOn w:val="Normal"/>
    <w:rsid w:val="00EE6C29"/>
    <w:pPr>
      <w:autoSpaceDE w:val="0"/>
      <w:autoSpaceDN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fre?i=001-83297" TargetMode="External"/><Relationship Id="rId117" Type="http://schemas.openxmlformats.org/officeDocument/2006/relationships/hyperlink" Target="https://hudoc.echr.coe.int/fre?i=001-82001" TargetMode="External"/><Relationship Id="rId21" Type="http://schemas.openxmlformats.org/officeDocument/2006/relationships/hyperlink" Target="https://hudoc.echr.coe.int/fre?i=001-94571" TargetMode="External"/><Relationship Id="rId42" Type="http://schemas.openxmlformats.org/officeDocument/2006/relationships/hyperlink" Target="https://hudoc.echr.coe.int/fre?i=001-59211" TargetMode="External"/><Relationship Id="rId47" Type="http://schemas.openxmlformats.org/officeDocument/2006/relationships/hyperlink" Target="https://hudoc.echr.coe.int/fre?i=001-154978" TargetMode="External"/><Relationship Id="rId63" Type="http://schemas.openxmlformats.org/officeDocument/2006/relationships/hyperlink" Target="https://hudoc.echr.coe.int/fre?i=001-154978" TargetMode="External"/><Relationship Id="rId68" Type="http://schemas.openxmlformats.org/officeDocument/2006/relationships/hyperlink" Target="https://hudoc.echr.coe.int/fre?i=001-113300" TargetMode="External"/><Relationship Id="rId84" Type="http://schemas.openxmlformats.org/officeDocument/2006/relationships/hyperlink" Target="https://hudoc.echr.coe.int/fre?i=001-94571" TargetMode="External"/><Relationship Id="rId89" Type="http://schemas.openxmlformats.org/officeDocument/2006/relationships/hyperlink" Target="http://hudoc.echr.coe.int" TargetMode="External"/><Relationship Id="rId112" Type="http://schemas.openxmlformats.org/officeDocument/2006/relationships/hyperlink" Target="https://hudoc.echr.coe.int/fre?i=001-203699" TargetMode="External"/><Relationship Id="rId16" Type="http://schemas.openxmlformats.org/officeDocument/2006/relationships/hyperlink" Target="http://www.echr.coe.int/Documents/HUDOC_Keywords_ENG.pdf" TargetMode="External"/><Relationship Id="rId107" Type="http://schemas.openxmlformats.org/officeDocument/2006/relationships/hyperlink" Target="https://hudoc.echr.coe.int/fre?i=001-77265" TargetMode="External"/><Relationship Id="rId11" Type="http://schemas.openxmlformats.org/officeDocument/2006/relationships/hyperlink" Target="https://ks.echr.coe.int/" TargetMode="External"/><Relationship Id="rId32" Type="http://schemas.openxmlformats.org/officeDocument/2006/relationships/hyperlink" Target="https://hudoc.echr.coe.int/fre?i=001-83297" TargetMode="External"/><Relationship Id="rId37" Type="http://schemas.openxmlformats.org/officeDocument/2006/relationships/hyperlink" Target="https://hudoc.echr.coe.int/fre?i=001-78207" TargetMode="External"/><Relationship Id="rId53" Type="http://schemas.openxmlformats.org/officeDocument/2006/relationships/hyperlink" Target="https://hudoc.echr.coe.int/fre?i=001-175657" TargetMode="External"/><Relationship Id="rId58" Type="http://schemas.openxmlformats.org/officeDocument/2006/relationships/hyperlink" Target="https://hudoc.echr.coe.int/fre?i=001-147445" TargetMode="External"/><Relationship Id="rId74" Type="http://schemas.openxmlformats.org/officeDocument/2006/relationships/hyperlink" Target="https://hudoc.echr.coe.int/fre?i=001-82001" TargetMode="External"/><Relationship Id="rId79" Type="http://schemas.openxmlformats.org/officeDocument/2006/relationships/hyperlink" Target="https://hudoc.echr.coe.int/fre?i=001-94571" TargetMode="External"/><Relationship Id="rId102" Type="http://schemas.openxmlformats.org/officeDocument/2006/relationships/hyperlink" Target="https://hudoc.echr.coe.int/fre?i=001-59211" TargetMode="External"/><Relationship Id="rId123"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hyperlink" Target="https://hudoc.echr.coe.int/fre?i=001-211367" TargetMode="External"/><Relationship Id="rId82" Type="http://schemas.openxmlformats.org/officeDocument/2006/relationships/hyperlink" Target="https://hudoc.echr.coe.int/fre?i=001-82001" TargetMode="External"/><Relationship Id="rId90" Type="http://schemas.openxmlformats.org/officeDocument/2006/relationships/hyperlink" Target="https://hudoc.echr.coe.int/fre" TargetMode="External"/><Relationship Id="rId95" Type="http://schemas.openxmlformats.org/officeDocument/2006/relationships/hyperlink" Target="https://hudoc.echr.coe.int/fre?i=001-83297" TargetMode="External"/><Relationship Id="rId19" Type="http://schemas.openxmlformats.org/officeDocument/2006/relationships/hyperlink" Target="https://hudoc.echr.coe.int/fre?i=001-82001" TargetMode="External"/><Relationship Id="rId14" Type="http://schemas.openxmlformats.org/officeDocument/2006/relationships/hyperlink" Target="http://hudoc.echr.coe.int/eng?i=001-165032" TargetMode="External"/><Relationship Id="rId22" Type="http://schemas.openxmlformats.org/officeDocument/2006/relationships/hyperlink" Target="https://hudoc.echr.coe.int/fre?i=001-212689" TargetMode="External"/><Relationship Id="rId27" Type="http://schemas.openxmlformats.org/officeDocument/2006/relationships/hyperlink" Target="https://hudoc.echr.coe.int/tur?i=001-57479" TargetMode="External"/><Relationship Id="rId30" Type="http://schemas.openxmlformats.org/officeDocument/2006/relationships/hyperlink" Target="https://hudoc.echr.coe.int/fre?i=001-94571" TargetMode="External"/><Relationship Id="rId35" Type="http://schemas.openxmlformats.org/officeDocument/2006/relationships/hyperlink" Target="https://hudoc.echr.coe.int/eng?i=001-196412" TargetMode="External"/><Relationship Id="rId43" Type="http://schemas.openxmlformats.org/officeDocument/2006/relationships/hyperlink" Target="https://hudoc.echr.coe.int/fre?i=001-70094" TargetMode="External"/><Relationship Id="rId48" Type="http://schemas.openxmlformats.org/officeDocument/2006/relationships/hyperlink" Target="https://hudoc.echr.coe.int/fre?i=001-175657" TargetMode="External"/><Relationship Id="rId56" Type="http://schemas.openxmlformats.org/officeDocument/2006/relationships/hyperlink" Target="https://hudoc.echr.coe.int/fre?i=001-70094" TargetMode="External"/><Relationship Id="rId64" Type="http://schemas.openxmlformats.org/officeDocument/2006/relationships/hyperlink" Target="https://hudoc.echr.coe.int/fre?i=001-178375" TargetMode="External"/><Relationship Id="rId69" Type="http://schemas.openxmlformats.org/officeDocument/2006/relationships/hyperlink" Target="https://hudoc.echr.coe.int/eng?i=001-182217" TargetMode="External"/><Relationship Id="rId77" Type="http://schemas.openxmlformats.org/officeDocument/2006/relationships/hyperlink" Target="https://hudoc.echr.coe.int/fre?i=001-212689" TargetMode="External"/><Relationship Id="rId100" Type="http://schemas.openxmlformats.org/officeDocument/2006/relationships/hyperlink" Target="https://hudoc.echr.coe.int/fre?i=001-113300" TargetMode="External"/><Relationship Id="rId105" Type="http://schemas.openxmlformats.org/officeDocument/2006/relationships/hyperlink" Target="https://hudoc.echr.coe.int/fre?i=001-104913" TargetMode="External"/><Relationship Id="rId113" Type="http://schemas.openxmlformats.org/officeDocument/2006/relationships/hyperlink" Target="https://hudoc.echr.coe.int/fre?i=001-147445" TargetMode="External"/><Relationship Id="rId118" Type="http://schemas.openxmlformats.org/officeDocument/2006/relationships/hyperlink" Target="https://hudoc.echr.coe.int/fre?i=001-113750" TargetMode="External"/><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hudoc.echr.coe.int/fre?i=001-77265" TargetMode="External"/><Relationship Id="rId72" Type="http://schemas.openxmlformats.org/officeDocument/2006/relationships/hyperlink" Target="https://hudoc.echr.coe.int/fre?i=001-154978" TargetMode="External"/><Relationship Id="rId80" Type="http://schemas.openxmlformats.org/officeDocument/2006/relationships/hyperlink" Target="https://hudoc.echr.coe.int/fre?i=001-113750" TargetMode="External"/><Relationship Id="rId85" Type="http://schemas.openxmlformats.org/officeDocument/2006/relationships/hyperlink" Target="https://hudoc.echr.coe.int/eng?i=001-104913" TargetMode="External"/><Relationship Id="rId93" Type="http://schemas.openxmlformats.org/officeDocument/2006/relationships/hyperlink" Target="https://hudoc.echr.coe.int/fre?i=001-178375" TargetMode="External"/><Relationship Id="rId98" Type="http://schemas.openxmlformats.org/officeDocument/2006/relationships/hyperlink" Target="https://hudoc.echr.coe.int/fre?i=001-70094" TargetMode="External"/><Relationship Id="rId12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hyperlink" Target="https://twitter.com/ECHR_CEDH" TargetMode="External"/><Relationship Id="rId17" Type="http://schemas.openxmlformats.org/officeDocument/2006/relationships/hyperlink" Target="http://hudoc.echr.coe.int" TargetMode="External"/><Relationship Id="rId25" Type="http://schemas.openxmlformats.org/officeDocument/2006/relationships/hyperlink" Target="https://hudoc.echr.coe.int/fre?i=001-82001" TargetMode="External"/><Relationship Id="rId33" Type="http://schemas.openxmlformats.org/officeDocument/2006/relationships/hyperlink" Target="https://hudoc.echr.coe.int/eng?i=001-175657" TargetMode="External"/><Relationship Id="rId38" Type="http://schemas.openxmlformats.org/officeDocument/2006/relationships/hyperlink" Target="https://hudoc.echr.coe.int/fre?i=001-82001" TargetMode="External"/><Relationship Id="rId46" Type="http://schemas.openxmlformats.org/officeDocument/2006/relationships/hyperlink" Target="https://hudoc.echr.coe.int/fre?i=001-147445" TargetMode="External"/><Relationship Id="rId59" Type="http://schemas.openxmlformats.org/officeDocument/2006/relationships/hyperlink" Target="https://hudoc.echr.coe.int/fre?i=001-154978" TargetMode="External"/><Relationship Id="rId67" Type="http://schemas.openxmlformats.org/officeDocument/2006/relationships/hyperlink" Target="https://hudoc.echr.coe.int/fre?i=001-83297" TargetMode="External"/><Relationship Id="rId103" Type="http://schemas.openxmlformats.org/officeDocument/2006/relationships/hyperlink" Target="https://hudoc.echr.coe.int/fre?i=001-103598" TargetMode="External"/><Relationship Id="rId108" Type="http://schemas.openxmlformats.org/officeDocument/2006/relationships/hyperlink" Target="https://hudoc.echr.coe.int/fre?i=001-142672" TargetMode="External"/><Relationship Id="rId116" Type="http://schemas.openxmlformats.org/officeDocument/2006/relationships/hyperlink" Target="https://hudoc.echr.coe.int/fre?i=001-211367" TargetMode="External"/><Relationship Id="rId124" Type="http://schemas.openxmlformats.org/officeDocument/2006/relationships/footer" Target="footer3.xml"/><Relationship Id="rId20" Type="http://schemas.openxmlformats.org/officeDocument/2006/relationships/hyperlink" Target="https://hudoc.echr.coe.int/fre?i=001-92389" TargetMode="External"/><Relationship Id="rId41" Type="http://schemas.openxmlformats.org/officeDocument/2006/relationships/hyperlink" Target="https://hudoc.echr.coe.int/fre?i=001-203699" TargetMode="External"/><Relationship Id="rId54" Type="http://schemas.openxmlformats.org/officeDocument/2006/relationships/hyperlink" Target="https://hudoc.echr.coe.int/fre?i=001-211367" TargetMode="External"/><Relationship Id="rId62" Type="http://schemas.openxmlformats.org/officeDocument/2006/relationships/hyperlink" Target="https://hudoc.echr.coe.int/fre?i=001-203699" TargetMode="External"/><Relationship Id="rId70" Type="http://schemas.openxmlformats.org/officeDocument/2006/relationships/hyperlink" Target="https://hudoc.echr.coe.int/eng?i=001-182217" TargetMode="External"/><Relationship Id="rId75" Type="http://schemas.openxmlformats.org/officeDocument/2006/relationships/hyperlink" Target="https://hudoc.echr.coe.int/fre?i=001-92389" TargetMode="External"/><Relationship Id="rId83" Type="http://schemas.openxmlformats.org/officeDocument/2006/relationships/hyperlink" Target="https://hudoc.echr.coe.int/fre?i=001-92389" TargetMode="External"/><Relationship Id="rId88" Type="http://schemas.openxmlformats.org/officeDocument/2006/relationships/hyperlink" Target="https://hudoc.echr.coe.int/fre?i=001-203699" TargetMode="External"/><Relationship Id="rId91" Type="http://schemas.openxmlformats.org/officeDocument/2006/relationships/hyperlink" Target="https://hudoc.echr.coe.int/tur?i=001-57479" TargetMode="External"/><Relationship Id="rId96" Type="http://schemas.openxmlformats.org/officeDocument/2006/relationships/hyperlink" Target="https://hudoc.echr.coe.int/fre?i=001-78207" TargetMode="External"/><Relationship Id="rId111" Type="http://schemas.openxmlformats.org/officeDocument/2006/relationships/hyperlink" Target="https://hudoc.echr.coe.int/eng?i=001-9599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hudoc.echr.coe.int/eng?i=001-201353" TargetMode="External"/><Relationship Id="rId23" Type="http://schemas.openxmlformats.org/officeDocument/2006/relationships/hyperlink" Target="https://hudoc.echr.coe.int/eng?i=001-225231" TargetMode="External"/><Relationship Id="rId28" Type="http://schemas.openxmlformats.org/officeDocument/2006/relationships/hyperlink" Target="https://hudoc.echr.coe.int/fre?i=001-203699" TargetMode="External"/><Relationship Id="rId36" Type="http://schemas.openxmlformats.org/officeDocument/2006/relationships/hyperlink" Target="https://hudoc.echr.coe.int/fre?i=001-78207" TargetMode="External"/><Relationship Id="rId49" Type="http://schemas.openxmlformats.org/officeDocument/2006/relationships/hyperlink" Target="https://hudoc.echr.coe.int/fre?i=001-211367" TargetMode="External"/><Relationship Id="rId57" Type="http://schemas.openxmlformats.org/officeDocument/2006/relationships/hyperlink" Target="https://hudoc.echr.coe.int/fre?i=001-83297" TargetMode="External"/><Relationship Id="rId106" Type="http://schemas.openxmlformats.org/officeDocument/2006/relationships/hyperlink" Target="https://hudoc.echr.coe.int/fre?i=001-196412" TargetMode="External"/><Relationship Id="rId114" Type="http://schemas.openxmlformats.org/officeDocument/2006/relationships/hyperlink" Target="https://hudoc.echr.coe.int/fre?i=001-94571" TargetMode="External"/><Relationship Id="rId119" Type="http://schemas.openxmlformats.org/officeDocument/2006/relationships/header" Target="header1.xml"/><Relationship Id="rId10" Type="http://schemas.openxmlformats.org/officeDocument/2006/relationships/hyperlink" Target="https://ks.echr.coe.int/web/echr-ks/all-case-law-guides" TargetMode="External"/><Relationship Id="rId31" Type="http://schemas.openxmlformats.org/officeDocument/2006/relationships/hyperlink" Target="https://hudoc.echr.coe.int/fre?i=001-203699" TargetMode="External"/><Relationship Id="rId44" Type="http://schemas.openxmlformats.org/officeDocument/2006/relationships/hyperlink" Target="https://hudoc.echr.coe.int/fre?i=001-83297" TargetMode="External"/><Relationship Id="rId52" Type="http://schemas.openxmlformats.org/officeDocument/2006/relationships/hyperlink" Target="https://hudoc.echr.coe.int/fre?i=001-147445" TargetMode="External"/><Relationship Id="rId60" Type="http://schemas.openxmlformats.org/officeDocument/2006/relationships/hyperlink" Target="https://hudoc.echr.coe.int/fre?i=001-175657" TargetMode="External"/><Relationship Id="rId65" Type="http://schemas.openxmlformats.org/officeDocument/2006/relationships/hyperlink" Target="https://hudoc.echr.coe.int/fre?i=001-92389" TargetMode="External"/><Relationship Id="rId73" Type="http://schemas.openxmlformats.org/officeDocument/2006/relationships/hyperlink" Target="https://hudoc.echr.coe.int/fre?i=001-78207" TargetMode="External"/><Relationship Id="rId78" Type="http://schemas.openxmlformats.org/officeDocument/2006/relationships/hyperlink" Target="https://hudoc.echr.coe.int/fre?i=001-92389" TargetMode="External"/><Relationship Id="rId81" Type="http://schemas.openxmlformats.org/officeDocument/2006/relationships/hyperlink" Target="https://hudoc.echr.coe.int/fre?i=001-78207" TargetMode="External"/><Relationship Id="rId86" Type="http://schemas.openxmlformats.org/officeDocument/2006/relationships/hyperlink" Target="https://hudoc.echr.coe.int/fre?i=001-212689" TargetMode="External"/><Relationship Id="rId94" Type="http://schemas.openxmlformats.org/officeDocument/2006/relationships/hyperlink" Target="https://hudoc.echr.coe.int/eng?i=001-22846" TargetMode="External"/><Relationship Id="rId99" Type="http://schemas.openxmlformats.org/officeDocument/2006/relationships/hyperlink" Target="https://hudoc.echr.coe.int/eng?i=001-4722" TargetMode="External"/><Relationship Id="rId101" Type="http://schemas.openxmlformats.org/officeDocument/2006/relationships/hyperlink" Target="https://hudoc.echr.coe.int/fre?i=001-92389" TargetMode="External"/><Relationship Id="rId122"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app.echr.coe.int/Contact/EchrContactForm/English/41" TargetMode="External"/><Relationship Id="rId13" Type="http://schemas.openxmlformats.org/officeDocument/2006/relationships/hyperlink" Target="http://hudoc.echr.coe.int/eng?i=001-57506" TargetMode="External"/><Relationship Id="rId18" Type="http://schemas.openxmlformats.org/officeDocument/2006/relationships/hyperlink" Target="https://www.echr.coe.int/Documents/HUDOC_Manual_ENG.PDF" TargetMode="External"/><Relationship Id="rId39" Type="http://schemas.openxmlformats.org/officeDocument/2006/relationships/hyperlink" Target="https://hudoc.echr.coe.int/fre?i=001-70094" TargetMode="External"/><Relationship Id="rId109" Type="http://schemas.openxmlformats.org/officeDocument/2006/relationships/hyperlink" Target="https://hudoc.echr.coe.int/fre?i=001-175657" TargetMode="External"/><Relationship Id="rId34" Type="http://schemas.openxmlformats.org/officeDocument/2006/relationships/hyperlink" Target="https://hudoc.echr.coe.int/eng?i=001-182217" TargetMode="External"/><Relationship Id="rId50" Type="http://schemas.openxmlformats.org/officeDocument/2006/relationships/hyperlink" Target="https://hudoc.echr.coe.int/fre?i=001-59211" TargetMode="External"/><Relationship Id="rId55" Type="http://schemas.openxmlformats.org/officeDocument/2006/relationships/hyperlink" Target="https://hudoc.echr.coe.int/fre?i=001-59211" TargetMode="External"/><Relationship Id="rId76" Type="http://schemas.openxmlformats.org/officeDocument/2006/relationships/hyperlink" Target="https://hudoc.echr.coe.int/fre?i=001-94571" TargetMode="External"/><Relationship Id="rId97" Type="http://schemas.openxmlformats.org/officeDocument/2006/relationships/hyperlink" Target="https://hudoc.echr.coe.int/eng?i=001-225231" TargetMode="External"/><Relationship Id="rId104" Type="http://schemas.openxmlformats.org/officeDocument/2006/relationships/hyperlink" Target="https://hudoc.echr.coe.int/eng?i=001-96198" TargetMode="External"/><Relationship Id="rId120" Type="http://schemas.openxmlformats.org/officeDocument/2006/relationships/header" Target="header2.xml"/><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hudoc.echr.coe.int/fre?i=001-178375" TargetMode="External"/><Relationship Id="rId92" Type="http://schemas.openxmlformats.org/officeDocument/2006/relationships/hyperlink" Target="https://hudoc.echr.coe.int/eng?i=001-79432" TargetMode="External"/><Relationship Id="rId2" Type="http://schemas.openxmlformats.org/officeDocument/2006/relationships/customXml" Target="../customXml/item2.xml"/><Relationship Id="rId29" Type="http://schemas.openxmlformats.org/officeDocument/2006/relationships/hyperlink" Target="https://hudoc.echr.coe.int/fre?i=001-82001" TargetMode="External"/><Relationship Id="rId24" Type="http://schemas.openxmlformats.org/officeDocument/2006/relationships/hyperlink" Target="https://hudoc.echr.coe.int/fre?i=001-70094" TargetMode="External"/><Relationship Id="rId40" Type="http://schemas.openxmlformats.org/officeDocument/2006/relationships/hyperlink" Target="https://hudoc.echr.coe.int/fre?i=001-78207" TargetMode="External"/><Relationship Id="rId45" Type="http://schemas.openxmlformats.org/officeDocument/2006/relationships/hyperlink" Target="https://hudoc.echr.coe.int/fre?i=001-142672" TargetMode="External"/><Relationship Id="rId66" Type="http://schemas.openxmlformats.org/officeDocument/2006/relationships/hyperlink" Target="https://hudoc.echr.coe.int/fre?i=001-70094" TargetMode="External"/><Relationship Id="rId87" Type="http://schemas.openxmlformats.org/officeDocument/2006/relationships/hyperlink" Target="https://hudoc.echr.coe.int/fre?i=001-203699" TargetMode="External"/><Relationship Id="rId110" Type="http://schemas.openxmlformats.org/officeDocument/2006/relationships/hyperlink" Target="https://hudoc.echr.coe.int/fre?i=001-154978" TargetMode="External"/><Relationship Id="rId115" Type="http://schemas.openxmlformats.org/officeDocument/2006/relationships/hyperlink" Target="https://hudoc.echr.coe.int/eng?i=001-182217"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8" Type="http://schemas.openxmlformats.org/officeDocument/2006/relationships/hyperlink" Target="https://rm.coe.int/16800c96fd" TargetMode="External"/><Relationship Id="rId3" Type="http://schemas.openxmlformats.org/officeDocument/2006/relationships/hyperlink" Target="https://ks.echr.coe.int/documents/d/echr-ks/guide_art_6_criminal_eng" TargetMode="External"/><Relationship Id="rId7" Type="http://schemas.openxmlformats.org/officeDocument/2006/relationships/hyperlink" Target="https://rm.coe.int/16800c96fd" TargetMode="External"/><Relationship Id="rId2" Type="http://schemas.openxmlformats.org/officeDocument/2006/relationships/hyperlink" Target="https://rm.coe.int/16800c96fd" TargetMode="External"/><Relationship Id="rId1" Type="http://schemas.openxmlformats.org/officeDocument/2006/relationships/hyperlink" Target="https://ks.echr.coe.int/documents/d/echr-ks/guide_art_6_criminal_eng" TargetMode="External"/><Relationship Id="rId6" Type="http://schemas.openxmlformats.org/officeDocument/2006/relationships/hyperlink" Target="https://rm.coe.int/16800c96fd" TargetMode="External"/><Relationship Id="rId5" Type="http://schemas.openxmlformats.org/officeDocument/2006/relationships/hyperlink" Target="https://ks.echr.coe.int/documents/d/echr-ks/guide_art_6_criminal_eng" TargetMode="External"/><Relationship Id="rId10" Type="http://schemas.openxmlformats.org/officeDocument/2006/relationships/hyperlink" Target="https://rm.coe.int/16800c96fd" TargetMode="External"/><Relationship Id="rId4" Type="http://schemas.openxmlformats.org/officeDocument/2006/relationships/hyperlink" Target="https://ks.echr.coe.int/documents/d/echr-ks/guide_art_6_criminal_eng" TargetMode="External"/><Relationship Id="rId9" Type="http://schemas.openxmlformats.org/officeDocument/2006/relationships/hyperlink" Target="https://rm.coe.int/16800c96f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COLOUR">
  <a:themeElements>
    <a:clrScheme name="ECHR_Colour">
      <a:dk1>
        <a:sysClr val="windowText" lastClr="000000"/>
      </a:dk1>
      <a:lt1>
        <a:srgbClr val="0072BC"/>
      </a:lt1>
      <a:dk2>
        <a:srgbClr val="C6C6C6"/>
      </a:dk2>
      <a:lt2>
        <a:srgbClr val="F8F8F8"/>
      </a:lt2>
      <a:accent1>
        <a:srgbClr val="0072BC"/>
      </a:accent1>
      <a:accent2>
        <a:srgbClr val="C00000"/>
      </a:accent2>
      <a:accent3>
        <a:srgbClr val="0072BC"/>
      </a:accent3>
      <a:accent4>
        <a:srgbClr val="969696"/>
      </a:accent4>
      <a:accent5>
        <a:srgbClr val="77C618"/>
      </a:accent5>
      <a:accent6>
        <a:srgbClr val="EB5605"/>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i = " h t t p : / / w w w . w 3 . o r g / 2 0 0 1 / X M L S c h e m a - i n s t a n c e "   x m l n s : x s d = " h t t p : / / w w w . w 3 . o r g / 2 0 0 1 / X M L S c h e m a "   x m l n s = " h t t p : / / e c h r . c o e . i n t / t e m p l a t e / m e t a d a t a " >  
     < C o d e / >  
     < T i t l e > C a s e   L a w   G u i d e   E n g   R W   N E W   S T Y L E S < / T i t l e >  
     < L a n g u a g e s >  
         < s t r i n g > E N G < / s t r i n g >  
     < / L a n g u a g e s >  
     < T h e m e > c o m m o n < / T h e m e >  
     < T y p e > C O M M O N _ D O C < / T y p e >  
     < C a t e g o r y > R E S E A R C H < / C a t e g o r y >  
     < I s L e g a l T e m p l a t e > f a l s e < / I s L e g a l T e m p l a t e >  
     < I n d e x D a t e   x s i : n i l = " t r u e " / >  
     < E d i t D a t e   x s i : n i l = " t r u e " / >  
     < T a g s >  
         < s t r i n g > c a s e l a w < / s t r i n g >  
     < / T a g s >  
     < C r i t e r i a G r o u p s / > 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BFF12-043C-4A8F-8D60-A6F50468BA54}">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35CD53A3-D41B-4AB9-99EE-FF4F8166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6988</Words>
  <Characters>39834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46729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Guide_Article_2_P7_30.04.2023_RO</dc:subject>
  <dc:creator/>
  <cp:lastModifiedBy/>
  <cp:revision>1</cp:revision>
  <cp:lastPrinted>2016-09-07T13:54:00Z</cp:lastPrinted>
  <dcterms:created xsi:type="dcterms:W3CDTF">2024-03-28T12:03:00Z</dcterms:created>
  <dcterms:modified xsi:type="dcterms:W3CDTF">2024-03-28T12:04:00Z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20231103111206532</vt:lpwstr>
  </property>
</Properties>
</file>