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B3A5" w14:textId="237517DD" w:rsidR="00AF4A60" w:rsidRPr="001968A3" w:rsidRDefault="001968A3" w:rsidP="00DB170D">
      <w:pPr>
        <w:jc w:val="center"/>
        <w:rPr>
          <w:rFonts w:asciiTheme="majorHAnsi" w:hAnsiTheme="majorHAnsi"/>
          <w:sz w:val="28"/>
        </w:rPr>
      </w:pPr>
      <w:r>
        <w:rPr>
          <w:rFonts w:asciiTheme="majorHAnsi" w:hAnsiTheme="majorHAnsi"/>
          <w:sz w:val="28"/>
        </w:rPr>
        <w:t>CURTEA EUROPEANĂ A DREPTURILOR OMULUI</w:t>
      </w:r>
    </w:p>
    <w:p w14:paraId="40FF6C64" w14:textId="77777777" w:rsidR="00DB170D" w:rsidRPr="00DB170D" w:rsidRDefault="00DB170D" w:rsidP="00DB170D">
      <w:pPr>
        <w:jc w:val="center"/>
      </w:pPr>
    </w:p>
    <w:p w14:paraId="1FC49B5C" w14:textId="5201FC73" w:rsidR="007A4070" w:rsidRPr="00DB170D" w:rsidRDefault="00AF4A60" w:rsidP="00DB170D">
      <w:pPr>
        <w:pStyle w:val="DecHTitle"/>
      </w:pPr>
      <w:r>
        <w:t>SECȚIA A CINCEA</w:t>
      </w:r>
    </w:p>
    <w:p w14:paraId="5488C9B9" w14:textId="4A5AE11D" w:rsidR="007A4070" w:rsidRPr="00DB170D" w:rsidRDefault="007A4070" w:rsidP="00D80EC6">
      <w:pPr>
        <w:pStyle w:val="JuTitle"/>
        <w:spacing w:before="1200"/>
      </w:pPr>
      <w:r>
        <w:t>CAUZA C.E. ȘI ALȚII ÎMPOTRIV FRANȚEI</w:t>
      </w:r>
    </w:p>
    <w:p w14:paraId="546573A1" w14:textId="287868B6" w:rsidR="007A4070" w:rsidRPr="00DB170D" w:rsidRDefault="007A4070" w:rsidP="00DB170D">
      <w:pPr>
        <w:pStyle w:val="ECHRCoverTitle4"/>
      </w:pPr>
      <w:r>
        <w:t>(Cererile nr. 29775/18 și 29693/19)</w:t>
      </w:r>
    </w:p>
    <w:p w14:paraId="6D93E9C5" w14:textId="77777777" w:rsidR="007A4070" w:rsidRPr="00DB170D" w:rsidRDefault="007A4070" w:rsidP="00DB170D">
      <w:pPr>
        <w:pStyle w:val="DecHCase"/>
      </w:pPr>
    </w:p>
    <w:p w14:paraId="10B6336D" w14:textId="77777777" w:rsidR="00DB170D" w:rsidRPr="00DB170D" w:rsidRDefault="007A4070" w:rsidP="00DB170D">
      <w:pPr>
        <w:pStyle w:val="DecHCase"/>
      </w:pPr>
      <w:r>
        <w:t>HOTĂRÂRE</w:t>
      </w:r>
      <w:r>
        <w:br/>
      </w:r>
    </w:p>
    <w:p w14:paraId="09197892" w14:textId="77777777" w:rsidR="00294882" w:rsidRDefault="00294882" w:rsidP="00294882">
      <w:pPr>
        <w:pStyle w:val="JuPara"/>
        <w:pBdr>
          <w:top w:val="single" w:sz="4" w:space="1" w:color="auto"/>
          <w:left w:val="single" w:sz="4" w:space="4" w:color="auto"/>
          <w:bottom w:val="single" w:sz="4" w:space="1" w:color="auto"/>
          <w:right w:val="single" w:sz="4" w:space="4" w:color="auto"/>
        </w:pBdr>
        <w:ind w:firstLine="0"/>
        <w:rPr>
          <w:sz w:val="22"/>
          <w:szCs w:val="22"/>
        </w:rPr>
      </w:pPr>
      <w:r>
        <w:t xml:space="preserve">Art. 8 • Obligații pozitive • </w:t>
      </w:r>
      <w:bookmarkStart w:id="0" w:name="_Hlk102050816"/>
      <w:r>
        <w:t>Imposibilitatea de a obține recunoașterea unei legături de filiație între un copil și fosta parteneră a mamei sale biologice</w:t>
      </w:r>
      <w:bookmarkEnd w:id="0"/>
      <w:r>
        <w:t xml:space="preserve"> • Respectarea interesului superior al copilului • Viața de familie desfășurată comparabilă cu cea a majorității familiilor ulterior separării cuplului • Viață privată • Existența instrumentelor juridice care să permită obținerea recunoașterii relației existente între un copil și fosta parteneră a mamei sale biologice</w:t>
      </w:r>
    </w:p>
    <w:p w14:paraId="06C29A66" w14:textId="1AEF56D8" w:rsidR="007A4070" w:rsidRPr="00DB170D" w:rsidRDefault="007A4070" w:rsidP="00D80EC6">
      <w:pPr>
        <w:pStyle w:val="DecHCase"/>
        <w:spacing w:after="120"/>
      </w:pPr>
    </w:p>
    <w:p w14:paraId="72AA0083" w14:textId="77777777" w:rsidR="007A4070" w:rsidRPr="00DB170D" w:rsidRDefault="007A4070" w:rsidP="00DB170D">
      <w:pPr>
        <w:pStyle w:val="DecHCase"/>
      </w:pPr>
      <w:r>
        <w:t>STRASBOURG</w:t>
      </w:r>
    </w:p>
    <w:p w14:paraId="7EE28A09" w14:textId="28000C8D" w:rsidR="007A4070" w:rsidRDefault="00AF4A60" w:rsidP="00DB170D">
      <w:pPr>
        <w:pStyle w:val="DecHCase"/>
      </w:pPr>
      <w:r>
        <w:t>24 martie 2022</w:t>
      </w:r>
    </w:p>
    <w:p w14:paraId="24EE5677" w14:textId="77777777" w:rsidR="00D80EC6" w:rsidRPr="00D80EC6" w:rsidRDefault="00D80EC6" w:rsidP="00D80EC6">
      <w:pPr>
        <w:pStyle w:val="JuPara"/>
      </w:pPr>
    </w:p>
    <w:p w14:paraId="45ACFB5B" w14:textId="77777777" w:rsidR="00D80EC6" w:rsidRDefault="00D80EC6" w:rsidP="00D80EC6">
      <w:pPr>
        <w:pStyle w:val="jucase0"/>
        <w:ind w:firstLine="0"/>
        <w:jc w:val="center"/>
        <w:rPr>
          <w:color w:val="FF0000"/>
          <w:sz w:val="28"/>
          <w:szCs w:val="28"/>
          <w:u w:val="single"/>
        </w:rPr>
      </w:pPr>
      <w:bookmarkStart w:id="1" w:name="_Hlk59705989"/>
      <w:bookmarkStart w:id="2" w:name="_Hlk65662728"/>
      <w:r>
        <w:rPr>
          <w:color w:val="FF0000"/>
          <w:sz w:val="28"/>
          <w:u w:val="single"/>
        </w:rPr>
        <w:t>DEFINITIVĂ</w:t>
      </w:r>
    </w:p>
    <w:p w14:paraId="1833AC20" w14:textId="77777777" w:rsidR="00D80EC6" w:rsidRPr="006D760C" w:rsidRDefault="00D80EC6" w:rsidP="00D80EC6">
      <w:pPr>
        <w:pStyle w:val="jucase0"/>
        <w:ind w:firstLine="0"/>
        <w:jc w:val="center"/>
        <w:rPr>
          <w:b w:val="0"/>
          <w:bCs w:val="0"/>
          <w:color w:val="FF0000"/>
          <w:u w:val="single"/>
          <w:lang w:val="fr-FR"/>
        </w:rPr>
      </w:pPr>
    </w:p>
    <w:p w14:paraId="115F07D7" w14:textId="77777777" w:rsidR="00D80EC6" w:rsidRPr="00DA5062" w:rsidRDefault="00D80EC6" w:rsidP="00D80EC6">
      <w:pPr>
        <w:pStyle w:val="jucase0"/>
        <w:ind w:firstLine="0"/>
        <w:jc w:val="center"/>
        <w:rPr>
          <w:b w:val="0"/>
          <w:color w:val="FF0000"/>
          <w:sz w:val="28"/>
          <w:szCs w:val="28"/>
        </w:rPr>
      </w:pPr>
      <w:r>
        <w:rPr>
          <w:b w:val="0"/>
          <w:color w:val="FF0000"/>
          <w:sz w:val="28"/>
        </w:rPr>
        <w:t>5 septembrie 2022</w:t>
      </w:r>
    </w:p>
    <w:p w14:paraId="05BC9023" w14:textId="63FF0FA9" w:rsidR="00D80EC6" w:rsidRDefault="00D80EC6" w:rsidP="00D80EC6">
      <w:pPr>
        <w:pStyle w:val="jupara0"/>
        <w:ind w:firstLine="0"/>
        <w:jc w:val="center"/>
        <w:rPr>
          <w:u w:val="single"/>
          <w:lang w:val="fr-FR"/>
        </w:rPr>
      </w:pPr>
    </w:p>
    <w:p w14:paraId="4B08B477" w14:textId="77777777" w:rsidR="00D80EC6" w:rsidRPr="00261F46" w:rsidRDefault="00D80EC6" w:rsidP="00D80EC6">
      <w:pPr>
        <w:pStyle w:val="jupara0"/>
        <w:ind w:firstLine="0"/>
        <w:jc w:val="center"/>
        <w:rPr>
          <w:u w:val="single"/>
          <w:lang w:val="fr-FR"/>
        </w:rPr>
      </w:pPr>
    </w:p>
    <w:p w14:paraId="678214BC" w14:textId="763679DA" w:rsidR="00516B59" w:rsidRPr="00DB170D" w:rsidRDefault="00D80EC6" w:rsidP="00D80EC6">
      <w:pPr>
        <w:rPr>
          <w:rFonts w:ascii="Times New Roman" w:hAnsi="Times New Roman" w:cs="Times New Roman"/>
          <w:i/>
          <w:sz w:val="22"/>
        </w:rPr>
      </w:pPr>
      <w:r>
        <w:rPr>
          <w:i/>
          <w:sz w:val="22"/>
        </w:rPr>
        <w:t>Hotărârea a rămas definitivă în temeiul art. 44 § 2 din Convenție. Poate suferi modificări de formă.</w:t>
      </w:r>
      <w:bookmarkEnd w:id="1"/>
      <w:bookmarkEnd w:id="2"/>
    </w:p>
    <w:p w14:paraId="04625FF2" w14:textId="77777777" w:rsidR="00516B59" w:rsidRPr="00DB170D" w:rsidRDefault="00516B59" w:rsidP="00DB170D">
      <w:pPr>
        <w:ind w:left="720"/>
        <w:rPr>
          <w:rFonts w:ascii="Times New Roman" w:hAnsi="Times New Roman" w:cs="Times New Roman"/>
          <w:sz w:val="22"/>
        </w:rPr>
        <w:sectPr w:rsidR="00516B59" w:rsidRPr="00DB170D"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4D076CC1" w14:textId="1AEF6D47" w:rsidR="004344E6" w:rsidRPr="00DB170D" w:rsidRDefault="004344E6" w:rsidP="00DB170D">
      <w:pPr>
        <w:pStyle w:val="JuCase"/>
      </w:pPr>
      <w:r>
        <w:lastRenderedPageBreak/>
        <w:t>În cauza C.E. și alții împotriva Franței,</w:t>
      </w:r>
    </w:p>
    <w:p w14:paraId="30E3F78A" w14:textId="2A77C49F" w:rsidR="004344E6" w:rsidRPr="00DB170D" w:rsidRDefault="004344E6" w:rsidP="00DB170D">
      <w:pPr>
        <w:pStyle w:val="JuPara"/>
      </w:pPr>
      <w:r>
        <w:t>Curtea Europeană a Drepturilor Omului (Secția a cincea), reunită într-o cameră compusă din:</w:t>
      </w:r>
    </w:p>
    <w:p w14:paraId="349C314A" w14:textId="6726F688" w:rsidR="004344E6" w:rsidRPr="00DB170D" w:rsidRDefault="00DD100A" w:rsidP="00DB170D">
      <w:pPr>
        <w:pStyle w:val="JuJudges"/>
      </w:pPr>
      <w:r>
        <w:tab/>
        <w:t>Síofra O’Leary,</w:t>
      </w:r>
      <w:r>
        <w:rPr>
          <w:i/>
        </w:rPr>
        <w:t xml:space="preserve"> președinte,</w:t>
      </w:r>
      <w:r>
        <w:rPr>
          <w:i/>
        </w:rPr>
        <w:br/>
      </w:r>
      <w:r>
        <w:tab/>
        <w:t>Mārtiņš Mits,</w:t>
      </w:r>
      <w:r>
        <w:rPr>
          <w:i/>
        </w:rPr>
        <w:br/>
      </w:r>
      <w:r>
        <w:tab/>
        <w:t>Ganna Yudkivska,</w:t>
      </w:r>
      <w:r>
        <w:rPr>
          <w:i/>
        </w:rPr>
        <w:br/>
      </w:r>
      <w:r>
        <w:tab/>
        <w:t>Lətif Hüseynov,</w:t>
      </w:r>
      <w:r>
        <w:rPr>
          <w:i/>
        </w:rPr>
        <w:br/>
      </w:r>
      <w:r>
        <w:tab/>
        <w:t>Ivana Jelić,</w:t>
      </w:r>
      <w:r>
        <w:rPr>
          <w:i/>
        </w:rPr>
        <w:br/>
      </w:r>
      <w:r>
        <w:tab/>
        <w:t>Mattias Guyomar,</w:t>
      </w:r>
      <w:r>
        <w:rPr>
          <w:i/>
        </w:rPr>
        <w:br/>
      </w:r>
      <w:r>
        <w:tab/>
        <w:t>Kateřina Šimáčková,</w:t>
      </w:r>
      <w:r>
        <w:rPr>
          <w:i/>
        </w:rPr>
        <w:t xml:space="preserve"> judecători,</w:t>
      </w:r>
      <w:r>
        <w:br/>
        <w:t xml:space="preserve">și Victor Soloveytchik, </w:t>
      </w:r>
      <w:r>
        <w:rPr>
          <w:i/>
        </w:rPr>
        <w:t>grefier</w:t>
      </w:r>
      <w:r>
        <w:t xml:space="preserve"> </w:t>
      </w:r>
      <w:r>
        <w:rPr>
          <w:i/>
        </w:rPr>
        <w:t>de secție</w:t>
      </w:r>
      <w:r>
        <w:t>,</w:t>
      </w:r>
    </w:p>
    <w:p w14:paraId="671BBAA6" w14:textId="77777777" w:rsidR="00AF4A60" w:rsidRPr="00DB170D" w:rsidRDefault="00AF4A60" w:rsidP="00DB170D">
      <w:pPr>
        <w:pStyle w:val="JuPara"/>
      </w:pPr>
      <w:bookmarkStart w:id="3" w:name="_Hlk97045134"/>
      <w:r>
        <w:t>Având în vedere:</w:t>
      </w:r>
    </w:p>
    <w:p w14:paraId="2DD4592F" w14:textId="55A98915" w:rsidR="00AF4A60" w:rsidRPr="00DB170D" w:rsidRDefault="00AF4A60" w:rsidP="00DB170D">
      <w:pPr>
        <w:pStyle w:val="JuPara"/>
      </w:pPr>
      <w:r>
        <w:t>cererile (</w:t>
      </w:r>
      <w:bookmarkStart w:id="4" w:name="_Hlk84342973"/>
      <w:r>
        <w:t xml:space="preserve">nr. 29775/18 </w:t>
      </w:r>
      <w:bookmarkEnd w:id="4"/>
      <w:r>
        <w:t>și 29693/19) îndreptate împotriva Republicii Franceze, prin care resortisanți ai acestui stat, C.E., C.B. și M.B. (cererea nr. 29775/18) și A.E. și T.G. (cererea nr. 29693/19), („reclamanții</w:t>
      </w:r>
      <w:r w:rsidR="00466A8D">
        <w:t>”</w:t>
      </w:r>
      <w:r>
        <w:t xml:space="preserve">) au </w:t>
      </w:r>
      <w:bookmarkStart w:id="5" w:name="_Hlk36124016"/>
      <w:r>
        <w:t>sesizat Curtea în temeiul art. 34 din Convenția pentru apărarea drepturilor omului și a libertăților fundamentale („Convenția</w:t>
      </w:r>
      <w:r w:rsidR="00466A8D">
        <w:t>”</w:t>
      </w:r>
      <w:r>
        <w:t>)</w:t>
      </w:r>
      <w:bookmarkEnd w:id="5"/>
      <w:r>
        <w:t xml:space="preserve"> la 20 iunie 2018 și, respectiv, la 3 iunie 2019,</w:t>
      </w:r>
    </w:p>
    <w:p w14:paraId="5077F3E7" w14:textId="25197228" w:rsidR="00AF4A60" w:rsidRPr="00DB170D" w:rsidRDefault="00AF4A60" w:rsidP="00DB170D">
      <w:pPr>
        <w:pStyle w:val="JuPara"/>
      </w:pPr>
      <w:r>
        <w:t>decizia de a aduce la cunoștința guvernului francez („Guvernul”) capătul de cerere privind art. 8 din Convenție și de a declara cererile inadmisibile în măsura în care fac referire la art. 14 din Convenție coroborat cu această dispoziție,</w:t>
      </w:r>
    </w:p>
    <w:p w14:paraId="0A329FE7" w14:textId="32DDA291" w:rsidR="00AF4A60" w:rsidRPr="00DB170D" w:rsidRDefault="00AF4A60" w:rsidP="00DB170D">
      <w:pPr>
        <w:pStyle w:val="JuPara"/>
      </w:pPr>
      <w:r>
        <w:t>decizia de a nu dezvălui identitatea reclamanților,</w:t>
      </w:r>
    </w:p>
    <w:p w14:paraId="532D239A" w14:textId="77777777" w:rsidR="00AF4A60" w:rsidRPr="00DB170D" w:rsidRDefault="00AF4A60" w:rsidP="00DB170D">
      <w:pPr>
        <w:pStyle w:val="JuPara"/>
      </w:pPr>
      <w:r>
        <w:t>observațiile părților,</w:t>
      </w:r>
      <w:bookmarkEnd w:id="3"/>
    </w:p>
    <w:p w14:paraId="05BBBE1D" w14:textId="4E8A5A44" w:rsidR="004344E6" w:rsidRPr="00DB170D" w:rsidRDefault="004344E6" w:rsidP="00DB170D">
      <w:pPr>
        <w:pStyle w:val="JuPara"/>
      </w:pPr>
      <w:r>
        <w:t>după ce a deliberat în camera de consiliu la 8 februarie și la 1 martie 2022,</w:t>
      </w:r>
    </w:p>
    <w:p w14:paraId="0E7918FC" w14:textId="4C9E3414" w:rsidR="00876F03" w:rsidRPr="00DB170D" w:rsidRDefault="004344E6" w:rsidP="00DB170D">
      <w:pPr>
        <w:pStyle w:val="JuPara"/>
      </w:pPr>
      <w:r>
        <w:t>Pronunță prezenta hotărâre, adoptată la cea din urmă dată:</w:t>
      </w:r>
    </w:p>
    <w:p w14:paraId="56C022BC" w14:textId="77777777" w:rsidR="00AF4A60" w:rsidRPr="00DB170D" w:rsidRDefault="00AF4A60" w:rsidP="00DB170D">
      <w:pPr>
        <w:pStyle w:val="JuHHead"/>
      </w:pPr>
      <w:bookmarkStart w:id="6" w:name="_Hlk97045143"/>
      <w:r>
        <w:rPr>
          <w:caps w:val="0"/>
        </w:rPr>
        <w:t>INTRODUCERE</w:t>
      </w:r>
    </w:p>
    <w:p w14:paraId="24016010" w14:textId="58A58B32" w:rsidR="00AF4A60" w:rsidRPr="00DB170D" w:rsidRDefault="00AF4A60" w:rsidP="00DB170D">
      <w:pPr>
        <w:pStyle w:val="JuPara"/>
      </w:pPr>
      <w:fldSimple w:instr=" SEQ level0 \*arabic ">
        <w:r w:rsidR="00DB170D" w:rsidRPr="00DB170D">
          <w:t>1</w:t>
        </w:r>
      </w:fldSimple>
      <w:r>
        <w:t>.</w:t>
      </w:r>
      <w:r w:rsidR="00C31016">
        <w:t xml:space="preserve"> </w:t>
      </w:r>
      <w:r>
        <w:t>Cele două cereri privesc imposibilitatea de a obține recunoașterea unei legături de filiație între un copil și fosta parteneră a mamei sale biologice. Invocând art. 8 din Convenție, reclamanții se plâng de o încălcare a dreptului lor la respectarea vieții private și de familie.</w:t>
      </w:r>
    </w:p>
    <w:p w14:paraId="63CF1084" w14:textId="77777777" w:rsidR="00AF4A60" w:rsidRPr="00DB170D" w:rsidRDefault="00AF4A60" w:rsidP="00DB170D">
      <w:pPr>
        <w:pStyle w:val="JuHHead"/>
      </w:pPr>
      <w:bookmarkStart w:id="7" w:name="_Hlk36126677"/>
      <w:r>
        <w:t>ÎN FAPT</w:t>
      </w:r>
    </w:p>
    <w:bookmarkEnd w:id="7"/>
    <w:p w14:paraId="19B97577" w14:textId="016CCCB6" w:rsidR="00AF4A60" w:rsidRPr="00DB170D" w:rsidRDefault="00AF4A60" w:rsidP="00DB170D">
      <w:pPr>
        <w:pStyle w:val="JuPara"/>
      </w:pPr>
      <w:r w:rsidRPr="00DB170D">
        <w:fldChar w:fldCharType="begin"/>
      </w:r>
      <w:r w:rsidRPr="00DB170D">
        <w:instrText xml:space="preserve"> SEQ level0 \*arabic </w:instrText>
      </w:r>
      <w:r w:rsidRPr="00DB170D">
        <w:fldChar w:fldCharType="separate"/>
      </w:r>
      <w:bookmarkStart w:id="8" w:name="paragraph00002"/>
      <w:r w:rsidR="00DB170D" w:rsidRPr="00DB170D">
        <w:t>2</w:t>
      </w:r>
      <w:bookmarkEnd w:id="8"/>
      <w:r w:rsidRPr="00DB170D">
        <w:fldChar w:fldCharType="end"/>
      </w:r>
      <w:r>
        <w:t>.</w:t>
      </w:r>
      <w:r w:rsidR="00C31016">
        <w:t xml:space="preserve"> </w:t>
      </w:r>
      <w:r>
        <w:t xml:space="preserve">Reclamantele C.E., C.B. și M.B. (cererea nr. 29775/18) s-au născut în 1974 și, respectiv, în 1967 și 2002 și locuiesc în Franța. Acestea sunt reprezentate de </w:t>
      </w:r>
      <w:bookmarkStart w:id="9" w:name="_Hlk98923482"/>
      <w:r>
        <w:t>A. Denarnaud</w:t>
      </w:r>
      <w:bookmarkEnd w:id="9"/>
      <w:r>
        <w:t>, avocat. Formularul de cerere este semnat de cele trei reclamante și de consilierul lor.</w:t>
      </w:r>
    </w:p>
    <w:p w14:paraId="63FF2EDF" w14:textId="0F141DF6"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3</w:t>
      </w:r>
      <w:r>
        <w:fldChar w:fldCharType="end"/>
      </w:r>
      <w:r w:rsidR="001968A3">
        <w:t>.</w:t>
      </w:r>
      <w:r w:rsidR="00C31016">
        <w:t xml:space="preserve"> </w:t>
      </w:r>
      <w:r w:rsidR="001968A3">
        <w:t xml:space="preserve">Reclamanții A.E. și T.G. (cererea nr. 29693/19) s-au născut în 1980 și, respectiv, în 2008 și locuiesc în Franța. Aceștia sunt reprezentați de </w:t>
      </w:r>
      <w:bookmarkStart w:id="10" w:name="_Hlk98923502"/>
      <w:r w:rsidR="001968A3">
        <w:t>C. Mécary</w:t>
      </w:r>
      <w:bookmarkEnd w:id="10"/>
      <w:r w:rsidR="001968A3">
        <w:t xml:space="preserve">, avocat. A.E. declară că acționează în fața Curții nu numai în nume propriu și pentru sine, ci și în numele lui T.G. și pentru acesta. Precizează că </w:t>
      </w:r>
      <w:r w:rsidR="001968A3">
        <w:lastRenderedPageBreak/>
        <w:t xml:space="preserve">poate acționa în justiție pentru acesta, ea beneficiind de o hotărâre de delegare (délégation-partage) a autorității părintești (infra, pct. </w:t>
      </w:r>
      <w:r w:rsidR="00F92849" w:rsidRPr="00DB170D">
        <w:fldChar w:fldCharType="begin"/>
      </w:r>
      <w:r w:rsidR="00F92849" w:rsidRPr="00DB170D">
        <w:instrText xml:space="preserve"> REF paragraph00021 \h  \* CharFormat </w:instrText>
      </w:r>
      <w:r w:rsidR="00F92849" w:rsidRPr="00DB170D">
        <w:fldChar w:fldCharType="separate"/>
      </w:r>
      <w:r w:rsidR="00DB170D" w:rsidRPr="00DB170D">
        <w:t>21</w:t>
      </w:r>
      <w:r w:rsidR="00F92849" w:rsidRPr="00DB170D">
        <w:fldChar w:fldCharType="end"/>
      </w:r>
      <w:r w:rsidR="001968A3">
        <w:t>).</w:t>
      </w:r>
    </w:p>
    <w:p w14:paraId="6A6108E7" w14:textId="2B3DDF95" w:rsidR="00AF4A60" w:rsidRPr="00DB170D" w:rsidRDefault="00AF4A60" w:rsidP="00DB170D">
      <w:pPr>
        <w:pStyle w:val="JuPara"/>
      </w:pPr>
      <w:fldSimple w:instr=" SEQ level0 \*arabic ">
        <w:r w:rsidR="00DB170D" w:rsidRPr="00DB170D">
          <w:t>4</w:t>
        </w:r>
      </w:fldSimple>
      <w:r>
        <w:t>.</w:t>
      </w:r>
      <w:r w:rsidR="00C31016">
        <w:t xml:space="preserve"> </w:t>
      </w:r>
      <w:bookmarkStart w:id="11" w:name="_Hlk36127123"/>
      <w:r>
        <w:t>Guvernul este reprezentat de agentul guvernamental, François Alabrune, directorul Direcției Afaceri Juridice din cadrul Ministerului Afacerilor Externe</w:t>
      </w:r>
      <w:bookmarkEnd w:id="11"/>
      <w:r>
        <w:t>.</w:t>
      </w:r>
    </w:p>
    <w:p w14:paraId="279F66A7" w14:textId="089F9489" w:rsidR="00AF4A60" w:rsidRPr="00DB170D" w:rsidRDefault="00AF4A60" w:rsidP="00DB170D">
      <w:pPr>
        <w:pStyle w:val="JuHIRoman"/>
      </w:pPr>
      <w:r>
        <w:t>Cererea nr. 29775/18</w:t>
      </w:r>
    </w:p>
    <w:p w14:paraId="2931DB41" w14:textId="72018D29" w:rsidR="00AF4A60" w:rsidRPr="00DB170D" w:rsidRDefault="00DB3F2B" w:rsidP="00DB170D">
      <w:pPr>
        <w:pStyle w:val="JuPara"/>
        <w:rPr>
          <w:rFonts w:eastAsiaTheme="minorEastAsia"/>
        </w:rPr>
      </w:pPr>
      <w:r>
        <w:fldChar w:fldCharType="begin"/>
      </w:r>
      <w:r>
        <w:instrText xml:space="preserve"> SEQ level0 \*arabic \* MERGEFORMAT </w:instrText>
      </w:r>
      <w:r>
        <w:fldChar w:fldCharType="separate"/>
      </w:r>
      <w:r w:rsidR="00DB170D" w:rsidRPr="00DB170D">
        <w:t>5</w:t>
      </w:r>
      <w:r>
        <w:fldChar w:fldCharType="end"/>
      </w:r>
      <w:r w:rsidR="001968A3">
        <w:t>.</w:t>
      </w:r>
      <w:r w:rsidR="00C31016">
        <w:t xml:space="preserve"> </w:t>
      </w:r>
      <w:r w:rsidR="001968A3">
        <w:t>La 13 ianuarie 2002, în timp ce C.E. și C.B. formau un cuplu de mai mulți ani, C.B. a dat naștere lui M.B., pe care numai ea a recunoscut-o. Reclamantele precizează că M.B. a fost concepută „prin intermediul unui donator prietenos în Franța</w:t>
      </w:r>
      <w:r w:rsidR="00466A8D">
        <w:t>”</w:t>
      </w:r>
      <w:r w:rsidR="001968A3">
        <w:t>.</w:t>
      </w:r>
    </w:p>
    <w:p w14:paraId="78B50422" w14:textId="23B2CE7F"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6</w:t>
      </w:r>
      <w:r w:rsidRPr="00DB170D">
        <w:rPr>
          <w:rFonts w:eastAsiaTheme="minorEastAsia"/>
        </w:rPr>
        <w:fldChar w:fldCharType="end"/>
      </w:r>
      <w:r>
        <w:t>.</w:t>
      </w:r>
      <w:r w:rsidR="00C31016">
        <w:t xml:space="preserve"> </w:t>
      </w:r>
      <w:r>
        <w:t>C.E și C.B. au crescut copilul împreună până la separarea cuplului, în 2006.</w:t>
      </w:r>
    </w:p>
    <w:p w14:paraId="536C7D0B" w14:textId="69092D22"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7</w:t>
      </w:r>
      <w:r w:rsidRPr="00DB170D">
        <w:rPr>
          <w:rFonts w:eastAsiaTheme="minorEastAsia"/>
        </w:rPr>
        <w:fldChar w:fldCharType="end"/>
      </w:r>
      <w:r>
        <w:t>.</w:t>
      </w:r>
      <w:r w:rsidR="00C31016">
        <w:t xml:space="preserve"> </w:t>
      </w:r>
      <w:r>
        <w:t>În temeiul unei înțelegeri amiabile cu C.B., C.E. exercită de atunci în privința copilului dreptul de vizitare și de găzduire un weekend din două, precum și jumătate din vacanțe. În plus, ea plătește lunar o pensie alimentară lui C.B. pentru întreținerea și educația copilului.</w:t>
      </w:r>
    </w:p>
    <w:p w14:paraId="0405F008" w14:textId="6F454231"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bookmarkStart w:id="12" w:name="paragraph00008"/>
      <w:r w:rsidR="00DB170D" w:rsidRPr="00DB170D">
        <w:rPr>
          <w:rFonts w:eastAsiaTheme="minorEastAsia"/>
        </w:rPr>
        <w:t>8</w:t>
      </w:r>
      <w:bookmarkEnd w:id="12"/>
      <w:r w:rsidRPr="00DB170D">
        <w:rPr>
          <w:rFonts w:eastAsiaTheme="minorEastAsia"/>
        </w:rPr>
        <w:fldChar w:fldCharType="end"/>
      </w:r>
      <w:r>
        <w:t>.</w:t>
      </w:r>
      <w:r w:rsidR="00C31016">
        <w:t xml:space="preserve"> </w:t>
      </w:r>
      <w:r>
        <w:t>În martie 2015, C.E. și C.B. au consimțit la notar cu privire la adopția deplină a copilului de către C.E.</w:t>
      </w:r>
    </w:p>
    <w:p w14:paraId="72D61EFF" w14:textId="321AC3DA" w:rsidR="00AF4A60" w:rsidRPr="00DB170D" w:rsidRDefault="00AF4A60" w:rsidP="00DB170D">
      <w:pPr>
        <w:pStyle w:val="JuHA"/>
        <w:rPr>
          <w:rFonts w:eastAsiaTheme="minorEastAsia"/>
        </w:rPr>
      </w:pPr>
      <w:r>
        <w:t>Procedura aferentă adopției depline</w:t>
      </w:r>
    </w:p>
    <w:p w14:paraId="1B701067" w14:textId="4ED75EE7" w:rsidR="00AF4A60" w:rsidRPr="00DB170D" w:rsidRDefault="00AF4A60" w:rsidP="00DB170D">
      <w:pPr>
        <w:pStyle w:val="JuH1"/>
        <w:rPr>
          <w:rFonts w:eastAsiaTheme="minorEastAsia"/>
        </w:rPr>
      </w:pPr>
      <w:r>
        <w:t>Hotărârea pronunțată de Tribunalul de Mare Instanță din Aix-en-Provence la 9 mai 2016</w:t>
      </w:r>
    </w:p>
    <w:p w14:paraId="35320B52" w14:textId="2EF5B7A7"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9</w:t>
      </w:r>
      <w:r w:rsidRPr="00DB170D">
        <w:rPr>
          <w:rFonts w:eastAsiaTheme="minorEastAsia"/>
        </w:rPr>
        <w:fldChar w:fldCharType="end"/>
      </w:r>
      <w:r>
        <w:t>.</w:t>
      </w:r>
      <w:r w:rsidR="00C31016">
        <w:t xml:space="preserve"> </w:t>
      </w:r>
      <w:r>
        <w:t>La 29 iulie 2015, C.E. a depus la Tribunalul de Mare Instanță din Aix-en-Provence o cerere de adopție deplină a lui M.B. Se solicita instanței să încuviințeze adopția menținând filiația dintre C.B. și copil și să decidă că aceasta din urmă va purta cele două nume de familie, al lui C.B. și al lui C.E.</w:t>
      </w:r>
    </w:p>
    <w:p w14:paraId="5BE922B4" w14:textId="2A94475C"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10</w:t>
      </w:r>
      <w:r w:rsidRPr="00DB170D">
        <w:rPr>
          <w:rFonts w:eastAsiaTheme="minorEastAsia"/>
        </w:rPr>
        <w:fldChar w:fldCharType="end"/>
      </w:r>
      <w:r>
        <w:t>.</w:t>
      </w:r>
      <w:r w:rsidR="00C31016">
        <w:t xml:space="preserve"> </w:t>
      </w:r>
      <w:r>
        <w:t xml:space="preserve">Prin hotărârea din 9 mai 2016, instanța a respins cererea </w:t>
      </w:r>
      <w:r w:rsidR="00C31016">
        <w:t>cu următoarea</w:t>
      </w:r>
      <w:r>
        <w:t xml:space="preserve"> motiv</w:t>
      </w:r>
      <w:r w:rsidR="00C31016">
        <w:t>ar</w:t>
      </w:r>
      <w:r>
        <w:t>e:</w:t>
      </w:r>
    </w:p>
    <w:p w14:paraId="19E52C09" w14:textId="3DF69374" w:rsidR="00AF4A60" w:rsidRPr="00DB170D" w:rsidRDefault="00AF4A60" w:rsidP="00DB170D">
      <w:pPr>
        <w:pStyle w:val="JuQuot"/>
        <w:rPr>
          <w:rFonts w:eastAsiaTheme="minorEastAsia"/>
        </w:rPr>
      </w:pPr>
      <w:r>
        <w:t>„Dispozițiile art. 345-1 din Codul civil privind condițiile adopției depline a copilului soțului nu se aplică în speță, în măsura în care reclamanta nu este căsătorită cu mama copilului pe care dorește să-l adopte.</w:t>
      </w:r>
    </w:p>
    <w:p w14:paraId="07D7042E" w14:textId="36F26A1D" w:rsidR="00AF4A60" w:rsidRPr="00DB170D" w:rsidRDefault="00AF4A60" w:rsidP="00DB170D">
      <w:pPr>
        <w:pStyle w:val="JuQuot"/>
        <w:rPr>
          <w:rFonts w:eastAsiaTheme="minorEastAsia"/>
        </w:rPr>
      </w:pPr>
      <w:r>
        <w:t>Curtea de Casație a admis că «a recurge la asistența medicală pentru reproducere, sub forma inseminării artificiale cu donator anonim în străinătate nu împiedică încuviințarea adopției, de către soția mamei, a copilului născut din această procreare, deoarece condițiile legale ale adopției sunt îndeplinite și este în interesul copilului», în pofida art. L. 2141-2 din Codul sănătății publice, în temeiul căruia această asistență nu este deschisă cuplurilor de femei în Franța.</w:t>
      </w:r>
    </w:p>
    <w:p w14:paraId="5EC800F2" w14:textId="2B5B83F1" w:rsidR="00AF4A60" w:rsidRPr="00DB170D" w:rsidRDefault="00AF4A60" w:rsidP="00DB170D">
      <w:pPr>
        <w:pStyle w:val="JuQuot"/>
        <w:rPr>
          <w:rFonts w:eastAsiaTheme="minorEastAsia"/>
        </w:rPr>
      </w:pPr>
      <w:r>
        <w:t>Astfel, deși prezenta cerere poate fi întemeiată pe dispozițiile privind adopția deplină cu titlu individual, copilul [...] neavând o filiație paternă stabilită, este necesar să se constate că avizul astfel emis de Curtea de Casație constituie un progres de luat în seamă în raport cu dreptul pozitiv aplicabil, care nu este nevoie să se extindă la un cuplu de femei necăsătorite și despărțite din 2006.</w:t>
      </w:r>
    </w:p>
    <w:p w14:paraId="39D93282" w14:textId="599526DD" w:rsidR="00AF4A60" w:rsidRPr="00DB170D" w:rsidRDefault="00AF4A60" w:rsidP="00DB170D">
      <w:pPr>
        <w:pStyle w:val="JuQuot"/>
        <w:rPr>
          <w:rFonts w:eastAsiaTheme="minorEastAsia"/>
        </w:rPr>
      </w:pPr>
      <w:r>
        <w:lastRenderedPageBreak/>
        <w:t>Într-adevăr, a încuviința adopția deplină a unui copil de o persoană care nu mai împarte cu acesta viața cotidiană de mai mulți ani după separarea afectivă dintre copil și mama sa nu este conform cu dispozițiile art. 345-1 din Codul civil, nici cu spiritul care guvernează regulile adopției depline, care tind să creeze o comunitate materială și afectivă în jurul copilului minor adoptat.</w:t>
      </w:r>
    </w:p>
    <w:p w14:paraId="5C7382F6" w14:textId="1411892A" w:rsidR="00AF4A60" w:rsidRPr="00DB170D" w:rsidRDefault="00AF4A60" w:rsidP="00DB170D">
      <w:pPr>
        <w:pStyle w:val="JuQuot"/>
        <w:rPr>
          <w:rFonts w:eastAsiaTheme="minorEastAsia"/>
        </w:rPr>
      </w:pPr>
      <w:r>
        <w:t>În speță, cererea prezentată se lovește de ceea ce caracterizează în prezent interesul copilului.</w:t>
      </w:r>
    </w:p>
    <w:p w14:paraId="5673FA1F" w14:textId="059C40E9" w:rsidR="00AF4A60" w:rsidRPr="00DB170D" w:rsidRDefault="00AF4A60" w:rsidP="00DB170D">
      <w:pPr>
        <w:pStyle w:val="JuQuot"/>
        <w:rPr>
          <w:rFonts w:eastAsiaTheme="minorEastAsia"/>
        </w:rPr>
      </w:pPr>
      <w:r>
        <w:t>Deși sunt întrunite condițiile legate de consimțământul mamei și al copilului, instanța consideră că separarea dintre [C.B. și C.E.], din 2006, constituie un obstacol major pentru încuviințarea unei adopții depline a copilului [...], cu atât mai mult cu cât în actul de naștere al lui [C.B.] apare un pact civil de solidaritate înregistrat la instanța locală din Salon de Provence în 24 februarie 2010. [...]</w:t>
      </w:r>
      <w:r w:rsidR="00466A8D">
        <w:t>”</w:t>
      </w:r>
    </w:p>
    <w:p w14:paraId="3A4F6089" w14:textId="46E59FD9" w:rsidR="00AF4A60" w:rsidRPr="00DB170D" w:rsidRDefault="00AF4A60" w:rsidP="00DB170D">
      <w:pPr>
        <w:pStyle w:val="JuH1"/>
        <w:rPr>
          <w:rFonts w:eastAsiaTheme="minorEastAsia"/>
        </w:rPr>
      </w:pPr>
      <w:r>
        <w:t>Hotărârea Curții de Apel Aix-en-Provence din 24 noiembrie 2016</w:t>
      </w:r>
    </w:p>
    <w:p w14:paraId="1237497B" w14:textId="50244008"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11</w:t>
      </w:r>
      <w:r w:rsidRPr="00DB170D">
        <w:rPr>
          <w:rFonts w:eastAsiaTheme="minorEastAsia"/>
        </w:rPr>
        <w:fldChar w:fldCharType="end"/>
      </w:r>
      <w:r>
        <w:t>.</w:t>
      </w:r>
      <w:r w:rsidR="00C31016">
        <w:t xml:space="preserve"> </w:t>
      </w:r>
      <w:r>
        <w:t>Sesizată de C.E., Curtea de Apel Aix-en-Provence a confirmat, prin hotărârea din 24 noiembrie 2016, hotărârea din 9 mai 2016 cu următoarea motivare:</w:t>
      </w:r>
    </w:p>
    <w:p w14:paraId="6E0AA1C3" w14:textId="35EC31C1" w:rsidR="00AF4A60" w:rsidRPr="00DB170D" w:rsidRDefault="00AF4A60" w:rsidP="00DB170D">
      <w:pPr>
        <w:pStyle w:val="JuQuot"/>
        <w:rPr>
          <w:rFonts w:eastAsiaTheme="minorEastAsia"/>
        </w:rPr>
      </w:pPr>
      <w:r>
        <w:t>„[...] [C.E.], care nu este căsătorită, întreprinde așadar un demers cu caracter individual [întemeiat pe art. 343-1 din Codul civil].</w:t>
      </w:r>
    </w:p>
    <w:p w14:paraId="28ECAAE1" w14:textId="6AC0E379" w:rsidR="00AF4A60" w:rsidRPr="00DB170D" w:rsidRDefault="00AF4A60" w:rsidP="00DB170D">
      <w:pPr>
        <w:pStyle w:val="JuQuot"/>
        <w:rPr>
          <w:rFonts w:eastAsiaTheme="minorEastAsia"/>
        </w:rPr>
      </w:pPr>
      <w:r>
        <w:t>Potrivit art. 356 din Codul civil, «adopția [deplină] conferă copilului o filiație care înlocuiește filiația sa de origine: cel adoptat încetează să aparțină familiei sale biologice».</w:t>
      </w:r>
    </w:p>
    <w:p w14:paraId="1A644917" w14:textId="3C5CF83D" w:rsidR="00AF4A60" w:rsidRPr="00DB170D" w:rsidRDefault="00AF4A60" w:rsidP="00DB170D">
      <w:pPr>
        <w:pStyle w:val="JuQuot"/>
        <w:rPr>
          <w:rFonts w:eastAsiaTheme="minorEastAsia"/>
        </w:rPr>
      </w:pPr>
      <w:r>
        <w:t>Este nesigur dacă [C.B.], mama naturală a copilului, care a consimțit la adopție, a înțeles cu adevărat că o adopție a fiicei sale ar pune în mod automat capăt propriei legături de filiație.</w:t>
      </w:r>
    </w:p>
    <w:p w14:paraId="1454B88C" w14:textId="773D5079" w:rsidR="00AF4A60" w:rsidRPr="00DB170D" w:rsidRDefault="00AF4A60" w:rsidP="00DB170D">
      <w:pPr>
        <w:pStyle w:val="JuQuot"/>
        <w:rPr>
          <w:rFonts w:eastAsiaTheme="minorEastAsia"/>
        </w:rPr>
      </w:pPr>
      <w:r>
        <w:t>Art. 357 din Codul civil stipulează că «adopția</w:t>
      </w:r>
      <w:r w:rsidR="00C31016">
        <w:t xml:space="preserve"> </w:t>
      </w:r>
      <w:r>
        <w:t>oferă copilului numele celui care adoptă».</w:t>
      </w:r>
    </w:p>
    <w:p w14:paraId="11388763" w14:textId="2A27EF81" w:rsidR="00AF4A60" w:rsidRPr="00DB170D" w:rsidRDefault="00AF4A60" w:rsidP="00DB170D">
      <w:pPr>
        <w:pStyle w:val="JuQuot"/>
        <w:rPr>
          <w:rFonts w:eastAsiaTheme="minorEastAsia"/>
        </w:rPr>
      </w:pPr>
      <w:r>
        <w:t>Se pare că nici [C.E.], care solicită în cererea sa ca numele copilului să fie compus [din numele de familie al lui C.B și al lui C.E. legate], nu și-a dat seama că adopția implica ruperea legăturii existente între copil și mama naturală.</w:t>
      </w:r>
    </w:p>
    <w:p w14:paraId="40AEA11B" w14:textId="4604E4E7" w:rsidR="00AF4A60" w:rsidRPr="00DB170D" w:rsidRDefault="00AF4A60" w:rsidP="00DB170D">
      <w:pPr>
        <w:pStyle w:val="JuQuot"/>
        <w:rPr>
          <w:rFonts w:eastAsiaTheme="minorEastAsia"/>
        </w:rPr>
      </w:pPr>
      <w:r>
        <w:t>Art. 365 din Codul civil prevede că cel ce adoptă este singurul învestit, față de cel adoptat, cu toate drepturile autorității părintești.</w:t>
      </w:r>
    </w:p>
    <w:p w14:paraId="06674EDF" w14:textId="6178D3F0" w:rsidR="00AF4A60" w:rsidRPr="00DB170D" w:rsidRDefault="00AF4A60" w:rsidP="00DB170D">
      <w:pPr>
        <w:pStyle w:val="JuQuot"/>
        <w:rPr>
          <w:rFonts w:eastAsiaTheme="minorEastAsia"/>
        </w:rPr>
      </w:pPr>
      <w:r>
        <w:t>Este evident că în speța de față o asemenea soluție contravine interesului copilului, cu atât mai mult cu cât nu mai există o viață comună între [C.E și C.B.] de zece ani.</w:t>
      </w:r>
    </w:p>
    <w:p w14:paraId="44496E1E" w14:textId="3BFF2386" w:rsidR="00AF4A60" w:rsidRPr="00DB170D" w:rsidRDefault="00AF4A60" w:rsidP="00DB170D">
      <w:pPr>
        <w:pStyle w:val="JuQuot"/>
        <w:rPr>
          <w:rFonts w:eastAsiaTheme="minorEastAsia"/>
        </w:rPr>
      </w:pPr>
      <w:r>
        <w:t>În hotărârea din 20 februarie 2007, Curtea de Casație s-a opus adopției cu efecte restrânse de către concubina mamei după ce a subliniat că delegarea sau partajarea autorității părintești erau, față de adopție, antinomice și contradictorii, adopția unui copil minor având scopul de a conferi autoritatea părintească doar celui care adoptă.</w:t>
      </w:r>
    </w:p>
    <w:p w14:paraId="50125C13" w14:textId="72B61F37" w:rsidR="00AF4A60" w:rsidRPr="00DB170D" w:rsidRDefault="00AF4A60" w:rsidP="00DB170D">
      <w:pPr>
        <w:pStyle w:val="JuQuot"/>
        <w:rPr>
          <w:rFonts w:eastAsiaTheme="minorEastAsia"/>
        </w:rPr>
      </w:pPr>
      <w:r>
        <w:t>Degeaba invocă [C.E.] respectarea principiului egalității și al nediscriminării. Faptul că reclamanta este homosexuală nu are incidență asupra soluționării litigiului.</w:t>
      </w:r>
    </w:p>
    <w:p w14:paraId="6B63234F" w14:textId="2C2220E6" w:rsidR="00AF4A60" w:rsidRPr="00DB170D" w:rsidRDefault="00AF4A60" w:rsidP="00DB170D">
      <w:pPr>
        <w:pStyle w:val="JuQuot"/>
        <w:rPr>
          <w:rFonts w:eastAsiaTheme="minorEastAsia"/>
        </w:rPr>
      </w:pPr>
      <w:r>
        <w:t>Interesul superior [al copilului] și necesitatea menținerii unei legături cu mama sa biologică, legătură la care [C.B.] nu a renunțat explicit, au determinat instanța să confirme hotărârea primei instanțe care a respins cererea de încuviințare a adopției depline a copilului [de către C.E.]</w:t>
      </w:r>
      <w:r w:rsidR="005B6DD6">
        <w:t>.</w:t>
      </w:r>
      <w:r>
        <w:t>”</w:t>
      </w:r>
    </w:p>
    <w:p w14:paraId="554E88CE" w14:textId="60CAE432" w:rsidR="00AF4A60" w:rsidRPr="00DB170D" w:rsidRDefault="00AF4A60" w:rsidP="00DB170D">
      <w:pPr>
        <w:pStyle w:val="JuH1"/>
        <w:rPr>
          <w:rFonts w:eastAsiaTheme="minorEastAsia"/>
        </w:rPr>
      </w:pPr>
      <w:r>
        <w:lastRenderedPageBreak/>
        <w:t>Hotărârea Curții de Casație din 28 februarie 2018</w:t>
      </w:r>
    </w:p>
    <w:p w14:paraId="40E33176" w14:textId="290F304B"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12</w:t>
      </w:r>
      <w:r w:rsidRPr="00DB170D">
        <w:rPr>
          <w:rFonts w:eastAsiaTheme="minorEastAsia"/>
        </w:rPr>
        <w:fldChar w:fldCharType="end"/>
      </w:r>
      <w:r>
        <w:t>.</w:t>
      </w:r>
      <w:r w:rsidR="00C31016">
        <w:t xml:space="preserve"> </w:t>
      </w:r>
      <w:r>
        <w:t>C.E. a formulat recurs împotriva acestei hotărâri. În unicul său capăt de cerere, sublinia mai întâi că interesul superior al copilului ar trebui să ghideze orice decizie referitoare la acesta și că statul ar trebui să permită dezvoltarea unei legături stabile de familie. A criticat curtea de apel, în continuare, că aceasta s-a limitat să evidențieze că cererea sa pentru încuviințarea adopției ar duce la ruperea legăturilor de rudenie dintre copil și mama sa biologică și că separarea dintre C.E. și C.B. reprezenta principalul obstacol al adopției, fără a cerceta dacă interesul superior al copilului nu impunea admiterea cererii prin îndepărtarea textelor naționale, care limitează adopția la copiii primiți în plasament la domiciliul celui ce adoptă ducând astfel la ruperea legăturilor de rudenie dintre copil și mama sa biologică, pentru a permite stabilirea filiației cu aceasta, ceea ce corespunde legăturii afective existente, menținând în același timp și legătura existentă cu C.B. A dedus de aici că hotărârea curții de apel era lipsită de bază legală din perspectiva art. 8 din Convenție.</w:t>
      </w:r>
    </w:p>
    <w:p w14:paraId="66ED418C" w14:textId="47EADBEF"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13</w:t>
      </w:r>
      <w:r w:rsidRPr="00DB170D">
        <w:rPr>
          <w:rFonts w:eastAsiaTheme="minorEastAsia"/>
        </w:rPr>
        <w:fldChar w:fldCharType="end"/>
      </w:r>
      <w:r>
        <w:t>.</w:t>
      </w:r>
      <w:r w:rsidR="00C31016">
        <w:t xml:space="preserve"> </w:t>
      </w:r>
      <w:r>
        <w:t>Prin hotărârea din 28 februarie 2018, Curtea de Casație (prima cameră civilă) a respins recursul cu următoarea motivare:</w:t>
      </w:r>
    </w:p>
    <w:p w14:paraId="36F89537" w14:textId="0B50757D" w:rsidR="00AF4A60" w:rsidRPr="00DB170D" w:rsidRDefault="00AF4A60" w:rsidP="00DB170D">
      <w:pPr>
        <w:pStyle w:val="JuQuot"/>
        <w:rPr>
          <w:rFonts w:eastAsiaTheme="minorEastAsia"/>
        </w:rPr>
      </w:pPr>
      <w:r>
        <w:t>„[...] în cazul în care adopția deplină a unui copil, de către o persoană în vârstă de peste 28 de ani, este încuviințată prin art. 343-1 din Codul civil, acest lucru are, potrivit art. 356 din același cod, efectul de a oferi acestui copil o filiație care înlocuiește filiația sa de origine și de a-l priva de apartenența la familia sa biologică: doar adopția deplină a copilului celuilalt soț, permisă de art. 345-1, face să subziste filiația sa de origine în privința acestui soț și a familiei sale. Dreptul la respectarea vieții private și de familie garantat la art. 8 din Convenție [...] nu impune consacrarea, prin adopție, a tuturor legăturilor de afecțiune, fie acestea vechi și stabilite;</w:t>
      </w:r>
    </w:p>
    <w:p w14:paraId="79813465" w14:textId="382FF245" w:rsidR="00AF4A60" w:rsidRPr="00DB170D" w:rsidRDefault="00AF4A60" w:rsidP="00DB170D">
      <w:pPr>
        <w:pStyle w:val="JuQuot"/>
        <w:rPr>
          <w:rFonts w:eastAsiaTheme="minorEastAsia"/>
        </w:rPr>
      </w:pPr>
      <w:r>
        <w:t>[...] după ce a subliniat că, [C.E. și C.B.] nefiind căsătorite, adopția deplină a [copilului] de către [C.E.] ar pune capăt filiației acesteia cu mama sa, care nu renunțase la filiație, ceea ce ar fi contra interesului superior al copilului, care consta în menținerea legăturilor cu mama sa biologică, Curtea de Apel, care nu era obligată să facă o cercetare ineficace, și-a justificat dec</w:t>
      </w:r>
      <w:r w:rsidR="00466A8D">
        <w:t>izia din punct de vedere legal.</w:t>
      </w:r>
      <w:r>
        <w:t>”</w:t>
      </w:r>
    </w:p>
    <w:p w14:paraId="6CC40997" w14:textId="677F4797" w:rsidR="00AF4A60" w:rsidRPr="00DB170D" w:rsidRDefault="00AF4A60" w:rsidP="00DB170D">
      <w:pPr>
        <w:pStyle w:val="JuHA"/>
        <w:rPr>
          <w:rFonts w:eastAsiaTheme="minorEastAsia"/>
        </w:rPr>
      </w:pPr>
      <w:r>
        <w:t>Procedura referitoare la posesia de stat a copilului</w:t>
      </w:r>
    </w:p>
    <w:p w14:paraId="37B0CC49" w14:textId="751C60D1"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14</w:t>
      </w:r>
      <w:r w:rsidRPr="00DB170D">
        <w:rPr>
          <w:rFonts w:eastAsiaTheme="minorEastAsia"/>
        </w:rPr>
        <w:fldChar w:fldCharType="end"/>
      </w:r>
      <w:r>
        <w:t>.</w:t>
      </w:r>
      <w:r w:rsidR="00C31016">
        <w:t xml:space="preserve"> </w:t>
      </w:r>
      <w:r>
        <w:t>În același timp, C.E și C.B. au depus, la 31 mai 2016, o cerere la instanța locală din Narbonne pentru emiterea unui act de notorietate care să dovedească filiația dintre prima dintre ele și copil. În special, au prezentat șapte certificate în vederea stabilirii acestei legături și un extras de cont care demonstra existența unor transferuri frecvente din contul lui C.E. în beneficiul lui C.B.</w:t>
      </w:r>
    </w:p>
    <w:p w14:paraId="1499CBB0" w14:textId="4A90530A"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15</w:t>
      </w:r>
      <w:r w:rsidRPr="00DB170D">
        <w:rPr>
          <w:rFonts w:eastAsiaTheme="minorEastAsia"/>
        </w:rPr>
        <w:fldChar w:fldCharType="end"/>
      </w:r>
      <w:r>
        <w:t>.</w:t>
      </w:r>
      <w:r w:rsidR="00C31016">
        <w:t xml:space="preserve"> </w:t>
      </w:r>
      <w:r>
        <w:t xml:space="preserve">La 18 iulie 2016, instanța a constatat că copilul era „recunoscut în societate, de familie și de autoritate publică, ca fiind copilul lui C.E. [și] că, în concluzie, beneficia de posesia de stat </w:t>
      </w:r>
      <w:r w:rsidR="00466A8D">
        <w:t>de copil al [acesteia din urmă]</w:t>
      </w:r>
      <w:r>
        <w:t>.</w:t>
      </w:r>
    </w:p>
    <w:p w14:paraId="6B27D722" w14:textId="12843A74" w:rsidR="00AF4A60" w:rsidRPr="00DB170D" w:rsidRDefault="00AF4A60" w:rsidP="00DB170D">
      <w:pPr>
        <w:pStyle w:val="JuPara"/>
        <w:rPr>
          <w:rFonts w:eastAsiaTheme="minorEastAsia"/>
        </w:rPr>
      </w:pPr>
      <w:r w:rsidRPr="00DB170D">
        <w:rPr>
          <w:rFonts w:eastAsiaTheme="minorEastAsia"/>
        </w:rPr>
        <w:lastRenderedPageBreak/>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16</w:t>
      </w:r>
      <w:r w:rsidRPr="00DB170D">
        <w:rPr>
          <w:rFonts w:eastAsiaTheme="minorEastAsia"/>
        </w:rPr>
        <w:fldChar w:fldCharType="end"/>
      </w:r>
      <w:r>
        <w:t>.</w:t>
      </w:r>
      <w:r w:rsidR="00C31016">
        <w:t xml:space="preserve"> </w:t>
      </w:r>
      <w:r>
        <w:t>Cu toate acestea, la 12 octombrie 2017, procurorul de pe lângă Tribunalul de Mare Instanță din Narbonne a chemat, în fața acestei instanțe, reclamantele pentru contestarea posesiei de stat.</w:t>
      </w:r>
    </w:p>
    <w:p w14:paraId="72751608" w14:textId="2315FF5E"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17</w:t>
      </w:r>
      <w:r>
        <w:fldChar w:fldCharType="end"/>
      </w:r>
      <w:r w:rsidR="001968A3">
        <w:t>.</w:t>
      </w:r>
      <w:r w:rsidR="00C31016">
        <w:t xml:space="preserve"> </w:t>
      </w:r>
      <w:r w:rsidR="001968A3">
        <w:t>Prin hotărârea din 23 august 2018 (neprezentată), Tribunalul de Mare Instanță din Narbonne a declarat „nul și neavenit pentru a fi obligatoriu prin efectul legii</w:t>
      </w:r>
      <w:r w:rsidR="00466A8D">
        <w:t>”</w:t>
      </w:r>
      <w:r w:rsidR="001968A3">
        <w:t xml:space="preserve"> actul de notorietate emis lui C.E. Reclamantele nu au atacat hotărârea respectivă.</w:t>
      </w:r>
    </w:p>
    <w:p w14:paraId="10DB134A" w14:textId="79BC5698" w:rsidR="00AF4A60" w:rsidRPr="00DB170D" w:rsidRDefault="00AF4A60" w:rsidP="00DB170D">
      <w:pPr>
        <w:pStyle w:val="JuPara"/>
        <w:rPr>
          <w:rFonts w:eastAsiaTheme="minorEastAsia"/>
          <w:szCs w:val="22"/>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bookmarkStart w:id="13" w:name="paragraph00018"/>
      <w:r w:rsidR="00DB170D" w:rsidRPr="00DB170D">
        <w:rPr>
          <w:rFonts w:eastAsiaTheme="minorEastAsia"/>
        </w:rPr>
        <w:t>18</w:t>
      </w:r>
      <w:bookmarkEnd w:id="13"/>
      <w:r w:rsidRPr="00DB170D">
        <w:rPr>
          <w:rFonts w:eastAsiaTheme="minorEastAsia"/>
        </w:rPr>
        <w:fldChar w:fldCharType="end"/>
      </w:r>
      <w:r>
        <w:t>.</w:t>
      </w:r>
      <w:r w:rsidR="00C31016">
        <w:t xml:space="preserve"> </w:t>
      </w:r>
      <w:r>
        <w:t>Pentru a justifica neexercitarea unei căi de atac împotriva hotărârii din 23 august 2018, reclamantele au prezentat un aviz al Curții de Casație (prima cameră civilă) din 7 martie 2018, pronunțat într-o procedură în care ele nu erau părți. Ca răspuns la întrebările: „Art. 317 și art. 320 din Codul civil autorizează emiterea unui act de notorietate care să probeze posesia de stat în beneficiul concubinului de același sex cu al părintelui în privința căruia filiația este stabilită deja? În cazul unui răspuns negativ, imposibilitatea [emiterii unui astfel de document] ține cont de interesul superior al copilului în sensul art. 3 pct. 1 din Convenția internațională cu privire la drepturile copilului? Și poate constitui, din perspectiva circumstanțelor de fapt apreciate concret de instanță, o atingere disproporționată adusă dreptului de a avea o viață privată și de familie consacrat prin art. 8 din Convenție [...], în l</w:t>
      </w:r>
      <w:r w:rsidR="00466A8D">
        <w:t>umina scopului legitim urmărit?”</w:t>
      </w:r>
      <w:r>
        <w:t>, Curtea de Casație a emis următorul aviz:</w:t>
      </w:r>
    </w:p>
    <w:p w14:paraId="3F7FC464" w14:textId="2696CC9B" w:rsidR="00AF4A60" w:rsidRPr="00DB170D" w:rsidRDefault="00AF4A60" w:rsidP="00DB170D">
      <w:pPr>
        <w:pStyle w:val="JuQuot"/>
        <w:rPr>
          <w:rFonts w:eastAsiaTheme="minorEastAsia"/>
        </w:rPr>
      </w:pPr>
      <w:r>
        <w:t>„Permițând căsătoria pentru cuplurile de același sex, Legea nr. 2013-404 din 17 mai 2013 a exclus în mod expres stabilirea filiației în privința a două persoane de același sex, cu excepția adopției.</w:t>
      </w:r>
    </w:p>
    <w:p w14:paraId="239E073F" w14:textId="5B167823" w:rsidR="00AF4A60" w:rsidRPr="00DB170D" w:rsidRDefault="00AF4A60" w:rsidP="00DB170D">
      <w:pPr>
        <w:pStyle w:val="JuQuot"/>
        <w:rPr>
          <w:rFonts w:eastAsiaTheme="minorEastAsia"/>
        </w:rPr>
      </w:pPr>
      <w:r>
        <w:t>Astfel, art. 6-1 din Codul civil, rezultat din acest text, dispune că atât căsătoria, cât și filiația prin adopție produc aceleași efecte, drepturi și obligații recunoscute de lege, excluzând pe cele prevăzute la Titlul VII din Cartea I din prezentul cod, fie că soții sau părinții sunt de sexe diferite sau de același sex.</w:t>
      </w:r>
    </w:p>
    <w:p w14:paraId="0088CA57" w14:textId="5DE5DEBC" w:rsidR="00AF4A60" w:rsidRPr="00DB170D" w:rsidRDefault="00AF4A60" w:rsidP="00DB170D">
      <w:pPr>
        <w:pStyle w:val="JuQuot"/>
        <w:rPr>
          <w:rFonts w:eastAsiaTheme="minorEastAsia"/>
        </w:rPr>
      </w:pPr>
      <w:r>
        <w:t xml:space="preserve">Modalitățile de stabilire a filiației prevăzute la Titlul VII din Cartea I a Codului civil, precum recunoașterea sau prezumția de paternitate, ca și posesia de stat, nu au fost, prin urmare, permise soților de același sex, </w:t>
      </w:r>
      <w:r>
        <w:rPr>
          <w:i/>
          <w:iCs/>
        </w:rPr>
        <w:t>a fortiori</w:t>
      </w:r>
      <w:r>
        <w:t xml:space="preserve"> concubinilor de același sex.</w:t>
      </w:r>
    </w:p>
    <w:p w14:paraId="1AC725E7" w14:textId="3F9B3179" w:rsidR="00AF4A60" w:rsidRPr="00DB170D" w:rsidRDefault="00AF4A60" w:rsidP="00DB170D">
      <w:pPr>
        <w:pStyle w:val="JuQuot"/>
        <w:rPr>
          <w:rFonts w:eastAsiaTheme="minorEastAsia"/>
        </w:rPr>
      </w:pPr>
      <w:r>
        <w:t>Oricum, art. 320 din Codul civil dispune că, atunci când nu a fost contestată în justiție, filiația stabilită legal împiedică stabilirea altei filiații care ar contrazice-o.</w:t>
      </w:r>
    </w:p>
    <w:p w14:paraId="6505CE88" w14:textId="441FB607" w:rsidR="00AF4A60" w:rsidRPr="00DB170D" w:rsidRDefault="00AF4A60" w:rsidP="00DB170D">
      <w:pPr>
        <w:pStyle w:val="JuQuot"/>
        <w:rPr>
          <w:rFonts w:eastAsiaTheme="minorEastAsia"/>
        </w:rPr>
      </w:pPr>
      <w:r>
        <w:t>Aceste dispoziții se opun ca două filiații materne sau două filiații față de tată să fie stabilite în privința aceluiași copil.</w:t>
      </w:r>
    </w:p>
    <w:p w14:paraId="2AD124EA" w14:textId="392C38B5" w:rsidR="00AF4A60" w:rsidRPr="00DB170D" w:rsidRDefault="00AF4A60" w:rsidP="00DB170D">
      <w:pPr>
        <w:pStyle w:val="JuQuot"/>
        <w:rPr>
          <w:rFonts w:eastAsiaTheme="minorEastAsia"/>
        </w:rPr>
      </w:pPr>
      <w:r>
        <w:t>Rezultă că filiația nu poate fi stabilită, prin posesie de stat, cu privire la concubinul de același sex cu al părintelui în privința căruia filiația este stabilită.</w:t>
      </w:r>
    </w:p>
    <w:p w14:paraId="3481FD93" w14:textId="1693FBA2" w:rsidR="00AF4A60" w:rsidRPr="00DB170D" w:rsidRDefault="00AF4A60" w:rsidP="00DB170D">
      <w:pPr>
        <w:pStyle w:val="JuQuot"/>
        <w:rPr>
          <w:rFonts w:eastAsiaTheme="minorEastAsia"/>
        </w:rPr>
      </w:pPr>
      <w:r>
        <w:t>Verificarea convenționalității cu privire la art. 3 pct. 1 din Convenția de la New</w:t>
      </w:r>
      <w:r>
        <w:noBreakHyphen/>
        <w:t>York din 20 noiembrie 1989 și la art. 8 din Convenție [...], privește examinarea prealabilă de către instanța de fond și, cu acest titlu, este în afara procedurii de cerere de aviz.</w:t>
      </w:r>
    </w:p>
    <w:p w14:paraId="79E9BEB3" w14:textId="77777777" w:rsidR="00AF4A60" w:rsidRPr="00DB170D" w:rsidRDefault="00AF4A60" w:rsidP="00DB170D">
      <w:pPr>
        <w:pStyle w:val="JuQuot"/>
        <w:rPr>
          <w:rFonts w:eastAsiaTheme="minorEastAsia"/>
        </w:rPr>
      </w:pPr>
      <w:r>
        <w:t>În consecință,</w:t>
      </w:r>
    </w:p>
    <w:p w14:paraId="1745D21D" w14:textId="3736E9C1" w:rsidR="00AF4A60" w:rsidRPr="00DB170D" w:rsidRDefault="00AF4A60" w:rsidP="00DB170D">
      <w:pPr>
        <w:pStyle w:val="JuQuot"/>
        <w:rPr>
          <w:rFonts w:eastAsiaTheme="minorEastAsia"/>
        </w:rPr>
      </w:pPr>
      <w:r>
        <w:t>CURTEA CONSIDERĂ CĂ:</w:t>
      </w:r>
    </w:p>
    <w:p w14:paraId="6C9A6A64" w14:textId="745C8422" w:rsidR="00AF4A60" w:rsidRPr="00DB170D" w:rsidRDefault="00AF4A60" w:rsidP="00DB170D">
      <w:pPr>
        <w:pStyle w:val="JuQuot"/>
        <w:rPr>
          <w:rFonts w:eastAsiaTheme="minorEastAsia"/>
        </w:rPr>
      </w:pPr>
      <w:r>
        <w:t>1</w:t>
      </w:r>
      <w:r>
        <w:rPr>
          <w:vertAlign w:val="superscript"/>
        </w:rPr>
        <w:t>o</w:t>
      </w:r>
      <w:r>
        <w:t>) Instanța nu poate emite un act de notorietate care să probeze posesia de stat în beneficiul concubinului de același sex cu al părintelui în privința căruia filiația este stabilită.</w:t>
      </w:r>
    </w:p>
    <w:p w14:paraId="7AF05F95" w14:textId="32605D80" w:rsidR="00AF4A60" w:rsidRPr="00DB170D" w:rsidRDefault="00AF4A60" w:rsidP="00DB170D">
      <w:pPr>
        <w:pStyle w:val="JuQuot"/>
      </w:pPr>
      <w:r>
        <w:lastRenderedPageBreak/>
        <w:t>2</w:t>
      </w:r>
      <w:r>
        <w:rPr>
          <w:vertAlign w:val="superscript"/>
        </w:rPr>
        <w:t>o</w:t>
      </w:r>
      <w:r>
        <w:t>) A doua întrebare privește examinarea prealabilă de către instanța de fond și, cu acest titlu, este în afar</w:t>
      </w:r>
      <w:r w:rsidR="00466A8D">
        <w:t>a procedurii de cerere de aviz.</w:t>
      </w:r>
      <w:r>
        <w:t>”</w:t>
      </w:r>
    </w:p>
    <w:p w14:paraId="728FCEA3" w14:textId="6948853A" w:rsidR="00AF4A60" w:rsidRPr="00DB170D" w:rsidRDefault="00AF4A60" w:rsidP="00DB170D">
      <w:pPr>
        <w:pStyle w:val="JuHIRoman"/>
      </w:pPr>
      <w:r>
        <w:t>Cererea nr. 29693/19</w:t>
      </w:r>
    </w:p>
    <w:bookmarkStart w:id="14" w:name="_Hlk87448336"/>
    <w:p w14:paraId="11F738A1" w14:textId="0F4C05D9" w:rsidR="00AF4A60" w:rsidRPr="00DB170D" w:rsidRDefault="00AF4A60" w:rsidP="00DB170D">
      <w:pPr>
        <w:pStyle w:val="JuPara"/>
        <w:rPr>
          <w:rFonts w:eastAsiaTheme="minorEastAsia"/>
        </w:rPr>
      </w:pPr>
      <w:r w:rsidRPr="00DB170D">
        <w:fldChar w:fldCharType="begin"/>
      </w:r>
      <w:r w:rsidRPr="00DB170D">
        <w:instrText xml:space="preserve"> SEQ level0 \*arabic \* MERGEFORMAT </w:instrText>
      </w:r>
      <w:r w:rsidRPr="00DB170D">
        <w:fldChar w:fldCharType="separate"/>
      </w:r>
      <w:r w:rsidR="00DB170D" w:rsidRPr="00DB170D">
        <w:t>19</w:t>
      </w:r>
      <w:r w:rsidRPr="00DB170D">
        <w:fldChar w:fldCharType="end"/>
      </w:r>
      <w:r>
        <w:t>.</w:t>
      </w:r>
      <w:r w:rsidR="00C31016">
        <w:t xml:space="preserve"> </w:t>
      </w:r>
      <w:r>
        <w:t>În mai 2006, A.E. a încheiat un pact civil de solidaritate („PACS</w:t>
      </w:r>
      <w:r w:rsidR="00466A8D">
        <w:t>”</w:t>
      </w:r>
      <w:r>
        <w:t>) cu K.G., pe care o întâlnise în 2001.</w:t>
      </w:r>
    </w:p>
    <w:p w14:paraId="5444443D" w14:textId="0CFD9B79"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20</w:t>
      </w:r>
      <w:r w:rsidRPr="00DB170D">
        <w:rPr>
          <w:rFonts w:eastAsiaTheme="minorEastAsia"/>
        </w:rPr>
        <w:fldChar w:fldCharType="end"/>
      </w:r>
      <w:r>
        <w:t>.</w:t>
      </w:r>
      <w:r w:rsidR="00C31016">
        <w:t xml:space="preserve"> </w:t>
      </w:r>
      <w:r>
        <w:t>Recurgând în străinătate la reproducerea asistată medical („RAM</w:t>
      </w:r>
      <w:r w:rsidR="00466A8D">
        <w:t>”</w:t>
      </w:r>
      <w:r>
        <w:t>), K.G. l-a născut pe T.G. la 13 noiembrie 2008.</w:t>
      </w:r>
    </w:p>
    <w:p w14:paraId="59FACA80" w14:textId="1AC1DBEA"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bookmarkStart w:id="15" w:name="paragraph00021"/>
      <w:r w:rsidR="00DB170D" w:rsidRPr="00DB170D">
        <w:rPr>
          <w:rFonts w:eastAsiaTheme="minorEastAsia"/>
        </w:rPr>
        <w:t>21</w:t>
      </w:r>
      <w:bookmarkEnd w:id="15"/>
      <w:r w:rsidRPr="00DB170D">
        <w:rPr>
          <w:rFonts w:eastAsiaTheme="minorEastAsia"/>
        </w:rPr>
        <w:fldChar w:fldCharType="end"/>
      </w:r>
      <w:r>
        <w:t>.</w:t>
      </w:r>
      <w:r w:rsidR="00C31016">
        <w:t xml:space="preserve"> </w:t>
      </w:r>
      <w:r>
        <w:t>La 16 martie 2010, K.G. a sesizat judecătorul delegat pentru litigii de dreptul familiei din cadrul Tribunalului de Mare Instanță din Rennes în temeiul art. 377 și art. 377</w:t>
      </w:r>
      <w:r>
        <w:noBreakHyphen/>
        <w:t>1 din Codul civil cu o cerere pentru exercitarea autorității părintești împreună cu A.E. După ce a subliniat, în special, că A.E. era aptă atât din punct de vedere material, cât și educațional să răspundă nevoilor copilului, și delegarea cerută respecta interesele acestuia,</w:t>
      </w:r>
      <w:r w:rsidR="00C31016">
        <w:t xml:space="preserve"> </w:t>
      </w:r>
      <w:r>
        <w:t>judecătorul delegat pentru litigii de dreptul familiei, prin hotărârea din 27 mai 2010, a admis cererea, reamintind că fiecare parte, atât A.E., cât și K.G., „va acționa cu acordul celeilalte atunci când va face singură un act uzual de autoritate părintească în legătură cu persoana copilului</w:t>
      </w:r>
      <w:r w:rsidR="00466A8D">
        <w:t>”</w:t>
      </w:r>
      <w:r>
        <w:t>.</w:t>
      </w:r>
    </w:p>
    <w:bookmarkEnd w:id="14"/>
    <w:p w14:paraId="05377163" w14:textId="01CD0290"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22</w:t>
      </w:r>
      <w:r w:rsidRPr="00DB170D">
        <w:rPr>
          <w:rFonts w:eastAsiaTheme="minorEastAsia"/>
        </w:rPr>
        <w:fldChar w:fldCharType="end"/>
      </w:r>
      <w:r>
        <w:t>.</w:t>
      </w:r>
      <w:r w:rsidR="00C31016">
        <w:t xml:space="preserve"> </w:t>
      </w:r>
      <w:r>
        <w:t>A.E. a născut o fetiță în octombrie 2011. În mai 2012, aceeași instanță a pronunțat delegarea autorității părintești între ea și K.G.</w:t>
      </w:r>
    </w:p>
    <w:p w14:paraId="3B05911F" w14:textId="51CFBA94"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23</w:t>
      </w:r>
      <w:r w:rsidRPr="00DB170D">
        <w:rPr>
          <w:rFonts w:eastAsiaTheme="minorEastAsia"/>
        </w:rPr>
        <w:fldChar w:fldCharType="end"/>
      </w:r>
      <w:r>
        <w:t>.</w:t>
      </w:r>
      <w:r w:rsidR="00C31016">
        <w:t xml:space="preserve"> </w:t>
      </w:r>
      <w:r>
        <w:t>În urma separării dintre A.E. și K.G, pactul lor de solidaritate a fost încheiat în octombrie 2014. Acestea au stabilit o reședință alternativă pentru cei doi copii astfel încât ei să rămână împreună permanent la una sau la cealaltă.</w:t>
      </w:r>
    </w:p>
    <w:p w14:paraId="5F9D27E7" w14:textId="0AC544CA"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24</w:t>
      </w:r>
      <w:r w:rsidRPr="00DB170D">
        <w:rPr>
          <w:rFonts w:eastAsiaTheme="minorEastAsia"/>
        </w:rPr>
        <w:fldChar w:fldCharType="end"/>
      </w:r>
      <w:r>
        <w:t>.</w:t>
      </w:r>
      <w:r w:rsidR="00C31016">
        <w:t xml:space="preserve"> </w:t>
      </w:r>
      <w:r>
        <w:t>La 2 iulie 2018, A.E. a sesizat Tribunalul de Mare Instanță din Rennes cu o cerere pentru emiterea unui act de notorietate pentru a se constata posesia de stat în privința lui T.G. Arătând că sunt îndeplinite condițiile legale pentru emiterea unui act de notorietate, aceasta a susținut că absența recunoașterii unei legături de filiație între ea și T.G. ar fi contrară interesului superior al copilului în sensul art. 3 § 1 din Convenția internațională cu privire la drepturile copilului și ar aduce atingere dreptului lor la respectarea vieții private și de familie, ducând la discriminarea lor în exercitarea acestui drept. K.G. a intervenit în procedură.</w:t>
      </w:r>
    </w:p>
    <w:p w14:paraId="2B10BA5C" w14:textId="31F79FD5"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25</w:t>
      </w:r>
      <w:r w:rsidRPr="00DB170D">
        <w:rPr>
          <w:rFonts w:eastAsiaTheme="minorEastAsia"/>
        </w:rPr>
        <w:fldChar w:fldCharType="end"/>
      </w:r>
      <w:r>
        <w:t>.</w:t>
      </w:r>
      <w:r w:rsidR="00C31016">
        <w:t xml:space="preserve"> </w:t>
      </w:r>
      <w:r>
        <w:t>Prin încheierea definitivă din 20 decembrie 2018, vice-președintele tribunalului a respins cererea cu următoarea motivare:</w:t>
      </w:r>
    </w:p>
    <w:p w14:paraId="3BCA3569" w14:textId="534370A4" w:rsidR="00AF4A60" w:rsidRPr="00DB170D" w:rsidRDefault="00AF4A60" w:rsidP="00DB170D">
      <w:pPr>
        <w:pStyle w:val="JuQuot"/>
        <w:rPr>
          <w:rFonts w:eastAsiaTheme="minorEastAsia"/>
        </w:rPr>
      </w:pPr>
      <w:r>
        <w:t>„[...] Prima cameră civilă a Curții de Casație a emis, la 7 martie 2018, avizul conform căruia art. 6-1 și 320 din Codul civil (...) se opun ca două filiații materne sau două filiații față de tată să fie stabilite în privința aceluiași copil.</w:t>
      </w:r>
    </w:p>
    <w:p w14:paraId="576FDCC0" w14:textId="2ED445FD" w:rsidR="00AF4A60" w:rsidRPr="00DB170D" w:rsidRDefault="00AF4A60" w:rsidP="00DB170D">
      <w:pPr>
        <w:pStyle w:val="JuQuot"/>
        <w:rPr>
          <w:rFonts w:eastAsiaTheme="minorEastAsia"/>
        </w:rPr>
      </w:pPr>
      <w:r>
        <w:t>Filiația nu poate fi stabilită, prin posesie de stat, cu privire la concubinul de același sex cu al părintelui în privința căruia filiația este stabilită, în așa fel încât instanța nu poate emite un act de notorietate care să probeze posesia de stat în beneficiul concubinului de același sex cu al părintelui în privința căruia filiația este stabilită.</w:t>
      </w:r>
    </w:p>
    <w:p w14:paraId="7974A942" w14:textId="4CB56E2F" w:rsidR="00AF4A60" w:rsidRPr="00DB170D" w:rsidRDefault="00AF4A60" w:rsidP="00DB170D">
      <w:pPr>
        <w:pStyle w:val="JuQuot"/>
        <w:rPr>
          <w:rFonts w:eastAsiaTheme="minorEastAsia"/>
        </w:rPr>
      </w:pPr>
      <w:r>
        <w:t>Rezultă că dreptul pozitiv francez nu permite să fie stabilită, prin posesia de stat, o dublă filiație în beneficiul concubinilor de același sex [...].</w:t>
      </w:r>
    </w:p>
    <w:p w14:paraId="0B8E3E51" w14:textId="25CCDCC6" w:rsidR="00AF4A60" w:rsidRPr="00DB170D" w:rsidRDefault="00AF4A60" w:rsidP="00DB170D">
      <w:pPr>
        <w:pStyle w:val="JuQuot"/>
        <w:rPr>
          <w:rFonts w:eastAsiaTheme="minorEastAsia"/>
        </w:rPr>
      </w:pPr>
      <w:r>
        <w:lastRenderedPageBreak/>
        <w:t>Interesul superior al copilului</w:t>
      </w:r>
    </w:p>
    <w:p w14:paraId="6AF96E48" w14:textId="72D28F60" w:rsidR="00AF4A60" w:rsidRPr="00DB170D" w:rsidRDefault="00AF4A60" w:rsidP="00DB170D">
      <w:pPr>
        <w:pStyle w:val="JuQuot"/>
        <w:rPr>
          <w:rFonts w:eastAsiaTheme="minorEastAsia"/>
        </w:rPr>
      </w:pPr>
      <w:r>
        <w:t>Potrivit art. 3.1 din Convenția internațională cu privire la drepturile copilului [...].</w:t>
      </w:r>
    </w:p>
    <w:p w14:paraId="7E08BD95" w14:textId="6206E213" w:rsidR="00AF4A60" w:rsidRPr="00DB170D" w:rsidRDefault="00AF4A60" w:rsidP="00DB170D">
      <w:pPr>
        <w:pStyle w:val="JuQuot"/>
        <w:rPr>
          <w:rFonts w:eastAsiaTheme="minorEastAsia"/>
        </w:rPr>
      </w:pPr>
      <w:r>
        <w:t xml:space="preserve">Interesul superior al copilului trebuie să fie evaluat corect. În speță, copilul se bucură deja de recunoașterea legăturii sale de filiație maternă cu [K.G.], mama sa biologică. Acesta are o relație foarte echilibrată cu [reclamanta] în pofida separării, fiind instituită o reședință alternativă. [Reclamanta] afirmă că participă la întreținerea </w:t>
      </w:r>
      <w:r w:rsidR="00345E94">
        <w:t>și</w:t>
      </w:r>
      <w:r>
        <w:t xml:space="preserve"> educația copilului [T.G.]</w:t>
      </w:r>
    </w:p>
    <w:p w14:paraId="305E0008" w14:textId="5472BEEE" w:rsidR="00AF4A60" w:rsidRPr="00DB170D" w:rsidRDefault="00AF4A60" w:rsidP="00DB170D">
      <w:pPr>
        <w:pStyle w:val="JuQuot"/>
        <w:rPr>
          <w:rFonts w:eastAsiaTheme="minorEastAsia"/>
        </w:rPr>
      </w:pPr>
      <w:r>
        <w:t>În contextul foarte bunelor relații păstrate de reclamante, exercitarea autorității părintești în comun de către [K.G.] și [reclamantă] asupra copilului [T.G.] pronunțată la 27 mai 2010 [...], desemnarea unui tutore prin testament și dreptul de a dispune prin liberalități ar permite, în plus, să fie previzibilă o integrare suficientă a lui [T.G.] în familia care are intenția de a-l adopta și să-i fie asigurate în mod satisfăcător legăturile cu [reclamanta].</w:t>
      </w:r>
    </w:p>
    <w:p w14:paraId="2133F2F9" w14:textId="1051A79F" w:rsidR="00AF4A60" w:rsidRPr="00DB170D" w:rsidRDefault="00AF4A60" w:rsidP="00DB170D">
      <w:pPr>
        <w:pStyle w:val="JuQuot"/>
        <w:rPr>
          <w:rFonts w:eastAsiaTheme="minorEastAsia"/>
        </w:rPr>
      </w:pPr>
      <w:r>
        <w:t>Fără a pune deloc în discuție realitatea și nici puterea legăturilor afective care unesc dintotdeauna [reclamanta] și copilul, în consecință nu s-a demonstrat concret că interesul superior al celui din urmă face necesară stabilirea unei a doua filiații materne cu fosta concubină a mamei sale biologice.</w:t>
      </w:r>
    </w:p>
    <w:p w14:paraId="60FCF98C" w14:textId="77777777" w:rsidR="00AF4A60" w:rsidRPr="00DB170D" w:rsidRDefault="00AF4A60" w:rsidP="00DB170D">
      <w:pPr>
        <w:pStyle w:val="JuQuot"/>
        <w:rPr>
          <w:rFonts w:eastAsiaTheme="minorEastAsia"/>
        </w:rPr>
      </w:pPr>
      <w:r>
        <w:t>Dreptul la respectarea vieții private și de familie:</w:t>
      </w:r>
    </w:p>
    <w:p w14:paraId="63FE4773" w14:textId="16EE4743" w:rsidR="00AF4A60" w:rsidRPr="00DB170D" w:rsidRDefault="00AF4A60" w:rsidP="00DB170D">
      <w:pPr>
        <w:pStyle w:val="JuQuot"/>
        <w:rPr>
          <w:rFonts w:eastAsiaTheme="minorEastAsia"/>
        </w:rPr>
      </w:pPr>
      <w:r>
        <w:t>Potrivit art. 8 din Convenție [...].</w:t>
      </w:r>
    </w:p>
    <w:p w14:paraId="2D07ED95" w14:textId="29ECA773" w:rsidR="00AF4A60" w:rsidRPr="00DB170D" w:rsidRDefault="00AF4A60" w:rsidP="00DB170D">
      <w:pPr>
        <w:pStyle w:val="JuQuot"/>
        <w:rPr>
          <w:rFonts w:eastAsiaTheme="minorEastAsia"/>
        </w:rPr>
      </w:pPr>
      <w:r>
        <w:t xml:space="preserve">Art. 6-1 din Codul civil dispune că atât căsătoria, cât și filiația prin adopție produc aceleași efecte, drepturi și obligații recunoscute de lege, excluzând pe cele prevăzute la Titlul VII din Cartea I din cod, fie că soții sau părinții sunt de sexe diferite sau de același sex. Modalitățile de stabilire a filiației prevăzute la Titlul VII din Codul civil, precum recunoașterea ori prezumția de paternitate sau posesia de stat, nu au fost, prin urmare, permise soților de același sex, </w:t>
      </w:r>
      <w:r>
        <w:rPr>
          <w:i/>
        </w:rPr>
        <w:t>a fortiori</w:t>
      </w:r>
      <w:r>
        <w:t xml:space="preserve"> concubinilor de același sex.</w:t>
      </w:r>
    </w:p>
    <w:p w14:paraId="243228B3" w14:textId="644221B8" w:rsidR="00AF4A60" w:rsidRPr="00DB170D" w:rsidRDefault="00AF4A60" w:rsidP="00DB170D">
      <w:pPr>
        <w:pStyle w:val="JuQuot"/>
        <w:rPr>
          <w:rFonts w:eastAsiaTheme="minorEastAsia"/>
        </w:rPr>
      </w:pPr>
      <w:r>
        <w:t>Actul de notorietate reprezintă, pentru posesia de stat, o probă necontencioasă care nu are valoare decât până la proba contrarie. Contrar a ceea ce afirmă consilierul reclamantelor, aceasta este prin urmare o prezumție aplicabilă filiațiilor întemeiate pe legătura biologică și ține de statul persoanelor. Are ca scop să prevină conflictele care ar rezulta din recunoașterea unei duble legături de aceeași natură într-un sistem de înrudire bazat pe principiile alterității sexuale și al filiației biologice, reală sau simbolică, de la care nu se poate face derogare decât în cadrul căsătoriei și prin intermediul adopției.</w:t>
      </w:r>
    </w:p>
    <w:p w14:paraId="33501E04" w14:textId="53454F51" w:rsidR="00AF4A60" w:rsidRPr="00DB170D" w:rsidRDefault="00AF4A60" w:rsidP="00DB170D">
      <w:pPr>
        <w:pStyle w:val="JuQuot"/>
        <w:rPr>
          <w:rFonts w:eastAsiaTheme="minorEastAsia"/>
        </w:rPr>
      </w:pPr>
      <w:r>
        <w:t>Declarațiile și mărturiile prezentate confirmă că nașterea lui [T.G.] a fost dorită de [K.G.] și [reclamantă] în cursul relației lor de concubinaj. Nașterea a fost posibilă printr-o reproducere asistată medical cu un terț donator din străinătate. [K.G.] și [reclamanta] au crescut împreună copilul până la separarea lor petrecută în 2012, apoi au stabilit reședința alternativă.</w:t>
      </w:r>
    </w:p>
    <w:p w14:paraId="239C41C4" w14:textId="5171829A" w:rsidR="00AF4A60" w:rsidRPr="00DB170D" w:rsidRDefault="00AF4A60" w:rsidP="00DB170D">
      <w:pPr>
        <w:pStyle w:val="JuQuot"/>
        <w:rPr>
          <w:rFonts w:eastAsiaTheme="minorEastAsia"/>
        </w:rPr>
      </w:pPr>
      <w:r>
        <w:t>Filiația lui [T.G.] este pe deplin consacrată față de mama lui biologică. Nu se poate considera în ceea ce privește celelalte capete de cerere că statul și-a depășit marja de apreciere când s-a opus recunoașterii unei a doua filiații materne în beneficiul [reclamantei] ca părinte de intenție prin intermediul posesiei de stat.</w:t>
      </w:r>
    </w:p>
    <w:p w14:paraId="3C93CC87" w14:textId="1B836A8B" w:rsidR="00AF4A60" w:rsidRPr="00DB170D" w:rsidRDefault="00AF4A60" w:rsidP="00DB170D">
      <w:pPr>
        <w:pStyle w:val="JuQuot"/>
        <w:rPr>
          <w:rFonts w:eastAsiaTheme="minorEastAsia"/>
        </w:rPr>
      </w:pPr>
      <w:r>
        <w:t xml:space="preserve">Dreptul european nu impune recunoașterea unei legături de filiație în beneficiul persoanei care nu este părintele biologic al copilului și decizia </w:t>
      </w:r>
      <w:r>
        <w:rPr>
          <w:i/>
        </w:rPr>
        <w:t>Kroon și alţii împotriva Ţărilor de Jos</w:t>
      </w:r>
      <w:r>
        <w:t xml:space="preserve"> [27 octombrie 1994, (seria A nr. 297</w:t>
      </w:r>
      <w:r>
        <w:noBreakHyphen/>
        <w:t xml:space="preserve">C)], citată de reclamante, nu oferă în această privință nicio comparație relevantă, deoarece Curtea afirmă, în decizia respectivă, doar că «respectarea» vieții de familie cere ca realitatea biologică și socială </w:t>
      </w:r>
      <w:r>
        <w:lastRenderedPageBreak/>
        <w:t>să prevaleze asupra unei presupuneri legale</w:t>
      </w:r>
      <w:r w:rsidR="00466A8D">
        <w:t>”</w:t>
      </w:r>
      <w:r>
        <w:t>. Existența unei «vieți de familie» în sensul art. 8 [...] și așa cum este înțeleasă pe larg de Curte [...] este, prin urmare, pe deplin caracterizată în măsura în care persoanele în cauză pot duce o viață de familie normală caracterizată prin legături reale și strânse, dezvoltând totodată relații afective.</w:t>
      </w:r>
    </w:p>
    <w:p w14:paraId="0D1A2619" w14:textId="27C19D9D" w:rsidR="00AF4A60" w:rsidRPr="00DB170D" w:rsidRDefault="00AF4A60" w:rsidP="00DB170D">
      <w:pPr>
        <w:pStyle w:val="JuQuot"/>
        <w:rPr>
          <w:rFonts w:eastAsiaTheme="minorEastAsia"/>
        </w:rPr>
      </w:pPr>
      <w:r>
        <w:t>Rezultă din toate aceste elemente că imposibilitatea ca [reclamanta] să obțină constatarea unei posesii de stat asupra copilului [T.G.] nu indică o ingerință în dreptul la respectarea vieții private și de familie. [...] </w:t>
      </w:r>
    </w:p>
    <w:p w14:paraId="3F343266" w14:textId="275C1604" w:rsidR="00AF4A60" w:rsidRPr="00DB170D" w:rsidRDefault="00AF4A60" w:rsidP="00DB170D">
      <w:pPr>
        <w:pStyle w:val="JuQuot"/>
        <w:rPr>
          <w:rFonts w:eastAsiaTheme="minorEastAsia"/>
        </w:rPr>
      </w:pPr>
      <w:r>
        <w:t>Asupra încălcării art. 14 din Convenție:</w:t>
      </w:r>
    </w:p>
    <w:p w14:paraId="1539A2D2" w14:textId="2BD5702D" w:rsidR="00AF4A60" w:rsidRPr="00DB170D" w:rsidRDefault="00AF4A60" w:rsidP="00DB170D">
      <w:pPr>
        <w:pStyle w:val="JuQuot"/>
        <w:rPr>
          <w:rFonts w:eastAsiaTheme="minorEastAsia"/>
        </w:rPr>
      </w:pPr>
      <w:r>
        <w:t xml:space="preserve">Potrivit art. 14 din Convenție [...]. În absența unei încălcări a art. 8 din Convenție, capătul </w:t>
      </w:r>
      <w:r w:rsidR="00466A8D">
        <w:t>de cerere va fi eliminat. [...]</w:t>
      </w:r>
      <w:r>
        <w:t>”</w:t>
      </w:r>
    </w:p>
    <w:p w14:paraId="5F280012" w14:textId="77777777" w:rsidR="00AF4A60" w:rsidRPr="00DB170D" w:rsidRDefault="00AF4A60" w:rsidP="00DB170D">
      <w:pPr>
        <w:pStyle w:val="JuHHead"/>
      </w:pPr>
      <w:bookmarkStart w:id="16" w:name="_Hlk36127227"/>
      <w:r>
        <w:t>CADRUL JURIDIC ȘI PRACTICA INTERNE RELEVANTE</w:t>
      </w:r>
    </w:p>
    <w:p w14:paraId="1C978BB5" w14:textId="67BCC3B4" w:rsidR="00AF4A60" w:rsidRPr="00DB170D" w:rsidRDefault="00AF4A60" w:rsidP="00DB170D">
      <w:pPr>
        <w:pStyle w:val="JuHIRoman"/>
      </w:pPr>
      <w:r>
        <w:t>Autoritatea părintească</w:t>
      </w:r>
    </w:p>
    <w:p w14:paraId="7CD75812" w14:textId="4A37F71B" w:rsidR="00AF4A60" w:rsidRPr="00DB170D" w:rsidRDefault="00DB3F2B" w:rsidP="00DB170D">
      <w:pPr>
        <w:pStyle w:val="JuPara"/>
      </w:pPr>
      <w:r>
        <w:fldChar w:fldCharType="begin"/>
      </w:r>
      <w:r>
        <w:instrText xml:space="preserve"> SEQ level0 \*arabic \* MERGEFORMAT </w:instrText>
      </w:r>
      <w:r>
        <w:fldChar w:fldCharType="separate"/>
      </w:r>
      <w:bookmarkStart w:id="17" w:name="paragraph00026"/>
      <w:r w:rsidR="00DB170D" w:rsidRPr="00DB170D">
        <w:t>26</w:t>
      </w:r>
      <w:bookmarkEnd w:id="17"/>
      <w:r>
        <w:fldChar w:fldCharType="end"/>
      </w:r>
      <w:r w:rsidR="001968A3">
        <w:t>.</w:t>
      </w:r>
      <w:r w:rsidR="00C31016">
        <w:t xml:space="preserve"> </w:t>
      </w:r>
      <w:r w:rsidR="001968A3">
        <w:t>Dispozițiile relevante ale Codului civil sunt formulate după cum urmează:</w:t>
      </w:r>
    </w:p>
    <w:p w14:paraId="6C5AA904" w14:textId="77777777" w:rsidR="00AF4A60" w:rsidRPr="00DB170D" w:rsidRDefault="00AF4A60" w:rsidP="00DB170D">
      <w:pPr>
        <w:pStyle w:val="JuHArticle"/>
      </w:pPr>
      <w:r>
        <w:t>Art. 6-1 (în vigoare de la 19 mai 2013 până la 4 august 2021)</w:t>
      </w:r>
    </w:p>
    <w:p w14:paraId="6D12EFAB" w14:textId="24AB3C5C" w:rsidR="00AF4A60" w:rsidRPr="00DB170D" w:rsidRDefault="00AF4A60" w:rsidP="00DB170D">
      <w:pPr>
        <w:pStyle w:val="JuQuot"/>
      </w:pPr>
      <w:r>
        <w:t>„Atât căsătoria, cât și filiația prin adopție produc aceleași efecte, drepturi și obligații recunoscute de lege, excluzând pe cele prevăzute la Titlul VII din Cartea I din prezentul cod, fie că soții sau părinții sunt de sexe diferite sau de același sex.</w:t>
      </w:r>
      <w:r w:rsidR="00466A8D">
        <w:t>”</w:t>
      </w:r>
    </w:p>
    <w:p w14:paraId="0A815EA6" w14:textId="77777777" w:rsidR="00AF4A60" w:rsidRPr="00DB170D" w:rsidRDefault="00AF4A60" w:rsidP="00DB170D">
      <w:pPr>
        <w:pStyle w:val="JuHArticle"/>
      </w:pPr>
      <w:r>
        <w:t>Art. 320</w:t>
      </w:r>
    </w:p>
    <w:p w14:paraId="2018AC98" w14:textId="5FA066EF" w:rsidR="00AF4A60" w:rsidRPr="00DB170D" w:rsidRDefault="00AF4A60" w:rsidP="00DB170D">
      <w:pPr>
        <w:pStyle w:val="JuQuot"/>
      </w:pPr>
      <w:r>
        <w:t>„Atunci când nu a fost contestată în justiție, filiația stabilită legal împiedică stabilirea altei filiații care ar contrazice-o.</w:t>
      </w:r>
      <w:r w:rsidR="00466A8D">
        <w:t>”</w:t>
      </w:r>
    </w:p>
    <w:p w14:paraId="6DA21616" w14:textId="77777777" w:rsidR="00AF4A60" w:rsidRPr="00DB170D" w:rsidRDefault="00AF4A60" w:rsidP="00DB170D">
      <w:pPr>
        <w:pStyle w:val="JuHArticle"/>
      </w:pPr>
      <w:r>
        <w:t>Art. 371-1</w:t>
      </w:r>
    </w:p>
    <w:p w14:paraId="7E364625" w14:textId="6D6496E3" w:rsidR="00AF4A60" w:rsidRPr="00DB170D" w:rsidRDefault="00AF4A60" w:rsidP="00DB170D">
      <w:pPr>
        <w:pStyle w:val="JuQuot"/>
      </w:pPr>
      <w:r>
        <w:t>„Autoritatea părintească este un ansamblu de drepturi și de obligații care au ca scop interesul copilului.</w:t>
      </w:r>
    </w:p>
    <w:p w14:paraId="032DF8E6" w14:textId="3910C31D" w:rsidR="00AF4A60" w:rsidRPr="00DB170D" w:rsidRDefault="00AF4A60" w:rsidP="00DB170D">
      <w:pPr>
        <w:pStyle w:val="JuQuot"/>
      </w:pPr>
      <w:r>
        <w:t>Aceasta aparține părinților până la majoratul sau la emanciparea copilului pentru a-l proteja în securitatea, sănătatea și moralitatea sa, pentru a-i asigura educația și a-i permite dezvoltarea, cu respectarea datorată persoanei sale [...].</w:t>
      </w:r>
      <w:r w:rsidR="00466A8D">
        <w:t>”</w:t>
      </w:r>
    </w:p>
    <w:p w14:paraId="15B241FC" w14:textId="77777777" w:rsidR="00AF4A60" w:rsidRPr="00DB170D" w:rsidRDefault="00AF4A60" w:rsidP="00DB170D">
      <w:pPr>
        <w:pStyle w:val="JuHArticle"/>
      </w:pPr>
      <w:r>
        <w:t>Art. 371-4</w:t>
      </w:r>
    </w:p>
    <w:p w14:paraId="729A1D63" w14:textId="224AFECC" w:rsidR="00AF4A60" w:rsidRPr="00DB170D" w:rsidRDefault="00AF4A60" w:rsidP="00DB170D">
      <w:pPr>
        <w:pStyle w:val="JuQuot"/>
      </w:pPr>
      <w:r>
        <w:t>„Copilul are dreptul de a menține legături personale cu ascendenții săi. Numai interesul copilului poate împiedica exercitarea acestui drept.</w:t>
      </w:r>
    </w:p>
    <w:p w14:paraId="1D6662B1" w14:textId="0F06D058" w:rsidR="00AF4A60" w:rsidRPr="00DB170D" w:rsidRDefault="00AF4A60" w:rsidP="00DB170D">
      <w:pPr>
        <w:pStyle w:val="JuQuot"/>
      </w:pPr>
      <w:r>
        <w:t>Dacă acesta este interesul copilului, judecătorul delegat pentru litigii de dreptul familiei stabilește modalitățile relațiilor dintre copil și un terț, rudă sau nu, în special atât timp cât acest terț a locuit în mod stabil cu el și cu unul dintre părinții săi, i-a oferit educație, întreținere sau domiciliu, și a format cu el legături afective durabile.</w:t>
      </w:r>
      <w:r w:rsidR="00466A8D">
        <w:t>”</w:t>
      </w:r>
    </w:p>
    <w:p w14:paraId="7BE4E05C" w14:textId="77777777" w:rsidR="00AF4A60" w:rsidRPr="00DB170D" w:rsidRDefault="00AF4A60" w:rsidP="00DB170D">
      <w:pPr>
        <w:pStyle w:val="JuHArticle"/>
      </w:pPr>
      <w:r>
        <w:t>Art. 377</w:t>
      </w:r>
    </w:p>
    <w:p w14:paraId="1680353E" w14:textId="5B62B1C4" w:rsidR="00AF4A60" w:rsidRPr="00DB170D" w:rsidRDefault="00AF4A60" w:rsidP="00DB170D">
      <w:pPr>
        <w:pStyle w:val="JuQuot"/>
      </w:pPr>
      <w:r>
        <w:t xml:space="preserve">„Tatăl și mama pot sesiza instanța, împreună sau separat, atunci când este necesar, pentru a delega în întregime sau parțial exercitarea autorității lor părintești către un terț, </w:t>
      </w:r>
      <w:r>
        <w:lastRenderedPageBreak/>
        <w:t>membru al familiei, un apropiat demn de încredere, o unitate agreată pentru primirea copiilor sau serviciu departamental de asistență socială pentru copii [...]</w:t>
      </w:r>
      <w:r w:rsidR="00466A8D">
        <w:t>.”</w:t>
      </w:r>
    </w:p>
    <w:p w14:paraId="4F873CE7" w14:textId="77777777" w:rsidR="00AF4A60" w:rsidRPr="00DB170D" w:rsidRDefault="00AF4A60" w:rsidP="00DB170D">
      <w:pPr>
        <w:pStyle w:val="JuHArticle"/>
      </w:pPr>
      <w:r>
        <w:t>Art. 377-1</w:t>
      </w:r>
    </w:p>
    <w:p w14:paraId="1238384C" w14:textId="5D16930B" w:rsidR="00AF4A60" w:rsidRPr="00DB170D" w:rsidRDefault="00AF4A60" w:rsidP="00DB170D">
      <w:pPr>
        <w:pStyle w:val="JuQuot"/>
      </w:pPr>
      <w:r>
        <w:t>„Delegarea, totală sau parțială, a autorității părintești rezultă din hotărârea pronunțată de judecătorul delegat pentru litigii de dreptul familiei.</w:t>
      </w:r>
    </w:p>
    <w:p w14:paraId="11D46EF0" w14:textId="78D5A106" w:rsidR="00AF4A60" w:rsidRPr="00DB170D" w:rsidRDefault="00AF4A60" w:rsidP="00DB170D">
      <w:pPr>
        <w:pStyle w:val="JuQuot"/>
      </w:pPr>
      <w:r>
        <w:t>Totuși, hotărârea de delegare poate prevedea, pentru nevoile de educație ale copilului, că tatăl și mama, sau unul dintre ei, vor partaja, total sau parțial, exercitarea autorității părintești cu terțul împuternicit. Pentru partajare este nevoie de acordul părintelui sau al părinților ca deținători ai autorității părintești. Prezumția de la art. 372-2 este aplicabilă în privința actelor îndeplinite de delegant și persoana delegată.</w:t>
      </w:r>
    </w:p>
    <w:p w14:paraId="1DB0B0ED" w14:textId="285D2456" w:rsidR="00AF4A60" w:rsidRPr="00DB170D" w:rsidRDefault="00AF4A60" w:rsidP="00DB170D">
      <w:pPr>
        <w:pStyle w:val="JuQuot"/>
      </w:pPr>
      <w:r>
        <w:t>Judecătorul poate fi sesizat, cu privire la dificultățile pe care le poate genera exercitarea împreună a autorității părintești, de părinți, de unul dintre ei, de delegat sau de parchet. Judecătorul statuează potrivit art. 373-2-11</w:t>
      </w:r>
      <w:r w:rsidR="00466A8D">
        <w:t>.”</w:t>
      </w:r>
    </w:p>
    <w:p w14:paraId="1E802F5E" w14:textId="77777777" w:rsidR="00AF4A60" w:rsidRPr="00DB170D" w:rsidRDefault="00AF4A60" w:rsidP="00DB170D">
      <w:pPr>
        <w:pStyle w:val="JuHArticle"/>
      </w:pPr>
      <w:r>
        <w:t>Art. 377-2</w:t>
      </w:r>
    </w:p>
    <w:p w14:paraId="36A5F6A0" w14:textId="4CEF7C6C" w:rsidR="00AF4A60" w:rsidRPr="00DB170D" w:rsidRDefault="00AF4A60" w:rsidP="00DB170D">
      <w:pPr>
        <w:pStyle w:val="JuQuot"/>
      </w:pPr>
      <w:r>
        <w:t>„Delegarea poate, în toate cazurile, să se încheie sau să fie transferată printr-o nouă hotărâre, dacă circumstanțe noi o justifică [...]</w:t>
      </w:r>
      <w:r w:rsidR="00466A8D">
        <w:t>.”</w:t>
      </w:r>
    </w:p>
    <w:p w14:paraId="66C26E8F" w14:textId="48E839AA" w:rsidR="00AF4A60" w:rsidRPr="00DB170D" w:rsidRDefault="00AF4A60" w:rsidP="00DB170D">
      <w:pPr>
        <w:pStyle w:val="JuHIRoman"/>
        <w:rPr>
          <w:rFonts w:eastAsiaTheme="minorEastAsia"/>
        </w:rPr>
      </w:pPr>
      <w:bookmarkStart w:id="18" w:name="_Hlk36127236"/>
      <w:bookmarkEnd w:id="16"/>
      <w:r>
        <w:t>Adopția deplină</w:t>
      </w:r>
    </w:p>
    <w:p w14:paraId="4C184116" w14:textId="5195DD5B"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27</w:t>
      </w:r>
      <w:r w:rsidRPr="00DB170D">
        <w:rPr>
          <w:rFonts w:eastAsiaTheme="minorEastAsia"/>
        </w:rPr>
        <w:fldChar w:fldCharType="end"/>
      </w:r>
      <w:r>
        <w:t>.</w:t>
      </w:r>
      <w:r w:rsidR="00C31016">
        <w:t xml:space="preserve"> </w:t>
      </w:r>
      <w:r>
        <w:t>Dispozițiile relevante ale Codului civil sunt formulate după cum urmează:</w:t>
      </w:r>
    </w:p>
    <w:p w14:paraId="5985BA5D" w14:textId="77777777" w:rsidR="00AF4A60" w:rsidRPr="00DB170D" w:rsidRDefault="00AF4A60" w:rsidP="00DB170D">
      <w:pPr>
        <w:pStyle w:val="JuHArticle"/>
      </w:pPr>
      <w:r>
        <w:t>Art. 343-1</w:t>
      </w:r>
    </w:p>
    <w:p w14:paraId="7A4B65A9" w14:textId="61E80EF0" w:rsidR="00AF4A60" w:rsidRPr="00DB170D" w:rsidRDefault="00AF4A60" w:rsidP="00DB170D">
      <w:pPr>
        <w:pStyle w:val="JuQuot"/>
        <w:rPr>
          <w:rFonts w:eastAsiaTheme="minorEastAsia"/>
        </w:rPr>
      </w:pPr>
      <w:r>
        <w:t>„Adopția poate fi astfel cerută de orice persoană în vârstă de peste 28 de ani.</w:t>
      </w:r>
    </w:p>
    <w:p w14:paraId="39880978" w14:textId="1467B080" w:rsidR="00AF4A60" w:rsidRPr="00DB170D" w:rsidRDefault="00AF4A60" w:rsidP="00DB170D">
      <w:pPr>
        <w:pStyle w:val="JuQuot"/>
        <w:rPr>
          <w:rFonts w:eastAsiaTheme="minorEastAsia"/>
        </w:rPr>
      </w:pPr>
      <w:r>
        <w:t>Dacă persoana care adoptă este căsătorită și nu separată legal, consimțământul soțului este necesar în afara situației în care acest soț este în imposibilitatea de a-și manifesta voința.</w:t>
      </w:r>
      <w:r w:rsidR="00466A8D">
        <w:t>”</w:t>
      </w:r>
    </w:p>
    <w:p w14:paraId="32E00AD9" w14:textId="77777777" w:rsidR="00AF4A60" w:rsidRPr="00DB170D" w:rsidRDefault="00AF4A60" w:rsidP="00DB170D">
      <w:pPr>
        <w:pStyle w:val="JuHArticle"/>
      </w:pPr>
      <w:r>
        <w:t>Art. 345</w:t>
      </w:r>
    </w:p>
    <w:p w14:paraId="580D00E5" w14:textId="5BBE83D0" w:rsidR="00AF4A60" w:rsidRPr="00DB170D" w:rsidRDefault="00AF4A60" w:rsidP="00DB170D">
      <w:pPr>
        <w:pStyle w:val="JuQuot"/>
        <w:rPr>
          <w:rFonts w:eastAsiaTheme="minorEastAsia"/>
        </w:rPr>
      </w:pPr>
      <w:r>
        <w:t>„Adopția este permisă numai pentru copiii mai mici de 15 ani, găzduiți în casa celui sau a celor care adoptă de cel puțin șase luni.</w:t>
      </w:r>
    </w:p>
    <w:p w14:paraId="05E837C6" w14:textId="241B41CA" w:rsidR="00AF4A60" w:rsidRPr="00DB170D" w:rsidRDefault="00AF4A60" w:rsidP="00DB170D">
      <w:pPr>
        <w:pStyle w:val="JuQuot"/>
      </w:pPr>
      <w:r>
        <w:t>Cu toate acestea, dacă copilul este mai mare de 15 ani și a fost găzduit înainte de a ajunge la această vârstă de către persoane care nu îndeplineau condițiile legale pentru a adopta sau dacă a făcut obiectul adopției cu efecte restrânse înainte de a ajunge la această vârstă, adopția deplină poate fi cerută dacă sunt îndeplinite condițiile în timpul minorității copilului și în termen de doi ani de la vârsta majoratului.</w:t>
      </w:r>
    </w:p>
    <w:p w14:paraId="38B04D98" w14:textId="14946957" w:rsidR="00AF4A60" w:rsidRPr="00DB170D" w:rsidRDefault="00AF4A60" w:rsidP="00DB170D">
      <w:pPr>
        <w:pStyle w:val="JuQuot"/>
      </w:pPr>
      <w:r>
        <w:t>În cazul în care este în vârstă de peste 13 ani, cel adoptat trebuie să consimtă personal la adopția sa deplină. Consimțământul este dat conform formelor prevăzute la primul paragraf al art. 348-3. Poate fi retractat în orice moment până la pronunțarea adopției.</w:t>
      </w:r>
      <w:r w:rsidR="00466A8D">
        <w:t>”</w:t>
      </w:r>
    </w:p>
    <w:p w14:paraId="5E9D8F91" w14:textId="77777777" w:rsidR="00AF4A60" w:rsidRPr="00DB170D" w:rsidRDefault="00AF4A60" w:rsidP="00DB170D">
      <w:pPr>
        <w:pStyle w:val="JuHArticle"/>
      </w:pPr>
      <w:r>
        <w:t>Art. 345-1</w:t>
      </w:r>
    </w:p>
    <w:p w14:paraId="5D99953A" w14:textId="5D525C2A" w:rsidR="00AF4A60" w:rsidRPr="00DB170D" w:rsidRDefault="00AF4A60" w:rsidP="00DB170D">
      <w:pPr>
        <w:pStyle w:val="JuQuot"/>
        <w:rPr>
          <w:rFonts w:eastAsia="Times New Roman"/>
        </w:rPr>
      </w:pPr>
      <w:r>
        <w:t>„Adopția deplină a copilului celuilalt soț este permisă:</w:t>
      </w:r>
    </w:p>
    <w:p w14:paraId="67FEACF5" w14:textId="4FE366B2" w:rsidR="00AF4A60" w:rsidRPr="00DB170D" w:rsidRDefault="00AF4A60" w:rsidP="00DB170D">
      <w:pPr>
        <w:pStyle w:val="JuQuot"/>
        <w:rPr>
          <w:rFonts w:eastAsia="Times New Roman"/>
        </w:rPr>
      </w:pPr>
      <w:r>
        <w:lastRenderedPageBreak/>
        <w:t>1</w:t>
      </w:r>
      <w:r>
        <w:rPr>
          <w:vertAlign w:val="superscript"/>
        </w:rPr>
        <w:t>o</w:t>
      </w:r>
      <w:r>
        <w:t xml:space="preserve"> În cazul în care filiația copilului nu a fost legal stabilită decât în privința acestui soț;</w:t>
      </w:r>
    </w:p>
    <w:p w14:paraId="303E1982" w14:textId="70786DA1" w:rsidR="00AF4A60" w:rsidRPr="00DB170D" w:rsidRDefault="00AF4A60" w:rsidP="00DB170D">
      <w:pPr>
        <w:pStyle w:val="JuQuot"/>
        <w:rPr>
          <w:rFonts w:eastAsia="Times New Roman"/>
        </w:rPr>
      </w:pPr>
      <w:r>
        <w:t>1</w:t>
      </w:r>
      <w:r>
        <w:rPr>
          <w:vertAlign w:val="superscript"/>
        </w:rPr>
        <w:t>o</w:t>
      </w:r>
      <w:r>
        <w:t xml:space="preserve"> bis În cazul în care copilul a făcut obiectul unei adopții depline doar de către acest soț și filiația nu a fost stabilită decât în privința sa;</w:t>
      </w:r>
    </w:p>
    <w:p w14:paraId="59655649" w14:textId="51248CEF" w:rsidR="00AF4A60" w:rsidRPr="00DB170D" w:rsidRDefault="00AF4A60" w:rsidP="00DB170D">
      <w:pPr>
        <w:pStyle w:val="JuQuot"/>
        <w:rPr>
          <w:rFonts w:eastAsia="Times New Roman"/>
        </w:rPr>
      </w:pPr>
      <w:r>
        <w:t>2</w:t>
      </w:r>
      <w:r>
        <w:rPr>
          <w:vertAlign w:val="superscript"/>
        </w:rPr>
        <w:t>o</w:t>
      </w:r>
      <w:r>
        <w:t xml:space="preserve"> În cazul în care celuilalt părinte, diferit de acest soț, i s-a retras în întregime autoritatea părintească;</w:t>
      </w:r>
    </w:p>
    <w:p w14:paraId="1FAC01FE" w14:textId="55E2188B" w:rsidR="00AF4A60" w:rsidRPr="00DB170D" w:rsidRDefault="00AF4A60" w:rsidP="00DB170D">
      <w:pPr>
        <w:pStyle w:val="JuQuot"/>
        <w:rPr>
          <w:rFonts w:eastAsia="Times New Roman"/>
        </w:rPr>
      </w:pPr>
      <w:r>
        <w:t>3</w:t>
      </w:r>
      <w:r>
        <w:rPr>
          <w:vertAlign w:val="superscript"/>
        </w:rPr>
        <w:t>o</w:t>
      </w:r>
      <w:r>
        <w:t xml:space="preserve"> Atunci când celălalt părinte decât soțul a decedat și nu a lăsat ascendenți în gradul I sau când aceștia s-au dezinteresat în mod vădit de copil.</w:t>
      </w:r>
      <w:r w:rsidR="00466A8D">
        <w:t>”</w:t>
      </w:r>
    </w:p>
    <w:p w14:paraId="24D52E17" w14:textId="77777777" w:rsidR="00AF4A60" w:rsidRPr="00DB170D" w:rsidRDefault="00AF4A60" w:rsidP="00DB170D">
      <w:pPr>
        <w:pStyle w:val="JuHArticle"/>
      </w:pPr>
      <w:r>
        <w:t>Art. 347</w:t>
      </w:r>
    </w:p>
    <w:p w14:paraId="2155E067" w14:textId="77777777" w:rsidR="00AF4A60" w:rsidRPr="00DB170D" w:rsidRDefault="00AF4A60" w:rsidP="00DB170D">
      <w:pPr>
        <w:pStyle w:val="JuQuot"/>
        <w:rPr>
          <w:rFonts w:eastAsiaTheme="minorEastAsia"/>
        </w:rPr>
      </w:pPr>
      <w:r>
        <w:t>„Pot fi adoptați:</w:t>
      </w:r>
    </w:p>
    <w:p w14:paraId="768EA429" w14:textId="415C13BA" w:rsidR="00AF4A60" w:rsidRPr="00DB170D" w:rsidRDefault="00AF4A60" w:rsidP="00DB170D">
      <w:pPr>
        <w:pStyle w:val="JuQuot"/>
        <w:rPr>
          <w:rFonts w:eastAsiaTheme="minorEastAsia"/>
        </w:rPr>
      </w:pPr>
      <w:r>
        <w:t>1</w:t>
      </w:r>
      <w:r>
        <w:rPr>
          <w:vertAlign w:val="superscript"/>
        </w:rPr>
        <w:t>o</w:t>
      </w:r>
      <w:r>
        <w:t xml:space="preserve"> Copiii pentru care tatăl și mama sau consiliul de familie au consimțit în mod valabil pentru adopție;</w:t>
      </w:r>
    </w:p>
    <w:p w14:paraId="593CA371" w14:textId="7A7F2708" w:rsidR="00AF4A60" w:rsidRPr="00DB170D" w:rsidRDefault="00AF4A60" w:rsidP="00DB170D">
      <w:pPr>
        <w:pStyle w:val="JuQuot"/>
        <w:rPr>
          <w:rFonts w:eastAsiaTheme="minorEastAsia"/>
        </w:rPr>
      </w:pPr>
      <w:r>
        <w:t>2</w:t>
      </w:r>
      <w:r>
        <w:rPr>
          <w:vertAlign w:val="superscript"/>
        </w:rPr>
        <w:t>o</w:t>
      </w:r>
      <w:r>
        <w:t xml:space="preserve"> Copiii aflați în grija statului;</w:t>
      </w:r>
    </w:p>
    <w:p w14:paraId="06570B48" w14:textId="386C82A8" w:rsidR="00AF4A60" w:rsidRPr="00DB170D" w:rsidRDefault="00AF4A60" w:rsidP="00DB170D">
      <w:pPr>
        <w:pStyle w:val="JuQuot"/>
        <w:rPr>
          <w:rFonts w:eastAsiaTheme="minorEastAsia"/>
        </w:rPr>
      </w:pPr>
      <w:r>
        <w:t>3</w:t>
      </w:r>
      <w:r>
        <w:rPr>
          <w:vertAlign w:val="superscript"/>
        </w:rPr>
        <w:t>o</w:t>
      </w:r>
      <w:r>
        <w:t xml:space="preserve"> Copiii declarați abandonați în condițiile prevăzute la art. 381-1 și 381-2.</w:t>
      </w:r>
      <w:r w:rsidR="00466A8D">
        <w:t>”</w:t>
      </w:r>
    </w:p>
    <w:p w14:paraId="54588BD7" w14:textId="77777777" w:rsidR="00AF4A60" w:rsidRPr="00DB170D" w:rsidRDefault="00AF4A60" w:rsidP="00DB170D">
      <w:pPr>
        <w:pStyle w:val="JuHArticle"/>
      </w:pPr>
      <w:r>
        <w:t>Art. 348-1</w:t>
      </w:r>
    </w:p>
    <w:p w14:paraId="63F9AA45" w14:textId="02C10BB0" w:rsidR="00AF4A60" w:rsidRPr="00DB170D" w:rsidRDefault="00AF4A60" w:rsidP="00DB170D">
      <w:pPr>
        <w:pStyle w:val="JuQuot"/>
        <w:rPr>
          <w:rFonts w:eastAsiaTheme="minorEastAsia"/>
        </w:rPr>
      </w:pPr>
      <w:r>
        <w:t>„În cazul în care filiația unui copil nu este stabilită decât cu privire la unul dintre părinții săi, acesta consimte la adopție.</w:t>
      </w:r>
      <w:r w:rsidR="00466A8D">
        <w:t>”</w:t>
      </w:r>
    </w:p>
    <w:p w14:paraId="7C05F9DF" w14:textId="77777777" w:rsidR="00AF4A60" w:rsidRPr="00DB170D" w:rsidRDefault="00AF4A60" w:rsidP="00DB170D">
      <w:pPr>
        <w:pStyle w:val="JuHArticle"/>
      </w:pPr>
      <w:r>
        <w:t>Art. 348-3</w:t>
      </w:r>
    </w:p>
    <w:p w14:paraId="0C4FD3EE" w14:textId="36DFA7C0" w:rsidR="00AF4A60" w:rsidRPr="00DB170D" w:rsidRDefault="00AF4A60" w:rsidP="00DB170D">
      <w:pPr>
        <w:pStyle w:val="JuQuot"/>
        <w:rPr>
          <w:rFonts w:eastAsiaTheme="minorEastAsia"/>
        </w:rPr>
      </w:pPr>
      <w:r>
        <w:t>„Consimțământul pentru adopție este dat în fața unui notar francez sau străin, ori în fața reprezentanților diplomatici sau consulari francezi. Poate fi primit, de asemenea, de serviciul de asistență socială pentru copii atunci când copilul i-a fost predat.</w:t>
      </w:r>
    </w:p>
    <w:p w14:paraId="6D8204EF" w14:textId="6EBDC13C" w:rsidR="00AF4A60" w:rsidRPr="00DB170D" w:rsidRDefault="00AF4A60" w:rsidP="00DB170D">
      <w:pPr>
        <w:pStyle w:val="JuQuot"/>
        <w:rPr>
          <w:rFonts w:eastAsiaTheme="minorEastAsia"/>
        </w:rPr>
      </w:pPr>
      <w:r>
        <w:t>Consimțământul pentru adopție poate fi retractat timp de 2 luni. Retractarea trebuie făcută prin scrisoare recomandată cu confirmare de primire adresată persoanei sau serviciului care a primit consimțământul pentru adopție. Predarea copilului către părinții săi la cerere chiar verbală reprezintă, de asemenea, dovada retractării.</w:t>
      </w:r>
    </w:p>
    <w:p w14:paraId="30043CDC" w14:textId="2B666070" w:rsidR="00AF4A60" w:rsidRPr="00DB170D" w:rsidRDefault="00AF4A60" w:rsidP="00DB170D">
      <w:pPr>
        <w:pStyle w:val="JuQuot"/>
        <w:rPr>
          <w:rFonts w:eastAsiaTheme="minorEastAsia"/>
        </w:rPr>
      </w:pPr>
      <w:r>
        <w:t>În cazul în care, la expirarea termenului de 2 luni, consimțământul nu a fost retractat, părinții pot solicita înapoierea copilului cu condiția ca acesta să nu fi fost plasat în vederea adoptării. În cazul în care persoana care îl are în grijă refuză să îl înapoieze, părinții pot sesiza instanța care evaluează, ținând seama de interesul copilului, dacă este necesar să dispună înapoierea acestuia. Consimțământul pentru adopție devine caduc prin înapoierea copilului.</w:t>
      </w:r>
      <w:r w:rsidR="00466A8D">
        <w:t>”</w:t>
      </w:r>
    </w:p>
    <w:p w14:paraId="2D9F9D76" w14:textId="77777777" w:rsidR="00AF4A60" w:rsidRPr="00DB170D" w:rsidRDefault="00AF4A60" w:rsidP="00DB170D">
      <w:pPr>
        <w:pStyle w:val="JuHArticle"/>
      </w:pPr>
      <w:r>
        <w:t>Art. 356</w:t>
      </w:r>
    </w:p>
    <w:p w14:paraId="5F689407" w14:textId="670E3D3A" w:rsidR="00AF4A60" w:rsidRPr="00DB170D" w:rsidRDefault="00AF4A60" w:rsidP="00DB170D">
      <w:pPr>
        <w:pStyle w:val="JuQuot"/>
        <w:rPr>
          <w:rFonts w:eastAsiaTheme="minorEastAsia"/>
        </w:rPr>
      </w:pPr>
      <w:r>
        <w:t>„Adopția conferă copilului o filiație care înlocuiește filiația sa de origine: cel adoptat încetează să aparțină familiei sale biologice, sub rezerva interdicțiilor privind căsătoria de la art. 161-164.</w:t>
      </w:r>
    </w:p>
    <w:p w14:paraId="4A03BA6B" w14:textId="2282EE9B" w:rsidR="00AF4A60" w:rsidRPr="00DB170D" w:rsidRDefault="00AF4A60" w:rsidP="00DB170D">
      <w:pPr>
        <w:pStyle w:val="JuQuot"/>
        <w:rPr>
          <w:rFonts w:eastAsiaTheme="minorEastAsia"/>
        </w:rPr>
      </w:pPr>
      <w:r>
        <w:t>Adopția copilului soțului face totuși să subziste filiația sa de origine în privința acestui soț și a familiei sale. Produce, în rest, efectele unei adopții de către doi soți.</w:t>
      </w:r>
      <w:r w:rsidR="00466A8D">
        <w:t>”</w:t>
      </w:r>
    </w:p>
    <w:p w14:paraId="0C13679A" w14:textId="77777777" w:rsidR="00AF4A60" w:rsidRPr="00DB170D" w:rsidRDefault="00AF4A60" w:rsidP="00DB170D">
      <w:pPr>
        <w:pStyle w:val="JuHArticle"/>
      </w:pPr>
      <w:r>
        <w:t>Art. 357</w:t>
      </w:r>
    </w:p>
    <w:p w14:paraId="5F7A326B" w14:textId="7A937CFF" w:rsidR="00AF4A60" w:rsidRPr="00DB170D" w:rsidRDefault="00AF4A60" w:rsidP="00DB170D">
      <w:pPr>
        <w:pStyle w:val="JuQuot"/>
        <w:rPr>
          <w:rFonts w:eastAsiaTheme="minorEastAsia"/>
        </w:rPr>
      </w:pPr>
      <w:r>
        <w:t>„Adopția</w:t>
      </w:r>
      <w:r w:rsidR="00C31016">
        <w:t xml:space="preserve"> </w:t>
      </w:r>
      <w:r>
        <w:t>oferă copilului numele celui care adoptă.</w:t>
      </w:r>
    </w:p>
    <w:p w14:paraId="6DED2AE7" w14:textId="240523DF" w:rsidR="00AF4A60" w:rsidRPr="00DB170D" w:rsidRDefault="00AF4A60" w:rsidP="00DB170D">
      <w:pPr>
        <w:pStyle w:val="JuQuot"/>
        <w:rPr>
          <w:rFonts w:eastAsiaTheme="minorEastAsia"/>
        </w:rPr>
      </w:pPr>
      <w:r>
        <w:lastRenderedPageBreak/>
        <w:t>În cazul adopției copilului soțului sau al adopției unui copil de către doi soți, cel care adoptă și soțul său sau cei care adoptă aleg, prin declarație comună, numele de familie acordat copilului: fie numele unuia dintre ei, fie ambele lor nume legate în ordinea aleasă de ei, în limita unui nume de familie pentru fiecare dintre aceștia. [...]</w:t>
      </w:r>
      <w:r w:rsidR="00466A8D">
        <w:t>”</w:t>
      </w:r>
    </w:p>
    <w:p w14:paraId="3E93DFAC" w14:textId="77777777" w:rsidR="00AF4A60" w:rsidRPr="00DB170D" w:rsidRDefault="00AF4A60" w:rsidP="00DB170D">
      <w:pPr>
        <w:pStyle w:val="JuHArticle"/>
      </w:pPr>
      <w:r>
        <w:t>Art. 358</w:t>
      </w:r>
    </w:p>
    <w:p w14:paraId="49F897C9" w14:textId="0489FEB2" w:rsidR="00AF4A60" w:rsidRPr="00DB170D" w:rsidRDefault="00AF4A60" w:rsidP="00DB170D">
      <w:pPr>
        <w:pStyle w:val="JuQuot"/>
        <w:rPr>
          <w:rFonts w:eastAsiaTheme="minorEastAsia"/>
        </w:rPr>
      </w:pPr>
      <w:r>
        <w:t>„Cel adoptat are, în familia celui care adoptă, aceleași drepturi și aceleași obligații ca un copil a cărui filiație este stabilită prin aplicarea Titlului VII din prezenta carte.</w:t>
      </w:r>
      <w:r w:rsidR="00466A8D">
        <w:t>”</w:t>
      </w:r>
    </w:p>
    <w:p w14:paraId="60E3CCBD" w14:textId="77777777" w:rsidR="00AF4A60" w:rsidRPr="00DB170D" w:rsidRDefault="00AF4A60" w:rsidP="00DB170D">
      <w:pPr>
        <w:pStyle w:val="JuHArticle"/>
      </w:pPr>
      <w:r>
        <w:t>Art. 359</w:t>
      </w:r>
    </w:p>
    <w:p w14:paraId="1E325CE2" w14:textId="44AF370B" w:rsidR="00AF4A60" w:rsidRPr="00DB170D" w:rsidRDefault="00AF4A60" w:rsidP="00DB170D">
      <w:pPr>
        <w:pStyle w:val="JuQuot"/>
        <w:rPr>
          <w:rFonts w:eastAsiaTheme="minorEastAsia"/>
        </w:rPr>
      </w:pPr>
      <w:r>
        <w:t>„Adopția este irevocabilă.</w:t>
      </w:r>
      <w:r w:rsidR="00466A8D">
        <w:t>”</w:t>
      </w:r>
    </w:p>
    <w:p w14:paraId="0D220500" w14:textId="4C0C7C8E" w:rsidR="00AF4A60" w:rsidRPr="00DB170D" w:rsidRDefault="00AF4A60" w:rsidP="00DB170D">
      <w:pPr>
        <w:pStyle w:val="JuHIRoman"/>
        <w:rPr>
          <w:rFonts w:eastAsiaTheme="minorEastAsia"/>
        </w:rPr>
      </w:pPr>
      <w:r>
        <w:t>Adopția simplă</w:t>
      </w:r>
    </w:p>
    <w:p w14:paraId="6D267BA2" w14:textId="397A96FE"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28</w:t>
      </w:r>
      <w:r w:rsidRPr="00DB170D">
        <w:rPr>
          <w:rFonts w:eastAsiaTheme="minorEastAsia"/>
        </w:rPr>
        <w:fldChar w:fldCharType="end"/>
      </w:r>
      <w:r>
        <w:t>.</w:t>
      </w:r>
      <w:r w:rsidR="00C31016">
        <w:t xml:space="preserve"> </w:t>
      </w:r>
      <w:r>
        <w:t>Dispozițiile relevante ale Codului civil sunt formulate după cum urmează:</w:t>
      </w:r>
    </w:p>
    <w:p w14:paraId="7861DD40" w14:textId="77777777" w:rsidR="00AF4A60" w:rsidRPr="00DB170D" w:rsidRDefault="00AF4A60" w:rsidP="00DB170D">
      <w:pPr>
        <w:pStyle w:val="JuHArticle"/>
      </w:pPr>
      <w:r>
        <w:t>Art. 360</w:t>
      </w:r>
    </w:p>
    <w:p w14:paraId="5D71D390" w14:textId="13CFE290" w:rsidR="00AF4A60" w:rsidRPr="00DB170D" w:rsidRDefault="00AF4A60" w:rsidP="00DB170D">
      <w:pPr>
        <w:pStyle w:val="JuQuot"/>
        <w:rPr>
          <w:rFonts w:eastAsiaTheme="minorEastAsia"/>
        </w:rPr>
      </w:pPr>
      <w:r>
        <w:t>„Adopția simplă este permisă indiferent de vârsta celui adoptat.</w:t>
      </w:r>
    </w:p>
    <w:p w14:paraId="72CE2A21" w14:textId="77777777" w:rsidR="00AF4A60" w:rsidRPr="00DB170D" w:rsidRDefault="00AF4A60" w:rsidP="00DB170D">
      <w:pPr>
        <w:pStyle w:val="JuQuot"/>
        <w:rPr>
          <w:rFonts w:eastAsiaTheme="minorEastAsia"/>
        </w:rPr>
      </w:pPr>
      <w:r>
        <w:t>[...]</w:t>
      </w:r>
    </w:p>
    <w:p w14:paraId="6A3326A0" w14:textId="662DCFCB" w:rsidR="00AF4A60" w:rsidRPr="00DB170D" w:rsidRDefault="00AF4A60" w:rsidP="00DB170D">
      <w:pPr>
        <w:pStyle w:val="JuQuot"/>
        <w:rPr>
          <w:rFonts w:eastAsiaTheme="minorEastAsia"/>
        </w:rPr>
      </w:pPr>
      <w:r>
        <w:t>În cazul în care cel adoptat are vârsta de peste 13 ani, acesta trebuie să consimtă personal pentru adopție.</w:t>
      </w:r>
      <w:r w:rsidR="00466A8D">
        <w:t>”</w:t>
      </w:r>
    </w:p>
    <w:p w14:paraId="475DC508" w14:textId="77777777" w:rsidR="00AF4A60" w:rsidRPr="00DB170D" w:rsidRDefault="00AF4A60" w:rsidP="00DB170D">
      <w:pPr>
        <w:pStyle w:val="JuHArticle"/>
      </w:pPr>
      <w:r>
        <w:t>Art. 361</w:t>
      </w:r>
    </w:p>
    <w:p w14:paraId="735C95E0" w14:textId="6813E86A" w:rsidR="00AF4A60" w:rsidRPr="00DB170D" w:rsidRDefault="00AF4A60" w:rsidP="00DB170D">
      <w:pPr>
        <w:pStyle w:val="JuQuot"/>
        <w:rPr>
          <w:rFonts w:eastAsiaTheme="minorEastAsia"/>
        </w:rPr>
      </w:pPr>
      <w:r>
        <w:t>„Dispozițiile art. 343-344, ale ultimului alineat al art. 345, ale art. 346-350, 353, 353-1, 353-2, 355 și ale ultimului alineat al art. 357 sunt aplicabile adopției simple.</w:t>
      </w:r>
      <w:r w:rsidR="00466A8D">
        <w:t>”</w:t>
      </w:r>
    </w:p>
    <w:p w14:paraId="41EEA7A3" w14:textId="77777777" w:rsidR="00AF4A60" w:rsidRPr="00DB170D" w:rsidRDefault="00AF4A60" w:rsidP="00DB170D">
      <w:pPr>
        <w:pStyle w:val="JuHArticle"/>
      </w:pPr>
      <w:r>
        <w:t>Art. 363</w:t>
      </w:r>
    </w:p>
    <w:p w14:paraId="7BA1FC64" w14:textId="3C6C8435" w:rsidR="00AF4A60" w:rsidRPr="00DB170D" w:rsidRDefault="00AF4A60" w:rsidP="00DB170D">
      <w:pPr>
        <w:pStyle w:val="JuQuot"/>
        <w:rPr>
          <w:rFonts w:eastAsiaTheme="minorEastAsia"/>
        </w:rPr>
      </w:pPr>
      <w:r>
        <w:t>„Adopția simplă conferă celui adoptat numele celui care adoptă prin adăugare la numele primului. [...]</w:t>
      </w:r>
      <w:r w:rsidR="00466A8D">
        <w:t>”</w:t>
      </w:r>
    </w:p>
    <w:p w14:paraId="105C82EA" w14:textId="77777777" w:rsidR="00AF4A60" w:rsidRPr="00DB170D" w:rsidRDefault="00AF4A60" w:rsidP="00DB170D">
      <w:pPr>
        <w:pStyle w:val="JuHArticle"/>
      </w:pPr>
      <w:r>
        <w:t>Art. 364</w:t>
      </w:r>
    </w:p>
    <w:p w14:paraId="481704C7" w14:textId="4A44D723" w:rsidR="00AF4A60" w:rsidRPr="00DB170D" w:rsidRDefault="00AF4A60" w:rsidP="00DB170D">
      <w:pPr>
        <w:pStyle w:val="JuQuot"/>
        <w:rPr>
          <w:rFonts w:eastAsiaTheme="minorEastAsia"/>
        </w:rPr>
      </w:pPr>
      <w:r>
        <w:t>„Cel adoptat rămâne în familia sa de origine și își păstrează toate drepturile, mai cu seamă drepturile de moștenire.</w:t>
      </w:r>
    </w:p>
    <w:p w14:paraId="361F21DB" w14:textId="13AF7EA7" w:rsidR="00AF4A60" w:rsidRPr="00DB170D" w:rsidRDefault="00AF4A60" w:rsidP="00DB170D">
      <w:pPr>
        <w:pStyle w:val="JuQuot"/>
        <w:rPr>
          <w:rFonts w:eastAsiaTheme="minorEastAsia"/>
        </w:rPr>
      </w:pPr>
      <w:r>
        <w:t>Interdicțiile privind căsătoria prevăzute la art. 161-164 din prezentul cod se aplică între cel adoptat și familia sa de origine.</w:t>
      </w:r>
      <w:r w:rsidR="00466A8D">
        <w:t>”</w:t>
      </w:r>
    </w:p>
    <w:p w14:paraId="6362A70C" w14:textId="77777777" w:rsidR="00AF4A60" w:rsidRPr="00DB170D" w:rsidRDefault="00AF4A60" w:rsidP="00DB170D">
      <w:pPr>
        <w:pStyle w:val="JuHArticle"/>
      </w:pPr>
      <w:r>
        <w:t>Art. 365</w:t>
      </w:r>
    </w:p>
    <w:p w14:paraId="5AAF650E" w14:textId="745CE608" w:rsidR="00AF4A60" w:rsidRPr="00DB170D" w:rsidRDefault="00AF4A60" w:rsidP="00DB170D">
      <w:pPr>
        <w:pStyle w:val="JuQuot"/>
        <w:rPr>
          <w:rFonts w:eastAsiaTheme="minorEastAsia"/>
        </w:rPr>
      </w:pPr>
      <w:bookmarkStart w:id="19" w:name="_Hlk87456098"/>
      <w:r>
        <w:t>„Cel ce adoptă este singurul învestit, față de cel adoptat, cu toate drepturile părintești [...] cu excepția cazului în care acesta este soțul tatălui sau al mamei celui adoptat; în acest caz, cel care adoptă deține autoritatea părintească împreună cu soțul său, care păstrează numai exercitarea, sub rezerva unei declarații comune cu cel care adoptă adresată directorului serviciului judiciar de grefă al tribunalului de mare instanță în scopul exercitării în comun a acestei autorități [...]</w:t>
      </w:r>
      <w:bookmarkEnd w:id="19"/>
      <w:r>
        <w:t>.</w:t>
      </w:r>
      <w:r w:rsidR="00466A8D">
        <w:t>”</w:t>
      </w:r>
    </w:p>
    <w:p w14:paraId="15C4A0EE" w14:textId="77777777" w:rsidR="00AF4A60" w:rsidRPr="00DB170D" w:rsidRDefault="00AF4A60" w:rsidP="00DB170D">
      <w:pPr>
        <w:pStyle w:val="JuHArticle"/>
      </w:pPr>
      <w:r>
        <w:lastRenderedPageBreak/>
        <w:t>Art. 368</w:t>
      </w:r>
    </w:p>
    <w:p w14:paraId="335E91F2" w14:textId="6D6E10A2" w:rsidR="00AF4A60" w:rsidRPr="00DB170D" w:rsidRDefault="00AF4A60" w:rsidP="00DB170D">
      <w:pPr>
        <w:pStyle w:val="JuQuot"/>
        <w:rPr>
          <w:rFonts w:eastAsiaTheme="minorEastAsia"/>
        </w:rPr>
      </w:pPr>
      <w:r>
        <w:t>„Cel adoptat și descendenții săi au, în familia celui care adoptă, drepturile succesorale prevăzute în Capitolul III de la Titlul I din Cartea III.</w:t>
      </w:r>
    </w:p>
    <w:p w14:paraId="4E11AF54" w14:textId="16B76E30" w:rsidR="00AF4A60" w:rsidRPr="00DB170D" w:rsidRDefault="00AF4A60" w:rsidP="00DB170D">
      <w:pPr>
        <w:pStyle w:val="JuQuot"/>
        <w:rPr>
          <w:rFonts w:eastAsiaTheme="minorEastAsia"/>
        </w:rPr>
      </w:pPr>
      <w:r>
        <w:t>Cel adoptat și descendenții săi nu au, totuși, calitatea de moștenitor rezervatar în raport cu ascendenții celui care adoptă.</w:t>
      </w:r>
      <w:r w:rsidR="00466A8D">
        <w:t>”</w:t>
      </w:r>
    </w:p>
    <w:p w14:paraId="26D0D76E" w14:textId="69D6E343" w:rsidR="00AF4A60" w:rsidRPr="00DB170D" w:rsidRDefault="00AF4A60" w:rsidP="00DB170D">
      <w:pPr>
        <w:pStyle w:val="JuPara"/>
        <w:rPr>
          <w:rFonts w:asciiTheme="majorHAnsi" w:eastAsiaTheme="minorEastAsia" w:hAnsiTheme="majorHAnsi" w:cstheme="majorBidi"/>
          <w:szCs w:val="26"/>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29</w:t>
      </w:r>
      <w:r w:rsidRPr="00DB170D">
        <w:rPr>
          <w:rFonts w:eastAsiaTheme="minorEastAsia"/>
        </w:rPr>
        <w:fldChar w:fldCharType="end"/>
      </w:r>
      <w:r>
        <w:t>.</w:t>
      </w:r>
      <w:r w:rsidR="00C31016">
        <w:t xml:space="preserve"> </w:t>
      </w:r>
      <w:r>
        <w:t>Jurisprudența Curții de Casație este bine stabilită în sensul că, fiind vorba de un copil minor, nu se poate admite o cerere de adopție simplă formulată de partenera mamei sale biologice, chiar cu consimțământul acesteia din urmă, întrucât înțelege să continue creșterea copilului în măsura în care această adopție efectuează un transfer al drepturilor autorității părintești asupra copilului doar în beneficiul celui care adoptă, privând astfel mama biologică de propriile drepturi (Cass. 1 civ., 20 februarie 2007, hotărârile nr. 224 și 221, Buletinul civil 2007 I nr. 70 și 71).</w:t>
      </w:r>
    </w:p>
    <w:p w14:paraId="34E54F28" w14:textId="670EFCD9" w:rsidR="00AF4A60" w:rsidRPr="00DB170D" w:rsidRDefault="00AF4A60" w:rsidP="00DB170D">
      <w:pPr>
        <w:pStyle w:val="JuHIRoman"/>
        <w:rPr>
          <w:rFonts w:eastAsiaTheme="minorEastAsia"/>
        </w:rPr>
      </w:pPr>
      <w:r>
        <w:t>Posesia de stat</w:t>
      </w:r>
    </w:p>
    <w:p w14:paraId="5C1A9436" w14:textId="76F5C993" w:rsidR="00AF4A60" w:rsidRPr="00DB170D" w:rsidRDefault="00AF4A60" w:rsidP="00DB170D">
      <w:pPr>
        <w:pStyle w:val="JuPara"/>
        <w:rPr>
          <w:rFonts w:eastAsiaTheme="minorEastAsia"/>
        </w:rPr>
      </w:pPr>
      <w:r w:rsidRPr="00DB170D">
        <w:rPr>
          <w:rFonts w:eastAsiaTheme="minorEastAsia"/>
        </w:rPr>
        <w:fldChar w:fldCharType="begin"/>
      </w:r>
      <w:r w:rsidRPr="00DB170D">
        <w:rPr>
          <w:rFonts w:eastAsiaTheme="minorEastAsia"/>
        </w:rPr>
        <w:instrText xml:space="preserve"> SEQ level0 \*arabic \* MERGEFORMAT </w:instrText>
      </w:r>
      <w:r w:rsidRPr="00DB170D">
        <w:rPr>
          <w:rFonts w:eastAsiaTheme="minorEastAsia"/>
        </w:rPr>
        <w:fldChar w:fldCharType="separate"/>
      </w:r>
      <w:r w:rsidR="00DB170D" w:rsidRPr="00DB170D">
        <w:rPr>
          <w:rFonts w:eastAsiaTheme="minorEastAsia"/>
        </w:rPr>
        <w:t>30</w:t>
      </w:r>
      <w:r w:rsidRPr="00DB170D">
        <w:rPr>
          <w:rFonts w:eastAsiaTheme="minorEastAsia"/>
        </w:rPr>
        <w:fldChar w:fldCharType="end"/>
      </w:r>
      <w:r>
        <w:t>.</w:t>
      </w:r>
      <w:r w:rsidR="00C31016">
        <w:t xml:space="preserve"> </w:t>
      </w:r>
      <w:r>
        <w:t>Dispozițiile relevante ale Codului civil referitoare la posesia de stat sunt formulate după cum urmează:</w:t>
      </w:r>
    </w:p>
    <w:p w14:paraId="02B4BDED" w14:textId="77777777" w:rsidR="00AF4A60" w:rsidRPr="00DB170D" w:rsidRDefault="00AF4A60" w:rsidP="00DB170D">
      <w:pPr>
        <w:pStyle w:val="JuHArticle"/>
      </w:pPr>
      <w:r>
        <w:t>Art. 311-1</w:t>
      </w:r>
    </w:p>
    <w:p w14:paraId="6AE6EC8F" w14:textId="0D6959A8" w:rsidR="00AF4A60" w:rsidRPr="00DB170D" w:rsidRDefault="00AF4A60" w:rsidP="00DB170D">
      <w:pPr>
        <w:pStyle w:val="JuQuot"/>
        <w:rPr>
          <w:rFonts w:eastAsiaTheme="minorEastAsia"/>
        </w:rPr>
      </w:pPr>
      <w:r>
        <w:t>„Posesia de stat se stabilește prin adunarea suficientă de fapte care indică legătura de filiație și de înrudire între o persoană și familia căreia se afirmă că îi aparține.</w:t>
      </w:r>
    </w:p>
    <w:p w14:paraId="380E2463" w14:textId="77777777" w:rsidR="00AF4A60" w:rsidRPr="00DB170D" w:rsidRDefault="00AF4A60" w:rsidP="00DB170D">
      <w:pPr>
        <w:pStyle w:val="JuQuot"/>
        <w:rPr>
          <w:rFonts w:eastAsiaTheme="minorEastAsia"/>
        </w:rPr>
      </w:pPr>
      <w:r>
        <w:t>Principalele caracteristici sunt:</w:t>
      </w:r>
    </w:p>
    <w:p w14:paraId="1196ACE1" w14:textId="4AE800E9" w:rsidR="00AF4A60" w:rsidRPr="00DB170D" w:rsidRDefault="00AF4A60" w:rsidP="00DB170D">
      <w:pPr>
        <w:pStyle w:val="JuQuot"/>
        <w:rPr>
          <w:rFonts w:eastAsiaTheme="minorEastAsia"/>
        </w:rPr>
      </w:pPr>
      <w:r>
        <w:t>1</w:t>
      </w:r>
      <w:r>
        <w:rPr>
          <w:vertAlign w:val="superscript"/>
        </w:rPr>
        <w:t>o</w:t>
      </w:r>
      <w:r>
        <w:t xml:space="preserve"> Că această persoană a fost tratată de acela sau de aceia din care se afirmă că s-a născut ca propriul copil și că ea însăși i-a tratat ca pe propriul părinte sau părinți;</w:t>
      </w:r>
    </w:p>
    <w:p w14:paraId="5C72EF15" w14:textId="77777777" w:rsidR="00AF4A60" w:rsidRPr="00DB170D" w:rsidRDefault="00AF4A60" w:rsidP="00DB170D">
      <w:pPr>
        <w:pStyle w:val="JuQuot"/>
        <w:rPr>
          <w:rFonts w:eastAsiaTheme="minorEastAsia"/>
        </w:rPr>
      </w:pPr>
      <w:r>
        <w:t>2</w:t>
      </w:r>
      <w:r>
        <w:rPr>
          <w:vertAlign w:val="superscript"/>
        </w:rPr>
        <w:t>o</w:t>
      </w:r>
      <w:r>
        <w:t xml:space="preserve"> Că ei, în această calitate, i-au oferit educație, întreținere sau domiciliu;</w:t>
      </w:r>
    </w:p>
    <w:p w14:paraId="404ACD13" w14:textId="06234C71" w:rsidR="00AF4A60" w:rsidRPr="00DB170D" w:rsidRDefault="00AF4A60" w:rsidP="00DB170D">
      <w:pPr>
        <w:pStyle w:val="JuQuot"/>
        <w:rPr>
          <w:rFonts w:eastAsiaTheme="minorEastAsia"/>
        </w:rPr>
      </w:pPr>
      <w:r>
        <w:t>3</w:t>
      </w:r>
      <w:r>
        <w:rPr>
          <w:vertAlign w:val="superscript"/>
        </w:rPr>
        <w:t>o</w:t>
      </w:r>
      <w:r>
        <w:t xml:space="preserve"> Că această persoană este recunoscută ca propriul lor copil, în societate și de către familie;</w:t>
      </w:r>
    </w:p>
    <w:p w14:paraId="10AA2095" w14:textId="7C898B1B" w:rsidR="00AF4A60" w:rsidRPr="00DB170D" w:rsidRDefault="00AF4A60" w:rsidP="00DB170D">
      <w:pPr>
        <w:pStyle w:val="JuQuot"/>
        <w:rPr>
          <w:rFonts w:eastAsiaTheme="minorEastAsia"/>
        </w:rPr>
      </w:pPr>
      <w:r>
        <w:t>4</w:t>
      </w:r>
      <w:r>
        <w:rPr>
          <w:vertAlign w:val="superscript"/>
        </w:rPr>
        <w:t>o</w:t>
      </w:r>
      <w:r>
        <w:t xml:space="preserve"> Că este considerată ca atare de către autoritatea publică;</w:t>
      </w:r>
    </w:p>
    <w:p w14:paraId="69B09CF6" w14:textId="3A74498F" w:rsidR="00AF4A60" w:rsidRPr="00DB170D" w:rsidRDefault="00AF4A60" w:rsidP="00DB170D">
      <w:pPr>
        <w:pStyle w:val="JuQuot"/>
        <w:rPr>
          <w:rFonts w:eastAsiaTheme="minorEastAsia"/>
        </w:rPr>
      </w:pPr>
      <w:r>
        <w:t>5</w:t>
      </w:r>
      <w:r>
        <w:rPr>
          <w:vertAlign w:val="superscript"/>
        </w:rPr>
        <w:t>o</w:t>
      </w:r>
      <w:r>
        <w:t xml:space="preserve"> Că poartă numele celui sau al celora din care se afirmă că s-a născut.</w:t>
      </w:r>
      <w:r w:rsidR="00466A8D">
        <w:t>”</w:t>
      </w:r>
    </w:p>
    <w:p w14:paraId="37828958" w14:textId="5B49A646" w:rsidR="00AF4A60" w:rsidRPr="00DB170D" w:rsidRDefault="00AF4A60" w:rsidP="00DB170D">
      <w:pPr>
        <w:pStyle w:val="JuHArticle"/>
      </w:pPr>
      <w:r>
        <w:t>Art. 317 (în vigoare la momentul faptelor în cauză)</w:t>
      </w:r>
    </w:p>
    <w:p w14:paraId="25DBD81A" w14:textId="1709BC68" w:rsidR="00AF4A60" w:rsidRPr="00DB170D" w:rsidRDefault="00AF4A60" w:rsidP="00DB170D">
      <w:pPr>
        <w:pStyle w:val="JuQuot"/>
        <w:rPr>
          <w:rFonts w:eastAsiaTheme="minorEastAsia"/>
        </w:rPr>
      </w:pPr>
      <w:r>
        <w:t>„Fiecare dintre părinți sau copilul poate solicita instanței competente de la locul nașterii sau al domiciliului să îi emită un act de notorietate care să probeze posesia de stat până la proba contrarie.</w:t>
      </w:r>
    </w:p>
    <w:p w14:paraId="7DFE1CD5" w14:textId="313F60DD" w:rsidR="00AF4A60" w:rsidRPr="00DB170D" w:rsidRDefault="00AF4A60" w:rsidP="00DB170D">
      <w:pPr>
        <w:pStyle w:val="JuQuot"/>
        <w:rPr>
          <w:rFonts w:eastAsiaTheme="minorEastAsia"/>
        </w:rPr>
      </w:pPr>
      <w:r>
        <w:t>Actul de notorietate este stabilit pe buna-credință a afirmațiilor a cel puțin trei martori și, dacă instanța consideră necesar, pe orice alt document prezentat care atestă o întrunire suficientă de fapte în sensul art. 311-1.</w:t>
      </w:r>
    </w:p>
    <w:p w14:paraId="18A50AD9" w14:textId="64722B44" w:rsidR="00AF4A60" w:rsidRPr="00DB170D" w:rsidRDefault="00AF4A60" w:rsidP="00DB170D">
      <w:pPr>
        <w:pStyle w:val="JuQuot"/>
        <w:rPr>
          <w:rFonts w:eastAsiaTheme="minorEastAsia"/>
        </w:rPr>
      </w:pPr>
      <w:r>
        <w:t>Emiterea actului de notorietate nu se poate solicita decât în termen de cinci ani de la încetarea presupusei posesii de stat sau de la decesul presupusului părinte, inclusiv atunci când acesta a decedat înainte de declararea nașterii.</w:t>
      </w:r>
    </w:p>
    <w:p w14:paraId="0E9DD6DD" w14:textId="244C1FBC" w:rsidR="00AF4A60" w:rsidRPr="00DB170D" w:rsidRDefault="00AF4A60" w:rsidP="00DB170D">
      <w:pPr>
        <w:pStyle w:val="JuQuot"/>
        <w:rPr>
          <w:rFonts w:eastAsiaTheme="minorEastAsia"/>
        </w:rPr>
      </w:pPr>
      <w:r>
        <w:t>Filiația stabilită prin posesia de stat constatată în actul de notorietate se menționează în marginea actului de naștere al copilului.</w:t>
      </w:r>
    </w:p>
    <w:p w14:paraId="5848A052" w14:textId="41EB439C" w:rsidR="00AF4A60" w:rsidRPr="00DB170D" w:rsidRDefault="00AF4A60" w:rsidP="00DB170D">
      <w:pPr>
        <w:pStyle w:val="JuQuot"/>
        <w:rPr>
          <w:rFonts w:eastAsiaTheme="minorEastAsia"/>
        </w:rPr>
      </w:pPr>
      <w:r>
        <w:lastRenderedPageBreak/>
        <w:t>Nici actul de notorietate, nici refuzul de a-l emite nu pot fi atacate cu recurs.</w:t>
      </w:r>
      <w:r w:rsidR="00466A8D">
        <w:t>”</w:t>
      </w:r>
      <w:bookmarkEnd w:id="18"/>
    </w:p>
    <w:p w14:paraId="753B40EE" w14:textId="77777777" w:rsidR="00AF4A60" w:rsidRPr="00DB170D" w:rsidRDefault="00AF4A60" w:rsidP="00DB170D">
      <w:pPr>
        <w:pStyle w:val="JuHIRoman"/>
        <w:rPr>
          <w:rFonts w:eastAsiaTheme="minorEastAsia"/>
          <w:sz w:val="20"/>
          <w:szCs w:val="22"/>
        </w:rPr>
      </w:pPr>
      <w:r>
        <w:t>Legea din 2 august 2021 privind bioetica și Circulara din 21 septembrie 2021</w:t>
      </w:r>
    </w:p>
    <w:p w14:paraId="7D36CDD0" w14:textId="3FE6A1A1" w:rsidR="00AF4A60" w:rsidRPr="00DB170D" w:rsidRDefault="00DB3F2B" w:rsidP="00DB170D">
      <w:pPr>
        <w:pStyle w:val="JuPara"/>
      </w:pPr>
      <w:r>
        <w:fldChar w:fldCharType="begin"/>
      </w:r>
      <w:r>
        <w:instrText xml:space="preserve"> SEQ level0 \*arab</w:instrText>
      </w:r>
      <w:r>
        <w:instrText xml:space="preserve">ic \* MERGEFORMAT </w:instrText>
      </w:r>
      <w:r>
        <w:fldChar w:fldCharType="separate"/>
      </w:r>
      <w:bookmarkStart w:id="20" w:name="paragraph00031"/>
      <w:r w:rsidR="00DB170D" w:rsidRPr="00DB170D">
        <w:t>31</w:t>
      </w:r>
      <w:bookmarkEnd w:id="20"/>
      <w:r>
        <w:fldChar w:fldCharType="end"/>
      </w:r>
      <w:r w:rsidR="001968A3">
        <w:t>.</w:t>
      </w:r>
      <w:r w:rsidR="00C31016">
        <w:t xml:space="preserve"> </w:t>
      </w:r>
      <w:r w:rsidR="001968A3">
        <w:t>Primele intervenții ale legiuitorului francez în materie de bioetică aparțin Legii din 20 decembrie 1988 privind protecția persoanelor care sunt potrivite</w:t>
      </w:r>
      <w:r w:rsidR="00C31016">
        <w:t xml:space="preserve"> </w:t>
      </w:r>
      <w:r w:rsidR="001968A3">
        <w:t>pentru cercetarea biomedicală și Legii din 29 iulie 1994 referitoare la donarea și la utilizarea elementelor și a produselor corpului uman, la RAM și la diagnosticul prenatal. A intervenit ulterior Legea din 6 august 2004 privind bioetica, în care unul dintre titluri privea procrearea și embriologia. Art. 40 din această din urmă lege prevedea că legea trebuia din nou examinată în ansamblu de Parlament în cel mult 5 ani de la intrarea în vigoare, iar aplicarea sa evaluată de Oficiul parlamentar de evaluare a alegerilor științifice și tehnologice în termen de 4 ani. Reexaminarea prevăzută a dus la adoptarea Legii din 7 iulie 2011 privind bioetica. În mod similar, art. 47 din legea respectivă afirma principiul examinării din nou în ansamblu de Parlament în cel mult 7 ani de la intrarea în vigoare și, în termen de 6 ani, al evaluării aplicării sale de către Oficiul parlamentar de evaluare a alegerilor științifice și tehnologice. De asemenea, art. 46 din lege prevedea că orice proiect de reformă asupra problemelor etice și a aspectelor din societate ridicate de progresele cunoașterii în domeniile biologie, medicină și sănătate trebuia precedat de o dezbatere publică sub forma Stărilor Generale („états généraux” - consultare a tuturor categoriilor cetățenești).</w:t>
      </w:r>
    </w:p>
    <w:p w14:paraId="3A829F5F" w14:textId="5FD9CFB5"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32</w:t>
      </w:r>
      <w:r>
        <w:fldChar w:fldCharType="end"/>
      </w:r>
      <w:r w:rsidR="001968A3">
        <w:t>.</w:t>
      </w:r>
      <w:r w:rsidR="00C31016">
        <w:t xml:space="preserve"> </w:t>
      </w:r>
      <w:r w:rsidR="001968A3">
        <w:t>Comitetul consultativ național de etică pentru științele privind viața și sănătatea a lansat consultări cetățenești asupra bioeticii în ianuarie 2018. Chestiunea permiterii RAM pentru cuplurile de femei și pentru femeile singure a fost discutată în acest context. Comitetul a publicat un raport de sinteză în iulie 2018 și, la 18 septembrie 2018, un aviz intitulat „Contribuția Comitetului consultativ național de etică la revizuirea Legii privind bioetica 2018-2019</w:t>
      </w:r>
      <w:r w:rsidR="00466A8D">
        <w:t>”</w:t>
      </w:r>
      <w:r w:rsidR="001968A3">
        <w:t>, în care s-a declarat favorabil permiterii RAM pentru cuplurile de femei și pentru femeile singure. Alte lucrări s-au desfășurat în paralel, în cadrul cărora această chestiune a fost, de asemenea, abordată: întrunirile Senatului privind bioetica (martie – iulie 2018); studiul Consiliului de Stat intitulat „Revizuirea Legii privind bioetica: ce opțiuni pentru mâine?</w:t>
      </w:r>
      <w:r w:rsidR="00466A8D">
        <w:t>”</w:t>
      </w:r>
      <w:r w:rsidR="00C31016">
        <w:t xml:space="preserve"> </w:t>
      </w:r>
      <w:r w:rsidR="001968A3">
        <w:t>(11 iulie 2018); evaluarea aplicării Legii privind bioetica de Oficiul parlamentar de evaluare a alegerilor științifice și tehnologice (octombrie 2018); raportul misiunii de informare înființate de Adunarea Națională (ianuarie 2019).</w:t>
      </w:r>
    </w:p>
    <w:p w14:paraId="4028CE43" w14:textId="6E5B34A1"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33</w:t>
      </w:r>
      <w:r>
        <w:fldChar w:fldCharType="end"/>
      </w:r>
      <w:r w:rsidR="001968A3">
        <w:t>.</w:t>
      </w:r>
      <w:r w:rsidR="00C31016">
        <w:t xml:space="preserve"> </w:t>
      </w:r>
      <w:r w:rsidR="001968A3">
        <w:t xml:space="preserve">Bazându-se pe aceste lucrări diferite, la 24 iulie 2019, guvernul a depus un proiect de lege care prevedea mai cu seamă extinderea accesului la RAM pentru cuplurile de femei și pentru femeile necăsătorite. Procesul legislativ a dus, la 29 iunie 2021, la adoptarea Legii din 7 iulie 2011 privind bioetica. La 29 iulie 2021, în urma sesizării de către deputați, Consiliul Constituțional a declarat conforme cu Constituția dispozițiile acestei legi. Promulgată la 2 </w:t>
      </w:r>
      <w:r w:rsidR="001968A3">
        <w:lastRenderedPageBreak/>
        <w:t>august 2021, legea a intrat în vigoare la 4 august 2021. Art. 41 prevede că legea trebuie din nou examinată de Parlament în cel mult 7 ani de la promulgare, iar aplicarea sa evaluată de Oficiul parlamentar de evaluare a alegerilor științifice și tehnologice în termen de 4 ani.</w:t>
      </w:r>
    </w:p>
    <w:p w14:paraId="787DB681" w14:textId="3DA69730" w:rsidR="00AF4A60" w:rsidRPr="00DB170D" w:rsidRDefault="00DB3F2B" w:rsidP="00DB170D">
      <w:pPr>
        <w:pStyle w:val="JuPara"/>
        <w:rPr>
          <w:rFonts w:asciiTheme="majorHAnsi" w:hAnsiTheme="majorHAnsi" w:cstheme="majorHAnsi"/>
        </w:rPr>
      </w:pPr>
      <w:r>
        <w:fldChar w:fldCharType="begin"/>
      </w:r>
      <w:r>
        <w:instrText xml:space="preserve"> SEQ level0 \*arabic \* MERGEFORMAT </w:instrText>
      </w:r>
      <w:r>
        <w:fldChar w:fldCharType="separate"/>
      </w:r>
      <w:r w:rsidR="00DB170D" w:rsidRPr="00DB170D">
        <w:t>34</w:t>
      </w:r>
      <w:r>
        <w:fldChar w:fldCharType="end"/>
      </w:r>
      <w:r w:rsidR="001968A3">
        <w:t>.</w:t>
      </w:r>
      <w:r w:rsidR="00C31016">
        <w:t xml:space="preserve"> </w:t>
      </w:r>
      <w:r w:rsidR="001968A3">
        <w:t>Legea nr. 2021-1017 din 2 august 2021 privind bioetica, care extinde accesul la RAM pentru femeile singure, precum și pentru cuplurile formate din două femei, creează o nouă metodă de stabilire juridică a filiației</w:t>
      </w:r>
      <w:r w:rsidR="001968A3">
        <w:rPr>
          <w:rFonts w:asciiTheme="majorHAnsi" w:hAnsiTheme="majorHAnsi"/>
        </w:rPr>
        <w:t xml:space="preserve"> copiilor astfel concepuți în cadrul cuplurilor de femei, care pot fi recunoscuți în comun de cele două femei înainte de a se naște. În conformitate cu noul art. 342-11 din Codul civil:</w:t>
      </w:r>
    </w:p>
    <w:p w14:paraId="09CF6EB9" w14:textId="2D03F7E2" w:rsidR="00AF4A60" w:rsidRPr="00DB170D" w:rsidRDefault="00AF4A60" w:rsidP="00DB170D">
      <w:pPr>
        <w:pStyle w:val="JuQuot"/>
      </w:pPr>
      <w:r>
        <w:t>„La primirea consimțământului prevăzut la art. 342-10, cuplul de femei recunoaște împreună copilul.</w:t>
      </w:r>
    </w:p>
    <w:p w14:paraId="75D76C6C" w14:textId="48AF2E7F" w:rsidR="00AF4A60" w:rsidRPr="00DB170D" w:rsidRDefault="00AF4A60" w:rsidP="00DB170D">
      <w:pPr>
        <w:pStyle w:val="JuQuot"/>
      </w:pPr>
      <w:r>
        <w:t>Filiația este stabilită, în privința femeii care naște, potrivit art. 311-25. Se stabilește, în privința celeilalte femei, prin recunoașterea comună prevăzută la primul alineat al prezentului articol. Aceasta este depusă de către una dintre cele două femei sau, la nevoie, de persoana însărcinată cu declararea nașterii la funcționarul de stare civilă, care o înscrie în actul de naștere.</w:t>
      </w:r>
    </w:p>
    <w:p w14:paraId="6467546F" w14:textId="20CAD9D2" w:rsidR="00AF4A60" w:rsidRPr="00DB170D" w:rsidRDefault="00AF4A60" w:rsidP="00DB170D">
      <w:pPr>
        <w:pStyle w:val="JuQuot"/>
      </w:pPr>
      <w:r>
        <w:t>Câtă vreme filiația astfel stabilită nu a fost contestată în justiție în condițiile prevăzute în art. 342-10 alin. (2), ea împiedică stabilirea altei filiații în condițiile prevăzute în prezentul titlu.</w:t>
      </w:r>
      <w:r w:rsidR="00466A8D">
        <w:t>”</w:t>
      </w:r>
    </w:p>
    <w:p w14:paraId="60A6691E" w14:textId="77777777" w:rsidR="00A8678D" w:rsidRDefault="00DB3F2B" w:rsidP="00A8678D">
      <w:pPr>
        <w:pStyle w:val="JuPara"/>
        <w:keepLines/>
        <w:widowControl w:val="0"/>
      </w:pPr>
      <w:r>
        <w:fldChar w:fldCharType="begin"/>
      </w:r>
      <w:r>
        <w:instrText xml:space="preserve"> SEQ level0 \*arabic \* MERGEFORMAT </w:instrText>
      </w:r>
      <w:r>
        <w:fldChar w:fldCharType="separate"/>
      </w:r>
      <w:bookmarkStart w:id="21" w:name="paragraph00035"/>
      <w:r w:rsidR="00DB170D" w:rsidRPr="00DB170D">
        <w:t>35</w:t>
      </w:r>
      <w:bookmarkEnd w:id="21"/>
      <w:r>
        <w:fldChar w:fldCharType="end"/>
      </w:r>
      <w:r w:rsidR="001968A3">
        <w:t>.</w:t>
      </w:r>
      <w:r w:rsidR="00C31016">
        <w:t xml:space="preserve"> </w:t>
      </w:r>
      <w:r w:rsidR="001968A3">
        <w:t>Alineatul IV al art. 6 din Legea din 2 august 2021 prevede că, timp de trei ani începând de la publicarea acestei legi (adică până la 4 august 2024), un cuplu de femei care a recurs la RAM în străinătate înainte de această publicare, poate recunoaște în comun, în fața notarului, copilul a cărui filiație nu este stabilită decât în privința femeii care a născut și că această recunoaștere stabilește filiația în privința celeilalte femei. Recunoașterea comună este menționată pe marginea actului de naștere al copilului la dispoziția procurorului Republicii, care se asigură că aceste condiții sunt îndeplinite</w:t>
      </w:r>
      <w:bookmarkStart w:id="22" w:name="_Hlk88057972"/>
      <w:r w:rsidR="001968A3">
        <w:t>.</w:t>
      </w:r>
      <w:r w:rsidR="00A8678D">
        <w:t xml:space="preserve"> </w:t>
      </w:r>
    </w:p>
    <w:p w14:paraId="1F789B61" w14:textId="3314C1D5" w:rsidR="00AF4A60" w:rsidRPr="00DB170D" w:rsidRDefault="00DB3F2B" w:rsidP="00A8678D">
      <w:pPr>
        <w:pStyle w:val="JuPara"/>
        <w:keepLines/>
        <w:widowControl w:val="0"/>
      </w:pPr>
      <w:r>
        <w:fldChar w:fldCharType="begin"/>
      </w:r>
      <w:r>
        <w:instrText xml:space="preserve"> SEQ level0 \*arabic \* MERGEFORMAT </w:instrText>
      </w:r>
      <w:r>
        <w:fldChar w:fldCharType="separate"/>
      </w:r>
      <w:bookmarkStart w:id="23" w:name="paragraph00036"/>
      <w:r w:rsidR="00DB170D" w:rsidRPr="00DB170D">
        <w:t>36</w:t>
      </w:r>
      <w:bookmarkEnd w:id="23"/>
      <w:r>
        <w:fldChar w:fldCharType="end"/>
      </w:r>
      <w:r w:rsidR="001968A3">
        <w:t>.</w:t>
      </w:r>
      <w:r w:rsidR="00C31016">
        <w:t xml:space="preserve"> </w:t>
      </w:r>
      <w:r w:rsidR="001968A3">
        <w:t xml:space="preserve">„Circulara de </w:t>
      </w:r>
      <w:r w:rsidR="001968A3" w:rsidRPr="00A8678D">
        <w:t>prezentare a dispozitivelor în materie de asistență la procreare izvorâtă din Legea nr. 2021-1017 din 2 august 2021 privind bioetica” a Ministerului Justiției,</w:t>
      </w:r>
      <w:r w:rsidR="00A8678D">
        <w:t xml:space="preserve"> din 21 septembrie 2021, nr. C1/2021/1.8.6/202130000921/JF </w:t>
      </w:r>
      <w:bookmarkEnd w:id="22"/>
      <w:r w:rsidR="001968A3" w:rsidRPr="00A8678D">
        <w:t>(„Fișa nr. 2: stabilirea celei de a doua legături</w:t>
      </w:r>
      <w:r w:rsidR="001968A3">
        <w:t xml:space="preserve"> de filiație maternă în privința copilului atunci când un cuplu de femei a recurs la RAM în străinătate înainte de publicarea legii privind bioetica</w:t>
      </w:r>
      <w:r w:rsidR="00466A8D">
        <w:t>”</w:t>
      </w:r>
      <w:r w:rsidR="001968A3">
        <w:t>), precizează următoarele elemente:</w:t>
      </w:r>
    </w:p>
    <w:p w14:paraId="70EDA6AF" w14:textId="00274F10" w:rsidR="00AF4A60" w:rsidRPr="00DB170D" w:rsidRDefault="00AF4A60" w:rsidP="00DB170D">
      <w:pPr>
        <w:pStyle w:val="JuQuot"/>
      </w:pPr>
      <w:r>
        <w:t>„</w:t>
      </w:r>
      <w:bookmarkStart w:id="24" w:name="_Hlk88062078"/>
      <w:r>
        <w:t xml:space="preserve">Eventuala separare a cuplului care a avut loc ulterior RAM nu afectează aplicarea acestei dispoziții deoarece la momentul RAM cele două femei formau un cuplu (căsătorite, care au încheiat un pact civil de solidaritate sau în concubinaj) și au recurs la RAM în cadrul unui proiect parental comun. În schimb, dispozitivul presupune că la momentul recunoașterii comune există acordul celor două femei, care confirmă realitatea acestui proiect parental comun. </w:t>
      </w:r>
      <w:bookmarkEnd w:id="24"/>
      <w:r>
        <w:t xml:space="preserve">Legiuitorul nu a prevăzut, în caz de dezacord între cele două femei, că o procedură judiciară poate trece peste acest dezacord. Din lucrările parlamentare rezultă că nu este vorba de o omisiune a legiuitorului, ci de opțiunea asumată de a rezerva acest nou mod de stabilire a filiației tranzitorii atunci </w:t>
      </w:r>
      <w:r>
        <w:lastRenderedPageBreak/>
        <w:t>când cele două femei sunt de acord. Lucrările acestea parlamentare subliniază că, în caz de dezacord privind stabilirea dublei legături de filiație maternă, posibilitatea ca o procedură judiciară să permită ca instanța să treacă peste refuzul uneia dintre cele două femei și să încuviințeze adopția va fi studiată în cadrul propunerii legislative de reformare a adopției depusă de doamna deputat Dominique Limon.</w:t>
      </w:r>
    </w:p>
    <w:p w14:paraId="68208E98" w14:textId="0E68B93A" w:rsidR="00AF4A60" w:rsidRPr="00DB170D" w:rsidRDefault="00AF4A60" w:rsidP="00DB170D">
      <w:pPr>
        <w:pStyle w:val="JuQuot"/>
      </w:pPr>
      <w:r>
        <w:t>Prin această recunoaștere comună, cele două femei declară în fața notarului că au recurs la RAM în străinătate împreună în urma căreia a fost conceput copilul recunoscut [...].</w:t>
      </w:r>
    </w:p>
    <w:p w14:paraId="440B4359" w14:textId="5DCF7268" w:rsidR="00AF4A60" w:rsidRPr="00DB170D" w:rsidRDefault="00AF4A60" w:rsidP="00DB170D">
      <w:pPr>
        <w:pStyle w:val="JuQuot"/>
      </w:pPr>
      <w:r>
        <w:t>În absența unei dispoziții derogatorii, precum pentru recunoașterea voluntară a unui copil făcută în aplicarea art. 316 din Codul civil, consimțământul copilului, chiar major, nu este cerut pentru recunoașterea în comun [...].</w:t>
      </w:r>
    </w:p>
    <w:p w14:paraId="7F2376E8" w14:textId="763E0C5E" w:rsidR="00AF4A60" w:rsidRPr="00DB170D" w:rsidRDefault="00AF4A60" w:rsidP="00DB170D">
      <w:pPr>
        <w:pStyle w:val="JuQuot"/>
      </w:pPr>
      <w:r>
        <w:t>Procurorul Republicii se va asigura de respectarea condițiilor vizate la primul paragraf al art. 6 IV din Legea din 2 august 2021, și anume:</w:t>
      </w:r>
    </w:p>
    <w:p w14:paraId="0E95B0B9" w14:textId="282096ED" w:rsidR="00AF4A60" w:rsidRPr="00DB170D" w:rsidRDefault="00AF4A60" w:rsidP="00DB170D">
      <w:pPr>
        <w:pStyle w:val="JuQuot"/>
      </w:pPr>
      <w:r>
        <w:t>- realizarea unei RAM în străinătate anterior publicării legii privind bioetica, de către un cuplu de femei. Cu acest titlu, procurorul Republicii trebuie să se asigure că regularizarea privește un copil născut prin RAM și nu printr-un contract privind maternitatea de substituție. Totodată se va asigura că RAM a avut loc în străinătate și nu pe teritoriul național cu încălcarea dispozițiilor legale aplicabile.</w:t>
      </w:r>
    </w:p>
    <w:p w14:paraId="1FA96839" w14:textId="095544C6" w:rsidR="00AF4A60" w:rsidRPr="00DB170D" w:rsidRDefault="00AF4A60" w:rsidP="00DB170D">
      <w:pPr>
        <w:pStyle w:val="JuQuot"/>
      </w:pPr>
      <w:r>
        <w:t>- filiația copilului nu trebuie să fie stabilită decât în privința femeii care a născut [...].</w:t>
      </w:r>
    </w:p>
    <w:p w14:paraId="41102355" w14:textId="3325E61A" w:rsidR="00AF4A60" w:rsidRPr="00DB170D" w:rsidRDefault="00AF4A60" w:rsidP="00DB170D">
      <w:pPr>
        <w:pStyle w:val="JuQuot"/>
      </w:pPr>
      <w:r>
        <w:t>În cazul în care procurorul Republicii consideră că sunt îndeplinite condițiile de la primul paragraf al art. 6 alin. IV din Legea din 2 august 2021, dispune ca funcționarul de stare civilă care deține actul de naștere al copilului să aplice o mențiune în care să fie precizate data recunoașterii comune, precum și referințele și data dispozițiilor date de acesta [...].</w:t>
      </w:r>
    </w:p>
    <w:p w14:paraId="23283871" w14:textId="0AC69EBB" w:rsidR="00AF4A60" w:rsidRPr="00DB170D" w:rsidRDefault="00AF4A60" w:rsidP="00DB170D">
      <w:pPr>
        <w:pStyle w:val="JuQuot"/>
      </w:pPr>
      <w:r>
        <w:t>Înscrierea recunoașterii comune pe marginea actului de naștere al copilului este suficientă pentru stabilirea filiației acestuia din urmă în privința femeii care nu a născut [...]</w:t>
      </w:r>
      <w:r w:rsidR="00245FF6">
        <w:t>.</w:t>
      </w:r>
      <w:r w:rsidR="00466A8D">
        <w:t>”</w:t>
      </w:r>
      <w:r>
        <w:t> </w:t>
      </w:r>
    </w:p>
    <w:p w14:paraId="590A023E" w14:textId="77777777" w:rsidR="00AF4A60" w:rsidRPr="00DB170D" w:rsidRDefault="00AF4A60" w:rsidP="00DB170D">
      <w:pPr>
        <w:pStyle w:val="JuHHead"/>
      </w:pPr>
      <w:bookmarkStart w:id="25" w:name="_Hlk36127250"/>
      <w:r>
        <w:rPr>
          <w:caps w:val="0"/>
        </w:rPr>
        <w:t>ÎN DREPT</w:t>
      </w:r>
    </w:p>
    <w:bookmarkEnd w:id="25"/>
    <w:p w14:paraId="7004F164" w14:textId="77777777" w:rsidR="00AF4A60" w:rsidRPr="00DB170D" w:rsidRDefault="00AF4A60" w:rsidP="00DB170D">
      <w:pPr>
        <w:pStyle w:val="JuHIRoman"/>
      </w:pPr>
      <w:r>
        <w:t>CONEXAREA CERERILOR</w:t>
      </w:r>
    </w:p>
    <w:p w14:paraId="08AD869D" w14:textId="73A73F4B"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37</w:t>
      </w:r>
      <w:r>
        <w:fldChar w:fldCharType="end"/>
      </w:r>
      <w:r w:rsidR="001968A3">
        <w:t>.</w:t>
      </w:r>
      <w:r w:rsidR="00C31016">
        <w:t xml:space="preserve"> </w:t>
      </w:r>
      <w:r w:rsidR="001968A3">
        <w:t>Având în vedere similitudinea obiectului cererilor, Curtea consideră oportun să le conexeze pentru a le examina împreună într-o hotărâre unică.</w:t>
      </w:r>
    </w:p>
    <w:p w14:paraId="0411DD20" w14:textId="32400EEF" w:rsidR="00AF4A60" w:rsidRPr="00DB170D" w:rsidRDefault="00AF4A60" w:rsidP="00DB170D">
      <w:pPr>
        <w:pStyle w:val="JuHIRoman"/>
      </w:pPr>
      <w:bookmarkStart w:id="26" w:name="_Hlk36127423"/>
      <w:r>
        <w:t>CU PRIVIRE LA PRETINSA ÎNCĂLCARE A ART. 8 DIN CONVENȚIE</w:t>
      </w:r>
      <w:bookmarkEnd w:id="26"/>
    </w:p>
    <w:p w14:paraId="3C5CCEEB" w14:textId="517DB399" w:rsidR="00AF4A60" w:rsidRPr="00DB170D" w:rsidRDefault="00AF4A60" w:rsidP="00DB170D">
      <w:pPr>
        <w:pStyle w:val="JuPara"/>
      </w:pPr>
      <w:fldSimple w:instr=" SEQ level0 \*arabic ">
        <w:r w:rsidR="00DB170D" w:rsidRPr="00DB170D">
          <w:t>38</w:t>
        </w:r>
      </w:fldSimple>
      <w:r>
        <w:t>.</w:t>
      </w:r>
      <w:r w:rsidR="00C31016">
        <w:t xml:space="preserve"> </w:t>
      </w:r>
      <w:r>
        <w:t>C.E., M.B. și C.B (cererea nr. 29775/18) invocă încălcarea dreptului lor la respectarea vieții private și de familie din cauza respingerii de către instanțele interne a cererii de adopție cu efecte depline a lui M.B. de către C.E., fosta parteneră a mamei sale biologice, C.B.</w:t>
      </w:r>
    </w:p>
    <w:bookmarkStart w:id="27" w:name="_Hlk36127488"/>
    <w:p w14:paraId="3AD67F57" w14:textId="206729E7"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39</w:t>
      </w:r>
      <w:r w:rsidRPr="00DB170D">
        <w:fldChar w:fldCharType="end"/>
      </w:r>
      <w:r>
        <w:t>.</w:t>
      </w:r>
      <w:r w:rsidR="00C31016">
        <w:t xml:space="preserve"> </w:t>
      </w:r>
      <w:r>
        <w:t>A.E, fosta parteneră a mamei biologice a lui T. G., și T.G. (cererea nr. 29693/19) invocă încălcarea dreptului la respectarea vieții private și de familie a lui T.G. din cauza refuzului instanțelor interne de a emite un act de notorietate care să dovedească filiația dintre cele două prin posesie de stat.</w:t>
      </w:r>
    </w:p>
    <w:p w14:paraId="51DFF68F" w14:textId="3611AA46" w:rsidR="00AF4A60" w:rsidRPr="00DB170D" w:rsidRDefault="00DB3F2B" w:rsidP="00DB170D">
      <w:pPr>
        <w:pStyle w:val="JuPara"/>
      </w:pPr>
      <w:r>
        <w:lastRenderedPageBreak/>
        <w:fldChar w:fldCharType="begin"/>
      </w:r>
      <w:r>
        <w:instrText xml:space="preserve"> SEQ level0 \*arabic \* MERGEFORMAT </w:instrText>
      </w:r>
      <w:r>
        <w:fldChar w:fldCharType="separate"/>
      </w:r>
      <w:r w:rsidR="00DB170D" w:rsidRPr="00DB170D">
        <w:t>40</w:t>
      </w:r>
      <w:r>
        <w:fldChar w:fldCharType="end"/>
      </w:r>
      <w:r w:rsidR="001968A3">
        <w:t>.</w:t>
      </w:r>
      <w:r w:rsidR="00C31016">
        <w:t xml:space="preserve"> </w:t>
      </w:r>
      <w:r w:rsidR="001968A3">
        <w:t xml:space="preserve">Reclamanții invocă încălcarea </w:t>
      </w:r>
      <w:bookmarkStart w:id="28" w:name="_Hlk36127508"/>
      <w:bookmarkEnd w:id="27"/>
      <w:r w:rsidR="001968A3">
        <w:t>art. 8 din Convenție, potrivit căruia:</w:t>
      </w:r>
    </w:p>
    <w:p w14:paraId="1802B081" w14:textId="3C10526E" w:rsidR="00AF4A60" w:rsidRPr="00DB170D" w:rsidRDefault="00AF4A60" w:rsidP="00DB170D">
      <w:pPr>
        <w:pStyle w:val="JuQuot"/>
      </w:pPr>
      <w:bookmarkStart w:id="29" w:name="_Hlk36127545"/>
      <w:bookmarkEnd w:id="28"/>
      <w:r>
        <w:t>„(1)</w:t>
      </w:r>
      <w:r w:rsidR="00C31016">
        <w:t xml:space="preserve"> </w:t>
      </w:r>
      <w:r>
        <w:t>Orice persoană are dreptul la respectarea vieții sale private și de familie, a domiciliului său și a corespondenței sale.</w:t>
      </w:r>
    </w:p>
    <w:p w14:paraId="3A3A1590" w14:textId="74C00674" w:rsidR="00AF4A60" w:rsidRPr="00DB170D" w:rsidRDefault="00AF4A60" w:rsidP="00DB170D">
      <w:pPr>
        <w:pStyle w:val="JuQuot"/>
      </w:pPr>
      <w:r>
        <w:t>(2)</w:t>
      </w:r>
      <w:r w:rsidR="00C31016">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r w:rsidR="00466A8D">
        <w:t>”</w:t>
      </w:r>
    </w:p>
    <w:p w14:paraId="615A00D7" w14:textId="62790CEA" w:rsidR="00AF4A60" w:rsidRPr="00DB170D" w:rsidRDefault="00AF4A60" w:rsidP="00DB170D">
      <w:pPr>
        <w:pStyle w:val="JuHA"/>
      </w:pPr>
      <w:bookmarkStart w:id="30" w:name="_Hlk95167527"/>
      <w:r>
        <w:t>Cu privire la capacitate lui M.B. de a sesiza Curtea și la calitatea lui A.E. de a acționa în numele lui T.G.</w:t>
      </w:r>
    </w:p>
    <w:p w14:paraId="54DF158A" w14:textId="1FE434DB" w:rsidR="00AF4A60" w:rsidRPr="00DB170D" w:rsidRDefault="00DB3F2B" w:rsidP="00DB170D">
      <w:pPr>
        <w:pStyle w:val="JuPara"/>
      </w:pPr>
      <w:r>
        <w:fldChar w:fldCharType="begin"/>
      </w:r>
      <w:r>
        <w:instrText xml:space="preserve"> SEQ level0 \*arabic \* ME</w:instrText>
      </w:r>
      <w:r>
        <w:instrText xml:space="preserve">RGEFORMAT </w:instrText>
      </w:r>
      <w:r>
        <w:fldChar w:fldCharType="separate"/>
      </w:r>
      <w:r w:rsidR="00DB170D" w:rsidRPr="00DB170D">
        <w:t>41</w:t>
      </w:r>
      <w:r>
        <w:fldChar w:fldCharType="end"/>
      </w:r>
      <w:r w:rsidR="001968A3">
        <w:t>.</w:t>
      </w:r>
      <w:r w:rsidR="00C31016">
        <w:t xml:space="preserve"> </w:t>
      </w:r>
      <w:r w:rsidR="001968A3">
        <w:t>Curtea reține că M.B. (cererea nr. 29775/18) și T.G. (cererea nr.</w:t>
      </w:r>
      <w:r w:rsidR="001968A3">
        <w:rPr>
          <w:vertAlign w:val="superscript"/>
        </w:rPr>
        <w:t> </w:t>
      </w:r>
      <w:r w:rsidR="001968A3">
        <w:t>29693/19) erau minori la data când au fost introduse în fața Curții cererile care îi priveau: M.B. avea aproximativ 16 ani și 5 luni, iar T.G., aproximativ 10 ani și jumătate.</w:t>
      </w:r>
    </w:p>
    <w:p w14:paraId="15A9F4BF" w14:textId="0F08775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42</w:t>
      </w:r>
      <w:r>
        <w:fldChar w:fldCharType="end"/>
      </w:r>
      <w:r w:rsidR="001968A3">
        <w:t>.</w:t>
      </w:r>
      <w:r w:rsidR="00C31016">
        <w:t xml:space="preserve"> </w:t>
      </w:r>
      <w:r w:rsidR="001968A3">
        <w:t>Curtea reamintește că poate fi sesizată cu cereri denunțând încălcări ale drepturilor și libertăților consacrate de Convenție cu privire la minori, de reprezentanții legali ai acestora sau de minorii în cauză [</w:t>
      </w:r>
      <w:bookmarkStart w:id="31" w:name="_Hlk98924467"/>
      <w:r w:rsidR="001968A3">
        <w:rPr>
          <w:i/>
        </w:rPr>
        <w:t>Scozzari și Giunta împotriva Italiei</w:t>
      </w:r>
      <w:r w:rsidR="001968A3">
        <w:t xml:space="preserve"> (MC), nr. 39221/98 și 41963/98, pct. 138, CEDO 2000 VIII</w:t>
      </w:r>
      <w:bookmarkEnd w:id="31"/>
      <w:r w:rsidR="001968A3">
        <w:t>].</w:t>
      </w:r>
    </w:p>
    <w:p w14:paraId="249ABAD2" w14:textId="4D48D74D"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43</w:t>
      </w:r>
      <w:r>
        <w:fldChar w:fldCharType="end"/>
      </w:r>
      <w:r w:rsidR="001968A3">
        <w:t>.</w:t>
      </w:r>
      <w:r w:rsidR="00C31016">
        <w:t xml:space="preserve"> </w:t>
      </w:r>
      <w:r w:rsidR="001968A3">
        <w:t xml:space="preserve">Constată că formularul referitor la cererea nr. 29775/18 a fost semnat nu numai de C.E. și C.B., ci și de M.B. (supra, pct. </w:t>
      </w:r>
      <w:r w:rsidR="004343FF" w:rsidRPr="00DB170D">
        <w:fldChar w:fldCharType="begin"/>
      </w:r>
      <w:r w:rsidR="004343FF" w:rsidRPr="00DB170D">
        <w:instrText xml:space="preserve"> REF paragraph00002 \h  \* CharFormat </w:instrText>
      </w:r>
      <w:r w:rsidR="004343FF" w:rsidRPr="00DB170D">
        <w:fldChar w:fldCharType="separate"/>
      </w:r>
      <w:r w:rsidR="00DB170D" w:rsidRPr="00DB170D">
        <w:t>2</w:t>
      </w:r>
      <w:r w:rsidR="004343FF" w:rsidRPr="00DB170D">
        <w:fldChar w:fldCharType="end"/>
      </w:r>
      <w:r w:rsidR="001968A3">
        <w:t>). M.B. a sesizat prin urmare Curtea din proprie inițiativă, după cum avea posibilitatea.</w:t>
      </w:r>
    </w:p>
    <w:p w14:paraId="0552AF10" w14:textId="70BF768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44</w:t>
      </w:r>
      <w:r>
        <w:fldChar w:fldCharType="end"/>
      </w:r>
      <w:r w:rsidR="001968A3">
        <w:t>.</w:t>
      </w:r>
      <w:r w:rsidR="00C31016">
        <w:t xml:space="preserve"> </w:t>
      </w:r>
      <w:r w:rsidR="001968A3">
        <w:t>Cu privire la cererea nr. 29693/19, A.E. declară că acționează în fața Curții nu numai în nume propriu și pentru sine, ci și în numele lui T.G. și pentru acesta. În mod pertinent, subliniază, în această privință, că exercită autoritatea părintească asupra lui T.G. (supra, pct. 3).</w:t>
      </w:r>
    </w:p>
    <w:bookmarkEnd w:id="30"/>
    <w:p w14:paraId="5012B4FB" w14:textId="77777777" w:rsidR="00AF4A60" w:rsidRPr="00DB170D" w:rsidRDefault="00AF4A60" w:rsidP="00DB170D">
      <w:pPr>
        <w:pStyle w:val="JuHA"/>
      </w:pPr>
      <w:r>
        <w:t>Cu privire la admisibilitate</w:t>
      </w:r>
      <w:bookmarkEnd w:id="29"/>
    </w:p>
    <w:p w14:paraId="78B5D58D" w14:textId="77777777" w:rsidR="00AF4A60" w:rsidRPr="00DB170D" w:rsidRDefault="00AF4A60" w:rsidP="00DB170D">
      <w:pPr>
        <w:pStyle w:val="JuH1"/>
      </w:pPr>
      <w:r>
        <w:t>Cu privire la calitatea de victimă a lui C.B.</w:t>
      </w:r>
    </w:p>
    <w:bookmarkStart w:id="32" w:name="_Hlk36127558"/>
    <w:p w14:paraId="72CE704A" w14:textId="55288865"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45</w:t>
      </w:r>
      <w:r w:rsidRPr="00DB170D">
        <w:fldChar w:fldCharType="end"/>
      </w:r>
      <w:r>
        <w:t>.</w:t>
      </w:r>
      <w:r w:rsidR="00C31016">
        <w:t xml:space="preserve"> </w:t>
      </w:r>
      <w:r>
        <w:t>Cu privire la cererea nr. 23775/18, Guvernul subliniază că respingerea cererii de încuviințare a adopției cu efecte depline a lui M.B. de către C.E. nu are nicio relevanță asupra situației lui C.B. Deduce de aici că aceasta din urmă nu se poate considera victima unei încălcări a Convenției denunțate, astfel încât cererea este inadmisibilă în măsura în care se întemeiază pe aceasta.</w:t>
      </w:r>
      <w:bookmarkEnd w:id="32"/>
    </w:p>
    <w:p w14:paraId="74B6C0A3" w14:textId="5197A9B3"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46</w:t>
      </w:r>
      <w:r>
        <w:fldChar w:fldCharType="end"/>
      </w:r>
      <w:r w:rsidR="001968A3">
        <w:t>.</w:t>
      </w:r>
      <w:r w:rsidR="00C31016">
        <w:t xml:space="preserve"> </w:t>
      </w:r>
      <w:r w:rsidR="001968A3">
        <w:t>Reclamanții nu se pronunță cu privire la acest aspect.</w:t>
      </w:r>
    </w:p>
    <w:bookmarkStart w:id="33" w:name="_Hlk95309895"/>
    <w:p w14:paraId="220933DD" w14:textId="7D28CA19"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47</w:t>
      </w:r>
      <w:r w:rsidRPr="00DB170D">
        <w:fldChar w:fldCharType="end"/>
      </w:r>
      <w:r>
        <w:t>.</w:t>
      </w:r>
      <w:r w:rsidR="00C31016">
        <w:t xml:space="preserve"> </w:t>
      </w:r>
      <w:r>
        <w:t xml:space="preserve">Curtea își exprimă dezacordul cu poziția apărată, în ceea ce privește acest punct, de Guvern. Reamintește că, pentru ca o persoană să se poată pretinde victimă a unei încălcări a Convenției, în sensul art. 34 din Convenție, aceasta trebuie să poată demonstra că „a suportat în mod direct efectele” măsurii în litigiu. Trebuie cel puțin să existe dovezi rezonabile și convingătoare ale probabilității producerii unei încălcări în ceea ce o privește </w:t>
      </w:r>
      <w:r>
        <w:lastRenderedPageBreak/>
        <w:t xml:space="preserve">personal; simple suspiciuni sau speculații sunt insuficiente în această privință [a se vedea </w:t>
      </w:r>
      <w:bookmarkStart w:id="34" w:name="_Hlk98924530"/>
      <w:r>
        <w:rPr>
          <w:i/>
        </w:rPr>
        <w:t>Zambrano împotriva Franței</w:t>
      </w:r>
      <w:r>
        <w:t xml:space="preserve"> (dec.), nr. 41664/21, pct. 40</w:t>
      </w:r>
      <w:r>
        <w:noBreakHyphen/>
        <w:t>42, 7 octombrie 2021</w:t>
      </w:r>
      <w:bookmarkEnd w:id="34"/>
      <w:r>
        <w:t xml:space="preserve">, precum și trimiterile citate]. Or, acesta este cazul lui C.B., al cărei drept la respectarea vieții private și de familie este direct afectat de imposibilitatea de a stabili o legătură juridică de filiație între fiica sa și fosta sa parteneră. C.B este în adevăr o parte implicată în comunitatea de viață în cadrul căreia o legătură de natură filială s-a dezvoltat între fiica sa M.B. și C.E., relația care s-a dezvoltat între cele trei încă de la nașterea lui M.B. făcând parte din identitatea lor socială și personală (a se compara cu </w:t>
      </w:r>
      <w:bookmarkStart w:id="35" w:name="_Hlk98924550"/>
      <w:r>
        <w:rPr>
          <w:i/>
        </w:rPr>
        <w:t>Kalacheva împotriva Rusiei</w:t>
      </w:r>
      <w:r>
        <w:t xml:space="preserve">, nr. 3451/05, </w:t>
      </w:r>
      <w:r>
        <w:rPr>
          <w:snapToGrid w:val="0"/>
        </w:rPr>
        <w:t>7 </w:t>
      </w:r>
      <w:r>
        <w:t>mai</w:t>
      </w:r>
      <w:r>
        <w:rPr>
          <w:snapToGrid w:val="0"/>
        </w:rPr>
        <w:t> 2009</w:t>
      </w:r>
      <w:bookmarkEnd w:id="35"/>
      <w:r>
        <w:t>). Acest lucru este adevărat atât pentru C.B., cât și pentru M.B. și C.E. Prin urmare, C.B. poate pretinde că este victima încălcării art. 8 invocate în cererea nr. 23775/18.</w:t>
      </w:r>
    </w:p>
    <w:bookmarkEnd w:id="33"/>
    <w:p w14:paraId="5617687F" w14:textId="3C0E94D9" w:rsidR="00AF4A60" w:rsidRPr="00DB170D" w:rsidRDefault="00AF4A60" w:rsidP="00DB170D">
      <w:pPr>
        <w:pStyle w:val="JuH1"/>
      </w:pPr>
      <w:r>
        <w:t>Asupra aplicabilității art. 8 din Convenție.</w:t>
      </w:r>
    </w:p>
    <w:p w14:paraId="5B10A75A" w14:textId="05E38520"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48</w:t>
      </w:r>
      <w:r>
        <w:fldChar w:fldCharType="end"/>
      </w:r>
      <w:r w:rsidR="001968A3">
        <w:t>.</w:t>
      </w:r>
      <w:r w:rsidR="00C31016">
        <w:t xml:space="preserve"> </w:t>
      </w:r>
      <w:r w:rsidR="001968A3">
        <w:t>Curtea subliniază că Guvernul a declarat că nu contestă că relațiile în cauză în spețele de față țin de viața privată și de familie a lui C.E. și M.B. (cererea nr. 23775/18) și a celei a lui T.G. (cererea nr. 29693/19). Subliniind că este de acord asupra acestui punct, consideră totuși necesar să aducă următoarele precizări.</w:t>
      </w:r>
    </w:p>
    <w:p w14:paraId="28F11205" w14:textId="62629234" w:rsidR="00AF4A60" w:rsidRPr="00DB170D" w:rsidRDefault="00AF4A60" w:rsidP="00DB170D">
      <w:pPr>
        <w:pStyle w:val="JuHa0"/>
      </w:pPr>
      <w:r>
        <w:t>Cu privire la viața de familie în temeiul art. 8 din Convenție</w:t>
      </w:r>
    </w:p>
    <w:p w14:paraId="434D19FD" w14:textId="2D3E064D" w:rsidR="00AF4A60" w:rsidRPr="00DB170D" w:rsidRDefault="00DB3F2B" w:rsidP="00DB170D">
      <w:pPr>
        <w:pStyle w:val="JuPara"/>
      </w:pPr>
      <w:r>
        <w:fldChar w:fldCharType="begin"/>
      </w:r>
      <w:r>
        <w:instrText xml:space="preserve"> SEQ level0 \*arabic \* MERGEFO</w:instrText>
      </w:r>
      <w:r>
        <w:instrText xml:space="preserve">RMAT </w:instrText>
      </w:r>
      <w:r>
        <w:fldChar w:fldCharType="separate"/>
      </w:r>
      <w:r w:rsidR="00DB170D" w:rsidRPr="00DB170D">
        <w:t>49</w:t>
      </w:r>
      <w:r>
        <w:fldChar w:fldCharType="end"/>
      </w:r>
      <w:r w:rsidR="001968A3">
        <w:t>.</w:t>
      </w:r>
      <w:r w:rsidR="00C31016">
        <w:t xml:space="preserve"> </w:t>
      </w:r>
      <w:r w:rsidR="001968A3">
        <w:t xml:space="preserve">Curtea reamintește că aspectul existenței sau absenței unei vieți de familie este, în primul rând, un aspect de fapt care depinde de existența unor legături personale strânse. Noțiunea de „familie” vizată de art. 8 privește nu doar la relațiile bazate pe căsătorie, ci și alte legături de „familie” </w:t>
      </w:r>
      <w:r w:rsidR="001968A3">
        <w:rPr>
          <w:i/>
        </w:rPr>
        <w:t>de facto</w:t>
      </w:r>
      <w:r w:rsidR="001968A3">
        <w:t xml:space="preserve">, atunci când părțile conviețuiesc în afara oricărei legături maritale sau atunci când alți factori demonstrează că o relație are suficientă constanță. Curtea acceptă astfel, în anumite situații, că există o viață de familie </w:t>
      </w:r>
      <w:r w:rsidR="001968A3">
        <w:rPr>
          <w:i/>
        </w:rPr>
        <w:t>de facto</w:t>
      </w:r>
      <w:r w:rsidR="001968A3">
        <w:t xml:space="preserve"> între un adult sau adulți și un copil în lipsa unor legături </w:t>
      </w:r>
      <w:r w:rsidR="001968A3">
        <w:rPr>
          <w:rFonts w:asciiTheme="majorHAnsi" w:hAnsiTheme="majorHAnsi"/>
        </w:rPr>
        <w:t>biologice sau a unei legături recunoscute juridic, sub rezerva faptului că există legături personale efective</w:t>
      </w:r>
      <w:r w:rsidR="001968A3">
        <w:rPr>
          <w:rFonts w:asciiTheme="majorHAnsi" w:hAnsiTheme="majorHAnsi"/>
          <w:color w:val="000000"/>
        </w:rPr>
        <w:t xml:space="preserve"> [a se vedea, în special, </w:t>
      </w:r>
      <w:bookmarkStart w:id="36" w:name="_Hlk98924590"/>
      <w:r w:rsidR="001968A3">
        <w:rPr>
          <w:rFonts w:asciiTheme="majorHAnsi" w:hAnsiTheme="majorHAnsi"/>
          <w:i/>
          <w:color w:val="000000"/>
        </w:rPr>
        <w:t>Paradiso și Campanelli</w:t>
      </w:r>
      <w:r w:rsidR="00B534C1">
        <w:rPr>
          <w:rFonts w:asciiTheme="majorHAnsi" w:hAnsiTheme="majorHAnsi"/>
          <w:i/>
          <w:color w:val="000000"/>
        </w:rPr>
        <w:t xml:space="preserve"> împotriva Italiei </w:t>
      </w:r>
      <w:r w:rsidR="001968A3">
        <w:rPr>
          <w:rFonts w:asciiTheme="majorHAnsi" w:hAnsiTheme="majorHAnsi"/>
          <w:color w:val="000000"/>
        </w:rPr>
        <w:t xml:space="preserve">(MC), nr. 25358/12, pct. 140 și 148, 24 ianuarie 2017, precum și trimiterile din aceasta, și </w:t>
      </w:r>
      <w:r w:rsidR="001968A3">
        <w:rPr>
          <w:rFonts w:asciiTheme="majorHAnsi" w:hAnsiTheme="majorHAnsi"/>
          <w:i/>
        </w:rPr>
        <w:t>Honner împotriva Franței</w:t>
      </w:r>
      <w:r w:rsidR="001968A3">
        <w:rPr>
          <w:rFonts w:asciiTheme="majorHAnsi" w:hAnsiTheme="majorHAnsi"/>
        </w:rPr>
        <w:t xml:space="preserve">, nr. 19511/16, pct. 50, 12 noiembrie 2020]. A considerat, mai cu seamă, că relația dintre două femei având o relație sub regimul </w:t>
      </w:r>
      <w:r w:rsidR="001968A3">
        <w:rPr>
          <w:rFonts w:ascii="Times New Roman" w:hAnsi="Times New Roman"/>
        </w:rPr>
        <w:t xml:space="preserve">pactului civil de solidaritate și copilul pe care a doua dintre ele l-a conceput prin RAM și pe care </w:t>
      </w:r>
      <w:r w:rsidR="001968A3">
        <w:rPr>
          <w:rFonts w:ascii="Times New Roman" w:hAnsi="Times New Roman"/>
          <w:color w:val="000000"/>
        </w:rPr>
        <w:t>îl creștea împreună cu partenera sa </w:t>
      </w:r>
      <w:r w:rsidR="001968A3">
        <w:rPr>
          <w:rFonts w:ascii="Times New Roman" w:hAnsi="Times New Roman"/>
        </w:rPr>
        <w:t>reprezenta o „viață de familie</w:t>
      </w:r>
      <w:r w:rsidR="00466A8D">
        <w:rPr>
          <w:rFonts w:ascii="Times New Roman" w:hAnsi="Times New Roman"/>
        </w:rPr>
        <w:t>”</w:t>
      </w:r>
      <w:r w:rsidR="001968A3">
        <w:rPr>
          <w:rFonts w:ascii="Times New Roman" w:hAnsi="Times New Roman"/>
        </w:rPr>
        <w:t xml:space="preserve"> în sensul art. 8 din Convenție [a se vedea </w:t>
      </w:r>
      <w:r w:rsidR="001968A3">
        <w:rPr>
          <w:rFonts w:ascii="Times New Roman" w:hAnsi="Times New Roman"/>
          <w:i/>
        </w:rPr>
        <w:t>Honner</w:t>
      </w:r>
      <w:r w:rsidR="001968A3">
        <w:rPr>
          <w:rFonts w:ascii="Times New Roman" w:hAnsi="Times New Roman"/>
        </w:rPr>
        <w:t xml:space="preserve"> citată anterior, pct. </w:t>
      </w:r>
      <w:r w:rsidR="004343FF" w:rsidRPr="00DB170D">
        <w:rPr>
          <w:rFonts w:ascii="Times New Roman" w:hAnsi="Times New Roman" w:cs="Times New Roman"/>
        </w:rPr>
        <w:fldChar w:fldCharType="begin"/>
      </w:r>
      <w:r w:rsidR="004343FF" w:rsidRPr="00DB170D">
        <w:rPr>
          <w:rFonts w:ascii="Times New Roman" w:hAnsi="Times New Roman" w:cs="Times New Roman"/>
        </w:rPr>
        <w:instrText xml:space="preserve"> REF paragraph00050 \h  \* CharFormat </w:instrText>
      </w:r>
      <w:r w:rsidR="004343FF" w:rsidRPr="00DB170D">
        <w:rPr>
          <w:rFonts w:ascii="Times New Roman" w:hAnsi="Times New Roman" w:cs="Times New Roman"/>
        </w:rPr>
      </w:r>
      <w:r w:rsidR="004343FF" w:rsidRPr="00DB170D">
        <w:rPr>
          <w:rFonts w:ascii="Times New Roman" w:hAnsi="Times New Roman" w:cs="Times New Roman"/>
        </w:rPr>
        <w:fldChar w:fldCharType="separate"/>
      </w:r>
      <w:r w:rsidR="00DB170D" w:rsidRPr="00DB170D">
        <w:rPr>
          <w:rFonts w:ascii="Times New Roman" w:hAnsi="Times New Roman" w:cs="Times New Roman"/>
        </w:rPr>
        <w:t>50</w:t>
      </w:r>
      <w:r w:rsidR="004343FF" w:rsidRPr="00DB170D">
        <w:rPr>
          <w:rFonts w:ascii="Times New Roman" w:hAnsi="Times New Roman" w:cs="Times New Roman"/>
        </w:rPr>
        <w:fldChar w:fldCharType="end"/>
      </w:r>
      <w:r w:rsidR="001968A3">
        <w:rPr>
          <w:rFonts w:ascii="Times New Roman" w:hAnsi="Times New Roman"/>
        </w:rPr>
        <w:t>-</w:t>
      </w:r>
      <w:r w:rsidR="004343FF" w:rsidRPr="00DB170D">
        <w:rPr>
          <w:rFonts w:ascii="Times New Roman" w:hAnsi="Times New Roman" w:cs="Times New Roman"/>
        </w:rPr>
        <w:fldChar w:fldCharType="begin"/>
      </w:r>
      <w:r w:rsidR="004343FF" w:rsidRPr="00DB170D">
        <w:rPr>
          <w:rFonts w:ascii="Times New Roman" w:hAnsi="Times New Roman" w:cs="Times New Roman"/>
        </w:rPr>
        <w:instrText xml:space="preserve"> REF paragraph00051 \h  \* CharFormat </w:instrText>
      </w:r>
      <w:r w:rsidR="004343FF" w:rsidRPr="00DB170D">
        <w:rPr>
          <w:rFonts w:ascii="Times New Roman" w:hAnsi="Times New Roman" w:cs="Times New Roman"/>
        </w:rPr>
      </w:r>
      <w:r w:rsidR="004343FF" w:rsidRPr="00DB170D">
        <w:rPr>
          <w:rFonts w:ascii="Times New Roman" w:hAnsi="Times New Roman" w:cs="Times New Roman"/>
        </w:rPr>
        <w:fldChar w:fldCharType="separate"/>
      </w:r>
      <w:r w:rsidR="00DB170D" w:rsidRPr="00DB170D">
        <w:rPr>
          <w:rFonts w:ascii="Times New Roman" w:hAnsi="Times New Roman" w:cs="Times New Roman"/>
        </w:rPr>
        <w:t>51</w:t>
      </w:r>
      <w:r w:rsidR="004343FF" w:rsidRPr="00DB170D">
        <w:rPr>
          <w:rFonts w:ascii="Times New Roman" w:hAnsi="Times New Roman" w:cs="Times New Roman"/>
        </w:rPr>
        <w:fldChar w:fldCharType="end"/>
      </w:r>
      <w:r w:rsidR="001968A3">
        <w:rPr>
          <w:rFonts w:ascii="Times New Roman" w:hAnsi="Times New Roman"/>
        </w:rPr>
        <w:t xml:space="preserve">, </w:t>
      </w:r>
      <w:r w:rsidR="001968A3">
        <w:rPr>
          <w:rFonts w:ascii="Times New Roman" w:hAnsi="Times New Roman"/>
          <w:i/>
          <w:color w:val="000000"/>
        </w:rPr>
        <w:t>X și alții împotriva Austriei</w:t>
      </w:r>
      <w:r w:rsidR="001968A3">
        <w:rPr>
          <w:rFonts w:ascii="Times New Roman" w:hAnsi="Times New Roman"/>
          <w:color w:val="000000"/>
        </w:rPr>
        <w:t> (MC), nr. 19010/07, pct. 95, CEDO 2013, și </w:t>
      </w:r>
      <w:r w:rsidR="001968A3">
        <w:rPr>
          <w:rFonts w:ascii="Times New Roman" w:hAnsi="Times New Roman"/>
          <w:i/>
          <w:color w:val="000000"/>
        </w:rPr>
        <w:t>Gas și Dubois împotriva Franței</w:t>
      </w:r>
      <w:r w:rsidR="00B534C1">
        <w:rPr>
          <w:rFonts w:ascii="Times New Roman" w:hAnsi="Times New Roman"/>
          <w:i/>
          <w:color w:val="000000"/>
        </w:rPr>
        <w:t xml:space="preserve"> </w:t>
      </w:r>
      <w:r w:rsidR="001968A3">
        <w:rPr>
          <w:rFonts w:ascii="Times New Roman" w:hAnsi="Times New Roman"/>
          <w:color w:val="000000"/>
        </w:rPr>
        <w:t xml:space="preserve">(dec.), nr. 25951/07, 31 august 2010, </w:t>
      </w:r>
      <w:r w:rsidR="001968A3">
        <w:rPr>
          <w:rFonts w:ascii="Times New Roman" w:hAnsi="Times New Roman"/>
        </w:rPr>
        <w:t xml:space="preserve">precum și trimiterile citate]. În cauza </w:t>
      </w:r>
      <w:r w:rsidR="001968A3">
        <w:rPr>
          <w:rFonts w:ascii="Times New Roman" w:hAnsi="Times New Roman"/>
          <w:i/>
        </w:rPr>
        <w:t>Honner</w:t>
      </w:r>
      <w:r w:rsidR="001968A3">
        <w:rPr>
          <w:rFonts w:ascii="Times New Roman" w:hAnsi="Times New Roman"/>
        </w:rPr>
        <w:t xml:space="preserve"> citată anterior (</w:t>
      </w:r>
      <w:r w:rsidR="001968A3">
        <w:rPr>
          <w:rFonts w:ascii="Times New Roman" w:hAnsi="Times New Roman"/>
          <w:i/>
        </w:rPr>
        <w:t>ibidem</w:t>
      </w:r>
      <w:bookmarkEnd w:id="36"/>
      <w:r w:rsidR="001968A3">
        <w:rPr>
          <w:rFonts w:ascii="Times New Roman" w:hAnsi="Times New Roman"/>
        </w:rPr>
        <w:t xml:space="preserve">), a considerat, într-un caz în care ex-partenera mamei </w:t>
      </w:r>
      <w:r w:rsidR="001968A3">
        <w:t xml:space="preserve">biologice a unui copil se ocupase de educația acestuia timp de 4 ani și jumătate și s-a autodisponibilizat când acesta avea 4 luni pentru a se ocupa zilnic de el și de </w:t>
      </w:r>
      <w:r w:rsidR="001968A3">
        <w:lastRenderedPageBreak/>
        <w:t>fiul său biologic, că legătura dezvoltată între ea și copil pe durata anilor de viață comună intra sub incidența vieții de familie în sensul art. 8.</w:t>
      </w:r>
    </w:p>
    <w:p w14:paraId="7FEAE662" w14:textId="7573FC74" w:rsidR="00AF4A60" w:rsidRPr="00DB170D" w:rsidRDefault="00DB3F2B" w:rsidP="00DB170D">
      <w:pPr>
        <w:pStyle w:val="JuPara"/>
      </w:pPr>
      <w:r>
        <w:fldChar w:fldCharType="begin"/>
      </w:r>
      <w:r>
        <w:instrText xml:space="preserve"> SEQ level0 \*arabic \* MERGEFORMAT </w:instrText>
      </w:r>
      <w:r>
        <w:fldChar w:fldCharType="separate"/>
      </w:r>
      <w:bookmarkStart w:id="37" w:name="paragraph00050"/>
      <w:r w:rsidR="00DB170D" w:rsidRPr="00DB170D">
        <w:t>50</w:t>
      </w:r>
      <w:bookmarkEnd w:id="37"/>
      <w:r>
        <w:fldChar w:fldCharType="end"/>
      </w:r>
      <w:r w:rsidR="001968A3">
        <w:t>.</w:t>
      </w:r>
      <w:r w:rsidR="00C31016">
        <w:t xml:space="preserve"> </w:t>
      </w:r>
      <w:r w:rsidR="001968A3">
        <w:t>Cu privire la cererea nr. 23775/18, Curtea a subliniat că C.E. a crescut-o pe M.B. împreună cu soția sa, C.B., mama biologică a acesteia din urmă, timp de 4 ani, de la nașterea copilului în 2002 la separarea cuplului, în 2006. În înțelegere cu C.B., C.E. a exercitat de atunci în privința lui M.B. dreptul de vizitare și de găzduire un weekend din două și jumătate din vacanțe. În plus, C.E. plătea lunar o pensie alimentară fostei sale partenere pentru întreținerea și educația lui M.B.</w:t>
      </w:r>
    </w:p>
    <w:p w14:paraId="719537E2" w14:textId="55FA4A0F" w:rsidR="00AF4A60" w:rsidRPr="00DB170D" w:rsidRDefault="00DB3F2B" w:rsidP="00DB170D">
      <w:pPr>
        <w:pStyle w:val="JuPara"/>
        <w:rPr>
          <w:rFonts w:eastAsiaTheme="minorEastAsia"/>
        </w:rPr>
      </w:pPr>
      <w:r>
        <w:fldChar w:fldCharType="begin"/>
      </w:r>
      <w:r>
        <w:instrText xml:space="preserve"> SEQ level0 \*arabic \* MERGEFORMAT </w:instrText>
      </w:r>
      <w:r>
        <w:fldChar w:fldCharType="separate"/>
      </w:r>
      <w:bookmarkStart w:id="38" w:name="paragraph00051"/>
      <w:r w:rsidR="00DB170D" w:rsidRPr="00DB170D">
        <w:t>51</w:t>
      </w:r>
      <w:bookmarkEnd w:id="38"/>
      <w:r>
        <w:fldChar w:fldCharType="end"/>
      </w:r>
      <w:r w:rsidR="001968A3">
        <w:t>.</w:t>
      </w:r>
      <w:r w:rsidR="00C31016">
        <w:t xml:space="preserve"> </w:t>
      </w:r>
      <w:r w:rsidR="001968A3">
        <w:t>Cu privire la cererea nr. 29693/19, Curtea a subliniat că A.E. l-a crescut pe T.G. împreună cu K.G., mama biologică a acestuia din urmă, cu care se afla într-un un PACS, timp de 6 ani, de la nașterea lui T.G. în 2008 la separarea cuplului, în 2014. Constată că K. G. a consimțit la delegarea și partajarea autorității părintești și la îngrijirea alternativă, în cadrul cărora A.E. continuă să contribuie la educarea lui T.G. În afară de aceasta, A.E. a consimțit, de asemenea, în folosul lui K.G. la delegarea și partajarea autorității părintești și la îngrijirea alternativă în ceea ce privește copilul pe care l-a născut în 2011. Cei doi copii trăiesc astfel împreună, alternativ la una și la cealaltă.</w:t>
      </w:r>
    </w:p>
    <w:p w14:paraId="048DC3BA" w14:textId="3186687B" w:rsidR="00AF4A60" w:rsidRPr="00DB170D" w:rsidRDefault="00AF4A60" w:rsidP="00DB170D">
      <w:pPr>
        <w:pStyle w:val="JuPara"/>
      </w:pPr>
      <w:r w:rsidRPr="00DB170D">
        <w:rPr>
          <w:rFonts w:ascii="Times New Roman" w:hAnsi="Times New Roman" w:cs="Times New Roman"/>
        </w:rPr>
        <w:fldChar w:fldCharType="begin"/>
      </w:r>
      <w:r w:rsidRPr="00DB170D">
        <w:rPr>
          <w:rFonts w:ascii="Times New Roman" w:hAnsi="Times New Roman" w:cs="Times New Roman"/>
        </w:rPr>
        <w:instrText xml:space="preserve"> SEQ level0 \*arabic \* MERGEFORMAT </w:instrText>
      </w:r>
      <w:r w:rsidRPr="00DB170D">
        <w:rPr>
          <w:rFonts w:ascii="Times New Roman" w:hAnsi="Times New Roman" w:cs="Times New Roman"/>
        </w:rPr>
        <w:fldChar w:fldCharType="separate"/>
      </w:r>
      <w:r w:rsidR="00DB170D" w:rsidRPr="00DB170D">
        <w:rPr>
          <w:rFonts w:ascii="Times New Roman" w:hAnsi="Times New Roman" w:cs="Times New Roman"/>
        </w:rPr>
        <w:t>52</w:t>
      </w:r>
      <w:r w:rsidRPr="00DB170D">
        <w:rPr>
          <w:rFonts w:ascii="Times New Roman" w:hAnsi="Times New Roman" w:cs="Times New Roman"/>
        </w:rPr>
        <w:fldChar w:fldCharType="end"/>
      </w:r>
      <w:r>
        <w:rPr>
          <w:rFonts w:ascii="Times New Roman" w:hAnsi="Times New Roman"/>
        </w:rPr>
        <w:t>.</w:t>
      </w:r>
      <w:r w:rsidR="00C31016">
        <w:rPr>
          <w:rFonts w:ascii="Times New Roman" w:hAnsi="Times New Roman"/>
        </w:rPr>
        <w:t xml:space="preserve"> </w:t>
      </w:r>
      <w:r>
        <w:rPr>
          <w:rFonts w:ascii="Times New Roman" w:hAnsi="Times New Roman"/>
        </w:rPr>
        <w:t>Rezultă din cele de mai sus că există între M.B. și C.E, pe de o parte, și între T.G., și A.E., pe de altă parte, legături personale efective care țin</w:t>
      </w:r>
      <w:r>
        <w:rPr>
          <w:rFonts w:ascii="Times New Roman" w:hAnsi="Times New Roman"/>
          <w:color w:val="000000"/>
        </w:rPr>
        <w:t>, </w:t>
      </w:r>
      <w:r>
        <w:rPr>
          <w:rFonts w:ascii="Times New Roman" w:hAnsi="Times New Roman"/>
          <w:i/>
          <w:color w:val="000000"/>
        </w:rPr>
        <w:t>de facto</w:t>
      </w:r>
      <w:r>
        <w:rPr>
          <w:rFonts w:ascii="Times New Roman" w:hAnsi="Times New Roman"/>
          <w:color w:val="000000"/>
        </w:rPr>
        <w:t>, de legătura părinte</w:t>
      </w:r>
      <w:r>
        <w:rPr>
          <w:rFonts w:ascii="Times New Roman" w:hAnsi="Times New Roman"/>
          <w:color w:val="000000"/>
        </w:rPr>
        <w:noBreakHyphen/>
        <w:t xml:space="preserve">copil și caracterizează, prin urmare, existența unei vieți de </w:t>
      </w:r>
      <w:r>
        <w:rPr>
          <w:rFonts w:ascii="Times New Roman" w:hAnsi="Times New Roman"/>
        </w:rPr>
        <w:t>familie în sensul art. 8 din Convenție.</w:t>
      </w:r>
    </w:p>
    <w:p w14:paraId="4D9A7C54" w14:textId="1011C49E" w:rsidR="00AF4A60" w:rsidRPr="00DB170D" w:rsidRDefault="00AF4A60" w:rsidP="00DB170D">
      <w:pPr>
        <w:pStyle w:val="JuHa0"/>
      </w:pPr>
      <w:r>
        <w:t>Cu privire la viața privată în temeiul art. 8 din Convenție</w:t>
      </w:r>
    </w:p>
    <w:p w14:paraId="3AA0807A" w14:textId="27352CD1" w:rsidR="00AF4A60" w:rsidRPr="00DB170D" w:rsidRDefault="00DB3F2B" w:rsidP="00DB170D">
      <w:pPr>
        <w:pStyle w:val="JuPara"/>
        <w:rPr>
          <w:snapToGrid w:val="0"/>
        </w:rPr>
      </w:pPr>
      <w:r>
        <w:fldChar w:fldCharType="begin"/>
      </w:r>
      <w:r>
        <w:instrText xml:space="preserve"> SEQ l</w:instrText>
      </w:r>
      <w:r>
        <w:instrText xml:space="preserve">evel0 \*arabic \* MERGEFORMAT </w:instrText>
      </w:r>
      <w:r>
        <w:fldChar w:fldCharType="separate"/>
      </w:r>
      <w:r w:rsidR="00DB170D" w:rsidRPr="00DB170D">
        <w:t>53</w:t>
      </w:r>
      <w:r>
        <w:fldChar w:fldCharType="end"/>
      </w:r>
      <w:r w:rsidR="001968A3">
        <w:t>.</w:t>
      </w:r>
      <w:r w:rsidR="00C31016">
        <w:t xml:space="preserve"> </w:t>
      </w:r>
      <w:r w:rsidR="001968A3">
        <w:t>Curtea amintește că</w:t>
      </w:r>
      <w:r w:rsidR="00345E94">
        <w:t xml:space="preserve"> </w:t>
      </w:r>
      <w:r w:rsidR="001968A3">
        <w:rPr>
          <w:snapToGrid w:val="0"/>
        </w:rPr>
        <w:t>nu există niciun motiv valabil de a înțelege noțiunea de „viață privată</w:t>
      </w:r>
      <w:r w:rsidR="00466A8D">
        <w:rPr>
          <w:snapToGrid w:val="0"/>
        </w:rPr>
        <w:t>”</w:t>
      </w:r>
      <w:r w:rsidR="001968A3">
        <w:rPr>
          <w:snapToGrid w:val="0"/>
        </w:rPr>
        <w:t xml:space="preserve"> ca excluzând legăturile emoționale create și dezvoltate între un adult și un copil în afara situațiilor clasice de rudenie. Acest tip de legături ține de viața și de identitatea socială a persoanelor. În anumite cazuri care implică o relație între un adult și un copil care nu au nicio legătură biologică sau juridică, faptele pot totuși să țină de „viața privată</w:t>
      </w:r>
      <w:r w:rsidR="00466A8D">
        <w:rPr>
          <w:snapToGrid w:val="0"/>
        </w:rPr>
        <w:t>”</w:t>
      </w:r>
      <w:r w:rsidR="001968A3">
        <w:rPr>
          <w:snapToGrid w:val="0"/>
        </w:rPr>
        <w:t xml:space="preserve"> a adultului, ca și de a copilului în cauză (a se vedea, în special,</w:t>
      </w:r>
      <w:r w:rsidR="001968A3">
        <w:rPr>
          <w:i/>
        </w:rPr>
        <w:t xml:space="preserve"> </w:t>
      </w:r>
      <w:bookmarkStart w:id="39" w:name="_Hlk98924709"/>
      <w:r w:rsidR="001968A3">
        <w:rPr>
          <w:i/>
        </w:rPr>
        <w:t xml:space="preserve">Paradiso și Campanelli </w:t>
      </w:r>
      <w:r w:rsidR="001968A3">
        <w:rPr>
          <w:snapToGrid w:val="0"/>
        </w:rPr>
        <w:t>citată anterior</w:t>
      </w:r>
      <w:r w:rsidR="001968A3">
        <w:t>, pct. 161)</w:t>
      </w:r>
      <w:r w:rsidR="001968A3">
        <w:rPr>
          <w:snapToGrid w:val="0"/>
        </w:rPr>
        <w:t>.</w:t>
      </w:r>
    </w:p>
    <w:p w14:paraId="3A6D999E" w14:textId="26C5B2DD" w:rsidR="00AF4A60" w:rsidRPr="00DB170D" w:rsidRDefault="00AF4A60" w:rsidP="00DB170D">
      <w:pPr>
        <w:pStyle w:val="JuPara"/>
        <w:rPr>
          <w:szCs w:val="22"/>
        </w:rPr>
      </w:pPr>
      <w:r w:rsidRPr="00DB170D">
        <w:rPr>
          <w:snapToGrid w:val="0"/>
        </w:rPr>
        <w:fldChar w:fldCharType="begin"/>
      </w:r>
      <w:r w:rsidRPr="00DB170D">
        <w:rPr>
          <w:snapToGrid w:val="0"/>
        </w:rPr>
        <w:instrText xml:space="preserve"> SEQ level0 \*arabic \* MERGEFORMAT </w:instrText>
      </w:r>
      <w:r w:rsidRPr="00DB170D">
        <w:rPr>
          <w:snapToGrid w:val="0"/>
        </w:rPr>
        <w:fldChar w:fldCharType="separate"/>
      </w:r>
      <w:r w:rsidR="00DB170D" w:rsidRPr="00DB170D">
        <w:rPr>
          <w:snapToGrid w:val="0"/>
        </w:rPr>
        <w:t>54</w:t>
      </w:r>
      <w:r w:rsidRPr="00DB170D">
        <w:rPr>
          <w:snapToGrid w:val="0"/>
        </w:rPr>
        <w:fldChar w:fldCharType="end"/>
      </w:r>
      <w:r>
        <w:rPr>
          <w:snapToGrid w:val="0"/>
        </w:rPr>
        <w:t>.</w:t>
      </w:r>
      <w:r w:rsidR="00C31016">
        <w:rPr>
          <w:snapToGrid w:val="0"/>
        </w:rPr>
        <w:t xml:space="preserve"> </w:t>
      </w:r>
      <w:r>
        <w:rPr>
          <w:snapToGrid w:val="0"/>
        </w:rPr>
        <w:t>La fel stau lucrurile în special pentru copilul vizat,</w:t>
      </w:r>
      <w:r>
        <w:t xml:space="preserve"> filiația în care se înscrie fiecare individ fiind un aspect esențial al identității sale [a se vedea, în special, </w:t>
      </w:r>
      <w:r>
        <w:rPr>
          <w:i/>
        </w:rPr>
        <w:t>Mennesson împotriva Franței</w:t>
      </w:r>
      <w:r>
        <w:rPr>
          <w:snapToGrid w:val="0"/>
        </w:rPr>
        <w:t xml:space="preserve">, (nr. </w:t>
      </w:r>
      <w:r>
        <w:t>65192/11, pct. 46 și 96, CEDO 2014 (extrase)</w:t>
      </w:r>
      <w:bookmarkEnd w:id="39"/>
      <w:r>
        <w:t>].</w:t>
      </w:r>
    </w:p>
    <w:p w14:paraId="19AB1F50" w14:textId="12C0A560" w:rsidR="00AF4A60" w:rsidRPr="00DB170D" w:rsidRDefault="00AF4A60" w:rsidP="00DB170D">
      <w:pPr>
        <w:pStyle w:val="JuPara"/>
        <w:rPr>
          <w:snapToGrid w:val="0"/>
        </w:rPr>
      </w:pPr>
      <w:r w:rsidRPr="00DB170D">
        <w:rPr>
          <w:rFonts w:ascii="Times New Roman" w:hAnsi="Times New Roman" w:cs="Times New Roman"/>
          <w:snapToGrid w:val="0"/>
        </w:rPr>
        <w:fldChar w:fldCharType="begin"/>
      </w:r>
      <w:r w:rsidRPr="00DB170D">
        <w:rPr>
          <w:rFonts w:ascii="Times New Roman" w:hAnsi="Times New Roman" w:cs="Times New Roman"/>
          <w:snapToGrid w:val="0"/>
        </w:rPr>
        <w:instrText xml:space="preserve"> SEQ level0 \*arabic \* MERGEFORMAT </w:instrText>
      </w:r>
      <w:r w:rsidRPr="00DB170D">
        <w:rPr>
          <w:rFonts w:ascii="Times New Roman" w:hAnsi="Times New Roman" w:cs="Times New Roman"/>
          <w:snapToGrid w:val="0"/>
        </w:rPr>
        <w:fldChar w:fldCharType="separate"/>
      </w:r>
      <w:r w:rsidR="00DB170D" w:rsidRPr="00DB170D">
        <w:rPr>
          <w:rFonts w:ascii="Times New Roman" w:hAnsi="Times New Roman" w:cs="Times New Roman"/>
          <w:snapToGrid w:val="0"/>
        </w:rPr>
        <w:t>55</w:t>
      </w:r>
      <w:r w:rsidRPr="00DB170D">
        <w:rPr>
          <w:rFonts w:ascii="Times New Roman" w:hAnsi="Times New Roman" w:cs="Times New Roman"/>
          <w:snapToGrid w:val="0"/>
        </w:rPr>
        <w:fldChar w:fldCharType="end"/>
      </w:r>
      <w:r>
        <w:rPr>
          <w:rFonts w:ascii="Times New Roman" w:hAnsi="Times New Roman"/>
          <w:snapToGrid w:val="0"/>
        </w:rPr>
        <w:t>.</w:t>
      </w:r>
      <w:r w:rsidR="00C31016">
        <w:rPr>
          <w:rFonts w:ascii="Times New Roman" w:hAnsi="Times New Roman"/>
          <w:snapToGrid w:val="0"/>
        </w:rPr>
        <w:t xml:space="preserve"> </w:t>
      </w:r>
      <w:r>
        <w:rPr>
          <w:rFonts w:ascii="Times New Roman" w:hAnsi="Times New Roman"/>
          <w:snapToGrid w:val="0"/>
        </w:rPr>
        <w:t>În</w:t>
      </w:r>
      <w:r>
        <w:rPr>
          <w:rFonts w:ascii="Times New Roman" w:hAnsi="Times New Roman"/>
          <w:color w:val="000000"/>
        </w:rPr>
        <w:t xml:space="preserve"> lumina considerentelor precedente </w:t>
      </w:r>
      <w:r>
        <w:rPr>
          <w:rFonts w:ascii="Times New Roman" w:hAnsi="Times New Roman"/>
          <w:snapToGrid w:val="0"/>
        </w:rPr>
        <w:t xml:space="preserve">(supra, pct. </w:t>
      </w:r>
      <w:r w:rsidR="004343FF" w:rsidRPr="00DB170D">
        <w:rPr>
          <w:rFonts w:ascii="Times New Roman" w:hAnsi="Times New Roman" w:cs="Times New Roman"/>
          <w:snapToGrid w:val="0"/>
        </w:rPr>
        <w:fldChar w:fldCharType="begin"/>
      </w:r>
      <w:r w:rsidR="004343FF" w:rsidRPr="00DB170D">
        <w:rPr>
          <w:rFonts w:ascii="Times New Roman" w:hAnsi="Times New Roman" w:cs="Times New Roman"/>
          <w:snapToGrid w:val="0"/>
        </w:rPr>
        <w:instrText xml:space="preserve"> REF paragraph00050 \h  \* CharFormat </w:instrText>
      </w:r>
      <w:r w:rsidR="004343FF" w:rsidRPr="00DB170D">
        <w:rPr>
          <w:rFonts w:ascii="Times New Roman" w:hAnsi="Times New Roman" w:cs="Times New Roman"/>
          <w:snapToGrid w:val="0"/>
        </w:rPr>
      </w:r>
      <w:r w:rsidR="004343FF" w:rsidRPr="00DB170D">
        <w:rPr>
          <w:rFonts w:ascii="Times New Roman" w:hAnsi="Times New Roman" w:cs="Times New Roman"/>
          <w:snapToGrid w:val="0"/>
        </w:rPr>
        <w:fldChar w:fldCharType="separate"/>
      </w:r>
      <w:r w:rsidR="00DB170D" w:rsidRPr="00DB170D">
        <w:rPr>
          <w:rFonts w:ascii="Times New Roman" w:hAnsi="Times New Roman" w:cs="Times New Roman"/>
          <w:snapToGrid w:val="0"/>
        </w:rPr>
        <w:t>50</w:t>
      </w:r>
      <w:r w:rsidR="004343FF" w:rsidRPr="00DB170D">
        <w:rPr>
          <w:rFonts w:ascii="Times New Roman" w:hAnsi="Times New Roman" w:cs="Times New Roman"/>
          <w:snapToGrid w:val="0"/>
        </w:rPr>
        <w:fldChar w:fldCharType="end"/>
      </w:r>
      <w:r>
        <w:rPr>
          <w:rFonts w:ascii="Times New Roman" w:hAnsi="Times New Roman"/>
          <w:snapToGrid w:val="0"/>
        </w:rPr>
        <w:noBreakHyphen/>
      </w:r>
      <w:r w:rsidR="004343FF" w:rsidRPr="00DB170D">
        <w:rPr>
          <w:rFonts w:ascii="Times New Roman" w:hAnsi="Times New Roman" w:cs="Times New Roman"/>
          <w:snapToGrid w:val="0"/>
        </w:rPr>
        <w:fldChar w:fldCharType="begin"/>
      </w:r>
      <w:r w:rsidR="004343FF" w:rsidRPr="00DB170D">
        <w:rPr>
          <w:rFonts w:ascii="Times New Roman" w:hAnsi="Times New Roman" w:cs="Times New Roman"/>
          <w:snapToGrid w:val="0"/>
        </w:rPr>
        <w:instrText xml:space="preserve"> REF paragraph00051 \h  \* CharFormat </w:instrText>
      </w:r>
      <w:r w:rsidR="004343FF" w:rsidRPr="00DB170D">
        <w:rPr>
          <w:rFonts w:ascii="Times New Roman" w:hAnsi="Times New Roman" w:cs="Times New Roman"/>
          <w:snapToGrid w:val="0"/>
        </w:rPr>
      </w:r>
      <w:r w:rsidR="004343FF" w:rsidRPr="00DB170D">
        <w:rPr>
          <w:rFonts w:ascii="Times New Roman" w:hAnsi="Times New Roman" w:cs="Times New Roman"/>
          <w:snapToGrid w:val="0"/>
        </w:rPr>
        <w:fldChar w:fldCharType="separate"/>
      </w:r>
      <w:r w:rsidR="00DB170D" w:rsidRPr="00DB170D">
        <w:rPr>
          <w:rFonts w:ascii="Times New Roman" w:hAnsi="Times New Roman" w:cs="Times New Roman"/>
          <w:snapToGrid w:val="0"/>
        </w:rPr>
        <w:t>51</w:t>
      </w:r>
      <w:r w:rsidR="004343FF" w:rsidRPr="00DB170D">
        <w:rPr>
          <w:rFonts w:ascii="Times New Roman" w:hAnsi="Times New Roman" w:cs="Times New Roman"/>
          <w:snapToGrid w:val="0"/>
        </w:rPr>
        <w:fldChar w:fldCharType="end"/>
      </w:r>
      <w:r>
        <w:rPr>
          <w:rFonts w:ascii="Times New Roman" w:hAnsi="Times New Roman"/>
          <w:snapToGrid w:val="0"/>
        </w:rPr>
        <w:t xml:space="preserve">), Curtea constată că legăturile care s-au dezvoltat între </w:t>
      </w:r>
      <w:r>
        <w:rPr>
          <w:snapToGrid w:val="0"/>
        </w:rPr>
        <w:t>M.B. și C.E, pe de o parte, și între T.G. și A.E., pe de altă parte, țin de viața lor privată</w:t>
      </w:r>
      <w:r>
        <w:t xml:space="preserve"> în sensul art. 8 din Convenție</w:t>
      </w:r>
      <w:r>
        <w:rPr>
          <w:snapToGrid w:val="0"/>
        </w:rPr>
        <w:t>.</w:t>
      </w:r>
    </w:p>
    <w:p w14:paraId="54DCFC87" w14:textId="77777777" w:rsidR="00AF4A60" w:rsidRPr="00DB170D" w:rsidRDefault="00AF4A60" w:rsidP="00DB170D">
      <w:pPr>
        <w:pStyle w:val="JuH1"/>
      </w:pPr>
      <w:r>
        <w:lastRenderedPageBreak/>
        <w:t>Concluzia cu privire la admisibilitate</w:t>
      </w:r>
    </w:p>
    <w:bookmarkStart w:id="40" w:name="_Hlk36127606"/>
    <w:p w14:paraId="3CD0B749" w14:textId="0A55B632"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56</w:t>
      </w:r>
      <w:r w:rsidRPr="00DB170D">
        <w:fldChar w:fldCharType="end"/>
      </w:r>
      <w:r>
        <w:t>.</w:t>
      </w:r>
      <w:r w:rsidR="00C31016">
        <w:t xml:space="preserve"> </w:t>
      </w:r>
      <w:r>
        <w:t>Constatând că acest capăt de cerere întemeiat pe art. 8 din Convenție nu este nici în mod vădit nefondat și nu prezintă niciun alt motiv de inadmisibilitate în sensul art. 35 din Convenție, Curtea îl declarată admisibil.</w:t>
      </w:r>
      <w:bookmarkEnd w:id="40"/>
    </w:p>
    <w:p w14:paraId="2E14491B" w14:textId="77777777" w:rsidR="00AF4A60" w:rsidRPr="00DB170D" w:rsidRDefault="00AF4A60" w:rsidP="00DB170D">
      <w:pPr>
        <w:pStyle w:val="JuHA"/>
      </w:pPr>
      <w:bookmarkStart w:id="41" w:name="_Hlk36127650"/>
      <w:r>
        <w:t>Cu privire la fond</w:t>
      </w:r>
      <w:bookmarkEnd w:id="41"/>
    </w:p>
    <w:p w14:paraId="5B4565A0" w14:textId="77777777" w:rsidR="00AF4A60" w:rsidRPr="00DB170D" w:rsidRDefault="00AF4A60" w:rsidP="00DB170D">
      <w:pPr>
        <w:pStyle w:val="JuH1"/>
      </w:pPr>
      <w:r>
        <w:t>Argumentele părților</w:t>
      </w:r>
    </w:p>
    <w:p w14:paraId="10589CA5" w14:textId="77777777" w:rsidR="00AF4A60" w:rsidRPr="00DB170D" w:rsidRDefault="00AF4A60" w:rsidP="00DB170D">
      <w:pPr>
        <w:pStyle w:val="JuHa0"/>
      </w:pPr>
      <w:r>
        <w:t xml:space="preserve">Cererea </w:t>
      </w:r>
      <w:bookmarkStart w:id="42" w:name="_Hlk84436928"/>
      <w:r>
        <w:t>nr. 29775/18</w:t>
      </w:r>
      <w:bookmarkEnd w:id="42"/>
    </w:p>
    <w:p w14:paraId="327E2089" w14:textId="77777777" w:rsidR="00AF4A60" w:rsidRPr="00DB170D" w:rsidRDefault="00AF4A60" w:rsidP="00DB170D">
      <w:pPr>
        <w:pStyle w:val="JuHi"/>
      </w:pPr>
      <w:bookmarkStart w:id="43" w:name="_Hlk84435477"/>
      <w:r>
        <w:t>Reclamantele</w:t>
      </w:r>
    </w:p>
    <w:p w14:paraId="2BB30342" w14:textId="7A1648D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57</w:t>
      </w:r>
      <w:r>
        <w:fldChar w:fldCharType="end"/>
      </w:r>
      <w:r w:rsidR="001968A3">
        <w:t>.</w:t>
      </w:r>
      <w:r w:rsidR="00C31016">
        <w:t xml:space="preserve"> </w:t>
      </w:r>
      <w:r w:rsidR="001968A3">
        <w:t>Reclamantele subliniază că M.B. a fost crescută de cele două mame ale sale, că o puternică legătură afectivă s-a format între ea și C.E. și că C.B. a consimțit la adoptarea sa de către C.E. Ele doresc să legitimeze această relație și să se ia act de aceasta prin stabilirea unei filiații. Susțin că interesul superior al copilului impune ca M.B. să fie recunoscută ca fiica lui C.E., aceasta din urmă comportându-se ca o mamă față de ea, nașterea ei fiind dorită de aceasta cu același titlu ca C.B., la a cărei sarcină asistase, fiind prezentă la naștere, crescând și educând copilul, în prezent susținându-i nevoile și fiind a doua sa mamă din perspectiva anturajului lor.</w:t>
      </w:r>
    </w:p>
    <w:p w14:paraId="0D90CC80" w14:textId="62279D02" w:rsidR="00AF4A60" w:rsidRPr="00DB170D" w:rsidRDefault="00DB3F2B" w:rsidP="00DB170D">
      <w:pPr>
        <w:pStyle w:val="JuPara"/>
        <w:rPr>
          <w:snapToGrid w:val="0"/>
        </w:rPr>
      </w:pPr>
      <w:r>
        <w:fldChar w:fldCharType="begin"/>
      </w:r>
      <w:r>
        <w:instrText xml:space="preserve"> SEQ level0 \*arabic \* MERGEFORMAT </w:instrText>
      </w:r>
      <w:r>
        <w:fldChar w:fldCharType="separate"/>
      </w:r>
      <w:r w:rsidR="00DB170D" w:rsidRPr="00DB170D">
        <w:t>58</w:t>
      </w:r>
      <w:r>
        <w:fldChar w:fldCharType="end"/>
      </w:r>
      <w:r w:rsidR="001968A3">
        <w:t>.</w:t>
      </w:r>
      <w:r w:rsidR="00C31016">
        <w:t xml:space="preserve"> </w:t>
      </w:r>
      <w:r w:rsidR="001968A3">
        <w:t xml:space="preserve">Făcând trimitere mai cu seamă la hotărârea </w:t>
      </w:r>
      <w:r w:rsidR="001968A3">
        <w:rPr>
          <w:i/>
        </w:rPr>
        <w:t>Mennesson</w:t>
      </w:r>
      <w:r w:rsidR="001968A3">
        <w:rPr>
          <w:snapToGrid w:val="0"/>
        </w:rPr>
        <w:t xml:space="preserve"> citată anterior, reclamantele reamintesc că în dreptul la viața privată intră dreptul la identitate și impune faptul că fiecare persoană poate stabili elementele constitutive ale identității sale ca ființă umană, ceea ce include filiația. Neavând posibilitatea de a stabili filiația cu C.E., M.B. s-ar afla într-o incertitudine juridică, întrucât situația sa familială de fapt nu corespunde situației sale juridice. Se vede, în consecință, privată de dreptul de a purta numele celei de a doua mame, de dreptul de fi recunoscută din perspectiva tuturor ca un copil legitim al acesteia, precum și de locul la succesiune.</w:t>
      </w:r>
    </w:p>
    <w:p w14:paraId="070215F5" w14:textId="555FC18C" w:rsidR="00AF4A60" w:rsidRPr="00DB170D" w:rsidRDefault="00AF4A60" w:rsidP="00DB170D">
      <w:pPr>
        <w:pStyle w:val="JuPara"/>
        <w:rPr>
          <w:snapToGrid w:val="0"/>
        </w:rPr>
      </w:pPr>
      <w:r w:rsidRPr="00DB170D">
        <w:rPr>
          <w:snapToGrid w:val="0"/>
        </w:rPr>
        <w:fldChar w:fldCharType="begin"/>
      </w:r>
      <w:r w:rsidRPr="00DB170D">
        <w:rPr>
          <w:snapToGrid w:val="0"/>
        </w:rPr>
        <w:instrText xml:space="preserve"> SEQ level0 \*arabic \* MERGEFORMAT </w:instrText>
      </w:r>
      <w:r w:rsidRPr="00DB170D">
        <w:rPr>
          <w:snapToGrid w:val="0"/>
        </w:rPr>
        <w:fldChar w:fldCharType="separate"/>
      </w:r>
      <w:r w:rsidR="00DB170D" w:rsidRPr="00DB170D">
        <w:rPr>
          <w:snapToGrid w:val="0"/>
        </w:rPr>
        <w:t>59</w:t>
      </w:r>
      <w:r w:rsidRPr="00DB170D">
        <w:rPr>
          <w:snapToGrid w:val="0"/>
        </w:rPr>
        <w:fldChar w:fldCharType="end"/>
      </w:r>
      <w:r>
        <w:rPr>
          <w:snapToGrid w:val="0"/>
        </w:rPr>
        <w:t>.</w:t>
      </w:r>
      <w:r w:rsidR="00C31016">
        <w:rPr>
          <w:snapToGrid w:val="0"/>
        </w:rPr>
        <w:t xml:space="preserve"> </w:t>
      </w:r>
      <w:r>
        <w:rPr>
          <w:snapToGrid w:val="0"/>
        </w:rPr>
        <w:t>De asemenea, reclamantele se plâng de faptul că lui C.E. și M.B. nu li se permite dreptul de a avea o viață de familie normală, recunoscut de Curte pentru familiile homoparentale. Susțin că această situație generează o insecuritate pentru M.B., deoarece partajarea autorității părintești nu îi este acordată lui C.E., deși aceasta participă la deciziile care o vizează, o găzduiește un week-end din două și jumătate din vacanțe și plătește o pensie alimentară pentru a o întreține. Nedeținând autoritatea părintească, C.E. nu va fi în măsură să autorizeze un medic să efectueze un act chirurgical urgent asupra lui M.B. în caz de accident. În plus, în caz de deces al lui C.B., M.B. va fi încredințată mai degrabă bunicilor săi materni decât lui C.E. Ele susțin, în sfârșit, că omițând să ia în seamă interesul superior al copilului, instanțele interne au încălcat principiul proporționalității și nu și-au îndeplinit obligația de a se conforma Convenției.</w:t>
      </w:r>
    </w:p>
    <w:p w14:paraId="7611081B" w14:textId="33841DFC"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60</w:t>
      </w:r>
      <w:r>
        <w:fldChar w:fldCharType="end"/>
      </w:r>
      <w:r w:rsidR="001968A3">
        <w:t>.</w:t>
      </w:r>
      <w:r w:rsidR="00C31016">
        <w:t xml:space="preserve"> </w:t>
      </w:r>
      <w:r w:rsidR="001968A3">
        <w:t xml:space="preserve">De altfel, reclamantele susțin că, deoarece M.B. nu a fost concepută prin RAM efectuată în străinătate, pentru ele nu este posibilă recunoașterea </w:t>
      </w:r>
      <w:r w:rsidR="001968A3">
        <w:lastRenderedPageBreak/>
        <w:t>în comun pe care o permite cu titlu tranzitoriu art. 6 IV din Legea din 2 august 2021 privind bioetica (supra, pct. 35).</w:t>
      </w:r>
    </w:p>
    <w:p w14:paraId="0670E52E" w14:textId="77777777" w:rsidR="00AF4A60" w:rsidRPr="00DB170D" w:rsidRDefault="00AF4A60" w:rsidP="00DB170D">
      <w:pPr>
        <w:pStyle w:val="JuHi"/>
      </w:pPr>
      <w:r>
        <w:t>Guvernul</w:t>
      </w:r>
    </w:p>
    <w:p w14:paraId="3414C272" w14:textId="200D08D6"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61</w:t>
      </w:r>
      <w:r>
        <w:fldChar w:fldCharType="end"/>
      </w:r>
      <w:r w:rsidR="001968A3">
        <w:t>.</w:t>
      </w:r>
      <w:r w:rsidR="00C31016">
        <w:t xml:space="preserve"> </w:t>
      </w:r>
      <w:r w:rsidR="001968A3">
        <w:t xml:space="preserve">Guvernul declară că nu contestă faptul că refuzându-i-se lui C.E. adopția deplină a lui M.B. s-a produs o ingerință în exercitarea dreptului la respectarea </w:t>
      </w:r>
      <w:r w:rsidR="00345E94">
        <w:t>vieții</w:t>
      </w:r>
      <w:r w:rsidR="001968A3">
        <w:t xml:space="preserve"> private și de familie. Guvernul consideră totuși că ingerința era prevăzută de lege și face trimitere asupra acestui punct la art. 343 și 345</w:t>
      </w:r>
      <w:r w:rsidR="001968A3">
        <w:noBreakHyphen/>
        <w:t xml:space="preserve">1 din Codul civil, din care ar rezulta direct imposibilitatea de a adopta în afara căsătoriei copilul fostului soț. Adaugă faptul că această ingerință vizează protecția interesului superior al copilului, M.B., și astfel urmărește unul din scopurile legitime enumerate la art. 8 § 2, </w:t>
      </w:r>
      <w:r w:rsidR="00345E94">
        <w:t>și</w:t>
      </w:r>
      <w:r w:rsidR="001968A3">
        <w:t xml:space="preserve"> anume „protecția drepturilor și libertăților altora”.</w:t>
      </w:r>
    </w:p>
    <w:p w14:paraId="1B7453C0" w14:textId="62C5377A"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62</w:t>
      </w:r>
      <w:r>
        <w:fldChar w:fldCharType="end"/>
      </w:r>
      <w:r w:rsidR="001968A3">
        <w:t>.</w:t>
      </w:r>
      <w:r w:rsidR="00C31016">
        <w:t xml:space="preserve"> </w:t>
      </w:r>
      <w:r w:rsidR="001968A3">
        <w:t xml:space="preserve">Fiind vorba de proporționalitatea ingerinței în litigiu, Guvernul apreciază, în primul rând, că statului pârât trebuie să i se recunoască o largă marjă de apreciere, întrucât este în cauză o chestiune legată de adopție (face referire la hotărârea </w:t>
      </w:r>
      <w:r w:rsidR="001968A3">
        <w:rPr>
          <w:i/>
        </w:rPr>
        <w:t>Wagner și J.M.W.L. împotriva Luxemburgului</w:t>
      </w:r>
      <w:r w:rsidR="001968A3">
        <w:t>, nr. 76240/01, pct. 128, 28 iunie 2007). Acesta afirmă că adopția deplină în afara căsătoriei este un aspect delicat în societate în privința căreia nu există un punct de vedere comun în Europa.</w:t>
      </w:r>
    </w:p>
    <w:p w14:paraId="58BDB967" w14:textId="46656299" w:rsidR="00AF4A60" w:rsidRPr="00DB170D" w:rsidRDefault="00DB3F2B" w:rsidP="00DB170D">
      <w:pPr>
        <w:pStyle w:val="JuPara"/>
      </w:pPr>
      <w:r>
        <w:fldChar w:fldCharType="begin"/>
      </w:r>
      <w:r>
        <w:instrText xml:space="preserve"> SEQ level0 \*arabic \* MERGEFORMAT </w:instrText>
      </w:r>
      <w:r>
        <w:fldChar w:fldCharType="separate"/>
      </w:r>
      <w:bookmarkStart w:id="44" w:name="paragraph00063"/>
      <w:r w:rsidR="00DB170D" w:rsidRPr="00DB170D">
        <w:t>63</w:t>
      </w:r>
      <w:bookmarkEnd w:id="44"/>
      <w:r>
        <w:fldChar w:fldCharType="end"/>
      </w:r>
      <w:r w:rsidR="001968A3">
        <w:t>.</w:t>
      </w:r>
      <w:r w:rsidR="00C31016">
        <w:t xml:space="preserve"> </w:t>
      </w:r>
      <w:r w:rsidR="001968A3">
        <w:t>Guvernul subliniază în continuare că C.E. nu s-a aflat în imposibilitatea de a întreține relații continue cu M.B., deoarece, de acord cu mama biologică a copilului, a exercitat un drept de vizitare și de găzduire, fără a invoca o dificultate deosebită. În opinia sa, respingerea cererii de adopție nu le-a împiedicat să aibă o viață de familie în condiții în ansamblu comparabile cu cele în care trăiesc celelalte familii, după o separare. Guvernul contestă, în plus, teza reclamantelor conform căreia lipsa autorității părintești a lui C.E. asupra lui M.B. ar fi putut-o pune pe ultima în pericol din cauza imposibilității ca prima să își dea consimțământul pentru un act medical urgent, subliniind că într-o astfel de ipoteză medicul poate interveni legal din proprie inițiativă. De asemenea, acesta precizează faptul că reclamantele ar fi putut să își dea consimțământul pentru o delegare a autorității părintești în temeiul art. 377 din Codul civil, art. 371-4 din același cod oferind, în anumite condiții, această posibilitate părintelui care adoptă și este separat de părintele legal. Adaugă faptul că dreptul francez permite, în plus, desemnarea unui tutore testamentar și aplicarea dispozițiilor din dreptul liberalităților pentru a permite o integrare a copilului în familia care are intenția de a-l adopta și să-i fie asigurate legăturile cu părintele de intenție.</w:t>
      </w:r>
    </w:p>
    <w:p w14:paraId="017E774B" w14:textId="032D02D3" w:rsidR="00AF4A60" w:rsidRPr="00DB170D" w:rsidRDefault="00DB3F2B" w:rsidP="00DB170D">
      <w:pPr>
        <w:pStyle w:val="JuPara"/>
      </w:pPr>
      <w:r>
        <w:fldChar w:fldCharType="begin"/>
      </w:r>
      <w:r>
        <w:instrText xml:space="preserve"> SEQ level0 \*arabic \* MERGEFORM</w:instrText>
      </w:r>
      <w:r>
        <w:instrText xml:space="preserve">AT </w:instrText>
      </w:r>
      <w:r>
        <w:fldChar w:fldCharType="separate"/>
      </w:r>
      <w:r w:rsidR="00DB170D" w:rsidRPr="00DB170D">
        <w:t>64</w:t>
      </w:r>
      <w:r>
        <w:fldChar w:fldCharType="end"/>
      </w:r>
      <w:r w:rsidR="001968A3">
        <w:t>.</w:t>
      </w:r>
      <w:r w:rsidR="00C31016">
        <w:t xml:space="preserve"> </w:t>
      </w:r>
      <w:r w:rsidR="001968A3">
        <w:t xml:space="preserve">Cu privire în mod specific la dreptul la respectarea vieții private al lui M.B., Guvernul consideră că situația sa nu este comparabilă cu cea a copiilor din cauza </w:t>
      </w:r>
      <w:r w:rsidR="001968A3">
        <w:rPr>
          <w:i/>
          <w:iCs/>
        </w:rPr>
        <w:t>M</w:t>
      </w:r>
      <w:r w:rsidR="001968A3">
        <w:rPr>
          <w:i/>
        </w:rPr>
        <w:t>ennesson</w:t>
      </w:r>
      <w:r w:rsidR="001968A3">
        <w:t xml:space="preserve"> citată anterior: legătura de filiație cu mama sa biologică este stabilită, naționalitatea sa franceză nu ridică dificultăți și filiația lui C.B. nu este recunoscută în nicio altă ordine juridică. În plus, M.B. fiind de acum majoră, C.E. și aceasta pot iniția o adopție cu efecte restrânse care va avea ca </w:t>
      </w:r>
      <w:r w:rsidR="001968A3">
        <w:lastRenderedPageBreak/>
        <w:t>efect de a stabili o filiație și de a conferi celui adoptat numele celui care adoptă, precum și drepturi pe plan succesoral.</w:t>
      </w:r>
    </w:p>
    <w:p w14:paraId="6BB327AC" w14:textId="458F9B02"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65</w:t>
      </w:r>
      <w:r>
        <w:fldChar w:fldCharType="end"/>
      </w:r>
      <w:r w:rsidR="001968A3">
        <w:t>.</w:t>
      </w:r>
      <w:r w:rsidR="00C31016">
        <w:t xml:space="preserve"> </w:t>
      </w:r>
      <w:r w:rsidR="001968A3">
        <w:t>Guvernul subliniază, în plus, că, în baza unui raționament motivat, întemeiat pe motive pertinente și suficiente, în special cu privire la Convenție, instanțele interne au refuzat să admită cererea de adopție deplină. Reamintește că atunci când punerea în balanță de către autoritățile naționale a fost realizată respectându-se criteriile stabilite de jurisprudența sa, Curtea a hotărât că trebuie să existe motive serioase pentru ca opinia sa să se substituie celei emise de instanțele interne.</w:t>
      </w:r>
    </w:p>
    <w:p w14:paraId="5305F0DD" w14:textId="63C85EEC"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66</w:t>
      </w:r>
      <w:r>
        <w:fldChar w:fldCharType="end"/>
      </w:r>
      <w:r w:rsidR="001968A3">
        <w:t>.</w:t>
      </w:r>
      <w:r w:rsidR="00C31016">
        <w:t xml:space="preserve"> </w:t>
      </w:r>
      <w:r w:rsidR="001968A3">
        <w:t>Guvernul explică, în plus, că mecanismul posesiei de stat nu permite recunoașterea filiației în circumstanțe similare celei din speță. Precizează că este vorba de un mod extrem de marginal de stabilire a filiației (mai puțin de 10 cazuri pe an în prezent), utilizat în principal pentru a fi recunoscută calitatea de moștenitor al unui tată atunci când acesta nu a recunoscut copiii și pentru copiii născuți în afara căsătoriei unui tată decedat anterior nașterii lor fără a-i recunoaște. Acesta afirmă că posesia de stat, inclusă în Titlul VII din Carta I a Codului civil, intitulat „Despre filiație</w:t>
      </w:r>
      <w:r w:rsidR="00466A8D">
        <w:t>”</w:t>
      </w:r>
      <w:r w:rsidR="001968A3">
        <w:t xml:space="preserve">, a fost gândită și construită prin raportare la filiația biologică sau, cel puțin, în ceea ce privește realitatea heterosexuală a filiației. Susține că, în principiu, prin aceasta se intenționează recunoașterea unei filiații preexistente și nu stabilirea uneia care se întemeiază doar pe voința petenților. Este vorba, în opinia sa, de o prezumție aplicabilă filiațiilor întemeiate pe legătura biologică, pentru a preveni conflictele care ar rezulta din recunoașterea unei duble legături de aceeași natură, lipsită de sens în afara cadrului înrudirii de sânge. Guvernul face referire la avizul pronunțat de Curtea de Casație la 7 martie 2018 potrivit căruia instanța nu poate emite un act de notorietate care să probeze posesia de stat în beneficiul concubinului de același sex cu al părintelui în privința căruia filiația este stabilită (supra, pct. </w:t>
      </w:r>
      <w:r w:rsidR="004343FF" w:rsidRPr="00DB170D">
        <w:fldChar w:fldCharType="begin"/>
      </w:r>
      <w:r w:rsidR="004343FF" w:rsidRPr="00DB170D">
        <w:instrText xml:space="preserve"> REF paragraph00018 \h  \* CharFormat </w:instrText>
      </w:r>
      <w:r w:rsidR="004343FF" w:rsidRPr="00DB170D">
        <w:fldChar w:fldCharType="separate"/>
      </w:r>
      <w:r w:rsidR="00DB170D" w:rsidRPr="00DB170D">
        <w:t>18</w:t>
      </w:r>
      <w:r w:rsidR="004343FF" w:rsidRPr="00DB170D">
        <w:fldChar w:fldCharType="end"/>
      </w:r>
      <w:r w:rsidR="001968A3">
        <w:t>) și reamintește că doar adopția permite crearea unei duble filiații monosexuale.</w:t>
      </w:r>
    </w:p>
    <w:p w14:paraId="25F62B93" w14:textId="565952A3"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67</w:t>
      </w:r>
      <w:r>
        <w:fldChar w:fldCharType="end"/>
      </w:r>
      <w:r w:rsidR="001968A3">
        <w:t>.</w:t>
      </w:r>
      <w:r w:rsidR="00C31016">
        <w:t xml:space="preserve"> </w:t>
      </w:r>
      <w:r w:rsidR="001968A3">
        <w:t xml:space="preserve">În cele din urmă, Guvernul subliniază că, prin aplicarea dispozițiilor tranzitorii prevăzute la art. 6 IV din Legea din 2 august 2021 privind bioetica (supra, pct. </w:t>
      </w:r>
      <w:r w:rsidR="0013716B" w:rsidRPr="00DB170D">
        <w:fldChar w:fldCharType="begin"/>
      </w:r>
      <w:r w:rsidR="0013716B" w:rsidRPr="00DB170D">
        <w:instrText xml:space="preserve"> REF paragraph00035 \h  \* CharFormat </w:instrText>
      </w:r>
      <w:r w:rsidR="0013716B" w:rsidRPr="00DB170D">
        <w:fldChar w:fldCharType="separate"/>
      </w:r>
      <w:r w:rsidR="00DB170D" w:rsidRPr="00DB170D">
        <w:t>35</w:t>
      </w:r>
      <w:r w:rsidR="0013716B" w:rsidRPr="00DB170D">
        <w:fldChar w:fldCharType="end"/>
      </w:r>
      <w:r w:rsidR="001968A3">
        <w:t>), atunci când un copil s-a născut în urma unei RAM practicate în străinătate într-un cuplu de femei înainte de publicarea acestei legi, persoanele în cauză au, până la 4 august 2024, posibilitatea de a stabili filiația prin intermediul unei recunoașteri comune stabilite în fața notarului, chiar dacă s-au despărțit ulterior. Adaugă faptul că o propunere legislativă aflată în prezent în discuție în Parlament prevede, în plus, pentru cuplurile de femei care au recurs la RAM în străinătate anterior Legii privind bioetica, recurgerea la adopție pentru femeia care nu a născut, în pofida separării cuplului, dacă femeia care a născut refuză să recurgă la dispoziția tranzitorie de la art. 6 IV. Deduce de aici că reclamantele nu mai au temei să invoce încălcarea art. 8.</w:t>
      </w:r>
    </w:p>
    <w:bookmarkEnd w:id="43"/>
    <w:p w14:paraId="6FF25F58" w14:textId="77777777" w:rsidR="00AF4A60" w:rsidRPr="00DB170D" w:rsidRDefault="00AF4A60" w:rsidP="00DB170D">
      <w:pPr>
        <w:pStyle w:val="JuHa0"/>
      </w:pPr>
      <w:r>
        <w:lastRenderedPageBreak/>
        <w:t>Cererea nr. 29693/19</w:t>
      </w:r>
    </w:p>
    <w:p w14:paraId="4040B4F8" w14:textId="77777777" w:rsidR="00AF4A60" w:rsidRPr="00DB170D" w:rsidRDefault="00AF4A60" w:rsidP="00DB170D">
      <w:pPr>
        <w:pStyle w:val="JuHi"/>
      </w:pPr>
      <w:r>
        <w:t>Reclamanții</w:t>
      </w:r>
    </w:p>
    <w:p w14:paraId="0D6B6DA1" w14:textId="21E57532"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68</w:t>
      </w:r>
      <w:r>
        <w:fldChar w:fldCharType="end"/>
      </w:r>
      <w:r w:rsidR="001968A3">
        <w:t>.</w:t>
      </w:r>
      <w:r w:rsidR="00C31016">
        <w:t xml:space="preserve"> </w:t>
      </w:r>
      <w:r w:rsidR="001968A3">
        <w:t>Reclamanții contestă analiza pe care o face Guvernul asupra posesiei de stat. Subliniază că, deși puțin utilizat, este vorba de un mod de stabilire a filiației prevăzut de lege, singurul de avut în vedere pentru cuplurile separate de femei, întrucât nu au acces la adopție. Susțin că dacă, la origine, în 1804, Codul civil nu a fost conceput pentru a răspunde situației familiilor homoparentale, nimic nu împiedică interpretarea textelor în acest sens. Menționează, de altfel, că posesia de stat nu este mai fragilă decât celelalte moduri de stabilire a filiației care sunt prezumția și recunoașterea paternității, care pot, în temeiul acelorași dispoziții din Codul civil, să fie contestate într-un cadru juridic strict (făcând referire în special la art. 310-3 din Codul civil).</w:t>
      </w:r>
    </w:p>
    <w:p w14:paraId="6D5983AA" w14:textId="671C8FFE"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69</w:t>
      </w:r>
      <w:r>
        <w:fldChar w:fldCharType="end"/>
      </w:r>
      <w:r w:rsidR="001968A3">
        <w:t>.</w:t>
      </w:r>
      <w:r w:rsidR="00C31016">
        <w:t xml:space="preserve"> </w:t>
      </w:r>
      <w:r w:rsidR="001968A3">
        <w:t xml:space="preserve">În continuare, reclamanții subliniază că Guvernul admite că a existat o ingerință în dreptul lui T.G. la respectarea </w:t>
      </w:r>
      <w:r w:rsidR="00345E94">
        <w:t>vieții</w:t>
      </w:r>
      <w:r w:rsidR="001968A3">
        <w:t xml:space="preserve"> private și de familie.</w:t>
      </w:r>
      <w:r w:rsidR="00C31016">
        <w:t xml:space="preserve"> </w:t>
      </w:r>
      <w:r w:rsidR="001968A3">
        <w:t xml:space="preserve">Cu privire la aspectul dacă ingerința este prevăzută de lege, declară că nu contestă existența nici a art. 6-1 și 320 din Codul civil, nici a avizului emis de Curtea de Casație la 7 martie 2018 (supra, pct. </w:t>
      </w:r>
      <w:r w:rsidR="0013716B" w:rsidRPr="00DB170D">
        <w:fldChar w:fldCharType="begin"/>
      </w:r>
      <w:r w:rsidR="0013716B" w:rsidRPr="00DB170D">
        <w:instrText xml:space="preserve"> REF paragraph00018 \h  \* CharFormat </w:instrText>
      </w:r>
      <w:r w:rsidR="0013716B" w:rsidRPr="00DB170D">
        <w:fldChar w:fldCharType="separate"/>
      </w:r>
      <w:r w:rsidR="00DB170D" w:rsidRPr="00DB170D">
        <w:t>18</w:t>
      </w:r>
      <w:r w:rsidR="0013716B" w:rsidRPr="00DB170D">
        <w:fldChar w:fldCharType="end"/>
      </w:r>
      <w:r w:rsidR="001968A3">
        <w:t xml:space="preserve">). Subliniază totodată că această instanță a precizat, în avizul respectiv, că verificarea convenționalității cu privire mai cu seamă la art. 8 din Convenție privește examinarea de către instanța de fond. Ei menționează, de asemenea, că instanța a admis, prin hotărârile din 18 decembrie 2019 (recursul </w:t>
      </w:r>
      <w:bookmarkStart w:id="45" w:name="_Hlk93648920"/>
      <w:r w:rsidR="001968A3">
        <w:t>nr.</w:t>
      </w:r>
      <w:bookmarkEnd w:id="45"/>
      <w:r w:rsidR="001968A3">
        <w:t>18</w:t>
      </w:r>
      <w:r w:rsidR="001968A3">
        <w:noBreakHyphen/>
        <w:t>14751) și 18 martie 2020 (recursul nr. 18-15368), recunoașterea actului de naștere al copiilor concepuți în cadrul cuplurilor de femei și care menționează două mame, acceptând astfel că două femei pot fi mame în același timp, contrar prevederilor art. 320 din Codul civil. În plus, reclamanții resping argumentele Guvernului că refuzul de a stabili filiația prin posesia de stat urmărește un scop legitim, acela de a proteja drepturile copilului. Contestă că ar putea fi considerată legitimă privarea astfel a unui copil de un al doilea părinte pe plan juridic, ceea ce are drept consecință faptul că acest părinte nu-i poate transmite numele său și nu exercită autoritatea părintească, iar copilul nu are drepturi succesorale față de el. Conform reclamanților, conflictele de filiație evocate de Guvern sunt pur ipotetice.</w:t>
      </w:r>
    </w:p>
    <w:p w14:paraId="1E1D0A38" w14:textId="4837289A"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70</w:t>
      </w:r>
      <w:r>
        <w:fldChar w:fldCharType="end"/>
      </w:r>
      <w:r w:rsidR="001968A3">
        <w:t>.</w:t>
      </w:r>
      <w:r w:rsidR="00C31016">
        <w:t xml:space="preserve"> </w:t>
      </w:r>
      <w:r w:rsidR="001968A3">
        <w:t xml:space="preserve">Fiind vorba de proporționalitatea ingerinței în litigiu, reclamanții invocă faptul că, dacă A.E. și T.G. au menținut în fapt o legătură de familie, această legătură nu are protecție juridică. Mama biologică a copilului ar putea decide unilateral să-i pună capăt – ceea ce ar obliga-o pe A.E. să sesizeze instanța cu o cerere de menținere a legăturii, fără ca succesul să-i fie garantat. La fel, ar putea solicita instanței să pună capăt partajării autorității părintești. Reclamanții contestă, de altfel, aprecierile Guvernului asupra motivelor hotărârii pronunțate în cauza lor și invocă faptul că instanța ar fi putut, de asemenea, concluziona că refuzul de a li se recunoaște posesia de stat presupunea încălcarea dreptului lui T.G. la respectarea </w:t>
      </w:r>
      <w:r w:rsidR="00345E94">
        <w:t>vieții</w:t>
      </w:r>
      <w:r w:rsidR="001968A3">
        <w:t xml:space="preserve"> private și de familie și era discriminatoriu întrucât refuzul nu ar fi existat într-un context </w:t>
      </w:r>
      <w:r w:rsidR="001968A3">
        <w:lastRenderedPageBreak/>
        <w:t>heteroparental. Reclamanții subliniază, de asemenea, că legăturile de filiație juridică sunt elemente ale identității persoanelor și că, de asemenea, Curtea reamintește cât de esențial este ca identitatea unei persoane să poată fi recunoscută și protejată.</w:t>
      </w:r>
    </w:p>
    <w:p w14:paraId="5B1DCAC1" w14:textId="1144E5CC" w:rsidR="00AF4A60" w:rsidRPr="00DB170D" w:rsidRDefault="00DB3F2B" w:rsidP="00DB170D">
      <w:pPr>
        <w:pStyle w:val="JuPara"/>
      </w:pPr>
      <w:r>
        <w:fldChar w:fldCharType="begin"/>
      </w:r>
      <w:r>
        <w:instrText xml:space="preserve"> SEQ level0 \*ar</w:instrText>
      </w:r>
      <w:r>
        <w:instrText xml:space="preserve">abic \* MERGEFORMAT </w:instrText>
      </w:r>
      <w:r>
        <w:fldChar w:fldCharType="separate"/>
      </w:r>
      <w:bookmarkStart w:id="46" w:name="paragraph00071"/>
      <w:r w:rsidR="00DB170D" w:rsidRPr="00DB170D">
        <w:t>71</w:t>
      </w:r>
      <w:bookmarkEnd w:id="46"/>
      <w:r>
        <w:fldChar w:fldCharType="end"/>
      </w:r>
      <w:r w:rsidR="001968A3">
        <w:t>.</w:t>
      </w:r>
      <w:r w:rsidR="00C31016">
        <w:t xml:space="preserve"> </w:t>
      </w:r>
      <w:r w:rsidR="001968A3">
        <w:t xml:space="preserve">În privința evoluției dreptului intern menționate de Guvern, reclamanții precizează că mama biologică a lui T.G. refuză recunoașterea în comun a maternității pe care o permite cu titlu tranzitoriu art. 6 IV din Legea din 2 august 2021 privind bioetica (supra, pct. </w:t>
      </w:r>
      <w:r w:rsidR="0013716B" w:rsidRPr="00DB170D">
        <w:fldChar w:fldCharType="begin"/>
      </w:r>
      <w:r w:rsidR="0013716B" w:rsidRPr="00DB170D">
        <w:instrText xml:space="preserve"> REF paragraph00035 \h  \* CharFormat </w:instrText>
      </w:r>
      <w:r w:rsidR="0013716B" w:rsidRPr="00DB170D">
        <w:fldChar w:fldCharType="separate"/>
      </w:r>
      <w:r w:rsidR="00DB170D" w:rsidRPr="00DB170D">
        <w:t>35</w:t>
      </w:r>
      <w:r w:rsidR="0013716B" w:rsidRPr="00DB170D">
        <w:fldChar w:fldCharType="end"/>
      </w:r>
      <w:r w:rsidR="001968A3">
        <w:t>).</w:t>
      </w:r>
    </w:p>
    <w:p w14:paraId="20F821BC" w14:textId="77777777" w:rsidR="00AF4A60" w:rsidRPr="00DB170D" w:rsidRDefault="00AF4A60" w:rsidP="00DB170D">
      <w:pPr>
        <w:pStyle w:val="JuHi"/>
      </w:pPr>
      <w:r>
        <w:t>Guvernul</w:t>
      </w:r>
    </w:p>
    <w:p w14:paraId="47EA13ED" w14:textId="2DDD632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72</w:t>
      </w:r>
      <w:r>
        <w:fldChar w:fldCharType="end"/>
      </w:r>
      <w:r w:rsidR="001968A3">
        <w:t>.</w:t>
      </w:r>
      <w:r w:rsidR="00C31016">
        <w:t xml:space="preserve"> </w:t>
      </w:r>
      <w:r w:rsidR="001968A3">
        <w:t xml:space="preserve">Guvernul declară că nu contestă faptul că prin refuzul de a emite actul de notorietate s-a produs o ingerință în exercitarea dreptului la respectarea </w:t>
      </w:r>
      <w:r w:rsidR="00345E94">
        <w:t>vieții</w:t>
      </w:r>
      <w:r w:rsidR="001968A3">
        <w:t xml:space="preserve"> private și de familie. Totuși susține că această ingerință este prevăzută de lege, făcând trimitere la art. 6-1 și 320 din Codul civil și la avizul emis de Curtea de Casație la 7 martie 2018 (supra, pct. </w:t>
      </w:r>
      <w:r w:rsidR="0013716B" w:rsidRPr="00DB170D">
        <w:fldChar w:fldCharType="begin"/>
      </w:r>
      <w:r w:rsidR="0013716B" w:rsidRPr="00DB170D">
        <w:instrText xml:space="preserve"> REF paragraph00018 \h  \* CharFormat </w:instrText>
      </w:r>
      <w:r w:rsidR="0013716B" w:rsidRPr="00DB170D">
        <w:fldChar w:fldCharType="separate"/>
      </w:r>
      <w:r w:rsidR="00DB170D" w:rsidRPr="00DB170D">
        <w:t>18</w:t>
      </w:r>
      <w:r w:rsidR="0013716B" w:rsidRPr="00DB170D">
        <w:fldChar w:fldCharType="end"/>
      </w:r>
      <w:r w:rsidR="001968A3">
        <w:t>). Contestă interpretarea reclamanților potrivit căreia, din hotărârile Curții de Casație din 18 decembrie 2019 și 18 martie 2020, ar rezulta că s-a renunțat la principiul potrivit căruia mama este femeia care a dat naștere copilului, invocând că acestea priveau un alt aspect decât cel în litigiu, și anume transcrierea actelor de naștere străine ale copiilor născuți în străinătate prin intermediul maternității de substituție, care nu este un mod de stabilire a filiației. Guvernul subliniază că aceste hotărâri sunt, în orice caz, ulterioare faptelor din speță.</w:t>
      </w:r>
    </w:p>
    <w:p w14:paraId="4062BA87" w14:textId="327FA77B"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73</w:t>
      </w:r>
      <w:r>
        <w:fldChar w:fldCharType="end"/>
      </w:r>
      <w:r w:rsidR="001968A3">
        <w:t>.</w:t>
      </w:r>
      <w:r w:rsidR="00C31016">
        <w:t xml:space="preserve"> </w:t>
      </w:r>
      <w:r w:rsidR="001968A3">
        <w:t>Guvernul susține, în continuare, că ingerința litigioasă urmărea un scop legitim, și anume protecția drepturilor și libertăților altora, în speță cele ale lui T.G. Afirmă că, prin excluderea posibilității, pentru cuplurile de același sex, de a stabili o filiație prin intermediul adopției sau al posesiei de stat, se urmărește garantarea securității juridice. Reluând aceleași precizări asupra regimului posesiei de stat ca în observațiile sale privind cererea nr. 29775/18, subliniază că este vorba de un mod marginal și precar de recunoaștere a legăturii de filiație. Adaugă faptul că este vorba de a evita conflictele de filiație, dat fiind că este posibil, în cazul separării cuplului, ca posesia de stat să nu poată fi stabilită decât după ani de procedură, apoi contestată în temeiul art. 310-3 din Codul civil, în detrimentul în primul rând al minorului.</w:t>
      </w:r>
    </w:p>
    <w:p w14:paraId="269AA28A" w14:textId="15D602D3"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74</w:t>
      </w:r>
      <w:r>
        <w:fldChar w:fldCharType="end"/>
      </w:r>
      <w:r w:rsidR="001968A3">
        <w:t>.</w:t>
      </w:r>
      <w:r w:rsidR="00C31016">
        <w:t xml:space="preserve"> </w:t>
      </w:r>
      <w:r w:rsidR="001968A3">
        <w:t>Guvernul consideră, în ceea ce privește proporționalitatea ingerinței în litigiu, că statului pârât trebuie să i se recunoască o largă marjă de apreciere în chestiunea stabilirii unei legături de filiație de intenție prin intermediul posesiei de stat din moment ce este vorba despre o problemă de societate în privința căreia nu există un punct de vedere comun în plan european și internațional.</w:t>
      </w:r>
    </w:p>
    <w:p w14:paraId="155A4547" w14:textId="2FD0AB8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75</w:t>
      </w:r>
      <w:r>
        <w:fldChar w:fldCharType="end"/>
      </w:r>
      <w:r w:rsidR="001968A3">
        <w:t>.</w:t>
      </w:r>
      <w:r w:rsidR="00C31016">
        <w:t xml:space="preserve"> </w:t>
      </w:r>
      <w:r w:rsidR="001968A3">
        <w:t xml:space="preserve">În ceea ce privește dreptul lui T.G. la respectarea </w:t>
      </w:r>
      <w:r w:rsidR="00345E94">
        <w:t>vieții</w:t>
      </w:r>
      <w:r w:rsidR="001968A3">
        <w:t xml:space="preserve"> de familie, Guvernul face referire la hotărârea </w:t>
      </w:r>
      <w:r w:rsidR="001968A3">
        <w:rPr>
          <w:i/>
        </w:rPr>
        <w:t>Mennesson</w:t>
      </w:r>
      <w:r w:rsidR="001968A3">
        <w:t xml:space="preserve"> citată anterior și amintește că situația în litigiu trebuie evaluată în concret. Cu acest titlu, constată că A.E. și T.G. întrețin în continuare relații în ciuda refuzului de a emite actul de notorietate, întrucât cel din urmă locuiește alternativ la ea și la mama sa </w:t>
      </w:r>
      <w:r w:rsidR="001968A3">
        <w:lastRenderedPageBreak/>
        <w:t>biologică, și că la cererea lor, Tribunalul de Mare Instanță din Rennes le-a acordat, la 27 mai 2010, partajarea autorității părintești, care, în temeiul art. 377-2 din Codul civil, nu se poate retrage decât printr-o hotărâre judecătorească, în cazul unor împrejurări noi și în temeiul interesului copilului.</w:t>
      </w:r>
    </w:p>
    <w:p w14:paraId="432070A9" w14:textId="3A806D97"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76</w:t>
      </w:r>
      <w:r>
        <w:fldChar w:fldCharType="end"/>
      </w:r>
      <w:r w:rsidR="001968A3">
        <w:t>.</w:t>
      </w:r>
      <w:r w:rsidR="00C31016">
        <w:t xml:space="preserve"> </w:t>
      </w:r>
      <w:r w:rsidR="001968A3">
        <w:t>Guvernul subliniază, în continuare, că, în baza unui raționament întemeiat pe motive pertinente și suficiente, în special cu privire la Convenție și la interesul superior al copilului, instanța internă a refuzat să admită cererea de eliberare a unui act de notorietate. Reamintește că Curtea a hotărât că, atunci când punerea în balanță de către autoritățile naționale a fost realizată respectându-se criteriile stabilite de jurisprudența sa, trebuie să existe motive serioase pentru ca opinia Curții să se substituie celei emise de instanțele interne.</w:t>
      </w:r>
    </w:p>
    <w:p w14:paraId="4E8EE241" w14:textId="4DE8602A"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77</w:t>
      </w:r>
      <w:r>
        <w:fldChar w:fldCharType="end"/>
      </w:r>
      <w:r w:rsidR="001968A3">
        <w:t>.</w:t>
      </w:r>
      <w:r w:rsidR="00C31016">
        <w:t xml:space="preserve"> </w:t>
      </w:r>
      <w:r w:rsidR="001968A3">
        <w:t xml:space="preserve">În sfârșit, ca în cadrul cererii nr. 29775/18 (supra, pct. </w:t>
      </w:r>
      <w:r w:rsidR="0013716B" w:rsidRPr="00DB170D">
        <w:fldChar w:fldCharType="begin"/>
      </w:r>
      <w:r w:rsidR="0013716B" w:rsidRPr="00DB170D">
        <w:instrText xml:space="preserve"> REF paragraph00063 \h  \* CharFormat </w:instrText>
      </w:r>
      <w:r w:rsidR="0013716B" w:rsidRPr="00DB170D">
        <w:fldChar w:fldCharType="separate"/>
      </w:r>
      <w:r w:rsidR="00DB170D" w:rsidRPr="00DB170D">
        <w:t>63</w:t>
      </w:r>
      <w:r w:rsidR="0013716B" w:rsidRPr="00DB170D">
        <w:fldChar w:fldCharType="end"/>
      </w:r>
      <w:r w:rsidR="001968A3">
        <w:t xml:space="preserve">), Guvernul deduce din dispoziția tranzitorie prevăzută la art. 6 IV din Legea din 2 august 2021 privind bioetica (supra, pct. </w:t>
      </w:r>
      <w:r w:rsidR="0013716B" w:rsidRPr="00DB170D">
        <w:fldChar w:fldCharType="begin"/>
      </w:r>
      <w:r w:rsidR="0013716B" w:rsidRPr="00DB170D">
        <w:instrText xml:space="preserve"> REF paragraph00035 \h  \* CharFormat </w:instrText>
      </w:r>
      <w:r w:rsidR="0013716B" w:rsidRPr="00DB170D">
        <w:fldChar w:fldCharType="separate"/>
      </w:r>
      <w:r w:rsidR="00DB170D" w:rsidRPr="00DB170D">
        <w:t>35</w:t>
      </w:r>
      <w:r w:rsidR="0013716B" w:rsidRPr="00DB170D">
        <w:fldChar w:fldCharType="end"/>
      </w:r>
      <w:r w:rsidR="001968A3">
        <w:t>) că reclamantele nu mai au temei să invoce încălcarea art. 8.</w:t>
      </w:r>
    </w:p>
    <w:p w14:paraId="5A8AAFCD" w14:textId="77777777" w:rsidR="00AF4A60" w:rsidRPr="00DB170D" w:rsidRDefault="00AF4A60" w:rsidP="00DB170D">
      <w:pPr>
        <w:pStyle w:val="JuH1"/>
      </w:pPr>
      <w:r>
        <w:t>Motivarea Curții</w:t>
      </w:r>
    </w:p>
    <w:p w14:paraId="158743A9" w14:textId="77777777" w:rsidR="00AF4A60" w:rsidRPr="00DB170D" w:rsidRDefault="00AF4A60" w:rsidP="00DB170D">
      <w:pPr>
        <w:pStyle w:val="JuHa0"/>
      </w:pPr>
      <w:r>
        <w:t>Cu privire la problema dacă prezentele cauze privesc o obligație negativă sau o obligație pozitivă</w:t>
      </w:r>
    </w:p>
    <w:bookmarkStart w:id="47" w:name="_Hlk88059890"/>
    <w:p w14:paraId="013B6B5D" w14:textId="2115F5EE"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bookmarkStart w:id="48" w:name="paragraph00078"/>
      <w:r w:rsidR="00DB170D" w:rsidRPr="00DB170D">
        <w:t>78</w:t>
      </w:r>
      <w:bookmarkEnd w:id="48"/>
      <w:r w:rsidRPr="00DB170D">
        <w:fldChar w:fldCharType="end"/>
      </w:r>
      <w:r>
        <w:t>.</w:t>
      </w:r>
      <w:r w:rsidR="00C31016">
        <w:t xml:space="preserve"> </w:t>
      </w:r>
      <w:r>
        <w:t>Curtea subliniază mai întâi, așa cum rezultă din probele furnizate de Guvern, că la momentul la care reclamanții au formulat pretențiile lor în fața instanțelor interne și apoi în fața Curții, dreptul francez nu permitea stabilirea juridică a unei legături de filiație între un copil minor și fosta parteneră a mamei sale biologice fără să afecteze situația juridică a acesteia din urmă. Indiferent de relația pe care cele două persoane în cauză o dezvoltaseră, ele nu puteau recurge, în acest scop, nici la adopția deplină, nici la adopția simplă, nici la acțiunea în posesie de stat. În plus, este necesar să se rețină că Guvernul nu pretinde că o altă cale ar fi fost disponibilă în acest scop.</w:t>
      </w:r>
    </w:p>
    <w:bookmarkEnd w:id="47"/>
    <w:p w14:paraId="5F926E67" w14:textId="29DDBFBE"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79</w:t>
      </w:r>
      <w:r w:rsidRPr="00DB170D">
        <w:fldChar w:fldCharType="end"/>
      </w:r>
      <w:r>
        <w:t>.</w:t>
      </w:r>
      <w:r w:rsidR="00C31016">
        <w:t xml:space="preserve"> </w:t>
      </w:r>
      <w:r>
        <w:t>În continuare, Curtea subliniază că, în cele două cauze, Guvernul și reclamanții sunt de acord în a admite că a existat o ingerință a unei autorități publice în exercitarea de către aceștia din urmă a dreptului lor la respectarea vieții private și de familie, ca și pentru a proceda la examinarea capătului de cerere din perspectiva obligațiilor negative pe care art. 8 le impune statelor părți.</w:t>
      </w:r>
    </w:p>
    <w:p w14:paraId="0FA2584A" w14:textId="307ADC78" w:rsidR="00AF4A60" w:rsidRPr="00DB170D" w:rsidRDefault="00DB3F2B" w:rsidP="00DB170D">
      <w:pPr>
        <w:pStyle w:val="JuPara"/>
      </w:pPr>
      <w:r>
        <w:fldChar w:fldCharType="begin"/>
      </w:r>
      <w:r>
        <w:instrText xml:space="preserve"> SEQ level0 \*arabic \* MERGEFOR</w:instrText>
      </w:r>
      <w:r>
        <w:instrText xml:space="preserve">MAT </w:instrText>
      </w:r>
      <w:r>
        <w:fldChar w:fldCharType="separate"/>
      </w:r>
      <w:r w:rsidR="00DB170D" w:rsidRPr="00DB170D">
        <w:t>80</w:t>
      </w:r>
      <w:r>
        <w:fldChar w:fldCharType="end"/>
      </w:r>
      <w:r w:rsidR="001968A3">
        <w:t>.</w:t>
      </w:r>
      <w:r w:rsidR="00C31016">
        <w:t xml:space="preserve"> </w:t>
      </w:r>
      <w:r w:rsidR="001968A3">
        <w:t xml:space="preserve">Curtea nu împărtășește această abordare. Curtea subliniază astfel că, în cele două cauze, capătul de cerere întemeiat pe art. 8 nu urmărește să denunțe o atingere adusă de o autoritate publică dreptului reclamanților la respectarea </w:t>
      </w:r>
      <w:r w:rsidR="00345E94">
        <w:t>vieții</w:t>
      </w:r>
      <w:r w:rsidR="001968A3">
        <w:t xml:space="preserve"> private și de familie, ci privește unele lacune ale dreptului francez care, potrivit acestora, au dus la respingerea solicitărilor lor respective, pe care ei o estimează ca aducând un prejudiciu respectării efective a vieții lor private și de familie.</w:t>
      </w:r>
    </w:p>
    <w:p w14:paraId="6221B8EA" w14:textId="6F398EDE" w:rsidR="00AF4A60" w:rsidRPr="00DB170D" w:rsidRDefault="00DB3F2B" w:rsidP="00DB170D">
      <w:pPr>
        <w:pStyle w:val="JuPara"/>
      </w:pPr>
      <w:r>
        <w:lastRenderedPageBreak/>
        <w:fldChar w:fldCharType="begin"/>
      </w:r>
      <w:r>
        <w:instrText xml:space="preserve"> SEQ level</w:instrText>
      </w:r>
      <w:r>
        <w:instrText xml:space="preserve">0 \*arabic \* MERGEFORMAT </w:instrText>
      </w:r>
      <w:r>
        <w:fldChar w:fldCharType="separate"/>
      </w:r>
      <w:r w:rsidR="00DB170D" w:rsidRPr="00DB170D">
        <w:t>81</w:t>
      </w:r>
      <w:r>
        <w:fldChar w:fldCharType="end"/>
      </w:r>
      <w:r w:rsidR="001968A3">
        <w:t>.</w:t>
      </w:r>
      <w:r w:rsidR="00C31016">
        <w:t xml:space="preserve"> </w:t>
      </w:r>
      <w:r w:rsidR="001968A3">
        <w:t xml:space="preserve">Desigur, în cauzele </w:t>
      </w:r>
      <w:bookmarkStart w:id="49" w:name="_Hlk98924782"/>
      <w:r w:rsidR="001968A3">
        <w:rPr>
          <w:i/>
        </w:rPr>
        <w:t>Mennesson</w:t>
      </w:r>
      <w:r w:rsidR="001968A3">
        <w:t xml:space="preserve"> și </w:t>
      </w:r>
      <w:r w:rsidR="001968A3">
        <w:rPr>
          <w:i/>
        </w:rPr>
        <w:t xml:space="preserve">Wagner și J.M.W.L. </w:t>
      </w:r>
      <w:r w:rsidR="001968A3">
        <w:t xml:space="preserve">(a se vedea și </w:t>
      </w:r>
      <w:r w:rsidR="001968A3">
        <w:rPr>
          <w:i/>
        </w:rPr>
        <w:t>Negrepontis-Giannisis împotriva Greciei</w:t>
      </w:r>
      <w:r w:rsidR="001968A3">
        <w:t>, nr. 56759/08</w:t>
      </w:r>
      <w:r w:rsidR="001968A3">
        <w:rPr>
          <w:snapToGrid w:val="0"/>
        </w:rPr>
        <w:t xml:space="preserve">, 3 </w:t>
      </w:r>
      <w:r w:rsidR="001968A3">
        <w:t>mai</w:t>
      </w:r>
      <w:r w:rsidR="001968A3">
        <w:rPr>
          <w:snapToGrid w:val="0"/>
        </w:rPr>
        <w:t xml:space="preserve"> 2011</w:t>
      </w:r>
      <w:bookmarkEnd w:id="49"/>
      <w:r w:rsidR="001968A3">
        <w:rPr>
          <w:snapToGrid w:val="0"/>
        </w:rPr>
        <w:t>)</w:t>
      </w:r>
      <w:r w:rsidR="001968A3">
        <w:t>, citate de părți în alte privințe, Curtea a examinat refuzul de a recunoaște în drept legătura dintre copiii născuți prin maternitate de substituție practicată în străinătate sau adoptați în străinătate și părinții lor de intenție sau de adopție din perspectiva obligațiilor negative care decurg din art. 8. Situația reclamanților din aceste cauze, în care legătura dintre unii și ceilalți a fost în prealabil stabilită în dreptul străin, se deosebește totuși de aceea în litigiu în spețe.</w:t>
      </w:r>
    </w:p>
    <w:p w14:paraId="42BFE564" w14:textId="1BFB3BE1"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82</w:t>
      </w:r>
      <w:r>
        <w:fldChar w:fldCharType="end"/>
      </w:r>
      <w:r w:rsidR="001968A3">
        <w:t>.</w:t>
      </w:r>
      <w:r w:rsidR="00C31016">
        <w:t xml:space="preserve"> </w:t>
      </w:r>
      <w:r w:rsidR="001968A3">
        <w:t xml:space="preserve">Curtea va examina, prin urmare, capătul de cerere din perspectiva obligațiilor pozitive ale statelor părți de a garanta persoanelor aflate sub jurisdicția lor respectarea efectivă a dreptului la respectarea </w:t>
      </w:r>
      <w:r w:rsidR="00345E94">
        <w:t>vieții</w:t>
      </w:r>
      <w:r w:rsidR="001968A3">
        <w:t xml:space="preserve"> private și de familie, mai degrabă decât din perspectiva obligației de a nu interveni în exercitarea acestui drept.</w:t>
      </w:r>
    </w:p>
    <w:p w14:paraId="56CFF4E2" w14:textId="0DA2E38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83</w:t>
      </w:r>
      <w:r>
        <w:fldChar w:fldCharType="end"/>
      </w:r>
      <w:r w:rsidR="001968A3">
        <w:t>.</w:t>
      </w:r>
      <w:r w:rsidR="00C31016">
        <w:t xml:space="preserve"> </w:t>
      </w:r>
      <w:r w:rsidR="001968A3">
        <w:t xml:space="preserve">Principiile aplicabile aprecierii obligațiilor pozitive ce revin unui stat în temeiul art. 8 sunt comparabile cu cele care reglementează aprecierea obligațiilor sale negative. În ambele cazuri, trebuie să se țină seama </w:t>
      </w:r>
      <w:r w:rsidR="001968A3">
        <w:rPr>
          <w:rFonts w:asciiTheme="majorHAnsi" w:hAnsiTheme="majorHAnsi"/>
        </w:rPr>
        <w:t xml:space="preserve">de menținerea echilibrului just între interesul general și interesele persoanei în cauză, obiectivele vizate la paragraful 2 de la art. 8 având un anumit rol. </w:t>
      </w:r>
      <w:r w:rsidR="001968A3">
        <w:t>Noțiunea de „respect” nu este clară, în special în ceea ce privește obligațiile pozitive</w:t>
      </w:r>
      <w:r w:rsidR="001968A3">
        <w:rPr>
          <w:rFonts w:asciiTheme="majorHAnsi" w:hAnsiTheme="majorHAnsi"/>
          <w:color w:val="000000"/>
        </w:rPr>
        <w:t xml:space="preserve"> inerente acestei noțiuni; dată fiind diversitatea practicilor urmate și a condițiilor existente în statele contractante, cerințele sale variază foarte mult de la un caz la altul </w:t>
      </w:r>
      <w:bookmarkStart w:id="50" w:name="_Hlk98924828"/>
      <w:r w:rsidR="001968A3">
        <w:rPr>
          <w:rFonts w:asciiTheme="majorHAnsi" w:hAnsiTheme="majorHAnsi"/>
          <w:color w:val="000000"/>
        </w:rPr>
        <w:t>[</w:t>
      </w:r>
      <w:r w:rsidR="001968A3">
        <w:rPr>
          <w:rFonts w:asciiTheme="majorHAnsi" w:hAnsiTheme="majorHAnsi"/>
          <w:i/>
          <w:color w:val="000000"/>
        </w:rPr>
        <w:t>Christine Goodwin împotriva Regatului Unit </w:t>
      </w:r>
      <w:r w:rsidR="001968A3">
        <w:rPr>
          <w:rFonts w:asciiTheme="majorHAnsi" w:hAnsiTheme="majorHAnsi"/>
          <w:color w:val="000000"/>
        </w:rPr>
        <w:t>(MC), nr. 28957/95, pct. 72, CEDO 2002</w:t>
      </w:r>
      <w:r w:rsidR="001968A3">
        <w:rPr>
          <w:rFonts w:asciiTheme="majorHAnsi" w:hAnsiTheme="majorHAnsi"/>
          <w:color w:val="000000"/>
        </w:rPr>
        <w:noBreakHyphen/>
        <w:t xml:space="preserve">VI]. Curtea, cu toate acestea, a considerat că un număr de elemente sunt relevante pentru aprecierea conținutului obligațiilor pozitive care incumbă statelor. </w:t>
      </w:r>
      <w:r w:rsidR="001968A3">
        <w:t>Unele dintre aceste elemente îl privesc pe reclamant</w:t>
      </w:r>
      <w:r w:rsidR="001968A3">
        <w:rPr>
          <w:rFonts w:asciiTheme="majorHAnsi" w:hAnsiTheme="majorHAnsi"/>
          <w:color w:val="000000"/>
        </w:rPr>
        <w:t>, de exemplu importanța interesului aflat în joc sau punerea în discuție a unor „valori fundamentale</w:t>
      </w:r>
      <w:r w:rsidR="00466A8D">
        <w:rPr>
          <w:rFonts w:asciiTheme="majorHAnsi" w:hAnsiTheme="majorHAnsi"/>
          <w:color w:val="000000"/>
        </w:rPr>
        <w:t>”</w:t>
      </w:r>
      <w:r w:rsidR="001968A3">
        <w:rPr>
          <w:rFonts w:asciiTheme="majorHAnsi" w:hAnsiTheme="majorHAnsi"/>
          <w:color w:val="000000"/>
        </w:rPr>
        <w:t xml:space="preserve"> sau a unor „aspecte esențiale</w:t>
      </w:r>
      <w:r w:rsidR="00466A8D">
        <w:rPr>
          <w:rFonts w:asciiTheme="majorHAnsi" w:hAnsiTheme="majorHAnsi"/>
          <w:color w:val="000000"/>
        </w:rPr>
        <w:t>”</w:t>
      </w:r>
      <w:r w:rsidR="001968A3">
        <w:rPr>
          <w:rFonts w:asciiTheme="majorHAnsi" w:hAnsiTheme="majorHAnsi"/>
          <w:color w:val="000000"/>
        </w:rPr>
        <w:t xml:space="preserve"> ale vieții sale private (</w:t>
      </w:r>
      <w:r w:rsidR="001968A3">
        <w:rPr>
          <w:i/>
        </w:rPr>
        <w:t>X și Y împotriva Ţărilor de Jos</w:t>
      </w:r>
      <w:r w:rsidR="001968A3">
        <w:t>, 26 martie 1985, pct. 27, seria A nr. 9, și</w:t>
      </w:r>
      <w:r w:rsidR="001968A3">
        <w:rPr>
          <w:rFonts w:asciiTheme="majorHAnsi" w:hAnsiTheme="majorHAnsi"/>
          <w:color w:val="000000"/>
        </w:rPr>
        <w:t> </w:t>
      </w:r>
      <w:r w:rsidR="001968A3">
        <w:rPr>
          <w:i/>
        </w:rPr>
        <w:t>Gaskin împotriva Regatului Unit</w:t>
      </w:r>
      <w:r w:rsidR="001968A3">
        <w:t>, 7 iulie 1989, pct. 49, seria A nr. 160</w:t>
      </w:r>
      <w:r w:rsidR="001968A3">
        <w:rPr>
          <w:rFonts w:asciiTheme="majorHAnsi" w:hAnsiTheme="majorHAnsi"/>
          <w:color w:val="000000"/>
        </w:rPr>
        <w:t>), precum și impactul asupra reclamantului avut de un conflict între realitatea socială și drept, deoarece coerența practicilor administrative și juridice în ordinea internă are o mare importanță pentru aprecierea care trebuie făcută din perspectiva art. 8 (</w:t>
      </w:r>
      <w:r w:rsidR="001968A3">
        <w:rPr>
          <w:rFonts w:asciiTheme="majorHAnsi" w:hAnsiTheme="majorHAnsi"/>
          <w:i/>
          <w:color w:val="000000"/>
        </w:rPr>
        <w:t>B. împotriva Franței</w:t>
      </w:r>
      <w:r w:rsidR="001968A3">
        <w:rPr>
          <w:rFonts w:asciiTheme="majorHAnsi" w:hAnsiTheme="majorHAnsi"/>
          <w:color w:val="000000"/>
        </w:rPr>
        <w:t>, 25 martie 1992, pct. 63, seria A nr. 232-C, și </w:t>
      </w:r>
      <w:r w:rsidR="001968A3">
        <w:rPr>
          <w:rFonts w:asciiTheme="majorHAnsi" w:hAnsiTheme="majorHAnsi"/>
          <w:i/>
          <w:color w:val="000000"/>
        </w:rPr>
        <w:t>Christine Goodwin</w:t>
      </w:r>
      <w:r w:rsidR="001968A3">
        <w:rPr>
          <w:rFonts w:asciiTheme="majorHAnsi" w:hAnsiTheme="majorHAnsi"/>
          <w:color w:val="000000"/>
        </w:rPr>
        <w:t>,</w:t>
      </w:r>
      <w:r w:rsidR="001968A3">
        <w:rPr>
          <w:rFonts w:asciiTheme="majorHAnsi" w:hAnsiTheme="majorHAnsi"/>
          <w:i/>
          <w:color w:val="000000"/>
        </w:rPr>
        <w:t> </w:t>
      </w:r>
      <w:r w:rsidR="001968A3">
        <w:rPr>
          <w:rFonts w:asciiTheme="majorHAnsi" w:hAnsiTheme="majorHAnsi"/>
          <w:color w:val="000000"/>
        </w:rPr>
        <w:t xml:space="preserve">citată anterior, pct. 77-78). </w:t>
      </w:r>
      <w:bookmarkEnd w:id="50"/>
      <w:r w:rsidR="001968A3">
        <w:t xml:space="preserve">Alte elemente </w:t>
      </w:r>
      <w:r w:rsidR="001968A3">
        <w:rPr>
          <w:rFonts w:asciiTheme="majorHAnsi" w:hAnsiTheme="majorHAnsi"/>
          <w:color w:val="000000"/>
        </w:rPr>
        <w:t xml:space="preserve">privesc impactul pretinsei obligații pozitive asupra statului în cauză, de exemplu caracterul amplu </w:t>
      </w:r>
      <w:r w:rsidR="00345E94">
        <w:rPr>
          <w:rFonts w:asciiTheme="majorHAnsi" w:hAnsiTheme="majorHAnsi"/>
          <w:color w:val="000000"/>
        </w:rPr>
        <w:t>și</w:t>
      </w:r>
      <w:r w:rsidR="001968A3">
        <w:rPr>
          <w:rFonts w:asciiTheme="majorHAnsi" w:hAnsiTheme="majorHAnsi"/>
          <w:color w:val="000000"/>
        </w:rPr>
        <w:t xml:space="preserve"> nedeterminat, sau restrâns și definit, al acestei obligații (</w:t>
      </w:r>
      <w:bookmarkStart w:id="51" w:name="_Hlk98924878"/>
      <w:r w:rsidR="001968A3">
        <w:rPr>
          <w:rFonts w:asciiTheme="majorHAnsi" w:hAnsiTheme="majorHAnsi"/>
          <w:i/>
          <w:color w:val="000000"/>
        </w:rPr>
        <w:t>Botta împotriva Italiei</w:t>
      </w:r>
      <w:r w:rsidR="001968A3">
        <w:rPr>
          <w:rFonts w:asciiTheme="majorHAnsi" w:hAnsiTheme="majorHAnsi"/>
          <w:color w:val="000000"/>
        </w:rPr>
        <w:t>, 24 februarie 1998, pct. 35, </w:t>
      </w:r>
      <w:r w:rsidR="001968A3">
        <w:rPr>
          <w:rFonts w:asciiTheme="majorHAnsi" w:hAnsiTheme="majorHAnsi"/>
          <w:i/>
          <w:iCs/>
          <w:color w:val="000000"/>
        </w:rPr>
        <w:t>Culegere</w:t>
      </w:r>
      <w:r w:rsidR="001968A3">
        <w:rPr>
          <w:rFonts w:asciiTheme="majorHAnsi" w:hAnsiTheme="majorHAnsi"/>
          <w:color w:val="000000"/>
        </w:rPr>
        <w:t> 1998-I) sau dimensiunea sarcinii pe care obligația o impune acestuia (</w:t>
      </w:r>
      <w:r w:rsidR="001968A3">
        <w:rPr>
          <w:rFonts w:asciiTheme="majorHAnsi" w:hAnsiTheme="majorHAnsi"/>
          <w:i/>
          <w:color w:val="000000"/>
        </w:rPr>
        <w:t>Rees împotriva Regatului Unit</w:t>
      </w:r>
      <w:r w:rsidR="001968A3">
        <w:rPr>
          <w:rFonts w:asciiTheme="majorHAnsi" w:hAnsiTheme="majorHAnsi"/>
          <w:color w:val="000000"/>
        </w:rPr>
        <w:t xml:space="preserve">, 17 octombrie 1986, pct. 43-44, seria A nr. 106, și </w:t>
      </w:r>
      <w:r w:rsidR="001968A3">
        <w:rPr>
          <w:rFonts w:asciiTheme="majorHAnsi" w:hAnsiTheme="majorHAnsi"/>
          <w:i/>
          <w:color w:val="000000"/>
        </w:rPr>
        <w:t>Christine Goodwin</w:t>
      </w:r>
      <w:r w:rsidR="001968A3">
        <w:rPr>
          <w:rFonts w:asciiTheme="majorHAnsi" w:hAnsiTheme="majorHAnsi"/>
          <w:color w:val="000000"/>
        </w:rPr>
        <w:t>, citată anterior, pct. 86-88).</w:t>
      </w:r>
    </w:p>
    <w:p w14:paraId="02F26DDA" w14:textId="4C9B5D8D"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84</w:t>
      </w:r>
      <w:r>
        <w:fldChar w:fldCharType="end"/>
      </w:r>
      <w:r w:rsidR="001968A3">
        <w:t>.</w:t>
      </w:r>
      <w:r w:rsidR="00C31016">
        <w:t xml:space="preserve"> </w:t>
      </w:r>
      <w:r w:rsidR="001968A3">
        <w:t xml:space="preserve">De altfel, precum în materie de obligații negative, statele beneficiază de o anumită marjă de apreciere în punerea în aplicare a obligațiilor pozitive care le revin în temeiul art. 8 [pentru enunțarea acestor principii, a se vedea, </w:t>
      </w:r>
      <w:r w:rsidR="001968A3">
        <w:lastRenderedPageBreak/>
        <w:t xml:space="preserve">de exemplu, </w:t>
      </w:r>
      <w:r w:rsidR="001968A3">
        <w:rPr>
          <w:i/>
        </w:rPr>
        <w:t>Hämäläinen împotriva Finlandei</w:t>
      </w:r>
      <w:r w:rsidR="001968A3">
        <w:t xml:space="preserve"> (MC) (nr. 37359/09, pct. 65-67, CEDO 2014)].</w:t>
      </w:r>
    </w:p>
    <w:bookmarkEnd w:id="51"/>
    <w:p w14:paraId="296CFF51" w14:textId="0061676D" w:rsidR="00AF4A60" w:rsidRPr="00DB170D" w:rsidRDefault="00AF4A60" w:rsidP="00DB170D">
      <w:pPr>
        <w:pStyle w:val="JuHa0"/>
      </w:pPr>
      <w:r>
        <w:t>Cu privire la marja de apreciere</w:t>
      </w:r>
    </w:p>
    <w:p w14:paraId="558B85F7" w14:textId="63776E00" w:rsidR="00AF4A60" w:rsidRPr="00DB170D" w:rsidRDefault="00DB3F2B" w:rsidP="00DB170D">
      <w:pPr>
        <w:pStyle w:val="JuPara"/>
      </w:pPr>
      <w:r>
        <w:fldChar w:fldCharType="begin"/>
      </w:r>
      <w:r>
        <w:instrText xml:space="preserve"> SEQ level0 </w:instrText>
      </w:r>
      <w:r>
        <w:instrText xml:space="preserve">\*arabic \* MERGEFORMAT </w:instrText>
      </w:r>
      <w:r>
        <w:fldChar w:fldCharType="separate"/>
      </w:r>
      <w:r w:rsidR="00DB170D" w:rsidRPr="00DB170D">
        <w:t>85</w:t>
      </w:r>
      <w:r>
        <w:fldChar w:fldCharType="end"/>
      </w:r>
      <w:r w:rsidR="001968A3">
        <w:t>.</w:t>
      </w:r>
      <w:r w:rsidR="00C31016">
        <w:t xml:space="preserve"> </w:t>
      </w:r>
      <w:r w:rsidR="001968A3">
        <w:t xml:space="preserve">Pentru a determina amploarea marjei de apreciere, este necesar să se țină seama de o serie de factori. Atunci când miza o reprezintă un aspect deosebit de important al existenței sau al identității unei persoane, marja lăsată statului este restrânsă. În schimb, această marjă de apreciere este mai amplă în cazul în care nu există un consens în rândul statelor membre ale Consiliului Europei cu privire la importanța relativă a intereselor aflate în joc sau cu privire la cele mai bune mijloace de a le proteja, în special atunci când cauza ridică probleme morale sau etice delicate. În general, aceasta este mai amplă atunci când statul trebuie să mențină un echilibru între interese private și publice concurente sau între diferitele drepturi conflictuale protejate de Convenție [a se vedea, în special, </w:t>
      </w:r>
      <w:bookmarkStart w:id="52" w:name="_Hlk98925006"/>
      <w:r w:rsidR="001968A3">
        <w:rPr>
          <w:i/>
        </w:rPr>
        <w:t>A.P., Garçon și Nicot împotriva Franței</w:t>
      </w:r>
      <w:r w:rsidR="001968A3">
        <w:t xml:space="preserve">, nr. 79885/12 și alte 2 cereri, pct. 121, 6 aprilie 2017, </w:t>
      </w:r>
      <w:r w:rsidR="001968A3">
        <w:rPr>
          <w:i/>
        </w:rPr>
        <w:t>Hämäläinen</w:t>
      </w:r>
      <w:r w:rsidR="001968A3">
        <w:t>, citată anterior, pct. 67</w:t>
      </w:r>
      <w:bookmarkEnd w:id="52"/>
      <w:r w:rsidR="001968A3">
        <w:t>, și trimiterile citate, și avizul consultativ privind recunoașterea în dreptul intern a unei legături de filiație între un copil născut în străinătate prin intermediul maternității de substituție și mama de intenție (MC), cererea nr. P16-2018-001, Curtea de Casație franceză, 10 aprilie 2019, pct. 43</w:t>
      </w:r>
      <w:r w:rsidR="001968A3">
        <w:noBreakHyphen/>
        <w:t>44].</w:t>
      </w:r>
    </w:p>
    <w:p w14:paraId="7D57560B" w14:textId="31B5327D" w:rsidR="00DB170D" w:rsidRPr="00DB170D" w:rsidRDefault="00DB3F2B" w:rsidP="00DB170D">
      <w:pPr>
        <w:pStyle w:val="JuPara"/>
      </w:pPr>
      <w:r>
        <w:fldChar w:fldCharType="begin"/>
      </w:r>
      <w:r>
        <w:instrText xml:space="preserve"> S</w:instrText>
      </w:r>
      <w:r>
        <w:instrText xml:space="preserve">EQ level0 \*arabic \* MERGEFORMAT </w:instrText>
      </w:r>
      <w:r>
        <w:fldChar w:fldCharType="separate"/>
      </w:r>
      <w:r w:rsidR="00DB170D" w:rsidRPr="00DB170D">
        <w:t>86</w:t>
      </w:r>
      <w:r>
        <w:fldChar w:fldCharType="end"/>
      </w:r>
      <w:r w:rsidR="001968A3">
        <w:t>.</w:t>
      </w:r>
      <w:r w:rsidR="00C31016">
        <w:t xml:space="preserve"> </w:t>
      </w:r>
      <w:r w:rsidR="001968A3">
        <w:t>Curta subliniază că prezentele cereri, care se referă la problema recunoașterii în drept a unei filiații între copii și persoane cu care nu au o legătură biologică, pun întrebări de etică. Pe de altă parte, evidențiază că reclamanții nu contestă indicația Guvernului conform căreia nu există consens european în materie de stabilire a unei legături juridice de filiație între un copil și fosta soție a mamei sale biologice.</w:t>
      </w:r>
    </w:p>
    <w:bookmarkStart w:id="53" w:name="_Hlk95312063"/>
    <w:p w14:paraId="4D6ADEF0" w14:textId="401294FA"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87</w:t>
      </w:r>
      <w:r w:rsidRPr="00DB170D">
        <w:fldChar w:fldCharType="end"/>
      </w:r>
      <w:r>
        <w:t>.</w:t>
      </w:r>
      <w:r w:rsidR="00C31016">
        <w:t xml:space="preserve"> </w:t>
      </w:r>
      <w:r>
        <w:t>Aceste elemente susțin recunoașterea unei marje importante de apreciere.</w:t>
      </w:r>
    </w:p>
    <w:p w14:paraId="673E58E5" w14:textId="635309A8"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88</w:t>
      </w:r>
      <w:r>
        <w:fldChar w:fldCharType="end"/>
      </w:r>
      <w:r w:rsidR="001968A3">
        <w:t>.</w:t>
      </w:r>
      <w:r w:rsidR="00C31016">
        <w:rPr>
          <w:b/>
        </w:rPr>
        <w:t xml:space="preserve"> </w:t>
      </w:r>
      <w:r w:rsidR="001968A3">
        <w:t>Cu toate acestea, trebuie luat în seamă și faptul că un aspect esențial al identității persoanei este în joc în ceea ce privește legătura dintre copil și părinte. Este, în special, cazul legăturii de filiație dintre o persoană și părintele său, mai cu seamă atunci această persoană este minoră.</w:t>
      </w:r>
    </w:p>
    <w:p w14:paraId="0D4A65F3" w14:textId="5458214C"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89</w:t>
      </w:r>
      <w:r>
        <w:fldChar w:fldCharType="end"/>
      </w:r>
      <w:r w:rsidR="001968A3">
        <w:t>.</w:t>
      </w:r>
      <w:r w:rsidR="00C31016">
        <w:rPr>
          <w:b/>
        </w:rPr>
        <w:t xml:space="preserve"> </w:t>
      </w:r>
      <w:r w:rsidR="001968A3">
        <w:t xml:space="preserve">Statul pârât dispunea, prin urmare, în speță de o marjă redusă de apreciere în ceea ce privește examinarea situației copiilor în cauză, M.B. și T.G. (a se compara cu </w:t>
      </w:r>
      <w:bookmarkStart w:id="54" w:name="_Hlk98925097"/>
      <w:r w:rsidR="001968A3">
        <w:rPr>
          <w:i/>
        </w:rPr>
        <w:t>Mennesson,</w:t>
      </w:r>
      <w:r w:rsidR="001968A3">
        <w:t xml:space="preserve"> citată anterior, pct. 80</w:t>
      </w:r>
      <w:bookmarkEnd w:id="54"/>
      <w:r w:rsidR="00C31016">
        <w:t>;</w:t>
      </w:r>
      <w:r w:rsidR="001968A3">
        <w:t xml:space="preserve"> a se vedea, de asemenea, avizul consultativ citat anterior, </w:t>
      </w:r>
      <w:bookmarkStart w:id="55" w:name="_Hlk98925145"/>
      <w:r w:rsidR="001968A3">
        <w:t>pct. 44-45</w:t>
      </w:r>
      <w:bookmarkEnd w:id="55"/>
      <w:r w:rsidR="001968A3">
        <w:t>).</w:t>
      </w:r>
    </w:p>
    <w:bookmarkEnd w:id="53"/>
    <w:p w14:paraId="7A35CE13" w14:textId="2FFF25A8"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90</w:t>
      </w:r>
      <w:r w:rsidRPr="00DB170D">
        <w:fldChar w:fldCharType="end"/>
      </w:r>
      <w:r>
        <w:t>.</w:t>
      </w:r>
      <w:r w:rsidR="00C31016">
        <w:t xml:space="preserve"> </w:t>
      </w:r>
      <w:r>
        <w:t xml:space="preserve">De altfel, alegerile făcute de stat, chiar în limitele acestei marje, fac obiectul controlului Curții, căreia îi revine sarcina să examineze cu atenție argumentele luate în considerare pentru a ajunge la soluția reținută și să verifice dacă s-a realizat un echilibru just între interesele concurente în joc. Astfel, trebuie să aibă în vedere principiul esențial potrivit căruia, ori de câte ori cauza privește situația unui copil, interesul superior al acestuia trebuie să primeze (a se vedea, de exemplu, </w:t>
      </w:r>
      <w:r>
        <w:rPr>
          <w:i/>
        </w:rPr>
        <w:t>Mennesson</w:t>
      </w:r>
      <w:r>
        <w:t>, citată anterior, pct. 81).</w:t>
      </w:r>
    </w:p>
    <w:p w14:paraId="7D2FB4F2" w14:textId="05D0729A" w:rsidR="00AF4A60" w:rsidRPr="00DB170D" w:rsidRDefault="00AF4A60" w:rsidP="00DB170D">
      <w:pPr>
        <w:pStyle w:val="JuHa0"/>
      </w:pPr>
      <w:r>
        <w:lastRenderedPageBreak/>
        <w:t>Cu privire la menținerea unui echilibru just între interesul general și interesele reclamanților</w:t>
      </w:r>
    </w:p>
    <w:p w14:paraId="2A3DA678" w14:textId="460E919B"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91</w:t>
      </w:r>
      <w:r>
        <w:fldChar w:fldCharType="end"/>
      </w:r>
      <w:r w:rsidR="001968A3">
        <w:t>.</w:t>
      </w:r>
      <w:r w:rsidR="00C31016">
        <w:t xml:space="preserve"> </w:t>
      </w:r>
      <w:r w:rsidR="001968A3">
        <w:t xml:space="preserve">În ceea ce privește interesul general, Curtea subliniază că dreptul francez privind adopția și posesia de stat gravitează în jurul interesului superior al copilului. Or, astfel cum a subliniat în alte împrejurări, este în interesul societății în ansamblu să păstreze coerența unui ansamblu de norme de dreptul familiei așezând pe primul plan binele copilului (a se vedea </w:t>
      </w:r>
      <w:bookmarkStart w:id="56" w:name="_Hlk98925175"/>
      <w:r w:rsidR="001968A3">
        <w:rPr>
          <w:i/>
        </w:rPr>
        <w:t>X, Y și Z împotriva Regatului Unit</w:t>
      </w:r>
      <w:r w:rsidR="001968A3">
        <w:t xml:space="preserve">, 22 aprilie 1997, pct. 47, </w:t>
      </w:r>
      <w:r w:rsidR="001968A3">
        <w:rPr>
          <w:i/>
          <w:iCs/>
        </w:rPr>
        <w:t>Culegere de hotărâri și decizii</w:t>
      </w:r>
      <w:r w:rsidR="001968A3">
        <w:rPr>
          <w:i/>
        </w:rPr>
        <w:t xml:space="preserve"> </w:t>
      </w:r>
      <w:r w:rsidR="001968A3">
        <w:t>1997 II</w:t>
      </w:r>
      <w:bookmarkEnd w:id="56"/>
      <w:r w:rsidR="001968A3">
        <w:t>).</w:t>
      </w:r>
    </w:p>
    <w:p w14:paraId="1A281B7E" w14:textId="4349847C"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92</w:t>
      </w:r>
      <w:r>
        <w:fldChar w:fldCharType="end"/>
      </w:r>
      <w:r w:rsidR="001968A3">
        <w:t>.</w:t>
      </w:r>
      <w:r w:rsidR="00C31016">
        <w:t xml:space="preserve"> </w:t>
      </w:r>
      <w:r w:rsidR="001968A3">
        <w:t>Acestea fiind subliniate, Curtea consideră că este necesar, în ceea ce privește evaluarea justului echilibru, să se facă diferența între dreptul reclamanților la respectarea vieții de familie și dreptul lor la respectarea vieții private.</w:t>
      </w:r>
    </w:p>
    <w:p w14:paraId="0FB378B5" w14:textId="17E53138" w:rsidR="00AF4A60" w:rsidRPr="00DB170D" w:rsidRDefault="00AF4A60" w:rsidP="00DB170D">
      <w:pPr>
        <w:pStyle w:val="JuHi"/>
      </w:pPr>
      <w:r>
        <w:t xml:space="preserve">Dreptul la respectarea </w:t>
      </w:r>
      <w:r w:rsidR="00345E94">
        <w:t>vieții</w:t>
      </w:r>
      <w:r>
        <w:t xml:space="preserve"> de familie</w:t>
      </w:r>
    </w:p>
    <w:p w14:paraId="732A799D" w14:textId="38EEFB0F" w:rsidR="00AF4A60" w:rsidRPr="00DB170D" w:rsidRDefault="00DB3F2B" w:rsidP="00DB170D">
      <w:pPr>
        <w:pStyle w:val="JuPara"/>
      </w:pPr>
      <w:r>
        <w:fldChar w:fldCharType="begin"/>
      </w:r>
      <w:r>
        <w:instrText xml:space="preserve"> SEQ level</w:instrText>
      </w:r>
      <w:r>
        <w:instrText xml:space="preserve">0 \*arabic \* MERGEFORMAT </w:instrText>
      </w:r>
      <w:r>
        <w:fldChar w:fldCharType="separate"/>
      </w:r>
      <w:r w:rsidR="00DB170D" w:rsidRPr="00DB170D">
        <w:t>93</w:t>
      </w:r>
      <w:r>
        <w:fldChar w:fldCharType="end"/>
      </w:r>
      <w:r w:rsidR="001968A3">
        <w:t>.</w:t>
      </w:r>
      <w:r w:rsidR="00C31016">
        <w:t xml:space="preserve"> </w:t>
      </w:r>
      <w:r w:rsidR="001968A3">
        <w:t xml:space="preserve">Guvernul reamintește, în mod corect, că, în cauza </w:t>
      </w:r>
      <w:bookmarkStart w:id="57" w:name="_Hlk98925193"/>
      <w:r w:rsidR="001968A3">
        <w:rPr>
          <w:i/>
        </w:rPr>
        <w:t>Mennesson</w:t>
      </w:r>
      <w:r w:rsidR="001968A3">
        <w:t xml:space="preserve"> citată anterior (pct. 92-94), Curtea s-a pronunțat în lumina situației concrete a reclamanților (a se vedea și </w:t>
      </w:r>
      <w:r w:rsidR="001968A3">
        <w:rPr>
          <w:i/>
        </w:rPr>
        <w:t>Labassee împotriva Franței</w:t>
      </w:r>
      <w:r w:rsidR="001968A3">
        <w:rPr>
          <w:snapToGrid w:val="0"/>
        </w:rPr>
        <w:t xml:space="preserve">, nr. </w:t>
      </w:r>
      <w:r w:rsidR="001968A3">
        <w:t>65941/11</w:t>
      </w:r>
      <w:r w:rsidR="001968A3">
        <w:rPr>
          <w:snapToGrid w:val="0"/>
        </w:rPr>
        <w:t xml:space="preserve">, pct. 71-73, 26 iunie 2014, și </w:t>
      </w:r>
      <w:bookmarkStart w:id="58" w:name="_Hlk85645451"/>
      <w:r w:rsidR="001968A3">
        <w:rPr>
          <w:i/>
        </w:rPr>
        <w:t>X, Y și Z împotriva Regatului Unit</w:t>
      </w:r>
      <w:r w:rsidR="001968A3">
        <w:t>, citată anterior, pct. 48-50</w:t>
      </w:r>
      <w:bookmarkEnd w:id="58"/>
      <w:r w:rsidR="001968A3">
        <w:t>).</w:t>
      </w:r>
      <w:bookmarkEnd w:id="57"/>
    </w:p>
    <w:p w14:paraId="3BBFAD18" w14:textId="123F72F5"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94</w:t>
      </w:r>
      <w:r>
        <w:fldChar w:fldCharType="end"/>
      </w:r>
      <w:r w:rsidR="001968A3">
        <w:t>.</w:t>
      </w:r>
      <w:r w:rsidR="00C31016">
        <w:t xml:space="preserve"> </w:t>
      </w:r>
      <w:r w:rsidR="001968A3">
        <w:t>Din această perspectivă, Curtea subliniază că, în cele două cauze, după separarea cuplurilor, în pofida absenței recunoașterii juridice a unei legături de filiație între copiii vizați și fosta parteneră a mamei lor naturale, reclamantele au dus o viață de familie comparabilă cu cea a majorității familiilor ulterior separării cuplului parental. Pe de o parte, C.E. a exercitat, în acord cu fosta sa parteneră, un drept de vizitare și de găzduire a lui M.B. Pe de altă parte, K.G. și A.E. au optat pentru partajarea autorității părintești, așa cum o permite dreptul intern, și au instituit un sistem de îngrijire alternativă.</w:t>
      </w:r>
    </w:p>
    <w:p w14:paraId="7021B85A" w14:textId="2B3F1E48"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95</w:t>
      </w:r>
      <w:r>
        <w:fldChar w:fldCharType="end"/>
      </w:r>
      <w:r w:rsidR="001968A3">
        <w:t>.</w:t>
      </w:r>
      <w:r w:rsidR="00C31016">
        <w:t xml:space="preserve"> </w:t>
      </w:r>
      <w:r w:rsidR="001968A3">
        <w:t xml:space="preserve">În plus, în cele două cauze, reclamanții nu invocă dificultăți zilnice în desfășurarea vieții lor de familie și, după cum va fi </w:t>
      </w:r>
      <w:r w:rsidR="001968A3">
        <w:rPr>
          <w:rFonts w:ascii="Times New Roman" w:hAnsi="Times New Roman"/>
        </w:rPr>
        <w:t>explicat în continuare, statul pârât a instituit instrumente juridice care să permită protejarea legăturii dintre aceștia (</w:t>
      </w:r>
      <w:r w:rsidR="001968A3">
        <w:t xml:space="preserve">a se vedea </w:t>
      </w:r>
      <w:bookmarkStart w:id="59" w:name="_Hlk98925308"/>
      <w:r w:rsidR="001968A3">
        <w:rPr>
          <w:i/>
          <w:color w:val="000000"/>
        </w:rPr>
        <w:t xml:space="preserve">Valdís Fjölnisdóttir </w:t>
      </w:r>
      <w:r w:rsidR="001968A3">
        <w:rPr>
          <w:i/>
        </w:rPr>
        <w:t>și alții împotriva Islandei</w:t>
      </w:r>
      <w:r w:rsidR="001968A3">
        <w:rPr>
          <w:color w:val="000000"/>
        </w:rPr>
        <w:t xml:space="preserve">, </w:t>
      </w:r>
      <w:r w:rsidR="001968A3">
        <w:t xml:space="preserve">nr. </w:t>
      </w:r>
      <w:r w:rsidR="001968A3">
        <w:rPr>
          <w:color w:val="000000"/>
        </w:rPr>
        <w:t xml:space="preserve">71552/17, pct. 71-75, 18 mai 2021, și a se compara cu </w:t>
      </w:r>
      <w:r w:rsidR="001968A3">
        <w:rPr>
          <w:i/>
        </w:rPr>
        <w:t>Mennesson</w:t>
      </w:r>
      <w:r w:rsidR="001968A3">
        <w:t xml:space="preserve">, citată anterior, pct. 87-94, și </w:t>
      </w:r>
      <w:r w:rsidR="001968A3">
        <w:rPr>
          <w:i/>
        </w:rPr>
        <w:t>Labassee</w:t>
      </w:r>
      <w:r w:rsidR="001968A3">
        <w:t>, citată anterior, pct. 66-73</w:t>
      </w:r>
      <w:bookmarkEnd w:id="59"/>
      <w:r w:rsidR="001968A3">
        <w:t xml:space="preserve">). Circumstanța că C.E. a așteptat 9 ani după separarea cuplului pe care îl alcătuia cu C.B. pentru a încerca să inițieze o procedură de adopție urmărește să arate că relația sa cu M.B. nu a fost pusă sub semnul întrebării în timpul acestei perioade. Aceeași constatare se poate face cu privire la A.E., care a depus cererea privind emiterea unui act de notorietate pentru a se constata posesia de stat în privința lui T.G. la aproape patru ani de la desfacerea PACS pe care îl semnase cu K.G. În plus, dacă apar astfel de dificultăți, acestea pot fi remediate în temeiul art. 371-4 din Codul civil care prevede că, „dacă acesta este interesul copilului, judecătorul delegat pentru litigii de dreptul familiei stabilește </w:t>
      </w:r>
      <w:r w:rsidR="001968A3">
        <w:lastRenderedPageBreak/>
        <w:t>modalitățile relațiilor dintre copil și un terț, rudă sau nu, în special atât timp cât acest terț a locuit în mod stabil cu el și cu unul dintre părinții săi, i-a oferit educație, întreținere sau domiciliu, și a format cu el legături afective durabile</w:t>
      </w:r>
      <w:r w:rsidR="00466A8D">
        <w:t>”</w:t>
      </w:r>
      <w:r w:rsidR="001968A3">
        <w:t>.</w:t>
      </w:r>
    </w:p>
    <w:p w14:paraId="60004177" w14:textId="6339B466"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96</w:t>
      </w:r>
      <w:r>
        <w:fldChar w:fldCharType="end"/>
      </w:r>
      <w:r w:rsidR="001968A3">
        <w:t>.</w:t>
      </w:r>
      <w:r w:rsidR="00C31016">
        <w:t xml:space="preserve"> </w:t>
      </w:r>
      <w:r w:rsidR="001968A3">
        <w:t>Nimic nu permite așadar, având în vedere circumstanțele proprii fiecăreia din cele două cauze, să se considere că statul pârât nu și-ar fi îndeplinit obligația pozitivă de a le garanta reclamanților respectarea efectivă a vieții lor de familie.</w:t>
      </w:r>
    </w:p>
    <w:p w14:paraId="1928F1A6" w14:textId="70C543EE" w:rsidR="00AF4A60" w:rsidRPr="00DB170D" w:rsidRDefault="00DB3F2B" w:rsidP="00DB170D">
      <w:pPr>
        <w:pStyle w:val="JuPara"/>
        <w:rPr>
          <w:strike/>
        </w:rPr>
      </w:pPr>
      <w:r>
        <w:fldChar w:fldCharType="begin"/>
      </w:r>
      <w:r>
        <w:instrText xml:space="preserve"> SEQ level0 \*a</w:instrText>
      </w:r>
      <w:r>
        <w:instrText xml:space="preserve">rabic \* MERGEFORMAT </w:instrText>
      </w:r>
      <w:r>
        <w:fldChar w:fldCharType="separate"/>
      </w:r>
      <w:r w:rsidR="00DB170D" w:rsidRPr="00DB170D">
        <w:t>97</w:t>
      </w:r>
      <w:r>
        <w:fldChar w:fldCharType="end"/>
      </w:r>
      <w:r w:rsidR="001968A3">
        <w:t>.</w:t>
      </w:r>
      <w:r w:rsidR="00C31016">
        <w:t xml:space="preserve"> </w:t>
      </w:r>
      <w:r w:rsidR="001968A3">
        <w:t xml:space="preserve">Prin urmare, nu s-a produs o încălcare a dreptului la respectarea </w:t>
      </w:r>
      <w:r w:rsidR="00345E94">
        <w:t>vieții</w:t>
      </w:r>
      <w:r w:rsidR="001968A3">
        <w:t xml:space="preserve"> de familie protejat de art. 8.</w:t>
      </w:r>
    </w:p>
    <w:p w14:paraId="52CB1CCF" w14:textId="1E6518C4" w:rsidR="00AF4A60" w:rsidRPr="00DB170D" w:rsidRDefault="00AF4A60" w:rsidP="00DB170D">
      <w:pPr>
        <w:pStyle w:val="JuHi"/>
      </w:pPr>
      <w:r>
        <w:t xml:space="preserve">Dreptul la respectarea </w:t>
      </w:r>
      <w:r w:rsidR="00345E94">
        <w:t>vieții</w:t>
      </w:r>
      <w:r>
        <w:t xml:space="preserve"> private</w:t>
      </w:r>
    </w:p>
    <w:p w14:paraId="551D112E" w14:textId="5B131A6C"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98</w:t>
      </w:r>
      <w:r>
        <w:fldChar w:fldCharType="end"/>
      </w:r>
      <w:r w:rsidR="001968A3">
        <w:t>.</w:t>
      </w:r>
      <w:r w:rsidR="00C31016">
        <w:t xml:space="preserve"> </w:t>
      </w:r>
      <w:r w:rsidR="001968A3">
        <w:t xml:space="preserve">Astfel cum a precizat anterior Curtea (supra, pct. </w:t>
      </w:r>
      <w:r w:rsidR="00063A60" w:rsidRPr="00DB170D">
        <w:fldChar w:fldCharType="begin"/>
      </w:r>
      <w:r w:rsidR="00063A60" w:rsidRPr="00DB170D">
        <w:instrText xml:space="preserve"> REF paragraph00078 \h  \* CharFormat </w:instrText>
      </w:r>
      <w:r w:rsidR="00063A60" w:rsidRPr="00DB170D">
        <w:fldChar w:fldCharType="separate"/>
      </w:r>
      <w:r w:rsidR="00DB170D" w:rsidRPr="00DB170D">
        <w:t>78</w:t>
      </w:r>
      <w:r w:rsidR="00063A60" w:rsidRPr="00DB170D">
        <w:fldChar w:fldCharType="end"/>
      </w:r>
      <w:r w:rsidR="001968A3">
        <w:t>), la momentul la care reclamanții au sesizat instanțele interne și apoi Curtea, dreptul francez nu permitea stabilirea legală a unei legături de filiație între un copil minor și fosta parteneră a mamei sale biologice fără să afecteze situația juridică a acesteia din urmă, și indiferent de relația dintre ei.</w:t>
      </w:r>
    </w:p>
    <w:p w14:paraId="572905B3" w14:textId="49C98F8B"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99</w:t>
      </w:r>
      <w:r>
        <w:fldChar w:fldCharType="end"/>
      </w:r>
      <w:r w:rsidR="001968A3">
        <w:t>.</w:t>
      </w:r>
      <w:r w:rsidR="00C31016">
        <w:t xml:space="preserve"> </w:t>
      </w:r>
      <w:r w:rsidR="001968A3">
        <w:t>Problema care se pune este dacă, în circumstanțele din prezentele spețe, această imposibilitate caracterizează sau nu o neîndeplinire de către statul pârât a obligației sale pozitive de a le garanta reclamanților respectarea efectivă a vieţii private.</w:t>
      </w:r>
    </w:p>
    <w:p w14:paraId="5BCC84C2" w14:textId="656E4CDE" w:rsidR="00AF4A60" w:rsidRPr="00DB170D" w:rsidRDefault="00DB3F2B" w:rsidP="00DB170D">
      <w:pPr>
        <w:pStyle w:val="JuPara"/>
        <w:rPr>
          <w:rFonts w:eastAsiaTheme="minorEastAsia"/>
          <w:snapToGrid w:val="0"/>
          <w:szCs w:val="22"/>
        </w:rPr>
      </w:pPr>
      <w:r>
        <w:fldChar w:fldCharType="begin"/>
      </w:r>
      <w:r>
        <w:instrText xml:space="preserve"> SEQ level0 \*arabic \* MERGEFORMAT </w:instrText>
      </w:r>
      <w:r>
        <w:fldChar w:fldCharType="separate"/>
      </w:r>
      <w:r w:rsidR="00DB170D" w:rsidRPr="00DB170D">
        <w:t>100</w:t>
      </w:r>
      <w:r>
        <w:fldChar w:fldCharType="end"/>
      </w:r>
      <w:r w:rsidR="001968A3">
        <w:t>.</w:t>
      </w:r>
      <w:r w:rsidR="00C31016">
        <w:t xml:space="preserve"> </w:t>
      </w:r>
      <w:r w:rsidR="001968A3">
        <w:t xml:space="preserve">Curtea reamintește că, în contextul special al copiilor născuți în străinătate prin intermediul maternității de substituție și concepuți utilizând gameți ai tatălui de intenție, a hotărât că dreptul la respectarea vieții private a copilului impunea ca dreptul intern să prevadă posibilitatea recunoașterii unei legături de filiație nu doar între copil și tatăl de intenție, totodată tată biologic, ci și, atunci când legătura de filiație dintre aceștia din urmă a fost recunoscută în dreptul intern, între copil și mama de intenție, desemnată în actul de naștere stabilit în mod legal în străinătate ca fiind „mama legală”, chiar în cazul în care nu este mama sa genetică (a se vedea, în special, hotărârile </w:t>
      </w:r>
      <w:bookmarkStart w:id="60" w:name="_Hlk98925352"/>
      <w:r w:rsidR="001968A3">
        <w:rPr>
          <w:i/>
        </w:rPr>
        <w:t>D împotriva Franței</w:t>
      </w:r>
      <w:r w:rsidR="001968A3">
        <w:t xml:space="preserve">, nr.11288/18, </w:t>
      </w:r>
      <w:r w:rsidR="001968A3">
        <w:rPr>
          <w:snapToGrid w:val="0"/>
        </w:rPr>
        <w:t xml:space="preserve">pct. 45-54, 16 </w:t>
      </w:r>
      <w:r w:rsidR="001968A3">
        <w:t>iulie</w:t>
      </w:r>
      <w:r w:rsidR="001968A3">
        <w:rPr>
          <w:snapToGrid w:val="0"/>
        </w:rPr>
        <w:t xml:space="preserve"> 2020, și </w:t>
      </w:r>
      <w:r w:rsidR="001968A3">
        <w:rPr>
          <w:i/>
          <w:snapToGrid w:val="0"/>
        </w:rPr>
        <w:t>Mennesson</w:t>
      </w:r>
      <w:r w:rsidR="001968A3">
        <w:rPr>
          <w:snapToGrid w:val="0"/>
        </w:rPr>
        <w:t>, citată anterior pct. 63-101</w:t>
      </w:r>
      <w:bookmarkEnd w:id="60"/>
      <w:r w:rsidR="001968A3">
        <w:rPr>
          <w:snapToGrid w:val="0"/>
        </w:rPr>
        <w:t xml:space="preserve">, ca și </w:t>
      </w:r>
      <w:r w:rsidR="001968A3">
        <w:t>avizul consultativ citat anterior, pct. 47 punctul 1 din dispozitiv). A considerat, în acest cadru, că doi factori aveau o pondere specială, </w:t>
      </w:r>
      <w:r w:rsidR="001968A3">
        <w:rPr>
          <w:snapToGrid w:val="0"/>
        </w:rPr>
        <w:t xml:space="preserve">interesul superior al copilului – în această privință reamintind </w:t>
      </w:r>
      <w:r w:rsidR="001968A3">
        <w:t xml:space="preserve">principiul esențial potrivit căruia, ori de câte ori este în cauză situația unui copil, interesul superior al acestuia este cel care trebuie să primeze – </w:t>
      </w:r>
      <w:r w:rsidR="001968A3">
        <w:rPr>
          <w:snapToGrid w:val="0"/>
        </w:rPr>
        <w:t>și amploarea – redusă, în speță – a marjei de apreciere de care dispun statele părți.</w:t>
      </w:r>
    </w:p>
    <w:p w14:paraId="500DF36C" w14:textId="1DA1CA31" w:rsidR="00AF4A60" w:rsidRPr="00DB170D" w:rsidRDefault="00AF4A60" w:rsidP="00DB170D">
      <w:pPr>
        <w:pStyle w:val="JuPara"/>
        <w:rPr>
          <w:rFonts w:eastAsia="Calibri"/>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101</w:t>
      </w:r>
      <w:r w:rsidRPr="00DB170D">
        <w:rPr>
          <w:rFonts w:eastAsiaTheme="minorEastAsia"/>
          <w:snapToGrid w:val="0"/>
        </w:rPr>
        <w:fldChar w:fldCharType="end"/>
      </w:r>
      <w:r>
        <w:rPr>
          <w:snapToGrid w:val="0"/>
        </w:rPr>
        <w:t>.</w:t>
      </w:r>
      <w:r w:rsidR="00C31016">
        <w:rPr>
          <w:snapToGrid w:val="0"/>
        </w:rPr>
        <w:t xml:space="preserve"> </w:t>
      </w:r>
      <w:r>
        <w:rPr>
          <w:snapToGrid w:val="0"/>
        </w:rPr>
        <w:t xml:space="preserve">Având în vedere mai cu seamă faptul că interesul superior al copilului include identificarea, în drept, a persoanelor responsabile de creșterea copilului, de satisfacerea nevoilor sale și de asigurarea bunăstării acestuia, precum și posibilitatea de a trăi și de a se dezvolta într-un mediu stabil, Curtea a reținut că imposibilitatea generală și absolută de a obține recunoașterea legăturii dintre un copil născut în străinătate prin intermediul maternității de </w:t>
      </w:r>
      <w:r>
        <w:rPr>
          <w:snapToGrid w:val="0"/>
        </w:rPr>
        <w:lastRenderedPageBreak/>
        <w:t xml:space="preserve">substituție și mama de intenție, soție a tatălui biologic, nu concordă cu interesul superior al copilului, care impune cel puțin o examinare a fiecărei situații în ceea ce privește circumstanțele specifice care o caracterizează (a se vedea </w:t>
      </w:r>
      <w:r>
        <w:t>avizul consultativ citat anterior, pct. 35-47).</w:t>
      </w:r>
      <w:r>
        <w:rPr>
          <w:snapToGrid w:val="0"/>
        </w:rPr>
        <w:t xml:space="preserve"> Curtea a precizat că interesul superior al copilului necesită ca această legătură, </w:t>
      </w:r>
      <w:r>
        <w:t xml:space="preserve">stabilită în mod legal în străinătate, să poate fi recunoscută cel târziu atunci când s-a materializat, înțelegându-se în principiu că, în primul rând, este de competența autorităților naționale să aprecieze, luând în considerare particularitățile cauzei, dacă și când este cazul. Persoanele în cauză trebuie atunci să aibă acces la un mecanism efectiv care să permită această recunoaștere în funcție de </w:t>
      </w:r>
      <w:r>
        <w:rPr>
          <w:snapToGrid w:val="0"/>
        </w:rPr>
        <w:t xml:space="preserve">interesul superior al copilului și de circumstanțele cauzei (a se vedea avizul citat anterior, </w:t>
      </w:r>
      <w:r>
        <w:t>pct. 52 și 54).</w:t>
      </w:r>
    </w:p>
    <w:p w14:paraId="4240541F" w14:textId="5778AAF9"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102</w:t>
      </w:r>
      <w:r w:rsidRPr="00DB170D">
        <w:rPr>
          <w:rFonts w:eastAsiaTheme="minorEastAsia"/>
          <w:snapToGrid w:val="0"/>
        </w:rPr>
        <w:fldChar w:fldCharType="end"/>
      </w:r>
      <w:r>
        <w:rPr>
          <w:snapToGrid w:val="0"/>
        </w:rPr>
        <w:t>.</w:t>
      </w:r>
      <w:r w:rsidR="00C31016">
        <w:rPr>
          <w:snapToGrid w:val="0"/>
        </w:rPr>
        <w:t xml:space="preserve"> </w:t>
      </w:r>
      <w:r>
        <w:rPr>
          <w:snapToGrid w:val="0"/>
        </w:rPr>
        <w:t>Situațiile respective ale lui M.B. și T.G. nu sunt similare deoarece aceștia nu sunt rezultatul unei maternități de substituție, iar legăturile lor cu C.E. și, respectiv, A.E. nu au fost legal stabilite în prealabil în dreptul străin. Rămâne totuși adevărat că, de la nașterea lor, în 2002 în cazul celei dintâi, în 2008 pentru cel de al doilea, au dezvoltat cu acestea o legătură concretă de natură filială. Curtea, care subliniază că, la fel ca instanțele interne, Guvernul nu contestă existența unei asemenea legături, deduce de aici că sunt relevante considerațiile de mai sus privind interesul superior al copilului în cazul lui M.B. și T.G., în condiții egale.</w:t>
      </w:r>
    </w:p>
    <w:p w14:paraId="146488EF" w14:textId="084E4B77"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103</w:t>
      </w:r>
      <w:r w:rsidRPr="00DB170D">
        <w:rPr>
          <w:rFonts w:eastAsiaTheme="minorEastAsia"/>
          <w:snapToGrid w:val="0"/>
        </w:rPr>
        <w:fldChar w:fldCharType="end"/>
      </w:r>
      <w:r>
        <w:rPr>
          <w:snapToGrid w:val="0"/>
        </w:rPr>
        <w:t>.</w:t>
      </w:r>
      <w:r w:rsidR="00C31016">
        <w:rPr>
          <w:snapToGrid w:val="0"/>
        </w:rPr>
        <w:t xml:space="preserve"> </w:t>
      </w:r>
      <w:r>
        <w:rPr>
          <w:snapToGrid w:val="0"/>
        </w:rPr>
        <w:t>Curtea reține că atât M.B., cât și T.G., au fost pe termen lung privați de posibilitatea de a obține recunoașterea în drept a relației de natură filială pe care au dezvoltat-o respectiv cu C.E. și A.E. datorită investiției afective și a implicării acestora în educația lor.</w:t>
      </w:r>
    </w:p>
    <w:p w14:paraId="3578C8E3" w14:textId="462A5235"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104</w:t>
      </w:r>
      <w:r w:rsidRPr="00DB170D">
        <w:rPr>
          <w:rFonts w:eastAsiaTheme="minorEastAsia"/>
          <w:snapToGrid w:val="0"/>
        </w:rPr>
        <w:fldChar w:fldCharType="end"/>
      </w:r>
      <w:r>
        <w:rPr>
          <w:snapToGrid w:val="0"/>
        </w:rPr>
        <w:t>.</w:t>
      </w:r>
      <w:r w:rsidR="00C31016">
        <w:rPr>
          <w:snapToGrid w:val="0"/>
        </w:rPr>
        <w:t xml:space="preserve"> </w:t>
      </w:r>
      <w:r>
        <w:rPr>
          <w:snapToGrid w:val="0"/>
        </w:rPr>
        <w:t>În aceste condiții și având în vedere natura și puterea legăturilor care s-au format între persoanele în cauză, imposibilitatea pe care o denunță în cererile lor de a obține, cu titlu de legitimare a relațiilor lor, recunoașterea juridică a legăturii de filiație dintre ele ridică o problemă serioasă în temeiul principiului supremației interesului superior al copilului și al dreptului la respectarea vieţii private.</w:t>
      </w:r>
    </w:p>
    <w:p w14:paraId="66672C73" w14:textId="0E674A28"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105</w:t>
      </w:r>
      <w:r w:rsidRPr="00DB170D">
        <w:rPr>
          <w:rFonts w:eastAsiaTheme="minorEastAsia"/>
          <w:snapToGrid w:val="0"/>
        </w:rPr>
        <w:fldChar w:fldCharType="end"/>
      </w:r>
      <w:r>
        <w:rPr>
          <w:snapToGrid w:val="0"/>
        </w:rPr>
        <w:t>.</w:t>
      </w:r>
      <w:r w:rsidR="00C31016">
        <w:rPr>
          <w:snapToGrid w:val="0"/>
        </w:rPr>
        <w:t xml:space="preserve"> </w:t>
      </w:r>
      <w:r>
        <w:rPr>
          <w:snapToGrid w:val="0"/>
        </w:rPr>
        <w:t>Totodată, Curtea subliniază, în primul rând, că în Franța există, în situații precum cele ale reclamanților, instrumente juridice care permit recunoașterea relației care există între un copil și un adult. Astfel, mama biologică a copilului poate obține în instanță exercitarea în comun a autorității părintești împreună cu partenera sa sau cu fosta sa parteneră. În cazul în care o asemenea decizie nu duce la stabilirea unei legături juridice de filiație între aceasta și copil, are totuși ca efect autorizarea exercitării asupra copilului drepturi și obligații legate de educația parentală și astfel are ca rezultat, într-o anumită măsură, o recunoaștere în drept a relației lor.</w:t>
      </w:r>
    </w:p>
    <w:p w14:paraId="50DAC122" w14:textId="002F692F"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106</w:t>
      </w:r>
      <w:r w:rsidRPr="00DB170D">
        <w:rPr>
          <w:rFonts w:eastAsiaTheme="minorEastAsia"/>
          <w:snapToGrid w:val="0"/>
        </w:rPr>
        <w:fldChar w:fldCharType="end"/>
      </w:r>
      <w:r>
        <w:rPr>
          <w:snapToGrid w:val="0"/>
        </w:rPr>
        <w:t>.</w:t>
      </w:r>
      <w:r w:rsidR="00C31016">
        <w:rPr>
          <w:snapToGrid w:val="0"/>
        </w:rPr>
        <w:t xml:space="preserve"> </w:t>
      </w:r>
      <w:r>
        <w:rPr>
          <w:snapToGrid w:val="0"/>
        </w:rPr>
        <w:t xml:space="preserve">Curtea relevă, în această privință, că mama biologică a lui T.G. folosind această posibilitate, A.E. și ea au exercitat în comun autoritatea părintească față de T.G. din 2010 (supra, pct. </w:t>
      </w:r>
      <w:r w:rsidR="00E644F4" w:rsidRPr="00DB170D">
        <w:rPr>
          <w:rFonts w:eastAsiaTheme="minorEastAsia"/>
          <w:snapToGrid w:val="0"/>
        </w:rPr>
        <w:fldChar w:fldCharType="begin"/>
      </w:r>
      <w:r w:rsidR="00E644F4" w:rsidRPr="00DB170D">
        <w:rPr>
          <w:rFonts w:eastAsiaTheme="minorEastAsia"/>
          <w:snapToGrid w:val="0"/>
        </w:rPr>
        <w:instrText xml:space="preserve"> REF paragraph00021 \h  \* CharFormat </w:instrText>
      </w:r>
      <w:r w:rsidR="00E644F4" w:rsidRPr="00DB170D">
        <w:rPr>
          <w:rFonts w:eastAsiaTheme="minorEastAsia"/>
          <w:snapToGrid w:val="0"/>
        </w:rPr>
      </w:r>
      <w:r w:rsidR="00E644F4" w:rsidRPr="00DB170D">
        <w:rPr>
          <w:rFonts w:eastAsiaTheme="minorEastAsia"/>
          <w:snapToGrid w:val="0"/>
        </w:rPr>
        <w:fldChar w:fldCharType="separate"/>
      </w:r>
      <w:r w:rsidR="00DB170D" w:rsidRPr="00DB170D">
        <w:rPr>
          <w:rFonts w:eastAsiaTheme="minorEastAsia"/>
          <w:snapToGrid w:val="0"/>
        </w:rPr>
        <w:t>21</w:t>
      </w:r>
      <w:r w:rsidR="00E644F4" w:rsidRPr="00DB170D">
        <w:rPr>
          <w:rFonts w:eastAsiaTheme="minorEastAsia"/>
          <w:snapToGrid w:val="0"/>
        </w:rPr>
        <w:fldChar w:fldCharType="end"/>
      </w:r>
      <w:r>
        <w:rPr>
          <w:snapToGrid w:val="0"/>
        </w:rPr>
        <w:t xml:space="preserve">). Pe de altă parte, constată că deși nu acesta este cazul între C.E. și C.B., nu se susține că cea din urmă </w:t>
      </w:r>
      <w:r>
        <w:rPr>
          <w:snapToGrid w:val="0"/>
        </w:rPr>
        <w:lastRenderedPageBreak/>
        <w:t xml:space="preserve">s-ar fi opus unei asemenea partajări a autorității părintești, ceea ce, de altfel, ar fi fost în contradicție cu faptul că consimțise ca M.B. să fie adoptată de C.E. în 2015 (supra, pct. </w:t>
      </w:r>
      <w:r w:rsidR="00AD63AC" w:rsidRPr="00DB170D">
        <w:rPr>
          <w:rFonts w:eastAsiaTheme="minorEastAsia"/>
          <w:snapToGrid w:val="0"/>
        </w:rPr>
        <w:fldChar w:fldCharType="begin"/>
      </w:r>
      <w:r w:rsidR="00AD63AC" w:rsidRPr="00DB170D">
        <w:rPr>
          <w:rFonts w:eastAsiaTheme="minorEastAsia"/>
          <w:snapToGrid w:val="0"/>
        </w:rPr>
        <w:instrText xml:space="preserve"> REF paragraph00008 \h  \* CharFormat </w:instrText>
      </w:r>
      <w:r w:rsidR="00AD63AC" w:rsidRPr="00DB170D">
        <w:rPr>
          <w:rFonts w:eastAsiaTheme="minorEastAsia"/>
          <w:snapToGrid w:val="0"/>
        </w:rPr>
      </w:r>
      <w:r w:rsidR="00AD63AC" w:rsidRPr="00DB170D">
        <w:rPr>
          <w:rFonts w:eastAsiaTheme="minorEastAsia"/>
          <w:snapToGrid w:val="0"/>
        </w:rPr>
        <w:fldChar w:fldCharType="separate"/>
      </w:r>
      <w:r w:rsidR="00DB170D" w:rsidRPr="00DB170D">
        <w:rPr>
          <w:rFonts w:eastAsiaTheme="minorEastAsia"/>
          <w:snapToGrid w:val="0"/>
        </w:rPr>
        <w:t>8</w:t>
      </w:r>
      <w:r w:rsidR="00AD63AC" w:rsidRPr="00DB170D">
        <w:rPr>
          <w:rFonts w:eastAsiaTheme="minorEastAsia"/>
          <w:snapToGrid w:val="0"/>
        </w:rPr>
        <w:fldChar w:fldCharType="end"/>
      </w:r>
      <w:r>
        <w:rPr>
          <w:snapToGrid w:val="0"/>
        </w:rPr>
        <w:t>), deși cuplul pe care îl forma cu aceasta se despărțise.</w:t>
      </w:r>
    </w:p>
    <w:p w14:paraId="534EA4D4" w14:textId="5C7CC72E"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107</w:t>
      </w:r>
      <w:r w:rsidRPr="00DB170D">
        <w:rPr>
          <w:rFonts w:eastAsiaTheme="minorEastAsia"/>
          <w:snapToGrid w:val="0"/>
        </w:rPr>
        <w:fldChar w:fldCharType="end"/>
      </w:r>
      <w:r>
        <w:rPr>
          <w:snapToGrid w:val="0"/>
        </w:rPr>
        <w:t>.</w:t>
      </w:r>
      <w:r w:rsidR="00C31016">
        <w:rPr>
          <w:snapToGrid w:val="0"/>
        </w:rPr>
        <w:t xml:space="preserve"> </w:t>
      </w:r>
      <w:r>
        <w:rPr>
          <w:snapToGrid w:val="0"/>
        </w:rPr>
        <w:t xml:space="preserve">De altfel, în caz de separare și de neînțelegere între foste partenere, judecătorul delegat pentru litigii de dreptul familiei poate, dacă este în interesul copilului, să stabilească modalitățile relațiilor sale cu fosta parteneră a mamei sale (art. 371-4 din Codul civil; supra, pct. </w:t>
      </w:r>
      <w:r w:rsidR="000A44AF" w:rsidRPr="00DB170D">
        <w:rPr>
          <w:rFonts w:eastAsiaTheme="minorEastAsia"/>
          <w:snapToGrid w:val="0"/>
        </w:rPr>
        <w:fldChar w:fldCharType="begin"/>
      </w:r>
      <w:r w:rsidR="000A44AF" w:rsidRPr="00DB170D">
        <w:rPr>
          <w:rFonts w:eastAsiaTheme="minorEastAsia"/>
          <w:snapToGrid w:val="0"/>
        </w:rPr>
        <w:instrText xml:space="preserve"> REF paragraph00026 \h  \* CharFormat </w:instrText>
      </w:r>
      <w:r w:rsidR="000A44AF" w:rsidRPr="00DB170D">
        <w:rPr>
          <w:rFonts w:eastAsiaTheme="minorEastAsia"/>
          <w:snapToGrid w:val="0"/>
        </w:rPr>
      </w:r>
      <w:r w:rsidR="000A44AF" w:rsidRPr="00DB170D">
        <w:rPr>
          <w:rFonts w:eastAsiaTheme="minorEastAsia"/>
          <w:snapToGrid w:val="0"/>
        </w:rPr>
        <w:fldChar w:fldCharType="separate"/>
      </w:r>
      <w:r w:rsidR="00DB170D" w:rsidRPr="00DB170D">
        <w:rPr>
          <w:rFonts w:eastAsiaTheme="minorEastAsia"/>
          <w:snapToGrid w:val="0"/>
        </w:rPr>
        <w:t>26</w:t>
      </w:r>
      <w:r w:rsidR="000A44AF" w:rsidRPr="00DB170D">
        <w:rPr>
          <w:rFonts w:eastAsiaTheme="minorEastAsia"/>
          <w:snapToGrid w:val="0"/>
        </w:rPr>
        <w:fldChar w:fldCharType="end"/>
      </w:r>
      <w:r>
        <w:rPr>
          <w:snapToGrid w:val="0"/>
        </w:rPr>
        <w:t xml:space="preserve"> ). Aceasta se apropie, de asemenea, într-o anumită măsură, de o recunoaștere în drept a relației lor.</w:t>
      </w:r>
    </w:p>
    <w:p w14:paraId="196CB251" w14:textId="160350C9"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108</w:t>
      </w:r>
      <w:r w:rsidRPr="00DB170D">
        <w:rPr>
          <w:rFonts w:eastAsiaTheme="minorEastAsia"/>
          <w:snapToGrid w:val="0"/>
        </w:rPr>
        <w:fldChar w:fldCharType="end"/>
      </w:r>
      <w:r>
        <w:rPr>
          <w:snapToGrid w:val="0"/>
        </w:rPr>
        <w:t>.</w:t>
      </w:r>
      <w:r w:rsidR="00C31016">
        <w:rPr>
          <w:snapToGrid w:val="0"/>
        </w:rPr>
        <w:t xml:space="preserve"> </w:t>
      </w:r>
      <w:bookmarkStart w:id="61" w:name="_Hlk87869506"/>
      <w:r>
        <w:rPr>
          <w:snapToGrid w:val="0"/>
        </w:rPr>
        <w:t>În al doilea rând, Curtea subliniază că, după publicarea Legii din 2 august 2021</w:t>
      </w:r>
      <w:r>
        <w:t xml:space="preserve"> privind bioetica</w:t>
      </w:r>
      <w:r>
        <w:rPr>
          <w:snapToGrid w:val="0"/>
        </w:rPr>
        <w:t xml:space="preserve">, cuplurile de femei care au recurs </w:t>
      </w:r>
      <w:r>
        <w:t xml:space="preserve">la RAM în străinătate înainte de 4 august 2021 au timp de trei ani posibilitatea de a recunoaște împreună copilul a cărui filiație nu este stabilită decât în privința femeii care a născut, ceea ce face ca stabilirea filiației să se facă și în privința celeilalte femei. </w:t>
      </w:r>
      <w:r>
        <w:rPr>
          <w:snapToGrid w:val="0"/>
        </w:rPr>
        <w:t xml:space="preserve">Separarea cuplului ulterior nu afectează aplicarea acestei dispoziții. Este suficient că cele două femei au format un cuplu la momentul RAM (căsătorite, care au încheiat un pact civil de solidaritate sau în concubinaj) și au recurs la RAM în cadrul unui proiect parental comun (supra, pct. </w:t>
      </w:r>
      <w:r w:rsidR="00E31897" w:rsidRPr="00DB170D">
        <w:rPr>
          <w:rFonts w:eastAsiaTheme="minorEastAsia"/>
          <w:snapToGrid w:val="0"/>
        </w:rPr>
        <w:fldChar w:fldCharType="begin"/>
      </w:r>
      <w:r w:rsidR="00E31897" w:rsidRPr="00DB170D">
        <w:rPr>
          <w:rFonts w:eastAsiaTheme="minorEastAsia"/>
          <w:snapToGrid w:val="0"/>
        </w:rPr>
        <w:instrText xml:space="preserve"> REF paragraph00036 \h  \* CharFormat </w:instrText>
      </w:r>
      <w:r w:rsidR="00E31897" w:rsidRPr="00DB170D">
        <w:rPr>
          <w:rFonts w:eastAsiaTheme="minorEastAsia"/>
          <w:snapToGrid w:val="0"/>
        </w:rPr>
      </w:r>
      <w:r w:rsidR="00E31897" w:rsidRPr="00DB170D">
        <w:rPr>
          <w:rFonts w:eastAsiaTheme="minorEastAsia"/>
          <w:snapToGrid w:val="0"/>
        </w:rPr>
        <w:fldChar w:fldCharType="separate"/>
      </w:r>
      <w:r w:rsidR="00DB170D" w:rsidRPr="00DB170D">
        <w:rPr>
          <w:rFonts w:eastAsiaTheme="minorEastAsia"/>
          <w:snapToGrid w:val="0"/>
        </w:rPr>
        <w:t>36</w:t>
      </w:r>
      <w:r w:rsidR="00E31897" w:rsidRPr="00DB170D">
        <w:rPr>
          <w:rFonts w:eastAsiaTheme="minorEastAsia"/>
          <w:snapToGrid w:val="0"/>
        </w:rPr>
        <w:fldChar w:fldCharType="end"/>
      </w:r>
      <w:r>
        <w:rPr>
          <w:snapToGrid w:val="0"/>
        </w:rPr>
        <w:t>).</w:t>
      </w:r>
    </w:p>
    <w:p w14:paraId="6D818F0A" w14:textId="3FF9CE82"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109</w:t>
      </w:r>
      <w:r w:rsidRPr="00DB170D">
        <w:rPr>
          <w:rFonts w:eastAsiaTheme="minorEastAsia"/>
          <w:snapToGrid w:val="0"/>
        </w:rPr>
        <w:fldChar w:fldCharType="end"/>
      </w:r>
      <w:r>
        <w:rPr>
          <w:snapToGrid w:val="0"/>
        </w:rPr>
        <w:t>.</w:t>
      </w:r>
      <w:r w:rsidR="00C31016">
        <w:rPr>
          <w:snapToGrid w:val="0"/>
        </w:rPr>
        <w:t xml:space="preserve"> </w:t>
      </w:r>
      <w:r>
        <w:rPr>
          <w:snapToGrid w:val="0"/>
        </w:rPr>
        <w:t xml:space="preserve">Curtea reține că această dispoziție tranzitorie se înscrie în cadrul extinderii accesului la RAM pentru cuplurile de femei și pentru femeile singure, care este rezultatul unui proces de reforme legislative având intenția de a reflecta, în ordinea juridică franceză, evoluția comportamentelor și a așteptărilor societății în materie de bioetică (supra, pct. </w:t>
      </w:r>
      <w:r w:rsidR="00CF3BAC" w:rsidRPr="00DB170D">
        <w:rPr>
          <w:rFonts w:eastAsiaTheme="minorEastAsia"/>
          <w:snapToGrid w:val="0"/>
        </w:rPr>
        <w:fldChar w:fldCharType="begin"/>
      </w:r>
      <w:r w:rsidR="00CF3BAC" w:rsidRPr="00DB170D">
        <w:rPr>
          <w:rFonts w:eastAsiaTheme="minorEastAsia"/>
          <w:snapToGrid w:val="0"/>
        </w:rPr>
        <w:instrText xml:space="preserve"> REF paragraph00031 \h  \* CharFormat </w:instrText>
      </w:r>
      <w:r w:rsidR="00CF3BAC" w:rsidRPr="00DB170D">
        <w:rPr>
          <w:rFonts w:eastAsiaTheme="minorEastAsia"/>
          <w:snapToGrid w:val="0"/>
        </w:rPr>
      </w:r>
      <w:r w:rsidR="00CF3BAC" w:rsidRPr="00DB170D">
        <w:rPr>
          <w:rFonts w:eastAsiaTheme="minorEastAsia"/>
          <w:snapToGrid w:val="0"/>
        </w:rPr>
        <w:fldChar w:fldCharType="separate"/>
      </w:r>
      <w:r w:rsidR="00DB170D" w:rsidRPr="00DB170D">
        <w:rPr>
          <w:rFonts w:eastAsiaTheme="minorEastAsia"/>
          <w:snapToGrid w:val="0"/>
        </w:rPr>
        <w:t>31</w:t>
      </w:r>
      <w:r w:rsidR="00CF3BAC" w:rsidRPr="00DB170D">
        <w:rPr>
          <w:rFonts w:eastAsiaTheme="minorEastAsia"/>
          <w:snapToGrid w:val="0"/>
        </w:rPr>
        <w:fldChar w:fldCharType="end"/>
      </w:r>
      <w:r>
        <w:rPr>
          <w:snapToGrid w:val="0"/>
        </w:rPr>
        <w:t>-</w:t>
      </w:r>
      <w:r w:rsidR="00CF3BAC" w:rsidRPr="00DB170D">
        <w:rPr>
          <w:rFonts w:eastAsiaTheme="minorEastAsia"/>
          <w:snapToGrid w:val="0"/>
        </w:rPr>
        <w:fldChar w:fldCharType="begin"/>
      </w:r>
      <w:r w:rsidR="00CF3BAC" w:rsidRPr="00DB170D">
        <w:rPr>
          <w:rFonts w:eastAsiaTheme="minorEastAsia"/>
          <w:snapToGrid w:val="0"/>
        </w:rPr>
        <w:instrText xml:space="preserve"> REF paragraph00035 \h  \* CharFormat </w:instrText>
      </w:r>
      <w:r w:rsidR="00CF3BAC" w:rsidRPr="00DB170D">
        <w:rPr>
          <w:rFonts w:eastAsiaTheme="minorEastAsia"/>
          <w:snapToGrid w:val="0"/>
        </w:rPr>
      </w:r>
      <w:r w:rsidR="00CF3BAC" w:rsidRPr="00DB170D">
        <w:rPr>
          <w:rFonts w:eastAsiaTheme="minorEastAsia"/>
          <w:snapToGrid w:val="0"/>
        </w:rPr>
        <w:fldChar w:fldCharType="separate"/>
      </w:r>
      <w:r w:rsidR="00DB170D" w:rsidRPr="00DB170D">
        <w:rPr>
          <w:rFonts w:eastAsiaTheme="minorEastAsia"/>
          <w:snapToGrid w:val="0"/>
        </w:rPr>
        <w:t>35</w:t>
      </w:r>
      <w:r w:rsidR="00CF3BAC" w:rsidRPr="00DB170D">
        <w:rPr>
          <w:rFonts w:eastAsiaTheme="minorEastAsia"/>
          <w:snapToGrid w:val="0"/>
        </w:rPr>
        <w:fldChar w:fldCharType="end"/>
      </w:r>
      <w:r>
        <w:rPr>
          <w:snapToGrid w:val="0"/>
        </w:rPr>
        <w:t>). Noul cadru juridic urmărește tocmai să răspundă situațiilor în care persoanele în cauză puteau să fi suferit din cauza decalajului existent între norma de drept și realitatea socială.</w:t>
      </w:r>
    </w:p>
    <w:p w14:paraId="65ABEF1D" w14:textId="1A40B866"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110</w:t>
      </w:r>
      <w:r w:rsidRPr="00DB170D">
        <w:rPr>
          <w:rFonts w:eastAsiaTheme="minorEastAsia"/>
          <w:snapToGrid w:val="0"/>
        </w:rPr>
        <w:fldChar w:fldCharType="end"/>
      </w:r>
      <w:r>
        <w:rPr>
          <w:snapToGrid w:val="0"/>
        </w:rPr>
        <w:t>.</w:t>
      </w:r>
      <w:r w:rsidR="00C31016">
        <w:rPr>
          <w:snapToGrid w:val="0"/>
        </w:rPr>
        <w:t xml:space="preserve"> </w:t>
      </w:r>
      <w:r>
        <w:rPr>
          <w:snapToGrid w:val="0"/>
        </w:rPr>
        <w:t xml:space="preserve">Curtea observă că, în absența unui consens european privind </w:t>
      </w:r>
      <w:r>
        <w:t xml:space="preserve">posibilitatea stabilirii unei legături juridice de filiație între un copil și fosta soție a mamei sale biologice, nu se poate reproșa statului pârât că a fost lent în a consimți la această evoluție (a se vedea, </w:t>
      </w:r>
      <w:bookmarkStart w:id="62" w:name="_Hlk98925403"/>
      <w:r>
        <w:rPr>
          <w:i/>
        </w:rPr>
        <w:t>Schalk și Kopf împotriva Austriei</w:t>
      </w:r>
      <w:r>
        <w:t xml:space="preserve">, nr. 30141/04, pct. 106, CEDO 2010, </w:t>
      </w:r>
      <w:r>
        <w:rPr>
          <w:i/>
        </w:rPr>
        <w:t>a fortiori</w:t>
      </w:r>
      <w:r>
        <w:t>).</w:t>
      </w:r>
    </w:p>
    <w:bookmarkEnd w:id="62"/>
    <w:p w14:paraId="081FAF26" w14:textId="479E7F9D" w:rsidR="00AF4A60" w:rsidRPr="00DB170D" w:rsidRDefault="00AF4A60" w:rsidP="00DB170D">
      <w:pPr>
        <w:pStyle w:val="JuPara"/>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111</w:t>
      </w:r>
      <w:r w:rsidRPr="00DB170D">
        <w:rPr>
          <w:rFonts w:eastAsiaTheme="minorEastAsia"/>
          <w:snapToGrid w:val="0"/>
        </w:rPr>
        <w:fldChar w:fldCharType="end"/>
      </w:r>
      <w:r>
        <w:rPr>
          <w:snapToGrid w:val="0"/>
        </w:rPr>
        <w:t>.</w:t>
      </w:r>
      <w:r w:rsidR="00C31016">
        <w:rPr>
          <w:snapToGrid w:val="0"/>
        </w:rPr>
        <w:t xml:space="preserve"> </w:t>
      </w:r>
      <w:r>
        <w:rPr>
          <w:snapToGrid w:val="0"/>
        </w:rPr>
        <w:t xml:space="preserve">Curtea reține, în continuare, că o asemenea opțiune este deschisă în cazul lui T.G. pentru că acesta s-a născut în urma unei RAM practicată în străinătate ca parte a unui proiect parental din care au făcut parte mama sa biologică, K.G., și A.E. </w:t>
      </w:r>
      <w:bookmarkStart w:id="63" w:name="_Hlk88065882"/>
      <w:r>
        <w:t xml:space="preserve">În această privință, subliniază afirmația reclamanților potrivit căreia mama biologică a copilului ar refuza recunoașterea în comun (supra, pct. </w:t>
      </w:r>
      <w:r w:rsidR="00CF3BAC" w:rsidRPr="00DB170D">
        <w:fldChar w:fldCharType="begin"/>
      </w:r>
      <w:r w:rsidR="00CF3BAC" w:rsidRPr="00DB170D">
        <w:instrText xml:space="preserve"> REF paragraph00071 \h  \* CharFormat </w:instrText>
      </w:r>
      <w:r w:rsidR="00CF3BAC" w:rsidRPr="00DB170D">
        <w:fldChar w:fldCharType="separate"/>
      </w:r>
      <w:r w:rsidR="00DB170D" w:rsidRPr="00DB170D">
        <w:t>71</w:t>
      </w:r>
      <w:r w:rsidR="00CF3BAC" w:rsidRPr="00DB170D">
        <w:fldChar w:fldCharType="end"/>
      </w:r>
      <w:r>
        <w:t xml:space="preserve">). </w:t>
      </w:r>
      <w:r>
        <w:rPr>
          <w:snapToGrid w:val="0"/>
        </w:rPr>
        <w:t xml:space="preserve">Rămâne totuși adevărat că, din 4 august 2021, data la care T.G., născut la 13 noiembrie 2008, avea 12 ani și aproximativ 8 luni, există, în dreptul francez, o procedură care permite </w:t>
      </w:r>
      <w:r>
        <w:t>stabilirea juridică a unei legături de filiație între A.E și el. Această posibilitate s-a deschis, prin urmare, numai după trei ani de la cererea lor privind emiterea unui act de notorietate (supra, pct. 24).</w:t>
      </w:r>
    </w:p>
    <w:bookmarkStart w:id="64" w:name="_Hlk95301239"/>
    <w:bookmarkEnd w:id="63"/>
    <w:p w14:paraId="12CA9EF4" w14:textId="5E4CF4DF" w:rsidR="00AF4A60" w:rsidRPr="00DB170D" w:rsidRDefault="00AF4A60" w:rsidP="00DB170D">
      <w:pPr>
        <w:pStyle w:val="JuPara"/>
      </w:pPr>
      <w:r w:rsidRPr="00DB170D">
        <w:rPr>
          <w:rFonts w:eastAsiaTheme="minorEastAsia"/>
          <w:snapToGrid w:val="0"/>
        </w:rPr>
        <w:lastRenderedPageBreak/>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112</w:t>
      </w:r>
      <w:r w:rsidRPr="00DB170D">
        <w:rPr>
          <w:rFonts w:eastAsiaTheme="minorEastAsia"/>
          <w:snapToGrid w:val="0"/>
        </w:rPr>
        <w:fldChar w:fldCharType="end"/>
      </w:r>
      <w:r>
        <w:rPr>
          <w:snapToGrid w:val="0"/>
        </w:rPr>
        <w:t>.</w:t>
      </w:r>
      <w:r w:rsidR="00C31016">
        <w:rPr>
          <w:snapToGrid w:val="0"/>
        </w:rPr>
        <w:t xml:space="preserve"> </w:t>
      </w:r>
      <w:r>
        <w:rPr>
          <w:snapToGrid w:val="0"/>
        </w:rPr>
        <w:t xml:space="preserve">În al treilea rând, dacă această procedură, în conformitate cu legea, nu este deschisă în ceea ce o privește pe M.B., care nu este rezultatul unei RAM practicate în străinătate, adopția sa însă cu efecte restrânse de către C.E. este de acum de avut în vedere. Dacă acesta nu a fost cazul pe perioada cât era minoră întrucât mama sa biologică ar fi pierdut în consecință autoritatea părintească (supra, pct. 29), M.B. este majoră de la </w:t>
      </w:r>
      <w:r>
        <w:t xml:space="preserve">13 ianuarie 2020. </w:t>
      </w:r>
      <w:r>
        <w:rPr>
          <w:snapToGrid w:val="0"/>
        </w:rPr>
        <w:t xml:space="preserve">Există astfel, de la această dată din urmă, o procedură care permite </w:t>
      </w:r>
      <w:r>
        <w:t xml:space="preserve">stabilirea juridică a unei legături de filiație între ea și C.E. Este adevărat că o asemenea opțiune nu se deschide decât tardiv, după ce copiii în cauză au ajuns la majorat. Cu toate acestea, Curtea consideră, în circumstanțele particulare ale speței, că opțiunea este susceptibilă să răspundă așteptărilor legitime ale reclamantelor. Astfel, constată că C.E. și C.B. au așteptat până în martie 2015 pentru a iniția demersurile de a obține recunoașterea unei legături de filiație între C.E. și M.B., atunci când ea avea deja 13 ani (supra, pct. 8), iar calea adopției simple le era deschisă după un an </w:t>
      </w:r>
      <w:r w:rsidR="00345E94">
        <w:t>și</w:t>
      </w:r>
      <w:r>
        <w:t xml:space="preserve"> jumătate doar de la depunerea cererii lor în fața Curții.</w:t>
      </w:r>
    </w:p>
    <w:bookmarkStart w:id="65" w:name="_Hlk95301476"/>
    <w:p w14:paraId="014ADA2B" w14:textId="439D5716" w:rsidR="00AF4A60" w:rsidRPr="00DB170D" w:rsidRDefault="00AF4A60" w:rsidP="00DB170D">
      <w:pPr>
        <w:pStyle w:val="JuPara"/>
      </w:pPr>
      <w:r w:rsidRPr="00DB170D">
        <w:fldChar w:fldCharType="begin"/>
      </w:r>
      <w:r w:rsidRPr="00DB170D">
        <w:instrText xml:space="preserve"> SEQ level0 \*arabic \* MERGEFORMAT </w:instrText>
      </w:r>
      <w:r w:rsidRPr="00DB170D">
        <w:fldChar w:fldCharType="separate"/>
      </w:r>
      <w:r w:rsidR="00DB170D" w:rsidRPr="00DB170D">
        <w:t>113</w:t>
      </w:r>
      <w:r w:rsidRPr="00DB170D">
        <w:fldChar w:fldCharType="end"/>
      </w:r>
      <w:r>
        <w:t>.</w:t>
      </w:r>
      <w:r w:rsidR="00C31016">
        <w:t xml:space="preserve"> </w:t>
      </w:r>
      <w:r>
        <w:t>În rest, Curtea a subliniat că excluderea regimului tranzitoriu al copiilor care nu sunt rezultatul unei RAM în străinătate și care, la fel ca M.B., s-au născut fără a se recurge la asistența medicală pentru reproducere practicată pe teritoriul francez, ar putea ridica o problemă serioasă în temeiul art. 8, privit separat sau coroborat cu art. 14.</w:t>
      </w:r>
    </w:p>
    <w:bookmarkStart w:id="66" w:name="_Hlk95312004"/>
    <w:bookmarkStart w:id="67" w:name="_Hlk87869186"/>
    <w:bookmarkEnd w:id="61"/>
    <w:bookmarkEnd w:id="65"/>
    <w:p w14:paraId="2FA060C4" w14:textId="7E12FFA2" w:rsidR="00AF4A60"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114</w:t>
      </w:r>
      <w:r w:rsidRPr="00DB170D">
        <w:rPr>
          <w:rFonts w:eastAsiaTheme="minorEastAsia"/>
          <w:snapToGrid w:val="0"/>
        </w:rPr>
        <w:fldChar w:fldCharType="end"/>
      </w:r>
      <w:r>
        <w:rPr>
          <w:snapToGrid w:val="0"/>
        </w:rPr>
        <w:t>.</w:t>
      </w:r>
      <w:r w:rsidR="00C31016">
        <w:rPr>
          <w:snapToGrid w:val="0"/>
        </w:rPr>
        <w:t xml:space="preserve"> </w:t>
      </w:r>
      <w:r>
        <w:rPr>
          <w:snapToGrid w:val="0"/>
        </w:rPr>
        <w:t xml:space="preserve">În aceste condiții și având în vedere marja de apreciere de care dispunea statul pârât, deși redusă atunci când sunt în cauză interesele superioare ale copiilor minori, Curtea consideră, cu privire la </w:t>
      </w:r>
      <w:r>
        <w:t xml:space="preserve">dreptul lui M.B. și al lui T.G. la respectarea vieții private, </w:t>
      </w:r>
      <w:r>
        <w:rPr>
          <w:snapToGrid w:val="0"/>
        </w:rPr>
        <w:t>că s-a păstrat echilibrul just între interesele prezente.</w:t>
      </w:r>
    </w:p>
    <w:bookmarkEnd w:id="64"/>
    <w:bookmarkEnd w:id="66"/>
    <w:p w14:paraId="21944A76" w14:textId="451A23C8" w:rsidR="00DB170D" w:rsidRPr="00DB170D" w:rsidRDefault="00AF4A60" w:rsidP="00DB170D">
      <w:pPr>
        <w:pStyle w:val="JuPara"/>
        <w:rPr>
          <w:rFonts w:eastAsiaTheme="minorEastAsia"/>
          <w:snapToGrid w:val="0"/>
          <w:szCs w:val="22"/>
        </w:rPr>
      </w:pPr>
      <w:r w:rsidRPr="00DB170D">
        <w:rPr>
          <w:rFonts w:eastAsiaTheme="minorEastAsia"/>
          <w:snapToGrid w:val="0"/>
        </w:rPr>
        <w:fldChar w:fldCharType="begin"/>
      </w:r>
      <w:r w:rsidRPr="00DB170D">
        <w:rPr>
          <w:rFonts w:eastAsiaTheme="minorEastAsia"/>
          <w:snapToGrid w:val="0"/>
        </w:rPr>
        <w:instrText xml:space="preserve"> SEQ level0 \*arabic \* MERGEFORMAT </w:instrText>
      </w:r>
      <w:r w:rsidRPr="00DB170D">
        <w:rPr>
          <w:rFonts w:eastAsiaTheme="minorEastAsia"/>
          <w:snapToGrid w:val="0"/>
        </w:rPr>
        <w:fldChar w:fldCharType="separate"/>
      </w:r>
      <w:r w:rsidR="00DB170D" w:rsidRPr="00DB170D">
        <w:rPr>
          <w:rFonts w:eastAsiaTheme="minorEastAsia"/>
          <w:snapToGrid w:val="0"/>
        </w:rPr>
        <w:t>115</w:t>
      </w:r>
      <w:r w:rsidRPr="00DB170D">
        <w:rPr>
          <w:rFonts w:eastAsiaTheme="minorEastAsia"/>
          <w:snapToGrid w:val="0"/>
        </w:rPr>
        <w:fldChar w:fldCharType="end"/>
      </w:r>
      <w:r>
        <w:rPr>
          <w:snapToGrid w:val="0"/>
        </w:rPr>
        <w:t>.</w:t>
      </w:r>
      <w:r w:rsidR="00C31016">
        <w:rPr>
          <w:snapToGrid w:val="0"/>
        </w:rPr>
        <w:t xml:space="preserve"> </w:t>
      </w:r>
      <w:r>
        <w:rPr>
          <w:snapToGrid w:val="0"/>
        </w:rPr>
        <w:t xml:space="preserve">Potrivit Curții, aceasta se aplică </w:t>
      </w:r>
      <w:r>
        <w:rPr>
          <w:i/>
          <w:snapToGrid w:val="0"/>
        </w:rPr>
        <w:t>a fortiori</w:t>
      </w:r>
      <w:r>
        <w:rPr>
          <w:snapToGrid w:val="0"/>
        </w:rPr>
        <w:t xml:space="preserve"> cu privire la dreptul lui C.E. și al lui C.B. la respectarea vieții private, pe de o parte, și al lui A.E. și al lui K.G., pe de altă parte, ale căror interese în această privință sunt în acord cu cele ale lui M.B. și, respectiv, ale lui T.G.</w:t>
      </w:r>
    </w:p>
    <w:p w14:paraId="2528CBE7" w14:textId="7D3415F4"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116</w:t>
      </w:r>
      <w:r>
        <w:fldChar w:fldCharType="end"/>
      </w:r>
      <w:r w:rsidR="001968A3">
        <w:t>.</w:t>
      </w:r>
      <w:r w:rsidR="00C31016">
        <w:t xml:space="preserve"> </w:t>
      </w:r>
      <w:r w:rsidR="001968A3">
        <w:t>Prin urmare, statul pârât nu și-a încălcat obligația de a asigura respectarea efectivă a vieţii lor private. Rezultă că nu s-a produs o încălcare a dreptului la respectarea vieţii private protejat de art. 8.</w:t>
      </w:r>
    </w:p>
    <w:p w14:paraId="29231D5C" w14:textId="77777777" w:rsidR="00AF4A60" w:rsidRPr="00DB170D" w:rsidRDefault="00AF4A60" w:rsidP="00DB170D">
      <w:pPr>
        <w:pStyle w:val="JuHa0"/>
      </w:pPr>
      <w:r>
        <w:t>Concluzie</w:t>
      </w:r>
    </w:p>
    <w:p w14:paraId="432A0DFD" w14:textId="45330EEF" w:rsidR="00AF4A60" w:rsidRPr="00DB170D" w:rsidRDefault="00DB3F2B" w:rsidP="00DB170D">
      <w:pPr>
        <w:pStyle w:val="JuPara"/>
      </w:pPr>
      <w:r>
        <w:fldChar w:fldCharType="begin"/>
      </w:r>
      <w:r>
        <w:instrText xml:space="preserve"> SEQ level0 \*arabic \* MERGEFORMAT </w:instrText>
      </w:r>
      <w:r>
        <w:fldChar w:fldCharType="separate"/>
      </w:r>
      <w:r w:rsidR="00DB170D" w:rsidRPr="00DB170D">
        <w:t>117</w:t>
      </w:r>
      <w:r>
        <w:fldChar w:fldCharType="end"/>
      </w:r>
      <w:r w:rsidR="001968A3">
        <w:t>.</w:t>
      </w:r>
      <w:r w:rsidR="00C31016">
        <w:t xml:space="preserve"> </w:t>
      </w:r>
      <w:r w:rsidR="001968A3">
        <w:t>Nu a fost încălcat art. 8 din Convenție.</w:t>
      </w:r>
      <w:bookmarkEnd w:id="67"/>
    </w:p>
    <w:p w14:paraId="3F678C42" w14:textId="5396DB7E" w:rsidR="00AF4A60" w:rsidRPr="00DB170D" w:rsidRDefault="00AF4A60" w:rsidP="00DB170D">
      <w:pPr>
        <w:pStyle w:val="JuHHead"/>
      </w:pPr>
      <w:r>
        <w:t>PENTRU ACESTE MOTIVE, CURTEA, ÎN UNANIMITATE,</w:t>
      </w:r>
    </w:p>
    <w:p w14:paraId="027CA8A8" w14:textId="77777777" w:rsidR="00AF4A60" w:rsidRPr="00DB170D" w:rsidRDefault="00AF4A60" w:rsidP="00DB170D">
      <w:pPr>
        <w:pStyle w:val="JuList"/>
        <w:numPr>
          <w:ilvl w:val="0"/>
          <w:numId w:val="0"/>
        </w:numPr>
        <w:ind w:left="340" w:hanging="340"/>
      </w:pPr>
      <w:r>
        <w:t>1.</w:t>
      </w:r>
      <w:r>
        <w:rPr>
          <w:i/>
        </w:rPr>
        <w:tab/>
      </w:r>
      <w:r>
        <w:rPr>
          <w:i/>
          <w:iCs/>
        </w:rPr>
        <w:t>Decide</w:t>
      </w:r>
      <w:r>
        <w:t xml:space="preserve"> să conexeze cererile;</w:t>
      </w:r>
    </w:p>
    <w:p w14:paraId="035EDEFF" w14:textId="77777777" w:rsidR="00AF4A60" w:rsidRPr="00DB170D" w:rsidRDefault="00AF4A60" w:rsidP="00DB170D">
      <w:pPr>
        <w:pStyle w:val="JuList"/>
        <w:numPr>
          <w:ilvl w:val="0"/>
          <w:numId w:val="0"/>
        </w:numPr>
        <w:ind w:left="340" w:hanging="340"/>
      </w:pPr>
      <w:r>
        <w:t>2.</w:t>
      </w:r>
      <w:r>
        <w:rPr>
          <w:i/>
        </w:rPr>
        <w:tab/>
        <w:t>Declară</w:t>
      </w:r>
      <w:r>
        <w:t xml:space="preserve"> cererile admisibile;</w:t>
      </w:r>
    </w:p>
    <w:p w14:paraId="699D8553" w14:textId="07040282" w:rsidR="00876F03" w:rsidRPr="00DB170D" w:rsidRDefault="00AF4A60" w:rsidP="00DB170D">
      <w:pPr>
        <w:pStyle w:val="JuList"/>
        <w:numPr>
          <w:ilvl w:val="0"/>
          <w:numId w:val="0"/>
        </w:numPr>
        <w:ind w:left="340" w:hanging="340"/>
      </w:pPr>
      <w:r>
        <w:t>3.</w:t>
      </w:r>
      <w:r>
        <w:rPr>
          <w:i/>
        </w:rPr>
        <w:t xml:space="preserve"> </w:t>
      </w:r>
      <w:r>
        <w:rPr>
          <w:i/>
        </w:rPr>
        <w:tab/>
      </w:r>
      <w:r>
        <w:rPr>
          <w:i/>
          <w:iCs/>
        </w:rPr>
        <w:t>Hotărăște</w:t>
      </w:r>
      <w:r>
        <w:t xml:space="preserve"> că nu a fost încălcat art. 8 din Convenție.</w:t>
      </w:r>
      <w:bookmarkEnd w:id="6"/>
    </w:p>
    <w:p w14:paraId="5B10A3D2" w14:textId="632266E5" w:rsidR="00893F30" w:rsidRPr="00DB170D" w:rsidRDefault="00893F30" w:rsidP="00DB170D">
      <w:pPr>
        <w:pStyle w:val="JuParaLast"/>
      </w:pPr>
      <w:r>
        <w:lastRenderedPageBreak/>
        <w:t>Redactată în limba franceză, apoi comunicată în scris la 24 martie 2022, în temeiul art. 77 § 2 și</w:t>
      </w:r>
      <w:r w:rsidR="00C31016">
        <w:t xml:space="preserve"> </w:t>
      </w:r>
      <w:r>
        <w:t>3 din Regulament.</w:t>
      </w:r>
    </w:p>
    <w:p w14:paraId="7878B236" w14:textId="219E82C5" w:rsidR="00876F03" w:rsidRPr="00DB170D" w:rsidRDefault="00510D77" w:rsidP="00E42C1E">
      <w:pPr>
        <w:pStyle w:val="JuSigned"/>
        <w:keepNext/>
        <w:keepLines/>
      </w:pPr>
      <w:r>
        <w:rPr>
          <w:color w:val="F8F8F8" w:themeColor="background2"/>
        </w:rPr>
        <w:tab/>
      </w:r>
      <w:r w:rsidR="00AF4A60">
        <w:t>Victor Soloveytchik</w:t>
      </w:r>
      <w:r w:rsidR="00AF4A60">
        <w:tab/>
        <w:t>Síofra O’Leary</w:t>
      </w:r>
      <w:r w:rsidR="00AF4A60">
        <w:br/>
      </w:r>
      <w:r w:rsidR="00AF4A60">
        <w:tab/>
        <w:t>Grefier</w:t>
      </w:r>
      <w:r w:rsidR="00AF4A60">
        <w:tab/>
        <w:t>Președinte</w:t>
      </w:r>
    </w:p>
    <w:p w14:paraId="312948E1" w14:textId="2BA36E37" w:rsidR="00876F03" w:rsidRPr="00DB170D" w:rsidRDefault="00876F03" w:rsidP="00DB170D"/>
    <w:sectPr w:rsidR="00876F03" w:rsidRPr="00DB170D">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66304" w14:textId="77777777" w:rsidR="003E6B2E" w:rsidRPr="00F25EFC" w:rsidRDefault="003E6B2E" w:rsidP="00516B59">
      <w:r w:rsidRPr="00F25EFC">
        <w:separator/>
      </w:r>
    </w:p>
  </w:endnote>
  <w:endnote w:type="continuationSeparator" w:id="0">
    <w:p w14:paraId="5B610E55" w14:textId="77777777" w:rsidR="003E6B2E" w:rsidRPr="00F25EFC" w:rsidRDefault="003E6B2E"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29C3" w14:textId="02F3C03E" w:rsidR="00466A8D" w:rsidRPr="00F25EFC" w:rsidRDefault="00466A8D" w:rsidP="00954AD6">
    <w:pPr>
      <w:pStyle w:val="JuHeader"/>
    </w:pPr>
    <w:r>
      <w:fldChar w:fldCharType="begin"/>
    </w:r>
    <w:r>
      <w:instrText xml:space="preserve"> PAGE </w:instrText>
    </w:r>
    <w:r>
      <w:fldChar w:fldCharType="separate"/>
    </w:r>
    <w:r w:rsidR="00E42C1E">
      <w:rPr>
        <w:noProof/>
      </w:rPr>
      <w:t>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3231" w14:textId="6406D72F" w:rsidR="00466A8D" w:rsidRPr="00150BFA" w:rsidRDefault="00466A8D" w:rsidP="00466A8D">
    <w:pPr>
      <w:jc w:val="center"/>
    </w:pPr>
    <w:r>
      <w:rPr>
        <w:noProof/>
        <w:lang w:val="en-US"/>
      </w:rPr>
      <w:drawing>
        <wp:inline distT="0" distB="0" distL="0" distR="0" wp14:anchorId="6A41A2EB" wp14:editId="731401F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0938735" w14:textId="619D20F9" w:rsidR="00466A8D" w:rsidRPr="00F25EFC" w:rsidRDefault="00466A8D"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7AFD" w14:textId="5921364B" w:rsidR="00466A8D" w:rsidRPr="00150BFA" w:rsidRDefault="00466A8D" w:rsidP="00466A8D">
    <w:pPr>
      <w:jc w:val="center"/>
    </w:pPr>
    <w:r>
      <w:rPr>
        <w:noProof/>
        <w:lang w:val="en-US"/>
      </w:rPr>
      <w:drawing>
        <wp:inline distT="0" distB="0" distL="0" distR="0" wp14:anchorId="1CF11302" wp14:editId="67730027">
          <wp:extent cx="771525" cy="619125"/>
          <wp:effectExtent l="0" t="0" r="9525" b="9525"/>
          <wp:docPr id="12" name="Picture 1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BC731A9" w14:textId="41D9BC7F" w:rsidR="00466A8D" w:rsidRPr="00F25EFC" w:rsidRDefault="00466A8D"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7EAE" w14:textId="366B39E5" w:rsidR="00466A8D" w:rsidRPr="00D01935" w:rsidRDefault="00466A8D" w:rsidP="00662882">
    <w:pPr>
      <w:pStyle w:val="JuHeader"/>
    </w:pPr>
    <w:r>
      <w:fldChar w:fldCharType="begin"/>
    </w:r>
    <w:r>
      <w:instrText xml:space="preserve"> PAGE </w:instrText>
    </w:r>
    <w:r>
      <w:fldChar w:fldCharType="separate"/>
    </w:r>
    <w:r w:rsidR="00E42C1E">
      <w:rPr>
        <w:noProof/>
      </w:rP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5884" w14:textId="77777777" w:rsidR="003E6B2E" w:rsidRPr="00F25EFC" w:rsidRDefault="003E6B2E" w:rsidP="00516B59">
      <w:r w:rsidRPr="00F25EFC">
        <w:separator/>
      </w:r>
    </w:p>
  </w:footnote>
  <w:footnote w:type="continuationSeparator" w:id="0">
    <w:p w14:paraId="5EAD1AD7" w14:textId="77777777" w:rsidR="003E6B2E" w:rsidRPr="00F25EFC" w:rsidRDefault="003E6B2E"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4BD5" w14:textId="42E12688" w:rsidR="00466A8D" w:rsidRPr="00A45145" w:rsidRDefault="00466A8D" w:rsidP="00466A8D">
    <w:pPr>
      <w:jc w:val="center"/>
    </w:pPr>
    <w:r>
      <w:rPr>
        <w:noProof/>
        <w:lang w:val="en-US"/>
      </w:rPr>
      <w:drawing>
        <wp:inline distT="0" distB="0" distL="0" distR="0" wp14:anchorId="31EDD78A" wp14:editId="0C729B55">
          <wp:extent cx="2962275" cy="1219200"/>
          <wp:effectExtent l="0" t="0" r="9525" b="0"/>
          <wp:docPr id="13" name="Picture 1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0CC8060" w14:textId="23BDC952" w:rsidR="00466A8D" w:rsidRPr="00F25EFC" w:rsidRDefault="00466A8D" w:rsidP="00466A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81E5" w14:textId="77777777" w:rsidR="00DB3F2B" w:rsidRPr="00DB3F2B" w:rsidRDefault="00DB3F2B" w:rsidP="00DB3F2B">
    <w:pPr>
      <w:jc w:val="right"/>
      <w:rPr>
        <w:iCs/>
        <w:noProof/>
        <w:lang w:eastAsia="ro-RO"/>
      </w:rPr>
    </w:pPr>
    <w:r w:rsidRPr="00DB3F2B">
      <w:rPr>
        <w:iCs/>
      </w:rPr>
      <w:t>Tradus și revizuit de IER (http://ier.gov.ro/)</w:t>
    </w:r>
  </w:p>
  <w:p w14:paraId="1FAB4097" w14:textId="4FBA5DC7" w:rsidR="00466A8D" w:rsidRPr="00A45145" w:rsidRDefault="00466A8D" w:rsidP="00466A8D">
    <w:pPr>
      <w:jc w:val="center"/>
    </w:pPr>
    <w:r>
      <w:rPr>
        <w:noProof/>
        <w:lang w:val="en-US"/>
      </w:rPr>
      <w:drawing>
        <wp:inline distT="0" distB="0" distL="0" distR="0" wp14:anchorId="43471997" wp14:editId="19AD9983">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334282F" w14:textId="33E70065" w:rsidR="00466A8D" w:rsidRPr="00F25EFC" w:rsidRDefault="00466A8D"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2785" w14:textId="5DF88168" w:rsidR="00466A8D" w:rsidRPr="00DD100A" w:rsidRDefault="00466A8D" w:rsidP="00A21624">
    <w:pPr>
      <w:pStyle w:val="JuHeader"/>
    </w:pPr>
    <w:r>
      <w:t xml:space="preserve">HOTĂRÂREA C.E. ȘI ALȚII ÎMPOTRIV FRANȚEI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567B" w14:textId="10687F4D" w:rsidR="00466A8D" w:rsidRPr="00662882" w:rsidRDefault="00466A8D" w:rsidP="00662882">
    <w:pPr>
      <w:pStyle w:val="JuHeader"/>
    </w:pPr>
    <w:r>
      <w:t xml:space="preserve">HOTĂRÂREA C.E. ȘI ALȚII ÎMPOTRIV FRANȚEI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1539852403">
    <w:abstractNumId w:val="9"/>
  </w:num>
  <w:num w:numId="2" w16cid:durableId="1928339170">
    <w:abstractNumId w:val="13"/>
  </w:num>
  <w:num w:numId="3" w16cid:durableId="310672192">
    <w:abstractNumId w:val="11"/>
  </w:num>
  <w:num w:numId="4" w16cid:durableId="796878390">
    <w:abstractNumId w:val="10"/>
  </w:num>
  <w:num w:numId="5" w16cid:durableId="1696924348">
    <w:abstractNumId w:val="14"/>
  </w:num>
  <w:num w:numId="6" w16cid:durableId="1245336424">
    <w:abstractNumId w:val="12"/>
  </w:num>
  <w:num w:numId="7" w16cid:durableId="1780946557">
    <w:abstractNumId w:val="15"/>
  </w:num>
  <w:num w:numId="8" w16cid:durableId="1895922912">
    <w:abstractNumId w:val="16"/>
  </w:num>
  <w:num w:numId="9" w16cid:durableId="873661496">
    <w:abstractNumId w:val="7"/>
  </w:num>
  <w:num w:numId="10" w16cid:durableId="1950429558">
    <w:abstractNumId w:val="6"/>
  </w:num>
  <w:num w:numId="11" w16cid:durableId="1544251595">
    <w:abstractNumId w:val="5"/>
  </w:num>
  <w:num w:numId="12" w16cid:durableId="1204487035">
    <w:abstractNumId w:val="4"/>
  </w:num>
  <w:num w:numId="13" w16cid:durableId="1740785580">
    <w:abstractNumId w:val="8"/>
  </w:num>
  <w:num w:numId="14" w16cid:durableId="1067146729">
    <w:abstractNumId w:val="3"/>
  </w:num>
  <w:num w:numId="15" w16cid:durableId="1358967041">
    <w:abstractNumId w:val="2"/>
  </w:num>
  <w:num w:numId="16" w16cid:durableId="1675262534">
    <w:abstractNumId w:val="1"/>
  </w:num>
  <w:num w:numId="17" w16cid:durableId="17481905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2"/>
    <w:docVar w:name="EMM" w:val="0"/>
    <w:docVar w:name="NBEMMDOC" w:val="0"/>
    <w:docVar w:name="Plural" w:val="3"/>
  </w:docVars>
  <w:rsids>
    <w:rsidRoot w:val="00AF4A60"/>
    <w:rsid w:val="00002F79"/>
    <w:rsid w:val="000041F8"/>
    <w:rsid w:val="000042A8"/>
    <w:rsid w:val="00004308"/>
    <w:rsid w:val="00004386"/>
    <w:rsid w:val="00005BF0"/>
    <w:rsid w:val="00007154"/>
    <w:rsid w:val="000103AE"/>
    <w:rsid w:val="00011D69"/>
    <w:rsid w:val="00012AD3"/>
    <w:rsid w:val="00015C2D"/>
    <w:rsid w:val="00015F00"/>
    <w:rsid w:val="00022C1D"/>
    <w:rsid w:val="00030064"/>
    <w:rsid w:val="00034987"/>
    <w:rsid w:val="00051015"/>
    <w:rsid w:val="000602DF"/>
    <w:rsid w:val="00061B05"/>
    <w:rsid w:val="000632D5"/>
    <w:rsid w:val="00063A60"/>
    <w:rsid w:val="000644EE"/>
    <w:rsid w:val="000675A9"/>
    <w:rsid w:val="00080ECE"/>
    <w:rsid w:val="00086E4E"/>
    <w:rsid w:val="0009057B"/>
    <w:rsid w:val="000925AD"/>
    <w:rsid w:val="000A20EB"/>
    <w:rsid w:val="000A24EB"/>
    <w:rsid w:val="000A44AF"/>
    <w:rsid w:val="000B5D17"/>
    <w:rsid w:val="000B6923"/>
    <w:rsid w:val="000C5F3C"/>
    <w:rsid w:val="000C6DCC"/>
    <w:rsid w:val="000D04C2"/>
    <w:rsid w:val="000D40F0"/>
    <w:rsid w:val="000D47AA"/>
    <w:rsid w:val="000D62C7"/>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16B"/>
    <w:rsid w:val="00137FF6"/>
    <w:rsid w:val="00141650"/>
    <w:rsid w:val="001625AD"/>
    <w:rsid w:val="00162967"/>
    <w:rsid w:val="00162A12"/>
    <w:rsid w:val="00166530"/>
    <w:rsid w:val="00181508"/>
    <w:rsid w:val="001832BD"/>
    <w:rsid w:val="001943B5"/>
    <w:rsid w:val="00194C5B"/>
    <w:rsid w:val="00195134"/>
    <w:rsid w:val="001968A3"/>
    <w:rsid w:val="001A145B"/>
    <w:rsid w:val="001A2684"/>
    <w:rsid w:val="001A674C"/>
    <w:rsid w:val="001A6EC5"/>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17145"/>
    <w:rsid w:val="00230D00"/>
    <w:rsid w:val="00231364"/>
    <w:rsid w:val="00231DF7"/>
    <w:rsid w:val="00231FD1"/>
    <w:rsid w:val="00232B20"/>
    <w:rsid w:val="002339E0"/>
    <w:rsid w:val="00233CF8"/>
    <w:rsid w:val="0023575D"/>
    <w:rsid w:val="00237148"/>
    <w:rsid w:val="0024222D"/>
    <w:rsid w:val="00244B0E"/>
    <w:rsid w:val="00244F6C"/>
    <w:rsid w:val="00245FF6"/>
    <w:rsid w:val="00247E9B"/>
    <w:rsid w:val="002532C5"/>
    <w:rsid w:val="002546AE"/>
    <w:rsid w:val="00256F45"/>
    <w:rsid w:val="00260C03"/>
    <w:rsid w:val="0026540E"/>
    <w:rsid w:val="00275123"/>
    <w:rsid w:val="00282240"/>
    <w:rsid w:val="00294882"/>
    <w:rsid w:val="002948AD"/>
    <w:rsid w:val="0029739C"/>
    <w:rsid w:val="002A01CC"/>
    <w:rsid w:val="002A61B1"/>
    <w:rsid w:val="002A663C"/>
    <w:rsid w:val="002B444B"/>
    <w:rsid w:val="002B5887"/>
    <w:rsid w:val="002B7E83"/>
    <w:rsid w:val="002C0E27"/>
    <w:rsid w:val="002C3040"/>
    <w:rsid w:val="002D022D"/>
    <w:rsid w:val="002D24BB"/>
    <w:rsid w:val="002E26EB"/>
    <w:rsid w:val="002E2710"/>
    <w:rsid w:val="002F29AA"/>
    <w:rsid w:val="002F2AF7"/>
    <w:rsid w:val="002F7E1C"/>
    <w:rsid w:val="00301A75"/>
    <w:rsid w:val="00302E3F"/>
    <w:rsid w:val="00302F70"/>
    <w:rsid w:val="0030336F"/>
    <w:rsid w:val="0030375E"/>
    <w:rsid w:val="0030660C"/>
    <w:rsid w:val="00312A30"/>
    <w:rsid w:val="00316323"/>
    <w:rsid w:val="00320F72"/>
    <w:rsid w:val="0032463E"/>
    <w:rsid w:val="00326224"/>
    <w:rsid w:val="003309D6"/>
    <w:rsid w:val="00337EE4"/>
    <w:rsid w:val="00340FFD"/>
    <w:rsid w:val="00345E94"/>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B2E"/>
    <w:rsid w:val="003E6D80"/>
    <w:rsid w:val="003E7A9C"/>
    <w:rsid w:val="003F05FA"/>
    <w:rsid w:val="003F244A"/>
    <w:rsid w:val="003F30B8"/>
    <w:rsid w:val="003F4C45"/>
    <w:rsid w:val="003F5F7B"/>
    <w:rsid w:val="003F7D64"/>
    <w:rsid w:val="00401F7D"/>
    <w:rsid w:val="0041177B"/>
    <w:rsid w:val="00413580"/>
    <w:rsid w:val="00414300"/>
    <w:rsid w:val="00425C67"/>
    <w:rsid w:val="00427E7A"/>
    <w:rsid w:val="00431C07"/>
    <w:rsid w:val="004343FF"/>
    <w:rsid w:val="004344E6"/>
    <w:rsid w:val="00436C49"/>
    <w:rsid w:val="00445366"/>
    <w:rsid w:val="00447F5B"/>
    <w:rsid w:val="00456549"/>
    <w:rsid w:val="0046021E"/>
    <w:rsid w:val="004604A0"/>
    <w:rsid w:val="00461DB0"/>
    <w:rsid w:val="00463926"/>
    <w:rsid w:val="00464C9A"/>
    <w:rsid w:val="00466A8D"/>
    <w:rsid w:val="00474F3D"/>
    <w:rsid w:val="00477E3A"/>
    <w:rsid w:val="00483E5F"/>
    <w:rsid w:val="00485FF9"/>
    <w:rsid w:val="004907F0"/>
    <w:rsid w:val="0049140B"/>
    <w:rsid w:val="004923A5"/>
    <w:rsid w:val="00496197"/>
    <w:rsid w:val="00496BFB"/>
    <w:rsid w:val="004A15C7"/>
    <w:rsid w:val="004B013B"/>
    <w:rsid w:val="004B0DA2"/>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356"/>
    <w:rsid w:val="00562781"/>
    <w:rsid w:val="00566E2B"/>
    <w:rsid w:val="0057271C"/>
    <w:rsid w:val="00572845"/>
    <w:rsid w:val="00576986"/>
    <w:rsid w:val="00584E80"/>
    <w:rsid w:val="00592772"/>
    <w:rsid w:val="00592C8D"/>
    <w:rsid w:val="0059574A"/>
    <w:rsid w:val="005A02CA"/>
    <w:rsid w:val="005A1B9B"/>
    <w:rsid w:val="005A6751"/>
    <w:rsid w:val="005B092E"/>
    <w:rsid w:val="005B152C"/>
    <w:rsid w:val="005B1EE0"/>
    <w:rsid w:val="005B2B24"/>
    <w:rsid w:val="005B4425"/>
    <w:rsid w:val="005B4B94"/>
    <w:rsid w:val="005B6DD6"/>
    <w:rsid w:val="005C353F"/>
    <w:rsid w:val="005C3EE8"/>
    <w:rsid w:val="005C62F5"/>
    <w:rsid w:val="005D34F9"/>
    <w:rsid w:val="005D4190"/>
    <w:rsid w:val="005D67A3"/>
    <w:rsid w:val="005E2988"/>
    <w:rsid w:val="005E3085"/>
    <w:rsid w:val="005F4554"/>
    <w:rsid w:val="005F51E1"/>
    <w:rsid w:val="00611C80"/>
    <w:rsid w:val="00613B21"/>
    <w:rsid w:val="00616EDF"/>
    <w:rsid w:val="00620692"/>
    <w:rsid w:val="006242CA"/>
    <w:rsid w:val="00627507"/>
    <w:rsid w:val="00627A75"/>
    <w:rsid w:val="00633717"/>
    <w:rsid w:val="006344E1"/>
    <w:rsid w:val="006361FD"/>
    <w:rsid w:val="006545C4"/>
    <w:rsid w:val="00654B7E"/>
    <w:rsid w:val="00661971"/>
    <w:rsid w:val="00661CE8"/>
    <w:rsid w:val="006623D9"/>
    <w:rsid w:val="00662882"/>
    <w:rsid w:val="0066550C"/>
    <w:rsid w:val="006716F2"/>
    <w:rsid w:val="00682BF2"/>
    <w:rsid w:val="00683E35"/>
    <w:rsid w:val="006859CE"/>
    <w:rsid w:val="00691270"/>
    <w:rsid w:val="00694BA8"/>
    <w:rsid w:val="00697FE9"/>
    <w:rsid w:val="006A037C"/>
    <w:rsid w:val="006A36F4"/>
    <w:rsid w:val="006A406F"/>
    <w:rsid w:val="006A5D3A"/>
    <w:rsid w:val="006C23D4"/>
    <w:rsid w:val="006C475E"/>
    <w:rsid w:val="006C7BB0"/>
    <w:rsid w:val="006D3237"/>
    <w:rsid w:val="006E2E37"/>
    <w:rsid w:val="006E3CF1"/>
    <w:rsid w:val="006E7E80"/>
    <w:rsid w:val="006F48CA"/>
    <w:rsid w:val="006F64DD"/>
    <w:rsid w:val="007104ED"/>
    <w:rsid w:val="00715127"/>
    <w:rsid w:val="00715E8E"/>
    <w:rsid w:val="007172B0"/>
    <w:rsid w:val="00723580"/>
    <w:rsid w:val="00723755"/>
    <w:rsid w:val="00724AE2"/>
    <w:rsid w:val="00730B5C"/>
    <w:rsid w:val="0073136C"/>
    <w:rsid w:val="00731F0F"/>
    <w:rsid w:val="00733250"/>
    <w:rsid w:val="00735951"/>
    <w:rsid w:val="00741404"/>
    <w:rsid w:val="007447C6"/>
    <w:rsid w:val="007449E5"/>
    <w:rsid w:val="00747FF0"/>
    <w:rsid w:val="007612E2"/>
    <w:rsid w:val="00764D4E"/>
    <w:rsid w:val="00765A1F"/>
    <w:rsid w:val="00775B6D"/>
    <w:rsid w:val="00776D68"/>
    <w:rsid w:val="00784BB2"/>
    <w:rsid w:val="007850EE"/>
    <w:rsid w:val="00785B95"/>
    <w:rsid w:val="00790AAD"/>
    <w:rsid w:val="00790E96"/>
    <w:rsid w:val="00793366"/>
    <w:rsid w:val="007938C2"/>
    <w:rsid w:val="00794E99"/>
    <w:rsid w:val="007971FF"/>
    <w:rsid w:val="007A4070"/>
    <w:rsid w:val="007A716F"/>
    <w:rsid w:val="007B270A"/>
    <w:rsid w:val="007C0695"/>
    <w:rsid w:val="007C419A"/>
    <w:rsid w:val="007C4CC8"/>
    <w:rsid w:val="007C5426"/>
    <w:rsid w:val="007C5798"/>
    <w:rsid w:val="007D4832"/>
    <w:rsid w:val="007E21B2"/>
    <w:rsid w:val="007E2C4E"/>
    <w:rsid w:val="007F1905"/>
    <w:rsid w:val="007F57DD"/>
    <w:rsid w:val="00801300"/>
    <w:rsid w:val="00802C64"/>
    <w:rsid w:val="0080523A"/>
    <w:rsid w:val="00805E52"/>
    <w:rsid w:val="008061D0"/>
    <w:rsid w:val="00810B38"/>
    <w:rsid w:val="00813EE9"/>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0831"/>
    <w:rsid w:val="008B2698"/>
    <w:rsid w:val="008B57CE"/>
    <w:rsid w:val="008C26DE"/>
    <w:rsid w:val="008D2225"/>
    <w:rsid w:val="008D4752"/>
    <w:rsid w:val="008E0F84"/>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32EA"/>
    <w:rsid w:val="00954AD6"/>
    <w:rsid w:val="009569C1"/>
    <w:rsid w:val="009630C7"/>
    <w:rsid w:val="00972B55"/>
    <w:rsid w:val="009743B7"/>
    <w:rsid w:val="00975039"/>
    <w:rsid w:val="009769C2"/>
    <w:rsid w:val="00977227"/>
    <w:rsid w:val="0098228B"/>
    <w:rsid w:val="009828DA"/>
    <w:rsid w:val="00985BAB"/>
    <w:rsid w:val="009B1B5F"/>
    <w:rsid w:val="009B2524"/>
    <w:rsid w:val="009B5237"/>
    <w:rsid w:val="009B6673"/>
    <w:rsid w:val="009C191B"/>
    <w:rsid w:val="009C1F9D"/>
    <w:rsid w:val="009C215D"/>
    <w:rsid w:val="009C2BD6"/>
    <w:rsid w:val="009D2F52"/>
    <w:rsid w:val="009E16D2"/>
    <w:rsid w:val="009E1F32"/>
    <w:rsid w:val="009E4BB6"/>
    <w:rsid w:val="009E776C"/>
    <w:rsid w:val="00A00672"/>
    <w:rsid w:val="00A132AD"/>
    <w:rsid w:val="00A1726E"/>
    <w:rsid w:val="00A204CF"/>
    <w:rsid w:val="00A21624"/>
    <w:rsid w:val="00A23D49"/>
    <w:rsid w:val="00A27004"/>
    <w:rsid w:val="00A272C0"/>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8678D"/>
    <w:rsid w:val="00A94C20"/>
    <w:rsid w:val="00AA227F"/>
    <w:rsid w:val="00AA3BC7"/>
    <w:rsid w:val="00AA754A"/>
    <w:rsid w:val="00AB099E"/>
    <w:rsid w:val="00AB4328"/>
    <w:rsid w:val="00AB5628"/>
    <w:rsid w:val="00AC00C2"/>
    <w:rsid w:val="00AC5872"/>
    <w:rsid w:val="00AD2473"/>
    <w:rsid w:val="00AD63AC"/>
    <w:rsid w:val="00AE0A2E"/>
    <w:rsid w:val="00AE354C"/>
    <w:rsid w:val="00AF4A60"/>
    <w:rsid w:val="00AF4B07"/>
    <w:rsid w:val="00AF6186"/>
    <w:rsid w:val="00AF7A3A"/>
    <w:rsid w:val="00B009F4"/>
    <w:rsid w:val="00B160DB"/>
    <w:rsid w:val="00B20836"/>
    <w:rsid w:val="00B235BB"/>
    <w:rsid w:val="00B25320"/>
    <w:rsid w:val="00B25943"/>
    <w:rsid w:val="00B25D3B"/>
    <w:rsid w:val="00B27A44"/>
    <w:rsid w:val="00B30BBF"/>
    <w:rsid w:val="00B30D32"/>
    <w:rsid w:val="00B33C03"/>
    <w:rsid w:val="00B44E56"/>
    <w:rsid w:val="00B46543"/>
    <w:rsid w:val="00B47D33"/>
    <w:rsid w:val="00B52BE0"/>
    <w:rsid w:val="00B534C1"/>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1016"/>
    <w:rsid w:val="00C32E4D"/>
    <w:rsid w:val="00C333A0"/>
    <w:rsid w:val="00C36408"/>
    <w:rsid w:val="00C36A81"/>
    <w:rsid w:val="00C41974"/>
    <w:rsid w:val="00C45616"/>
    <w:rsid w:val="00C53F4A"/>
    <w:rsid w:val="00C54125"/>
    <w:rsid w:val="00C55B54"/>
    <w:rsid w:val="00C6098E"/>
    <w:rsid w:val="00C6152C"/>
    <w:rsid w:val="00C74810"/>
    <w:rsid w:val="00C7529D"/>
    <w:rsid w:val="00C81ACF"/>
    <w:rsid w:val="00C90D68"/>
    <w:rsid w:val="00C939FE"/>
    <w:rsid w:val="00CA4BDA"/>
    <w:rsid w:val="00CA7C61"/>
    <w:rsid w:val="00CB1F66"/>
    <w:rsid w:val="00CB2951"/>
    <w:rsid w:val="00CD282B"/>
    <w:rsid w:val="00CD4C35"/>
    <w:rsid w:val="00CD7369"/>
    <w:rsid w:val="00CE0B0E"/>
    <w:rsid w:val="00CE3831"/>
    <w:rsid w:val="00CF3BAC"/>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DED"/>
    <w:rsid w:val="00D75E28"/>
    <w:rsid w:val="00D772C2"/>
    <w:rsid w:val="00D8008E"/>
    <w:rsid w:val="00D80EC6"/>
    <w:rsid w:val="00D82C45"/>
    <w:rsid w:val="00D908A8"/>
    <w:rsid w:val="00D977B6"/>
    <w:rsid w:val="00DA3634"/>
    <w:rsid w:val="00DA4A31"/>
    <w:rsid w:val="00DA7B04"/>
    <w:rsid w:val="00DB170D"/>
    <w:rsid w:val="00DB36C2"/>
    <w:rsid w:val="00DB3F2B"/>
    <w:rsid w:val="00DB5CBD"/>
    <w:rsid w:val="00DC169B"/>
    <w:rsid w:val="00DC2AB9"/>
    <w:rsid w:val="00DC63F0"/>
    <w:rsid w:val="00DD100A"/>
    <w:rsid w:val="00DD5382"/>
    <w:rsid w:val="00DD6EE5"/>
    <w:rsid w:val="00DE0416"/>
    <w:rsid w:val="00DE2362"/>
    <w:rsid w:val="00DE386C"/>
    <w:rsid w:val="00DE4D35"/>
    <w:rsid w:val="00DF098B"/>
    <w:rsid w:val="00DF11C4"/>
    <w:rsid w:val="00DF210C"/>
    <w:rsid w:val="00DF4B6A"/>
    <w:rsid w:val="00E02C09"/>
    <w:rsid w:val="00E04D59"/>
    <w:rsid w:val="00E07DA1"/>
    <w:rsid w:val="00E123CB"/>
    <w:rsid w:val="00E173FE"/>
    <w:rsid w:val="00E20E13"/>
    <w:rsid w:val="00E21DBC"/>
    <w:rsid w:val="00E275D7"/>
    <w:rsid w:val="00E27DBE"/>
    <w:rsid w:val="00E31897"/>
    <w:rsid w:val="00E32AB1"/>
    <w:rsid w:val="00E36C71"/>
    <w:rsid w:val="00E40404"/>
    <w:rsid w:val="00E42C1E"/>
    <w:rsid w:val="00E459C6"/>
    <w:rsid w:val="00E47589"/>
    <w:rsid w:val="00E644F4"/>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0905"/>
    <w:rsid w:val="00F32269"/>
    <w:rsid w:val="00F56A6F"/>
    <w:rsid w:val="00F5709C"/>
    <w:rsid w:val="00F626DA"/>
    <w:rsid w:val="00F64EF1"/>
    <w:rsid w:val="00F659F3"/>
    <w:rsid w:val="00F65B3D"/>
    <w:rsid w:val="00F83589"/>
    <w:rsid w:val="00F8765F"/>
    <w:rsid w:val="00F90767"/>
    <w:rsid w:val="00F912E4"/>
    <w:rsid w:val="00F92849"/>
    <w:rsid w:val="00F94531"/>
    <w:rsid w:val="00F9588E"/>
    <w:rsid w:val="00FA685B"/>
    <w:rsid w:val="00FB0C01"/>
    <w:rsid w:val="00FC04E5"/>
    <w:rsid w:val="00FC18F2"/>
    <w:rsid w:val="00FC39E5"/>
    <w:rsid w:val="00FC3A78"/>
    <w:rsid w:val="00FD1005"/>
    <w:rsid w:val="00FD61AA"/>
    <w:rsid w:val="00FD6C75"/>
    <w:rsid w:val="00FD7649"/>
    <w:rsid w:val="00FE22F5"/>
    <w:rsid w:val="00FE34BA"/>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C5E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DB170D"/>
    <w:rPr>
      <w:sz w:val="24"/>
      <w:szCs w:val="24"/>
    </w:rPr>
  </w:style>
  <w:style w:type="paragraph" w:styleId="Heading1">
    <w:name w:val="heading 1"/>
    <w:basedOn w:val="Normal"/>
    <w:next w:val="Normal"/>
    <w:link w:val="Heading1Char"/>
    <w:uiPriority w:val="98"/>
    <w:semiHidden/>
    <w:rsid w:val="00DB170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B170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B170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B170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B170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B170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B170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B170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B170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B170D"/>
    <w:rPr>
      <w:rFonts w:ascii="Tahoma" w:hAnsi="Tahoma" w:cs="Tahoma"/>
      <w:sz w:val="16"/>
      <w:szCs w:val="16"/>
    </w:rPr>
  </w:style>
  <w:style w:type="character" w:customStyle="1" w:styleId="BalloonTextChar">
    <w:name w:val="Balloon Text Char"/>
    <w:basedOn w:val="DefaultParagraphFont"/>
    <w:link w:val="BalloonText"/>
    <w:uiPriority w:val="98"/>
    <w:semiHidden/>
    <w:rsid w:val="00DB170D"/>
    <w:rPr>
      <w:rFonts w:ascii="Tahoma" w:hAnsi="Tahoma" w:cs="Tahoma"/>
      <w:sz w:val="16"/>
      <w:szCs w:val="16"/>
      <w:lang w:val="ro-RO"/>
    </w:rPr>
  </w:style>
  <w:style w:type="character" w:styleId="BookTitle">
    <w:name w:val="Book Title"/>
    <w:uiPriority w:val="98"/>
    <w:semiHidden/>
    <w:qFormat/>
    <w:rsid w:val="00DB170D"/>
    <w:rPr>
      <w:i/>
      <w:iCs/>
      <w:smallCaps/>
      <w:spacing w:val="5"/>
    </w:rPr>
  </w:style>
  <w:style w:type="paragraph" w:customStyle="1" w:styleId="JuHeader">
    <w:name w:val="Ju_Header"/>
    <w:aliases w:val="_Header"/>
    <w:basedOn w:val="Header"/>
    <w:uiPriority w:val="29"/>
    <w:qFormat/>
    <w:rsid w:val="00DB170D"/>
    <w:pPr>
      <w:tabs>
        <w:tab w:val="clear" w:pos="4536"/>
        <w:tab w:val="clear" w:pos="9072"/>
      </w:tabs>
      <w:jc w:val="center"/>
    </w:pPr>
    <w:rPr>
      <w:sz w:val="18"/>
    </w:rPr>
  </w:style>
  <w:style w:type="paragraph" w:customStyle="1" w:styleId="DummyStyle">
    <w:name w:val="Dummy_Style"/>
    <w:aliases w:val="_Dummy"/>
    <w:basedOn w:val="Normal"/>
    <w:semiHidden/>
    <w:qFormat/>
    <w:rsid w:val="00DB170D"/>
    <w:rPr>
      <w:color w:val="00B050"/>
      <w:sz w:val="22"/>
    </w:rPr>
  </w:style>
  <w:style w:type="character" w:styleId="Strong">
    <w:name w:val="Strong"/>
    <w:uiPriority w:val="98"/>
    <w:semiHidden/>
    <w:qFormat/>
    <w:rsid w:val="00DB170D"/>
    <w:rPr>
      <w:b/>
      <w:bCs/>
    </w:rPr>
  </w:style>
  <w:style w:type="paragraph" w:styleId="NoSpacing">
    <w:name w:val="No Spacing"/>
    <w:basedOn w:val="Normal"/>
    <w:link w:val="NoSpacingChar"/>
    <w:uiPriority w:val="98"/>
    <w:semiHidden/>
    <w:qFormat/>
    <w:rsid w:val="00DB170D"/>
  </w:style>
  <w:style w:type="character" w:customStyle="1" w:styleId="NoSpacingChar">
    <w:name w:val="No Spacing Char"/>
    <w:basedOn w:val="DefaultParagraphFont"/>
    <w:link w:val="NoSpacing"/>
    <w:uiPriority w:val="98"/>
    <w:semiHidden/>
    <w:rsid w:val="00DB170D"/>
    <w:rPr>
      <w:sz w:val="24"/>
      <w:szCs w:val="24"/>
      <w:lang w:val="ro-RO"/>
    </w:rPr>
  </w:style>
  <w:style w:type="paragraph" w:customStyle="1" w:styleId="JuQuot">
    <w:name w:val="Ju_Quot"/>
    <w:aliases w:val="_Quote"/>
    <w:basedOn w:val="NormalJustified"/>
    <w:uiPriority w:val="20"/>
    <w:qFormat/>
    <w:rsid w:val="00DB170D"/>
    <w:pPr>
      <w:spacing w:before="120" w:after="120"/>
      <w:ind w:left="425" w:firstLine="142"/>
    </w:pPr>
    <w:rPr>
      <w:sz w:val="20"/>
    </w:rPr>
  </w:style>
  <w:style w:type="paragraph" w:customStyle="1" w:styleId="JuList">
    <w:name w:val="Ju_List"/>
    <w:aliases w:val="_List_1"/>
    <w:basedOn w:val="NormalJustified"/>
    <w:uiPriority w:val="23"/>
    <w:qFormat/>
    <w:rsid w:val="00DB170D"/>
    <w:pPr>
      <w:numPr>
        <w:numId w:val="6"/>
      </w:numPr>
      <w:spacing w:before="280" w:after="60"/>
    </w:pPr>
  </w:style>
  <w:style w:type="paragraph" w:customStyle="1" w:styleId="JuLista">
    <w:name w:val="Ju_List_a"/>
    <w:aliases w:val="_List_2"/>
    <w:basedOn w:val="NormalJustified"/>
    <w:uiPriority w:val="23"/>
    <w:rsid w:val="00DB170D"/>
    <w:pPr>
      <w:numPr>
        <w:ilvl w:val="1"/>
        <w:numId w:val="6"/>
      </w:numPr>
    </w:pPr>
  </w:style>
  <w:style w:type="paragraph" w:customStyle="1" w:styleId="JuListi">
    <w:name w:val="Ju_List_i"/>
    <w:aliases w:val="_List_3"/>
    <w:basedOn w:val="NormalJustified"/>
    <w:uiPriority w:val="23"/>
    <w:rsid w:val="00DB170D"/>
    <w:pPr>
      <w:numPr>
        <w:ilvl w:val="2"/>
        <w:numId w:val="6"/>
      </w:numPr>
    </w:pPr>
  </w:style>
  <w:style w:type="paragraph" w:customStyle="1" w:styleId="DecHTitle">
    <w:name w:val="Dec_H_Title"/>
    <w:aliases w:val="_Title_1"/>
    <w:basedOn w:val="JuPara"/>
    <w:next w:val="JuPara"/>
    <w:uiPriority w:val="38"/>
    <w:qFormat/>
    <w:rsid w:val="00DB170D"/>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DB170D"/>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DB170D"/>
    <w:pPr>
      <w:keepNext/>
      <w:keepLines/>
      <w:tabs>
        <w:tab w:val="right" w:pos="7938"/>
      </w:tabs>
      <w:ind w:firstLine="0"/>
      <w:jc w:val="center"/>
    </w:pPr>
    <w:rPr>
      <w:i/>
    </w:rPr>
  </w:style>
  <w:style w:type="numbering" w:customStyle="1" w:styleId="ECHRA1StyleBulletedSquare">
    <w:name w:val="ECHR_A1_Style_Bulleted_Square"/>
    <w:basedOn w:val="NoList"/>
    <w:rsid w:val="00DB170D"/>
    <w:pPr>
      <w:numPr>
        <w:numId w:val="5"/>
      </w:numPr>
    </w:pPr>
  </w:style>
  <w:style w:type="paragraph" w:customStyle="1" w:styleId="JuHHead">
    <w:name w:val="Ju_H_Head"/>
    <w:aliases w:val="_Head_1"/>
    <w:basedOn w:val="Heading1"/>
    <w:next w:val="JuPara"/>
    <w:uiPriority w:val="17"/>
    <w:qFormat/>
    <w:rsid w:val="00DB170D"/>
    <w:pPr>
      <w:keepNext/>
      <w:keepLines/>
      <w:numPr>
        <w:numId w:val="1"/>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DB170D"/>
    <w:pPr>
      <w:numPr>
        <w:numId w:val="6"/>
      </w:numPr>
    </w:pPr>
  </w:style>
  <w:style w:type="paragraph" w:customStyle="1" w:styleId="JuSigned">
    <w:name w:val="Ju_Signed"/>
    <w:aliases w:val="_Signature"/>
    <w:basedOn w:val="Normal"/>
    <w:next w:val="JuPara"/>
    <w:uiPriority w:val="31"/>
    <w:qFormat/>
    <w:rsid w:val="00DB170D"/>
    <w:pPr>
      <w:tabs>
        <w:tab w:val="center" w:pos="1418"/>
        <w:tab w:val="center" w:pos="5954"/>
      </w:tabs>
      <w:spacing w:before="720"/>
    </w:pPr>
  </w:style>
  <w:style w:type="paragraph" w:styleId="Title">
    <w:name w:val="Title"/>
    <w:basedOn w:val="Normal"/>
    <w:next w:val="Normal"/>
    <w:link w:val="TitleChar"/>
    <w:uiPriority w:val="98"/>
    <w:semiHidden/>
    <w:qFormat/>
    <w:rsid w:val="00DB170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B170D"/>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DB170D"/>
    <w:pPr>
      <w:numPr>
        <w:numId w:val="7"/>
      </w:numPr>
    </w:pPr>
  </w:style>
  <w:style w:type="table" w:customStyle="1" w:styleId="ECHRTable2019">
    <w:name w:val="ECHR_Table_2019"/>
    <w:basedOn w:val="TableNormal"/>
    <w:uiPriority w:val="99"/>
    <w:rsid w:val="00DB170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DB170D"/>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DB170D"/>
    <w:pPr>
      <w:tabs>
        <w:tab w:val="center" w:pos="6407"/>
      </w:tabs>
      <w:spacing w:before="720"/>
      <w:jc w:val="right"/>
    </w:pPr>
  </w:style>
  <w:style w:type="paragraph" w:customStyle="1" w:styleId="JuHIRoman">
    <w:name w:val="Ju_H_I_Roman"/>
    <w:aliases w:val="_Head_2"/>
    <w:basedOn w:val="Heading2"/>
    <w:next w:val="JuPara"/>
    <w:uiPriority w:val="17"/>
    <w:qFormat/>
    <w:rsid w:val="00DB170D"/>
    <w:pPr>
      <w:keepNext/>
      <w:keepLines/>
      <w:numPr>
        <w:ilvl w:val="1"/>
        <w:numId w:val="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B170D"/>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B170D"/>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DB170D"/>
    <w:pPr>
      <w:tabs>
        <w:tab w:val="center" w:pos="4536"/>
        <w:tab w:val="right" w:pos="9072"/>
      </w:tabs>
    </w:pPr>
  </w:style>
  <w:style w:type="character" w:customStyle="1" w:styleId="HeaderChar">
    <w:name w:val="Header Char"/>
    <w:basedOn w:val="DefaultParagraphFont"/>
    <w:link w:val="Header"/>
    <w:uiPriority w:val="98"/>
    <w:semiHidden/>
    <w:rsid w:val="00DB170D"/>
    <w:rPr>
      <w:sz w:val="24"/>
      <w:szCs w:val="24"/>
      <w:lang w:val="ro-RO"/>
    </w:rPr>
  </w:style>
  <w:style w:type="character" w:customStyle="1" w:styleId="Heading1Char">
    <w:name w:val="Heading 1 Char"/>
    <w:basedOn w:val="DefaultParagraphFont"/>
    <w:link w:val="Heading1"/>
    <w:uiPriority w:val="98"/>
    <w:semiHidden/>
    <w:rsid w:val="00DB170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B170D"/>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JuPara"/>
    <w:uiPriority w:val="17"/>
    <w:rsid w:val="00DB170D"/>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B170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B170D"/>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B170D"/>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DB170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B170D"/>
    <w:pPr>
      <w:keepNext/>
      <w:keepLines/>
      <w:spacing w:before="240" w:after="240"/>
      <w:ind w:firstLine="284"/>
    </w:pPr>
  </w:style>
  <w:style w:type="paragraph" w:customStyle="1" w:styleId="JuJudges">
    <w:name w:val="Ju_Judges"/>
    <w:aliases w:val="_Judges"/>
    <w:basedOn w:val="Normal"/>
    <w:uiPriority w:val="32"/>
    <w:qFormat/>
    <w:rsid w:val="00DB170D"/>
    <w:pPr>
      <w:tabs>
        <w:tab w:val="left" w:pos="567"/>
        <w:tab w:val="left" w:pos="1134"/>
      </w:tabs>
    </w:pPr>
  </w:style>
  <w:style w:type="character" w:customStyle="1" w:styleId="Heading4Char">
    <w:name w:val="Heading 4 Char"/>
    <w:basedOn w:val="DefaultParagraphFont"/>
    <w:link w:val="Heading4"/>
    <w:uiPriority w:val="98"/>
    <w:semiHidden/>
    <w:rsid w:val="00DB170D"/>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DB170D"/>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DB170D"/>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DB170D"/>
    <w:rPr>
      <w:caps w:val="0"/>
      <w:smallCaps/>
    </w:rPr>
  </w:style>
  <w:style w:type="paragraph" w:customStyle="1" w:styleId="NormalJustified">
    <w:name w:val="Normal_Justified"/>
    <w:basedOn w:val="Normal"/>
    <w:semiHidden/>
    <w:rsid w:val="00DB170D"/>
    <w:pPr>
      <w:jc w:val="both"/>
    </w:pPr>
  </w:style>
  <w:style w:type="character" w:styleId="SubtleEmphasis">
    <w:name w:val="Subtle Emphasis"/>
    <w:uiPriority w:val="98"/>
    <w:semiHidden/>
    <w:qFormat/>
    <w:rsid w:val="00DB170D"/>
    <w:rPr>
      <w:i/>
      <w:iCs/>
    </w:rPr>
  </w:style>
  <w:style w:type="table" w:customStyle="1" w:styleId="ECHRTable">
    <w:name w:val="ECHR_Table"/>
    <w:basedOn w:val="TableNormal"/>
    <w:rsid w:val="00DB170D"/>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B170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B170D"/>
    <w:rPr>
      <w:b/>
      <w:bCs/>
      <w:i/>
      <w:iCs/>
      <w:spacing w:val="10"/>
      <w:bdr w:val="none" w:sz="0" w:space="0" w:color="auto"/>
      <w:shd w:val="clear" w:color="auto" w:fill="auto"/>
    </w:rPr>
  </w:style>
  <w:style w:type="paragraph" w:styleId="Footer0">
    <w:name w:val="footer"/>
    <w:basedOn w:val="Normal"/>
    <w:link w:val="FooterChar"/>
    <w:uiPriority w:val="98"/>
    <w:semiHidden/>
    <w:rsid w:val="00DB170D"/>
    <w:pPr>
      <w:tabs>
        <w:tab w:val="center" w:pos="3686"/>
        <w:tab w:val="right" w:pos="7371"/>
      </w:tabs>
    </w:pPr>
  </w:style>
  <w:style w:type="character" w:customStyle="1" w:styleId="FooterChar">
    <w:name w:val="Footer Char"/>
    <w:basedOn w:val="DefaultParagraphFont"/>
    <w:link w:val="Footer0"/>
    <w:uiPriority w:val="98"/>
    <w:semiHidden/>
    <w:rsid w:val="00DB170D"/>
    <w:rPr>
      <w:sz w:val="24"/>
      <w:szCs w:val="24"/>
      <w:lang w:val="ro-RO"/>
    </w:rPr>
  </w:style>
  <w:style w:type="character" w:styleId="FootnoteReference">
    <w:name w:val="footnote reference"/>
    <w:basedOn w:val="DefaultParagraphFont"/>
    <w:uiPriority w:val="98"/>
    <w:semiHidden/>
    <w:rsid w:val="00DB170D"/>
    <w:rPr>
      <w:vertAlign w:val="superscript"/>
    </w:rPr>
  </w:style>
  <w:style w:type="paragraph" w:styleId="FootnoteText">
    <w:name w:val="footnote text"/>
    <w:basedOn w:val="NormalJustified"/>
    <w:link w:val="FootnoteTextChar"/>
    <w:uiPriority w:val="98"/>
    <w:semiHidden/>
    <w:rsid w:val="00DB170D"/>
    <w:rPr>
      <w:sz w:val="20"/>
      <w:szCs w:val="20"/>
    </w:rPr>
  </w:style>
  <w:style w:type="character" w:customStyle="1" w:styleId="FootnoteTextChar">
    <w:name w:val="Footnote Text Char"/>
    <w:basedOn w:val="DefaultParagraphFont"/>
    <w:link w:val="FootnoteText"/>
    <w:uiPriority w:val="98"/>
    <w:semiHidden/>
    <w:rsid w:val="00DB170D"/>
    <w:rPr>
      <w:sz w:val="20"/>
      <w:szCs w:val="20"/>
      <w:lang w:val="ro-RO"/>
    </w:rPr>
  </w:style>
  <w:style w:type="character" w:customStyle="1" w:styleId="Heading6Char">
    <w:name w:val="Heading 6 Char"/>
    <w:basedOn w:val="DefaultParagraphFont"/>
    <w:link w:val="Heading6"/>
    <w:uiPriority w:val="98"/>
    <w:semiHidden/>
    <w:rsid w:val="00DB170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B170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B170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B170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DB170D"/>
    <w:rPr>
      <w:color w:val="0072BC" w:themeColor="hyperlink"/>
      <w:u w:val="single"/>
    </w:rPr>
  </w:style>
  <w:style w:type="character" w:styleId="IntenseEmphasis">
    <w:name w:val="Intense Emphasis"/>
    <w:uiPriority w:val="98"/>
    <w:semiHidden/>
    <w:qFormat/>
    <w:rsid w:val="00DB170D"/>
    <w:rPr>
      <w:b/>
      <w:bCs/>
    </w:rPr>
  </w:style>
  <w:style w:type="paragraph" w:styleId="IntenseQuote">
    <w:name w:val="Intense Quote"/>
    <w:basedOn w:val="Normal"/>
    <w:next w:val="Normal"/>
    <w:link w:val="IntenseQuoteChar"/>
    <w:uiPriority w:val="98"/>
    <w:semiHidden/>
    <w:qFormat/>
    <w:rsid w:val="00DB170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B170D"/>
    <w:rPr>
      <w:b/>
      <w:bCs/>
      <w:i/>
      <w:iCs/>
      <w:sz w:val="24"/>
      <w:szCs w:val="24"/>
      <w:lang w:val="ro-RO" w:bidi="en-US"/>
    </w:rPr>
  </w:style>
  <w:style w:type="character" w:styleId="IntenseReference">
    <w:name w:val="Intense Reference"/>
    <w:uiPriority w:val="98"/>
    <w:semiHidden/>
    <w:qFormat/>
    <w:rsid w:val="00DB170D"/>
    <w:rPr>
      <w:smallCaps/>
      <w:spacing w:val="5"/>
      <w:u w:val="single"/>
    </w:rPr>
  </w:style>
  <w:style w:type="paragraph" w:styleId="ListParagraph">
    <w:name w:val="List Paragraph"/>
    <w:basedOn w:val="Normal"/>
    <w:uiPriority w:val="98"/>
    <w:semiHidden/>
    <w:qFormat/>
    <w:rsid w:val="00DB170D"/>
    <w:pPr>
      <w:ind w:left="720"/>
      <w:contextualSpacing/>
    </w:pPr>
  </w:style>
  <w:style w:type="table" w:customStyle="1" w:styleId="LtrTableAddress">
    <w:name w:val="Ltr_Table_Address"/>
    <w:aliases w:val="ECHR_Ltr_Table_Address"/>
    <w:basedOn w:val="TableNormal"/>
    <w:uiPriority w:val="99"/>
    <w:rsid w:val="00DB170D"/>
    <w:rPr>
      <w:sz w:val="24"/>
      <w:szCs w:val="24"/>
    </w:rPr>
    <w:tblPr>
      <w:tblInd w:w="5103" w:type="dxa"/>
    </w:tblPr>
  </w:style>
  <w:style w:type="paragraph" w:styleId="Quote">
    <w:name w:val="Quote"/>
    <w:basedOn w:val="Normal"/>
    <w:next w:val="Normal"/>
    <w:link w:val="QuoteChar"/>
    <w:uiPriority w:val="98"/>
    <w:semiHidden/>
    <w:qFormat/>
    <w:rsid w:val="00DB170D"/>
    <w:pPr>
      <w:spacing w:before="200"/>
      <w:ind w:left="360" w:right="360"/>
    </w:pPr>
    <w:rPr>
      <w:i/>
      <w:iCs/>
      <w:lang w:bidi="en-US"/>
    </w:rPr>
  </w:style>
  <w:style w:type="character" w:customStyle="1" w:styleId="QuoteChar">
    <w:name w:val="Quote Char"/>
    <w:basedOn w:val="DefaultParagraphFont"/>
    <w:link w:val="Quote"/>
    <w:uiPriority w:val="98"/>
    <w:semiHidden/>
    <w:rsid w:val="00DB170D"/>
    <w:rPr>
      <w:i/>
      <w:iCs/>
      <w:sz w:val="24"/>
      <w:szCs w:val="24"/>
      <w:lang w:val="ro-RO" w:bidi="en-US"/>
    </w:rPr>
  </w:style>
  <w:style w:type="character" w:styleId="SubtleReference">
    <w:name w:val="Subtle Reference"/>
    <w:uiPriority w:val="98"/>
    <w:semiHidden/>
    <w:qFormat/>
    <w:rsid w:val="00DB170D"/>
    <w:rPr>
      <w:smallCaps/>
    </w:rPr>
  </w:style>
  <w:style w:type="table" w:styleId="TableGrid">
    <w:name w:val="Table Grid"/>
    <w:basedOn w:val="TableNormal"/>
    <w:uiPriority w:val="59"/>
    <w:semiHidden/>
    <w:rsid w:val="00DB170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B170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B170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B170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B170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B170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B170D"/>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B170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B170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B170D"/>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B170D"/>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B170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B170D"/>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B170D"/>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B170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B170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B170D"/>
    <w:pPr>
      <w:numPr>
        <w:numId w:val="2"/>
      </w:numPr>
    </w:pPr>
  </w:style>
  <w:style w:type="paragraph" w:customStyle="1" w:styleId="JuPara">
    <w:name w:val="Ju_Para"/>
    <w:aliases w:val="_Para,ECHR_Para"/>
    <w:basedOn w:val="NormalJustified"/>
    <w:link w:val="JuParaChar"/>
    <w:uiPriority w:val="4"/>
    <w:qFormat/>
    <w:rsid w:val="00DB170D"/>
    <w:pPr>
      <w:ind w:firstLine="284"/>
    </w:pPr>
  </w:style>
  <w:style w:type="numbering" w:styleId="1ai">
    <w:name w:val="Outline List 1"/>
    <w:basedOn w:val="NoList"/>
    <w:uiPriority w:val="99"/>
    <w:semiHidden/>
    <w:unhideWhenUsed/>
    <w:rsid w:val="00DB170D"/>
    <w:pPr>
      <w:numPr>
        <w:numId w:val="3"/>
      </w:numPr>
    </w:pPr>
  </w:style>
  <w:style w:type="table" w:customStyle="1" w:styleId="ECHRTableSimpleBox">
    <w:name w:val="ECHR_Table_Simple_Box"/>
    <w:basedOn w:val="TableNormal"/>
    <w:uiPriority w:val="99"/>
    <w:rsid w:val="00DB170D"/>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B170D"/>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B170D"/>
    <w:pPr>
      <w:numPr>
        <w:numId w:val="4"/>
      </w:numPr>
    </w:pPr>
  </w:style>
  <w:style w:type="table" w:customStyle="1" w:styleId="ECHRTableForInternalUse">
    <w:name w:val="ECHR_Table_For_Internal_Use"/>
    <w:basedOn w:val="TableNormal"/>
    <w:uiPriority w:val="99"/>
    <w:rsid w:val="00DB170D"/>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B170D"/>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B170D"/>
  </w:style>
  <w:style w:type="paragraph" w:styleId="BlockText">
    <w:name w:val="Block Text"/>
    <w:basedOn w:val="Normal"/>
    <w:uiPriority w:val="98"/>
    <w:semiHidden/>
    <w:rsid w:val="00DB17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B170D"/>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B170D"/>
    <w:pPr>
      <w:spacing w:after="120"/>
    </w:pPr>
  </w:style>
  <w:style w:type="character" w:customStyle="1" w:styleId="BodyTextChar">
    <w:name w:val="Body Text Char"/>
    <w:basedOn w:val="DefaultParagraphFont"/>
    <w:link w:val="BodyText"/>
    <w:uiPriority w:val="98"/>
    <w:semiHidden/>
    <w:rsid w:val="00DB170D"/>
    <w:rPr>
      <w:sz w:val="24"/>
      <w:szCs w:val="24"/>
      <w:lang w:val="ro-RO"/>
    </w:rPr>
  </w:style>
  <w:style w:type="table" w:customStyle="1" w:styleId="ECHRTableOddBanded">
    <w:name w:val="ECHR_Table_Odd_Banded"/>
    <w:basedOn w:val="TableNormal"/>
    <w:uiPriority w:val="99"/>
    <w:rsid w:val="00DB170D"/>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B170D"/>
    <w:pPr>
      <w:spacing w:after="120" w:line="480" w:lineRule="auto"/>
    </w:pPr>
  </w:style>
  <w:style w:type="table" w:customStyle="1" w:styleId="ECHRHeaderTableReduced">
    <w:name w:val="ECHR_Header_Table_Reduced"/>
    <w:basedOn w:val="TableNormal"/>
    <w:uiPriority w:val="99"/>
    <w:rsid w:val="00DB170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B170D"/>
    <w:pPr>
      <w:ind w:firstLine="284"/>
    </w:pPr>
    <w:rPr>
      <w:b/>
    </w:rPr>
  </w:style>
  <w:style w:type="character" w:styleId="PageNumber">
    <w:name w:val="page number"/>
    <w:uiPriority w:val="98"/>
    <w:semiHidden/>
    <w:rsid w:val="00DB170D"/>
    <w:rPr>
      <w:sz w:val="18"/>
    </w:rPr>
  </w:style>
  <w:style w:type="paragraph" w:styleId="ListBullet2">
    <w:name w:val="List Bullet 2"/>
    <w:basedOn w:val="Normal"/>
    <w:uiPriority w:val="98"/>
    <w:semiHidden/>
    <w:rsid w:val="00DB170D"/>
    <w:pPr>
      <w:numPr>
        <w:numId w:val="9"/>
      </w:numPr>
      <w:contextualSpacing/>
    </w:pPr>
  </w:style>
  <w:style w:type="character" w:customStyle="1" w:styleId="BodyText2Char">
    <w:name w:val="Body Text 2 Char"/>
    <w:basedOn w:val="DefaultParagraphFont"/>
    <w:link w:val="BodyText2"/>
    <w:uiPriority w:val="98"/>
    <w:semiHidden/>
    <w:rsid w:val="00DB170D"/>
    <w:rPr>
      <w:sz w:val="24"/>
      <w:szCs w:val="24"/>
      <w:lang w:val="ro-RO"/>
    </w:rPr>
  </w:style>
  <w:style w:type="paragraph" w:styleId="BodyText3">
    <w:name w:val="Body Text 3"/>
    <w:basedOn w:val="Normal"/>
    <w:link w:val="BodyText3Char"/>
    <w:uiPriority w:val="98"/>
    <w:semiHidden/>
    <w:rsid w:val="00DB170D"/>
    <w:pPr>
      <w:spacing w:after="120"/>
    </w:pPr>
    <w:rPr>
      <w:sz w:val="16"/>
      <w:szCs w:val="16"/>
    </w:rPr>
  </w:style>
  <w:style w:type="character" w:customStyle="1" w:styleId="BodyText3Char">
    <w:name w:val="Body Text 3 Char"/>
    <w:basedOn w:val="DefaultParagraphFont"/>
    <w:link w:val="BodyText3"/>
    <w:uiPriority w:val="98"/>
    <w:semiHidden/>
    <w:rsid w:val="00DB170D"/>
    <w:rPr>
      <w:sz w:val="16"/>
      <w:szCs w:val="16"/>
      <w:lang w:val="ro-RO"/>
    </w:rPr>
  </w:style>
  <w:style w:type="paragraph" w:styleId="BodyTextFirstIndent">
    <w:name w:val="Body Text First Indent"/>
    <w:basedOn w:val="BodyText"/>
    <w:link w:val="BodyTextFirstIndentChar"/>
    <w:uiPriority w:val="98"/>
    <w:semiHidden/>
    <w:rsid w:val="00DB170D"/>
    <w:pPr>
      <w:spacing w:after="0"/>
      <w:ind w:firstLine="360"/>
    </w:pPr>
  </w:style>
  <w:style w:type="character" w:customStyle="1" w:styleId="BodyTextFirstIndentChar">
    <w:name w:val="Body Text First Indent Char"/>
    <w:basedOn w:val="BodyTextChar"/>
    <w:link w:val="BodyTextFirstIndent"/>
    <w:uiPriority w:val="98"/>
    <w:semiHidden/>
    <w:rsid w:val="00DB170D"/>
    <w:rPr>
      <w:sz w:val="24"/>
      <w:szCs w:val="24"/>
      <w:lang w:val="ro-RO"/>
    </w:rPr>
  </w:style>
  <w:style w:type="paragraph" w:styleId="BodyTextIndent">
    <w:name w:val="Body Text Indent"/>
    <w:basedOn w:val="Normal"/>
    <w:link w:val="BodyTextIndentChar"/>
    <w:uiPriority w:val="98"/>
    <w:semiHidden/>
    <w:rsid w:val="00DB170D"/>
    <w:pPr>
      <w:spacing w:after="120"/>
      <w:ind w:left="283"/>
    </w:pPr>
  </w:style>
  <w:style w:type="character" w:customStyle="1" w:styleId="BodyTextIndentChar">
    <w:name w:val="Body Text Indent Char"/>
    <w:basedOn w:val="DefaultParagraphFont"/>
    <w:link w:val="BodyTextIndent"/>
    <w:uiPriority w:val="98"/>
    <w:semiHidden/>
    <w:rsid w:val="00DB170D"/>
    <w:rPr>
      <w:sz w:val="24"/>
      <w:szCs w:val="24"/>
      <w:lang w:val="ro-RO"/>
    </w:rPr>
  </w:style>
  <w:style w:type="paragraph" w:styleId="BodyTextFirstIndent2">
    <w:name w:val="Body Text First Indent 2"/>
    <w:basedOn w:val="BodyTextIndent"/>
    <w:link w:val="BodyTextFirstIndent2Char"/>
    <w:uiPriority w:val="98"/>
    <w:semiHidden/>
    <w:rsid w:val="00DB170D"/>
    <w:pPr>
      <w:spacing w:after="0"/>
      <w:ind w:left="360" w:firstLine="360"/>
    </w:pPr>
  </w:style>
  <w:style w:type="character" w:customStyle="1" w:styleId="BodyTextFirstIndent2Char">
    <w:name w:val="Body Text First Indent 2 Char"/>
    <w:basedOn w:val="BodyTextIndentChar"/>
    <w:link w:val="BodyTextFirstIndent2"/>
    <w:uiPriority w:val="98"/>
    <w:semiHidden/>
    <w:rsid w:val="00DB170D"/>
    <w:rPr>
      <w:sz w:val="24"/>
      <w:szCs w:val="24"/>
      <w:lang w:val="ro-RO"/>
    </w:rPr>
  </w:style>
  <w:style w:type="paragraph" w:styleId="BodyTextIndent2">
    <w:name w:val="Body Text Indent 2"/>
    <w:basedOn w:val="Normal"/>
    <w:link w:val="BodyTextIndent2Char"/>
    <w:uiPriority w:val="98"/>
    <w:semiHidden/>
    <w:rsid w:val="00DB170D"/>
    <w:pPr>
      <w:spacing w:after="120" w:line="480" w:lineRule="auto"/>
      <w:ind w:left="283"/>
    </w:pPr>
  </w:style>
  <w:style w:type="character" w:customStyle="1" w:styleId="BodyTextIndent2Char">
    <w:name w:val="Body Text Indent 2 Char"/>
    <w:basedOn w:val="DefaultParagraphFont"/>
    <w:link w:val="BodyTextIndent2"/>
    <w:uiPriority w:val="98"/>
    <w:semiHidden/>
    <w:rsid w:val="00DB170D"/>
    <w:rPr>
      <w:sz w:val="24"/>
      <w:szCs w:val="24"/>
      <w:lang w:val="ro-RO"/>
    </w:rPr>
  </w:style>
  <w:style w:type="paragraph" w:styleId="BodyTextIndent3">
    <w:name w:val="Body Text Indent 3"/>
    <w:basedOn w:val="Normal"/>
    <w:link w:val="BodyTextIndent3Char"/>
    <w:uiPriority w:val="98"/>
    <w:semiHidden/>
    <w:rsid w:val="00DB170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B170D"/>
    <w:rPr>
      <w:sz w:val="16"/>
      <w:szCs w:val="16"/>
      <w:lang w:val="ro-RO"/>
    </w:rPr>
  </w:style>
  <w:style w:type="paragraph" w:styleId="Caption">
    <w:name w:val="caption"/>
    <w:basedOn w:val="Normal"/>
    <w:next w:val="Normal"/>
    <w:uiPriority w:val="98"/>
    <w:semiHidden/>
    <w:qFormat/>
    <w:rsid w:val="00DB170D"/>
    <w:pPr>
      <w:spacing w:after="200"/>
    </w:pPr>
    <w:rPr>
      <w:b/>
      <w:bCs/>
      <w:color w:val="0072BC" w:themeColor="accent1"/>
      <w:sz w:val="18"/>
      <w:szCs w:val="18"/>
    </w:rPr>
  </w:style>
  <w:style w:type="paragraph" w:styleId="Closing">
    <w:name w:val="Closing"/>
    <w:basedOn w:val="Normal"/>
    <w:link w:val="ClosingChar"/>
    <w:uiPriority w:val="98"/>
    <w:semiHidden/>
    <w:rsid w:val="00DB170D"/>
    <w:pPr>
      <w:ind w:left="4252"/>
    </w:pPr>
  </w:style>
  <w:style w:type="character" w:customStyle="1" w:styleId="ClosingChar">
    <w:name w:val="Closing Char"/>
    <w:basedOn w:val="DefaultParagraphFont"/>
    <w:link w:val="Closing"/>
    <w:uiPriority w:val="98"/>
    <w:semiHidden/>
    <w:rsid w:val="00DB170D"/>
    <w:rPr>
      <w:sz w:val="24"/>
      <w:szCs w:val="24"/>
      <w:lang w:val="ro-RO"/>
    </w:rPr>
  </w:style>
  <w:style w:type="table" w:styleId="ColorfulGrid">
    <w:name w:val="Colorful Grid"/>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B170D"/>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B170D"/>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B170D"/>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B170D"/>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B170D"/>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B170D"/>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B170D"/>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B170D"/>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B170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B170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B170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B170D"/>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B170D"/>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B170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B170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B170D"/>
    <w:rPr>
      <w:sz w:val="16"/>
      <w:szCs w:val="16"/>
    </w:rPr>
  </w:style>
  <w:style w:type="paragraph" w:styleId="CommentText">
    <w:name w:val="annotation text"/>
    <w:basedOn w:val="Normal"/>
    <w:link w:val="CommentTextChar"/>
    <w:uiPriority w:val="98"/>
    <w:semiHidden/>
    <w:rsid w:val="00DB170D"/>
    <w:rPr>
      <w:sz w:val="20"/>
      <w:szCs w:val="20"/>
    </w:rPr>
  </w:style>
  <w:style w:type="character" w:customStyle="1" w:styleId="CommentTextChar">
    <w:name w:val="Comment Text Char"/>
    <w:basedOn w:val="DefaultParagraphFont"/>
    <w:link w:val="CommentText"/>
    <w:uiPriority w:val="98"/>
    <w:semiHidden/>
    <w:rsid w:val="00DB170D"/>
    <w:rPr>
      <w:sz w:val="20"/>
      <w:szCs w:val="20"/>
      <w:lang w:val="ro-RO"/>
    </w:rPr>
  </w:style>
  <w:style w:type="paragraph" w:styleId="CommentSubject">
    <w:name w:val="annotation subject"/>
    <w:basedOn w:val="CommentText"/>
    <w:next w:val="CommentText"/>
    <w:link w:val="CommentSubjectChar"/>
    <w:uiPriority w:val="98"/>
    <w:semiHidden/>
    <w:rsid w:val="00DB170D"/>
    <w:rPr>
      <w:b/>
      <w:bCs/>
    </w:rPr>
  </w:style>
  <w:style w:type="character" w:customStyle="1" w:styleId="CommentSubjectChar">
    <w:name w:val="Comment Subject Char"/>
    <w:basedOn w:val="CommentTextChar"/>
    <w:link w:val="CommentSubject"/>
    <w:uiPriority w:val="98"/>
    <w:semiHidden/>
    <w:rsid w:val="00DB170D"/>
    <w:rPr>
      <w:b/>
      <w:bCs/>
      <w:sz w:val="20"/>
      <w:szCs w:val="20"/>
      <w:lang w:val="ro-RO"/>
    </w:rPr>
  </w:style>
  <w:style w:type="table" w:styleId="DarkList">
    <w:name w:val="Dark List"/>
    <w:basedOn w:val="TableNormal"/>
    <w:uiPriority w:val="70"/>
    <w:semiHidden/>
    <w:rsid w:val="00DB170D"/>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B170D"/>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B170D"/>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B170D"/>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B170D"/>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B170D"/>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B170D"/>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B170D"/>
  </w:style>
  <w:style w:type="character" w:customStyle="1" w:styleId="DateChar">
    <w:name w:val="Date Char"/>
    <w:basedOn w:val="DefaultParagraphFont"/>
    <w:link w:val="Date"/>
    <w:uiPriority w:val="98"/>
    <w:semiHidden/>
    <w:rsid w:val="00DB170D"/>
    <w:rPr>
      <w:sz w:val="24"/>
      <w:szCs w:val="24"/>
      <w:lang w:val="ro-RO"/>
    </w:rPr>
  </w:style>
  <w:style w:type="paragraph" w:styleId="DocumentMap">
    <w:name w:val="Document Map"/>
    <w:basedOn w:val="Normal"/>
    <w:link w:val="DocumentMapChar"/>
    <w:uiPriority w:val="98"/>
    <w:semiHidden/>
    <w:rsid w:val="00DB170D"/>
    <w:rPr>
      <w:rFonts w:ascii="Tahoma" w:hAnsi="Tahoma" w:cs="Tahoma"/>
      <w:sz w:val="16"/>
      <w:szCs w:val="16"/>
    </w:rPr>
  </w:style>
  <w:style w:type="character" w:customStyle="1" w:styleId="DocumentMapChar">
    <w:name w:val="Document Map Char"/>
    <w:basedOn w:val="DefaultParagraphFont"/>
    <w:link w:val="DocumentMap"/>
    <w:uiPriority w:val="98"/>
    <w:semiHidden/>
    <w:rsid w:val="00DB170D"/>
    <w:rPr>
      <w:rFonts w:ascii="Tahoma" w:hAnsi="Tahoma" w:cs="Tahoma"/>
      <w:sz w:val="16"/>
      <w:szCs w:val="16"/>
      <w:lang w:val="ro-RO"/>
    </w:rPr>
  </w:style>
  <w:style w:type="paragraph" w:styleId="E-mailSignature">
    <w:name w:val="E-mail Signature"/>
    <w:basedOn w:val="Normal"/>
    <w:link w:val="E-mailSignatureChar"/>
    <w:uiPriority w:val="98"/>
    <w:semiHidden/>
    <w:rsid w:val="00DB170D"/>
  </w:style>
  <w:style w:type="character" w:customStyle="1" w:styleId="E-mailSignatureChar">
    <w:name w:val="E-mail Signature Char"/>
    <w:basedOn w:val="DefaultParagraphFont"/>
    <w:link w:val="E-mailSignature"/>
    <w:uiPriority w:val="98"/>
    <w:semiHidden/>
    <w:rsid w:val="00DB170D"/>
    <w:rPr>
      <w:sz w:val="24"/>
      <w:szCs w:val="24"/>
      <w:lang w:val="ro-RO"/>
    </w:rPr>
  </w:style>
  <w:style w:type="character" w:styleId="EndnoteReference">
    <w:name w:val="endnote reference"/>
    <w:basedOn w:val="DefaultParagraphFont"/>
    <w:uiPriority w:val="98"/>
    <w:semiHidden/>
    <w:rsid w:val="00DB170D"/>
    <w:rPr>
      <w:vertAlign w:val="superscript"/>
    </w:rPr>
  </w:style>
  <w:style w:type="paragraph" w:styleId="EndnoteText">
    <w:name w:val="endnote text"/>
    <w:basedOn w:val="Normal"/>
    <w:link w:val="EndnoteTextChar"/>
    <w:uiPriority w:val="98"/>
    <w:semiHidden/>
    <w:rsid w:val="00DB170D"/>
    <w:rPr>
      <w:sz w:val="20"/>
      <w:szCs w:val="20"/>
    </w:rPr>
  </w:style>
  <w:style w:type="character" w:customStyle="1" w:styleId="EndnoteTextChar">
    <w:name w:val="Endnote Text Char"/>
    <w:basedOn w:val="DefaultParagraphFont"/>
    <w:link w:val="EndnoteText"/>
    <w:uiPriority w:val="98"/>
    <w:semiHidden/>
    <w:rsid w:val="00DB170D"/>
    <w:rPr>
      <w:sz w:val="20"/>
      <w:szCs w:val="20"/>
      <w:lang w:val="ro-RO"/>
    </w:rPr>
  </w:style>
  <w:style w:type="paragraph" w:styleId="EnvelopeAddress">
    <w:name w:val="envelope address"/>
    <w:basedOn w:val="Normal"/>
    <w:uiPriority w:val="98"/>
    <w:semiHidden/>
    <w:rsid w:val="00DB170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B170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B170D"/>
    <w:rPr>
      <w:color w:val="7030A0" w:themeColor="followedHyperlink"/>
      <w:u w:val="single"/>
    </w:rPr>
  </w:style>
  <w:style w:type="character" w:styleId="HTMLAcronym">
    <w:name w:val="HTML Acronym"/>
    <w:basedOn w:val="DefaultParagraphFont"/>
    <w:uiPriority w:val="98"/>
    <w:semiHidden/>
    <w:rsid w:val="00DB170D"/>
  </w:style>
  <w:style w:type="paragraph" w:styleId="HTMLAddress">
    <w:name w:val="HTML Address"/>
    <w:basedOn w:val="Normal"/>
    <w:link w:val="HTMLAddressChar"/>
    <w:uiPriority w:val="98"/>
    <w:semiHidden/>
    <w:rsid w:val="00DB170D"/>
    <w:rPr>
      <w:i/>
      <w:iCs/>
    </w:rPr>
  </w:style>
  <w:style w:type="character" w:customStyle="1" w:styleId="HTMLAddressChar">
    <w:name w:val="HTML Address Char"/>
    <w:basedOn w:val="DefaultParagraphFont"/>
    <w:link w:val="HTMLAddress"/>
    <w:uiPriority w:val="98"/>
    <w:semiHidden/>
    <w:rsid w:val="00DB170D"/>
    <w:rPr>
      <w:i/>
      <w:iCs/>
      <w:sz w:val="24"/>
      <w:szCs w:val="24"/>
      <w:lang w:val="ro-RO"/>
    </w:rPr>
  </w:style>
  <w:style w:type="character" w:styleId="HTMLCite">
    <w:name w:val="HTML Cite"/>
    <w:basedOn w:val="DefaultParagraphFont"/>
    <w:uiPriority w:val="98"/>
    <w:semiHidden/>
    <w:rsid w:val="00DB170D"/>
    <w:rPr>
      <w:i/>
      <w:iCs/>
    </w:rPr>
  </w:style>
  <w:style w:type="character" w:styleId="HTMLCode">
    <w:name w:val="HTML Code"/>
    <w:basedOn w:val="DefaultParagraphFont"/>
    <w:uiPriority w:val="98"/>
    <w:semiHidden/>
    <w:rsid w:val="00DB170D"/>
    <w:rPr>
      <w:rFonts w:ascii="Consolas" w:hAnsi="Consolas" w:cs="Consolas"/>
      <w:sz w:val="20"/>
      <w:szCs w:val="20"/>
    </w:rPr>
  </w:style>
  <w:style w:type="character" w:styleId="HTMLDefinition">
    <w:name w:val="HTML Definition"/>
    <w:basedOn w:val="DefaultParagraphFont"/>
    <w:uiPriority w:val="98"/>
    <w:semiHidden/>
    <w:rsid w:val="00DB170D"/>
    <w:rPr>
      <w:i/>
      <w:iCs/>
    </w:rPr>
  </w:style>
  <w:style w:type="character" w:styleId="HTMLKeyboard">
    <w:name w:val="HTML Keyboard"/>
    <w:basedOn w:val="DefaultParagraphFont"/>
    <w:uiPriority w:val="98"/>
    <w:semiHidden/>
    <w:rsid w:val="00DB170D"/>
    <w:rPr>
      <w:rFonts w:ascii="Consolas" w:hAnsi="Consolas" w:cs="Consolas"/>
      <w:sz w:val="20"/>
      <w:szCs w:val="20"/>
    </w:rPr>
  </w:style>
  <w:style w:type="paragraph" w:styleId="HTMLPreformatted">
    <w:name w:val="HTML Preformatted"/>
    <w:basedOn w:val="Normal"/>
    <w:link w:val="HTMLPreformattedChar"/>
    <w:uiPriority w:val="98"/>
    <w:semiHidden/>
    <w:rsid w:val="00DB170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B170D"/>
    <w:rPr>
      <w:rFonts w:ascii="Consolas" w:hAnsi="Consolas" w:cs="Consolas"/>
      <w:sz w:val="20"/>
      <w:szCs w:val="20"/>
      <w:lang w:val="ro-RO"/>
    </w:rPr>
  </w:style>
  <w:style w:type="character" w:styleId="HTMLSample">
    <w:name w:val="HTML Sample"/>
    <w:basedOn w:val="DefaultParagraphFont"/>
    <w:uiPriority w:val="98"/>
    <w:semiHidden/>
    <w:rsid w:val="00DB170D"/>
    <w:rPr>
      <w:rFonts w:ascii="Consolas" w:hAnsi="Consolas" w:cs="Consolas"/>
      <w:sz w:val="24"/>
      <w:szCs w:val="24"/>
    </w:rPr>
  </w:style>
  <w:style w:type="character" w:styleId="HTMLTypewriter">
    <w:name w:val="HTML Typewriter"/>
    <w:basedOn w:val="DefaultParagraphFont"/>
    <w:uiPriority w:val="98"/>
    <w:semiHidden/>
    <w:rsid w:val="00DB170D"/>
    <w:rPr>
      <w:rFonts w:ascii="Consolas" w:hAnsi="Consolas" w:cs="Consolas"/>
      <w:sz w:val="20"/>
      <w:szCs w:val="20"/>
    </w:rPr>
  </w:style>
  <w:style w:type="character" w:styleId="HTMLVariable">
    <w:name w:val="HTML Variable"/>
    <w:basedOn w:val="DefaultParagraphFont"/>
    <w:uiPriority w:val="98"/>
    <w:semiHidden/>
    <w:rsid w:val="00DB170D"/>
    <w:rPr>
      <w:i/>
      <w:iCs/>
    </w:rPr>
  </w:style>
  <w:style w:type="paragraph" w:styleId="Index1">
    <w:name w:val="index 1"/>
    <w:basedOn w:val="Normal"/>
    <w:next w:val="Normal"/>
    <w:autoRedefine/>
    <w:uiPriority w:val="98"/>
    <w:semiHidden/>
    <w:rsid w:val="00DB170D"/>
    <w:pPr>
      <w:ind w:left="240" w:hanging="240"/>
    </w:pPr>
  </w:style>
  <w:style w:type="paragraph" w:styleId="Index2">
    <w:name w:val="index 2"/>
    <w:basedOn w:val="Normal"/>
    <w:next w:val="Normal"/>
    <w:autoRedefine/>
    <w:uiPriority w:val="98"/>
    <w:semiHidden/>
    <w:rsid w:val="00DB170D"/>
    <w:pPr>
      <w:ind w:left="480" w:hanging="240"/>
    </w:pPr>
  </w:style>
  <w:style w:type="paragraph" w:styleId="Index3">
    <w:name w:val="index 3"/>
    <w:basedOn w:val="Normal"/>
    <w:next w:val="Normal"/>
    <w:autoRedefine/>
    <w:uiPriority w:val="98"/>
    <w:semiHidden/>
    <w:rsid w:val="00DB170D"/>
    <w:pPr>
      <w:ind w:left="720" w:hanging="240"/>
    </w:pPr>
  </w:style>
  <w:style w:type="paragraph" w:styleId="Index4">
    <w:name w:val="index 4"/>
    <w:basedOn w:val="Normal"/>
    <w:next w:val="Normal"/>
    <w:autoRedefine/>
    <w:uiPriority w:val="98"/>
    <w:semiHidden/>
    <w:rsid w:val="00DB170D"/>
    <w:pPr>
      <w:ind w:left="960" w:hanging="240"/>
    </w:pPr>
  </w:style>
  <w:style w:type="paragraph" w:styleId="Index5">
    <w:name w:val="index 5"/>
    <w:basedOn w:val="Normal"/>
    <w:next w:val="Normal"/>
    <w:autoRedefine/>
    <w:uiPriority w:val="98"/>
    <w:semiHidden/>
    <w:rsid w:val="00DB170D"/>
    <w:pPr>
      <w:ind w:left="1200" w:hanging="240"/>
    </w:pPr>
  </w:style>
  <w:style w:type="paragraph" w:styleId="Index6">
    <w:name w:val="index 6"/>
    <w:basedOn w:val="Normal"/>
    <w:next w:val="Normal"/>
    <w:autoRedefine/>
    <w:uiPriority w:val="98"/>
    <w:semiHidden/>
    <w:rsid w:val="00DB170D"/>
    <w:pPr>
      <w:ind w:left="1440" w:hanging="240"/>
    </w:pPr>
  </w:style>
  <w:style w:type="paragraph" w:styleId="Index7">
    <w:name w:val="index 7"/>
    <w:basedOn w:val="Normal"/>
    <w:next w:val="Normal"/>
    <w:autoRedefine/>
    <w:uiPriority w:val="98"/>
    <w:semiHidden/>
    <w:rsid w:val="00DB170D"/>
    <w:pPr>
      <w:ind w:left="1680" w:hanging="240"/>
    </w:pPr>
  </w:style>
  <w:style w:type="paragraph" w:styleId="Index8">
    <w:name w:val="index 8"/>
    <w:basedOn w:val="Normal"/>
    <w:next w:val="Normal"/>
    <w:autoRedefine/>
    <w:uiPriority w:val="98"/>
    <w:semiHidden/>
    <w:rsid w:val="00DB170D"/>
    <w:pPr>
      <w:ind w:left="1920" w:hanging="240"/>
    </w:pPr>
  </w:style>
  <w:style w:type="paragraph" w:styleId="Index9">
    <w:name w:val="index 9"/>
    <w:basedOn w:val="Normal"/>
    <w:next w:val="Normal"/>
    <w:autoRedefine/>
    <w:uiPriority w:val="98"/>
    <w:semiHidden/>
    <w:rsid w:val="00DB170D"/>
    <w:pPr>
      <w:ind w:left="2160" w:hanging="240"/>
    </w:pPr>
  </w:style>
  <w:style w:type="paragraph" w:styleId="IndexHeading">
    <w:name w:val="index heading"/>
    <w:basedOn w:val="Normal"/>
    <w:next w:val="Index1"/>
    <w:uiPriority w:val="98"/>
    <w:semiHidden/>
    <w:rsid w:val="00DB170D"/>
    <w:rPr>
      <w:rFonts w:asciiTheme="majorHAnsi" w:eastAsiaTheme="majorEastAsia" w:hAnsiTheme="majorHAnsi" w:cstheme="majorBidi"/>
      <w:b/>
      <w:bCs/>
    </w:rPr>
  </w:style>
  <w:style w:type="table" w:styleId="LightGrid">
    <w:name w:val="Light Grid"/>
    <w:basedOn w:val="TableNormal"/>
    <w:uiPriority w:val="62"/>
    <w:semiHidden/>
    <w:rsid w:val="00DB170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B170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B170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B170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B170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B170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B170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B170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B170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B170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B170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B170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B170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B170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B170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B170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B170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B170D"/>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B170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B170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B170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B170D"/>
  </w:style>
  <w:style w:type="paragraph" w:styleId="List">
    <w:name w:val="List"/>
    <w:basedOn w:val="Normal"/>
    <w:uiPriority w:val="98"/>
    <w:semiHidden/>
    <w:rsid w:val="00DB170D"/>
    <w:pPr>
      <w:ind w:left="283" w:hanging="283"/>
      <w:contextualSpacing/>
    </w:pPr>
  </w:style>
  <w:style w:type="paragraph" w:styleId="List2">
    <w:name w:val="List 2"/>
    <w:basedOn w:val="Normal"/>
    <w:uiPriority w:val="98"/>
    <w:semiHidden/>
    <w:rsid w:val="00DB170D"/>
    <w:pPr>
      <w:ind w:left="566" w:hanging="283"/>
      <w:contextualSpacing/>
    </w:pPr>
  </w:style>
  <w:style w:type="paragraph" w:styleId="List3">
    <w:name w:val="List 3"/>
    <w:basedOn w:val="Normal"/>
    <w:uiPriority w:val="98"/>
    <w:semiHidden/>
    <w:rsid w:val="00DB170D"/>
    <w:pPr>
      <w:ind w:left="849" w:hanging="283"/>
      <w:contextualSpacing/>
    </w:pPr>
  </w:style>
  <w:style w:type="paragraph" w:styleId="List4">
    <w:name w:val="List 4"/>
    <w:basedOn w:val="Normal"/>
    <w:uiPriority w:val="98"/>
    <w:semiHidden/>
    <w:rsid w:val="00DB170D"/>
    <w:pPr>
      <w:ind w:left="1132" w:hanging="283"/>
      <w:contextualSpacing/>
    </w:pPr>
  </w:style>
  <w:style w:type="paragraph" w:styleId="List5">
    <w:name w:val="List 5"/>
    <w:basedOn w:val="Normal"/>
    <w:uiPriority w:val="98"/>
    <w:semiHidden/>
    <w:rsid w:val="00DB170D"/>
    <w:pPr>
      <w:ind w:left="1415" w:hanging="283"/>
      <w:contextualSpacing/>
    </w:pPr>
  </w:style>
  <w:style w:type="paragraph" w:styleId="ListBullet">
    <w:name w:val="List Bullet"/>
    <w:basedOn w:val="Normal"/>
    <w:uiPriority w:val="98"/>
    <w:semiHidden/>
    <w:rsid w:val="00DB170D"/>
    <w:pPr>
      <w:numPr>
        <w:numId w:val="8"/>
      </w:numPr>
    </w:pPr>
  </w:style>
  <w:style w:type="paragraph" w:styleId="ListBullet3">
    <w:name w:val="List Bullet 3"/>
    <w:basedOn w:val="Normal"/>
    <w:uiPriority w:val="98"/>
    <w:semiHidden/>
    <w:rsid w:val="00DB170D"/>
    <w:pPr>
      <w:numPr>
        <w:numId w:val="10"/>
      </w:numPr>
      <w:contextualSpacing/>
    </w:pPr>
  </w:style>
  <w:style w:type="paragraph" w:styleId="ListBullet4">
    <w:name w:val="List Bullet 4"/>
    <w:basedOn w:val="Normal"/>
    <w:uiPriority w:val="98"/>
    <w:semiHidden/>
    <w:rsid w:val="00DB170D"/>
    <w:pPr>
      <w:numPr>
        <w:numId w:val="11"/>
      </w:numPr>
      <w:contextualSpacing/>
    </w:pPr>
  </w:style>
  <w:style w:type="paragraph" w:styleId="ListBullet5">
    <w:name w:val="List Bullet 5"/>
    <w:basedOn w:val="Normal"/>
    <w:uiPriority w:val="98"/>
    <w:semiHidden/>
    <w:rsid w:val="00DB170D"/>
    <w:pPr>
      <w:numPr>
        <w:numId w:val="12"/>
      </w:numPr>
      <w:contextualSpacing/>
    </w:pPr>
  </w:style>
  <w:style w:type="paragraph" w:styleId="ListContinue">
    <w:name w:val="List Continue"/>
    <w:basedOn w:val="Normal"/>
    <w:uiPriority w:val="98"/>
    <w:semiHidden/>
    <w:rsid w:val="00DB170D"/>
    <w:pPr>
      <w:spacing w:after="120"/>
      <w:ind w:left="283"/>
      <w:contextualSpacing/>
    </w:pPr>
  </w:style>
  <w:style w:type="paragraph" w:styleId="ListContinue2">
    <w:name w:val="List Continue 2"/>
    <w:basedOn w:val="Normal"/>
    <w:uiPriority w:val="98"/>
    <w:semiHidden/>
    <w:rsid w:val="00DB170D"/>
    <w:pPr>
      <w:spacing w:after="120"/>
      <w:ind w:left="566"/>
      <w:contextualSpacing/>
    </w:pPr>
  </w:style>
  <w:style w:type="paragraph" w:styleId="ListContinue3">
    <w:name w:val="List Continue 3"/>
    <w:basedOn w:val="Normal"/>
    <w:uiPriority w:val="98"/>
    <w:semiHidden/>
    <w:rsid w:val="00DB170D"/>
    <w:pPr>
      <w:spacing w:after="120"/>
      <w:ind w:left="849"/>
      <w:contextualSpacing/>
    </w:pPr>
  </w:style>
  <w:style w:type="paragraph" w:styleId="ListContinue4">
    <w:name w:val="List Continue 4"/>
    <w:basedOn w:val="Normal"/>
    <w:uiPriority w:val="98"/>
    <w:semiHidden/>
    <w:rsid w:val="00DB170D"/>
    <w:pPr>
      <w:spacing w:after="120"/>
      <w:ind w:left="1132"/>
      <w:contextualSpacing/>
    </w:pPr>
  </w:style>
  <w:style w:type="paragraph" w:styleId="ListContinue5">
    <w:name w:val="List Continue 5"/>
    <w:basedOn w:val="Normal"/>
    <w:uiPriority w:val="98"/>
    <w:semiHidden/>
    <w:rsid w:val="00DB170D"/>
    <w:pPr>
      <w:spacing w:after="120"/>
      <w:ind w:left="1415"/>
      <w:contextualSpacing/>
    </w:pPr>
  </w:style>
  <w:style w:type="paragraph" w:styleId="ListNumber">
    <w:name w:val="List Number"/>
    <w:basedOn w:val="Normal"/>
    <w:uiPriority w:val="98"/>
    <w:semiHidden/>
    <w:rsid w:val="00DB170D"/>
    <w:pPr>
      <w:numPr>
        <w:numId w:val="13"/>
      </w:numPr>
      <w:contextualSpacing/>
    </w:pPr>
  </w:style>
  <w:style w:type="paragraph" w:styleId="ListNumber2">
    <w:name w:val="List Number 2"/>
    <w:basedOn w:val="Normal"/>
    <w:uiPriority w:val="98"/>
    <w:semiHidden/>
    <w:rsid w:val="00DB170D"/>
    <w:pPr>
      <w:numPr>
        <w:numId w:val="14"/>
      </w:numPr>
      <w:contextualSpacing/>
    </w:pPr>
  </w:style>
  <w:style w:type="paragraph" w:styleId="ListNumber3">
    <w:name w:val="List Number 3"/>
    <w:basedOn w:val="Normal"/>
    <w:uiPriority w:val="98"/>
    <w:semiHidden/>
    <w:rsid w:val="00DB170D"/>
    <w:pPr>
      <w:numPr>
        <w:numId w:val="15"/>
      </w:numPr>
      <w:contextualSpacing/>
    </w:pPr>
  </w:style>
  <w:style w:type="paragraph" w:styleId="ListNumber4">
    <w:name w:val="List Number 4"/>
    <w:basedOn w:val="Normal"/>
    <w:uiPriority w:val="98"/>
    <w:semiHidden/>
    <w:rsid w:val="00DB170D"/>
    <w:pPr>
      <w:numPr>
        <w:numId w:val="16"/>
      </w:numPr>
      <w:contextualSpacing/>
    </w:pPr>
  </w:style>
  <w:style w:type="paragraph" w:styleId="ListNumber5">
    <w:name w:val="List Number 5"/>
    <w:basedOn w:val="Normal"/>
    <w:uiPriority w:val="98"/>
    <w:semiHidden/>
    <w:rsid w:val="00DB170D"/>
    <w:pPr>
      <w:numPr>
        <w:numId w:val="17"/>
      </w:numPr>
      <w:contextualSpacing/>
    </w:pPr>
  </w:style>
  <w:style w:type="paragraph" w:styleId="MacroText">
    <w:name w:val="macro"/>
    <w:link w:val="MacroTextChar"/>
    <w:uiPriority w:val="98"/>
    <w:semiHidden/>
    <w:rsid w:val="00DB17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B170D"/>
    <w:rPr>
      <w:rFonts w:ascii="Consolas" w:eastAsiaTheme="minorEastAsia" w:hAnsi="Consolas" w:cs="Consolas"/>
      <w:sz w:val="20"/>
      <w:szCs w:val="20"/>
    </w:rPr>
  </w:style>
  <w:style w:type="table" w:styleId="MediumGrid1">
    <w:name w:val="Medium Grid 1"/>
    <w:basedOn w:val="TableNormal"/>
    <w:uiPriority w:val="67"/>
    <w:semiHidden/>
    <w:rsid w:val="00DB170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B170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B170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B170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B170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B170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B170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B170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B170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B170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B170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B170D"/>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B170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B170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B170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B170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B170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B170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B170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B170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B170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B170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B170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B17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B17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B170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B170D"/>
    <w:rPr>
      <w:rFonts w:ascii="Times New Roman" w:hAnsi="Times New Roman" w:cs="Times New Roman"/>
    </w:rPr>
  </w:style>
  <w:style w:type="paragraph" w:styleId="NormalIndent">
    <w:name w:val="Normal Indent"/>
    <w:basedOn w:val="Normal"/>
    <w:uiPriority w:val="98"/>
    <w:semiHidden/>
    <w:rsid w:val="00DB170D"/>
    <w:pPr>
      <w:ind w:left="720"/>
    </w:pPr>
  </w:style>
  <w:style w:type="paragraph" w:styleId="NoteHeading">
    <w:name w:val="Note Heading"/>
    <w:basedOn w:val="Normal"/>
    <w:next w:val="Normal"/>
    <w:link w:val="NoteHeadingChar"/>
    <w:uiPriority w:val="98"/>
    <w:semiHidden/>
    <w:rsid w:val="00DB170D"/>
  </w:style>
  <w:style w:type="character" w:customStyle="1" w:styleId="NoteHeadingChar">
    <w:name w:val="Note Heading Char"/>
    <w:basedOn w:val="DefaultParagraphFont"/>
    <w:link w:val="NoteHeading"/>
    <w:uiPriority w:val="98"/>
    <w:semiHidden/>
    <w:rsid w:val="00DB170D"/>
    <w:rPr>
      <w:sz w:val="24"/>
      <w:szCs w:val="24"/>
      <w:lang w:val="ro-RO"/>
    </w:rPr>
  </w:style>
  <w:style w:type="character" w:styleId="PlaceholderText">
    <w:name w:val="Placeholder Text"/>
    <w:basedOn w:val="DefaultParagraphFont"/>
    <w:uiPriority w:val="98"/>
    <w:semiHidden/>
    <w:rsid w:val="00DB170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B170D"/>
    <w:rPr>
      <w:rFonts w:ascii="Consolas" w:hAnsi="Consolas" w:cs="Consolas"/>
      <w:sz w:val="21"/>
      <w:szCs w:val="21"/>
    </w:rPr>
  </w:style>
  <w:style w:type="character" w:customStyle="1" w:styleId="PlainTextChar">
    <w:name w:val="Plain Text Char"/>
    <w:basedOn w:val="DefaultParagraphFont"/>
    <w:link w:val="PlainText"/>
    <w:uiPriority w:val="98"/>
    <w:semiHidden/>
    <w:rsid w:val="00DB170D"/>
    <w:rPr>
      <w:rFonts w:ascii="Consolas" w:hAnsi="Consolas" w:cs="Consolas"/>
      <w:sz w:val="21"/>
      <w:szCs w:val="21"/>
      <w:lang w:val="ro-RO"/>
    </w:rPr>
  </w:style>
  <w:style w:type="paragraph" w:styleId="Salutation">
    <w:name w:val="Salutation"/>
    <w:basedOn w:val="Normal"/>
    <w:next w:val="Normal"/>
    <w:link w:val="SalutationChar"/>
    <w:uiPriority w:val="98"/>
    <w:semiHidden/>
    <w:rsid w:val="00DB170D"/>
  </w:style>
  <w:style w:type="character" w:customStyle="1" w:styleId="SalutationChar">
    <w:name w:val="Salutation Char"/>
    <w:basedOn w:val="DefaultParagraphFont"/>
    <w:link w:val="Salutation"/>
    <w:uiPriority w:val="98"/>
    <w:semiHidden/>
    <w:rsid w:val="00DB170D"/>
    <w:rPr>
      <w:sz w:val="24"/>
      <w:szCs w:val="24"/>
      <w:lang w:val="ro-RO"/>
    </w:rPr>
  </w:style>
  <w:style w:type="paragraph" w:styleId="Signature">
    <w:name w:val="Signature"/>
    <w:basedOn w:val="Normal"/>
    <w:link w:val="SignatureChar"/>
    <w:uiPriority w:val="98"/>
    <w:semiHidden/>
    <w:rsid w:val="00DB170D"/>
    <w:pPr>
      <w:ind w:left="4252"/>
    </w:pPr>
  </w:style>
  <w:style w:type="character" w:customStyle="1" w:styleId="SignatureChar">
    <w:name w:val="Signature Char"/>
    <w:basedOn w:val="DefaultParagraphFont"/>
    <w:link w:val="Signature"/>
    <w:uiPriority w:val="98"/>
    <w:semiHidden/>
    <w:rsid w:val="00DB170D"/>
    <w:rPr>
      <w:sz w:val="24"/>
      <w:szCs w:val="24"/>
      <w:lang w:val="ro-RO"/>
    </w:rPr>
  </w:style>
  <w:style w:type="table" w:styleId="Table3Deffects1">
    <w:name w:val="Table 3D effects 1"/>
    <w:basedOn w:val="TableNormal"/>
    <w:uiPriority w:val="99"/>
    <w:semiHidden/>
    <w:unhideWhenUsed/>
    <w:rsid w:val="00DB170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170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170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170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170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170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170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170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170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170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170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170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170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170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170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170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170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17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170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170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170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170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170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170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170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170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170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170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170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17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170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170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170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B170D"/>
    <w:pPr>
      <w:ind w:left="240" w:hanging="240"/>
    </w:pPr>
  </w:style>
  <w:style w:type="paragraph" w:styleId="TableofFigures">
    <w:name w:val="table of figures"/>
    <w:basedOn w:val="Normal"/>
    <w:next w:val="Normal"/>
    <w:uiPriority w:val="98"/>
    <w:semiHidden/>
    <w:rsid w:val="00DB170D"/>
  </w:style>
  <w:style w:type="table" w:styleId="TableProfessional">
    <w:name w:val="Table Professional"/>
    <w:basedOn w:val="TableNormal"/>
    <w:uiPriority w:val="99"/>
    <w:semiHidden/>
    <w:unhideWhenUsed/>
    <w:rsid w:val="00DB17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170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170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170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170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170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170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170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170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170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B170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B170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B170D"/>
    <w:pPr>
      <w:spacing w:after="100"/>
      <w:ind w:left="1680"/>
    </w:pPr>
  </w:style>
  <w:style w:type="paragraph" w:styleId="TOC9">
    <w:name w:val="toc 9"/>
    <w:basedOn w:val="Normal"/>
    <w:next w:val="Normal"/>
    <w:autoRedefine/>
    <w:uiPriority w:val="98"/>
    <w:semiHidden/>
    <w:rsid w:val="00DB170D"/>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DB170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B170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B170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DB170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B170D"/>
    <w:pPr>
      <w:numPr>
        <w:numId w:val="5"/>
      </w:numPr>
      <w:spacing w:before="60" w:after="60"/>
    </w:pPr>
  </w:style>
  <w:style w:type="paragraph" w:customStyle="1" w:styleId="ECHRBullet2">
    <w:name w:val="ECHR_Bullet_2"/>
    <w:aliases w:val="_Bul_2"/>
    <w:basedOn w:val="ECHRBullet1"/>
    <w:uiPriority w:val="23"/>
    <w:semiHidden/>
    <w:rsid w:val="00DB170D"/>
    <w:pPr>
      <w:numPr>
        <w:ilvl w:val="1"/>
      </w:numPr>
    </w:pPr>
  </w:style>
  <w:style w:type="paragraph" w:customStyle="1" w:styleId="ECHRBullet3">
    <w:name w:val="ECHR_Bullet_3"/>
    <w:aliases w:val="_Bul_3"/>
    <w:basedOn w:val="ECHRBullet2"/>
    <w:uiPriority w:val="23"/>
    <w:semiHidden/>
    <w:rsid w:val="00DB170D"/>
    <w:pPr>
      <w:numPr>
        <w:ilvl w:val="2"/>
      </w:numPr>
    </w:pPr>
  </w:style>
  <w:style w:type="paragraph" w:customStyle="1" w:styleId="ECHRBullet4">
    <w:name w:val="ECHR_Bullet_4"/>
    <w:aliases w:val="_Bul_4"/>
    <w:basedOn w:val="ECHRBullet3"/>
    <w:uiPriority w:val="23"/>
    <w:semiHidden/>
    <w:rsid w:val="00DB170D"/>
    <w:pPr>
      <w:numPr>
        <w:ilvl w:val="3"/>
      </w:numPr>
    </w:pPr>
  </w:style>
  <w:style w:type="paragraph" w:customStyle="1" w:styleId="ECHRConfidential">
    <w:name w:val="ECHR_Confidential"/>
    <w:aliases w:val="_Confidential"/>
    <w:basedOn w:val="Normal"/>
    <w:next w:val="Normal"/>
    <w:uiPriority w:val="42"/>
    <w:semiHidden/>
    <w:qFormat/>
    <w:rsid w:val="00DB170D"/>
    <w:pPr>
      <w:jc w:val="right"/>
    </w:pPr>
    <w:rPr>
      <w:color w:val="C00000"/>
      <w:sz w:val="20"/>
    </w:rPr>
  </w:style>
  <w:style w:type="paragraph" w:customStyle="1" w:styleId="ECHRDecisionBody">
    <w:name w:val="ECHR_Decision_Body"/>
    <w:aliases w:val="_Decision_Body"/>
    <w:basedOn w:val="NormalJustified"/>
    <w:uiPriority w:val="54"/>
    <w:semiHidden/>
    <w:rsid w:val="00DB170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B170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B170D"/>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DB170D"/>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B170D"/>
    <w:pPr>
      <w:jc w:val="right"/>
    </w:pPr>
    <w:rPr>
      <w:sz w:val="20"/>
    </w:rPr>
  </w:style>
  <w:style w:type="paragraph" w:customStyle="1" w:styleId="ECHRHeaderRefIt">
    <w:name w:val="ECHR_Header_Ref_It"/>
    <w:aliases w:val="_Ref_Ital"/>
    <w:basedOn w:val="Normal"/>
    <w:next w:val="ECHRHeaderDate"/>
    <w:uiPriority w:val="43"/>
    <w:qFormat/>
    <w:rsid w:val="00DB170D"/>
    <w:pPr>
      <w:jc w:val="right"/>
    </w:pPr>
    <w:rPr>
      <w:i/>
      <w:sz w:val="20"/>
    </w:rPr>
  </w:style>
  <w:style w:type="paragraph" w:customStyle="1" w:styleId="ECHRHeading9">
    <w:name w:val="ECHR_Heading_9"/>
    <w:aliases w:val="_Head_9"/>
    <w:basedOn w:val="Heading9"/>
    <w:uiPriority w:val="17"/>
    <w:semiHidden/>
    <w:rsid w:val="00DB170D"/>
    <w:pPr>
      <w:keepNext/>
      <w:keepLines/>
      <w:numPr>
        <w:ilvl w:val="8"/>
        <w:numId w:val="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B170D"/>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B170D"/>
    <w:pPr>
      <w:numPr>
        <w:numId w:val="7"/>
      </w:numPr>
      <w:spacing w:before="60" w:after="60"/>
    </w:pPr>
  </w:style>
  <w:style w:type="paragraph" w:customStyle="1" w:styleId="ECHRNumberedList2">
    <w:name w:val="ECHR_Numbered_List_2"/>
    <w:aliases w:val="_Num_2"/>
    <w:basedOn w:val="ECHRNumberedList1"/>
    <w:uiPriority w:val="23"/>
    <w:semiHidden/>
    <w:rsid w:val="00DB170D"/>
    <w:pPr>
      <w:numPr>
        <w:ilvl w:val="1"/>
      </w:numPr>
    </w:pPr>
  </w:style>
  <w:style w:type="paragraph" w:customStyle="1" w:styleId="ECHRNumberedList3">
    <w:name w:val="ECHR_Numbered_List_3"/>
    <w:aliases w:val="_Num_3"/>
    <w:basedOn w:val="ECHRNumberedList2"/>
    <w:uiPriority w:val="23"/>
    <w:semiHidden/>
    <w:rsid w:val="00DB170D"/>
    <w:pPr>
      <w:numPr>
        <w:ilvl w:val="2"/>
      </w:numPr>
    </w:pPr>
  </w:style>
  <w:style w:type="paragraph" w:customStyle="1" w:styleId="ECHRParaHanging">
    <w:name w:val="ECHR_Para_Hanging"/>
    <w:aliases w:val="_Hanging"/>
    <w:basedOn w:val="NormalJustified"/>
    <w:uiPriority w:val="8"/>
    <w:semiHidden/>
    <w:qFormat/>
    <w:rsid w:val="00DB170D"/>
    <w:pPr>
      <w:ind w:left="567" w:hanging="567"/>
    </w:pPr>
  </w:style>
  <w:style w:type="paragraph" w:customStyle="1" w:styleId="ECHRParaIndent">
    <w:name w:val="ECHR_Para_Indent"/>
    <w:aliases w:val="_Indent"/>
    <w:basedOn w:val="NormalJustified"/>
    <w:uiPriority w:val="7"/>
    <w:semiHidden/>
    <w:qFormat/>
    <w:rsid w:val="00DB170D"/>
    <w:pPr>
      <w:spacing w:before="120" w:after="120"/>
      <w:ind w:left="567"/>
    </w:pPr>
  </w:style>
  <w:style w:type="character" w:customStyle="1" w:styleId="ECHRRed">
    <w:name w:val="ECHR_Red"/>
    <w:aliases w:val="_Red"/>
    <w:basedOn w:val="DefaultParagraphFont"/>
    <w:uiPriority w:val="15"/>
    <w:semiHidden/>
    <w:qFormat/>
    <w:rsid w:val="00DB170D"/>
    <w:rPr>
      <w:color w:val="C00000" w:themeColor="accent2"/>
    </w:rPr>
  </w:style>
  <w:style w:type="paragraph" w:customStyle="1" w:styleId="DecList">
    <w:name w:val="Dec_List"/>
    <w:aliases w:val="_List"/>
    <w:basedOn w:val="JuList"/>
    <w:uiPriority w:val="22"/>
    <w:rsid w:val="00DB170D"/>
    <w:pPr>
      <w:numPr>
        <w:numId w:val="0"/>
      </w:numPr>
      <w:ind w:left="284"/>
    </w:pPr>
  </w:style>
  <w:style w:type="table" w:customStyle="1" w:styleId="ECHRTable2">
    <w:name w:val="ECHR_Table_2"/>
    <w:basedOn w:val="TableNormal"/>
    <w:uiPriority w:val="99"/>
    <w:rsid w:val="00DB170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B170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B170D"/>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B170D"/>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B170D"/>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B170D"/>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B170D"/>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B170D"/>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B170D"/>
    <w:pPr>
      <w:outlineLvl w:val="0"/>
    </w:pPr>
  </w:style>
  <w:style w:type="paragraph" w:customStyle="1" w:styleId="ECHRTitleTOC1">
    <w:name w:val="ECHR_Title_TOC_1"/>
    <w:aliases w:val="_Title_L_TOC"/>
    <w:basedOn w:val="ECHRTitle1"/>
    <w:next w:val="Normal"/>
    <w:uiPriority w:val="27"/>
    <w:semiHidden/>
    <w:qFormat/>
    <w:rsid w:val="00DB170D"/>
    <w:pPr>
      <w:outlineLvl w:val="0"/>
    </w:pPr>
  </w:style>
  <w:style w:type="paragraph" w:customStyle="1" w:styleId="ECHRPlaceholder">
    <w:name w:val="ECHR_Placeholder"/>
    <w:aliases w:val="_Placeholder"/>
    <w:basedOn w:val="JuSigned"/>
    <w:uiPriority w:val="31"/>
    <w:rsid w:val="00DB170D"/>
    <w:rPr>
      <w:color w:val="FFFFFF"/>
    </w:rPr>
  </w:style>
  <w:style w:type="paragraph" w:customStyle="1" w:styleId="ECHRSpacer">
    <w:name w:val="ECHR_Spacer"/>
    <w:aliases w:val="_Spacer"/>
    <w:basedOn w:val="Normal"/>
    <w:uiPriority w:val="45"/>
    <w:semiHidden/>
    <w:rsid w:val="00DB170D"/>
    <w:rPr>
      <w:sz w:val="4"/>
    </w:rPr>
  </w:style>
  <w:style w:type="table" w:customStyle="1" w:styleId="ECHRTableGrey">
    <w:name w:val="ECHR_Table_Grey"/>
    <w:basedOn w:val="TableNormal"/>
    <w:uiPriority w:val="99"/>
    <w:rsid w:val="00DB170D"/>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ECHR_Para Char"/>
    <w:link w:val="JuPara"/>
    <w:uiPriority w:val="4"/>
    <w:rsid w:val="00AF4A60"/>
    <w:rPr>
      <w:sz w:val="24"/>
      <w:szCs w:val="24"/>
      <w:lang w:val="ro-RO"/>
    </w:rPr>
  </w:style>
  <w:style w:type="character" w:customStyle="1" w:styleId="JuNames0">
    <w:name w:val="Ju_Names"/>
    <w:rsid w:val="00AF4A60"/>
    <w:rPr>
      <w:smallCaps/>
    </w:rPr>
  </w:style>
  <w:style w:type="paragraph" w:customStyle="1" w:styleId="JuList4">
    <w:name w:val="Ju_List_4"/>
    <w:aliases w:val="N_Bul_4"/>
    <w:basedOn w:val="JuListi"/>
    <w:uiPriority w:val="19"/>
    <w:rsid w:val="00AF4A60"/>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AF4A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AF4A6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AF4A6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AF4A6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AF4A6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character" w:customStyle="1" w:styleId="JuParaCar">
    <w:name w:val="Ju_Para Car"/>
    <w:uiPriority w:val="12"/>
    <w:rsid w:val="00AF4A60"/>
    <w:rPr>
      <w:sz w:val="24"/>
      <w:lang w:val="ro-RO" w:eastAsia="fr-FR" w:bidi="ar-SA"/>
    </w:rPr>
  </w:style>
  <w:style w:type="table" w:customStyle="1" w:styleId="UGTable1">
    <w:name w:val="UG_Table1"/>
    <w:basedOn w:val="TableNormal"/>
    <w:uiPriority w:val="99"/>
    <w:rsid w:val="00AF4A6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paragraph" w:styleId="Revision">
    <w:name w:val="Revision"/>
    <w:hidden/>
    <w:uiPriority w:val="99"/>
    <w:semiHidden/>
    <w:rsid w:val="00AF4A60"/>
    <w:rPr>
      <w:sz w:val="24"/>
      <w:szCs w:val="24"/>
    </w:rPr>
  </w:style>
  <w:style w:type="table" w:styleId="GridTable1Light-Accent5">
    <w:name w:val="Grid Table 1 Light Accent 5"/>
    <w:basedOn w:val="TableNormal"/>
    <w:uiPriority w:val="46"/>
    <w:semiHidden/>
    <w:rsid w:val="00AF4A6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AF4A6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AF4A6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AF4A6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AF4A6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AF4A6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AF4A6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AF4A6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AF4A6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AF4A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AF4A6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AF4A6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AF4A6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AF4A6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AF4A6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AF4A6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AF4A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AF4A6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AF4A6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AF4A6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AF4A6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AF4A6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AF4A6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AF4A6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AF4A6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AF4A6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AF4A6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AF4A6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AF4A6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AF4A6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AF4A6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AF4A6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AF4A6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AF4A6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AF4A6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AF4A6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AF4A6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AF4A6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AF4A60"/>
    <w:rPr>
      <w:color w:val="2B579A"/>
      <w:shd w:val="clear" w:color="auto" w:fill="E1DFDD"/>
    </w:rPr>
  </w:style>
  <w:style w:type="table" w:styleId="ListTable1Light">
    <w:name w:val="List Table 1 Light"/>
    <w:basedOn w:val="TableNormal"/>
    <w:uiPriority w:val="46"/>
    <w:semiHidden/>
    <w:rsid w:val="00AF4A6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AF4A6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AF4A6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AF4A6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AF4A6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AF4A6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AF4A6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AF4A6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AF4A6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AF4A6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AF4A6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AF4A6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AF4A6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AF4A6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AF4A6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AF4A6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AF4A6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AF4A6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AF4A6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AF4A6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AF4A6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AF4A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AF4A6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AF4A6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AF4A6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AF4A6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AF4A6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AF4A6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AF4A6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AF4A6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AF4A6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AF4A6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AF4A6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AF4A6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AF4A6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AF4A6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AF4A6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AF4A6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AF4A6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AF4A6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AF4A6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AF4A6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AF4A6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AF4A6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AF4A6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AF4A6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AF4A6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AF4A6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AF4A6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AF4A60"/>
    <w:rPr>
      <w:color w:val="2B579A"/>
      <w:shd w:val="clear" w:color="auto" w:fill="E1DFDD"/>
    </w:rPr>
  </w:style>
  <w:style w:type="table" w:styleId="PlainTable1">
    <w:name w:val="Plain Table 1"/>
    <w:basedOn w:val="TableNormal"/>
    <w:uiPriority w:val="41"/>
    <w:semiHidden/>
    <w:rsid w:val="00AF4A6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AF4A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AF4A6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AF4A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AF4A6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AF4A60"/>
    <w:rPr>
      <w:u w:val="dotted"/>
    </w:rPr>
  </w:style>
  <w:style w:type="character" w:customStyle="1" w:styleId="SmartLink1">
    <w:name w:val="SmartLink1"/>
    <w:basedOn w:val="DefaultParagraphFont"/>
    <w:uiPriority w:val="99"/>
    <w:semiHidden/>
    <w:unhideWhenUsed/>
    <w:rsid w:val="00AF4A60"/>
    <w:rPr>
      <w:color w:val="0000FF"/>
      <w:u w:val="single"/>
      <w:shd w:val="clear" w:color="auto" w:fill="F3F2F1"/>
    </w:rPr>
  </w:style>
  <w:style w:type="table" w:styleId="TableGridLight">
    <w:name w:val="Grid Table Light"/>
    <w:basedOn w:val="TableNormal"/>
    <w:uiPriority w:val="40"/>
    <w:semiHidden/>
    <w:rsid w:val="00AF4A6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para0">
    <w:name w:val="jupara"/>
    <w:basedOn w:val="Normal"/>
    <w:rsid w:val="00D80EC6"/>
    <w:pPr>
      <w:ind w:firstLine="284"/>
      <w:jc w:val="both"/>
    </w:pPr>
    <w:rPr>
      <w:rFonts w:ascii="Times New Roman" w:eastAsia="Times New Roman" w:hAnsi="Times New Roman" w:cs="Times New Roman"/>
      <w:lang w:eastAsia="en-GB"/>
    </w:rPr>
  </w:style>
  <w:style w:type="paragraph" w:customStyle="1" w:styleId="jucase0">
    <w:name w:val="jucase"/>
    <w:basedOn w:val="Normal"/>
    <w:rsid w:val="00D80EC6"/>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485026">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670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C5E37-9463-4A12-B16E-1ADA580786A3}">
  <ds:schemaRefs>
    <ds:schemaRef ds:uri="http://schemas.microsoft.com/sharepoint/v3/contenttype/forms"/>
  </ds:schemaRefs>
</ds:datastoreItem>
</file>

<file path=customXml/itemProps2.xml><?xml version="1.0" encoding="utf-8"?>
<ds:datastoreItem xmlns:ds="http://schemas.openxmlformats.org/officeDocument/2006/customXml" ds:itemID="{564213A0-A580-4DAF-AACB-740EAD43D857}">
  <ds:schemaRefs>
    <ds:schemaRef ds:uri="http://schemas.openxmlformats.org/officeDocument/2006/bibliography"/>
  </ds:schemaRefs>
</ds:datastoreItem>
</file>

<file path=customXml/itemProps3.xml><?xml version="1.0" encoding="utf-8"?>
<ds:datastoreItem xmlns:ds="http://schemas.openxmlformats.org/officeDocument/2006/customXml" ds:itemID="{1BC76728-9FE8-43DE-875D-10406F6151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7931D0-5A68-4965-9B11-2C2D2BBFF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14113</Words>
  <Characters>81859</Characters>
  <Application>Microsoft Office Word</Application>
  <DocSecurity>0</DocSecurity>
  <Lines>682</Lines>
  <Paragraphs>191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2023-02-13T10:53:00Z</dcterms:created>
  <dcterms:modified xsi:type="dcterms:W3CDTF">2023-05-29T12:10:00Z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29775/18</vt:lpwstr>
  </property>
  <property fmtid="{D5CDD505-2E9C-101B-9397-08002B2CF9AE}" pid="4" name="CASEID">
    <vt:lpwstr>1387811</vt:lpwstr>
  </property>
  <property fmtid="{D5CDD505-2E9C-101B-9397-08002B2CF9AE}" pid="5" name="ContentTypeId">
    <vt:lpwstr>0x010100558EB02BDB9E204AB350EDD385B68E10</vt:lpwstr>
  </property>
</Properties>
</file>