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0505E" w:rsidRPr="00F45118" w:rsidRDefault="00E0505E" w:rsidP="00F45118">
      <w:pPr>
        <w:jc w:val="center"/>
      </w:pPr>
    </w:p>
    <w:p w:rsidR="00E0505E" w:rsidRDefault="00307939" w:rsidP="00307939">
      <w:pPr>
        <w:jc w:val="center"/>
      </w:pPr>
      <w:r>
        <w:t>CURTEA EUROPEANĂ A DREPTURILOR OMULUI</w:t>
      </w:r>
    </w:p>
    <w:p w:rsidR="00331C20" w:rsidRPr="00F45118" w:rsidRDefault="00331C20" w:rsidP="00307939">
      <w:pPr>
        <w:jc w:val="center"/>
      </w:pPr>
    </w:p>
    <w:p w:rsidR="00F71A6A" w:rsidRPr="00F45118" w:rsidRDefault="0029524D" w:rsidP="00F45118">
      <w:pPr>
        <w:jc w:val="center"/>
      </w:pPr>
      <w:r>
        <w:t>SECȚIA A TREIA</w:t>
      </w:r>
    </w:p>
    <w:p w:rsidR="00E0505E" w:rsidRPr="00F45118" w:rsidRDefault="00E0505E" w:rsidP="00F45118">
      <w:pPr>
        <w:jc w:val="center"/>
      </w:pPr>
    </w:p>
    <w:p w:rsidR="00E0505E" w:rsidRPr="00F45118" w:rsidRDefault="00E0505E" w:rsidP="00F45118">
      <w:pPr>
        <w:jc w:val="center"/>
      </w:pPr>
    </w:p>
    <w:p w:rsidR="00E0505E" w:rsidRPr="00F45118" w:rsidRDefault="00E0505E" w:rsidP="00F45118">
      <w:pPr>
        <w:jc w:val="center"/>
      </w:pPr>
    </w:p>
    <w:p w:rsidR="00F71A6A" w:rsidRPr="00F45118" w:rsidRDefault="00F71A6A" w:rsidP="00F45118">
      <w:pPr>
        <w:jc w:val="center"/>
      </w:pPr>
    </w:p>
    <w:p w:rsidR="00F71A6A" w:rsidRPr="00F45118" w:rsidRDefault="00F71A6A" w:rsidP="00F45118">
      <w:pPr>
        <w:jc w:val="center"/>
        <w:rPr>
          <w:b/>
        </w:rPr>
      </w:pPr>
      <w:bookmarkStart w:id="0" w:name="To"/>
      <w:r>
        <w:rPr>
          <w:b/>
        </w:rPr>
        <w:t xml:space="preserve">CAUZA </w:t>
      </w:r>
      <w:bookmarkEnd w:id="0"/>
      <w:r>
        <w:rPr>
          <w:b/>
        </w:rPr>
        <w:t>PETROIU ÎMPOTRIVA ROMÂNIEI</w:t>
      </w:r>
    </w:p>
    <w:p w:rsidR="00F71A6A" w:rsidRPr="00F45118" w:rsidRDefault="00F71A6A" w:rsidP="00F45118">
      <w:pPr>
        <w:jc w:val="center"/>
      </w:pPr>
    </w:p>
    <w:p w:rsidR="00F71A6A" w:rsidRPr="00F45118" w:rsidRDefault="00F71A6A" w:rsidP="00F45118">
      <w:pPr>
        <w:jc w:val="center"/>
        <w:rPr>
          <w:i/>
        </w:rPr>
      </w:pPr>
      <w:r>
        <w:rPr>
          <w:i/>
        </w:rPr>
        <w:t>(Cererea nr. 33055/09)</w:t>
      </w:r>
    </w:p>
    <w:p w:rsidR="00E0505E" w:rsidRPr="00F45118" w:rsidRDefault="00E0505E" w:rsidP="00F45118">
      <w:pPr>
        <w:jc w:val="center"/>
      </w:pPr>
    </w:p>
    <w:p w:rsidR="00E0505E" w:rsidRPr="00F45118" w:rsidRDefault="00E0505E" w:rsidP="00F45118">
      <w:pPr>
        <w:jc w:val="center"/>
      </w:pPr>
    </w:p>
    <w:p w:rsidR="00E0505E" w:rsidRPr="00F45118" w:rsidRDefault="00E0505E" w:rsidP="00F45118">
      <w:pPr>
        <w:jc w:val="center"/>
      </w:pPr>
    </w:p>
    <w:p w:rsidR="00E0505E" w:rsidRPr="00F45118" w:rsidRDefault="00E0505E" w:rsidP="00F45118">
      <w:pPr>
        <w:jc w:val="center"/>
      </w:pPr>
    </w:p>
    <w:p w:rsidR="00E0505E" w:rsidRPr="00F45118" w:rsidRDefault="00E0505E" w:rsidP="00F45118">
      <w:pPr>
        <w:jc w:val="center"/>
      </w:pPr>
    </w:p>
    <w:p w:rsidR="00E0505E" w:rsidRPr="00F45118" w:rsidRDefault="00E0505E" w:rsidP="00F45118">
      <w:pPr>
        <w:jc w:val="center"/>
      </w:pPr>
    </w:p>
    <w:p w:rsidR="00E0505E" w:rsidRPr="00F45118" w:rsidRDefault="00E0505E" w:rsidP="00F45118">
      <w:pPr>
        <w:jc w:val="center"/>
      </w:pPr>
      <w:r>
        <w:t>HOTĂRÂRE</w:t>
      </w:r>
    </w:p>
    <w:p w:rsidR="00E0505E" w:rsidRPr="00F45118" w:rsidRDefault="00E0505E" w:rsidP="00F45118">
      <w:pPr>
        <w:jc w:val="center"/>
      </w:pPr>
      <w:r>
        <w:t>(</w:t>
      </w:r>
      <w:r>
        <w:rPr>
          <w:i/>
        </w:rPr>
        <w:t>Fond</w:t>
      </w:r>
      <w:r>
        <w:t>)</w:t>
      </w:r>
    </w:p>
    <w:p w:rsidR="00E0505E" w:rsidRPr="00F45118" w:rsidRDefault="00E0505E" w:rsidP="00F45118">
      <w:pPr>
        <w:jc w:val="center"/>
      </w:pPr>
    </w:p>
    <w:p w:rsidR="00E751DB" w:rsidRPr="00F45118" w:rsidRDefault="001D10C7" w:rsidP="00F45118">
      <w:pPr>
        <w:jc w:val="center"/>
        <w:rPr>
          <w:i/>
        </w:rPr>
      </w:pPr>
      <w:r>
        <w:rPr>
          <w:rStyle w:val="s6b621b36"/>
          <w:i/>
        </w:rPr>
        <w:t>H</w:t>
      </w:r>
      <w:r w:rsidR="00E751DB">
        <w:rPr>
          <w:rStyle w:val="s6b621b36"/>
          <w:i/>
        </w:rPr>
        <w:t>otărâre</w:t>
      </w:r>
      <w:r>
        <w:rPr>
          <w:rStyle w:val="s6b621b36"/>
          <w:i/>
        </w:rPr>
        <w:t>a</w:t>
      </w:r>
      <w:r w:rsidR="00E751DB">
        <w:rPr>
          <w:rStyle w:val="s6b621b36"/>
          <w:i/>
        </w:rPr>
        <w:t xml:space="preserve"> a fost revizuită în conformitate cu art. 80 din Regulamentul Curții prin hotărârea din 7 februarie 2017.</w:t>
      </w:r>
    </w:p>
    <w:p w:rsidR="00E0505E" w:rsidRPr="00F45118" w:rsidRDefault="00E0505E" w:rsidP="00F45118">
      <w:pPr>
        <w:jc w:val="center"/>
      </w:pPr>
    </w:p>
    <w:p w:rsidR="00E751DB" w:rsidRPr="00F45118" w:rsidRDefault="00E751DB" w:rsidP="00F45118">
      <w:pPr>
        <w:jc w:val="center"/>
      </w:pPr>
    </w:p>
    <w:p w:rsidR="00E0505E" w:rsidRPr="00F45118" w:rsidRDefault="00E0505E" w:rsidP="00F45118">
      <w:pPr>
        <w:jc w:val="center"/>
      </w:pPr>
      <w:r>
        <w:t>STRASBOURG</w:t>
      </w:r>
    </w:p>
    <w:p w:rsidR="00E0505E" w:rsidRPr="00F45118" w:rsidRDefault="00E0505E" w:rsidP="00F45118">
      <w:pPr>
        <w:jc w:val="center"/>
      </w:pPr>
    </w:p>
    <w:p w:rsidR="00E0505E" w:rsidRPr="00F45118" w:rsidRDefault="00E0505E" w:rsidP="00F45118">
      <w:pPr>
        <w:jc w:val="center"/>
      </w:pPr>
      <w:r>
        <w:t>24 noiembrie 2009</w:t>
      </w:r>
    </w:p>
    <w:p w:rsidR="00E0505E" w:rsidRPr="00F45118" w:rsidRDefault="00E0505E" w:rsidP="00F45118">
      <w:pPr>
        <w:jc w:val="center"/>
      </w:pPr>
    </w:p>
    <w:p w:rsidR="00BB61DF" w:rsidRPr="00F45118" w:rsidRDefault="00BB61DF" w:rsidP="00F45118">
      <w:pPr>
        <w:jc w:val="center"/>
        <w:rPr>
          <w:b/>
          <w:color w:val="FF0000"/>
          <w:szCs w:val="24"/>
          <w:u w:val="single"/>
        </w:rPr>
      </w:pPr>
      <w:r>
        <w:rPr>
          <w:b/>
          <w:color w:val="FF0000"/>
          <w:u w:val="single"/>
        </w:rPr>
        <w:t>DEFINITIVĂ</w:t>
      </w:r>
    </w:p>
    <w:p w:rsidR="00BB61DF" w:rsidRPr="00F45118" w:rsidRDefault="00BB61DF" w:rsidP="00F45118">
      <w:pPr>
        <w:jc w:val="center"/>
        <w:rPr>
          <w:b/>
          <w:color w:val="FF0000"/>
          <w:szCs w:val="24"/>
          <w:u w:val="single"/>
        </w:rPr>
      </w:pPr>
    </w:p>
    <w:p w:rsidR="00BB61DF" w:rsidRPr="00F45118" w:rsidRDefault="00BB61DF" w:rsidP="00F45118">
      <w:pPr>
        <w:jc w:val="center"/>
        <w:rPr>
          <w:i/>
          <w:color w:val="FF0000"/>
          <w:szCs w:val="24"/>
        </w:rPr>
      </w:pPr>
      <w:r>
        <w:rPr>
          <w:i/>
          <w:color w:val="FF0000"/>
        </w:rPr>
        <w:t>24 februarie 2010</w:t>
      </w:r>
    </w:p>
    <w:p w:rsidR="00E0505E" w:rsidRPr="00F45118" w:rsidRDefault="00E0505E" w:rsidP="00F45118">
      <w:pPr>
        <w:jc w:val="center"/>
      </w:pPr>
    </w:p>
    <w:p w:rsidR="00B921A8" w:rsidRPr="00F45118" w:rsidRDefault="00E0505E" w:rsidP="00F45118">
      <w:pPr>
        <w:jc w:val="both"/>
      </w:pPr>
      <w:r>
        <w:rPr>
          <w:i/>
          <w:sz w:val="22"/>
        </w:rPr>
        <w:t>Hotărârea va rămâne definitivă în condițiile prevăzute la art. 44 § 2 din Convenție. Poate suferi modificări de formă.</w:t>
      </w:r>
    </w:p>
    <w:p w:rsidR="00E0505E" w:rsidRPr="00F45118" w:rsidRDefault="00E0505E" w:rsidP="00F45118">
      <w:pPr>
        <w:pStyle w:val="JuCase"/>
        <w:sectPr w:rsidR="00E0505E" w:rsidRPr="00F45118" w:rsidSect="00E0505E">
          <w:headerReference w:type="default" r:id="rId9"/>
          <w:footerReference w:type="default" r:id="rId10"/>
          <w:footnotePr>
            <w:numRestart w:val="eachPage"/>
          </w:footnotePr>
          <w:pgSz w:w="11906" w:h="16838" w:code="9"/>
          <w:pgMar w:top="2274" w:right="2274" w:bottom="2274" w:left="2274" w:header="1701" w:footer="720" w:gutter="0"/>
          <w:pgNumType w:start="1"/>
          <w:cols w:space="720"/>
          <w:docGrid w:linePitch="78"/>
        </w:sectPr>
      </w:pPr>
      <w:bookmarkStart w:id="1" w:name="_GoBack"/>
      <w:bookmarkEnd w:id="1"/>
    </w:p>
    <w:p w:rsidR="00F71A6A" w:rsidRPr="00F45118" w:rsidRDefault="00F71A6A" w:rsidP="00F45118">
      <w:pPr>
        <w:pStyle w:val="JuCase"/>
      </w:pPr>
      <w:r>
        <w:lastRenderedPageBreak/>
        <w:t xml:space="preserve">În cauza </w:t>
      </w:r>
      <w:r>
        <w:rPr>
          <w:rStyle w:val="JuCaseChar"/>
        </w:rPr>
        <w:t>Petroiu împotriva României</w:t>
      </w:r>
      <w:r>
        <w:t>,</w:t>
      </w:r>
    </w:p>
    <w:p w:rsidR="00730433" w:rsidRPr="00F45118" w:rsidRDefault="00F71A6A" w:rsidP="00F45118">
      <w:pPr>
        <w:pStyle w:val="JuPara"/>
      </w:pPr>
      <w:r>
        <w:t>Curtea Europeană a Drepturilor Omului (Secția a treia), reunită într-o cameră compusă din:</w:t>
      </w:r>
    </w:p>
    <w:p w:rsidR="00F71A6A" w:rsidRPr="00F45118" w:rsidRDefault="00E0505E" w:rsidP="00F45118">
      <w:pPr>
        <w:pStyle w:val="JuJudges"/>
      </w:pPr>
      <w:r>
        <w:rPr>
          <w:rStyle w:val="JuJudgesChar"/>
        </w:rPr>
        <w:tab/>
        <w:t>Josep Casadevall,</w:t>
      </w:r>
      <w:r>
        <w:rPr>
          <w:rStyle w:val="JuJudgesChar"/>
          <w:i/>
        </w:rPr>
        <w:t xml:space="preserve"> președinte,</w:t>
      </w:r>
      <w:r>
        <w:rPr>
          <w:rStyle w:val="JuJudgesChar"/>
          <w:i/>
        </w:rPr>
        <w:br/>
      </w:r>
      <w:r>
        <w:rPr>
          <w:rStyle w:val="JuJudgesChar"/>
        </w:rPr>
        <w:tab/>
        <w:t>Elisabet Fura,</w:t>
      </w:r>
      <w:r>
        <w:rPr>
          <w:rStyle w:val="JuJudgesChar"/>
          <w:i/>
        </w:rPr>
        <w:br/>
      </w:r>
      <w:r>
        <w:rPr>
          <w:rStyle w:val="JuJudgesChar"/>
        </w:rPr>
        <w:tab/>
        <w:t>Corneliu Bîrsan,</w:t>
      </w:r>
      <w:r>
        <w:rPr>
          <w:rStyle w:val="JuJudgesChar"/>
          <w:i/>
        </w:rPr>
        <w:br/>
      </w:r>
      <w:r>
        <w:rPr>
          <w:rStyle w:val="JuJudgesChar"/>
        </w:rPr>
        <w:tab/>
        <w:t>Alvina Gyulumyan,</w:t>
      </w:r>
      <w:r>
        <w:rPr>
          <w:rStyle w:val="JuJudgesChar"/>
          <w:i/>
        </w:rPr>
        <w:br/>
      </w:r>
      <w:r>
        <w:rPr>
          <w:rStyle w:val="JuJudgesChar"/>
        </w:rPr>
        <w:tab/>
        <w:t>Egbert Myjer,</w:t>
      </w:r>
      <w:r>
        <w:rPr>
          <w:rStyle w:val="JuJudgesChar"/>
          <w:i/>
        </w:rPr>
        <w:br/>
      </w:r>
      <w:r>
        <w:rPr>
          <w:rStyle w:val="JuJudgesChar"/>
        </w:rPr>
        <w:tab/>
        <w:t>Luis López Guerra,</w:t>
      </w:r>
      <w:r>
        <w:rPr>
          <w:rStyle w:val="JuJudgesChar"/>
          <w:i/>
        </w:rPr>
        <w:br/>
      </w:r>
      <w:r>
        <w:rPr>
          <w:rStyle w:val="JuJudgesChar"/>
        </w:rPr>
        <w:tab/>
        <w:t>Ann Power,</w:t>
      </w:r>
      <w:r>
        <w:rPr>
          <w:rStyle w:val="JuJudgesChar"/>
          <w:i/>
        </w:rPr>
        <w:t xml:space="preserve"> judecători,</w:t>
      </w:r>
      <w:r>
        <w:rPr>
          <w:rStyle w:val="JuJudgesChar"/>
          <w:i/>
        </w:rPr>
        <w:br/>
      </w:r>
      <w:r>
        <w:t>și Stanley Naismith</w:t>
      </w:r>
      <w:r>
        <w:rPr>
          <w:rStyle w:val="JuSignedChar"/>
        </w:rPr>
        <w:t xml:space="preserve">, </w:t>
      </w:r>
      <w:r>
        <w:rPr>
          <w:rStyle w:val="JuSignedChar"/>
          <w:i/>
          <w:iCs/>
        </w:rPr>
        <w:t>grefier</w:t>
      </w:r>
      <w:r>
        <w:rPr>
          <w:rStyle w:val="JuSignedChar"/>
        </w:rPr>
        <w:t xml:space="preserve"> </w:t>
      </w:r>
      <w:r>
        <w:rPr>
          <w:i/>
          <w:iCs/>
        </w:rPr>
        <w:t>adjunct de secție</w:t>
      </w:r>
      <w:r>
        <w:t>,</w:t>
      </w:r>
    </w:p>
    <w:p w:rsidR="00F71A6A" w:rsidRPr="00F45118" w:rsidRDefault="00F71A6A" w:rsidP="00F45118">
      <w:pPr>
        <w:pStyle w:val="JuPara"/>
      </w:pPr>
      <w:r>
        <w:t>după ce a deliberat în camera de consiliu, la 3 noiembrie 2009,</w:t>
      </w:r>
    </w:p>
    <w:p w:rsidR="00F71A6A" w:rsidRPr="00F45118" w:rsidRDefault="00F71A6A" w:rsidP="00F45118">
      <w:pPr>
        <w:pStyle w:val="JuPara"/>
      </w:pPr>
      <w:r>
        <w:t>pronunță prezenta hotărâre, adoptată la aceeași dată:</w:t>
      </w:r>
    </w:p>
    <w:p w:rsidR="00F71A6A" w:rsidRPr="00F45118" w:rsidRDefault="00F71A6A" w:rsidP="00F45118">
      <w:pPr>
        <w:pStyle w:val="JuHHead"/>
      </w:pPr>
      <w:r>
        <w:t>PROCEDURA</w:t>
      </w:r>
    </w:p>
    <w:p w:rsidR="00F71A6A" w:rsidRPr="00F45118" w:rsidRDefault="00275F6C" w:rsidP="00F45118">
      <w:pPr>
        <w:pStyle w:val="JuPara"/>
      </w:pPr>
      <w:r>
        <w:fldChar w:fldCharType="begin"/>
      </w:r>
      <w:r>
        <w:instrText xml:space="preserve"> SEQ level0 \*arabic </w:instrText>
      </w:r>
      <w:r>
        <w:fldChar w:fldCharType="separate"/>
      </w:r>
      <w:r w:rsidR="00331C20">
        <w:rPr>
          <w:noProof/>
        </w:rPr>
        <w:t>1</w:t>
      </w:r>
      <w:r>
        <w:rPr>
          <w:noProof/>
        </w:rPr>
        <w:fldChar w:fldCharType="end"/>
      </w:r>
      <w:r w:rsidR="0029524D">
        <w:t>.  La originea cauzei se află cererea nr. 33055/09 îndreptată împotriva României, prin care o resortisantă a acestui stat, doamna Florica-Maria Petroiu („reclamanta”), a sesizat Curtea la 5 august 2005, în temeiul art. 34 din Convenția pentru apărarea drepturilor omului și a libertăților fundamentale („Convenția”).</w:t>
      </w:r>
    </w:p>
    <w:p w:rsidR="00F71A6A" w:rsidRPr="00F45118" w:rsidRDefault="00275F6C" w:rsidP="00F45118">
      <w:pPr>
        <w:pStyle w:val="JuPara"/>
      </w:pPr>
      <w:r>
        <w:fldChar w:fldCharType="begin"/>
      </w:r>
      <w:r>
        <w:instrText xml:space="preserve"> SEQ level0 \*arabic </w:instrText>
      </w:r>
      <w:r>
        <w:fldChar w:fldCharType="separate"/>
      </w:r>
      <w:r w:rsidR="00331C20">
        <w:rPr>
          <w:noProof/>
        </w:rPr>
        <w:t>2</w:t>
      </w:r>
      <w:r>
        <w:rPr>
          <w:noProof/>
        </w:rPr>
        <w:fldChar w:fldCharType="end"/>
      </w:r>
      <w:r w:rsidR="0029524D">
        <w:t>.  Reclamanta a fost reprezentată de domnul Dumitru Rădescu, avocat în București. Guvernul român („Guvernul”) a fost reprezentat de agentul guvernamental, domnul Răzvan-Horațiu Radu.</w:t>
      </w:r>
    </w:p>
    <w:p w:rsidR="00F71A6A" w:rsidRPr="00F45118" w:rsidRDefault="00275F6C" w:rsidP="00F45118">
      <w:pPr>
        <w:pStyle w:val="JuPara"/>
      </w:pPr>
      <w:r>
        <w:fldChar w:fldCharType="begin"/>
      </w:r>
      <w:r>
        <w:instrText xml:space="preserve"> SEQ level0 \*arabic </w:instrText>
      </w:r>
      <w:r>
        <w:fldChar w:fldCharType="separate"/>
      </w:r>
      <w:r w:rsidR="00331C20">
        <w:rPr>
          <w:noProof/>
        </w:rPr>
        <w:t>3</w:t>
      </w:r>
      <w:r>
        <w:rPr>
          <w:noProof/>
        </w:rPr>
        <w:fldChar w:fldCharType="end"/>
      </w:r>
      <w:r w:rsidR="009D6D17">
        <w:t>.  La 10 noiembrie 2006, președintele Secției a treia a hotărât să comunice Guvernului cererea. De asemenea, s-a hotărât că admisibilitatea și fondul cauzei vor fi examinate împreună (art. 29 § 3).</w:t>
      </w:r>
    </w:p>
    <w:p w:rsidR="00F71A6A" w:rsidRPr="00F45118" w:rsidRDefault="00F71A6A" w:rsidP="00F45118">
      <w:pPr>
        <w:pStyle w:val="JuHHead"/>
      </w:pPr>
      <w:r>
        <w:t>ÎN FAPT</w:t>
      </w:r>
    </w:p>
    <w:p w:rsidR="00D353F4" w:rsidRPr="00F45118" w:rsidRDefault="007352DD" w:rsidP="00F45118">
      <w:pPr>
        <w:pStyle w:val="JuHIRoman"/>
      </w:pPr>
      <w:r>
        <w:t>I. CIRCUMSTANȚELE CAUZEI</w:t>
      </w:r>
    </w:p>
    <w:p w:rsidR="00F71A6A" w:rsidRPr="00F45118" w:rsidRDefault="00275F6C" w:rsidP="00F45118">
      <w:pPr>
        <w:pStyle w:val="JuPara"/>
      </w:pPr>
      <w:r>
        <w:fldChar w:fldCharType="begin"/>
      </w:r>
      <w:r>
        <w:instrText xml:space="preserve"> SEQ level0 \*arabic </w:instrText>
      </w:r>
      <w:r>
        <w:fldChar w:fldCharType="separate"/>
      </w:r>
      <w:r w:rsidR="00331C20">
        <w:rPr>
          <w:noProof/>
        </w:rPr>
        <w:t>4</w:t>
      </w:r>
      <w:r>
        <w:rPr>
          <w:noProof/>
        </w:rPr>
        <w:fldChar w:fldCharType="end"/>
      </w:r>
      <w:r w:rsidR="0029524D">
        <w:t>.  Reclamanta s-a născut în 1932 și locuiește în București.</w:t>
      </w:r>
    </w:p>
    <w:p w:rsidR="001173D9" w:rsidRPr="00F45118" w:rsidRDefault="00275F6C" w:rsidP="00F45118">
      <w:pPr>
        <w:pStyle w:val="JuPara"/>
      </w:pPr>
      <w:r>
        <w:fldChar w:fldCharType="begin"/>
      </w:r>
      <w:r>
        <w:instrText xml:space="preserve"> SEQ level0 \*arabic </w:instrText>
      </w:r>
      <w:r>
        <w:fldChar w:fldCharType="separate"/>
      </w:r>
      <w:r w:rsidR="00331C20">
        <w:rPr>
          <w:noProof/>
        </w:rPr>
        <w:t>5</w:t>
      </w:r>
      <w:r>
        <w:rPr>
          <w:noProof/>
        </w:rPr>
        <w:fldChar w:fldCharType="end"/>
      </w:r>
      <w:r w:rsidR="0029524D">
        <w:t>.  În 1952, un imobil situat în București pe strada Negustori nr. 10 și aparținând lui I.A. a fost confiscat de stat în temeiul Decretului nr. 224/1951, ca urmare a unei pretinse datorii neplătite. Singurul moștenitor al lui I.A. era soția sa, reclamanta fiind unicul moștenitor testamentar al acesteia din urmă.</w:t>
      </w:r>
    </w:p>
    <w:p w:rsidR="00BE39B8" w:rsidRPr="00F45118" w:rsidRDefault="00BE39B8" w:rsidP="00F45118">
      <w:pPr>
        <w:pStyle w:val="JuPara"/>
      </w:pPr>
      <w:r>
        <w:t>Proprietatea consta într-o clădire amplasată pe un teren de 458 mp. Clădirea era împărțită în cinci apartamente.</w:t>
      </w:r>
    </w:p>
    <w:p w:rsidR="00BE39B8" w:rsidRPr="00F45118" w:rsidRDefault="00275F6C" w:rsidP="00F45118">
      <w:pPr>
        <w:pStyle w:val="JuPara"/>
      </w:pPr>
      <w:r>
        <w:lastRenderedPageBreak/>
        <w:fldChar w:fldCharType="begin"/>
      </w:r>
      <w:r>
        <w:instrText xml:space="preserve"> SEQ level0 \*arabic </w:instrText>
      </w:r>
      <w:r>
        <w:fldChar w:fldCharType="separate"/>
      </w:r>
      <w:r w:rsidR="00331C20">
        <w:rPr>
          <w:noProof/>
        </w:rPr>
        <w:t>6</w:t>
      </w:r>
      <w:r>
        <w:rPr>
          <w:noProof/>
        </w:rPr>
        <w:fldChar w:fldCharType="end"/>
      </w:r>
      <w:r w:rsidR="00BE39B8">
        <w:t xml:space="preserve">.  La 10 iulie 1996, reclamanta a solicitat autorităților </w:t>
      </w:r>
      <w:r w:rsidR="00FC4F8D">
        <w:t>restituirea</w:t>
      </w:r>
      <w:r w:rsidR="00BE39B8">
        <w:t xml:space="preserve"> întregii proprietăți și să se abțină de la vânzarea acesteia către chiriași în temeiul Legii nr. 112/1995. Cu toate acestea, la 9 decembrie 1996, 12 martie, 30 septembrie și 7 octombrie 1997, precum și la 22 octombrie 1998, societatea F., o societate de stat însărcinată cu administrarea bunurilor aparținând statului, a vândut chiriașilor de atunci cele cinci apartamente cu terenul aferent, în temeiul Legii nr. 112/1995.</w:t>
      </w:r>
    </w:p>
    <w:p w:rsidR="00BE39B8" w:rsidRPr="00F45118" w:rsidRDefault="00275F6C" w:rsidP="00F45118">
      <w:pPr>
        <w:pStyle w:val="JuPara"/>
      </w:pPr>
      <w:r>
        <w:fldChar w:fldCharType="begin"/>
      </w:r>
      <w:r>
        <w:instrText xml:space="preserve"> SEQ level0 \*arabic </w:instrText>
      </w:r>
      <w:r>
        <w:fldChar w:fldCharType="separate"/>
      </w:r>
      <w:r w:rsidR="00331C20">
        <w:rPr>
          <w:noProof/>
        </w:rPr>
        <w:t>7</w:t>
      </w:r>
      <w:r>
        <w:rPr>
          <w:noProof/>
        </w:rPr>
        <w:fldChar w:fldCharType="end"/>
      </w:r>
      <w:r w:rsidR="00BE39B8">
        <w:t>.  La 5 iunie 2001, reclamanta, în calitate de moștenitor testamentar al soției lui I.A., a solicitat restituirea în natură sau despăgubiri, în temeiul Legii nr. 10/2001 privind regimul juridic al unor imobile preluate în mod abuziv de stat, pentru terenul în suprafață de 460 mp și a construcțiilor ridicate pe acesta, situat în București, strada Negustori nr. 10. Din actele aflate la dosar rezultă că nu a primit niciun răspuns.</w:t>
      </w:r>
    </w:p>
    <w:p w:rsidR="00BE39B8" w:rsidRPr="00F45118" w:rsidRDefault="00275F6C" w:rsidP="00F45118">
      <w:pPr>
        <w:pStyle w:val="JuPara"/>
      </w:pPr>
      <w:r>
        <w:fldChar w:fldCharType="begin"/>
      </w:r>
      <w:r>
        <w:instrText xml:space="preserve"> SEQ level0 \*arabic </w:instrText>
      </w:r>
      <w:r>
        <w:fldChar w:fldCharType="separate"/>
      </w:r>
      <w:r w:rsidR="00331C20">
        <w:rPr>
          <w:noProof/>
        </w:rPr>
        <w:t>8</w:t>
      </w:r>
      <w:r>
        <w:rPr>
          <w:noProof/>
        </w:rPr>
        <w:fldChar w:fldCharType="end"/>
      </w:r>
      <w:r w:rsidR="00BE39B8">
        <w:t>.  La 6 august 2002, reclamanta a introdus o acțiune în justiție pentru constatarea nulității actului de vânzare al celor cinci apartamente. Reclamanta a susținut nelegalitatea confiscării.</w:t>
      </w:r>
    </w:p>
    <w:p w:rsidR="00BE39B8" w:rsidRPr="00F45118" w:rsidRDefault="00275F6C" w:rsidP="00F45118">
      <w:pPr>
        <w:pStyle w:val="JuPara"/>
      </w:pPr>
      <w:r>
        <w:fldChar w:fldCharType="begin"/>
      </w:r>
      <w:r>
        <w:instrText xml:space="preserve"> SEQ level0 \*arabic </w:instrText>
      </w:r>
      <w:r>
        <w:fldChar w:fldCharType="separate"/>
      </w:r>
      <w:r w:rsidR="00331C20">
        <w:rPr>
          <w:noProof/>
        </w:rPr>
        <w:t>9</w:t>
      </w:r>
      <w:r>
        <w:rPr>
          <w:noProof/>
        </w:rPr>
        <w:fldChar w:fldCharType="end"/>
      </w:r>
      <w:r w:rsidR="00BE39B8">
        <w:t xml:space="preserve">.  La 16 iunie 2003, </w:t>
      </w:r>
      <w:r w:rsidR="00FC4F8D">
        <w:t>j</w:t>
      </w:r>
      <w:r w:rsidR="00BE39B8">
        <w:t>udecătoria de sector București a respins acțiunea, considerând că terții au cumpărat imobilul cu bună-credință, iar autoritățile au arătat rea-credință întrucât au vândut bunurile înainte ca cererea de restituire a reclamantei să fie soluționată. Instanța a recunoscut, de asemenea, nelegalitatea confiscării de către stat a întregii proprietăți, precum și că reclamanta era moștenitoarea testamentară a soției lui I.A. Cu toate acestea, în temeiul art. 46 alin. (2) din Legea nr. 10/2001, instanța a considerat că reclamanta nu a dovedit și reaua-credință a cumpărătorilor.</w:t>
      </w:r>
    </w:p>
    <w:p w:rsidR="00BE39B8" w:rsidRPr="00F45118" w:rsidRDefault="00275F6C" w:rsidP="00F45118">
      <w:pPr>
        <w:pStyle w:val="JuPara"/>
      </w:pPr>
      <w:r>
        <w:fldChar w:fldCharType="begin"/>
      </w:r>
      <w:r>
        <w:instrText xml:space="preserve"> SEQ level0 \*arabic </w:instrText>
      </w:r>
      <w:r>
        <w:fldChar w:fldCharType="separate"/>
      </w:r>
      <w:r w:rsidR="00331C20">
        <w:rPr>
          <w:noProof/>
        </w:rPr>
        <w:t>10</w:t>
      </w:r>
      <w:r>
        <w:rPr>
          <w:noProof/>
        </w:rPr>
        <w:fldChar w:fldCharType="end"/>
      </w:r>
      <w:r w:rsidR="00255B62">
        <w:t>.  Apelul și recursul formulate ulterior de reclamantă au fost respinse prin hotărârea din 14 octombrie 2003 a Tribunalului București și, respectiv, prin decizia din 11 februarie 2005 a Curții de Apel București.</w:t>
      </w:r>
    </w:p>
    <w:p w:rsidR="007352DD" w:rsidRPr="00F45118" w:rsidRDefault="007352DD" w:rsidP="00F45118">
      <w:pPr>
        <w:pStyle w:val="JuHIRoman"/>
      </w:pPr>
      <w:r>
        <w:t>II.  DREPTUL INTERN RELEVANT</w:t>
      </w:r>
    </w:p>
    <w:p w:rsidR="007352DD" w:rsidRPr="00F45118" w:rsidRDefault="00275F6C" w:rsidP="00F45118">
      <w:pPr>
        <w:pStyle w:val="JuPara"/>
      </w:pPr>
      <w:r>
        <w:fldChar w:fldCharType="begin"/>
      </w:r>
      <w:r>
        <w:instrText xml:space="preserve"> SEQ level0 \*arabic </w:instrText>
      </w:r>
      <w:r>
        <w:fldChar w:fldCharType="separate"/>
      </w:r>
      <w:r w:rsidR="00331C20">
        <w:rPr>
          <w:noProof/>
        </w:rPr>
        <w:t>11</w:t>
      </w:r>
      <w:r>
        <w:rPr>
          <w:noProof/>
        </w:rPr>
        <w:fldChar w:fldCharType="end"/>
      </w:r>
      <w:r w:rsidR="0029524D">
        <w:t xml:space="preserve">.  Prevederile legale și jurisprudența relevantă sunt descrise în hotărârile </w:t>
      </w:r>
      <w:r w:rsidR="0029524D">
        <w:rPr>
          <w:i/>
        </w:rPr>
        <w:t xml:space="preserve">Brumărescu împotriva României </w:t>
      </w:r>
      <w:r w:rsidR="0029524D">
        <w:t xml:space="preserve">[(MC), nr. 28342/95, pct. 31-33, </w:t>
      </w:r>
      <w:r w:rsidR="0029524D">
        <w:br/>
        <w:t>CEDO 1999</w:t>
      </w:r>
      <w:r w:rsidR="0029524D">
        <w:noBreakHyphen/>
        <w:t xml:space="preserve">VII); </w:t>
      </w:r>
      <w:r w:rsidR="0029524D">
        <w:rPr>
          <w:i/>
        </w:rPr>
        <w:t xml:space="preserve">Străin și alții împotriva României </w:t>
      </w:r>
      <w:r w:rsidR="0029524D">
        <w:t>(nr. 57001/00, pct. 19-26, CEDO 2005</w:t>
      </w:r>
      <w:r w:rsidR="0029524D">
        <w:noBreakHyphen/>
        <w:t xml:space="preserve">VII); </w:t>
      </w:r>
      <w:r w:rsidR="0029524D">
        <w:rPr>
          <w:i/>
        </w:rPr>
        <w:t>Păduraru împotriva României</w:t>
      </w:r>
      <w:r w:rsidR="0029524D">
        <w:t xml:space="preserve"> (nr. 63252/00, pct. 38-53, 1 decembrie 2005); </w:t>
      </w:r>
      <w:r w:rsidR="0029524D">
        <w:rPr>
          <w:i/>
        </w:rPr>
        <w:t>Tudor împotriva României</w:t>
      </w:r>
      <w:r w:rsidR="0029524D">
        <w:t xml:space="preserve"> (nr. 29035/05, pct. 15-20, 17 ianuarie 2008).</w:t>
      </w:r>
    </w:p>
    <w:p w:rsidR="004B0EDC" w:rsidRPr="00F45118" w:rsidRDefault="00275F6C" w:rsidP="00F45118">
      <w:pPr>
        <w:pStyle w:val="JuPara"/>
      </w:pPr>
      <w:r>
        <w:fldChar w:fldCharType="begin"/>
      </w:r>
      <w:r>
        <w:instrText xml:space="preserve"> SEQ level0 \*arabic </w:instrText>
      </w:r>
      <w:r>
        <w:fldChar w:fldCharType="separate"/>
      </w:r>
      <w:r w:rsidR="00331C20">
        <w:rPr>
          <w:noProof/>
        </w:rPr>
        <w:t>12</w:t>
      </w:r>
      <w:r>
        <w:rPr>
          <w:noProof/>
        </w:rPr>
        <w:fldChar w:fldCharType="end"/>
      </w:r>
      <w:r w:rsidR="004B0EDC">
        <w:t>.  În special, art. 46 alin. (2) din Legea nr. 10/2001 prevede că actele juridice de înstrăinare având ca obiect imobile preluate fără titlu valabil sunt lovite de nulitate absolută, în afară de cazul în care actul a fost încheiat cu bună-credință.</w:t>
      </w:r>
    </w:p>
    <w:p w:rsidR="00F71A6A" w:rsidRPr="00F45118" w:rsidRDefault="00F71A6A" w:rsidP="00331C20">
      <w:pPr>
        <w:pStyle w:val="JuHHead"/>
        <w:tabs>
          <w:tab w:val="center" w:pos="3679"/>
        </w:tabs>
      </w:pPr>
      <w:r>
        <w:lastRenderedPageBreak/>
        <w:t>ÎN DREPT</w:t>
      </w:r>
      <w:r w:rsidR="00331C20">
        <w:tab/>
      </w:r>
    </w:p>
    <w:p w:rsidR="00F71A6A" w:rsidRPr="00F45118" w:rsidRDefault="00F71A6A" w:rsidP="00F45118">
      <w:pPr>
        <w:pStyle w:val="JuHIRoman"/>
      </w:pPr>
      <w:r>
        <w:t>CU PRIVIRE LA PRETINSA ÎNCĂLCARE A ART. 1 DIN PROTOCOLUL NR. 1</w:t>
      </w:r>
    </w:p>
    <w:p w:rsidR="00F71A6A" w:rsidRPr="00F45118" w:rsidRDefault="00275F6C" w:rsidP="00F45118">
      <w:pPr>
        <w:pStyle w:val="JuPara"/>
      </w:pPr>
      <w:r>
        <w:fldChar w:fldCharType="begin"/>
      </w:r>
      <w:r>
        <w:instrText xml:space="preserve"> SEQ level0 \*arabic </w:instrText>
      </w:r>
      <w:r>
        <w:fldChar w:fldCharType="separate"/>
      </w:r>
      <w:r w:rsidR="00331C20">
        <w:rPr>
          <w:noProof/>
        </w:rPr>
        <w:t>13</w:t>
      </w:r>
      <w:r>
        <w:rPr>
          <w:noProof/>
        </w:rPr>
        <w:fldChar w:fldCharType="end"/>
      </w:r>
      <w:r w:rsidR="0029524D">
        <w:t>.  Reclamanta a susținut că vânzarea de către stat unor terți a celor cinci apartamente ale imobilului a reprezentat o încălcare a art. 1 din Protocolul nr. 1, care prevede următoarele:</w:t>
      </w:r>
    </w:p>
    <w:p w:rsidR="00255B62" w:rsidRPr="00F45118" w:rsidRDefault="00255B62" w:rsidP="00F45118">
      <w:pPr>
        <w:pStyle w:val="JuQuot"/>
      </w:pPr>
      <w:r>
        <w:t>„Orice persoană fizică sau juridică are dreptul la respectarea bunurilor sale. Nimeni nu poate fi lipsit de proprietatea sa decât pentru cauză de utilitate publică și în condițiile prevăzute de lege și de principiile generale ale dreptului internațional.</w:t>
      </w:r>
    </w:p>
    <w:p w:rsidR="005B16A8" w:rsidRPr="00F45118" w:rsidRDefault="00255B62" w:rsidP="00F45118">
      <w:pPr>
        <w:pStyle w:val="JuQuot"/>
      </w:pPr>
      <w:r>
        <w:t>Dispozițiile precedente nu aduc atingere dreptului statelor de a adopta legile pe care le consideră necesare pentru a reglementa folosința bunurilor conform interesului general sau pentru a asigura plata impozitelor ori a altor contribuții, sau a amenzilor.”</w:t>
      </w:r>
    </w:p>
    <w:p w:rsidR="00F71A6A" w:rsidRPr="00F45118" w:rsidRDefault="00F71A6A" w:rsidP="00F45118">
      <w:pPr>
        <w:pStyle w:val="JuHA"/>
        <w:tabs>
          <w:tab w:val="left" w:pos="3135"/>
        </w:tabs>
      </w:pPr>
      <w:r>
        <w:t>A.  Cu privire la admisibilitate</w:t>
      </w:r>
    </w:p>
    <w:p w:rsidR="00D00EA4" w:rsidRPr="00F45118" w:rsidRDefault="00275F6C" w:rsidP="00F45118">
      <w:pPr>
        <w:pStyle w:val="JuPara"/>
      </w:pPr>
      <w:r>
        <w:fldChar w:fldCharType="begin"/>
      </w:r>
      <w:r>
        <w:instrText xml:space="preserve"> SEQ level0 \*arabic </w:instrText>
      </w:r>
      <w:r>
        <w:fldChar w:fldCharType="separate"/>
      </w:r>
      <w:r w:rsidR="00331C20">
        <w:rPr>
          <w:noProof/>
        </w:rPr>
        <w:t>14</w:t>
      </w:r>
      <w:r>
        <w:rPr>
          <w:noProof/>
        </w:rPr>
        <w:fldChar w:fldCharType="end"/>
      </w:r>
      <w:r w:rsidR="00D00EA4">
        <w:t>.  Guvernul a ridicat excepție de incompatibilitate</w:t>
      </w:r>
      <w:r w:rsidR="00FC4F8D">
        <w:t xml:space="preserve"> </w:t>
      </w:r>
      <w:r w:rsidR="00D00EA4">
        <w:rPr>
          <w:i/>
        </w:rPr>
        <w:t>ratione materiae</w:t>
      </w:r>
      <w:r w:rsidR="00D00EA4">
        <w:t xml:space="preserve"> în ceea ce privește acest capăt de cerere. Acesta a susținut că instanțele au respins alegațiile reclamantei printr-o hotărâre definitivă și au confirmat constatările instanțelor inferioare cu privire la dreptul statului de a confisca imobilul. Acesta a considerat că reclamanta nu avea nicio „proprietate” în sensul art. 1 din Protocolul nr. 1 și că instanțele nu au soluționat problema legalității sechestrului și nu au conferit niciun drept de proprietate în dispozitivul deciziei curții de apel.</w:t>
      </w:r>
    </w:p>
    <w:p w:rsidR="00D00EA4" w:rsidRPr="00F45118" w:rsidRDefault="00275F6C" w:rsidP="00F45118">
      <w:pPr>
        <w:pStyle w:val="JuPara"/>
      </w:pPr>
      <w:r>
        <w:fldChar w:fldCharType="begin"/>
      </w:r>
      <w:r>
        <w:instrText xml:space="preserve"> </w:instrText>
      </w:r>
      <w:r>
        <w:instrText xml:space="preserve">SEQ level0 \*arabic </w:instrText>
      </w:r>
      <w:r>
        <w:fldChar w:fldCharType="separate"/>
      </w:r>
      <w:r w:rsidR="00331C20">
        <w:rPr>
          <w:noProof/>
        </w:rPr>
        <w:t>15</w:t>
      </w:r>
      <w:r>
        <w:rPr>
          <w:noProof/>
        </w:rPr>
        <w:fldChar w:fldCharType="end"/>
      </w:r>
      <w:r w:rsidR="00D00EA4">
        <w:t xml:space="preserve">.  De asemenea, Guvernul a considerat că reclamanta nu avea nicio așteptare legitimă deoarece, spre deosebire de cauzele </w:t>
      </w:r>
      <w:r w:rsidR="00D00EA4">
        <w:rPr>
          <w:i/>
          <w:iCs/>
        </w:rPr>
        <w:t xml:space="preserve">Străin și alții </w:t>
      </w:r>
      <w:r w:rsidR="00D00EA4">
        <w:t xml:space="preserve">(citată anterior, pct. 38) și </w:t>
      </w:r>
      <w:r w:rsidR="00D00EA4">
        <w:rPr>
          <w:i/>
          <w:iCs/>
        </w:rPr>
        <w:t>Porteanu împotriva României</w:t>
      </w:r>
      <w:r w:rsidR="00D00EA4">
        <w:t xml:space="preserve"> (nr. 4596/03, pct. 33, 16 februarie 2006), aceasta nu a beneficiat de o decizie irevocabilă prin care să se recunoască faptul că respectiva confiscare fusese nelegală. Reclamanta era „doar un simplu petent” [a se vedea </w:t>
      </w:r>
      <w:r w:rsidR="00D00EA4">
        <w:rPr>
          <w:i/>
          <w:iCs/>
        </w:rPr>
        <w:t>Pentia și Pentia împotriva României</w:t>
      </w:r>
      <w:r w:rsidR="00D00EA4">
        <w:t xml:space="preserve"> (dec.), nr. 57539/00, 23 martie 2006] și nu avea nicio așteptare legitimă bazată pe o hotărâre judecătorească sau pe o dispoziție legală pentru a revendica bunurile în cauză.</w:t>
      </w:r>
    </w:p>
    <w:p w:rsidR="00A32A85" w:rsidRDefault="00D00EA4" w:rsidP="00F45118">
      <w:pPr>
        <w:pStyle w:val="JuPara"/>
      </w:pPr>
      <w:r>
        <w:t>Guvernul a subliniat că, prin decizia din 11 februarie 2005 (</w:t>
      </w:r>
      <w:r>
        <w:rPr>
          <w:i/>
          <w:iCs/>
        </w:rPr>
        <w:t>supra</w:t>
      </w:r>
      <w:r>
        <w:t>, pct. 10), nu s-a constatat nelegalitatea confiscării. Acesta a invocat faptul că instanțele superioare au examinat cererile reclamantei și din perspectiva dispozițiilor</w:t>
      </w:r>
      <w:r w:rsidR="00331C20">
        <w:t xml:space="preserve"> </w:t>
      </w:r>
      <w:r>
        <w:t>art. 46 din Legea nr. 10/2001 privind legalitatea vânzărilor făcute cu bună-credință și în conformitate cu legislația în vigoare la momentul respectiv.</w:t>
      </w:r>
    </w:p>
    <w:p w:rsidR="00D00EA4" w:rsidRPr="00F45118" w:rsidRDefault="00275F6C" w:rsidP="00F45118">
      <w:pPr>
        <w:pStyle w:val="JuPara"/>
      </w:pPr>
      <w:r>
        <w:fldChar w:fldCharType="begin"/>
      </w:r>
      <w:r>
        <w:instrText xml:space="preserve"> SEQ level0 \*arabic </w:instrText>
      </w:r>
      <w:r>
        <w:fldChar w:fldCharType="separate"/>
      </w:r>
      <w:r w:rsidR="00331C20">
        <w:rPr>
          <w:noProof/>
        </w:rPr>
        <w:t>16</w:t>
      </w:r>
      <w:r>
        <w:rPr>
          <w:noProof/>
        </w:rPr>
        <w:fldChar w:fldCharType="end"/>
      </w:r>
      <w:r w:rsidR="00E0505E">
        <w:t>.  Reclamanta a contestat acest argument.</w:t>
      </w:r>
    </w:p>
    <w:p w:rsidR="004B0EDC" w:rsidRPr="00F45118" w:rsidRDefault="00275F6C" w:rsidP="00F45118">
      <w:pPr>
        <w:pStyle w:val="JuPara"/>
      </w:pPr>
      <w:r>
        <w:fldChar w:fldCharType="begin"/>
      </w:r>
      <w:r>
        <w:instrText xml:space="preserve"> SEQ level0 \*arabic </w:instrText>
      </w:r>
      <w:r>
        <w:fldChar w:fldCharType="separate"/>
      </w:r>
      <w:r w:rsidR="00331C20">
        <w:rPr>
          <w:noProof/>
        </w:rPr>
        <w:t>17</w:t>
      </w:r>
      <w:r>
        <w:rPr>
          <w:noProof/>
        </w:rPr>
        <w:fldChar w:fldCharType="end"/>
      </w:r>
      <w:r w:rsidR="004B0EDC">
        <w:t xml:space="preserve">.  Curtea constată că o excepție similară a Guvernului a fost respinsă în hotărârile </w:t>
      </w:r>
      <w:r w:rsidR="004B0EDC">
        <w:rPr>
          <w:i/>
          <w:iCs/>
        </w:rPr>
        <w:t>Reichardt împotriva României</w:t>
      </w:r>
      <w:r w:rsidR="004B0EDC">
        <w:t xml:space="preserve"> (nr. 6111/04, pct. 14-20, 13 noiembrie 2008) și </w:t>
      </w:r>
      <w:r w:rsidR="004B0EDC">
        <w:rPr>
          <w:i/>
          <w:iCs/>
        </w:rPr>
        <w:t>Popescu și Dimeca împotriva României</w:t>
      </w:r>
      <w:r w:rsidR="004B0EDC">
        <w:t xml:space="preserve"> (nr. 17799/03, pct. 21-24, 9 decembrie 2008). În special, Curtea observă că decizia din 11 </w:t>
      </w:r>
      <w:r w:rsidR="004B0EDC">
        <w:lastRenderedPageBreak/>
        <w:t>februarie 2005 invocată de Guvern a confirmat hotărârea judecătoriei din 16 iunie 2003, care recunoscuse nelegalitatea confiscării (</w:t>
      </w:r>
      <w:r w:rsidR="004B0EDC">
        <w:rPr>
          <w:i/>
          <w:iCs/>
        </w:rPr>
        <w:t>supra</w:t>
      </w:r>
      <w:r w:rsidR="004B0EDC">
        <w:t>, pct. 9).</w:t>
      </w:r>
    </w:p>
    <w:p w:rsidR="008B0FD8" w:rsidRPr="00F45118" w:rsidRDefault="00275F6C" w:rsidP="00F45118">
      <w:pPr>
        <w:pStyle w:val="JuPara"/>
      </w:pPr>
      <w:r>
        <w:fldChar w:fldCharType="begin"/>
      </w:r>
      <w:r>
        <w:instrText xml:space="preserve"> SEQ level0 \*arabic </w:instrText>
      </w:r>
      <w:r>
        <w:fldChar w:fldCharType="separate"/>
      </w:r>
      <w:r w:rsidR="00331C20">
        <w:rPr>
          <w:noProof/>
        </w:rPr>
        <w:t>18</w:t>
      </w:r>
      <w:r>
        <w:rPr>
          <w:noProof/>
        </w:rPr>
        <w:fldChar w:fldCharType="end"/>
      </w:r>
      <w:r w:rsidR="008B0FD8">
        <w:t>.  Curtea reamintește că, în jurisprudența sa constantă în materie similară celei din prezenta cauză, a examinat dacă nelegalitatea naționalizării în cauză a fost recunoscută printr-o hotărâre definitivă, fie în motivare, fie în dispozitivul acesteia. Curtea nu a făcut nicio distincție în ceea ce privește partea din hotărârea definitivă în care a fost examinată legalitatea confiscării. Prin urmare, Curtea nu găsește niciun motiv să se abată de la concluzia sa în cauzele menționate și respinge excepția Guvernului.</w:t>
      </w:r>
    </w:p>
    <w:p w:rsidR="00F71A6A" w:rsidRPr="00F45118" w:rsidRDefault="00275F6C" w:rsidP="00F45118">
      <w:pPr>
        <w:pStyle w:val="JuPara"/>
      </w:pPr>
      <w:r>
        <w:fldChar w:fldCharType="begin"/>
      </w:r>
      <w:r>
        <w:instrText xml:space="preserve"> SEQ level0 \*arabic </w:instrText>
      </w:r>
      <w:r>
        <w:fldChar w:fldCharType="separate"/>
      </w:r>
      <w:r w:rsidR="00331C20">
        <w:rPr>
          <w:noProof/>
        </w:rPr>
        <w:t>19</w:t>
      </w:r>
      <w:r>
        <w:rPr>
          <w:noProof/>
        </w:rPr>
        <w:fldChar w:fldCharType="end"/>
      </w:r>
      <w:r w:rsidR="0029524D">
        <w:t>.  Curtea concluzionează că acest capăt de cerere nu este în mod vădit nefondat în sensul art. 35 § 3 din Convenție și nu prezintă niciun alt motiv de inadmisibilitate. Prin urmare, trebuie să fie declarat admisibil.</w:t>
      </w:r>
    </w:p>
    <w:p w:rsidR="00F71A6A" w:rsidRPr="00F45118" w:rsidRDefault="00F71A6A" w:rsidP="00F45118">
      <w:pPr>
        <w:pStyle w:val="JuHA"/>
      </w:pPr>
      <w:r>
        <w:t>B. Cu privire la fond</w:t>
      </w:r>
    </w:p>
    <w:p w:rsidR="00F71A6A" w:rsidRPr="00F45118" w:rsidRDefault="00275F6C" w:rsidP="00F45118">
      <w:pPr>
        <w:pStyle w:val="JuPara"/>
      </w:pPr>
      <w:r>
        <w:fldChar w:fldCharType="begin"/>
      </w:r>
      <w:r>
        <w:instrText xml:space="preserve"> SEQ level0 \*arabic </w:instrText>
      </w:r>
      <w:r>
        <w:fldChar w:fldCharType="separate"/>
      </w:r>
      <w:r w:rsidR="00331C20">
        <w:rPr>
          <w:noProof/>
        </w:rPr>
        <w:t>20</w:t>
      </w:r>
      <w:r>
        <w:rPr>
          <w:noProof/>
        </w:rPr>
        <w:fldChar w:fldCharType="end"/>
      </w:r>
      <w:r w:rsidR="0029524D">
        <w:t>.  Guvernul a reiterat argumentele pe care le prezentase anterior în cauze similare.</w:t>
      </w:r>
    </w:p>
    <w:p w:rsidR="008E05A3" w:rsidRPr="00F45118" w:rsidRDefault="00275F6C" w:rsidP="00F45118">
      <w:pPr>
        <w:pStyle w:val="JuPara"/>
      </w:pPr>
      <w:r>
        <w:fldChar w:fldCharType="begin"/>
      </w:r>
      <w:r>
        <w:instrText xml:space="preserve"> SEQ level0 \*arabic </w:instrText>
      </w:r>
      <w:r>
        <w:fldChar w:fldCharType="separate"/>
      </w:r>
      <w:r w:rsidR="00331C20">
        <w:rPr>
          <w:noProof/>
        </w:rPr>
        <w:t>21</w:t>
      </w:r>
      <w:r>
        <w:rPr>
          <w:noProof/>
        </w:rPr>
        <w:fldChar w:fldCharType="end"/>
      </w:r>
      <w:r w:rsidR="0029524D">
        <w:t>.  Reclamanta a contestat aceste argumente.</w:t>
      </w:r>
    </w:p>
    <w:p w:rsidR="00F71A6A" w:rsidRPr="00F45118" w:rsidRDefault="00275F6C" w:rsidP="00F45118">
      <w:pPr>
        <w:pStyle w:val="JuPara"/>
      </w:pPr>
      <w:r>
        <w:fldChar w:fldCharType="begin"/>
      </w:r>
      <w:r>
        <w:instrText xml:space="preserve"> SEQ level0 \*arabic </w:instrText>
      </w:r>
      <w:r>
        <w:fldChar w:fldCharType="separate"/>
      </w:r>
      <w:r w:rsidR="00331C20">
        <w:rPr>
          <w:noProof/>
        </w:rPr>
        <w:t>22</w:t>
      </w:r>
      <w:r>
        <w:rPr>
          <w:noProof/>
        </w:rPr>
        <w:fldChar w:fldCharType="end"/>
      </w:r>
      <w:r w:rsidR="0029524D">
        <w:t xml:space="preserve">.  Curtea reiterează că, potrivit jurisprudenței sale, vânzarea de către stat a bunurilor unei persoane, chiar înainte ca problema proprietății să fi fost soluționată definitiv de către instanțe, constituie o privare de proprietate. Această privare, coroborată cu lipsa totală a unei despăgubiri, este contrară art. 1 din Protocolul nr. 1 (a se vedea </w:t>
      </w:r>
      <w:r w:rsidR="0029524D">
        <w:rPr>
          <w:i/>
        </w:rPr>
        <w:t xml:space="preserve">Străin </w:t>
      </w:r>
      <w:r w:rsidR="00AC555E">
        <w:rPr>
          <w:i/>
        </w:rPr>
        <w:t>și</w:t>
      </w:r>
      <w:r w:rsidR="0029524D">
        <w:rPr>
          <w:i/>
        </w:rPr>
        <w:t xml:space="preserve"> </w:t>
      </w:r>
      <w:r w:rsidR="00AC555E">
        <w:rPr>
          <w:i/>
        </w:rPr>
        <w:t>alții</w:t>
      </w:r>
      <w:r w:rsidR="0029524D">
        <w:t xml:space="preserve">, citată anterior, pct. 39, 43 și 59, și </w:t>
      </w:r>
      <w:r w:rsidR="0029524D">
        <w:rPr>
          <w:i/>
        </w:rPr>
        <w:t>Porteanu,</w:t>
      </w:r>
      <w:r w:rsidR="00331C20">
        <w:rPr>
          <w:i/>
        </w:rPr>
        <w:t xml:space="preserve"> </w:t>
      </w:r>
      <w:r w:rsidR="0029524D">
        <w:t>citată anterior, pct. 35).</w:t>
      </w:r>
    </w:p>
    <w:p w:rsidR="00F71A6A" w:rsidRPr="00F45118" w:rsidRDefault="00275F6C" w:rsidP="00F45118">
      <w:pPr>
        <w:pStyle w:val="JuPara"/>
      </w:pPr>
      <w:r>
        <w:fldChar w:fldCharType="begin"/>
      </w:r>
      <w:r>
        <w:instrText xml:space="preserve"> SEQ level0 \*arabic </w:instrText>
      </w:r>
      <w:r>
        <w:fldChar w:fldCharType="separate"/>
      </w:r>
      <w:r w:rsidR="00331C20">
        <w:rPr>
          <w:noProof/>
        </w:rPr>
        <w:t>23</w:t>
      </w:r>
      <w:r>
        <w:rPr>
          <w:noProof/>
        </w:rPr>
        <w:fldChar w:fldCharType="end"/>
      </w:r>
      <w:r w:rsidR="0029524D">
        <w:t xml:space="preserve">.  După ce a examinat întregul material care i-a fost pus la dispoziție, Curtea apreciază că Guvernul nu a prezentat niciun fapt sau argument în măsură să o convingă să ajungă la o concluzie diferită în speță. Vânzarea de către stat a bunurilor reclamantei moștenite de la I.A. o împiedică în continuare să se bucure de dreptul său de proprietate recunoscut printr-o hotărâre definitivă. Curtea consideră că o astfel de situație echivalează cu o privare de proprietate </w:t>
      </w:r>
      <w:r w:rsidR="0029524D">
        <w:rPr>
          <w:i/>
          <w:iCs/>
        </w:rPr>
        <w:t>de facto</w:t>
      </w:r>
      <w:r w:rsidR="0029524D">
        <w:t xml:space="preserve"> și constată că aceasta a continuat mai mult de patru ani, fără să fi fost acordată vreo despăgubire.</w:t>
      </w:r>
    </w:p>
    <w:p w:rsidR="00F71A6A" w:rsidRPr="00F45118" w:rsidRDefault="00275F6C" w:rsidP="00F45118">
      <w:pPr>
        <w:pStyle w:val="JuPara"/>
      </w:pPr>
      <w:r>
        <w:fldChar w:fldCharType="begin"/>
      </w:r>
      <w:r>
        <w:instrText xml:space="preserve"> SEQ level0 \*arabic </w:instrText>
      </w:r>
      <w:r>
        <w:fldChar w:fldCharType="separate"/>
      </w:r>
      <w:r w:rsidR="00331C20">
        <w:rPr>
          <w:noProof/>
        </w:rPr>
        <w:t>24</w:t>
      </w:r>
      <w:r>
        <w:rPr>
          <w:noProof/>
        </w:rPr>
        <w:fldChar w:fldCharType="end"/>
      </w:r>
      <w:r w:rsidR="0029524D">
        <w:t>.  Curtea observă că, până în prezent, Guvernul nu a demonstrat că sistemul de despăgubiri instituit în iulie 2005 prin</w:t>
      </w:r>
      <w:r w:rsidR="00331C20">
        <w:t xml:space="preserve"> </w:t>
      </w:r>
      <w:r w:rsidR="0029524D">
        <w:t>Legea nr. 247/2005 ar permite beneficiarilor acestui sistem să recupereze despăgubiri care să reflecte valoarea comercială a bunurilor de care au fost privați, în conformitate cu o procedură și un calendar previzibile.</w:t>
      </w:r>
    </w:p>
    <w:p w:rsidR="008B0FD8" w:rsidRPr="00F45118" w:rsidRDefault="00275F6C" w:rsidP="00F45118">
      <w:pPr>
        <w:pStyle w:val="JuPara"/>
      </w:pPr>
      <w:r>
        <w:fldChar w:fldCharType="begin"/>
      </w:r>
      <w:r>
        <w:instrText xml:space="preserve"> SEQ level0 \*arabic </w:instrText>
      </w:r>
      <w:r>
        <w:fldChar w:fldCharType="separate"/>
      </w:r>
      <w:r w:rsidR="00331C20">
        <w:rPr>
          <w:noProof/>
        </w:rPr>
        <w:t>25</w:t>
      </w:r>
      <w:r>
        <w:rPr>
          <w:noProof/>
        </w:rPr>
        <w:fldChar w:fldCharType="end"/>
      </w:r>
      <w:r w:rsidR="008B0FD8">
        <w:t>.  Având în vedere jurisprudența sa în materie, Curtea consideră că, în prezenta cauză, privarea reclamantei de bunurile sale, coroborată cu lipsa totală a unei despăgubiri, i-a impus reclamantei o sarcină disproporționată și excesivă, cu încălcarea dreptului acesteia la respectarea bunurilor sale, astfel cum este garantat la art. 1din Protocolul nr. 1.</w:t>
      </w:r>
    </w:p>
    <w:p w:rsidR="008B0FD8" w:rsidRPr="00F45118" w:rsidRDefault="008B0FD8" w:rsidP="00F45118">
      <w:pPr>
        <w:pStyle w:val="JuPara"/>
      </w:pPr>
      <w:r>
        <w:t>Prin urmare, a fost încălcat art. 1 din Protocolul nr. 1.</w:t>
      </w:r>
    </w:p>
    <w:p w:rsidR="00F71A6A" w:rsidRPr="00F45118" w:rsidRDefault="008E3EFF" w:rsidP="00F45118">
      <w:pPr>
        <w:pStyle w:val="JuHIRoman"/>
      </w:pPr>
      <w:r>
        <w:lastRenderedPageBreak/>
        <w:t>II.  CU PRIVIRE LA CELELALTE PRETINSE ÎNCĂLCĂRI ALE CONVENȚIEI</w:t>
      </w:r>
    </w:p>
    <w:p w:rsidR="00F71A6A" w:rsidRPr="00F45118" w:rsidRDefault="00275F6C" w:rsidP="00F45118">
      <w:pPr>
        <w:pStyle w:val="JuPara"/>
      </w:pPr>
      <w:r>
        <w:fldChar w:fldCharType="begin"/>
      </w:r>
      <w:r>
        <w:instrText xml:space="preserve"> SEQ level0 \*arabic </w:instrText>
      </w:r>
      <w:r>
        <w:fldChar w:fldCharType="separate"/>
      </w:r>
      <w:r w:rsidR="00331C20">
        <w:rPr>
          <w:noProof/>
        </w:rPr>
        <w:t>26</w:t>
      </w:r>
      <w:r>
        <w:rPr>
          <w:noProof/>
        </w:rPr>
        <w:fldChar w:fldCharType="end"/>
      </w:r>
      <w:r w:rsidR="0029524D">
        <w:t>.  Reclamanta s-a plâns în temeiul art. 6 § 1 din Convenție că procedura și soluția au fost inechitabile, și că instanțele interne nu au apreciat în mod corect faptele și au interpretat în mod greșit dreptul intern.</w:t>
      </w:r>
    </w:p>
    <w:p w:rsidR="008E3EFF" w:rsidRPr="00F45118" w:rsidRDefault="00275F6C" w:rsidP="00F45118">
      <w:pPr>
        <w:pStyle w:val="JuPara"/>
      </w:pPr>
      <w:r>
        <w:fldChar w:fldCharType="begin"/>
      </w:r>
      <w:r>
        <w:instrText xml:space="preserve"> SEQ level0 \*arabic </w:instrText>
      </w:r>
      <w:r>
        <w:fldChar w:fldCharType="separate"/>
      </w:r>
      <w:r w:rsidR="00331C20">
        <w:rPr>
          <w:noProof/>
        </w:rPr>
        <w:t>27</w:t>
      </w:r>
      <w:r>
        <w:rPr>
          <w:noProof/>
        </w:rPr>
        <w:fldChar w:fldCharType="end"/>
      </w:r>
      <w:r w:rsidR="008E3EFF">
        <w:t>.  După examinarea argumentelor reclamantei în lumina tuturor elementelor de care dispune și în măsura în care este competentă să se pronunțe cu privire la aspectele invocate, Curtea consideră că acestea nu indică nicio aparentă încălcare a drepturilor și a libertăților stabilite în Convenție.</w:t>
      </w:r>
    </w:p>
    <w:p w:rsidR="008E3EFF" w:rsidRPr="00F45118" w:rsidRDefault="008E3EFF" w:rsidP="00F45118">
      <w:pPr>
        <w:pStyle w:val="JuPara"/>
      </w:pPr>
      <w:r>
        <w:t>Rezultă că acest capăt de cerere este în mod vădit nefondat și trebuie respins în conformitate cu art. 35 § 3 și 4 din Convenție.</w:t>
      </w:r>
    </w:p>
    <w:p w:rsidR="00F71A6A" w:rsidRPr="00F45118" w:rsidRDefault="008E3EFF" w:rsidP="00F45118">
      <w:pPr>
        <w:pStyle w:val="JuHIRoman"/>
      </w:pPr>
      <w:r>
        <w:t>III.  CU PRIVIRE LA APLICAREA ART. 41 DIN CONVENȚIE</w:t>
      </w:r>
    </w:p>
    <w:p w:rsidR="00F71A6A" w:rsidRPr="00F45118" w:rsidRDefault="00275F6C" w:rsidP="00F45118">
      <w:pPr>
        <w:pStyle w:val="JuPara"/>
        <w:keepNext/>
        <w:keepLines/>
      </w:pPr>
      <w:r>
        <w:fldChar w:fldCharType="begin"/>
      </w:r>
      <w:r>
        <w:instrText xml:space="preserve"> SEQ level0 \*arabic </w:instrText>
      </w:r>
      <w:r>
        <w:fldChar w:fldCharType="separate"/>
      </w:r>
      <w:r w:rsidR="00331C20">
        <w:rPr>
          <w:noProof/>
        </w:rPr>
        <w:t>28</w:t>
      </w:r>
      <w:r>
        <w:rPr>
          <w:noProof/>
        </w:rPr>
        <w:fldChar w:fldCharType="end"/>
      </w:r>
      <w:r w:rsidR="0029524D">
        <w:t>.  Art. 41 din Convenție prevede:</w:t>
      </w:r>
    </w:p>
    <w:p w:rsidR="00F71A6A" w:rsidRPr="00F45118" w:rsidRDefault="00F71A6A" w:rsidP="00F45118">
      <w:pPr>
        <w:pStyle w:val="JuQuot"/>
        <w:keepNext/>
        <w:keepLines/>
      </w:pPr>
      <w:r>
        <w:t>„Dacă Curtea declară că a avut loc o încălcare a Convenției sau a protocoalelor sale și dacă dreptul intern al înaltei părți contractante nu permite decât o înlăturare incompletă a consecințelor acestei încălcări, Curtea acordă părții lezate, dacă este cazul, o reparație echitabilă.”</w:t>
      </w:r>
    </w:p>
    <w:p w:rsidR="00F71A6A" w:rsidRPr="00F45118" w:rsidRDefault="00275F6C" w:rsidP="00F45118">
      <w:pPr>
        <w:pStyle w:val="JuPara"/>
      </w:pPr>
      <w:r>
        <w:fldChar w:fldCharType="begin"/>
      </w:r>
      <w:r>
        <w:instrText xml:space="preserve"> SEQ level0 \*arabic </w:instrText>
      </w:r>
      <w:r>
        <w:fldChar w:fldCharType="separate"/>
      </w:r>
      <w:r w:rsidR="00331C20">
        <w:rPr>
          <w:noProof/>
        </w:rPr>
        <w:t>29</w:t>
      </w:r>
      <w:r>
        <w:rPr>
          <w:noProof/>
        </w:rPr>
        <w:fldChar w:fldCharType="end"/>
      </w:r>
      <w:r w:rsidR="0029524D">
        <w:t>.  Reclamanta a solicitat repunerea în posesie a proprietății sale constituite din „clădire și teren” sau, în caz că acest lucru ar fi imposibil, suma de 1 464 000 euro (EUR), pe baza unui raport de expertiză din februarie 2007. Potrivit acestui raport de expertiză, care a fost semnat și de un expert al Ministerului Culturii, clădirea a fost inclusă în Lista monumentelor istorice din 2004, ca monument istoric din categoria „B”. Reclamanta a susținut că Guvernul nu a luat în considerare acest aspect. În plus, reclamanta a solicitat 422 496 EUR pentru foloasele nerealizate și lipsa de folosință a proprietății sale timp de trei ani. Aceasta a solicitat 500 000 EUR cu titlu de despăgubire pentru prejudiciu moral.</w:t>
      </w:r>
    </w:p>
    <w:p w:rsidR="002355E1" w:rsidRPr="00F45118" w:rsidRDefault="002355E1" w:rsidP="00F45118">
      <w:pPr>
        <w:pStyle w:val="JuPara"/>
      </w:pPr>
      <w:r>
        <w:t>Prin scrisoarea din 30 noiembrie 2007, reclamanta a susținut că raportul de expertiză prezentat de Guvern nu a luat în considerare parcelele de teren anexe.</w:t>
      </w:r>
    </w:p>
    <w:p w:rsidR="00F0193A" w:rsidRPr="00F45118" w:rsidRDefault="00275F6C" w:rsidP="00F45118">
      <w:pPr>
        <w:pStyle w:val="JuPara"/>
      </w:pPr>
      <w:r>
        <w:fldChar w:fldCharType="begin"/>
      </w:r>
      <w:r>
        <w:instrText xml:space="preserve"> SEQ level0 \*arabic </w:instrText>
      </w:r>
      <w:r>
        <w:fldChar w:fldCharType="separate"/>
      </w:r>
      <w:r w:rsidR="00331C20">
        <w:rPr>
          <w:noProof/>
        </w:rPr>
        <w:t>30</w:t>
      </w:r>
      <w:r>
        <w:rPr>
          <w:noProof/>
        </w:rPr>
        <w:fldChar w:fldCharType="end"/>
      </w:r>
      <w:r w:rsidR="00F0193A">
        <w:t>.  De asemenea, reclamanta a solicitat 9 053 lei românești pentru onorariul avocatului și pentru raportul de expertiză. Aceasta a prezentat facturi și copii ale contractelor de asistență judiciară.</w:t>
      </w:r>
    </w:p>
    <w:p w:rsidR="00F71A6A" w:rsidRPr="00F45118" w:rsidRDefault="00275F6C" w:rsidP="00F45118">
      <w:pPr>
        <w:pStyle w:val="JuPara"/>
      </w:pPr>
      <w:r>
        <w:fldChar w:fldCharType="begin"/>
      </w:r>
      <w:r>
        <w:instrText xml:space="preserve"> SEQ level0 \*arabic </w:instrText>
      </w:r>
      <w:r>
        <w:fldChar w:fldCharType="separate"/>
      </w:r>
      <w:r w:rsidR="00331C20">
        <w:rPr>
          <w:noProof/>
        </w:rPr>
        <w:t>31</w:t>
      </w:r>
      <w:r>
        <w:rPr>
          <w:noProof/>
        </w:rPr>
        <w:fldChar w:fldCharType="end"/>
      </w:r>
      <w:r w:rsidR="0029524D">
        <w:t>.  Guvernul a considerat, în conformitate cu propriul său raport de expertiză din septembrie 2007 bazat pe o evaluare teoretică a valorii, că valoarea proprietății fără TVA era de 259 603 EUR.</w:t>
      </w:r>
    </w:p>
    <w:p w:rsidR="00622859" w:rsidRPr="00F45118" w:rsidRDefault="00622859" w:rsidP="00F45118">
      <w:pPr>
        <w:pStyle w:val="JuPara"/>
      </w:pPr>
      <w:r>
        <w:t xml:space="preserve">De asemenea, acesta a considerat că cererea privind foloasele nerealizate ar trebui respinsă. În plus, suma pretinsă cu titlu de despăgubire pentru prejudiciul moral era excesivă. </w:t>
      </w:r>
    </w:p>
    <w:p w:rsidR="00622859" w:rsidRPr="00F45118" w:rsidRDefault="00275F6C" w:rsidP="00F45118">
      <w:pPr>
        <w:pStyle w:val="JuPara"/>
      </w:pPr>
      <w:r>
        <w:lastRenderedPageBreak/>
        <w:fldChar w:fldCharType="begin"/>
      </w:r>
      <w:r>
        <w:instrText xml:space="preserve"> SEQ level0 \*arabic </w:instrText>
      </w:r>
      <w:r>
        <w:fldChar w:fldCharType="separate"/>
      </w:r>
      <w:r w:rsidR="00331C20">
        <w:rPr>
          <w:noProof/>
        </w:rPr>
        <w:t>32</w:t>
      </w:r>
      <w:r>
        <w:rPr>
          <w:noProof/>
        </w:rPr>
        <w:fldChar w:fldCharType="end"/>
      </w:r>
      <w:r w:rsidR="00622859">
        <w:t>.  Guvernul a contestat cererea de rambursare a cheltuielilor de judecată pe motiv că este nefondată, că reclamantul nu a prezentat copii ale contractelor de asistență judiciară, care ar fi permis Curții să stabilească dacă cheltuielile au fost efectuate în cadrul procedurii interne sau în cadrul procedurii în fața Curții. Mai mult, suma solicitată pentru onorariul avocatului era excesivă.</w:t>
      </w:r>
    </w:p>
    <w:p w:rsidR="00F71A6A" w:rsidRPr="00F45118" w:rsidRDefault="00275F6C" w:rsidP="00F45118">
      <w:pPr>
        <w:pStyle w:val="JuPara"/>
      </w:pPr>
      <w:r>
        <w:fldChar w:fldCharType="begin"/>
      </w:r>
      <w:r>
        <w:instrText xml:space="preserve"> SEQ level0 \*arabic </w:instrText>
      </w:r>
      <w:r>
        <w:fldChar w:fldCharType="separate"/>
      </w:r>
      <w:r w:rsidR="00331C20">
        <w:rPr>
          <w:noProof/>
        </w:rPr>
        <w:t>33</w:t>
      </w:r>
      <w:r>
        <w:rPr>
          <w:noProof/>
        </w:rPr>
        <w:fldChar w:fldCharType="end"/>
      </w:r>
      <w:r w:rsidR="0029524D">
        <w:t>.  Ținând seama de circumstanțele cauzei și având în vedere declarațiile părților, Curtea consideră că nu se poate pronunța cu privire la aspectul aplicării art. 41 din Convenție și rezervă pronunțarea, luând în considerare posibilitatea ajungerii la un acord între statul pârât și reclamantă (art. 75 § 1 din Regulamentul Curții).</w:t>
      </w:r>
    </w:p>
    <w:p w:rsidR="00F71A6A" w:rsidRPr="00F45118" w:rsidRDefault="00E0505E" w:rsidP="00F45118">
      <w:pPr>
        <w:pStyle w:val="JuHHead"/>
      </w:pPr>
      <w:r>
        <w:t>PENTRU ACESTE MOTIVE, CURTEA, ÎN UNANIMITATE,</w:t>
      </w:r>
    </w:p>
    <w:p w:rsidR="00F71A6A" w:rsidRPr="00F45118" w:rsidRDefault="00F71A6A" w:rsidP="00F45118">
      <w:pPr>
        <w:pStyle w:val="JuList"/>
      </w:pPr>
      <w:r>
        <w:t>1.  </w:t>
      </w:r>
      <w:r>
        <w:rPr>
          <w:i/>
        </w:rPr>
        <w:t>Declară</w:t>
      </w:r>
      <w:r>
        <w:t xml:space="preserve"> admisibil capătul de cerere formulat în temeiul art. 1 din Protocolul nr. 1 și inadmisibile celelalte capete de cerere;</w:t>
      </w:r>
    </w:p>
    <w:p w:rsidR="00F71A6A" w:rsidRPr="00F45118" w:rsidRDefault="00F71A6A" w:rsidP="00F45118">
      <w:pPr>
        <w:pStyle w:val="JuList"/>
      </w:pPr>
    </w:p>
    <w:p w:rsidR="00F71A6A" w:rsidRPr="00F45118" w:rsidRDefault="00F71A6A" w:rsidP="00F45118">
      <w:pPr>
        <w:pStyle w:val="JuList"/>
      </w:pPr>
      <w:r>
        <w:t>2.  </w:t>
      </w:r>
      <w:r>
        <w:rPr>
          <w:i/>
          <w:iCs/>
        </w:rPr>
        <w:t>Hotărăște</w:t>
      </w:r>
      <w:r>
        <w:t xml:space="preserve"> că a fost încălcat art. 1 din Protocolul nr. 1 la Convenție;</w:t>
      </w:r>
    </w:p>
    <w:p w:rsidR="00F71A6A" w:rsidRPr="00F45118" w:rsidRDefault="00F71A6A" w:rsidP="00F45118">
      <w:pPr>
        <w:pStyle w:val="JuList"/>
      </w:pPr>
    </w:p>
    <w:p w:rsidR="00D340C3" w:rsidRPr="00F45118" w:rsidRDefault="00D340C3" w:rsidP="00F45118">
      <w:pPr>
        <w:pStyle w:val="JuList"/>
      </w:pPr>
      <w:r>
        <w:t>3.  </w:t>
      </w:r>
      <w:r>
        <w:rPr>
          <w:i/>
        </w:rPr>
        <w:t>Hotărăște</w:t>
      </w:r>
      <w:r>
        <w:t xml:space="preserve"> că nu se poate pronunța cu privire la aspectul aplicării art. 41;</w:t>
      </w:r>
    </w:p>
    <w:p w:rsidR="00D340C3" w:rsidRPr="00F45118" w:rsidRDefault="00D340C3" w:rsidP="00F45118">
      <w:pPr>
        <w:pStyle w:val="JuList"/>
      </w:pPr>
      <w:r>
        <w:t>      în consecință,</w:t>
      </w:r>
    </w:p>
    <w:p w:rsidR="00D340C3" w:rsidRPr="00F45118" w:rsidRDefault="00D340C3" w:rsidP="00F45118">
      <w:pPr>
        <w:pStyle w:val="JuLista"/>
      </w:pPr>
      <w:r>
        <w:t>a)  </w:t>
      </w:r>
      <w:r>
        <w:rPr>
          <w:i/>
        </w:rPr>
        <w:t xml:space="preserve">rezervă </w:t>
      </w:r>
      <w:r>
        <w:t>pronunțarea cu privire la acest aspect;</w:t>
      </w:r>
    </w:p>
    <w:p w:rsidR="00331C20" w:rsidRDefault="00D340C3" w:rsidP="00F45118">
      <w:pPr>
        <w:pStyle w:val="JuLista"/>
      </w:pPr>
      <w:r>
        <w:t>b)  </w:t>
      </w:r>
      <w:r>
        <w:rPr>
          <w:i/>
        </w:rPr>
        <w:t>solicită</w:t>
      </w:r>
      <w:r>
        <w:t xml:space="preserve"> Guvernului și reclamantei să prezinte, în termen de trei luni de la data rămânerii definitive a hotărârii, în conformitate cu art. 44 § 2 din Convenție, propriile observații scrise cu privire la aspectul respectiv și, în special, să informeze Curtea cu privire la orice acord la care ar putea ajunge;</w:t>
      </w:r>
    </w:p>
    <w:p w:rsidR="00F71A6A" w:rsidRPr="00F45118" w:rsidRDefault="00E0505E" w:rsidP="00F45118">
      <w:pPr>
        <w:pStyle w:val="JuLista"/>
      </w:pPr>
      <w:r>
        <w:t>c)  </w:t>
      </w:r>
      <w:r>
        <w:rPr>
          <w:i/>
        </w:rPr>
        <w:t xml:space="preserve">rezervă pronunțarea </w:t>
      </w:r>
      <w:r>
        <w:t xml:space="preserve">privind procedura ulterioară și </w:t>
      </w:r>
      <w:r>
        <w:rPr>
          <w:i/>
        </w:rPr>
        <w:t>deleagă</w:t>
      </w:r>
      <w:r>
        <w:t xml:space="preserve"> președintelui Camerei competența de soluționare, în cazul în care este necesar.</w:t>
      </w:r>
    </w:p>
    <w:p w:rsidR="00331C20" w:rsidRDefault="00F71A6A" w:rsidP="00331C20">
      <w:pPr>
        <w:pStyle w:val="JuParaLast"/>
      </w:pPr>
      <w:r>
        <w:t>Redactată în limba engleză, apoi comunicată în scris, la 24 noiembrie 2009, în temeiul art. 77 § 2 și 3 din Regulamentul Curții.</w:t>
      </w:r>
    </w:p>
    <w:p w:rsidR="0079187F" w:rsidRPr="00F45118" w:rsidRDefault="00325C2B" w:rsidP="00331C20">
      <w:pPr>
        <w:pStyle w:val="JuParaLast"/>
        <w:jc w:val="left"/>
      </w:pPr>
      <w:r>
        <w:tab/>
        <w:t>Stanley Naismith</w:t>
      </w:r>
      <w:r>
        <w:tab/>
      </w:r>
      <w:r w:rsidR="00331C20">
        <w:tab/>
      </w:r>
      <w:r w:rsidR="00331C20">
        <w:tab/>
      </w:r>
      <w:r w:rsidR="00331C20">
        <w:tab/>
      </w:r>
      <w:r w:rsidR="00331C20">
        <w:tab/>
      </w:r>
      <w:r>
        <w:t>Josep</w:t>
      </w:r>
      <w:r w:rsidR="00331C20">
        <w:t xml:space="preserve"> </w:t>
      </w:r>
      <w:r>
        <w:t>Casadeval</w:t>
      </w:r>
      <w:r>
        <w:br/>
      </w:r>
      <w:r>
        <w:tab/>
        <w:t>Grefier adjunct</w:t>
      </w:r>
      <w:r>
        <w:tab/>
      </w:r>
      <w:r w:rsidR="00331C20">
        <w:tab/>
      </w:r>
      <w:r w:rsidR="00331C20">
        <w:tab/>
      </w:r>
      <w:r w:rsidR="00331C20">
        <w:tab/>
      </w:r>
      <w:r w:rsidR="00331C20">
        <w:tab/>
      </w:r>
      <w:r>
        <w:t>Președinte</w:t>
      </w:r>
    </w:p>
    <w:sectPr w:rsidR="0079187F" w:rsidRPr="00F45118" w:rsidSect="00E0505E">
      <w:headerReference w:type="even" r:id="rId11"/>
      <w:headerReference w:type="default" r:id="rId12"/>
      <w:footnotePr>
        <w:numRestart w:val="eachPage"/>
      </w:footnotePr>
      <w:pgSz w:w="11906" w:h="16838" w:code="9"/>
      <w:pgMar w:top="2274" w:right="2274" w:bottom="2274" w:left="2274" w:header="1701" w:footer="720" w:gutter="0"/>
      <w:pgNumType w:start="1"/>
      <w:cols w:space="720"/>
      <w:docGrid w:linePitch="78"/>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275F6C" w:rsidRDefault="00275F6C">
      <w:r>
        <w:separator/>
      </w:r>
    </w:p>
  </w:endnote>
  <w:endnote w:type="continuationSeparator" w:id="0">
    <w:p w:rsidR="00275F6C" w:rsidRDefault="00275F6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ourier">
    <w:panose1 w:val="02070409020205020404"/>
    <w:charset w:val="00"/>
    <w:family w:val="modern"/>
    <w:notTrueType/>
    <w:pitch w:val="fixed"/>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200247B" w:usb2="00000009" w:usb3="00000000" w:csb0="000001FF" w:csb1="00000000"/>
  </w:font>
  <w:font w:name="MS Mincho">
    <w:altName w:val="Yu Gothic UI"/>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F6402" w:rsidRPr="00150BFA" w:rsidRDefault="007F6402" w:rsidP="007F6402">
    <w:pPr>
      <w:jc w:val="center"/>
    </w:pPr>
    <w:r>
      <w:rPr>
        <w:noProof/>
        <w:lang w:val="en-US"/>
      </w:rPr>
      <w:drawing>
        <wp:inline distT="0" distB="0" distL="0" distR="0" wp14:anchorId="1AFF8D8C" wp14:editId="58E5FB7D">
          <wp:extent cx="771525" cy="619125"/>
          <wp:effectExtent l="0" t="0" r="9525" b="9525"/>
          <wp:docPr id="3" name="Picture 3" descr="R:\1_Graphics&amp;Web\Court_Graphic_Charter\2013\ECHR_Stationery\Documents_and_Letters\Cover_Pages_And_Docs\White_600_dpi\ECHR_CoverpageCS61_ECHR_Coverpage_Footer_COE_Black.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R:\1_Graphics&amp;Web\Court_Graphic_Charter\2013\ECHR_Stationery\Documents_and_Letters\Cover_Pages_And_Docs\White_600_dpi\ECHR_CoverpageCS61_ECHR_Coverpage_Footer_COE_Black.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71525" cy="619125"/>
                  </a:xfrm>
                  <a:prstGeom prst="rect">
                    <a:avLst/>
                  </a:prstGeom>
                  <a:noFill/>
                  <a:ln>
                    <a:noFill/>
                  </a:ln>
                </pic:spPr>
              </pic:pic>
            </a:graphicData>
          </a:graphic>
        </wp:inline>
      </w:drawing>
    </w:r>
  </w:p>
  <w:p w:rsidR="007F6402" w:rsidRDefault="007F6402" w:rsidP="007F6402">
    <w:pPr>
      <w:pStyle w:val="Footer"/>
    </w:pPr>
  </w:p>
  <w:p w:rsidR="007F6402" w:rsidRDefault="007F640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275F6C" w:rsidRDefault="00275F6C">
      <w:r>
        <w:separator/>
      </w:r>
    </w:p>
  </w:footnote>
  <w:footnote w:type="continuationSeparator" w:id="0">
    <w:p w:rsidR="00275F6C" w:rsidRDefault="00275F6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31C20" w:rsidRDefault="00331C20" w:rsidP="00331C20">
    <w:pPr>
      <w:jc w:val="right"/>
      <w:rPr>
        <w:i/>
        <w:iCs/>
      </w:rPr>
    </w:pPr>
    <w:r>
      <w:rPr>
        <w:i/>
        <w:iCs/>
      </w:rPr>
      <w:t>Tradus și revizuit de IER (</w:t>
    </w:r>
    <w:hyperlink r:id="rId1" w:history="1">
      <w:r>
        <w:rPr>
          <w:i/>
        </w:rPr>
        <w:t>http://ier.gov.ro/</w:t>
      </w:r>
    </w:hyperlink>
    <w:r>
      <w:rPr>
        <w:i/>
        <w:iCs/>
      </w:rPr>
      <w:t>)</w:t>
    </w:r>
  </w:p>
  <w:p w:rsidR="00331C20" w:rsidRPr="00A45145" w:rsidRDefault="00331C20" w:rsidP="00331C20">
    <w:pPr>
      <w:jc w:val="center"/>
    </w:pPr>
    <w:r>
      <w:rPr>
        <w:noProof/>
        <w:lang w:val="en-US" w:eastAsia="en-US"/>
      </w:rPr>
      <w:drawing>
        <wp:inline distT="0" distB="0" distL="0" distR="0" wp14:anchorId="3DCC3E27" wp14:editId="5F793888">
          <wp:extent cx="2962275" cy="1219200"/>
          <wp:effectExtent l="0" t="0" r="9525" b="0"/>
          <wp:docPr id="40" name="Picture 40" descr="R:\1_Graphics&amp;Web\Court_Graphic_Charter\2013\ECHR_Stationery\Documents_and_Letters\Cover_Pages_And_Docs\White_600_dpi\ECHR_CoverpageCS61_ECHR_Coverpage_Header_Black.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 name="Picture 1" descr="R:\1_Graphics&amp;Web\Court_Graphic_Charter\2013\ECHR_Stationery\Documents_and_Letters\Cover_Pages_And_Docs\White_600_dpi\ECHR_CoverpageCS61_ECHR_Coverpage_Header_Black.png"/>
                  <pic:cNvPicPr>
                    <a:picLocks noChangeAspect="1" noChangeArrowheads="1"/>
                  </pic:cNvPicPr>
                </pic:nvPicPr>
                <pic:blipFill>
                  <a:blip r:embed="rId2">
                    <a:extLst>
                      <a:ext uri="{28A0092B-C50C-407E-A947-70E740481C1C}">
                        <a14:useLocalDpi xmlns:a14="http://schemas.microsoft.com/office/drawing/2010/main" val="0"/>
                      </a:ext>
                    </a:extLst>
                  </a:blip>
                  <a:stretch>
                    <a:fillRect/>
                  </a:stretch>
                </pic:blipFill>
                <pic:spPr bwMode="auto">
                  <a:xfrm>
                    <a:off x="0" y="0"/>
                    <a:ext cx="2962275" cy="1219200"/>
                  </a:xfrm>
                  <a:prstGeom prst="rect">
                    <a:avLst/>
                  </a:prstGeom>
                  <a:noFill/>
                  <a:ln>
                    <a:noFill/>
                  </a:ln>
                </pic:spPr>
              </pic:pic>
            </a:graphicData>
          </a:graphic>
        </wp:inline>
      </w:drawing>
    </w:r>
  </w:p>
  <w:p w:rsidR="00331C20" w:rsidRPr="00047F17" w:rsidRDefault="00331C20" w:rsidP="00331C20"/>
  <w:p w:rsidR="00331C20" w:rsidRDefault="00331C20" w:rsidP="00331C20">
    <w:pPr>
      <w:pStyle w:val="Header"/>
    </w:pPr>
  </w:p>
  <w:p w:rsidR="00331C20" w:rsidRPr="00A17F03" w:rsidRDefault="00331C20" w:rsidP="00331C20">
    <w:pPr>
      <w:jc w:val="center"/>
      <w:rPr>
        <w:sz w:val="18"/>
      </w:rPr>
    </w:pPr>
  </w:p>
  <w:p w:rsidR="005B349A" w:rsidRPr="00331C20" w:rsidRDefault="005B349A" w:rsidP="00331C20">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B349A" w:rsidRDefault="005B349A">
    <w:pPr>
      <w:pStyle w:val="JuHeader"/>
    </w:pPr>
    <w:r>
      <w:tab/>
      <w:t xml:space="preserve">HOTĂRÂREA PETROIU </w:t>
    </w:r>
    <w:r w:rsidR="00331C20">
      <w:t xml:space="preserve">ÎMPOTRIVA </w:t>
    </w:r>
    <w:r>
      <w:t>ROMÂNIEI (FOND)</w:t>
    </w: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B349A" w:rsidRDefault="005B349A">
    <w:pPr>
      <w:pStyle w:val="JuHeader"/>
    </w:pPr>
    <w:r>
      <w:tab/>
      <w:t xml:space="preserve">HOTĂRÂREA PETROIU </w:t>
    </w:r>
    <w:r w:rsidR="00331C20">
      <w:t xml:space="preserve">ÎMPOTRIVA </w:t>
    </w:r>
    <w:r>
      <w:t>ROMÂNIEI (FOND)</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0"/>
  <w:removePersonalInformation/>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6"/>
  <w:hyphenationZone w:val="425"/>
  <w:evenAndOddHeaders/>
  <w:drawingGridHorizontalSpacing w:val="57"/>
  <w:displayHorizontalDrawingGridEvery w:val="0"/>
  <w:displayVerticalDrawingGridEvery w:val="0"/>
  <w:noPunctuationKerning/>
  <w:characterSpacingControl w:val="doNotCompress"/>
  <w:hdrShapeDefaults>
    <o:shapedefaults v:ext="edit" spidmax="2049"/>
  </w:hdrShapeDefaults>
  <w:footnotePr>
    <w:numRestart w:val="eachPage"/>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9524D"/>
    <w:rsid w:val="000353D7"/>
    <w:rsid w:val="00055AC1"/>
    <w:rsid w:val="000726F6"/>
    <w:rsid w:val="00076A67"/>
    <w:rsid w:val="0008354F"/>
    <w:rsid w:val="00085837"/>
    <w:rsid w:val="00090C82"/>
    <w:rsid w:val="000C18A5"/>
    <w:rsid w:val="000D0721"/>
    <w:rsid w:val="000D3CEF"/>
    <w:rsid w:val="000D6108"/>
    <w:rsid w:val="000E1449"/>
    <w:rsid w:val="000F3A02"/>
    <w:rsid w:val="000F699D"/>
    <w:rsid w:val="00104AD1"/>
    <w:rsid w:val="0011665B"/>
    <w:rsid w:val="001173D9"/>
    <w:rsid w:val="00126213"/>
    <w:rsid w:val="00140019"/>
    <w:rsid w:val="001812B2"/>
    <w:rsid w:val="00185B95"/>
    <w:rsid w:val="00197C29"/>
    <w:rsid w:val="001A0EBE"/>
    <w:rsid w:val="001B62B1"/>
    <w:rsid w:val="001B74F7"/>
    <w:rsid w:val="001B7C7E"/>
    <w:rsid w:val="001D10C7"/>
    <w:rsid w:val="001E4E00"/>
    <w:rsid w:val="001F5586"/>
    <w:rsid w:val="00211DD7"/>
    <w:rsid w:val="0022599B"/>
    <w:rsid w:val="002266CD"/>
    <w:rsid w:val="002355E1"/>
    <w:rsid w:val="00255B62"/>
    <w:rsid w:val="00275F6C"/>
    <w:rsid w:val="0029524D"/>
    <w:rsid w:val="002F6FE9"/>
    <w:rsid w:val="00307939"/>
    <w:rsid w:val="0031573C"/>
    <w:rsid w:val="0032093A"/>
    <w:rsid w:val="00325C2B"/>
    <w:rsid w:val="00331C20"/>
    <w:rsid w:val="00332547"/>
    <w:rsid w:val="00336887"/>
    <w:rsid w:val="00337600"/>
    <w:rsid w:val="00347335"/>
    <w:rsid w:val="00354038"/>
    <w:rsid w:val="00371277"/>
    <w:rsid w:val="00371671"/>
    <w:rsid w:val="003F3BFD"/>
    <w:rsid w:val="00457A18"/>
    <w:rsid w:val="00460FAD"/>
    <w:rsid w:val="00485A6F"/>
    <w:rsid w:val="004B0EDC"/>
    <w:rsid w:val="004E5DFC"/>
    <w:rsid w:val="004E75F7"/>
    <w:rsid w:val="00516EBF"/>
    <w:rsid w:val="00522362"/>
    <w:rsid w:val="005419B6"/>
    <w:rsid w:val="00546F49"/>
    <w:rsid w:val="0056771C"/>
    <w:rsid w:val="005740F1"/>
    <w:rsid w:val="00577E6A"/>
    <w:rsid w:val="005834E0"/>
    <w:rsid w:val="005859F5"/>
    <w:rsid w:val="005B16A8"/>
    <w:rsid w:val="005B349A"/>
    <w:rsid w:val="005B4233"/>
    <w:rsid w:val="005B6790"/>
    <w:rsid w:val="005B695C"/>
    <w:rsid w:val="005C1929"/>
    <w:rsid w:val="005E384F"/>
    <w:rsid w:val="006111FF"/>
    <w:rsid w:val="00617579"/>
    <w:rsid w:val="00622859"/>
    <w:rsid w:val="0062787C"/>
    <w:rsid w:val="00640B82"/>
    <w:rsid w:val="00655126"/>
    <w:rsid w:val="006A645D"/>
    <w:rsid w:val="006C2B52"/>
    <w:rsid w:val="006C35C5"/>
    <w:rsid w:val="006E6383"/>
    <w:rsid w:val="007156E0"/>
    <w:rsid w:val="007206C1"/>
    <w:rsid w:val="00730053"/>
    <w:rsid w:val="00730433"/>
    <w:rsid w:val="007352DD"/>
    <w:rsid w:val="00756D5B"/>
    <w:rsid w:val="0079187F"/>
    <w:rsid w:val="007A6DBA"/>
    <w:rsid w:val="007C1CE3"/>
    <w:rsid w:val="007D0D75"/>
    <w:rsid w:val="007D2F04"/>
    <w:rsid w:val="007F6402"/>
    <w:rsid w:val="00806E5F"/>
    <w:rsid w:val="00846856"/>
    <w:rsid w:val="00853345"/>
    <w:rsid w:val="00864450"/>
    <w:rsid w:val="0088315D"/>
    <w:rsid w:val="00886BB5"/>
    <w:rsid w:val="008922E9"/>
    <w:rsid w:val="008A12DF"/>
    <w:rsid w:val="008B0FD8"/>
    <w:rsid w:val="008C6F68"/>
    <w:rsid w:val="008E05A3"/>
    <w:rsid w:val="008E0B67"/>
    <w:rsid w:val="008E3EFF"/>
    <w:rsid w:val="0093315A"/>
    <w:rsid w:val="0094239F"/>
    <w:rsid w:val="00955DDF"/>
    <w:rsid w:val="00956501"/>
    <w:rsid w:val="00965BD4"/>
    <w:rsid w:val="009730AA"/>
    <w:rsid w:val="00975933"/>
    <w:rsid w:val="0098535B"/>
    <w:rsid w:val="00995F44"/>
    <w:rsid w:val="009B039E"/>
    <w:rsid w:val="009D6D17"/>
    <w:rsid w:val="009F5625"/>
    <w:rsid w:val="00A012A5"/>
    <w:rsid w:val="00A32A85"/>
    <w:rsid w:val="00A5331A"/>
    <w:rsid w:val="00AB2166"/>
    <w:rsid w:val="00AC3138"/>
    <w:rsid w:val="00AC555E"/>
    <w:rsid w:val="00AD0DDE"/>
    <w:rsid w:val="00AD15E5"/>
    <w:rsid w:val="00AD57B2"/>
    <w:rsid w:val="00AE2F4F"/>
    <w:rsid w:val="00B64488"/>
    <w:rsid w:val="00B662B2"/>
    <w:rsid w:val="00B6763B"/>
    <w:rsid w:val="00B921A8"/>
    <w:rsid w:val="00BB61DF"/>
    <w:rsid w:val="00BD19AE"/>
    <w:rsid w:val="00BE39B8"/>
    <w:rsid w:val="00BE50FE"/>
    <w:rsid w:val="00BE5958"/>
    <w:rsid w:val="00C01E1C"/>
    <w:rsid w:val="00C27EF9"/>
    <w:rsid w:val="00C30671"/>
    <w:rsid w:val="00C40D09"/>
    <w:rsid w:val="00C5580F"/>
    <w:rsid w:val="00C767C1"/>
    <w:rsid w:val="00C957C7"/>
    <w:rsid w:val="00C96EBF"/>
    <w:rsid w:val="00CA601E"/>
    <w:rsid w:val="00CD5D90"/>
    <w:rsid w:val="00CE1C9D"/>
    <w:rsid w:val="00D00EA4"/>
    <w:rsid w:val="00D077D0"/>
    <w:rsid w:val="00D15473"/>
    <w:rsid w:val="00D340C3"/>
    <w:rsid w:val="00D353F4"/>
    <w:rsid w:val="00D357B5"/>
    <w:rsid w:val="00D368EE"/>
    <w:rsid w:val="00D50998"/>
    <w:rsid w:val="00D63793"/>
    <w:rsid w:val="00D90810"/>
    <w:rsid w:val="00DB6D67"/>
    <w:rsid w:val="00DC2093"/>
    <w:rsid w:val="00DC4A13"/>
    <w:rsid w:val="00DC5C22"/>
    <w:rsid w:val="00DE5E8F"/>
    <w:rsid w:val="00E0505E"/>
    <w:rsid w:val="00E32971"/>
    <w:rsid w:val="00E526A4"/>
    <w:rsid w:val="00E751DB"/>
    <w:rsid w:val="00E81663"/>
    <w:rsid w:val="00EB41E9"/>
    <w:rsid w:val="00ED12C3"/>
    <w:rsid w:val="00ED3AC7"/>
    <w:rsid w:val="00EE47FF"/>
    <w:rsid w:val="00EE7911"/>
    <w:rsid w:val="00EF2384"/>
    <w:rsid w:val="00F0193A"/>
    <w:rsid w:val="00F45118"/>
    <w:rsid w:val="00F5124B"/>
    <w:rsid w:val="00F71A6A"/>
    <w:rsid w:val="00FC4F8D"/>
    <w:rsid w:val="00FE506A"/>
    <w:rsid w:val="00FE6E31"/>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ro-RO" w:eastAsia="ja-JP"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header" w:uiPriority="99"/>
    <w:lsdException w:name="footer" w:uiPriority="57"/>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B039E"/>
    <w:pPr>
      <w:suppressAutoHyphens/>
    </w:pPr>
    <w:rPr>
      <w:sz w:val="24"/>
      <w:lang w:eastAsia="fr-FR"/>
    </w:rPr>
  </w:style>
  <w:style w:type="paragraph" w:styleId="Heading1">
    <w:name w:val="heading 1"/>
    <w:basedOn w:val="Normal"/>
    <w:next w:val="Normal"/>
    <w:qFormat/>
    <w:rsid w:val="009B039E"/>
    <w:pPr>
      <w:keepNext/>
      <w:spacing w:before="360" w:after="240"/>
      <w:jc w:val="center"/>
      <w:outlineLvl w:val="0"/>
    </w:pPr>
    <w:rPr>
      <w:b/>
      <w:sz w:val="28"/>
    </w:rPr>
  </w:style>
  <w:style w:type="paragraph" w:styleId="Heading2">
    <w:name w:val="heading 2"/>
    <w:basedOn w:val="Normal"/>
    <w:next w:val="Normal"/>
    <w:qFormat/>
    <w:rsid w:val="009B039E"/>
    <w:pPr>
      <w:keepNext/>
      <w:spacing w:before="240" w:after="120"/>
      <w:ind w:left="284" w:hanging="284"/>
      <w:outlineLvl w:val="1"/>
    </w:pPr>
    <w:rPr>
      <w:b/>
    </w:rPr>
  </w:style>
  <w:style w:type="paragraph" w:styleId="Heading3">
    <w:name w:val="heading 3"/>
    <w:basedOn w:val="Normal"/>
    <w:next w:val="Normal"/>
    <w:qFormat/>
    <w:rsid w:val="009B039E"/>
    <w:pPr>
      <w:keepNext/>
      <w:spacing w:before="120" w:after="60"/>
      <w:ind w:left="1418" w:hanging="851"/>
      <w:outlineLvl w:val="2"/>
    </w:pPr>
    <w:rPr>
      <w:i/>
    </w:rPr>
  </w:style>
  <w:style w:type="paragraph" w:styleId="Heading4">
    <w:name w:val="heading 4"/>
    <w:basedOn w:val="Normal"/>
    <w:next w:val="Normal"/>
    <w:qFormat/>
    <w:pPr>
      <w:widowControl w:val="0"/>
      <w:outlineLvl w:val="3"/>
    </w:pPr>
    <w:rPr>
      <w:rFonts w:ascii="Courier" w:hAnsi="Courier"/>
      <w:snapToGrid w:val="0"/>
      <w:lang w:eastAsia="en-US"/>
    </w:rPr>
  </w:style>
  <w:style w:type="paragraph" w:styleId="Heading5">
    <w:name w:val="heading 5"/>
    <w:basedOn w:val="Normal"/>
    <w:next w:val="Normal"/>
    <w:qFormat/>
    <w:pPr>
      <w:widowControl w:val="0"/>
      <w:outlineLvl w:val="4"/>
    </w:pPr>
    <w:rPr>
      <w:rFonts w:ascii="Courier" w:hAnsi="Courier"/>
      <w:snapToGrid w:val="0"/>
      <w:lang w:eastAsia="en-US"/>
    </w:rPr>
  </w:style>
  <w:style w:type="paragraph" w:styleId="Heading6">
    <w:name w:val="heading 6"/>
    <w:basedOn w:val="Normal"/>
    <w:next w:val="Normal"/>
    <w:qFormat/>
    <w:pPr>
      <w:widowControl w:val="0"/>
      <w:outlineLvl w:val="5"/>
    </w:pPr>
    <w:rPr>
      <w:rFonts w:ascii="Courier" w:hAnsi="Courier"/>
      <w:snapToGrid w:val="0"/>
      <w:lang w:eastAsia="en-US"/>
    </w:rPr>
  </w:style>
  <w:style w:type="paragraph" w:styleId="Heading7">
    <w:name w:val="heading 7"/>
    <w:basedOn w:val="Normal"/>
    <w:next w:val="Normal"/>
    <w:qFormat/>
    <w:pPr>
      <w:widowControl w:val="0"/>
      <w:outlineLvl w:val="6"/>
    </w:pPr>
    <w:rPr>
      <w:rFonts w:ascii="Courier" w:hAnsi="Courier"/>
      <w:snapToGrid w:val="0"/>
      <w:lang w:eastAsia="en-US"/>
    </w:rPr>
  </w:style>
  <w:style w:type="paragraph" w:styleId="Heading8">
    <w:name w:val="heading 8"/>
    <w:basedOn w:val="Normal"/>
    <w:next w:val="Normal"/>
    <w:qFormat/>
    <w:pPr>
      <w:widowControl w:val="0"/>
      <w:outlineLvl w:val="7"/>
    </w:pPr>
    <w:rPr>
      <w:rFonts w:ascii="Courier" w:hAnsi="Courier"/>
      <w:snapToGrid w:val="0"/>
      <w:lang w:eastAsia="en-US"/>
    </w:rPr>
  </w:style>
  <w:style w:type="paragraph" w:styleId="Heading9">
    <w:name w:val="heading 9"/>
    <w:basedOn w:val="Normal"/>
    <w:next w:val="Normal"/>
    <w:qFormat/>
    <w:pPr>
      <w:keepNext/>
      <w:tabs>
        <w:tab w:val="left" w:pos="-1440"/>
        <w:tab w:val="left" w:pos="-720"/>
        <w:tab w:val="left" w:pos="0"/>
        <w:tab w:val="left" w:pos="1056"/>
        <w:tab w:val="left" w:pos="1584"/>
        <w:tab w:val="left" w:pos="2112"/>
        <w:tab w:val="left" w:pos="2880"/>
      </w:tabs>
      <w:ind w:left="-306" w:right="-306"/>
      <w:jc w:val="both"/>
      <w:outlineLvl w:val="8"/>
    </w:pPr>
    <w:rPr>
      <w:i/>
      <w:spacing w:val="-2"/>
      <w:sz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OpiHA">
    <w:name w:val="Opi_H_A"/>
    <w:basedOn w:val="JuHIRoman"/>
    <w:next w:val="OpiPara"/>
    <w:rsid w:val="009B039E"/>
    <w:pPr>
      <w:tabs>
        <w:tab w:val="clear" w:pos="357"/>
      </w:tabs>
    </w:pPr>
    <w:rPr>
      <w:b/>
    </w:rPr>
  </w:style>
  <w:style w:type="paragraph" w:customStyle="1" w:styleId="JuHIRoman">
    <w:name w:val="Ju_H_I_Roman"/>
    <w:basedOn w:val="JuHHead"/>
    <w:next w:val="JuPara"/>
    <w:rsid w:val="009B039E"/>
    <w:pPr>
      <w:tabs>
        <w:tab w:val="left" w:pos="357"/>
      </w:tabs>
      <w:spacing w:before="360"/>
      <w:ind w:left="357" w:hanging="357"/>
    </w:pPr>
    <w:rPr>
      <w:sz w:val="24"/>
    </w:rPr>
  </w:style>
  <w:style w:type="paragraph" w:customStyle="1" w:styleId="JuHHead">
    <w:name w:val="Ju_H_Head"/>
    <w:basedOn w:val="Normal"/>
    <w:next w:val="JuPara"/>
    <w:rsid w:val="009B039E"/>
    <w:pPr>
      <w:keepNext/>
      <w:keepLines/>
      <w:spacing w:before="720" w:after="240"/>
      <w:jc w:val="both"/>
    </w:pPr>
    <w:rPr>
      <w:sz w:val="28"/>
    </w:rPr>
  </w:style>
  <w:style w:type="paragraph" w:customStyle="1" w:styleId="JuPara">
    <w:name w:val="Ju_Para"/>
    <w:basedOn w:val="Normal"/>
    <w:link w:val="JuParaChar"/>
    <w:rsid w:val="009B039E"/>
    <w:pPr>
      <w:ind w:firstLine="284"/>
      <w:jc w:val="both"/>
    </w:pPr>
  </w:style>
  <w:style w:type="paragraph" w:customStyle="1" w:styleId="OpiPara">
    <w:name w:val="Opi_Para"/>
    <w:basedOn w:val="JuPara"/>
    <w:rsid w:val="009B039E"/>
  </w:style>
  <w:style w:type="paragraph" w:customStyle="1" w:styleId="OpiH1">
    <w:name w:val="Opi_H_1."/>
    <w:basedOn w:val="OpiHA"/>
    <w:next w:val="OpiPara"/>
    <w:rsid w:val="009B039E"/>
    <w:pPr>
      <w:spacing w:before="240" w:after="120"/>
      <w:ind w:left="635"/>
    </w:pPr>
    <w:rPr>
      <w:b w:val="0"/>
      <w:i/>
    </w:rPr>
  </w:style>
  <w:style w:type="paragraph" w:customStyle="1" w:styleId="OpiHa0">
    <w:name w:val="Opi_H_a"/>
    <w:basedOn w:val="OpiH1"/>
    <w:next w:val="OpiPara"/>
    <w:rsid w:val="009B039E"/>
    <w:pPr>
      <w:ind w:left="834"/>
    </w:pPr>
    <w:rPr>
      <w:b/>
      <w:i w:val="0"/>
      <w:sz w:val="20"/>
    </w:rPr>
  </w:style>
  <w:style w:type="paragraph" w:customStyle="1" w:styleId="OpiHHead">
    <w:name w:val="Opi_H_Head"/>
    <w:basedOn w:val="JuHHead"/>
    <w:next w:val="OpiPara"/>
    <w:rsid w:val="009B039E"/>
    <w:pPr>
      <w:spacing w:before="0"/>
      <w:jc w:val="center"/>
    </w:pPr>
  </w:style>
  <w:style w:type="paragraph" w:customStyle="1" w:styleId="OpiHi">
    <w:name w:val="Opi_H_i"/>
    <w:basedOn w:val="OpiHa0"/>
    <w:next w:val="OpiPara"/>
    <w:rsid w:val="009B039E"/>
    <w:pPr>
      <w:ind w:left="1038"/>
    </w:pPr>
    <w:rPr>
      <w:b w:val="0"/>
      <w:i/>
    </w:rPr>
  </w:style>
  <w:style w:type="paragraph" w:styleId="Footer">
    <w:name w:val="footer"/>
    <w:basedOn w:val="Normal"/>
    <w:link w:val="FooterChar"/>
    <w:uiPriority w:val="57"/>
    <w:rsid w:val="009B039E"/>
    <w:pPr>
      <w:tabs>
        <w:tab w:val="center" w:pos="3686"/>
        <w:tab w:val="right" w:pos="7371"/>
      </w:tabs>
    </w:pPr>
    <w:rPr>
      <w:sz w:val="18"/>
    </w:rPr>
  </w:style>
  <w:style w:type="paragraph" w:customStyle="1" w:styleId="JuJudges">
    <w:name w:val="Ju_Judges"/>
    <w:basedOn w:val="Normal"/>
    <w:link w:val="JuJudgesChar"/>
    <w:rsid w:val="009B039E"/>
    <w:pPr>
      <w:tabs>
        <w:tab w:val="left" w:pos="567"/>
        <w:tab w:val="left" w:pos="1134"/>
      </w:tabs>
    </w:pPr>
  </w:style>
  <w:style w:type="character" w:customStyle="1" w:styleId="JuParaChar">
    <w:name w:val="Ju_Para Char"/>
    <w:link w:val="JuPara"/>
    <w:rsid w:val="00B921A8"/>
    <w:rPr>
      <w:sz w:val="24"/>
      <w:lang w:val="ro-RO" w:eastAsia="fr-FR" w:bidi="ar-SA"/>
    </w:rPr>
  </w:style>
  <w:style w:type="paragraph" w:customStyle="1" w:styleId="JuHA">
    <w:name w:val="Ju_H_A"/>
    <w:basedOn w:val="JuHIRoman"/>
    <w:next w:val="JuPara"/>
    <w:rsid w:val="009B039E"/>
    <w:pPr>
      <w:tabs>
        <w:tab w:val="clear" w:pos="357"/>
        <w:tab w:val="left" w:pos="584"/>
      </w:tabs>
      <w:ind w:left="584" w:hanging="352"/>
    </w:pPr>
    <w:rPr>
      <w:b/>
    </w:rPr>
  </w:style>
  <w:style w:type="paragraph" w:customStyle="1" w:styleId="JuQuot">
    <w:name w:val="Ju_Quot"/>
    <w:basedOn w:val="JuPara"/>
    <w:rsid w:val="009B039E"/>
    <w:pPr>
      <w:spacing w:before="120" w:after="120"/>
      <w:ind w:left="425" w:firstLine="142"/>
    </w:pPr>
    <w:rPr>
      <w:sz w:val="20"/>
    </w:rPr>
  </w:style>
  <w:style w:type="paragraph" w:customStyle="1" w:styleId="JuSigned">
    <w:name w:val="Ju_Signed"/>
    <w:basedOn w:val="Normal"/>
    <w:next w:val="JuParaLast"/>
    <w:link w:val="JuSignedChar"/>
    <w:rsid w:val="00460FAD"/>
    <w:pPr>
      <w:tabs>
        <w:tab w:val="center" w:pos="1219"/>
        <w:tab w:val="center" w:pos="6379"/>
      </w:tabs>
      <w:spacing w:before="720"/>
    </w:pPr>
  </w:style>
  <w:style w:type="paragraph" w:customStyle="1" w:styleId="JuParaLast">
    <w:name w:val="Ju_Para_Last"/>
    <w:basedOn w:val="JuPara"/>
    <w:next w:val="JuPara"/>
    <w:rsid w:val="009B039E"/>
    <w:pPr>
      <w:spacing w:before="240"/>
    </w:pPr>
  </w:style>
  <w:style w:type="paragraph" w:customStyle="1" w:styleId="JuCase">
    <w:name w:val="Ju_Case"/>
    <w:basedOn w:val="JuPara"/>
    <w:next w:val="JuPara"/>
    <w:link w:val="JuCaseChar"/>
    <w:rsid w:val="009B039E"/>
    <w:rPr>
      <w:b/>
    </w:rPr>
  </w:style>
  <w:style w:type="paragraph" w:customStyle="1" w:styleId="JuList">
    <w:name w:val="Ju_List"/>
    <w:basedOn w:val="JuPara"/>
    <w:rsid w:val="009B039E"/>
    <w:pPr>
      <w:ind w:left="340" w:hanging="340"/>
    </w:pPr>
  </w:style>
  <w:style w:type="paragraph" w:customStyle="1" w:styleId="JuHArticle">
    <w:name w:val="Ju_H_Article"/>
    <w:basedOn w:val="JuHa0"/>
    <w:next w:val="JuQuot"/>
    <w:rsid w:val="009B039E"/>
    <w:pPr>
      <w:ind w:left="0" w:firstLine="0"/>
      <w:jc w:val="center"/>
    </w:pPr>
  </w:style>
  <w:style w:type="paragraph" w:customStyle="1" w:styleId="JuHa0">
    <w:name w:val="Ju_H_a"/>
    <w:basedOn w:val="JuH1"/>
    <w:next w:val="JuPara"/>
    <w:rsid w:val="009B039E"/>
    <w:pPr>
      <w:tabs>
        <w:tab w:val="clear" w:pos="731"/>
        <w:tab w:val="left" w:pos="975"/>
      </w:tabs>
      <w:ind w:left="975" w:hanging="340"/>
    </w:pPr>
    <w:rPr>
      <w:b/>
      <w:i w:val="0"/>
      <w:sz w:val="20"/>
    </w:rPr>
  </w:style>
  <w:style w:type="paragraph" w:customStyle="1" w:styleId="JuH1">
    <w:name w:val="Ju_H_1."/>
    <w:basedOn w:val="JuHA"/>
    <w:next w:val="JuPara"/>
    <w:rsid w:val="009B039E"/>
    <w:pPr>
      <w:tabs>
        <w:tab w:val="clear" w:pos="584"/>
        <w:tab w:val="left" w:pos="731"/>
      </w:tabs>
      <w:spacing w:before="240" w:after="120"/>
      <w:ind w:left="732" w:hanging="301"/>
    </w:pPr>
    <w:rPr>
      <w:b w:val="0"/>
      <w:i/>
    </w:rPr>
  </w:style>
  <w:style w:type="paragraph" w:customStyle="1" w:styleId="JuQuotList">
    <w:name w:val="Ju_Quot_List"/>
    <w:basedOn w:val="JuQuot"/>
    <w:pPr>
      <w:tabs>
        <w:tab w:val="left" w:pos="1021"/>
      </w:tabs>
      <w:ind w:left="567" w:firstLine="0"/>
    </w:pPr>
  </w:style>
  <w:style w:type="paragraph" w:customStyle="1" w:styleId="JuCourt">
    <w:name w:val="Ju_Court"/>
    <w:basedOn w:val="JuJudges"/>
    <w:rsid w:val="009B039E"/>
    <w:pPr>
      <w:tabs>
        <w:tab w:val="clear" w:pos="567"/>
        <w:tab w:val="clear" w:pos="1134"/>
        <w:tab w:val="left" w:pos="907"/>
        <w:tab w:val="left" w:pos="1701"/>
        <w:tab w:val="right" w:pos="7371"/>
      </w:tabs>
      <w:spacing w:before="240"/>
      <w:ind w:left="397" w:hanging="397"/>
    </w:pPr>
  </w:style>
  <w:style w:type="paragraph" w:customStyle="1" w:styleId="OpiQuot">
    <w:name w:val="Opi_Quot"/>
    <w:basedOn w:val="JuQuot"/>
    <w:rsid w:val="009B039E"/>
  </w:style>
  <w:style w:type="paragraph" w:customStyle="1" w:styleId="OpiTranslation">
    <w:name w:val="Opi_Translation"/>
    <w:basedOn w:val="OpiHHead"/>
    <w:next w:val="OpiPara"/>
    <w:rsid w:val="009B039E"/>
    <w:rPr>
      <w:sz w:val="24"/>
    </w:rPr>
  </w:style>
  <w:style w:type="paragraph" w:styleId="FootnoteText">
    <w:name w:val="footnote text"/>
    <w:basedOn w:val="Normal"/>
    <w:semiHidden/>
    <w:rsid w:val="009B039E"/>
    <w:pPr>
      <w:jc w:val="both"/>
    </w:pPr>
    <w:rPr>
      <w:sz w:val="20"/>
    </w:rPr>
  </w:style>
  <w:style w:type="character" w:styleId="FootnoteReference">
    <w:name w:val="footnote reference"/>
    <w:semiHidden/>
    <w:rsid w:val="009B039E"/>
    <w:rPr>
      <w:vertAlign w:val="superscript"/>
    </w:rPr>
  </w:style>
  <w:style w:type="paragraph" w:customStyle="1" w:styleId="JuHi">
    <w:name w:val="Ju_H_i"/>
    <w:basedOn w:val="JuHa0"/>
    <w:next w:val="JuPara"/>
    <w:rsid w:val="009B039E"/>
    <w:pPr>
      <w:tabs>
        <w:tab w:val="clear" w:pos="975"/>
        <w:tab w:val="left" w:pos="1191"/>
      </w:tabs>
      <w:ind w:left="1190" w:hanging="357"/>
    </w:pPr>
    <w:rPr>
      <w:b w:val="0"/>
      <w:i/>
    </w:rPr>
  </w:style>
  <w:style w:type="paragraph" w:styleId="Header">
    <w:name w:val="header"/>
    <w:basedOn w:val="Normal"/>
    <w:link w:val="HeaderChar"/>
    <w:uiPriority w:val="99"/>
    <w:rsid w:val="009B039E"/>
    <w:pPr>
      <w:tabs>
        <w:tab w:val="center" w:pos="3686"/>
        <w:tab w:val="right" w:pos="7371"/>
      </w:tabs>
    </w:pPr>
    <w:rPr>
      <w:sz w:val="18"/>
    </w:rPr>
  </w:style>
  <w:style w:type="character" w:styleId="PageNumber">
    <w:name w:val="page number"/>
    <w:rsid w:val="009B039E"/>
    <w:rPr>
      <w:sz w:val="18"/>
    </w:rPr>
  </w:style>
  <w:style w:type="paragraph" w:customStyle="1" w:styleId="JuH">
    <w:name w:val="Ju_H_–"/>
    <w:basedOn w:val="JuHalpha"/>
    <w:next w:val="JuPara"/>
    <w:rsid w:val="009B039E"/>
    <w:pPr>
      <w:tabs>
        <w:tab w:val="clear" w:pos="1372"/>
      </w:tabs>
      <w:ind w:left="1236" w:firstLine="0"/>
    </w:pPr>
    <w:rPr>
      <w:i/>
    </w:rPr>
  </w:style>
  <w:style w:type="paragraph" w:customStyle="1" w:styleId="JuHalpha">
    <w:name w:val="Ju_H_alpha"/>
    <w:basedOn w:val="JuHi"/>
    <w:next w:val="JuPara"/>
    <w:rsid w:val="009B039E"/>
    <w:pPr>
      <w:tabs>
        <w:tab w:val="clear" w:pos="1191"/>
        <w:tab w:val="left" w:pos="1372"/>
      </w:tabs>
      <w:ind w:left="1373" w:hanging="335"/>
    </w:pPr>
    <w:rPr>
      <w:i w:val="0"/>
    </w:rPr>
  </w:style>
  <w:style w:type="paragraph" w:customStyle="1" w:styleId="JuLista">
    <w:name w:val="Ju_List_a"/>
    <w:basedOn w:val="JuList"/>
    <w:rsid w:val="009B039E"/>
    <w:pPr>
      <w:ind w:left="346" w:firstLine="0"/>
    </w:pPr>
  </w:style>
  <w:style w:type="paragraph" w:customStyle="1" w:styleId="JuListi">
    <w:name w:val="Ju_List_i"/>
    <w:basedOn w:val="JuLista"/>
    <w:rsid w:val="009B039E"/>
    <w:pPr>
      <w:ind w:left="794"/>
    </w:pPr>
  </w:style>
  <w:style w:type="character" w:styleId="CommentReference">
    <w:name w:val="annotation reference"/>
    <w:semiHidden/>
    <w:rPr>
      <w:sz w:val="16"/>
    </w:rPr>
  </w:style>
  <w:style w:type="paragraph" w:styleId="CommentText">
    <w:name w:val="annotation text"/>
    <w:basedOn w:val="Normal"/>
    <w:semiHidden/>
    <w:rPr>
      <w:sz w:val="20"/>
    </w:rPr>
  </w:style>
  <w:style w:type="paragraph" w:customStyle="1" w:styleId="JuInitialled">
    <w:name w:val="Ju_Initialled"/>
    <w:basedOn w:val="JuSigned"/>
    <w:rsid w:val="009B039E"/>
    <w:pPr>
      <w:jc w:val="right"/>
    </w:pPr>
  </w:style>
  <w:style w:type="paragraph" w:customStyle="1" w:styleId="JuHeader">
    <w:name w:val="Ju_Header"/>
    <w:basedOn w:val="Header"/>
    <w:rsid w:val="009B039E"/>
  </w:style>
  <w:style w:type="paragraph" w:customStyle="1" w:styleId="DecHTitle">
    <w:name w:val="Dec_H_Title"/>
    <w:basedOn w:val="Normal"/>
    <w:rsid w:val="009B039E"/>
    <w:pPr>
      <w:spacing w:after="240"/>
      <w:jc w:val="center"/>
    </w:pPr>
    <w:rPr>
      <w:sz w:val="28"/>
    </w:rPr>
  </w:style>
  <w:style w:type="paragraph" w:customStyle="1" w:styleId="DecHCase">
    <w:name w:val="Dec_H_Case"/>
    <w:basedOn w:val="DecHTitle"/>
    <w:next w:val="JuPara"/>
    <w:rsid w:val="009B039E"/>
    <w:rPr>
      <w:sz w:val="24"/>
    </w:rPr>
  </w:style>
  <w:style w:type="paragraph" w:customStyle="1" w:styleId="DecList">
    <w:name w:val="Dec_List"/>
    <w:basedOn w:val="Normal"/>
    <w:rsid w:val="009B039E"/>
    <w:pPr>
      <w:spacing w:before="240"/>
      <w:ind w:left="284"/>
      <w:jc w:val="both"/>
    </w:pPr>
  </w:style>
  <w:style w:type="paragraph" w:customStyle="1" w:styleId="JuParaSub">
    <w:name w:val="Ju_Para_Sub"/>
    <w:basedOn w:val="JuPara"/>
    <w:rsid w:val="009B039E"/>
    <w:pPr>
      <w:ind w:left="284"/>
    </w:pPr>
    <w:rPr>
      <w:szCs w:val="24"/>
    </w:rPr>
  </w:style>
  <w:style w:type="paragraph" w:customStyle="1" w:styleId="JuQuotSub">
    <w:name w:val="Ju_Quot_Sub"/>
    <w:basedOn w:val="JuQuot"/>
    <w:rsid w:val="009B039E"/>
    <w:pPr>
      <w:ind w:left="567"/>
    </w:pPr>
  </w:style>
  <w:style w:type="paragraph" w:styleId="BalloonText">
    <w:name w:val="Balloon Text"/>
    <w:basedOn w:val="Normal"/>
    <w:semiHidden/>
    <w:rsid w:val="00457A18"/>
    <w:rPr>
      <w:rFonts w:ascii="Tahoma" w:hAnsi="Tahoma" w:cs="Tahoma"/>
      <w:sz w:val="16"/>
      <w:szCs w:val="16"/>
    </w:rPr>
  </w:style>
  <w:style w:type="paragraph" w:styleId="CommentSubject">
    <w:name w:val="annotation subject"/>
    <w:basedOn w:val="CommentText"/>
    <w:next w:val="CommentText"/>
    <w:semiHidden/>
    <w:rsid w:val="00D353F4"/>
    <w:rPr>
      <w:b/>
      <w:bCs/>
    </w:rPr>
  </w:style>
  <w:style w:type="paragraph" w:customStyle="1" w:styleId="PJuPara">
    <w:name w:val="P_Ju_Para"/>
    <w:basedOn w:val="Normal"/>
    <w:rsid w:val="009B039E"/>
    <w:pPr>
      <w:ind w:firstLine="284"/>
      <w:jc w:val="both"/>
    </w:pPr>
  </w:style>
  <w:style w:type="paragraph" w:customStyle="1" w:styleId="PJuQuot">
    <w:name w:val="P_Ju_Quot"/>
    <w:basedOn w:val="Normal"/>
    <w:rsid w:val="009B039E"/>
    <w:pPr>
      <w:spacing w:before="120" w:after="120"/>
      <w:ind w:left="403" w:firstLine="176"/>
      <w:jc w:val="both"/>
    </w:pPr>
    <w:rPr>
      <w:sz w:val="20"/>
    </w:rPr>
  </w:style>
  <w:style w:type="paragraph" w:customStyle="1" w:styleId="PListArticleSubject">
    <w:name w:val="P_List_ArticleSubject"/>
    <w:basedOn w:val="Normal"/>
    <w:rsid w:val="009B039E"/>
    <w:pPr>
      <w:tabs>
        <w:tab w:val="left" w:pos="2977"/>
      </w:tabs>
      <w:ind w:left="2977" w:hanging="2977"/>
    </w:pPr>
  </w:style>
  <w:style w:type="paragraph" w:customStyle="1" w:styleId="SuCoverTitle1">
    <w:name w:val="Su_Cover_Title1"/>
    <w:basedOn w:val="Normal"/>
    <w:next w:val="SuCoverTitle2"/>
    <w:rsid w:val="009B039E"/>
    <w:pPr>
      <w:spacing w:before="2500"/>
      <w:jc w:val="center"/>
    </w:pPr>
    <w:rPr>
      <w:sz w:val="22"/>
    </w:rPr>
  </w:style>
  <w:style w:type="paragraph" w:customStyle="1" w:styleId="SuCoverTitle2">
    <w:name w:val="Su_Cover_Title2"/>
    <w:basedOn w:val="SuCoverTitle1"/>
    <w:next w:val="Normal"/>
    <w:rsid w:val="009B039E"/>
    <w:pPr>
      <w:spacing w:before="240"/>
    </w:pPr>
    <w:rPr>
      <w:sz w:val="18"/>
    </w:rPr>
  </w:style>
  <w:style w:type="paragraph" w:customStyle="1" w:styleId="SuPara">
    <w:name w:val="Su_Para"/>
    <w:basedOn w:val="SuKeywords"/>
    <w:rsid w:val="009B039E"/>
    <w:pPr>
      <w:spacing w:before="0" w:after="0"/>
    </w:pPr>
    <w:rPr>
      <w:i w:val="0"/>
    </w:rPr>
  </w:style>
  <w:style w:type="paragraph" w:customStyle="1" w:styleId="SuKeywords">
    <w:name w:val="Su_Keywords"/>
    <w:basedOn w:val="SuHHead"/>
    <w:rsid w:val="009B039E"/>
    <w:pPr>
      <w:spacing w:before="120"/>
    </w:pPr>
    <w:rPr>
      <w:b w:val="0"/>
      <w:i/>
    </w:rPr>
  </w:style>
  <w:style w:type="paragraph" w:customStyle="1" w:styleId="SuHHead">
    <w:name w:val="Su_H_Head"/>
    <w:basedOn w:val="SuSubject"/>
    <w:rsid w:val="009B039E"/>
    <w:pPr>
      <w:spacing w:after="120"/>
    </w:pPr>
  </w:style>
  <w:style w:type="paragraph" w:customStyle="1" w:styleId="SuSubject">
    <w:name w:val="Su_Subject"/>
    <w:basedOn w:val="SuSummary"/>
    <w:rsid w:val="009B039E"/>
    <w:pPr>
      <w:spacing w:before="360"/>
      <w:jc w:val="both"/>
    </w:pPr>
    <w:rPr>
      <w:b/>
      <w:sz w:val="22"/>
    </w:rPr>
  </w:style>
  <w:style w:type="paragraph" w:customStyle="1" w:styleId="SuSummary">
    <w:name w:val="Su_Summary"/>
    <w:basedOn w:val="Normal"/>
    <w:next w:val="SuSubject"/>
    <w:rsid w:val="009B039E"/>
    <w:pPr>
      <w:spacing w:after="240"/>
      <w:jc w:val="center"/>
    </w:pPr>
  </w:style>
  <w:style w:type="paragraph" w:customStyle="1" w:styleId="PListCaseNo">
    <w:name w:val="P_List_CaseNo"/>
    <w:basedOn w:val="Normal"/>
    <w:rsid w:val="009B039E"/>
    <w:pPr>
      <w:tabs>
        <w:tab w:val="left" w:pos="1276"/>
      </w:tabs>
      <w:spacing w:line="288" w:lineRule="auto"/>
      <w:ind w:left="1276" w:hanging="1276"/>
    </w:pPr>
  </w:style>
  <w:style w:type="paragraph" w:customStyle="1" w:styleId="PListCases">
    <w:name w:val="P_List_Cases"/>
    <w:basedOn w:val="Normal"/>
    <w:rsid w:val="009B039E"/>
    <w:pPr>
      <w:spacing w:line="288" w:lineRule="auto"/>
    </w:pPr>
  </w:style>
  <w:style w:type="paragraph" w:customStyle="1" w:styleId="PTextIntro">
    <w:name w:val="P_Text_Intro"/>
    <w:basedOn w:val="Normal"/>
    <w:rsid w:val="009B039E"/>
    <w:pPr>
      <w:jc w:val="both"/>
    </w:pPr>
    <w:rPr>
      <w:i/>
      <w:sz w:val="20"/>
    </w:rPr>
  </w:style>
  <w:style w:type="paragraph" w:customStyle="1" w:styleId="PTitleCover">
    <w:name w:val="P_Title_Cover"/>
    <w:basedOn w:val="Normal"/>
    <w:rsid w:val="009B039E"/>
    <w:pPr>
      <w:spacing w:before="2500"/>
      <w:jc w:val="center"/>
    </w:pPr>
    <w:rPr>
      <w:b/>
      <w:smallCaps/>
      <w:sz w:val="30"/>
    </w:rPr>
  </w:style>
  <w:style w:type="paragraph" w:customStyle="1" w:styleId="PTitle1Alpha">
    <w:name w:val="P_Title1_Alpha"/>
    <w:basedOn w:val="Normal"/>
    <w:next w:val="Normal"/>
    <w:rsid w:val="009B039E"/>
    <w:pPr>
      <w:spacing w:after="120"/>
      <w:jc w:val="center"/>
    </w:pPr>
    <w:rPr>
      <w:b/>
      <w:smallCaps/>
      <w:sz w:val="30"/>
    </w:rPr>
  </w:style>
  <w:style w:type="paragraph" w:customStyle="1" w:styleId="PTitle1IndexArticle">
    <w:name w:val="P_Title1_IndexArticle"/>
    <w:basedOn w:val="Normal"/>
    <w:rsid w:val="009B039E"/>
    <w:pPr>
      <w:spacing w:after="120"/>
      <w:jc w:val="center"/>
    </w:pPr>
    <w:rPr>
      <w:b/>
      <w:smallCaps/>
      <w:sz w:val="30"/>
    </w:rPr>
  </w:style>
  <w:style w:type="paragraph" w:customStyle="1" w:styleId="PTitle1IndexKey">
    <w:name w:val="P_Title1_IndexKey"/>
    <w:basedOn w:val="Normal"/>
    <w:rsid w:val="009B039E"/>
    <w:pPr>
      <w:spacing w:after="600"/>
      <w:jc w:val="center"/>
    </w:pPr>
    <w:rPr>
      <w:b/>
      <w:smallCaps/>
      <w:sz w:val="30"/>
    </w:rPr>
  </w:style>
  <w:style w:type="paragraph" w:customStyle="1" w:styleId="PTitle1Num">
    <w:name w:val="P_Title1_Num"/>
    <w:basedOn w:val="Normal"/>
    <w:next w:val="PListCaseNo"/>
    <w:rsid w:val="009B039E"/>
    <w:pPr>
      <w:spacing w:after="720"/>
      <w:jc w:val="center"/>
    </w:pPr>
    <w:rPr>
      <w:b/>
      <w:smallCaps/>
      <w:sz w:val="30"/>
    </w:rPr>
  </w:style>
  <w:style w:type="paragraph" w:customStyle="1" w:styleId="PTitle2Country">
    <w:name w:val="P_Title2_Country"/>
    <w:basedOn w:val="Normal"/>
    <w:next w:val="PListCases"/>
    <w:rsid w:val="009B039E"/>
    <w:pPr>
      <w:keepNext/>
      <w:keepLines/>
      <w:spacing w:before="600" w:after="360"/>
    </w:pPr>
    <w:rPr>
      <w:b/>
    </w:rPr>
  </w:style>
  <w:style w:type="paragraph" w:customStyle="1" w:styleId="PTitle2Letters">
    <w:name w:val="P_Title2_Letters"/>
    <w:basedOn w:val="Normal"/>
    <w:next w:val="PListCases"/>
    <w:rsid w:val="009B039E"/>
    <w:pPr>
      <w:keepNext/>
      <w:keepLines/>
      <w:spacing w:before="600" w:after="360"/>
    </w:pPr>
    <w:rPr>
      <w:b/>
      <w:sz w:val="28"/>
    </w:rPr>
  </w:style>
  <w:style w:type="paragraph" w:customStyle="1" w:styleId="PTitle2Part">
    <w:name w:val="P_Title2_Part"/>
    <w:basedOn w:val="Normal"/>
    <w:rsid w:val="009B039E"/>
    <w:pPr>
      <w:keepNext/>
      <w:keepLines/>
      <w:spacing w:before="600" w:after="240"/>
      <w:jc w:val="center"/>
    </w:pPr>
    <w:rPr>
      <w:b/>
      <w:caps/>
    </w:rPr>
  </w:style>
  <w:style w:type="paragraph" w:customStyle="1" w:styleId="PTitle3Article">
    <w:name w:val="P_Title3_Article"/>
    <w:basedOn w:val="Normal"/>
    <w:rsid w:val="009B039E"/>
    <w:pPr>
      <w:keepNext/>
      <w:keepLines/>
      <w:spacing w:before="360" w:after="120"/>
      <w:jc w:val="center"/>
    </w:pPr>
    <w:rPr>
      <w:b/>
      <w:smallCaps/>
      <w:sz w:val="22"/>
    </w:rPr>
  </w:style>
  <w:style w:type="paragraph" w:customStyle="1" w:styleId="PTitle4ArticleSub">
    <w:name w:val="P_Title4_Article_Sub"/>
    <w:basedOn w:val="PTitle3Article"/>
    <w:rsid w:val="009B039E"/>
    <w:pPr>
      <w:spacing w:before="240"/>
    </w:pPr>
    <w:rPr>
      <w:smallCaps w:val="0"/>
      <w:sz w:val="20"/>
    </w:rPr>
  </w:style>
  <w:style w:type="paragraph" w:customStyle="1" w:styleId="PTitle5Subject">
    <w:name w:val="P_Title5_Subject"/>
    <w:basedOn w:val="Normal"/>
    <w:rsid w:val="009B039E"/>
    <w:pPr>
      <w:keepNext/>
      <w:keepLines/>
      <w:spacing w:before="240" w:after="120"/>
      <w:jc w:val="both"/>
    </w:pPr>
    <w:rPr>
      <w:b/>
      <w:i/>
    </w:rPr>
  </w:style>
  <w:style w:type="paragraph" w:customStyle="1" w:styleId="PTitle6SubjectSub">
    <w:name w:val="P_Title6_Subject_Sub"/>
    <w:basedOn w:val="Normal"/>
    <w:rsid w:val="009B039E"/>
    <w:pPr>
      <w:keepNext/>
      <w:keepLines/>
      <w:spacing w:before="240" w:after="120"/>
      <w:ind w:left="284"/>
      <w:jc w:val="both"/>
    </w:pPr>
    <w:rPr>
      <w:b/>
      <w:sz w:val="20"/>
    </w:rPr>
  </w:style>
  <w:style w:type="paragraph" w:customStyle="1" w:styleId="PTitle7CaseName">
    <w:name w:val="P_Title7_CaseName"/>
    <w:basedOn w:val="Normal"/>
    <w:rsid w:val="009B039E"/>
    <w:pPr>
      <w:keepLines/>
      <w:spacing w:after="240"/>
      <w:jc w:val="right"/>
    </w:pPr>
    <w:rPr>
      <w:sz w:val="22"/>
    </w:rPr>
  </w:style>
  <w:style w:type="paragraph" w:customStyle="1" w:styleId="OpiParaSub">
    <w:name w:val="Opi_Para_Sub"/>
    <w:basedOn w:val="JuParaSub"/>
    <w:rsid w:val="009B039E"/>
  </w:style>
  <w:style w:type="paragraph" w:customStyle="1" w:styleId="OpiQuotSub">
    <w:name w:val="Opi_Quot_Sub"/>
    <w:basedOn w:val="JuQuotSub"/>
    <w:rsid w:val="009B039E"/>
  </w:style>
  <w:style w:type="character" w:customStyle="1" w:styleId="JuSignedChar">
    <w:name w:val="Ju_Signed Char"/>
    <w:link w:val="JuSigned"/>
    <w:rsid w:val="000726F6"/>
    <w:rPr>
      <w:sz w:val="24"/>
      <w:lang w:val="ro-RO" w:eastAsia="fr-FR" w:bidi="ar-SA"/>
    </w:rPr>
  </w:style>
  <w:style w:type="character" w:customStyle="1" w:styleId="JuJudgesChar">
    <w:name w:val="Ju_Judges Char"/>
    <w:link w:val="JuJudges"/>
    <w:locked/>
    <w:rsid w:val="00D15473"/>
    <w:rPr>
      <w:sz w:val="24"/>
      <w:lang w:val="ro-RO" w:eastAsia="fr-FR" w:bidi="ar-SA"/>
    </w:rPr>
  </w:style>
  <w:style w:type="character" w:customStyle="1" w:styleId="JuCaseChar">
    <w:name w:val="Ju_Case Char"/>
    <w:link w:val="JuCase"/>
    <w:rsid w:val="00B921A8"/>
    <w:rPr>
      <w:b/>
      <w:sz w:val="24"/>
      <w:lang w:val="ro-RO" w:eastAsia="fr-FR" w:bidi="ar-SA"/>
    </w:rPr>
  </w:style>
  <w:style w:type="character" w:styleId="Hyperlink">
    <w:name w:val="Hyperlink"/>
    <w:rsid w:val="0029524D"/>
    <w:rPr>
      <w:color w:val="0000FF"/>
      <w:u w:val="single"/>
    </w:rPr>
  </w:style>
  <w:style w:type="character" w:customStyle="1" w:styleId="s6b621b36">
    <w:name w:val="s6b621b36"/>
    <w:rsid w:val="00E751DB"/>
  </w:style>
  <w:style w:type="character" w:customStyle="1" w:styleId="HeaderChar">
    <w:name w:val="Header Char"/>
    <w:basedOn w:val="DefaultParagraphFont"/>
    <w:link w:val="Header"/>
    <w:uiPriority w:val="99"/>
    <w:rsid w:val="00331C20"/>
    <w:rPr>
      <w:sz w:val="18"/>
      <w:lang w:eastAsia="fr-FR"/>
    </w:rPr>
  </w:style>
  <w:style w:type="character" w:customStyle="1" w:styleId="FooterChar">
    <w:name w:val="Footer Char"/>
    <w:basedOn w:val="DefaultParagraphFont"/>
    <w:link w:val="Footer"/>
    <w:uiPriority w:val="57"/>
    <w:rsid w:val="007F6402"/>
    <w:rPr>
      <w:sz w:val="18"/>
      <w:lang w:eastAsia="fr-F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278516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footnotes" Target="footnotes.xml"/><Relationship Id="rId12" Type="http://schemas.openxmlformats.org/officeDocument/2006/relationships/header" Target="header3.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5" Type="http://schemas.openxmlformats.org/officeDocument/2006/relationships/settings" Target="settings.xml"/><Relationship Id="rId10" Type="http://schemas.openxmlformats.org/officeDocument/2006/relationships/footer" Target="footer1.xml"/><Relationship Id="rId4" Type="http://schemas.openxmlformats.org/officeDocument/2006/relationships/styles" Target="styles.xml"/><Relationship Id="rId9" Type="http://schemas.openxmlformats.org/officeDocument/2006/relationships/header" Target="header1.xml"/><Relationship Id="rId14" Type="http://schemas.openxmlformats.org/officeDocument/2006/relationships/theme" Target="theme/theme1.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2" Type="http://schemas.openxmlformats.org/officeDocument/2006/relationships/image" Target="media/image1.png"/><Relationship Id="rId1" Type="http://schemas.openxmlformats.org/officeDocument/2006/relationships/hyperlink" Target="http://ier.gov.ro/"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558EB02BDB9E204AB350EDD385B68E10" ma:contentTypeVersion="0" ma:contentTypeDescription="Create a new document." ma:contentTypeScope="" ma:versionID="4c0f801ee557d5c8fba2c83aceb7a3a2">
  <xsd:schema xmlns:xsd="http://www.w3.org/2001/XMLSchema" xmlns:xs="http://www.w3.org/2001/XMLSchema" xmlns:p="http://schemas.microsoft.com/office/2006/metadata/properties" targetNamespace="http://schemas.microsoft.com/office/2006/metadata/properties" ma:root="true" ma:fieldsID="66a9e0779a85d62bb2248c31b91edb77">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CE38DB08-6F70-4C04-BFBB-1B4908BE027A}">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D1559A9E-F952-4398-9FB7-C4110E4D1E2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3.xml><?xml version="1.0" encoding="utf-8"?>
<ds:datastoreItem xmlns:ds="http://schemas.openxmlformats.org/officeDocument/2006/customXml" ds:itemID="{EB2EF46F-6868-43E0-8F64-F8E41B095EF8}">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8</Pages>
  <Words>2295</Words>
  <Characters>13084</Characters>
  <Application>Microsoft Office Word</Application>
  <DocSecurity>0</DocSecurity>
  <Lines>109</Lines>
  <Paragraphs>30</Paragraphs>
  <ScaleCrop>false</ScaleCrop>
  <HeadingPairs>
    <vt:vector size="2" baseType="variant">
      <vt:variant>
        <vt:lpstr>Title</vt:lpstr>
      </vt:variant>
      <vt:variant>
        <vt:i4>1</vt:i4>
      </vt:variant>
    </vt:vector>
  </HeadingPairs>
  <TitlesOfParts>
    <vt:vector size="1" baseType="lpstr">
      <vt:lpstr>ECHR</vt:lpstr>
    </vt:vector>
  </TitlesOfParts>
  <Manager/>
  <Company/>
  <LinksUpToDate>false</LinksUpToDate>
  <CharactersWithSpaces>15349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ECHR</dc:title>
  <dc:subject>DJ</dc:subject>
  <dc:creator/>
  <cp:keywords/>
  <dc:description/>
  <cp:lastModifiedBy/>
  <cp:revision>1</cp:revision>
  <cp:lastPrinted>2009-11-04T14:33:00Z</cp:lastPrinted>
  <dcterms:created xsi:type="dcterms:W3CDTF">2024-11-08T15:14:00Z</dcterms:created>
  <dcterms:modified xsi:type="dcterms:W3CDTF">2024-11-13T09:45:00Z</dcterms:modified>
  <cp:category>ECHR Template</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0x010100558EB02BDB9E204AB350EDD385B68E10</vt:lpwstr>
  </property>
</Properties>
</file>