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C2E" w:rsidRPr="00472687" w:rsidRDefault="0052083E" w:rsidP="00472687">
      <w:pPr>
        <w:pStyle w:val="DecHCase"/>
      </w:pPr>
      <w:r>
        <w:t>MAREA CAMERĂ</w:t>
      </w:r>
    </w:p>
    <w:p w:rsidR="00180C2E" w:rsidRPr="00472687" w:rsidRDefault="0052083E" w:rsidP="00180C2E">
      <w:pPr>
        <w:pStyle w:val="JuTitle"/>
        <w:spacing w:before="720"/>
      </w:pPr>
      <w:bookmarkStart w:id="0" w:name="To"/>
      <w:r>
        <w:t xml:space="preserve">CAUZA </w:t>
      </w:r>
      <w:bookmarkEnd w:id="0"/>
      <w:r>
        <w:t>VEREIN KLIMASENIORINNEN SCHWEIZ ȘI ALTELE ÎMPOTRIVA ELVEȚIEI</w:t>
      </w:r>
    </w:p>
    <w:p w:rsidR="00180C2E" w:rsidRPr="00472687" w:rsidRDefault="0052083E" w:rsidP="00472687">
      <w:pPr>
        <w:pStyle w:val="ECHRCoverTitle4"/>
      </w:pPr>
      <w:r>
        <w:t>(cererea nr. 53600/20)</w:t>
      </w:r>
    </w:p>
    <w:p w:rsidR="00180C2E" w:rsidRPr="00472687" w:rsidRDefault="00180C2E" w:rsidP="00472687">
      <w:pPr>
        <w:pStyle w:val="DecHCase"/>
      </w:pPr>
    </w:p>
    <w:p w:rsidR="00180C2E" w:rsidRDefault="0052083E" w:rsidP="00472687">
      <w:pPr>
        <w:pStyle w:val="DecHCase"/>
      </w:pPr>
      <w:r>
        <w:t>HOTĂRÂRE</w:t>
      </w:r>
      <w:r>
        <w:br/>
      </w:r>
    </w:p>
    <w:p w:rsidR="00180C2E" w:rsidRPr="00180C2E" w:rsidRDefault="0052083E" w:rsidP="00180C2E">
      <w:pPr>
        <w:pStyle w:val="NormalVert"/>
        <w:pBdr>
          <w:top w:val="single" w:sz="4" w:space="1" w:color="auto"/>
          <w:left w:val="single" w:sz="4" w:space="4" w:color="auto"/>
          <w:bottom w:val="single" w:sz="4" w:space="1" w:color="auto"/>
          <w:right w:val="single" w:sz="4" w:space="4" w:color="auto"/>
        </w:pBdr>
        <w:shd w:val="clear" w:color="auto" w:fill="auto"/>
        <w:rPr>
          <w:rFonts w:asciiTheme="minorHAnsi" w:hAnsiTheme="minorHAnsi" w:cstheme="minorHAnsi"/>
        </w:rPr>
      </w:pPr>
      <w:r>
        <w:rPr>
          <w:rFonts w:asciiTheme="minorHAnsi" w:hAnsiTheme="minorHAnsi"/>
        </w:rPr>
        <w:t xml:space="preserve">Art. 34 • Victimă • Calitate procesuală • Criterii fundamentale distincte pentru stabilirea calității de victimă a reclamanților individuali și a calității procesuale (reprezentare) a asociațiilor în contextul schimbărilor climatice • Necesitatea asigurării unei protecții efective a drepturilor garantate de Convenție, ținând seama de particularitățile acestui fenomen, fără să fie repusă în discuție excluderea </w:t>
      </w:r>
      <w:r>
        <w:rPr>
          <w:rFonts w:asciiTheme="minorHAnsi" w:hAnsiTheme="minorHAnsi"/>
          <w:i/>
        </w:rPr>
        <w:t>actio popularis</w:t>
      </w:r>
      <w:r>
        <w:rPr>
          <w:rFonts w:asciiTheme="minorHAnsi" w:hAnsiTheme="minorHAnsi"/>
        </w:rPr>
        <w:t xml:space="preserve"> din sistemul Convenției • În circumstanțele cauzei, criteriile pentru stabilirea calității de victimă neîndeplinite de către reclamantele individuale • Prag deosebit de ridicat pentru îndeplinirea criteriilor, neatins (incompatibilitate </w:t>
      </w:r>
      <w:r>
        <w:rPr>
          <w:rFonts w:asciiTheme="minorHAnsi" w:hAnsiTheme="minorHAnsi"/>
          <w:i/>
        </w:rPr>
        <w:t>ratione personae</w:t>
      </w:r>
      <w:r>
        <w:rPr>
          <w:rFonts w:asciiTheme="minorHAnsi" w:hAnsiTheme="minorHAnsi"/>
        </w:rPr>
        <w:t>) • Asociația reclamantă a îndeplinit criteriile relevante, având așadar calitate procesuală pentru a acționa în numele membrelor sale • Importanța acțiunii colective și a partajării între generații a eforturilor din domeniul schimbărilor climatice</w:t>
      </w:r>
    </w:p>
    <w:p w:rsidR="00180C2E" w:rsidRPr="00180C2E" w:rsidRDefault="0052083E" w:rsidP="00180C2E">
      <w:pPr>
        <w:pStyle w:val="NormalVert"/>
        <w:pBdr>
          <w:top w:val="single" w:sz="4" w:space="1" w:color="auto"/>
          <w:left w:val="single" w:sz="4" w:space="4" w:color="auto"/>
          <w:bottom w:val="single" w:sz="4" w:space="1" w:color="auto"/>
          <w:right w:val="single" w:sz="4" w:space="4" w:color="auto"/>
        </w:pBdr>
        <w:shd w:val="clear" w:color="auto" w:fill="auto"/>
        <w:rPr>
          <w:rFonts w:asciiTheme="minorHAnsi" w:hAnsiTheme="minorHAnsi" w:cstheme="minorHAnsi"/>
        </w:rPr>
      </w:pPr>
      <w:r>
        <w:rPr>
          <w:rFonts w:asciiTheme="minorHAnsi" w:hAnsiTheme="minorHAnsi"/>
        </w:rPr>
        <w:t xml:space="preserve">Art. 8 • Obligații pozitive • Viață privată și de familie • Neîndeplinirea de către statul pârât a obligației sale pozitive de punere în aplicare a unor măsuri suficiente pentru combaterea schimbărilor climatice • Art. 8 aplicabil • Art. 8 include dreptul persoanelor la o protecție efectivă, din partea autorităților statului, împotriva efectelor nefaste grave ale schimbărilor climatice asupra vieții, sănătății, bunăstării și calității vieții acestora • Necesitatea de a dezvolta o abordare mai adecvată și mai adaptată a diferitelor probleme pe care le pot ridica schimbările climatice din perspectiva Convenției, care nu sunt abordate în jurisprudența actuală a Curții în materie de mediu • Importanța partajării între generații a eforturilor din domeniul schimbărilor climatice • Marjă de apreciere redusă în ceea ce privește angajamentul statului de a lupta împotriva schimbărilor climatice și a efectelor nefaste ale acestora și stabilirea scopurilor și obiectivelor în această privință • Marjă de apreciere largă în ceea ce privește alegerea mijloacelor adecvate pentru atingerea acestor obiective • Obligația primordială a statului contractant de a adopta și de a aplica în mod efectiv și concret reglementări și măsuri menite să atenueze efectele actuale și viitoare, potențial ireversibile, ale schimbărilor climatice • Enumerarea cerințelor de care trebuie să țină seama autoritățile competente • Necesitatea existenței unor garanții procedurale interne • Necesitatea completării măsurilor de atenuare cu măsuri de adaptare menite să diminueze consecințele cele mai grave sau imediate ale schimbărilor climatice • Existența unor grave lacune în procesul de punere în aplicare de către autoritățile elvețiene a cadrului de reglementare intern relevant • Lipsa cuantificării, prin intermediul unui budget de carbon sau în alt fel, a limitelor naționale aplicabile emisiilor de GES • Neîndeplinirea obligației de a acționa în timp util și într-un mod adecvat și consecvent </w:t>
      </w:r>
      <w:r>
        <w:rPr>
          <w:rFonts w:asciiTheme="minorHAnsi" w:hAnsiTheme="minorHAnsi"/>
        </w:rPr>
        <w:lastRenderedPageBreak/>
        <w:t xml:space="preserve">în vederea conceperii, dezvoltării și punerii în aplicare a cadrului legislativ și de reglementare relevant • Limite depășite ale marjei ample de apreciere </w:t>
      </w:r>
    </w:p>
    <w:p w:rsidR="00180C2E" w:rsidRPr="00180C2E" w:rsidRDefault="0052083E" w:rsidP="00180C2E">
      <w:pPr>
        <w:pStyle w:val="NormalVert"/>
        <w:pBdr>
          <w:top w:val="single" w:sz="4" w:space="1" w:color="auto"/>
          <w:left w:val="single" w:sz="4" w:space="4" w:color="auto"/>
          <w:bottom w:val="single" w:sz="4" w:space="1" w:color="auto"/>
          <w:right w:val="single" w:sz="4" w:space="4" w:color="auto"/>
        </w:pBdr>
        <w:shd w:val="clear" w:color="auto" w:fill="auto"/>
        <w:rPr>
          <w:rFonts w:asciiTheme="minorHAnsi" w:hAnsiTheme="minorHAnsi" w:cstheme="minorHAnsi"/>
        </w:rPr>
      </w:pPr>
      <w:r>
        <w:rPr>
          <w:rFonts w:asciiTheme="minorHAnsi" w:hAnsiTheme="minorHAnsi"/>
        </w:rPr>
        <w:t>Art. 6 § 1 (latura civilă) • Accesul la o instanță • Aplicabilitatea sub aspect civil în ceea ce privește punerea în aplicare efectivă a măsurilor de atenuare prevăzute de dreptul în vigoare • Instanțe interne</w:t>
      </w:r>
      <w:r>
        <w:rPr>
          <w:rFonts w:asciiTheme="minorHAnsi" w:hAnsiTheme="minorHAnsi"/>
          <w:b/>
        </w:rPr>
        <w:t xml:space="preserve"> </w:t>
      </w:r>
      <w:r>
        <w:rPr>
          <w:rFonts w:asciiTheme="minorHAnsi" w:hAnsiTheme="minorHAnsi"/>
        </w:rPr>
        <w:t>care nu au examinat</w:t>
      </w:r>
      <w:r>
        <w:rPr>
          <w:rFonts w:asciiTheme="minorHAnsi" w:hAnsiTheme="minorHAnsi"/>
          <w:b/>
        </w:rPr>
        <w:t xml:space="preserve"> </w:t>
      </w:r>
      <w:r>
        <w:rPr>
          <w:rFonts w:asciiTheme="minorHAnsi" w:hAnsiTheme="minorHAnsi"/>
        </w:rPr>
        <w:t>cu atenție, sau chiar deloc, acțiunea introdusă de asociația reclamantă • Lipsa unei explicații convingătoare cu privire la neexaminarea temeiniciei capetelor de cerere • Neluarea în considerare a unor date științifice incontestabile privind schimbările climatice și neexaminarea calității procesuale a asociației reclamante • Lipsa altor căi de atac legale și garanții juridice • Încălcarea esenței înseși a dreptului de acces la o instanță • Importanța rolului fundamental jucat de instanțele naționale în litigiile referitoare la schimbările climatice, precum și a accesului la justiție în acest domeniu</w:t>
      </w:r>
    </w:p>
    <w:p w:rsidR="00180C2E" w:rsidRDefault="0052083E" w:rsidP="00180C2E">
      <w:pPr>
        <w:pBdr>
          <w:top w:val="single" w:sz="4" w:space="1" w:color="auto"/>
          <w:left w:val="single" w:sz="4" w:space="4" w:color="auto"/>
          <w:bottom w:val="single" w:sz="4" w:space="1" w:color="auto"/>
          <w:right w:val="single" w:sz="4" w:space="4" w:color="auto"/>
        </w:pBdr>
        <w:jc w:val="both"/>
        <w:rPr>
          <w:sz w:val="22"/>
          <w:szCs w:val="22"/>
        </w:rPr>
      </w:pPr>
      <w:r>
        <w:rPr>
          <w:sz w:val="22"/>
        </w:rPr>
        <w:t>Art. 46 • Executarea hotărârii • Măsuri generale • Obligația statului pârât de a stabili măsurile specifice care trebuie luate, cu asistența Comitetului de Miniștri</w:t>
      </w:r>
    </w:p>
    <w:p w:rsidR="00180C2E" w:rsidRDefault="00180C2E" w:rsidP="00180C2E">
      <w:pPr>
        <w:pBdr>
          <w:top w:val="single" w:sz="4" w:space="1" w:color="auto"/>
          <w:left w:val="single" w:sz="4" w:space="4" w:color="auto"/>
          <w:bottom w:val="single" w:sz="4" w:space="1" w:color="auto"/>
          <w:right w:val="single" w:sz="4" w:space="4" w:color="auto"/>
        </w:pBdr>
        <w:jc w:val="both"/>
        <w:rPr>
          <w:sz w:val="22"/>
          <w:szCs w:val="22"/>
        </w:rPr>
      </w:pPr>
    </w:p>
    <w:p w:rsidR="00180C2E" w:rsidRPr="00180C2E" w:rsidRDefault="0052083E" w:rsidP="00180C2E">
      <w:pPr>
        <w:pBdr>
          <w:top w:val="single" w:sz="4" w:space="1" w:color="auto"/>
          <w:left w:val="single" w:sz="4" w:space="4" w:color="auto"/>
          <w:bottom w:val="single" w:sz="4" w:space="1" w:color="auto"/>
          <w:right w:val="single" w:sz="4" w:space="4" w:color="auto"/>
        </w:pBdr>
        <w:jc w:val="center"/>
        <w:rPr>
          <w:sz w:val="22"/>
          <w:szCs w:val="22"/>
        </w:rPr>
      </w:pPr>
      <w:bookmarkStart w:id="1" w:name="_Hlk158281508"/>
      <w:r>
        <w:rPr>
          <w:sz w:val="20"/>
        </w:rPr>
        <w:t>Întocmit de Grefă. Nu obligă Curtea.</w:t>
      </w:r>
      <w:bookmarkEnd w:id="1"/>
    </w:p>
    <w:p w:rsidR="00180C2E" w:rsidRDefault="00180C2E" w:rsidP="00180C2E">
      <w:pPr>
        <w:pStyle w:val="DecHCase"/>
        <w:spacing w:after="120"/>
      </w:pPr>
    </w:p>
    <w:p w:rsidR="00180C2E" w:rsidRPr="00472687" w:rsidRDefault="0052083E" w:rsidP="00472687">
      <w:pPr>
        <w:pStyle w:val="DecHCase"/>
      </w:pPr>
      <w:r>
        <w:t>STRASBOURG</w:t>
      </w:r>
    </w:p>
    <w:p w:rsidR="00180C2E" w:rsidRPr="00472687" w:rsidRDefault="0052083E" w:rsidP="00472687">
      <w:pPr>
        <w:pStyle w:val="DecHCase"/>
      </w:pPr>
      <w:r>
        <w:t>9 aprilie 2024</w:t>
      </w:r>
    </w:p>
    <w:p w:rsidR="009F3B51" w:rsidRPr="00472687" w:rsidRDefault="009F3B51" w:rsidP="00472687"/>
    <w:p w:rsidR="009F3B51" w:rsidRPr="00472687" w:rsidRDefault="009F3B51" w:rsidP="00472687"/>
    <w:p w:rsidR="009F3B51" w:rsidRPr="00472687" w:rsidRDefault="009F3B51" w:rsidP="00472687"/>
    <w:p w:rsidR="009F3B51" w:rsidRPr="00472687" w:rsidRDefault="009F3B51" w:rsidP="00472687"/>
    <w:p w:rsidR="009F3B51" w:rsidRPr="00472687" w:rsidRDefault="009F3B51" w:rsidP="00472687"/>
    <w:p w:rsidR="00180C2E" w:rsidRPr="00472687" w:rsidRDefault="0052083E" w:rsidP="00472687">
      <w:pPr>
        <w:rPr>
          <w:rFonts w:ascii="Times New Roman" w:hAnsi="Times New Roman" w:cs="Times New Roman"/>
          <w:i/>
          <w:sz w:val="22"/>
        </w:rPr>
      </w:pPr>
      <w:r>
        <w:rPr>
          <w:rFonts w:ascii="Times New Roman" w:hAnsi="Times New Roman"/>
          <w:i/>
          <w:sz w:val="22"/>
        </w:rPr>
        <w:t>Hotărârea este definitivă. Aceasta poate suferi modificări de formă.</w:t>
      </w:r>
    </w:p>
    <w:p w:rsidR="00180C2E" w:rsidRPr="00472687" w:rsidRDefault="00180C2E" w:rsidP="00472687">
      <w:pPr>
        <w:ind w:left="720"/>
        <w:rPr>
          <w:rFonts w:ascii="Times New Roman" w:hAnsi="Times New Roman" w:cs="Times New Roman"/>
          <w:sz w:val="22"/>
        </w:rPr>
      </w:pPr>
    </w:p>
    <w:p w:rsidR="00364D91" w:rsidRPr="00472687" w:rsidRDefault="00364D91" w:rsidP="00472687">
      <w:pPr>
        <w:ind w:left="720"/>
        <w:rPr>
          <w:rFonts w:ascii="Times New Roman" w:hAnsi="Times New Roman" w:cs="Times New Roman"/>
          <w:sz w:val="22"/>
        </w:rPr>
        <w:sectPr w:rsidR="00364D91" w:rsidRPr="00472687" w:rsidSect="00AB2A65">
          <w:headerReference w:type="default" r:id="rId9"/>
          <w:footerReference w:type="even" r:id="rId10"/>
          <w:footerReference w:type="default" r:id="rId11"/>
          <w:endnotePr>
            <w:numFmt w:val="decimal"/>
          </w:endnotePr>
          <w:pgSz w:w="11906" w:h="16838" w:code="9"/>
          <w:pgMar w:top="1134" w:right="1134" w:bottom="1134" w:left="1701" w:header="1701" w:footer="720" w:gutter="0"/>
          <w:pgNumType w:start="1"/>
          <w:cols w:space="720"/>
          <w:noEndnote/>
          <w:docGrid w:linePitch="326"/>
        </w:sectPr>
      </w:pPr>
    </w:p>
    <w:p w:rsidR="00E5758E" w:rsidRPr="00472687" w:rsidRDefault="0052083E" w:rsidP="00472687">
      <w:pPr>
        <w:jc w:val="center"/>
        <w:rPr>
          <w:rStyle w:val="Hyperlink"/>
          <w:b/>
          <w:noProof/>
          <w:color w:val="auto"/>
          <w:sz w:val="22"/>
        </w:rPr>
      </w:pPr>
      <w:r>
        <w:rPr>
          <w:b/>
        </w:rPr>
        <w:lastRenderedPageBreak/>
        <w:t>CUPRINS</w:t>
      </w:r>
    </w:p>
    <w:bookmarkStart w:id="2" w:name="_GoBack"/>
    <w:bookmarkEnd w:id="2"/>
    <w:p w:rsidR="00690E9D" w:rsidRDefault="0052083E">
      <w:pPr>
        <w:pStyle w:val="TOC1"/>
        <w:rPr>
          <w:rFonts w:eastAsiaTheme="minorEastAsia"/>
          <w:b w:val="0"/>
          <w:noProof/>
          <w:szCs w:val="22"/>
          <w:lang w:eastAsia="ro-RO"/>
        </w:rPr>
      </w:pPr>
      <w:r w:rsidRPr="00472687">
        <w:fldChar w:fldCharType="begin"/>
      </w:r>
      <w:r w:rsidRPr="00472687">
        <w:instrText xml:space="preserve"> TOC \o "1-6" \h \z \u </w:instrText>
      </w:r>
      <w:r w:rsidRPr="00472687">
        <w:fldChar w:fldCharType="separate"/>
      </w:r>
      <w:hyperlink w:anchor="_Toc199273404" w:history="1">
        <w:r w:rsidR="00690E9D" w:rsidRPr="00CA255A">
          <w:rPr>
            <w:rStyle w:val="Hyperlink"/>
            <w:noProof/>
          </w:rPr>
          <w:t>PROCEDURA</w:t>
        </w:r>
        <w:r w:rsidR="00690E9D">
          <w:rPr>
            <w:noProof/>
            <w:webHidden/>
          </w:rPr>
          <w:tab/>
        </w:r>
        <w:r w:rsidR="00690E9D">
          <w:rPr>
            <w:noProof/>
            <w:webHidden/>
          </w:rPr>
          <w:fldChar w:fldCharType="begin"/>
        </w:r>
        <w:r w:rsidR="00690E9D">
          <w:rPr>
            <w:noProof/>
            <w:webHidden/>
          </w:rPr>
          <w:instrText xml:space="preserve"> PAGEREF _Toc199273404 \h </w:instrText>
        </w:r>
        <w:r w:rsidR="00690E9D">
          <w:rPr>
            <w:noProof/>
            <w:webHidden/>
          </w:rPr>
        </w:r>
        <w:r w:rsidR="00690E9D">
          <w:rPr>
            <w:noProof/>
            <w:webHidden/>
          </w:rPr>
          <w:fldChar w:fldCharType="separate"/>
        </w:r>
        <w:r w:rsidR="00690E9D">
          <w:rPr>
            <w:noProof/>
            <w:webHidden/>
          </w:rPr>
          <w:t>8</w:t>
        </w:r>
        <w:r w:rsidR="00690E9D">
          <w:rPr>
            <w:noProof/>
            <w:webHidden/>
          </w:rPr>
          <w:fldChar w:fldCharType="end"/>
        </w:r>
      </w:hyperlink>
    </w:p>
    <w:p w:rsidR="00690E9D" w:rsidRDefault="00690E9D">
      <w:pPr>
        <w:pStyle w:val="TOC1"/>
        <w:rPr>
          <w:rFonts w:eastAsiaTheme="minorEastAsia"/>
          <w:b w:val="0"/>
          <w:noProof/>
          <w:szCs w:val="22"/>
          <w:lang w:eastAsia="ro-RO"/>
        </w:rPr>
      </w:pPr>
      <w:hyperlink w:anchor="_Toc199273405" w:history="1">
        <w:r w:rsidRPr="00CA255A">
          <w:rPr>
            <w:rStyle w:val="Hyperlink"/>
            <w:noProof/>
          </w:rPr>
          <w:t>ÎN FAPT</w:t>
        </w:r>
        <w:r>
          <w:rPr>
            <w:noProof/>
            <w:webHidden/>
          </w:rPr>
          <w:tab/>
        </w:r>
        <w:r>
          <w:rPr>
            <w:noProof/>
            <w:webHidden/>
          </w:rPr>
          <w:fldChar w:fldCharType="begin"/>
        </w:r>
        <w:r>
          <w:rPr>
            <w:noProof/>
            <w:webHidden/>
          </w:rPr>
          <w:instrText xml:space="preserve"> PAGEREF _Toc199273405 \h </w:instrText>
        </w:r>
        <w:r>
          <w:rPr>
            <w:noProof/>
            <w:webHidden/>
          </w:rPr>
        </w:r>
        <w:r>
          <w:rPr>
            <w:noProof/>
            <w:webHidden/>
          </w:rPr>
          <w:fldChar w:fldCharType="separate"/>
        </w:r>
        <w:r>
          <w:rPr>
            <w:noProof/>
            <w:webHidden/>
          </w:rPr>
          <w:t>11</w:t>
        </w:r>
        <w:r>
          <w:rPr>
            <w:noProof/>
            <w:webHidden/>
          </w:rPr>
          <w:fldChar w:fldCharType="end"/>
        </w:r>
      </w:hyperlink>
    </w:p>
    <w:p w:rsidR="00690E9D" w:rsidRDefault="00690E9D">
      <w:pPr>
        <w:pStyle w:val="TOC2"/>
        <w:tabs>
          <w:tab w:val="left" w:pos="680"/>
        </w:tabs>
        <w:rPr>
          <w:rFonts w:eastAsiaTheme="minorEastAsia"/>
          <w:noProof/>
          <w:szCs w:val="22"/>
          <w:lang w:eastAsia="ro-RO"/>
        </w:rPr>
      </w:pPr>
      <w:hyperlink w:anchor="_Toc199273406" w:history="1">
        <w:r w:rsidRPr="00CA255A">
          <w:rPr>
            <w:rStyle w:val="Hyperlink"/>
            <w:noProof/>
          </w:rPr>
          <w:t>I.</w:t>
        </w:r>
        <w:r>
          <w:rPr>
            <w:rFonts w:eastAsiaTheme="minorEastAsia"/>
            <w:noProof/>
            <w:szCs w:val="22"/>
            <w:lang w:eastAsia="ro-RO"/>
          </w:rPr>
          <w:tab/>
        </w:r>
        <w:r w:rsidRPr="00CA255A">
          <w:rPr>
            <w:rStyle w:val="Hyperlink"/>
            <w:noProof/>
          </w:rPr>
          <w:t>CIRCUMSTANȚELE CAUZEI</w:t>
        </w:r>
        <w:r>
          <w:rPr>
            <w:noProof/>
            <w:webHidden/>
          </w:rPr>
          <w:tab/>
        </w:r>
        <w:r>
          <w:rPr>
            <w:noProof/>
            <w:webHidden/>
          </w:rPr>
          <w:fldChar w:fldCharType="begin"/>
        </w:r>
        <w:r>
          <w:rPr>
            <w:noProof/>
            <w:webHidden/>
          </w:rPr>
          <w:instrText xml:space="preserve"> PAGEREF _Toc199273406 \h </w:instrText>
        </w:r>
        <w:r>
          <w:rPr>
            <w:noProof/>
            <w:webHidden/>
          </w:rPr>
        </w:r>
        <w:r>
          <w:rPr>
            <w:noProof/>
            <w:webHidden/>
          </w:rPr>
          <w:fldChar w:fldCharType="separate"/>
        </w:r>
        <w:r>
          <w:rPr>
            <w:noProof/>
            <w:webHidden/>
          </w:rPr>
          <w:t>11</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07" w:history="1">
        <w:r w:rsidRPr="00CA255A">
          <w:rPr>
            <w:rStyle w:val="Hyperlink"/>
            <w:noProof/>
          </w:rPr>
          <w:t>A.</w:t>
        </w:r>
        <w:r>
          <w:rPr>
            <w:rFonts w:eastAsiaTheme="minorEastAsia"/>
            <w:noProof/>
            <w:sz w:val="22"/>
            <w:szCs w:val="22"/>
            <w:lang w:eastAsia="ro-RO"/>
          </w:rPr>
          <w:tab/>
        </w:r>
        <w:r w:rsidRPr="00CA255A">
          <w:rPr>
            <w:rStyle w:val="Hyperlink"/>
            <w:noProof/>
          </w:rPr>
          <w:t>Situația specială a reclamantelor</w:t>
        </w:r>
        <w:r>
          <w:rPr>
            <w:noProof/>
            <w:webHidden/>
          </w:rPr>
          <w:tab/>
        </w:r>
        <w:r>
          <w:rPr>
            <w:noProof/>
            <w:webHidden/>
          </w:rPr>
          <w:fldChar w:fldCharType="begin"/>
        </w:r>
        <w:r>
          <w:rPr>
            <w:noProof/>
            <w:webHidden/>
          </w:rPr>
          <w:instrText xml:space="preserve"> PAGEREF _Toc199273407 \h </w:instrText>
        </w:r>
        <w:r>
          <w:rPr>
            <w:noProof/>
            <w:webHidden/>
          </w:rPr>
        </w:r>
        <w:r>
          <w:rPr>
            <w:noProof/>
            <w:webHidden/>
          </w:rPr>
          <w:fldChar w:fldCharType="separate"/>
        </w:r>
        <w:r>
          <w:rPr>
            <w:noProof/>
            <w:webHidden/>
          </w:rPr>
          <w:t>11</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08" w:history="1">
        <w:r w:rsidRPr="00CA255A">
          <w:rPr>
            <w:rStyle w:val="Hyperlink"/>
            <w:noProof/>
          </w:rPr>
          <w:t>1.</w:t>
        </w:r>
        <w:r>
          <w:rPr>
            <w:rFonts w:eastAsiaTheme="minorEastAsia"/>
            <w:noProof/>
            <w:sz w:val="22"/>
            <w:szCs w:val="22"/>
            <w:lang w:eastAsia="ro-RO"/>
          </w:rPr>
          <w:tab/>
        </w:r>
        <w:r w:rsidRPr="00CA255A">
          <w:rPr>
            <w:rStyle w:val="Hyperlink"/>
            <w:noProof/>
          </w:rPr>
          <w:t>Prima reclamantă</w:t>
        </w:r>
        <w:r>
          <w:rPr>
            <w:noProof/>
            <w:webHidden/>
          </w:rPr>
          <w:tab/>
        </w:r>
        <w:r>
          <w:rPr>
            <w:noProof/>
            <w:webHidden/>
          </w:rPr>
          <w:fldChar w:fldCharType="begin"/>
        </w:r>
        <w:r>
          <w:rPr>
            <w:noProof/>
            <w:webHidden/>
          </w:rPr>
          <w:instrText xml:space="preserve"> PAGEREF _Toc199273408 \h </w:instrText>
        </w:r>
        <w:r>
          <w:rPr>
            <w:noProof/>
            <w:webHidden/>
          </w:rPr>
        </w:r>
        <w:r>
          <w:rPr>
            <w:noProof/>
            <w:webHidden/>
          </w:rPr>
          <w:fldChar w:fldCharType="separate"/>
        </w:r>
        <w:r>
          <w:rPr>
            <w:noProof/>
            <w:webHidden/>
          </w:rPr>
          <w:t>11</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09" w:history="1">
        <w:r w:rsidRPr="00CA255A">
          <w:rPr>
            <w:rStyle w:val="Hyperlink"/>
            <w:noProof/>
          </w:rPr>
          <w:t>2.</w:t>
        </w:r>
        <w:r>
          <w:rPr>
            <w:rFonts w:eastAsiaTheme="minorEastAsia"/>
            <w:noProof/>
            <w:sz w:val="22"/>
            <w:szCs w:val="22"/>
            <w:lang w:eastAsia="ro-RO"/>
          </w:rPr>
          <w:tab/>
        </w:r>
        <w:r w:rsidRPr="00CA255A">
          <w:rPr>
            <w:rStyle w:val="Hyperlink"/>
            <w:noProof/>
          </w:rPr>
          <w:t>Cea de-a doua, cea de-a treia, cea de-a patra și cea de-a cincea reclamantă</w:t>
        </w:r>
        <w:r>
          <w:rPr>
            <w:noProof/>
            <w:webHidden/>
          </w:rPr>
          <w:tab/>
        </w:r>
        <w:r>
          <w:rPr>
            <w:noProof/>
            <w:webHidden/>
          </w:rPr>
          <w:fldChar w:fldCharType="begin"/>
        </w:r>
        <w:r>
          <w:rPr>
            <w:noProof/>
            <w:webHidden/>
          </w:rPr>
          <w:instrText xml:space="preserve"> PAGEREF _Toc199273409 \h </w:instrText>
        </w:r>
        <w:r>
          <w:rPr>
            <w:noProof/>
            <w:webHidden/>
          </w:rPr>
        </w:r>
        <w:r>
          <w:rPr>
            <w:noProof/>
            <w:webHidden/>
          </w:rPr>
          <w:fldChar w:fldCharType="separate"/>
        </w:r>
        <w:r>
          <w:rPr>
            <w:noProof/>
            <w:webHidden/>
          </w:rPr>
          <w:t>12</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10" w:history="1">
        <w:r w:rsidRPr="00CA255A">
          <w:rPr>
            <w:rStyle w:val="Hyperlink"/>
            <w:noProof/>
          </w:rPr>
          <w:t>a)</w:t>
        </w:r>
        <w:r>
          <w:rPr>
            <w:rFonts w:eastAsiaTheme="minorEastAsia"/>
            <w:noProof/>
            <w:sz w:val="22"/>
            <w:szCs w:val="22"/>
            <w:lang w:eastAsia="ro-RO"/>
          </w:rPr>
          <w:tab/>
        </w:r>
        <w:r w:rsidRPr="00CA255A">
          <w:rPr>
            <w:rStyle w:val="Hyperlink"/>
            <w:noProof/>
          </w:rPr>
          <w:t>Cea de-a doua reclamantă</w:t>
        </w:r>
        <w:r>
          <w:rPr>
            <w:noProof/>
            <w:webHidden/>
          </w:rPr>
          <w:tab/>
        </w:r>
        <w:r>
          <w:rPr>
            <w:noProof/>
            <w:webHidden/>
          </w:rPr>
          <w:fldChar w:fldCharType="begin"/>
        </w:r>
        <w:r>
          <w:rPr>
            <w:noProof/>
            <w:webHidden/>
          </w:rPr>
          <w:instrText xml:space="preserve"> PAGEREF _Toc199273410 \h </w:instrText>
        </w:r>
        <w:r>
          <w:rPr>
            <w:noProof/>
            <w:webHidden/>
          </w:rPr>
        </w:r>
        <w:r>
          <w:rPr>
            <w:noProof/>
            <w:webHidden/>
          </w:rPr>
          <w:fldChar w:fldCharType="separate"/>
        </w:r>
        <w:r>
          <w:rPr>
            <w:noProof/>
            <w:webHidden/>
          </w:rPr>
          <w:t>12</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11" w:history="1">
        <w:r w:rsidRPr="00CA255A">
          <w:rPr>
            <w:rStyle w:val="Hyperlink"/>
            <w:noProof/>
          </w:rPr>
          <w:t>b)</w:t>
        </w:r>
        <w:r>
          <w:rPr>
            <w:rFonts w:eastAsiaTheme="minorEastAsia"/>
            <w:noProof/>
            <w:sz w:val="22"/>
            <w:szCs w:val="22"/>
            <w:lang w:eastAsia="ro-RO"/>
          </w:rPr>
          <w:tab/>
        </w:r>
        <w:r w:rsidRPr="00CA255A">
          <w:rPr>
            <w:rStyle w:val="Hyperlink"/>
            <w:noProof/>
          </w:rPr>
          <w:t>Cea de-a treia reclamantă</w:t>
        </w:r>
        <w:r>
          <w:rPr>
            <w:noProof/>
            <w:webHidden/>
          </w:rPr>
          <w:tab/>
        </w:r>
        <w:r>
          <w:rPr>
            <w:noProof/>
            <w:webHidden/>
          </w:rPr>
          <w:fldChar w:fldCharType="begin"/>
        </w:r>
        <w:r>
          <w:rPr>
            <w:noProof/>
            <w:webHidden/>
          </w:rPr>
          <w:instrText xml:space="preserve"> PAGEREF _Toc199273411 \h </w:instrText>
        </w:r>
        <w:r>
          <w:rPr>
            <w:noProof/>
            <w:webHidden/>
          </w:rPr>
        </w:r>
        <w:r>
          <w:rPr>
            <w:noProof/>
            <w:webHidden/>
          </w:rPr>
          <w:fldChar w:fldCharType="separate"/>
        </w:r>
        <w:r>
          <w:rPr>
            <w:noProof/>
            <w:webHidden/>
          </w:rPr>
          <w:t>12</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12" w:history="1">
        <w:r w:rsidRPr="00CA255A">
          <w:rPr>
            <w:rStyle w:val="Hyperlink"/>
            <w:noProof/>
          </w:rPr>
          <w:t>c)</w:t>
        </w:r>
        <w:r>
          <w:rPr>
            <w:rFonts w:eastAsiaTheme="minorEastAsia"/>
            <w:noProof/>
            <w:sz w:val="22"/>
            <w:szCs w:val="22"/>
            <w:lang w:eastAsia="ro-RO"/>
          </w:rPr>
          <w:tab/>
        </w:r>
        <w:r w:rsidRPr="00CA255A">
          <w:rPr>
            <w:rStyle w:val="Hyperlink"/>
            <w:noProof/>
          </w:rPr>
          <w:t>Cea de-a patra reclamantă</w:t>
        </w:r>
        <w:r>
          <w:rPr>
            <w:noProof/>
            <w:webHidden/>
          </w:rPr>
          <w:tab/>
        </w:r>
        <w:r>
          <w:rPr>
            <w:noProof/>
            <w:webHidden/>
          </w:rPr>
          <w:fldChar w:fldCharType="begin"/>
        </w:r>
        <w:r>
          <w:rPr>
            <w:noProof/>
            <w:webHidden/>
          </w:rPr>
          <w:instrText xml:space="preserve"> PAGEREF _Toc199273412 \h </w:instrText>
        </w:r>
        <w:r>
          <w:rPr>
            <w:noProof/>
            <w:webHidden/>
          </w:rPr>
        </w:r>
        <w:r>
          <w:rPr>
            <w:noProof/>
            <w:webHidden/>
          </w:rPr>
          <w:fldChar w:fldCharType="separate"/>
        </w:r>
        <w:r>
          <w:rPr>
            <w:noProof/>
            <w:webHidden/>
          </w:rPr>
          <w:t>13</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13" w:history="1">
        <w:r w:rsidRPr="00CA255A">
          <w:rPr>
            <w:rStyle w:val="Hyperlink"/>
            <w:noProof/>
          </w:rPr>
          <w:t>d)</w:t>
        </w:r>
        <w:r>
          <w:rPr>
            <w:rFonts w:eastAsiaTheme="minorEastAsia"/>
            <w:noProof/>
            <w:sz w:val="22"/>
            <w:szCs w:val="22"/>
            <w:lang w:eastAsia="ro-RO"/>
          </w:rPr>
          <w:tab/>
        </w:r>
        <w:r w:rsidRPr="00CA255A">
          <w:rPr>
            <w:rStyle w:val="Hyperlink"/>
            <w:noProof/>
          </w:rPr>
          <w:t>Cea de-a cincea reclamantă</w:t>
        </w:r>
        <w:r>
          <w:rPr>
            <w:noProof/>
            <w:webHidden/>
          </w:rPr>
          <w:tab/>
        </w:r>
        <w:r>
          <w:rPr>
            <w:noProof/>
            <w:webHidden/>
          </w:rPr>
          <w:fldChar w:fldCharType="begin"/>
        </w:r>
        <w:r>
          <w:rPr>
            <w:noProof/>
            <w:webHidden/>
          </w:rPr>
          <w:instrText xml:space="preserve"> PAGEREF _Toc199273413 \h </w:instrText>
        </w:r>
        <w:r>
          <w:rPr>
            <w:noProof/>
            <w:webHidden/>
          </w:rPr>
        </w:r>
        <w:r>
          <w:rPr>
            <w:noProof/>
            <w:webHidden/>
          </w:rPr>
          <w:fldChar w:fldCharType="separate"/>
        </w:r>
        <w:r>
          <w:rPr>
            <w:noProof/>
            <w:webHidden/>
          </w:rPr>
          <w:t>13</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14" w:history="1">
        <w:r w:rsidRPr="00CA255A">
          <w:rPr>
            <w:rStyle w:val="Hyperlink"/>
            <w:noProof/>
          </w:rPr>
          <w:t>B.</w:t>
        </w:r>
        <w:r>
          <w:rPr>
            <w:rFonts w:eastAsiaTheme="minorEastAsia"/>
            <w:noProof/>
            <w:sz w:val="22"/>
            <w:szCs w:val="22"/>
            <w:lang w:eastAsia="ro-RO"/>
          </w:rPr>
          <w:tab/>
        </w:r>
        <w:r w:rsidRPr="00CA255A">
          <w:rPr>
            <w:rStyle w:val="Hyperlink"/>
            <w:noProof/>
          </w:rPr>
          <w:t>Procedura inițiată de reclamante</w:t>
        </w:r>
        <w:r>
          <w:rPr>
            <w:noProof/>
            <w:webHidden/>
          </w:rPr>
          <w:tab/>
        </w:r>
        <w:r>
          <w:rPr>
            <w:noProof/>
            <w:webHidden/>
          </w:rPr>
          <w:fldChar w:fldCharType="begin"/>
        </w:r>
        <w:r>
          <w:rPr>
            <w:noProof/>
            <w:webHidden/>
          </w:rPr>
          <w:instrText xml:space="preserve"> PAGEREF _Toc199273414 \h </w:instrText>
        </w:r>
        <w:r>
          <w:rPr>
            <w:noProof/>
            <w:webHidden/>
          </w:rPr>
        </w:r>
        <w:r>
          <w:rPr>
            <w:noProof/>
            <w:webHidden/>
          </w:rPr>
          <w:fldChar w:fldCharType="separate"/>
        </w:r>
        <w:r>
          <w:rPr>
            <w:noProof/>
            <w:webHidden/>
          </w:rPr>
          <w:t>14</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15" w:history="1">
        <w:r w:rsidRPr="00CA255A">
          <w:rPr>
            <w:rStyle w:val="Hyperlink"/>
            <w:noProof/>
          </w:rPr>
          <w:t>1.</w:t>
        </w:r>
        <w:r>
          <w:rPr>
            <w:rFonts w:eastAsiaTheme="minorEastAsia"/>
            <w:noProof/>
            <w:sz w:val="22"/>
            <w:szCs w:val="22"/>
            <w:lang w:eastAsia="ro-RO"/>
          </w:rPr>
          <w:tab/>
        </w:r>
        <w:r w:rsidRPr="00CA255A">
          <w:rPr>
            <w:rStyle w:val="Hyperlink"/>
            <w:noProof/>
          </w:rPr>
          <w:t>Cererile adresate de reclamante autorităților</w:t>
        </w:r>
        <w:r>
          <w:rPr>
            <w:noProof/>
            <w:webHidden/>
          </w:rPr>
          <w:tab/>
        </w:r>
        <w:r>
          <w:rPr>
            <w:noProof/>
            <w:webHidden/>
          </w:rPr>
          <w:fldChar w:fldCharType="begin"/>
        </w:r>
        <w:r>
          <w:rPr>
            <w:noProof/>
            <w:webHidden/>
          </w:rPr>
          <w:instrText xml:space="preserve"> PAGEREF _Toc199273415 \h </w:instrText>
        </w:r>
        <w:r>
          <w:rPr>
            <w:noProof/>
            <w:webHidden/>
          </w:rPr>
        </w:r>
        <w:r>
          <w:rPr>
            <w:noProof/>
            <w:webHidden/>
          </w:rPr>
          <w:fldChar w:fldCharType="separate"/>
        </w:r>
        <w:r>
          <w:rPr>
            <w:noProof/>
            <w:webHidden/>
          </w:rPr>
          <w:t>14</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16" w:history="1">
        <w:r w:rsidRPr="00CA255A">
          <w:rPr>
            <w:rStyle w:val="Hyperlink"/>
            <w:noProof/>
          </w:rPr>
          <w:t>2.</w:t>
        </w:r>
        <w:r>
          <w:rPr>
            <w:rFonts w:eastAsiaTheme="minorEastAsia"/>
            <w:noProof/>
            <w:sz w:val="22"/>
            <w:szCs w:val="22"/>
            <w:lang w:eastAsia="ro-RO"/>
          </w:rPr>
          <w:tab/>
        </w:r>
        <w:r w:rsidRPr="00CA255A">
          <w:rPr>
            <w:rStyle w:val="Hyperlink"/>
            <w:noProof/>
          </w:rPr>
          <w:t>Procedura în fața Tribunalului Administrativ Federal (Tribunal administratif fédéral)</w:t>
        </w:r>
        <w:r>
          <w:rPr>
            <w:noProof/>
            <w:webHidden/>
          </w:rPr>
          <w:tab/>
        </w:r>
        <w:r>
          <w:rPr>
            <w:noProof/>
            <w:webHidden/>
          </w:rPr>
          <w:fldChar w:fldCharType="begin"/>
        </w:r>
        <w:r>
          <w:rPr>
            <w:noProof/>
            <w:webHidden/>
          </w:rPr>
          <w:instrText xml:space="preserve"> PAGEREF _Toc199273416 \h </w:instrText>
        </w:r>
        <w:r>
          <w:rPr>
            <w:noProof/>
            <w:webHidden/>
          </w:rPr>
        </w:r>
        <w:r>
          <w:rPr>
            <w:noProof/>
            <w:webHidden/>
          </w:rPr>
          <w:fldChar w:fldCharType="separate"/>
        </w:r>
        <w:r>
          <w:rPr>
            <w:noProof/>
            <w:webHidden/>
          </w:rPr>
          <w:t>18</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17" w:history="1">
        <w:r w:rsidRPr="00CA255A">
          <w:rPr>
            <w:rStyle w:val="Hyperlink"/>
            <w:noProof/>
          </w:rPr>
          <w:t>a)</w:t>
        </w:r>
        <w:r>
          <w:rPr>
            <w:rFonts w:eastAsiaTheme="minorEastAsia"/>
            <w:noProof/>
            <w:sz w:val="22"/>
            <w:szCs w:val="22"/>
            <w:lang w:eastAsia="ro-RO"/>
          </w:rPr>
          <w:tab/>
        </w:r>
        <w:r w:rsidRPr="00CA255A">
          <w:rPr>
            <w:rStyle w:val="Hyperlink"/>
            <w:noProof/>
          </w:rPr>
          <w:t>Recursul declarat de reclamante</w:t>
        </w:r>
        <w:r>
          <w:rPr>
            <w:noProof/>
            <w:webHidden/>
          </w:rPr>
          <w:tab/>
        </w:r>
        <w:r>
          <w:rPr>
            <w:noProof/>
            <w:webHidden/>
          </w:rPr>
          <w:fldChar w:fldCharType="begin"/>
        </w:r>
        <w:r>
          <w:rPr>
            <w:noProof/>
            <w:webHidden/>
          </w:rPr>
          <w:instrText xml:space="preserve"> PAGEREF _Toc199273417 \h </w:instrText>
        </w:r>
        <w:r>
          <w:rPr>
            <w:noProof/>
            <w:webHidden/>
          </w:rPr>
        </w:r>
        <w:r>
          <w:rPr>
            <w:noProof/>
            <w:webHidden/>
          </w:rPr>
          <w:fldChar w:fldCharType="separate"/>
        </w:r>
        <w:r>
          <w:rPr>
            <w:noProof/>
            <w:webHidden/>
          </w:rPr>
          <w:t>18</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18" w:history="1">
        <w:r w:rsidRPr="00CA255A">
          <w:rPr>
            <w:rStyle w:val="Hyperlink"/>
            <w:noProof/>
          </w:rPr>
          <w:t>b)</w:t>
        </w:r>
        <w:r>
          <w:rPr>
            <w:rFonts w:eastAsiaTheme="minorEastAsia"/>
            <w:noProof/>
            <w:sz w:val="22"/>
            <w:szCs w:val="22"/>
            <w:lang w:eastAsia="ro-RO"/>
          </w:rPr>
          <w:tab/>
        </w:r>
        <w:r w:rsidRPr="00CA255A">
          <w:rPr>
            <w:rStyle w:val="Hyperlink"/>
            <w:noProof/>
          </w:rPr>
          <w:t>Decizia TAF</w:t>
        </w:r>
        <w:r>
          <w:rPr>
            <w:noProof/>
            <w:webHidden/>
          </w:rPr>
          <w:tab/>
        </w:r>
        <w:r>
          <w:rPr>
            <w:noProof/>
            <w:webHidden/>
          </w:rPr>
          <w:fldChar w:fldCharType="begin"/>
        </w:r>
        <w:r>
          <w:rPr>
            <w:noProof/>
            <w:webHidden/>
          </w:rPr>
          <w:instrText xml:space="preserve"> PAGEREF _Toc199273418 \h </w:instrText>
        </w:r>
        <w:r>
          <w:rPr>
            <w:noProof/>
            <w:webHidden/>
          </w:rPr>
        </w:r>
        <w:r>
          <w:rPr>
            <w:noProof/>
            <w:webHidden/>
          </w:rPr>
          <w:fldChar w:fldCharType="separate"/>
        </w:r>
        <w:r>
          <w:rPr>
            <w:noProof/>
            <w:webHidden/>
          </w:rPr>
          <w:t>18</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19" w:history="1">
        <w:r w:rsidRPr="00CA255A">
          <w:rPr>
            <w:rStyle w:val="Hyperlink"/>
            <w:noProof/>
          </w:rPr>
          <w:t>3.</w:t>
        </w:r>
        <w:r>
          <w:rPr>
            <w:rFonts w:eastAsiaTheme="minorEastAsia"/>
            <w:noProof/>
            <w:sz w:val="22"/>
            <w:szCs w:val="22"/>
            <w:lang w:eastAsia="ro-RO"/>
          </w:rPr>
          <w:tab/>
        </w:r>
        <w:r w:rsidRPr="00CA255A">
          <w:rPr>
            <w:rStyle w:val="Hyperlink"/>
            <w:noProof/>
          </w:rPr>
          <w:t>Procedura în fața Tribunalului Federal (Tribunal fédéral)</w:t>
        </w:r>
        <w:r>
          <w:rPr>
            <w:noProof/>
            <w:webHidden/>
          </w:rPr>
          <w:tab/>
        </w:r>
        <w:r>
          <w:rPr>
            <w:noProof/>
            <w:webHidden/>
          </w:rPr>
          <w:fldChar w:fldCharType="begin"/>
        </w:r>
        <w:r>
          <w:rPr>
            <w:noProof/>
            <w:webHidden/>
          </w:rPr>
          <w:instrText xml:space="preserve"> PAGEREF _Toc199273419 \h </w:instrText>
        </w:r>
        <w:r>
          <w:rPr>
            <w:noProof/>
            <w:webHidden/>
          </w:rPr>
        </w:r>
        <w:r>
          <w:rPr>
            <w:noProof/>
            <w:webHidden/>
          </w:rPr>
          <w:fldChar w:fldCharType="separate"/>
        </w:r>
        <w:r>
          <w:rPr>
            <w:noProof/>
            <w:webHidden/>
          </w:rPr>
          <w:t>21</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20" w:history="1">
        <w:r w:rsidRPr="00CA255A">
          <w:rPr>
            <w:rStyle w:val="Hyperlink"/>
            <w:noProof/>
          </w:rPr>
          <w:t>a)</w:t>
        </w:r>
        <w:r>
          <w:rPr>
            <w:rFonts w:eastAsiaTheme="minorEastAsia"/>
            <w:noProof/>
            <w:sz w:val="22"/>
            <w:szCs w:val="22"/>
            <w:lang w:eastAsia="ro-RO"/>
          </w:rPr>
          <w:tab/>
        </w:r>
        <w:r w:rsidRPr="00CA255A">
          <w:rPr>
            <w:rStyle w:val="Hyperlink"/>
            <w:noProof/>
          </w:rPr>
          <w:t>Recursul formulat de reclamante</w:t>
        </w:r>
        <w:r>
          <w:rPr>
            <w:noProof/>
            <w:webHidden/>
          </w:rPr>
          <w:tab/>
        </w:r>
        <w:r>
          <w:rPr>
            <w:noProof/>
            <w:webHidden/>
          </w:rPr>
          <w:fldChar w:fldCharType="begin"/>
        </w:r>
        <w:r>
          <w:rPr>
            <w:noProof/>
            <w:webHidden/>
          </w:rPr>
          <w:instrText xml:space="preserve"> PAGEREF _Toc199273420 \h </w:instrText>
        </w:r>
        <w:r>
          <w:rPr>
            <w:noProof/>
            <w:webHidden/>
          </w:rPr>
        </w:r>
        <w:r>
          <w:rPr>
            <w:noProof/>
            <w:webHidden/>
          </w:rPr>
          <w:fldChar w:fldCharType="separate"/>
        </w:r>
        <w:r>
          <w:rPr>
            <w:noProof/>
            <w:webHidden/>
          </w:rPr>
          <w:t>21</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21" w:history="1">
        <w:r w:rsidRPr="00CA255A">
          <w:rPr>
            <w:rStyle w:val="Hyperlink"/>
            <w:noProof/>
          </w:rPr>
          <w:t>b)</w:t>
        </w:r>
        <w:r>
          <w:rPr>
            <w:rFonts w:eastAsiaTheme="minorEastAsia"/>
            <w:noProof/>
            <w:sz w:val="22"/>
            <w:szCs w:val="22"/>
            <w:lang w:eastAsia="ro-RO"/>
          </w:rPr>
          <w:tab/>
        </w:r>
        <w:r w:rsidRPr="00CA255A">
          <w:rPr>
            <w:rStyle w:val="Hyperlink"/>
            <w:noProof/>
          </w:rPr>
          <w:t>Hotărârea pronunțată de TF</w:t>
        </w:r>
        <w:r>
          <w:rPr>
            <w:noProof/>
            <w:webHidden/>
          </w:rPr>
          <w:tab/>
        </w:r>
        <w:r>
          <w:rPr>
            <w:noProof/>
            <w:webHidden/>
          </w:rPr>
          <w:fldChar w:fldCharType="begin"/>
        </w:r>
        <w:r>
          <w:rPr>
            <w:noProof/>
            <w:webHidden/>
          </w:rPr>
          <w:instrText xml:space="preserve"> PAGEREF _Toc199273421 \h </w:instrText>
        </w:r>
        <w:r>
          <w:rPr>
            <w:noProof/>
            <w:webHidden/>
          </w:rPr>
        </w:r>
        <w:r>
          <w:rPr>
            <w:noProof/>
            <w:webHidden/>
          </w:rPr>
          <w:fldChar w:fldCharType="separate"/>
        </w:r>
        <w:r>
          <w:rPr>
            <w:noProof/>
            <w:webHidden/>
          </w:rPr>
          <w:t>23</w:t>
        </w:r>
        <w:r>
          <w:rPr>
            <w:noProof/>
            <w:webHidden/>
          </w:rPr>
          <w:fldChar w:fldCharType="end"/>
        </w:r>
      </w:hyperlink>
    </w:p>
    <w:p w:rsidR="00690E9D" w:rsidRDefault="00690E9D">
      <w:pPr>
        <w:pStyle w:val="TOC2"/>
        <w:tabs>
          <w:tab w:val="left" w:pos="1020"/>
        </w:tabs>
        <w:rPr>
          <w:rFonts w:eastAsiaTheme="minorEastAsia"/>
          <w:noProof/>
          <w:szCs w:val="22"/>
          <w:lang w:eastAsia="ro-RO"/>
        </w:rPr>
      </w:pPr>
      <w:hyperlink w:anchor="_Toc199273422" w:history="1">
        <w:r w:rsidRPr="00CA255A">
          <w:rPr>
            <w:rStyle w:val="Hyperlink"/>
            <w:noProof/>
          </w:rPr>
          <w:t>II.</w:t>
        </w:r>
        <w:r>
          <w:rPr>
            <w:rFonts w:eastAsiaTheme="minorEastAsia"/>
            <w:noProof/>
            <w:szCs w:val="22"/>
            <w:lang w:eastAsia="ro-RO"/>
          </w:rPr>
          <w:tab/>
        </w:r>
        <w:r w:rsidRPr="00CA255A">
          <w:rPr>
            <w:rStyle w:val="Hyperlink"/>
            <w:noProof/>
          </w:rPr>
          <w:t>FAPTE REFERITOARE LA SCHIMBĂRILE CLIMATICE</w:t>
        </w:r>
        <w:r>
          <w:rPr>
            <w:noProof/>
            <w:webHidden/>
          </w:rPr>
          <w:tab/>
        </w:r>
        <w:r>
          <w:rPr>
            <w:noProof/>
            <w:webHidden/>
          </w:rPr>
          <w:fldChar w:fldCharType="begin"/>
        </w:r>
        <w:r>
          <w:rPr>
            <w:noProof/>
            <w:webHidden/>
          </w:rPr>
          <w:instrText xml:space="preserve"> PAGEREF _Toc199273422 \h </w:instrText>
        </w:r>
        <w:r>
          <w:rPr>
            <w:noProof/>
            <w:webHidden/>
          </w:rPr>
        </w:r>
        <w:r>
          <w:rPr>
            <w:noProof/>
            <w:webHidden/>
          </w:rPr>
          <w:fldChar w:fldCharType="separate"/>
        </w:r>
        <w:r>
          <w:rPr>
            <w:noProof/>
            <w:webHidden/>
          </w:rPr>
          <w:t>26</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23" w:history="1">
        <w:r w:rsidRPr="00CA255A">
          <w:rPr>
            <w:rStyle w:val="Hyperlink"/>
            <w:noProof/>
          </w:rPr>
          <w:t>A.</w:t>
        </w:r>
        <w:r>
          <w:rPr>
            <w:rFonts w:eastAsiaTheme="minorEastAsia"/>
            <w:noProof/>
            <w:sz w:val="22"/>
            <w:szCs w:val="22"/>
            <w:lang w:eastAsia="ro-RO"/>
          </w:rPr>
          <w:tab/>
        </w:r>
        <w:r w:rsidRPr="00CA255A">
          <w:rPr>
            <w:rStyle w:val="Hyperlink"/>
            <w:noProof/>
          </w:rPr>
          <w:t>Elemente prezentate de reclamante</w:t>
        </w:r>
        <w:r>
          <w:rPr>
            <w:noProof/>
            <w:webHidden/>
          </w:rPr>
          <w:tab/>
        </w:r>
        <w:r>
          <w:rPr>
            <w:noProof/>
            <w:webHidden/>
          </w:rPr>
          <w:fldChar w:fldCharType="begin"/>
        </w:r>
        <w:r>
          <w:rPr>
            <w:noProof/>
            <w:webHidden/>
          </w:rPr>
          <w:instrText xml:space="preserve"> PAGEREF _Toc199273423 \h </w:instrText>
        </w:r>
        <w:r>
          <w:rPr>
            <w:noProof/>
            <w:webHidden/>
          </w:rPr>
        </w:r>
        <w:r>
          <w:rPr>
            <w:noProof/>
            <w:webHidden/>
          </w:rPr>
          <w:fldChar w:fldCharType="separate"/>
        </w:r>
        <w:r>
          <w:rPr>
            <w:noProof/>
            <w:webHidden/>
          </w:rPr>
          <w:t>26</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24" w:history="1">
        <w:r w:rsidRPr="00CA255A">
          <w:rPr>
            <w:rStyle w:val="Hyperlink"/>
            <w:noProof/>
          </w:rPr>
          <w:t>1.</w:t>
        </w:r>
        <w:r>
          <w:rPr>
            <w:rFonts w:eastAsiaTheme="minorEastAsia"/>
            <w:noProof/>
            <w:sz w:val="22"/>
            <w:szCs w:val="22"/>
            <w:lang w:eastAsia="ro-RO"/>
          </w:rPr>
          <w:tab/>
        </w:r>
        <w:r w:rsidRPr="00CA255A">
          <w:rPr>
            <w:rStyle w:val="Hyperlink"/>
            <w:noProof/>
          </w:rPr>
          <w:t>Observații generale privind schimbările climatice</w:t>
        </w:r>
        <w:r>
          <w:rPr>
            <w:noProof/>
            <w:webHidden/>
          </w:rPr>
          <w:tab/>
        </w:r>
        <w:r>
          <w:rPr>
            <w:noProof/>
            <w:webHidden/>
          </w:rPr>
          <w:fldChar w:fldCharType="begin"/>
        </w:r>
        <w:r>
          <w:rPr>
            <w:noProof/>
            <w:webHidden/>
          </w:rPr>
          <w:instrText xml:space="preserve"> PAGEREF _Toc199273424 \h </w:instrText>
        </w:r>
        <w:r>
          <w:rPr>
            <w:noProof/>
            <w:webHidden/>
          </w:rPr>
        </w:r>
        <w:r>
          <w:rPr>
            <w:noProof/>
            <w:webHidden/>
          </w:rPr>
          <w:fldChar w:fldCharType="separate"/>
        </w:r>
        <w:r>
          <w:rPr>
            <w:noProof/>
            <w:webHidden/>
          </w:rPr>
          <w:t>26</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25" w:history="1">
        <w:r w:rsidRPr="00CA255A">
          <w:rPr>
            <w:rStyle w:val="Hyperlink"/>
            <w:noProof/>
          </w:rPr>
          <w:t>2.</w:t>
        </w:r>
        <w:r>
          <w:rPr>
            <w:rFonts w:eastAsiaTheme="minorEastAsia"/>
            <w:noProof/>
            <w:sz w:val="22"/>
            <w:szCs w:val="22"/>
            <w:lang w:eastAsia="ro-RO"/>
          </w:rPr>
          <w:tab/>
        </w:r>
        <w:r w:rsidRPr="00CA255A">
          <w:rPr>
            <w:rStyle w:val="Hyperlink"/>
            <w:noProof/>
          </w:rPr>
          <w:t>Situația din Elveția</w:t>
        </w:r>
        <w:r>
          <w:rPr>
            <w:noProof/>
            <w:webHidden/>
          </w:rPr>
          <w:tab/>
        </w:r>
        <w:r>
          <w:rPr>
            <w:noProof/>
            <w:webHidden/>
          </w:rPr>
          <w:fldChar w:fldCharType="begin"/>
        </w:r>
        <w:r>
          <w:rPr>
            <w:noProof/>
            <w:webHidden/>
          </w:rPr>
          <w:instrText xml:space="preserve"> PAGEREF _Toc199273425 \h </w:instrText>
        </w:r>
        <w:r>
          <w:rPr>
            <w:noProof/>
            <w:webHidden/>
          </w:rPr>
        </w:r>
        <w:r>
          <w:rPr>
            <w:noProof/>
            <w:webHidden/>
          </w:rPr>
          <w:fldChar w:fldCharType="separate"/>
        </w:r>
        <w:r>
          <w:rPr>
            <w:noProof/>
            <w:webHidden/>
          </w:rPr>
          <w:t>27</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26" w:history="1">
        <w:r w:rsidRPr="00CA255A">
          <w:rPr>
            <w:rStyle w:val="Hyperlink"/>
            <w:noProof/>
          </w:rPr>
          <w:t>3.</w:t>
        </w:r>
        <w:r>
          <w:rPr>
            <w:rFonts w:eastAsiaTheme="minorEastAsia"/>
            <w:noProof/>
            <w:sz w:val="22"/>
            <w:szCs w:val="22"/>
            <w:lang w:eastAsia="ro-RO"/>
          </w:rPr>
          <w:tab/>
        </w:r>
        <w:r w:rsidRPr="00CA255A">
          <w:rPr>
            <w:rStyle w:val="Hyperlink"/>
            <w:noProof/>
          </w:rPr>
          <w:t>Măsurile adoptate de autoritățile elvețiene</w:t>
        </w:r>
        <w:r>
          <w:rPr>
            <w:noProof/>
            <w:webHidden/>
          </w:rPr>
          <w:tab/>
        </w:r>
        <w:r>
          <w:rPr>
            <w:noProof/>
            <w:webHidden/>
          </w:rPr>
          <w:fldChar w:fldCharType="begin"/>
        </w:r>
        <w:r>
          <w:rPr>
            <w:noProof/>
            <w:webHidden/>
          </w:rPr>
          <w:instrText xml:space="preserve"> PAGEREF _Toc199273426 \h </w:instrText>
        </w:r>
        <w:r>
          <w:rPr>
            <w:noProof/>
            <w:webHidden/>
          </w:rPr>
        </w:r>
        <w:r>
          <w:rPr>
            <w:noProof/>
            <w:webHidden/>
          </w:rPr>
          <w:fldChar w:fldCharType="separate"/>
        </w:r>
        <w:r>
          <w:rPr>
            <w:noProof/>
            <w:webHidden/>
          </w:rPr>
          <w:t>29</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27" w:history="1">
        <w:r w:rsidRPr="00CA255A">
          <w:rPr>
            <w:rStyle w:val="Hyperlink"/>
            <w:noProof/>
          </w:rPr>
          <w:t>B.</w:t>
        </w:r>
        <w:r>
          <w:rPr>
            <w:rFonts w:eastAsiaTheme="minorEastAsia"/>
            <w:noProof/>
            <w:sz w:val="22"/>
            <w:szCs w:val="22"/>
            <w:lang w:eastAsia="ro-RO"/>
          </w:rPr>
          <w:tab/>
        </w:r>
        <w:r w:rsidRPr="00CA255A">
          <w:rPr>
            <w:rStyle w:val="Hyperlink"/>
            <w:noProof/>
          </w:rPr>
          <w:t>Elemente prezentate de Guvern</w:t>
        </w:r>
        <w:r>
          <w:rPr>
            <w:noProof/>
            <w:webHidden/>
          </w:rPr>
          <w:tab/>
        </w:r>
        <w:r>
          <w:rPr>
            <w:noProof/>
            <w:webHidden/>
          </w:rPr>
          <w:fldChar w:fldCharType="begin"/>
        </w:r>
        <w:r>
          <w:rPr>
            <w:noProof/>
            <w:webHidden/>
          </w:rPr>
          <w:instrText xml:space="preserve"> PAGEREF _Toc199273427 \h </w:instrText>
        </w:r>
        <w:r>
          <w:rPr>
            <w:noProof/>
            <w:webHidden/>
          </w:rPr>
        </w:r>
        <w:r>
          <w:rPr>
            <w:noProof/>
            <w:webHidden/>
          </w:rPr>
          <w:fldChar w:fldCharType="separate"/>
        </w:r>
        <w:r>
          <w:rPr>
            <w:noProof/>
            <w:webHidden/>
          </w:rPr>
          <w:t>33</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28" w:history="1">
        <w:r w:rsidRPr="00CA255A">
          <w:rPr>
            <w:rStyle w:val="Hyperlink"/>
            <w:noProof/>
          </w:rPr>
          <w:t>1.</w:t>
        </w:r>
        <w:r>
          <w:rPr>
            <w:rFonts w:eastAsiaTheme="minorEastAsia"/>
            <w:noProof/>
            <w:sz w:val="22"/>
            <w:szCs w:val="22"/>
            <w:lang w:eastAsia="ro-RO"/>
          </w:rPr>
          <w:tab/>
        </w:r>
        <w:r w:rsidRPr="00CA255A">
          <w:rPr>
            <w:rStyle w:val="Hyperlink"/>
            <w:noProof/>
          </w:rPr>
          <w:t>Prima etapă</w:t>
        </w:r>
        <w:r>
          <w:rPr>
            <w:noProof/>
            <w:webHidden/>
          </w:rPr>
          <w:tab/>
        </w:r>
        <w:r>
          <w:rPr>
            <w:noProof/>
            <w:webHidden/>
          </w:rPr>
          <w:fldChar w:fldCharType="begin"/>
        </w:r>
        <w:r>
          <w:rPr>
            <w:noProof/>
            <w:webHidden/>
          </w:rPr>
          <w:instrText xml:space="preserve"> PAGEREF _Toc199273428 \h </w:instrText>
        </w:r>
        <w:r>
          <w:rPr>
            <w:noProof/>
            <w:webHidden/>
          </w:rPr>
        </w:r>
        <w:r>
          <w:rPr>
            <w:noProof/>
            <w:webHidden/>
          </w:rPr>
          <w:fldChar w:fldCharType="separate"/>
        </w:r>
        <w:r>
          <w:rPr>
            <w:noProof/>
            <w:webHidden/>
          </w:rPr>
          <w:t>33</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29" w:history="1">
        <w:r w:rsidRPr="00CA255A">
          <w:rPr>
            <w:rStyle w:val="Hyperlink"/>
            <w:noProof/>
          </w:rPr>
          <w:t>2.</w:t>
        </w:r>
        <w:r>
          <w:rPr>
            <w:rFonts w:eastAsiaTheme="minorEastAsia"/>
            <w:noProof/>
            <w:sz w:val="22"/>
            <w:szCs w:val="22"/>
            <w:lang w:eastAsia="ro-RO"/>
          </w:rPr>
          <w:tab/>
        </w:r>
        <w:r w:rsidRPr="00CA255A">
          <w:rPr>
            <w:rStyle w:val="Hyperlink"/>
            <w:noProof/>
          </w:rPr>
          <w:t>Cea de-a doua etapă</w:t>
        </w:r>
        <w:r>
          <w:rPr>
            <w:noProof/>
            <w:webHidden/>
          </w:rPr>
          <w:tab/>
        </w:r>
        <w:r>
          <w:rPr>
            <w:noProof/>
            <w:webHidden/>
          </w:rPr>
          <w:fldChar w:fldCharType="begin"/>
        </w:r>
        <w:r>
          <w:rPr>
            <w:noProof/>
            <w:webHidden/>
          </w:rPr>
          <w:instrText xml:space="preserve"> PAGEREF _Toc199273429 \h </w:instrText>
        </w:r>
        <w:r>
          <w:rPr>
            <w:noProof/>
            <w:webHidden/>
          </w:rPr>
        </w:r>
        <w:r>
          <w:rPr>
            <w:noProof/>
            <w:webHidden/>
          </w:rPr>
          <w:fldChar w:fldCharType="separate"/>
        </w:r>
        <w:r>
          <w:rPr>
            <w:noProof/>
            <w:webHidden/>
          </w:rPr>
          <w:t>37</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30" w:history="1">
        <w:r w:rsidRPr="00CA255A">
          <w:rPr>
            <w:rStyle w:val="Hyperlink"/>
            <w:noProof/>
          </w:rPr>
          <w:t>C.</w:t>
        </w:r>
        <w:r>
          <w:rPr>
            <w:rFonts w:eastAsiaTheme="minorEastAsia"/>
            <w:noProof/>
            <w:sz w:val="22"/>
            <w:szCs w:val="22"/>
            <w:lang w:eastAsia="ro-RO"/>
          </w:rPr>
          <w:tab/>
        </w:r>
        <w:r w:rsidRPr="00CA255A">
          <w:rPr>
            <w:rStyle w:val="Hyperlink"/>
            <w:noProof/>
          </w:rPr>
          <w:t>Fapte legate de schimbările climatice care reies din elementele de care dispune Curtea</w:t>
        </w:r>
        <w:r>
          <w:rPr>
            <w:noProof/>
            <w:webHidden/>
          </w:rPr>
          <w:tab/>
        </w:r>
        <w:r>
          <w:rPr>
            <w:noProof/>
            <w:webHidden/>
          </w:rPr>
          <w:fldChar w:fldCharType="begin"/>
        </w:r>
        <w:r>
          <w:rPr>
            <w:noProof/>
            <w:webHidden/>
          </w:rPr>
          <w:instrText xml:space="preserve"> PAGEREF _Toc199273430 \h </w:instrText>
        </w:r>
        <w:r>
          <w:rPr>
            <w:noProof/>
            <w:webHidden/>
          </w:rPr>
        </w:r>
        <w:r>
          <w:rPr>
            <w:noProof/>
            <w:webHidden/>
          </w:rPr>
          <w:fldChar w:fldCharType="separate"/>
        </w:r>
        <w:r>
          <w:rPr>
            <w:noProof/>
            <w:webHidden/>
          </w:rPr>
          <w:t>39</w:t>
        </w:r>
        <w:r>
          <w:rPr>
            <w:noProof/>
            <w:webHidden/>
          </w:rPr>
          <w:fldChar w:fldCharType="end"/>
        </w:r>
      </w:hyperlink>
    </w:p>
    <w:p w:rsidR="00690E9D" w:rsidRDefault="00690E9D">
      <w:pPr>
        <w:pStyle w:val="TOC1"/>
        <w:rPr>
          <w:rFonts w:eastAsiaTheme="minorEastAsia"/>
          <w:b w:val="0"/>
          <w:noProof/>
          <w:szCs w:val="22"/>
          <w:lang w:eastAsia="ro-RO"/>
        </w:rPr>
      </w:pPr>
      <w:hyperlink w:anchor="_Toc199273431" w:history="1">
        <w:r w:rsidRPr="00CA255A">
          <w:rPr>
            <w:rStyle w:val="Hyperlink"/>
            <w:noProof/>
          </w:rPr>
          <w:t>CADRUL JURIDIC ȘI PRACTICA INTERNE RELEVANTE</w:t>
        </w:r>
        <w:r>
          <w:rPr>
            <w:noProof/>
            <w:webHidden/>
          </w:rPr>
          <w:tab/>
        </w:r>
        <w:r>
          <w:rPr>
            <w:noProof/>
            <w:webHidden/>
          </w:rPr>
          <w:fldChar w:fldCharType="begin"/>
        </w:r>
        <w:r>
          <w:rPr>
            <w:noProof/>
            <w:webHidden/>
          </w:rPr>
          <w:instrText xml:space="preserve"> PAGEREF _Toc199273431 \h </w:instrText>
        </w:r>
        <w:r>
          <w:rPr>
            <w:noProof/>
            <w:webHidden/>
          </w:rPr>
        </w:r>
        <w:r>
          <w:rPr>
            <w:noProof/>
            <w:webHidden/>
          </w:rPr>
          <w:fldChar w:fldCharType="separate"/>
        </w:r>
        <w:r>
          <w:rPr>
            <w:noProof/>
            <w:webHidden/>
          </w:rPr>
          <w:t>46</w:t>
        </w:r>
        <w:r>
          <w:rPr>
            <w:noProof/>
            <w:webHidden/>
          </w:rPr>
          <w:fldChar w:fldCharType="end"/>
        </w:r>
      </w:hyperlink>
    </w:p>
    <w:p w:rsidR="00690E9D" w:rsidRDefault="00690E9D">
      <w:pPr>
        <w:pStyle w:val="TOC2"/>
        <w:tabs>
          <w:tab w:val="left" w:pos="680"/>
        </w:tabs>
        <w:rPr>
          <w:rFonts w:eastAsiaTheme="minorEastAsia"/>
          <w:noProof/>
          <w:szCs w:val="22"/>
          <w:lang w:eastAsia="ro-RO"/>
        </w:rPr>
      </w:pPr>
      <w:hyperlink w:anchor="_Toc199273432" w:history="1">
        <w:r w:rsidRPr="00CA255A">
          <w:rPr>
            <w:rStyle w:val="Hyperlink"/>
            <w:noProof/>
          </w:rPr>
          <w:t>I.</w:t>
        </w:r>
        <w:r>
          <w:rPr>
            <w:rFonts w:eastAsiaTheme="minorEastAsia"/>
            <w:noProof/>
            <w:szCs w:val="22"/>
            <w:lang w:eastAsia="ro-RO"/>
          </w:rPr>
          <w:tab/>
        </w:r>
        <w:r w:rsidRPr="00CA255A">
          <w:rPr>
            <w:rStyle w:val="Hyperlink"/>
            <w:noProof/>
          </w:rPr>
          <w:t>CADRUL JURIDIC INTERN</w:t>
        </w:r>
        <w:r>
          <w:rPr>
            <w:noProof/>
            <w:webHidden/>
          </w:rPr>
          <w:tab/>
        </w:r>
        <w:r>
          <w:rPr>
            <w:noProof/>
            <w:webHidden/>
          </w:rPr>
          <w:fldChar w:fldCharType="begin"/>
        </w:r>
        <w:r>
          <w:rPr>
            <w:noProof/>
            <w:webHidden/>
          </w:rPr>
          <w:instrText xml:space="preserve"> PAGEREF _Toc199273432 \h </w:instrText>
        </w:r>
        <w:r>
          <w:rPr>
            <w:noProof/>
            <w:webHidden/>
          </w:rPr>
        </w:r>
        <w:r>
          <w:rPr>
            <w:noProof/>
            <w:webHidden/>
          </w:rPr>
          <w:fldChar w:fldCharType="separate"/>
        </w:r>
        <w:r>
          <w:rPr>
            <w:noProof/>
            <w:webHidden/>
          </w:rPr>
          <w:t>46</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33" w:history="1">
        <w:r w:rsidRPr="00CA255A">
          <w:rPr>
            <w:rStyle w:val="Hyperlink"/>
            <w:noProof/>
          </w:rPr>
          <w:t>A.</w:t>
        </w:r>
        <w:r>
          <w:rPr>
            <w:rFonts w:eastAsiaTheme="minorEastAsia"/>
            <w:noProof/>
            <w:sz w:val="22"/>
            <w:szCs w:val="22"/>
            <w:lang w:eastAsia="ro-RO"/>
          </w:rPr>
          <w:tab/>
        </w:r>
        <w:r w:rsidRPr="00CA255A">
          <w:rPr>
            <w:rStyle w:val="Hyperlink"/>
            <w:noProof/>
          </w:rPr>
          <w:t>Constituția</w:t>
        </w:r>
        <w:r>
          <w:rPr>
            <w:noProof/>
            <w:webHidden/>
          </w:rPr>
          <w:tab/>
        </w:r>
        <w:r>
          <w:rPr>
            <w:noProof/>
            <w:webHidden/>
          </w:rPr>
          <w:fldChar w:fldCharType="begin"/>
        </w:r>
        <w:r>
          <w:rPr>
            <w:noProof/>
            <w:webHidden/>
          </w:rPr>
          <w:instrText xml:space="preserve"> PAGEREF _Toc199273433 \h </w:instrText>
        </w:r>
        <w:r>
          <w:rPr>
            <w:noProof/>
            <w:webHidden/>
          </w:rPr>
        </w:r>
        <w:r>
          <w:rPr>
            <w:noProof/>
            <w:webHidden/>
          </w:rPr>
          <w:fldChar w:fldCharType="separate"/>
        </w:r>
        <w:r>
          <w:rPr>
            <w:noProof/>
            <w:webHidden/>
          </w:rPr>
          <w:t>46</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34" w:history="1">
        <w:r w:rsidRPr="00CA255A">
          <w:rPr>
            <w:rStyle w:val="Hyperlink"/>
            <w:noProof/>
          </w:rPr>
          <w:t>B.</w:t>
        </w:r>
        <w:r>
          <w:rPr>
            <w:rFonts w:eastAsiaTheme="minorEastAsia"/>
            <w:noProof/>
            <w:sz w:val="22"/>
            <w:szCs w:val="22"/>
            <w:lang w:eastAsia="ro-RO"/>
          </w:rPr>
          <w:tab/>
        </w:r>
        <w:r w:rsidRPr="00CA255A">
          <w:rPr>
            <w:rStyle w:val="Hyperlink"/>
            <w:noProof/>
          </w:rPr>
          <w:t>Legea federală privind protecția mediului</w:t>
        </w:r>
        <w:r>
          <w:rPr>
            <w:noProof/>
            <w:webHidden/>
          </w:rPr>
          <w:tab/>
        </w:r>
        <w:r>
          <w:rPr>
            <w:noProof/>
            <w:webHidden/>
          </w:rPr>
          <w:fldChar w:fldCharType="begin"/>
        </w:r>
        <w:r>
          <w:rPr>
            <w:noProof/>
            <w:webHidden/>
          </w:rPr>
          <w:instrText xml:space="preserve"> PAGEREF _Toc199273434 \h </w:instrText>
        </w:r>
        <w:r>
          <w:rPr>
            <w:noProof/>
            <w:webHidden/>
          </w:rPr>
        </w:r>
        <w:r>
          <w:rPr>
            <w:noProof/>
            <w:webHidden/>
          </w:rPr>
          <w:fldChar w:fldCharType="separate"/>
        </w:r>
        <w:r>
          <w:rPr>
            <w:noProof/>
            <w:webHidden/>
          </w:rPr>
          <w:t>47</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35" w:history="1">
        <w:r w:rsidRPr="00CA255A">
          <w:rPr>
            <w:rStyle w:val="Hyperlink"/>
            <w:noProof/>
          </w:rPr>
          <w:t>C.</w:t>
        </w:r>
        <w:r>
          <w:rPr>
            <w:rFonts w:eastAsiaTheme="minorEastAsia"/>
            <w:noProof/>
            <w:sz w:val="22"/>
            <w:szCs w:val="22"/>
            <w:lang w:eastAsia="ro-RO"/>
          </w:rPr>
          <w:tab/>
        </w:r>
        <w:r w:rsidRPr="00CA255A">
          <w:rPr>
            <w:rStyle w:val="Hyperlink"/>
            <w:noProof/>
          </w:rPr>
          <w:t>Legea privind emisiile de CO</w:t>
        </w:r>
        <w:r w:rsidRPr="00CA255A">
          <w:rPr>
            <w:rStyle w:val="Hyperlink"/>
            <w:noProof/>
            <w:vertAlign w:val="subscript"/>
          </w:rPr>
          <w:t>2</w:t>
        </w:r>
        <w:r>
          <w:rPr>
            <w:noProof/>
            <w:webHidden/>
          </w:rPr>
          <w:tab/>
        </w:r>
        <w:r>
          <w:rPr>
            <w:noProof/>
            <w:webHidden/>
          </w:rPr>
          <w:fldChar w:fldCharType="begin"/>
        </w:r>
        <w:r>
          <w:rPr>
            <w:noProof/>
            <w:webHidden/>
          </w:rPr>
          <w:instrText xml:space="preserve"> PAGEREF _Toc199273435 \h </w:instrText>
        </w:r>
        <w:r>
          <w:rPr>
            <w:noProof/>
            <w:webHidden/>
          </w:rPr>
        </w:r>
        <w:r>
          <w:rPr>
            <w:noProof/>
            <w:webHidden/>
          </w:rPr>
          <w:fldChar w:fldCharType="separate"/>
        </w:r>
        <w:r>
          <w:rPr>
            <w:noProof/>
            <w:webHidden/>
          </w:rPr>
          <w:t>49</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36" w:history="1">
        <w:r w:rsidRPr="00CA255A">
          <w:rPr>
            <w:rStyle w:val="Hyperlink"/>
            <w:noProof/>
          </w:rPr>
          <w:t>D.</w:t>
        </w:r>
        <w:r>
          <w:rPr>
            <w:rFonts w:eastAsiaTheme="minorEastAsia"/>
            <w:noProof/>
            <w:sz w:val="22"/>
            <w:szCs w:val="22"/>
            <w:lang w:eastAsia="ro-RO"/>
          </w:rPr>
          <w:tab/>
        </w:r>
        <w:r w:rsidRPr="00CA255A">
          <w:rPr>
            <w:rStyle w:val="Hyperlink"/>
            <w:noProof/>
          </w:rPr>
          <w:t>Legea privind clima</w:t>
        </w:r>
        <w:r>
          <w:rPr>
            <w:noProof/>
            <w:webHidden/>
          </w:rPr>
          <w:tab/>
        </w:r>
        <w:r>
          <w:rPr>
            <w:noProof/>
            <w:webHidden/>
          </w:rPr>
          <w:fldChar w:fldCharType="begin"/>
        </w:r>
        <w:r>
          <w:rPr>
            <w:noProof/>
            <w:webHidden/>
          </w:rPr>
          <w:instrText xml:space="preserve"> PAGEREF _Toc199273436 \h </w:instrText>
        </w:r>
        <w:r>
          <w:rPr>
            <w:noProof/>
            <w:webHidden/>
          </w:rPr>
        </w:r>
        <w:r>
          <w:rPr>
            <w:noProof/>
            <w:webHidden/>
          </w:rPr>
          <w:fldChar w:fldCharType="separate"/>
        </w:r>
        <w:r>
          <w:rPr>
            <w:noProof/>
            <w:webHidden/>
          </w:rPr>
          <w:t>50</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37" w:history="1">
        <w:r w:rsidRPr="00CA255A">
          <w:rPr>
            <w:rStyle w:val="Hyperlink"/>
            <w:noProof/>
          </w:rPr>
          <w:t>E.</w:t>
        </w:r>
        <w:r>
          <w:rPr>
            <w:rFonts w:eastAsiaTheme="minorEastAsia"/>
            <w:noProof/>
            <w:sz w:val="22"/>
            <w:szCs w:val="22"/>
            <w:lang w:eastAsia="ro-RO"/>
          </w:rPr>
          <w:tab/>
        </w:r>
        <w:r w:rsidRPr="00CA255A">
          <w:rPr>
            <w:rStyle w:val="Hyperlink"/>
            <w:noProof/>
          </w:rPr>
          <w:t>Legea federală privind procedura administrativă</w:t>
        </w:r>
        <w:r>
          <w:rPr>
            <w:noProof/>
            <w:webHidden/>
          </w:rPr>
          <w:tab/>
        </w:r>
        <w:r>
          <w:rPr>
            <w:noProof/>
            <w:webHidden/>
          </w:rPr>
          <w:fldChar w:fldCharType="begin"/>
        </w:r>
        <w:r>
          <w:rPr>
            <w:noProof/>
            <w:webHidden/>
          </w:rPr>
          <w:instrText xml:space="preserve"> PAGEREF _Toc199273437 \h </w:instrText>
        </w:r>
        <w:r>
          <w:rPr>
            <w:noProof/>
            <w:webHidden/>
          </w:rPr>
        </w:r>
        <w:r>
          <w:rPr>
            <w:noProof/>
            <w:webHidden/>
          </w:rPr>
          <w:fldChar w:fldCharType="separate"/>
        </w:r>
        <w:r>
          <w:rPr>
            <w:noProof/>
            <w:webHidden/>
          </w:rPr>
          <w:t>52</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38" w:history="1">
        <w:r w:rsidRPr="00CA255A">
          <w:rPr>
            <w:rStyle w:val="Hyperlink"/>
            <w:noProof/>
          </w:rPr>
          <w:t>F.</w:t>
        </w:r>
        <w:r>
          <w:rPr>
            <w:rFonts w:eastAsiaTheme="minorEastAsia"/>
            <w:noProof/>
            <w:sz w:val="22"/>
            <w:szCs w:val="22"/>
            <w:lang w:eastAsia="ro-RO"/>
          </w:rPr>
          <w:tab/>
        </w:r>
        <w:r w:rsidRPr="00CA255A">
          <w:rPr>
            <w:rStyle w:val="Hyperlink"/>
            <w:noProof/>
          </w:rPr>
          <w:t>Jurisprudența internă relevantă</w:t>
        </w:r>
        <w:r>
          <w:rPr>
            <w:noProof/>
            <w:webHidden/>
          </w:rPr>
          <w:tab/>
        </w:r>
        <w:r>
          <w:rPr>
            <w:noProof/>
            <w:webHidden/>
          </w:rPr>
          <w:fldChar w:fldCharType="begin"/>
        </w:r>
        <w:r>
          <w:rPr>
            <w:noProof/>
            <w:webHidden/>
          </w:rPr>
          <w:instrText xml:space="preserve"> PAGEREF _Toc199273438 \h </w:instrText>
        </w:r>
        <w:r>
          <w:rPr>
            <w:noProof/>
            <w:webHidden/>
          </w:rPr>
        </w:r>
        <w:r>
          <w:rPr>
            <w:noProof/>
            <w:webHidden/>
          </w:rPr>
          <w:fldChar w:fldCharType="separate"/>
        </w:r>
        <w:r>
          <w:rPr>
            <w:noProof/>
            <w:webHidden/>
          </w:rPr>
          <w:t>53</w:t>
        </w:r>
        <w:r>
          <w:rPr>
            <w:noProof/>
            <w:webHidden/>
          </w:rPr>
          <w:fldChar w:fldCharType="end"/>
        </w:r>
      </w:hyperlink>
    </w:p>
    <w:p w:rsidR="00690E9D" w:rsidRDefault="00690E9D">
      <w:pPr>
        <w:pStyle w:val="TOC2"/>
        <w:tabs>
          <w:tab w:val="left" w:pos="1020"/>
        </w:tabs>
        <w:rPr>
          <w:rFonts w:eastAsiaTheme="minorEastAsia"/>
          <w:noProof/>
          <w:szCs w:val="22"/>
          <w:lang w:eastAsia="ro-RO"/>
        </w:rPr>
      </w:pPr>
      <w:hyperlink w:anchor="_Toc199273439" w:history="1">
        <w:r w:rsidRPr="00CA255A">
          <w:rPr>
            <w:rStyle w:val="Hyperlink"/>
            <w:noProof/>
          </w:rPr>
          <w:t>II.</w:t>
        </w:r>
        <w:r>
          <w:rPr>
            <w:rFonts w:eastAsiaTheme="minorEastAsia"/>
            <w:noProof/>
            <w:szCs w:val="22"/>
            <w:lang w:eastAsia="ro-RO"/>
          </w:rPr>
          <w:tab/>
        </w:r>
        <w:r w:rsidRPr="00CA255A">
          <w:rPr>
            <w:rStyle w:val="Hyperlink"/>
            <w:noProof/>
          </w:rPr>
          <w:t>TEXTELE INTERNAȚIONALE RELEVANTE</w:t>
        </w:r>
        <w:r>
          <w:rPr>
            <w:noProof/>
            <w:webHidden/>
          </w:rPr>
          <w:tab/>
        </w:r>
        <w:r>
          <w:rPr>
            <w:noProof/>
            <w:webHidden/>
          </w:rPr>
          <w:fldChar w:fldCharType="begin"/>
        </w:r>
        <w:r>
          <w:rPr>
            <w:noProof/>
            <w:webHidden/>
          </w:rPr>
          <w:instrText xml:space="preserve"> PAGEREF _Toc199273439 \h </w:instrText>
        </w:r>
        <w:r>
          <w:rPr>
            <w:noProof/>
            <w:webHidden/>
          </w:rPr>
        </w:r>
        <w:r>
          <w:rPr>
            <w:noProof/>
            <w:webHidden/>
          </w:rPr>
          <w:fldChar w:fldCharType="separate"/>
        </w:r>
        <w:r>
          <w:rPr>
            <w:noProof/>
            <w:webHidden/>
          </w:rPr>
          <w:t>54</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40" w:history="1">
        <w:r w:rsidRPr="00CA255A">
          <w:rPr>
            <w:rStyle w:val="Hyperlink"/>
            <w:noProof/>
          </w:rPr>
          <w:t>A.</w:t>
        </w:r>
        <w:r>
          <w:rPr>
            <w:rFonts w:eastAsiaTheme="minorEastAsia"/>
            <w:noProof/>
            <w:sz w:val="22"/>
            <w:szCs w:val="22"/>
            <w:lang w:eastAsia="ro-RO"/>
          </w:rPr>
          <w:tab/>
        </w:r>
        <w:r w:rsidRPr="00CA255A">
          <w:rPr>
            <w:rStyle w:val="Hyperlink"/>
            <w:noProof/>
          </w:rPr>
          <w:t>Organizația Națiunilor Unite</w:t>
        </w:r>
        <w:r>
          <w:rPr>
            <w:noProof/>
            <w:webHidden/>
          </w:rPr>
          <w:tab/>
        </w:r>
        <w:r>
          <w:rPr>
            <w:noProof/>
            <w:webHidden/>
          </w:rPr>
          <w:fldChar w:fldCharType="begin"/>
        </w:r>
        <w:r>
          <w:rPr>
            <w:noProof/>
            <w:webHidden/>
          </w:rPr>
          <w:instrText xml:space="preserve"> PAGEREF _Toc199273440 \h </w:instrText>
        </w:r>
        <w:r>
          <w:rPr>
            <w:noProof/>
            <w:webHidden/>
          </w:rPr>
        </w:r>
        <w:r>
          <w:rPr>
            <w:noProof/>
            <w:webHidden/>
          </w:rPr>
          <w:fldChar w:fldCharType="separate"/>
        </w:r>
        <w:r>
          <w:rPr>
            <w:noProof/>
            <w:webHidden/>
          </w:rPr>
          <w:t>54</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41" w:history="1">
        <w:r w:rsidRPr="00CA255A">
          <w:rPr>
            <w:rStyle w:val="Hyperlink"/>
            <w:noProof/>
          </w:rPr>
          <w:t>1.</w:t>
        </w:r>
        <w:r>
          <w:rPr>
            <w:rFonts w:eastAsiaTheme="minorEastAsia"/>
            <w:noProof/>
            <w:sz w:val="22"/>
            <w:szCs w:val="22"/>
            <w:lang w:eastAsia="ro-RO"/>
          </w:rPr>
          <w:tab/>
        </w:r>
        <w:r w:rsidRPr="00CA255A">
          <w:rPr>
            <w:rStyle w:val="Hyperlink"/>
            <w:noProof/>
          </w:rPr>
          <w:t>Sistemul Convenției-cadru a Națiunilor Unite asupra schimbărilor climatice</w:t>
        </w:r>
        <w:r>
          <w:rPr>
            <w:noProof/>
            <w:webHidden/>
          </w:rPr>
          <w:tab/>
        </w:r>
        <w:r>
          <w:rPr>
            <w:noProof/>
            <w:webHidden/>
          </w:rPr>
          <w:fldChar w:fldCharType="begin"/>
        </w:r>
        <w:r>
          <w:rPr>
            <w:noProof/>
            <w:webHidden/>
          </w:rPr>
          <w:instrText xml:space="preserve"> PAGEREF _Toc199273441 \h </w:instrText>
        </w:r>
        <w:r>
          <w:rPr>
            <w:noProof/>
            <w:webHidden/>
          </w:rPr>
        </w:r>
        <w:r>
          <w:rPr>
            <w:noProof/>
            <w:webHidden/>
          </w:rPr>
          <w:fldChar w:fldCharType="separate"/>
        </w:r>
        <w:r>
          <w:rPr>
            <w:noProof/>
            <w:webHidden/>
          </w:rPr>
          <w:t>54</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42" w:history="1">
        <w:r w:rsidRPr="00CA255A">
          <w:rPr>
            <w:rStyle w:val="Hyperlink"/>
            <w:noProof/>
          </w:rPr>
          <w:t>a)</w:t>
        </w:r>
        <w:r>
          <w:rPr>
            <w:rFonts w:eastAsiaTheme="minorEastAsia"/>
            <w:noProof/>
            <w:sz w:val="22"/>
            <w:szCs w:val="22"/>
            <w:lang w:eastAsia="ro-RO"/>
          </w:rPr>
          <w:tab/>
        </w:r>
        <w:r w:rsidRPr="00CA255A">
          <w:rPr>
            <w:rStyle w:val="Hyperlink"/>
            <w:noProof/>
          </w:rPr>
          <w:t>Convenția-cadru a Națiunilor Unite asupra schimbărilor climatice</w:t>
        </w:r>
        <w:r>
          <w:rPr>
            <w:noProof/>
            <w:webHidden/>
          </w:rPr>
          <w:tab/>
        </w:r>
        <w:r>
          <w:rPr>
            <w:noProof/>
            <w:webHidden/>
          </w:rPr>
          <w:fldChar w:fldCharType="begin"/>
        </w:r>
        <w:r>
          <w:rPr>
            <w:noProof/>
            <w:webHidden/>
          </w:rPr>
          <w:instrText xml:space="preserve"> PAGEREF _Toc199273442 \h </w:instrText>
        </w:r>
        <w:r>
          <w:rPr>
            <w:noProof/>
            <w:webHidden/>
          </w:rPr>
        </w:r>
        <w:r>
          <w:rPr>
            <w:noProof/>
            <w:webHidden/>
          </w:rPr>
          <w:fldChar w:fldCharType="separate"/>
        </w:r>
        <w:r>
          <w:rPr>
            <w:noProof/>
            <w:webHidden/>
          </w:rPr>
          <w:t>54</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43" w:history="1">
        <w:r w:rsidRPr="00CA255A">
          <w:rPr>
            <w:rStyle w:val="Hyperlink"/>
            <w:noProof/>
          </w:rPr>
          <w:t>b)</w:t>
        </w:r>
        <w:r>
          <w:rPr>
            <w:rFonts w:eastAsiaTheme="minorEastAsia"/>
            <w:noProof/>
            <w:sz w:val="22"/>
            <w:szCs w:val="22"/>
            <w:lang w:eastAsia="ro-RO"/>
          </w:rPr>
          <w:tab/>
        </w:r>
        <w:r w:rsidRPr="00CA255A">
          <w:rPr>
            <w:rStyle w:val="Hyperlink"/>
            <w:noProof/>
          </w:rPr>
          <w:t>Protocolul de la Kyoto</w:t>
        </w:r>
        <w:r>
          <w:rPr>
            <w:noProof/>
            <w:webHidden/>
          </w:rPr>
          <w:tab/>
        </w:r>
        <w:r>
          <w:rPr>
            <w:noProof/>
            <w:webHidden/>
          </w:rPr>
          <w:fldChar w:fldCharType="begin"/>
        </w:r>
        <w:r>
          <w:rPr>
            <w:noProof/>
            <w:webHidden/>
          </w:rPr>
          <w:instrText xml:space="preserve"> PAGEREF _Toc199273443 \h </w:instrText>
        </w:r>
        <w:r>
          <w:rPr>
            <w:noProof/>
            <w:webHidden/>
          </w:rPr>
        </w:r>
        <w:r>
          <w:rPr>
            <w:noProof/>
            <w:webHidden/>
          </w:rPr>
          <w:fldChar w:fldCharType="separate"/>
        </w:r>
        <w:r>
          <w:rPr>
            <w:noProof/>
            <w:webHidden/>
          </w:rPr>
          <w:t>57</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44" w:history="1">
        <w:r w:rsidRPr="00CA255A">
          <w:rPr>
            <w:rStyle w:val="Hyperlink"/>
            <w:noProof/>
          </w:rPr>
          <w:t>c)</w:t>
        </w:r>
        <w:r>
          <w:rPr>
            <w:rFonts w:eastAsiaTheme="minorEastAsia"/>
            <w:noProof/>
            <w:sz w:val="22"/>
            <w:szCs w:val="22"/>
            <w:lang w:eastAsia="ro-RO"/>
          </w:rPr>
          <w:tab/>
        </w:r>
        <w:r w:rsidRPr="00CA255A">
          <w:rPr>
            <w:rStyle w:val="Hyperlink"/>
            <w:noProof/>
          </w:rPr>
          <w:t>Acordul de la Paris</w:t>
        </w:r>
        <w:r>
          <w:rPr>
            <w:noProof/>
            <w:webHidden/>
          </w:rPr>
          <w:tab/>
        </w:r>
        <w:r>
          <w:rPr>
            <w:noProof/>
            <w:webHidden/>
          </w:rPr>
          <w:fldChar w:fldCharType="begin"/>
        </w:r>
        <w:r>
          <w:rPr>
            <w:noProof/>
            <w:webHidden/>
          </w:rPr>
          <w:instrText xml:space="preserve"> PAGEREF _Toc199273444 \h </w:instrText>
        </w:r>
        <w:r>
          <w:rPr>
            <w:noProof/>
            <w:webHidden/>
          </w:rPr>
        </w:r>
        <w:r>
          <w:rPr>
            <w:noProof/>
            <w:webHidden/>
          </w:rPr>
          <w:fldChar w:fldCharType="separate"/>
        </w:r>
        <w:r>
          <w:rPr>
            <w:noProof/>
            <w:webHidden/>
          </w:rPr>
          <w:t>58</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45" w:history="1">
        <w:r w:rsidRPr="00CA255A">
          <w:rPr>
            <w:rStyle w:val="Hyperlink"/>
            <w:noProof/>
          </w:rPr>
          <w:t>d)</w:t>
        </w:r>
        <w:r>
          <w:rPr>
            <w:rFonts w:eastAsiaTheme="minorEastAsia"/>
            <w:noProof/>
            <w:sz w:val="22"/>
            <w:szCs w:val="22"/>
            <w:lang w:eastAsia="ro-RO"/>
          </w:rPr>
          <w:tab/>
        </w:r>
        <w:r w:rsidRPr="00CA255A">
          <w:rPr>
            <w:rStyle w:val="Hyperlink"/>
            <w:noProof/>
          </w:rPr>
          <w:t>COP26 și COP27</w:t>
        </w:r>
        <w:r>
          <w:rPr>
            <w:noProof/>
            <w:webHidden/>
          </w:rPr>
          <w:tab/>
        </w:r>
        <w:r>
          <w:rPr>
            <w:noProof/>
            <w:webHidden/>
          </w:rPr>
          <w:fldChar w:fldCharType="begin"/>
        </w:r>
        <w:r>
          <w:rPr>
            <w:noProof/>
            <w:webHidden/>
          </w:rPr>
          <w:instrText xml:space="preserve"> PAGEREF _Toc199273445 \h </w:instrText>
        </w:r>
        <w:r>
          <w:rPr>
            <w:noProof/>
            <w:webHidden/>
          </w:rPr>
        </w:r>
        <w:r>
          <w:rPr>
            <w:noProof/>
            <w:webHidden/>
          </w:rPr>
          <w:fldChar w:fldCharType="separate"/>
        </w:r>
        <w:r>
          <w:rPr>
            <w:noProof/>
            <w:webHidden/>
          </w:rPr>
          <w:t>59</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46" w:history="1">
        <w:r w:rsidRPr="00CA255A">
          <w:rPr>
            <w:rStyle w:val="Hyperlink"/>
            <w:noProof/>
          </w:rPr>
          <w:t>e)</w:t>
        </w:r>
        <w:r>
          <w:rPr>
            <w:rFonts w:eastAsiaTheme="minorEastAsia"/>
            <w:noProof/>
            <w:sz w:val="22"/>
            <w:szCs w:val="22"/>
            <w:lang w:eastAsia="ro-RO"/>
          </w:rPr>
          <w:tab/>
        </w:r>
        <w:r w:rsidRPr="00CA255A">
          <w:rPr>
            <w:rStyle w:val="Hyperlink"/>
            <w:noProof/>
          </w:rPr>
          <w:t>COP28</w:t>
        </w:r>
        <w:r>
          <w:rPr>
            <w:noProof/>
            <w:webHidden/>
          </w:rPr>
          <w:tab/>
        </w:r>
        <w:r>
          <w:rPr>
            <w:noProof/>
            <w:webHidden/>
          </w:rPr>
          <w:fldChar w:fldCharType="begin"/>
        </w:r>
        <w:r>
          <w:rPr>
            <w:noProof/>
            <w:webHidden/>
          </w:rPr>
          <w:instrText xml:space="preserve"> PAGEREF _Toc199273446 \h </w:instrText>
        </w:r>
        <w:r>
          <w:rPr>
            <w:noProof/>
            <w:webHidden/>
          </w:rPr>
        </w:r>
        <w:r>
          <w:rPr>
            <w:noProof/>
            <w:webHidden/>
          </w:rPr>
          <w:fldChar w:fldCharType="separate"/>
        </w:r>
        <w:r>
          <w:rPr>
            <w:noProof/>
            <w:webHidden/>
          </w:rPr>
          <w:t>61</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47" w:history="1">
        <w:r w:rsidRPr="00CA255A">
          <w:rPr>
            <w:rStyle w:val="Hyperlink"/>
            <w:noProof/>
          </w:rPr>
          <w:t>2.</w:t>
        </w:r>
        <w:r>
          <w:rPr>
            <w:rFonts w:eastAsiaTheme="minorEastAsia"/>
            <w:noProof/>
            <w:sz w:val="22"/>
            <w:szCs w:val="22"/>
            <w:lang w:eastAsia="ro-RO"/>
          </w:rPr>
          <w:tab/>
        </w:r>
        <w:r w:rsidRPr="00CA255A">
          <w:rPr>
            <w:rStyle w:val="Hyperlink"/>
            <w:noProof/>
          </w:rPr>
          <w:t>Convenția de la Aarhus</w:t>
        </w:r>
        <w:r>
          <w:rPr>
            <w:noProof/>
            <w:webHidden/>
          </w:rPr>
          <w:tab/>
        </w:r>
        <w:r>
          <w:rPr>
            <w:noProof/>
            <w:webHidden/>
          </w:rPr>
          <w:fldChar w:fldCharType="begin"/>
        </w:r>
        <w:r>
          <w:rPr>
            <w:noProof/>
            <w:webHidden/>
          </w:rPr>
          <w:instrText xml:space="preserve"> PAGEREF _Toc199273447 \h </w:instrText>
        </w:r>
        <w:r>
          <w:rPr>
            <w:noProof/>
            <w:webHidden/>
          </w:rPr>
        </w:r>
        <w:r>
          <w:rPr>
            <w:noProof/>
            <w:webHidden/>
          </w:rPr>
          <w:fldChar w:fldCharType="separate"/>
        </w:r>
        <w:r>
          <w:rPr>
            <w:noProof/>
            <w:webHidden/>
          </w:rPr>
          <w:t>66</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48" w:history="1">
        <w:r w:rsidRPr="00CA255A">
          <w:rPr>
            <w:rStyle w:val="Hyperlink"/>
            <w:noProof/>
          </w:rPr>
          <w:t>3.</w:t>
        </w:r>
        <w:r>
          <w:rPr>
            <w:rFonts w:eastAsiaTheme="minorEastAsia"/>
            <w:noProof/>
            <w:sz w:val="22"/>
            <w:szCs w:val="22"/>
            <w:lang w:eastAsia="ro-RO"/>
          </w:rPr>
          <w:tab/>
        </w:r>
        <w:r w:rsidRPr="00CA255A">
          <w:rPr>
            <w:rStyle w:val="Hyperlink"/>
            <w:noProof/>
          </w:rPr>
          <w:t>Adunarea Generală a Organizației Națiunilor Unite</w:t>
        </w:r>
        <w:r>
          <w:rPr>
            <w:noProof/>
            <w:webHidden/>
          </w:rPr>
          <w:tab/>
        </w:r>
        <w:r>
          <w:rPr>
            <w:noProof/>
            <w:webHidden/>
          </w:rPr>
          <w:fldChar w:fldCharType="begin"/>
        </w:r>
        <w:r>
          <w:rPr>
            <w:noProof/>
            <w:webHidden/>
          </w:rPr>
          <w:instrText xml:space="preserve"> PAGEREF _Toc199273448 \h </w:instrText>
        </w:r>
        <w:r>
          <w:rPr>
            <w:noProof/>
            <w:webHidden/>
          </w:rPr>
        </w:r>
        <w:r>
          <w:rPr>
            <w:noProof/>
            <w:webHidden/>
          </w:rPr>
          <w:fldChar w:fldCharType="separate"/>
        </w:r>
        <w:r>
          <w:rPr>
            <w:noProof/>
            <w:webHidden/>
          </w:rPr>
          <w:t>70</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49" w:history="1">
        <w:r w:rsidRPr="00CA255A">
          <w:rPr>
            <w:rStyle w:val="Hyperlink"/>
            <w:noProof/>
          </w:rPr>
          <w:t>a)</w:t>
        </w:r>
        <w:r>
          <w:rPr>
            <w:rFonts w:eastAsiaTheme="minorEastAsia"/>
            <w:noProof/>
            <w:sz w:val="22"/>
            <w:szCs w:val="22"/>
            <w:lang w:eastAsia="ro-RO"/>
          </w:rPr>
          <w:tab/>
        </w:r>
        <w:r w:rsidRPr="00CA255A">
          <w:rPr>
            <w:rStyle w:val="Hyperlink"/>
            <w:noProof/>
          </w:rPr>
          <w:t>Rezoluția privind dreptul la un mediu curat, sănătos și durabil ca drept al omului</w:t>
        </w:r>
        <w:r>
          <w:rPr>
            <w:noProof/>
            <w:webHidden/>
          </w:rPr>
          <w:tab/>
        </w:r>
        <w:r>
          <w:rPr>
            <w:noProof/>
            <w:webHidden/>
          </w:rPr>
          <w:fldChar w:fldCharType="begin"/>
        </w:r>
        <w:r>
          <w:rPr>
            <w:noProof/>
            <w:webHidden/>
          </w:rPr>
          <w:instrText xml:space="preserve"> PAGEREF _Toc199273449 \h </w:instrText>
        </w:r>
        <w:r>
          <w:rPr>
            <w:noProof/>
            <w:webHidden/>
          </w:rPr>
        </w:r>
        <w:r>
          <w:rPr>
            <w:noProof/>
            <w:webHidden/>
          </w:rPr>
          <w:fldChar w:fldCharType="separate"/>
        </w:r>
        <w:r>
          <w:rPr>
            <w:noProof/>
            <w:webHidden/>
          </w:rPr>
          <w:t>70</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50" w:history="1">
        <w:r w:rsidRPr="00CA255A">
          <w:rPr>
            <w:rStyle w:val="Hyperlink"/>
            <w:noProof/>
          </w:rPr>
          <w:t>b)</w:t>
        </w:r>
        <w:r>
          <w:rPr>
            <w:rFonts w:eastAsiaTheme="minorEastAsia"/>
            <w:noProof/>
            <w:sz w:val="22"/>
            <w:szCs w:val="22"/>
            <w:lang w:eastAsia="ro-RO"/>
          </w:rPr>
          <w:tab/>
        </w:r>
        <w:r w:rsidRPr="00CA255A">
          <w:rPr>
            <w:rStyle w:val="Hyperlink"/>
            <w:noProof/>
          </w:rPr>
          <w:t>Alte documente ale Adunării Generale</w:t>
        </w:r>
        <w:r>
          <w:rPr>
            <w:noProof/>
            <w:webHidden/>
          </w:rPr>
          <w:tab/>
        </w:r>
        <w:r>
          <w:rPr>
            <w:noProof/>
            <w:webHidden/>
          </w:rPr>
          <w:fldChar w:fldCharType="begin"/>
        </w:r>
        <w:r>
          <w:rPr>
            <w:noProof/>
            <w:webHidden/>
          </w:rPr>
          <w:instrText xml:space="preserve"> PAGEREF _Toc199273450 \h </w:instrText>
        </w:r>
        <w:r>
          <w:rPr>
            <w:noProof/>
            <w:webHidden/>
          </w:rPr>
        </w:r>
        <w:r>
          <w:rPr>
            <w:noProof/>
            <w:webHidden/>
          </w:rPr>
          <w:fldChar w:fldCharType="separate"/>
        </w:r>
        <w:r>
          <w:rPr>
            <w:noProof/>
            <w:webHidden/>
          </w:rPr>
          <w:t>71</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51" w:history="1">
        <w:r w:rsidRPr="00CA255A">
          <w:rPr>
            <w:rStyle w:val="Hyperlink"/>
            <w:noProof/>
          </w:rPr>
          <w:t>4.</w:t>
        </w:r>
        <w:r>
          <w:rPr>
            <w:rFonts w:eastAsiaTheme="minorEastAsia"/>
            <w:noProof/>
            <w:sz w:val="22"/>
            <w:szCs w:val="22"/>
            <w:lang w:eastAsia="ro-RO"/>
          </w:rPr>
          <w:tab/>
        </w:r>
        <w:r w:rsidRPr="00CA255A">
          <w:rPr>
            <w:rStyle w:val="Hyperlink"/>
            <w:noProof/>
          </w:rPr>
          <w:t>Secretarul General al Organizației Națiunilor Unite</w:t>
        </w:r>
        <w:r>
          <w:rPr>
            <w:noProof/>
            <w:webHidden/>
          </w:rPr>
          <w:tab/>
        </w:r>
        <w:r>
          <w:rPr>
            <w:noProof/>
            <w:webHidden/>
          </w:rPr>
          <w:fldChar w:fldCharType="begin"/>
        </w:r>
        <w:r>
          <w:rPr>
            <w:noProof/>
            <w:webHidden/>
          </w:rPr>
          <w:instrText xml:space="preserve"> PAGEREF _Toc199273451 \h </w:instrText>
        </w:r>
        <w:r>
          <w:rPr>
            <w:noProof/>
            <w:webHidden/>
          </w:rPr>
        </w:r>
        <w:r>
          <w:rPr>
            <w:noProof/>
            <w:webHidden/>
          </w:rPr>
          <w:fldChar w:fldCharType="separate"/>
        </w:r>
        <w:r>
          <w:rPr>
            <w:noProof/>
            <w:webHidden/>
          </w:rPr>
          <w:t>72</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52" w:history="1">
        <w:r w:rsidRPr="00CA255A">
          <w:rPr>
            <w:rStyle w:val="Hyperlink"/>
            <w:noProof/>
          </w:rPr>
          <w:t>5.</w:t>
        </w:r>
        <w:r>
          <w:rPr>
            <w:rFonts w:eastAsiaTheme="minorEastAsia"/>
            <w:noProof/>
            <w:sz w:val="22"/>
            <w:szCs w:val="22"/>
            <w:lang w:eastAsia="ro-RO"/>
          </w:rPr>
          <w:tab/>
        </w:r>
        <w:r w:rsidRPr="00CA255A">
          <w:rPr>
            <w:rStyle w:val="Hyperlink"/>
            <w:noProof/>
          </w:rPr>
          <w:t>Consiliul Drepturilor Omului</w:t>
        </w:r>
        <w:r>
          <w:rPr>
            <w:noProof/>
            <w:webHidden/>
          </w:rPr>
          <w:tab/>
        </w:r>
        <w:r>
          <w:rPr>
            <w:noProof/>
            <w:webHidden/>
          </w:rPr>
          <w:fldChar w:fldCharType="begin"/>
        </w:r>
        <w:r>
          <w:rPr>
            <w:noProof/>
            <w:webHidden/>
          </w:rPr>
          <w:instrText xml:space="preserve"> PAGEREF _Toc199273452 \h </w:instrText>
        </w:r>
        <w:r>
          <w:rPr>
            <w:noProof/>
            <w:webHidden/>
          </w:rPr>
        </w:r>
        <w:r>
          <w:rPr>
            <w:noProof/>
            <w:webHidden/>
          </w:rPr>
          <w:fldChar w:fldCharType="separate"/>
        </w:r>
        <w:r>
          <w:rPr>
            <w:noProof/>
            <w:webHidden/>
          </w:rPr>
          <w:t>73</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53" w:history="1">
        <w:r w:rsidRPr="00CA255A">
          <w:rPr>
            <w:rStyle w:val="Hyperlink"/>
            <w:noProof/>
          </w:rPr>
          <w:t>a)</w:t>
        </w:r>
        <w:r>
          <w:rPr>
            <w:rFonts w:eastAsiaTheme="minorEastAsia"/>
            <w:noProof/>
            <w:sz w:val="22"/>
            <w:szCs w:val="22"/>
            <w:lang w:eastAsia="ro-RO"/>
          </w:rPr>
          <w:tab/>
        </w:r>
        <w:r w:rsidRPr="00CA255A">
          <w:rPr>
            <w:rStyle w:val="Hyperlink"/>
            <w:noProof/>
          </w:rPr>
          <w:t>Rezoluții</w:t>
        </w:r>
        <w:r>
          <w:rPr>
            <w:noProof/>
            <w:webHidden/>
          </w:rPr>
          <w:tab/>
        </w:r>
        <w:r>
          <w:rPr>
            <w:noProof/>
            <w:webHidden/>
          </w:rPr>
          <w:fldChar w:fldCharType="begin"/>
        </w:r>
        <w:r>
          <w:rPr>
            <w:noProof/>
            <w:webHidden/>
          </w:rPr>
          <w:instrText xml:space="preserve"> PAGEREF _Toc199273453 \h </w:instrText>
        </w:r>
        <w:r>
          <w:rPr>
            <w:noProof/>
            <w:webHidden/>
          </w:rPr>
        </w:r>
        <w:r>
          <w:rPr>
            <w:noProof/>
            <w:webHidden/>
          </w:rPr>
          <w:fldChar w:fldCharType="separate"/>
        </w:r>
        <w:r>
          <w:rPr>
            <w:noProof/>
            <w:webHidden/>
          </w:rPr>
          <w:t>73</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54" w:history="1">
        <w:r w:rsidRPr="00CA255A">
          <w:rPr>
            <w:rStyle w:val="Hyperlink"/>
            <w:noProof/>
          </w:rPr>
          <w:t>b)</w:t>
        </w:r>
        <w:r>
          <w:rPr>
            <w:rFonts w:eastAsiaTheme="minorEastAsia"/>
            <w:noProof/>
            <w:sz w:val="22"/>
            <w:szCs w:val="22"/>
            <w:lang w:eastAsia="ro-RO"/>
          </w:rPr>
          <w:tab/>
        </w:r>
        <w:r w:rsidRPr="00CA255A">
          <w:rPr>
            <w:rStyle w:val="Hyperlink"/>
            <w:noProof/>
          </w:rPr>
          <w:t>Procedurile speciale</w:t>
        </w:r>
        <w:r>
          <w:rPr>
            <w:noProof/>
            <w:webHidden/>
          </w:rPr>
          <w:tab/>
        </w:r>
        <w:r>
          <w:rPr>
            <w:noProof/>
            <w:webHidden/>
          </w:rPr>
          <w:fldChar w:fldCharType="begin"/>
        </w:r>
        <w:r>
          <w:rPr>
            <w:noProof/>
            <w:webHidden/>
          </w:rPr>
          <w:instrText xml:space="preserve"> PAGEREF _Toc199273454 \h </w:instrText>
        </w:r>
        <w:r>
          <w:rPr>
            <w:noProof/>
            <w:webHidden/>
          </w:rPr>
        </w:r>
        <w:r>
          <w:rPr>
            <w:noProof/>
            <w:webHidden/>
          </w:rPr>
          <w:fldChar w:fldCharType="separate"/>
        </w:r>
        <w:r>
          <w:rPr>
            <w:noProof/>
            <w:webHidden/>
          </w:rPr>
          <w:t>74</w:t>
        </w:r>
        <w:r>
          <w:rPr>
            <w:noProof/>
            <w:webHidden/>
          </w:rPr>
          <w:fldChar w:fldCharType="end"/>
        </w:r>
      </w:hyperlink>
    </w:p>
    <w:p w:rsidR="00690E9D" w:rsidRDefault="00690E9D">
      <w:pPr>
        <w:pStyle w:val="TOC6"/>
        <w:tabs>
          <w:tab w:val="left" w:pos="2041"/>
        </w:tabs>
        <w:rPr>
          <w:rFonts w:eastAsiaTheme="minorEastAsia"/>
          <w:noProof/>
          <w:sz w:val="22"/>
          <w:szCs w:val="22"/>
          <w:lang w:eastAsia="ro-RO"/>
        </w:rPr>
      </w:pPr>
      <w:hyperlink w:anchor="_Toc199273455" w:history="1">
        <w:r w:rsidRPr="00CA255A">
          <w:rPr>
            <w:rStyle w:val="Hyperlink"/>
            <w:noProof/>
            <w:lang w:bidi="en-US"/>
          </w:rPr>
          <w:t>i.</w:t>
        </w:r>
        <w:r>
          <w:rPr>
            <w:rFonts w:eastAsiaTheme="minorEastAsia"/>
            <w:noProof/>
            <w:sz w:val="22"/>
            <w:szCs w:val="22"/>
            <w:lang w:eastAsia="ro-RO"/>
          </w:rPr>
          <w:tab/>
        </w:r>
        <w:r w:rsidRPr="00CA255A">
          <w:rPr>
            <w:rStyle w:val="Hyperlink"/>
            <w:noProof/>
            <w:lang w:bidi="en-US"/>
          </w:rPr>
          <w:t>Raportorul special pentru promovarea și protecția drepturilor omului în contextul schimbărilor climatice</w:t>
        </w:r>
        <w:r>
          <w:rPr>
            <w:noProof/>
            <w:webHidden/>
          </w:rPr>
          <w:tab/>
        </w:r>
        <w:r>
          <w:rPr>
            <w:noProof/>
            <w:webHidden/>
          </w:rPr>
          <w:fldChar w:fldCharType="begin"/>
        </w:r>
        <w:r>
          <w:rPr>
            <w:noProof/>
            <w:webHidden/>
          </w:rPr>
          <w:instrText xml:space="preserve"> PAGEREF _Toc199273455 \h </w:instrText>
        </w:r>
        <w:r>
          <w:rPr>
            <w:noProof/>
            <w:webHidden/>
          </w:rPr>
        </w:r>
        <w:r>
          <w:rPr>
            <w:noProof/>
            <w:webHidden/>
          </w:rPr>
          <w:fldChar w:fldCharType="separate"/>
        </w:r>
        <w:r>
          <w:rPr>
            <w:noProof/>
            <w:webHidden/>
          </w:rPr>
          <w:t>74</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456" w:history="1">
        <w:r w:rsidRPr="00CA255A">
          <w:rPr>
            <w:rStyle w:val="Hyperlink"/>
            <w:noProof/>
            <w:lang w:bidi="en-US"/>
          </w:rPr>
          <w:t>ii.</w:t>
        </w:r>
        <w:r>
          <w:rPr>
            <w:rFonts w:eastAsiaTheme="minorEastAsia"/>
            <w:noProof/>
            <w:sz w:val="22"/>
            <w:szCs w:val="22"/>
            <w:lang w:eastAsia="ro-RO"/>
          </w:rPr>
          <w:tab/>
        </w:r>
        <w:r w:rsidRPr="00CA255A">
          <w:rPr>
            <w:rStyle w:val="Hyperlink"/>
            <w:noProof/>
            <w:lang w:bidi="en-US"/>
          </w:rPr>
          <w:t>Raportorul special privind chestiunea obligațiilor în materia drepturilor omului legate de asigurarea unui mediu sigur, curat, sănătos și durabil</w:t>
        </w:r>
        <w:r>
          <w:rPr>
            <w:noProof/>
            <w:webHidden/>
          </w:rPr>
          <w:tab/>
        </w:r>
        <w:r>
          <w:rPr>
            <w:noProof/>
            <w:webHidden/>
          </w:rPr>
          <w:fldChar w:fldCharType="begin"/>
        </w:r>
        <w:r>
          <w:rPr>
            <w:noProof/>
            <w:webHidden/>
          </w:rPr>
          <w:instrText xml:space="preserve"> PAGEREF _Toc199273456 \h </w:instrText>
        </w:r>
        <w:r>
          <w:rPr>
            <w:noProof/>
            <w:webHidden/>
          </w:rPr>
        </w:r>
        <w:r>
          <w:rPr>
            <w:noProof/>
            <w:webHidden/>
          </w:rPr>
          <w:fldChar w:fldCharType="separate"/>
        </w:r>
        <w:r>
          <w:rPr>
            <w:noProof/>
            <w:webHidden/>
          </w:rPr>
          <w:t>75</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457" w:history="1">
        <w:r w:rsidRPr="00CA255A">
          <w:rPr>
            <w:rStyle w:val="Hyperlink"/>
            <w:noProof/>
            <w:lang w:bidi="en-US"/>
          </w:rPr>
          <w:t>iii.</w:t>
        </w:r>
        <w:r>
          <w:rPr>
            <w:rFonts w:eastAsiaTheme="minorEastAsia"/>
            <w:noProof/>
            <w:sz w:val="22"/>
            <w:szCs w:val="22"/>
            <w:lang w:eastAsia="ro-RO"/>
          </w:rPr>
          <w:tab/>
        </w:r>
        <w:r w:rsidRPr="00CA255A">
          <w:rPr>
            <w:rStyle w:val="Hyperlink"/>
            <w:noProof/>
            <w:lang w:bidi="en-US"/>
          </w:rPr>
          <w:t>Expertul independent privind drepturile omului și solidaritatea internațională</w:t>
        </w:r>
        <w:r>
          <w:rPr>
            <w:noProof/>
            <w:webHidden/>
          </w:rPr>
          <w:tab/>
        </w:r>
        <w:r>
          <w:rPr>
            <w:noProof/>
            <w:webHidden/>
          </w:rPr>
          <w:fldChar w:fldCharType="begin"/>
        </w:r>
        <w:r>
          <w:rPr>
            <w:noProof/>
            <w:webHidden/>
          </w:rPr>
          <w:instrText xml:space="preserve"> PAGEREF _Toc199273457 \h </w:instrText>
        </w:r>
        <w:r>
          <w:rPr>
            <w:noProof/>
            <w:webHidden/>
          </w:rPr>
        </w:r>
        <w:r>
          <w:rPr>
            <w:noProof/>
            <w:webHidden/>
          </w:rPr>
          <w:fldChar w:fldCharType="separate"/>
        </w:r>
        <w:r>
          <w:rPr>
            <w:noProof/>
            <w:webHidden/>
          </w:rPr>
          <w:t>80</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458" w:history="1">
        <w:r w:rsidRPr="00CA255A">
          <w:rPr>
            <w:rStyle w:val="Hyperlink"/>
            <w:noProof/>
            <w:lang w:bidi="en-US"/>
          </w:rPr>
          <w:t>iv.</w:t>
        </w:r>
        <w:r>
          <w:rPr>
            <w:rFonts w:eastAsiaTheme="minorEastAsia"/>
            <w:noProof/>
            <w:sz w:val="22"/>
            <w:szCs w:val="22"/>
            <w:lang w:eastAsia="ro-RO"/>
          </w:rPr>
          <w:tab/>
        </w:r>
        <w:r w:rsidRPr="00CA255A">
          <w:rPr>
            <w:rStyle w:val="Hyperlink"/>
            <w:noProof/>
            <w:lang w:bidi="en-US"/>
          </w:rPr>
          <w:t>Experta independentă privind promovarea exercitării tuturor drepturilor omului de către persoanele în vârstă</w:t>
        </w:r>
        <w:r>
          <w:rPr>
            <w:noProof/>
            <w:webHidden/>
          </w:rPr>
          <w:tab/>
        </w:r>
        <w:r>
          <w:rPr>
            <w:noProof/>
            <w:webHidden/>
          </w:rPr>
          <w:fldChar w:fldCharType="begin"/>
        </w:r>
        <w:r>
          <w:rPr>
            <w:noProof/>
            <w:webHidden/>
          </w:rPr>
          <w:instrText xml:space="preserve"> PAGEREF _Toc199273458 \h </w:instrText>
        </w:r>
        <w:r>
          <w:rPr>
            <w:noProof/>
            <w:webHidden/>
          </w:rPr>
        </w:r>
        <w:r>
          <w:rPr>
            <w:noProof/>
            <w:webHidden/>
          </w:rPr>
          <w:fldChar w:fldCharType="separate"/>
        </w:r>
        <w:r>
          <w:rPr>
            <w:noProof/>
            <w:webHidden/>
          </w:rPr>
          <w:t>82</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59" w:history="1">
        <w:r w:rsidRPr="00CA255A">
          <w:rPr>
            <w:rStyle w:val="Hyperlink"/>
            <w:noProof/>
          </w:rPr>
          <w:t>6.</w:t>
        </w:r>
        <w:r>
          <w:rPr>
            <w:rFonts w:eastAsiaTheme="minorEastAsia"/>
            <w:noProof/>
            <w:sz w:val="22"/>
            <w:szCs w:val="22"/>
            <w:lang w:eastAsia="ro-RO"/>
          </w:rPr>
          <w:tab/>
        </w:r>
        <w:r w:rsidRPr="00CA255A">
          <w:rPr>
            <w:rStyle w:val="Hyperlink"/>
            <w:noProof/>
          </w:rPr>
          <w:t>Comitetul Drepturilor Omului</w:t>
        </w:r>
        <w:r>
          <w:rPr>
            <w:noProof/>
            <w:webHidden/>
          </w:rPr>
          <w:tab/>
        </w:r>
        <w:r>
          <w:rPr>
            <w:noProof/>
            <w:webHidden/>
          </w:rPr>
          <w:fldChar w:fldCharType="begin"/>
        </w:r>
        <w:r>
          <w:rPr>
            <w:noProof/>
            <w:webHidden/>
          </w:rPr>
          <w:instrText xml:space="preserve"> PAGEREF _Toc199273459 \h </w:instrText>
        </w:r>
        <w:r>
          <w:rPr>
            <w:noProof/>
            <w:webHidden/>
          </w:rPr>
        </w:r>
        <w:r>
          <w:rPr>
            <w:noProof/>
            <w:webHidden/>
          </w:rPr>
          <w:fldChar w:fldCharType="separate"/>
        </w:r>
        <w:r>
          <w:rPr>
            <w:noProof/>
            <w:webHidden/>
          </w:rPr>
          <w:t>82</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60" w:history="1">
        <w:r w:rsidRPr="00CA255A">
          <w:rPr>
            <w:rStyle w:val="Hyperlink"/>
            <w:noProof/>
          </w:rPr>
          <w:t>7.</w:t>
        </w:r>
        <w:r>
          <w:rPr>
            <w:rFonts w:eastAsiaTheme="minorEastAsia"/>
            <w:noProof/>
            <w:sz w:val="22"/>
            <w:szCs w:val="22"/>
            <w:lang w:eastAsia="ro-RO"/>
          </w:rPr>
          <w:tab/>
        </w:r>
        <w:r w:rsidRPr="00CA255A">
          <w:rPr>
            <w:rStyle w:val="Hyperlink"/>
            <w:noProof/>
          </w:rPr>
          <w:t>Comitetul pentru eliminarea discriminării împotriva femeilor</w:t>
        </w:r>
        <w:r>
          <w:rPr>
            <w:noProof/>
            <w:webHidden/>
          </w:rPr>
          <w:tab/>
        </w:r>
        <w:r>
          <w:rPr>
            <w:noProof/>
            <w:webHidden/>
          </w:rPr>
          <w:fldChar w:fldCharType="begin"/>
        </w:r>
        <w:r>
          <w:rPr>
            <w:noProof/>
            <w:webHidden/>
          </w:rPr>
          <w:instrText xml:space="preserve"> PAGEREF _Toc199273460 \h </w:instrText>
        </w:r>
        <w:r>
          <w:rPr>
            <w:noProof/>
            <w:webHidden/>
          </w:rPr>
        </w:r>
        <w:r>
          <w:rPr>
            <w:noProof/>
            <w:webHidden/>
          </w:rPr>
          <w:fldChar w:fldCharType="separate"/>
        </w:r>
        <w:r>
          <w:rPr>
            <w:noProof/>
            <w:webHidden/>
          </w:rPr>
          <w:t>87</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61" w:history="1">
        <w:r w:rsidRPr="00CA255A">
          <w:rPr>
            <w:rStyle w:val="Hyperlink"/>
            <w:noProof/>
          </w:rPr>
          <w:t>8.</w:t>
        </w:r>
        <w:r>
          <w:rPr>
            <w:rFonts w:eastAsiaTheme="minorEastAsia"/>
            <w:noProof/>
            <w:sz w:val="22"/>
            <w:szCs w:val="22"/>
            <w:lang w:eastAsia="ro-RO"/>
          </w:rPr>
          <w:tab/>
        </w:r>
        <w:r w:rsidRPr="00CA255A">
          <w:rPr>
            <w:rStyle w:val="Hyperlink"/>
            <w:noProof/>
          </w:rPr>
          <w:t>Comitetul pentru drepturile copilului</w:t>
        </w:r>
        <w:r>
          <w:rPr>
            <w:noProof/>
            <w:webHidden/>
          </w:rPr>
          <w:tab/>
        </w:r>
        <w:r>
          <w:rPr>
            <w:noProof/>
            <w:webHidden/>
          </w:rPr>
          <w:fldChar w:fldCharType="begin"/>
        </w:r>
        <w:r>
          <w:rPr>
            <w:noProof/>
            <w:webHidden/>
          </w:rPr>
          <w:instrText xml:space="preserve"> PAGEREF _Toc199273461 \h </w:instrText>
        </w:r>
        <w:r>
          <w:rPr>
            <w:noProof/>
            <w:webHidden/>
          </w:rPr>
        </w:r>
        <w:r>
          <w:rPr>
            <w:noProof/>
            <w:webHidden/>
          </w:rPr>
          <w:fldChar w:fldCharType="separate"/>
        </w:r>
        <w:r>
          <w:rPr>
            <w:noProof/>
            <w:webHidden/>
          </w:rPr>
          <w:t>87</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62" w:history="1">
        <w:r w:rsidRPr="00CA255A">
          <w:rPr>
            <w:rStyle w:val="Hyperlink"/>
            <w:noProof/>
          </w:rPr>
          <w:t>9.</w:t>
        </w:r>
        <w:r>
          <w:rPr>
            <w:rFonts w:eastAsiaTheme="minorEastAsia"/>
            <w:noProof/>
            <w:sz w:val="22"/>
            <w:szCs w:val="22"/>
            <w:lang w:eastAsia="ro-RO"/>
          </w:rPr>
          <w:tab/>
        </w:r>
        <w:r w:rsidRPr="00CA255A">
          <w:rPr>
            <w:rStyle w:val="Hyperlink"/>
            <w:noProof/>
          </w:rPr>
          <w:t>Comitetul pentru drepturile economice, sociale și culturale</w:t>
        </w:r>
        <w:r>
          <w:rPr>
            <w:noProof/>
            <w:webHidden/>
          </w:rPr>
          <w:tab/>
        </w:r>
        <w:r>
          <w:rPr>
            <w:noProof/>
            <w:webHidden/>
          </w:rPr>
          <w:fldChar w:fldCharType="begin"/>
        </w:r>
        <w:r>
          <w:rPr>
            <w:noProof/>
            <w:webHidden/>
          </w:rPr>
          <w:instrText xml:space="preserve"> PAGEREF _Toc199273462 \h </w:instrText>
        </w:r>
        <w:r>
          <w:rPr>
            <w:noProof/>
            <w:webHidden/>
          </w:rPr>
        </w:r>
        <w:r>
          <w:rPr>
            <w:noProof/>
            <w:webHidden/>
          </w:rPr>
          <w:fldChar w:fldCharType="separate"/>
        </w:r>
        <w:r>
          <w:rPr>
            <w:noProof/>
            <w:webHidden/>
          </w:rPr>
          <w:t>87</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63" w:history="1">
        <w:r w:rsidRPr="00CA255A">
          <w:rPr>
            <w:rStyle w:val="Hyperlink"/>
            <w:noProof/>
          </w:rPr>
          <w:t>10.</w:t>
        </w:r>
        <w:r>
          <w:rPr>
            <w:rFonts w:eastAsiaTheme="minorEastAsia"/>
            <w:noProof/>
            <w:sz w:val="22"/>
            <w:szCs w:val="22"/>
            <w:lang w:eastAsia="ro-RO"/>
          </w:rPr>
          <w:tab/>
        </w:r>
        <w:r w:rsidRPr="00CA255A">
          <w:rPr>
            <w:rStyle w:val="Hyperlink"/>
            <w:noProof/>
          </w:rPr>
          <w:t>Oficiul Înaltului Comisar al Națiunilor Unite pentru Drepturile Omului</w:t>
        </w:r>
        <w:r>
          <w:rPr>
            <w:noProof/>
            <w:webHidden/>
          </w:rPr>
          <w:tab/>
        </w:r>
        <w:r>
          <w:rPr>
            <w:noProof/>
            <w:webHidden/>
          </w:rPr>
          <w:fldChar w:fldCharType="begin"/>
        </w:r>
        <w:r>
          <w:rPr>
            <w:noProof/>
            <w:webHidden/>
          </w:rPr>
          <w:instrText xml:space="preserve"> PAGEREF _Toc199273463 \h </w:instrText>
        </w:r>
        <w:r>
          <w:rPr>
            <w:noProof/>
            <w:webHidden/>
          </w:rPr>
        </w:r>
        <w:r>
          <w:rPr>
            <w:noProof/>
            <w:webHidden/>
          </w:rPr>
          <w:fldChar w:fldCharType="separate"/>
        </w:r>
        <w:r>
          <w:rPr>
            <w:noProof/>
            <w:webHidden/>
          </w:rPr>
          <w:t>91</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64" w:history="1">
        <w:r w:rsidRPr="00CA255A">
          <w:rPr>
            <w:rStyle w:val="Hyperlink"/>
            <w:noProof/>
          </w:rPr>
          <w:t>11.</w:t>
        </w:r>
        <w:r>
          <w:rPr>
            <w:rFonts w:eastAsiaTheme="minorEastAsia"/>
            <w:noProof/>
            <w:sz w:val="22"/>
            <w:szCs w:val="22"/>
            <w:lang w:eastAsia="ro-RO"/>
          </w:rPr>
          <w:tab/>
        </w:r>
        <w:r w:rsidRPr="00CA255A">
          <w:rPr>
            <w:rStyle w:val="Hyperlink"/>
            <w:noProof/>
          </w:rPr>
          <w:t>Alte elemente</w:t>
        </w:r>
        <w:r>
          <w:rPr>
            <w:noProof/>
            <w:webHidden/>
          </w:rPr>
          <w:tab/>
        </w:r>
        <w:r>
          <w:rPr>
            <w:noProof/>
            <w:webHidden/>
          </w:rPr>
          <w:fldChar w:fldCharType="begin"/>
        </w:r>
        <w:r>
          <w:rPr>
            <w:noProof/>
            <w:webHidden/>
          </w:rPr>
          <w:instrText xml:space="preserve"> PAGEREF _Toc199273464 \h </w:instrText>
        </w:r>
        <w:r>
          <w:rPr>
            <w:noProof/>
            <w:webHidden/>
          </w:rPr>
        </w:r>
        <w:r>
          <w:rPr>
            <w:noProof/>
            <w:webHidden/>
          </w:rPr>
          <w:fldChar w:fldCharType="separate"/>
        </w:r>
        <w:r>
          <w:rPr>
            <w:noProof/>
            <w:webHidden/>
          </w:rPr>
          <w:t>93</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65" w:history="1">
        <w:r w:rsidRPr="00CA255A">
          <w:rPr>
            <w:rStyle w:val="Hyperlink"/>
            <w:noProof/>
          </w:rPr>
          <w:t>B.</w:t>
        </w:r>
        <w:r>
          <w:rPr>
            <w:rFonts w:eastAsiaTheme="minorEastAsia"/>
            <w:noProof/>
            <w:sz w:val="22"/>
            <w:szCs w:val="22"/>
            <w:lang w:eastAsia="ro-RO"/>
          </w:rPr>
          <w:tab/>
        </w:r>
        <w:r w:rsidRPr="00CA255A">
          <w:rPr>
            <w:rStyle w:val="Hyperlink"/>
            <w:noProof/>
          </w:rPr>
          <w:t>Consiliul Europei</w:t>
        </w:r>
        <w:r>
          <w:rPr>
            <w:noProof/>
            <w:webHidden/>
          </w:rPr>
          <w:tab/>
        </w:r>
        <w:r>
          <w:rPr>
            <w:noProof/>
            <w:webHidden/>
          </w:rPr>
          <w:fldChar w:fldCharType="begin"/>
        </w:r>
        <w:r>
          <w:rPr>
            <w:noProof/>
            <w:webHidden/>
          </w:rPr>
          <w:instrText xml:space="preserve"> PAGEREF _Toc199273465 \h </w:instrText>
        </w:r>
        <w:r>
          <w:rPr>
            <w:noProof/>
            <w:webHidden/>
          </w:rPr>
        </w:r>
        <w:r>
          <w:rPr>
            <w:noProof/>
            <w:webHidden/>
          </w:rPr>
          <w:fldChar w:fldCharType="separate"/>
        </w:r>
        <w:r>
          <w:rPr>
            <w:noProof/>
            <w:webHidden/>
          </w:rPr>
          <w:t>95</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66" w:history="1">
        <w:r w:rsidRPr="00CA255A">
          <w:rPr>
            <w:rStyle w:val="Hyperlink"/>
            <w:noProof/>
          </w:rPr>
          <w:t>1.</w:t>
        </w:r>
        <w:r>
          <w:rPr>
            <w:rFonts w:eastAsiaTheme="minorEastAsia"/>
            <w:noProof/>
            <w:sz w:val="22"/>
            <w:szCs w:val="22"/>
            <w:lang w:eastAsia="ro-RO"/>
          </w:rPr>
          <w:tab/>
        </w:r>
        <w:r w:rsidRPr="00CA255A">
          <w:rPr>
            <w:rStyle w:val="Hyperlink"/>
            <w:noProof/>
          </w:rPr>
          <w:t>Adunarea Parlamentară a Consiliului Europei</w:t>
        </w:r>
        <w:r>
          <w:rPr>
            <w:noProof/>
            <w:webHidden/>
          </w:rPr>
          <w:tab/>
        </w:r>
        <w:r>
          <w:rPr>
            <w:noProof/>
            <w:webHidden/>
          </w:rPr>
          <w:fldChar w:fldCharType="begin"/>
        </w:r>
        <w:r>
          <w:rPr>
            <w:noProof/>
            <w:webHidden/>
          </w:rPr>
          <w:instrText xml:space="preserve"> PAGEREF _Toc199273466 \h </w:instrText>
        </w:r>
        <w:r>
          <w:rPr>
            <w:noProof/>
            <w:webHidden/>
          </w:rPr>
        </w:r>
        <w:r>
          <w:rPr>
            <w:noProof/>
            <w:webHidden/>
          </w:rPr>
          <w:fldChar w:fldCharType="separate"/>
        </w:r>
        <w:r>
          <w:rPr>
            <w:noProof/>
            <w:webHidden/>
          </w:rPr>
          <w:t>95</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67" w:history="1">
        <w:r w:rsidRPr="00CA255A">
          <w:rPr>
            <w:rStyle w:val="Hyperlink"/>
            <w:noProof/>
          </w:rPr>
          <w:t>2.</w:t>
        </w:r>
        <w:r>
          <w:rPr>
            <w:rFonts w:eastAsiaTheme="minorEastAsia"/>
            <w:noProof/>
            <w:sz w:val="22"/>
            <w:szCs w:val="22"/>
            <w:lang w:eastAsia="ro-RO"/>
          </w:rPr>
          <w:tab/>
        </w:r>
        <w:r w:rsidRPr="00CA255A">
          <w:rPr>
            <w:rStyle w:val="Hyperlink"/>
            <w:noProof/>
          </w:rPr>
          <w:t>Comitetul de Miniștri</w:t>
        </w:r>
        <w:r>
          <w:rPr>
            <w:noProof/>
            <w:webHidden/>
          </w:rPr>
          <w:tab/>
        </w:r>
        <w:r>
          <w:rPr>
            <w:noProof/>
            <w:webHidden/>
          </w:rPr>
          <w:fldChar w:fldCharType="begin"/>
        </w:r>
        <w:r>
          <w:rPr>
            <w:noProof/>
            <w:webHidden/>
          </w:rPr>
          <w:instrText xml:space="preserve"> PAGEREF _Toc199273467 \h </w:instrText>
        </w:r>
        <w:r>
          <w:rPr>
            <w:noProof/>
            <w:webHidden/>
          </w:rPr>
        </w:r>
        <w:r>
          <w:rPr>
            <w:noProof/>
            <w:webHidden/>
          </w:rPr>
          <w:fldChar w:fldCharType="separate"/>
        </w:r>
        <w:r>
          <w:rPr>
            <w:noProof/>
            <w:webHidden/>
          </w:rPr>
          <w:t>98</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68" w:history="1">
        <w:r w:rsidRPr="00CA255A">
          <w:rPr>
            <w:rStyle w:val="Hyperlink"/>
            <w:noProof/>
          </w:rPr>
          <w:t>3.</w:t>
        </w:r>
        <w:r>
          <w:rPr>
            <w:rFonts w:eastAsiaTheme="minorEastAsia"/>
            <w:noProof/>
            <w:sz w:val="22"/>
            <w:szCs w:val="22"/>
            <w:lang w:eastAsia="ro-RO"/>
          </w:rPr>
          <w:tab/>
        </w:r>
        <w:r w:rsidRPr="00CA255A">
          <w:rPr>
            <w:rStyle w:val="Hyperlink"/>
            <w:noProof/>
          </w:rPr>
          <w:t>Comisarul pentru Drepturile Omului al Consiliului Europei</w:t>
        </w:r>
        <w:r>
          <w:rPr>
            <w:noProof/>
            <w:webHidden/>
          </w:rPr>
          <w:tab/>
        </w:r>
        <w:r>
          <w:rPr>
            <w:noProof/>
            <w:webHidden/>
          </w:rPr>
          <w:fldChar w:fldCharType="begin"/>
        </w:r>
        <w:r>
          <w:rPr>
            <w:noProof/>
            <w:webHidden/>
          </w:rPr>
          <w:instrText xml:space="preserve"> PAGEREF _Toc199273468 \h </w:instrText>
        </w:r>
        <w:r>
          <w:rPr>
            <w:noProof/>
            <w:webHidden/>
          </w:rPr>
        </w:r>
        <w:r>
          <w:rPr>
            <w:noProof/>
            <w:webHidden/>
          </w:rPr>
          <w:fldChar w:fldCharType="separate"/>
        </w:r>
        <w:r>
          <w:rPr>
            <w:noProof/>
            <w:webHidden/>
          </w:rPr>
          <w:t>100</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69" w:history="1">
        <w:r w:rsidRPr="00CA255A">
          <w:rPr>
            <w:rStyle w:val="Hyperlink"/>
            <w:noProof/>
          </w:rPr>
          <w:t>4.</w:t>
        </w:r>
        <w:r>
          <w:rPr>
            <w:rFonts w:eastAsiaTheme="minorEastAsia"/>
            <w:noProof/>
            <w:sz w:val="22"/>
            <w:szCs w:val="22"/>
            <w:lang w:eastAsia="ro-RO"/>
          </w:rPr>
          <w:tab/>
        </w:r>
        <w:r w:rsidRPr="00CA255A">
          <w:rPr>
            <w:rStyle w:val="Hyperlink"/>
            <w:noProof/>
          </w:rPr>
          <w:t>Alte documente</w:t>
        </w:r>
        <w:r>
          <w:rPr>
            <w:noProof/>
            <w:webHidden/>
          </w:rPr>
          <w:tab/>
        </w:r>
        <w:r>
          <w:rPr>
            <w:noProof/>
            <w:webHidden/>
          </w:rPr>
          <w:fldChar w:fldCharType="begin"/>
        </w:r>
        <w:r>
          <w:rPr>
            <w:noProof/>
            <w:webHidden/>
          </w:rPr>
          <w:instrText xml:space="preserve"> PAGEREF _Toc199273469 \h </w:instrText>
        </w:r>
        <w:r>
          <w:rPr>
            <w:noProof/>
            <w:webHidden/>
          </w:rPr>
        </w:r>
        <w:r>
          <w:rPr>
            <w:noProof/>
            <w:webHidden/>
          </w:rPr>
          <w:fldChar w:fldCharType="separate"/>
        </w:r>
        <w:r>
          <w:rPr>
            <w:noProof/>
            <w:webHidden/>
          </w:rPr>
          <w:t>100</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70" w:history="1">
        <w:r w:rsidRPr="00CA255A">
          <w:rPr>
            <w:rStyle w:val="Hyperlink"/>
            <w:noProof/>
          </w:rPr>
          <w:t>C.</w:t>
        </w:r>
        <w:r>
          <w:rPr>
            <w:rFonts w:eastAsiaTheme="minorEastAsia"/>
            <w:noProof/>
            <w:sz w:val="22"/>
            <w:szCs w:val="22"/>
            <w:lang w:eastAsia="ro-RO"/>
          </w:rPr>
          <w:tab/>
        </w:r>
        <w:r w:rsidRPr="00CA255A">
          <w:rPr>
            <w:rStyle w:val="Hyperlink"/>
            <w:noProof/>
          </w:rPr>
          <w:t>Uniunea Europeană</w:t>
        </w:r>
        <w:r>
          <w:rPr>
            <w:noProof/>
            <w:webHidden/>
          </w:rPr>
          <w:tab/>
        </w:r>
        <w:r>
          <w:rPr>
            <w:noProof/>
            <w:webHidden/>
          </w:rPr>
          <w:fldChar w:fldCharType="begin"/>
        </w:r>
        <w:r>
          <w:rPr>
            <w:noProof/>
            <w:webHidden/>
          </w:rPr>
          <w:instrText xml:space="preserve"> PAGEREF _Toc199273470 \h </w:instrText>
        </w:r>
        <w:r>
          <w:rPr>
            <w:noProof/>
            <w:webHidden/>
          </w:rPr>
        </w:r>
        <w:r>
          <w:rPr>
            <w:noProof/>
            <w:webHidden/>
          </w:rPr>
          <w:fldChar w:fldCharType="separate"/>
        </w:r>
        <w:r>
          <w:rPr>
            <w:noProof/>
            <w:webHidden/>
          </w:rPr>
          <w:t>102</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71" w:history="1">
        <w:r w:rsidRPr="00CA255A">
          <w:rPr>
            <w:rStyle w:val="Hyperlink"/>
            <w:noProof/>
          </w:rPr>
          <w:t>1.</w:t>
        </w:r>
        <w:r>
          <w:rPr>
            <w:rFonts w:eastAsiaTheme="minorEastAsia"/>
            <w:noProof/>
            <w:sz w:val="22"/>
            <w:szCs w:val="22"/>
            <w:lang w:eastAsia="ro-RO"/>
          </w:rPr>
          <w:tab/>
        </w:r>
        <w:r w:rsidRPr="00CA255A">
          <w:rPr>
            <w:rStyle w:val="Hyperlink"/>
            <w:noProof/>
          </w:rPr>
          <w:t>Legislația primară</w:t>
        </w:r>
        <w:r>
          <w:rPr>
            <w:noProof/>
            <w:webHidden/>
          </w:rPr>
          <w:tab/>
        </w:r>
        <w:r>
          <w:rPr>
            <w:noProof/>
            <w:webHidden/>
          </w:rPr>
          <w:fldChar w:fldCharType="begin"/>
        </w:r>
        <w:r>
          <w:rPr>
            <w:noProof/>
            <w:webHidden/>
          </w:rPr>
          <w:instrText xml:space="preserve"> PAGEREF _Toc199273471 \h </w:instrText>
        </w:r>
        <w:r>
          <w:rPr>
            <w:noProof/>
            <w:webHidden/>
          </w:rPr>
        </w:r>
        <w:r>
          <w:rPr>
            <w:noProof/>
            <w:webHidden/>
          </w:rPr>
          <w:fldChar w:fldCharType="separate"/>
        </w:r>
        <w:r>
          <w:rPr>
            <w:noProof/>
            <w:webHidden/>
          </w:rPr>
          <w:t>102</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72" w:history="1">
        <w:r w:rsidRPr="00CA255A">
          <w:rPr>
            <w:rStyle w:val="Hyperlink"/>
            <w:noProof/>
          </w:rPr>
          <w:t>2.</w:t>
        </w:r>
        <w:r>
          <w:rPr>
            <w:rFonts w:eastAsiaTheme="minorEastAsia"/>
            <w:noProof/>
            <w:sz w:val="22"/>
            <w:szCs w:val="22"/>
            <w:lang w:eastAsia="ro-RO"/>
          </w:rPr>
          <w:tab/>
        </w:r>
        <w:r w:rsidRPr="00CA255A">
          <w:rPr>
            <w:rStyle w:val="Hyperlink"/>
            <w:noProof/>
          </w:rPr>
          <w:t>Acte legislative</w:t>
        </w:r>
        <w:r>
          <w:rPr>
            <w:noProof/>
            <w:webHidden/>
          </w:rPr>
          <w:tab/>
        </w:r>
        <w:r>
          <w:rPr>
            <w:noProof/>
            <w:webHidden/>
          </w:rPr>
          <w:fldChar w:fldCharType="begin"/>
        </w:r>
        <w:r>
          <w:rPr>
            <w:noProof/>
            <w:webHidden/>
          </w:rPr>
          <w:instrText xml:space="preserve"> PAGEREF _Toc199273472 \h </w:instrText>
        </w:r>
        <w:r>
          <w:rPr>
            <w:noProof/>
            <w:webHidden/>
          </w:rPr>
        </w:r>
        <w:r>
          <w:rPr>
            <w:noProof/>
            <w:webHidden/>
          </w:rPr>
          <w:fldChar w:fldCharType="separate"/>
        </w:r>
        <w:r>
          <w:rPr>
            <w:noProof/>
            <w:webHidden/>
          </w:rPr>
          <w:t>103</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73" w:history="1">
        <w:r w:rsidRPr="00CA255A">
          <w:rPr>
            <w:rStyle w:val="Hyperlink"/>
            <w:noProof/>
          </w:rPr>
          <w:t>a)</w:t>
        </w:r>
        <w:r>
          <w:rPr>
            <w:rFonts w:eastAsiaTheme="minorEastAsia"/>
            <w:noProof/>
            <w:sz w:val="22"/>
            <w:szCs w:val="22"/>
            <w:lang w:eastAsia="ro-RO"/>
          </w:rPr>
          <w:tab/>
        </w:r>
        <w:r w:rsidRPr="00CA255A">
          <w:rPr>
            <w:rStyle w:val="Hyperlink"/>
            <w:noProof/>
          </w:rPr>
          <w:t>Acte referitoare la emisiile de GES</w:t>
        </w:r>
        <w:r>
          <w:rPr>
            <w:noProof/>
            <w:webHidden/>
          </w:rPr>
          <w:tab/>
        </w:r>
        <w:r>
          <w:rPr>
            <w:noProof/>
            <w:webHidden/>
          </w:rPr>
          <w:fldChar w:fldCharType="begin"/>
        </w:r>
        <w:r>
          <w:rPr>
            <w:noProof/>
            <w:webHidden/>
          </w:rPr>
          <w:instrText xml:space="preserve"> PAGEREF _Toc199273473 \h </w:instrText>
        </w:r>
        <w:r>
          <w:rPr>
            <w:noProof/>
            <w:webHidden/>
          </w:rPr>
        </w:r>
        <w:r>
          <w:rPr>
            <w:noProof/>
            <w:webHidden/>
          </w:rPr>
          <w:fldChar w:fldCharType="separate"/>
        </w:r>
        <w:r>
          <w:rPr>
            <w:noProof/>
            <w:webHidden/>
          </w:rPr>
          <w:t>103</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74" w:history="1">
        <w:r w:rsidRPr="00CA255A">
          <w:rPr>
            <w:rStyle w:val="Hyperlink"/>
            <w:noProof/>
          </w:rPr>
          <w:t>b)</w:t>
        </w:r>
        <w:r>
          <w:rPr>
            <w:rFonts w:eastAsiaTheme="minorEastAsia"/>
            <w:noProof/>
            <w:sz w:val="22"/>
            <w:szCs w:val="22"/>
            <w:lang w:eastAsia="ro-RO"/>
          </w:rPr>
          <w:tab/>
        </w:r>
        <w:r w:rsidRPr="00CA255A">
          <w:rPr>
            <w:rStyle w:val="Hyperlink"/>
            <w:noProof/>
          </w:rPr>
          <w:t>Acte referitoare la accesul la informație, participarea publicului și accesul la justiție în domeniul mediului</w:t>
        </w:r>
        <w:r>
          <w:rPr>
            <w:noProof/>
            <w:webHidden/>
          </w:rPr>
          <w:tab/>
        </w:r>
        <w:r>
          <w:rPr>
            <w:noProof/>
            <w:webHidden/>
          </w:rPr>
          <w:fldChar w:fldCharType="begin"/>
        </w:r>
        <w:r>
          <w:rPr>
            <w:noProof/>
            <w:webHidden/>
          </w:rPr>
          <w:instrText xml:space="preserve"> PAGEREF _Toc199273474 \h </w:instrText>
        </w:r>
        <w:r>
          <w:rPr>
            <w:noProof/>
            <w:webHidden/>
          </w:rPr>
        </w:r>
        <w:r>
          <w:rPr>
            <w:noProof/>
            <w:webHidden/>
          </w:rPr>
          <w:fldChar w:fldCharType="separate"/>
        </w:r>
        <w:r>
          <w:rPr>
            <w:noProof/>
            <w:webHidden/>
          </w:rPr>
          <w:t>105</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75" w:history="1">
        <w:r w:rsidRPr="00CA255A">
          <w:rPr>
            <w:rStyle w:val="Hyperlink"/>
            <w:noProof/>
          </w:rPr>
          <w:t>3.</w:t>
        </w:r>
        <w:r>
          <w:rPr>
            <w:rFonts w:eastAsiaTheme="minorEastAsia"/>
            <w:noProof/>
            <w:sz w:val="22"/>
            <w:szCs w:val="22"/>
            <w:lang w:eastAsia="ro-RO"/>
          </w:rPr>
          <w:tab/>
        </w:r>
        <w:r w:rsidRPr="00CA255A">
          <w:rPr>
            <w:rStyle w:val="Hyperlink"/>
            <w:noProof/>
          </w:rPr>
          <w:t>Jurisprudența Curții de Justiție și a Tribunalului Uniunii Europene</w:t>
        </w:r>
        <w:r>
          <w:rPr>
            <w:noProof/>
            <w:webHidden/>
          </w:rPr>
          <w:tab/>
        </w:r>
        <w:r>
          <w:rPr>
            <w:noProof/>
            <w:webHidden/>
          </w:rPr>
          <w:fldChar w:fldCharType="begin"/>
        </w:r>
        <w:r>
          <w:rPr>
            <w:noProof/>
            <w:webHidden/>
          </w:rPr>
          <w:instrText xml:space="preserve"> PAGEREF _Toc199273475 \h </w:instrText>
        </w:r>
        <w:r>
          <w:rPr>
            <w:noProof/>
            <w:webHidden/>
          </w:rPr>
        </w:r>
        <w:r>
          <w:rPr>
            <w:noProof/>
            <w:webHidden/>
          </w:rPr>
          <w:fldChar w:fldCharType="separate"/>
        </w:r>
        <w:r>
          <w:rPr>
            <w:noProof/>
            <w:webHidden/>
          </w:rPr>
          <w:t>107</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76" w:history="1">
        <w:r w:rsidRPr="00CA255A">
          <w:rPr>
            <w:rStyle w:val="Hyperlink"/>
            <w:noProof/>
          </w:rPr>
          <w:t>D.</w:t>
        </w:r>
        <w:r>
          <w:rPr>
            <w:rFonts w:eastAsiaTheme="minorEastAsia"/>
            <w:noProof/>
            <w:sz w:val="22"/>
            <w:szCs w:val="22"/>
            <w:lang w:eastAsia="ro-RO"/>
          </w:rPr>
          <w:tab/>
        </w:r>
        <w:r w:rsidRPr="00CA255A">
          <w:rPr>
            <w:rStyle w:val="Hyperlink"/>
            <w:noProof/>
          </w:rPr>
          <w:t>Texte adoptate în cadrul altor mecanisme regionale de protecție a drepturilor omului</w:t>
        </w:r>
        <w:r>
          <w:rPr>
            <w:noProof/>
            <w:webHidden/>
          </w:rPr>
          <w:tab/>
        </w:r>
        <w:r>
          <w:rPr>
            <w:noProof/>
            <w:webHidden/>
          </w:rPr>
          <w:fldChar w:fldCharType="begin"/>
        </w:r>
        <w:r>
          <w:rPr>
            <w:noProof/>
            <w:webHidden/>
          </w:rPr>
          <w:instrText xml:space="preserve"> PAGEREF _Toc199273476 \h </w:instrText>
        </w:r>
        <w:r>
          <w:rPr>
            <w:noProof/>
            <w:webHidden/>
          </w:rPr>
        </w:r>
        <w:r>
          <w:rPr>
            <w:noProof/>
            <w:webHidden/>
          </w:rPr>
          <w:fldChar w:fldCharType="separate"/>
        </w:r>
        <w:r>
          <w:rPr>
            <w:noProof/>
            <w:webHidden/>
          </w:rPr>
          <w:t>112</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77" w:history="1">
        <w:r w:rsidRPr="00CA255A">
          <w:rPr>
            <w:rStyle w:val="Hyperlink"/>
            <w:noProof/>
          </w:rPr>
          <w:t>1.</w:t>
        </w:r>
        <w:r>
          <w:rPr>
            <w:rFonts w:eastAsiaTheme="minorEastAsia"/>
            <w:noProof/>
            <w:sz w:val="22"/>
            <w:szCs w:val="22"/>
            <w:lang w:eastAsia="ro-RO"/>
          </w:rPr>
          <w:tab/>
        </w:r>
        <w:r w:rsidRPr="00CA255A">
          <w:rPr>
            <w:rStyle w:val="Hyperlink"/>
            <w:noProof/>
          </w:rPr>
          <w:t>Sistemul interamerican</w:t>
        </w:r>
        <w:r>
          <w:rPr>
            <w:noProof/>
            <w:webHidden/>
          </w:rPr>
          <w:tab/>
        </w:r>
        <w:r>
          <w:rPr>
            <w:noProof/>
            <w:webHidden/>
          </w:rPr>
          <w:fldChar w:fldCharType="begin"/>
        </w:r>
        <w:r>
          <w:rPr>
            <w:noProof/>
            <w:webHidden/>
          </w:rPr>
          <w:instrText xml:space="preserve"> PAGEREF _Toc199273477 \h </w:instrText>
        </w:r>
        <w:r>
          <w:rPr>
            <w:noProof/>
            <w:webHidden/>
          </w:rPr>
        </w:r>
        <w:r>
          <w:rPr>
            <w:noProof/>
            <w:webHidden/>
          </w:rPr>
          <w:fldChar w:fldCharType="separate"/>
        </w:r>
        <w:r>
          <w:rPr>
            <w:noProof/>
            <w:webHidden/>
          </w:rPr>
          <w:t>112</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78" w:history="1">
        <w:r w:rsidRPr="00CA255A">
          <w:rPr>
            <w:rStyle w:val="Hyperlink"/>
            <w:noProof/>
          </w:rPr>
          <w:t>a)</w:t>
        </w:r>
        <w:r>
          <w:rPr>
            <w:rFonts w:eastAsiaTheme="minorEastAsia"/>
            <w:noProof/>
            <w:sz w:val="22"/>
            <w:szCs w:val="22"/>
            <w:lang w:eastAsia="ro-RO"/>
          </w:rPr>
          <w:tab/>
        </w:r>
        <w:r w:rsidRPr="00CA255A">
          <w:rPr>
            <w:rStyle w:val="Hyperlink"/>
            <w:noProof/>
          </w:rPr>
          <w:t>Instrumentele relevante</w:t>
        </w:r>
        <w:r>
          <w:rPr>
            <w:noProof/>
            <w:webHidden/>
          </w:rPr>
          <w:tab/>
        </w:r>
        <w:r>
          <w:rPr>
            <w:noProof/>
            <w:webHidden/>
          </w:rPr>
          <w:fldChar w:fldCharType="begin"/>
        </w:r>
        <w:r>
          <w:rPr>
            <w:noProof/>
            <w:webHidden/>
          </w:rPr>
          <w:instrText xml:space="preserve"> PAGEREF _Toc199273478 \h </w:instrText>
        </w:r>
        <w:r>
          <w:rPr>
            <w:noProof/>
            <w:webHidden/>
          </w:rPr>
        </w:r>
        <w:r>
          <w:rPr>
            <w:noProof/>
            <w:webHidden/>
          </w:rPr>
          <w:fldChar w:fldCharType="separate"/>
        </w:r>
        <w:r>
          <w:rPr>
            <w:noProof/>
            <w:webHidden/>
          </w:rPr>
          <w:t>112</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79" w:history="1">
        <w:r w:rsidRPr="00CA255A">
          <w:rPr>
            <w:rStyle w:val="Hyperlink"/>
            <w:noProof/>
          </w:rPr>
          <w:t>b)</w:t>
        </w:r>
        <w:r>
          <w:rPr>
            <w:rFonts w:eastAsiaTheme="minorEastAsia"/>
            <w:noProof/>
            <w:sz w:val="22"/>
            <w:szCs w:val="22"/>
            <w:lang w:eastAsia="ro-RO"/>
          </w:rPr>
          <w:tab/>
        </w:r>
        <w:r w:rsidRPr="00CA255A">
          <w:rPr>
            <w:rStyle w:val="Hyperlink"/>
            <w:noProof/>
          </w:rPr>
          <w:t>Curtea Interamericană a Drepturilor Omului</w:t>
        </w:r>
        <w:r>
          <w:rPr>
            <w:noProof/>
            <w:webHidden/>
          </w:rPr>
          <w:tab/>
        </w:r>
        <w:r>
          <w:rPr>
            <w:noProof/>
            <w:webHidden/>
          </w:rPr>
          <w:fldChar w:fldCharType="begin"/>
        </w:r>
        <w:r>
          <w:rPr>
            <w:noProof/>
            <w:webHidden/>
          </w:rPr>
          <w:instrText xml:space="preserve"> PAGEREF _Toc199273479 \h </w:instrText>
        </w:r>
        <w:r>
          <w:rPr>
            <w:noProof/>
            <w:webHidden/>
          </w:rPr>
        </w:r>
        <w:r>
          <w:rPr>
            <w:noProof/>
            <w:webHidden/>
          </w:rPr>
          <w:fldChar w:fldCharType="separate"/>
        </w:r>
        <w:r>
          <w:rPr>
            <w:noProof/>
            <w:webHidden/>
          </w:rPr>
          <w:t>113</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80" w:history="1">
        <w:r w:rsidRPr="00CA255A">
          <w:rPr>
            <w:rStyle w:val="Hyperlink"/>
            <w:noProof/>
          </w:rPr>
          <w:t>c)</w:t>
        </w:r>
        <w:r>
          <w:rPr>
            <w:rFonts w:eastAsiaTheme="minorEastAsia"/>
            <w:noProof/>
            <w:sz w:val="22"/>
            <w:szCs w:val="22"/>
            <w:lang w:eastAsia="ro-RO"/>
          </w:rPr>
          <w:tab/>
        </w:r>
        <w:r w:rsidRPr="00CA255A">
          <w:rPr>
            <w:rStyle w:val="Hyperlink"/>
            <w:noProof/>
          </w:rPr>
          <w:t>Comisia Interamericană pentru Drepturile Omului</w:t>
        </w:r>
        <w:r>
          <w:rPr>
            <w:noProof/>
            <w:webHidden/>
          </w:rPr>
          <w:tab/>
        </w:r>
        <w:r>
          <w:rPr>
            <w:noProof/>
            <w:webHidden/>
          </w:rPr>
          <w:fldChar w:fldCharType="begin"/>
        </w:r>
        <w:r>
          <w:rPr>
            <w:noProof/>
            <w:webHidden/>
          </w:rPr>
          <w:instrText xml:space="preserve"> PAGEREF _Toc199273480 \h </w:instrText>
        </w:r>
        <w:r>
          <w:rPr>
            <w:noProof/>
            <w:webHidden/>
          </w:rPr>
        </w:r>
        <w:r>
          <w:rPr>
            <w:noProof/>
            <w:webHidden/>
          </w:rPr>
          <w:fldChar w:fldCharType="separate"/>
        </w:r>
        <w:r>
          <w:rPr>
            <w:noProof/>
            <w:webHidden/>
          </w:rPr>
          <w:t>115</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81" w:history="1">
        <w:r w:rsidRPr="00CA255A">
          <w:rPr>
            <w:rStyle w:val="Hyperlink"/>
            <w:noProof/>
          </w:rPr>
          <w:t>2.</w:t>
        </w:r>
        <w:r>
          <w:rPr>
            <w:rFonts w:eastAsiaTheme="minorEastAsia"/>
            <w:noProof/>
            <w:sz w:val="22"/>
            <w:szCs w:val="22"/>
            <w:lang w:eastAsia="ro-RO"/>
          </w:rPr>
          <w:tab/>
        </w:r>
        <w:r w:rsidRPr="00CA255A">
          <w:rPr>
            <w:rStyle w:val="Hyperlink"/>
            <w:noProof/>
          </w:rPr>
          <w:t>Sistemul african</w:t>
        </w:r>
        <w:r>
          <w:rPr>
            <w:noProof/>
            <w:webHidden/>
          </w:rPr>
          <w:tab/>
        </w:r>
        <w:r>
          <w:rPr>
            <w:noProof/>
            <w:webHidden/>
          </w:rPr>
          <w:fldChar w:fldCharType="begin"/>
        </w:r>
        <w:r>
          <w:rPr>
            <w:noProof/>
            <w:webHidden/>
          </w:rPr>
          <w:instrText xml:space="preserve"> PAGEREF _Toc199273481 \h </w:instrText>
        </w:r>
        <w:r>
          <w:rPr>
            <w:noProof/>
            <w:webHidden/>
          </w:rPr>
        </w:r>
        <w:r>
          <w:rPr>
            <w:noProof/>
            <w:webHidden/>
          </w:rPr>
          <w:fldChar w:fldCharType="separate"/>
        </w:r>
        <w:r>
          <w:rPr>
            <w:noProof/>
            <w:webHidden/>
          </w:rPr>
          <w:t>115</w:t>
        </w:r>
        <w:r>
          <w:rPr>
            <w:noProof/>
            <w:webHidden/>
          </w:rPr>
          <w:fldChar w:fldCharType="end"/>
        </w:r>
      </w:hyperlink>
    </w:p>
    <w:p w:rsidR="00690E9D" w:rsidRDefault="00690E9D">
      <w:pPr>
        <w:pStyle w:val="TOC2"/>
        <w:tabs>
          <w:tab w:val="left" w:pos="1020"/>
        </w:tabs>
        <w:rPr>
          <w:rFonts w:eastAsiaTheme="minorEastAsia"/>
          <w:noProof/>
          <w:szCs w:val="22"/>
          <w:lang w:eastAsia="ro-RO"/>
        </w:rPr>
      </w:pPr>
      <w:hyperlink w:anchor="_Toc199273482" w:history="1">
        <w:r w:rsidRPr="00CA255A">
          <w:rPr>
            <w:rStyle w:val="Hyperlink"/>
            <w:noProof/>
          </w:rPr>
          <w:t>III.</w:t>
        </w:r>
        <w:r>
          <w:rPr>
            <w:rFonts w:eastAsiaTheme="minorEastAsia"/>
            <w:noProof/>
            <w:szCs w:val="22"/>
            <w:lang w:eastAsia="ro-RO"/>
          </w:rPr>
          <w:tab/>
        </w:r>
        <w:r w:rsidRPr="00CA255A">
          <w:rPr>
            <w:rStyle w:val="Hyperlink"/>
            <w:noProof/>
          </w:rPr>
          <w:t>DREPT COMPARAT</w:t>
        </w:r>
        <w:r>
          <w:rPr>
            <w:noProof/>
            <w:webHidden/>
          </w:rPr>
          <w:tab/>
        </w:r>
        <w:r>
          <w:rPr>
            <w:noProof/>
            <w:webHidden/>
          </w:rPr>
          <w:fldChar w:fldCharType="begin"/>
        </w:r>
        <w:r>
          <w:rPr>
            <w:noProof/>
            <w:webHidden/>
          </w:rPr>
          <w:instrText xml:space="preserve"> PAGEREF _Toc199273482 \h </w:instrText>
        </w:r>
        <w:r>
          <w:rPr>
            <w:noProof/>
            <w:webHidden/>
          </w:rPr>
        </w:r>
        <w:r>
          <w:rPr>
            <w:noProof/>
            <w:webHidden/>
          </w:rPr>
          <w:fldChar w:fldCharType="separate"/>
        </w:r>
        <w:r>
          <w:rPr>
            <w:noProof/>
            <w:webHidden/>
          </w:rPr>
          <w:t>117</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83" w:history="1">
        <w:r w:rsidRPr="00CA255A">
          <w:rPr>
            <w:rStyle w:val="Hyperlink"/>
            <w:noProof/>
          </w:rPr>
          <w:t>A.</w:t>
        </w:r>
        <w:r>
          <w:rPr>
            <w:rFonts w:eastAsiaTheme="minorEastAsia"/>
            <w:noProof/>
            <w:sz w:val="22"/>
            <w:szCs w:val="22"/>
            <w:lang w:eastAsia="ro-RO"/>
          </w:rPr>
          <w:tab/>
        </w:r>
        <w:r w:rsidRPr="00CA255A">
          <w:rPr>
            <w:rStyle w:val="Hyperlink"/>
            <w:noProof/>
          </w:rPr>
          <w:t>Elemente de drept comparat privind Convenția de la Aarhus</w:t>
        </w:r>
        <w:r>
          <w:rPr>
            <w:noProof/>
            <w:webHidden/>
          </w:rPr>
          <w:tab/>
        </w:r>
        <w:r>
          <w:rPr>
            <w:noProof/>
            <w:webHidden/>
          </w:rPr>
          <w:fldChar w:fldCharType="begin"/>
        </w:r>
        <w:r>
          <w:rPr>
            <w:noProof/>
            <w:webHidden/>
          </w:rPr>
          <w:instrText xml:space="preserve"> PAGEREF _Toc199273483 \h </w:instrText>
        </w:r>
        <w:r>
          <w:rPr>
            <w:noProof/>
            <w:webHidden/>
          </w:rPr>
        </w:r>
        <w:r>
          <w:rPr>
            <w:noProof/>
            <w:webHidden/>
          </w:rPr>
          <w:fldChar w:fldCharType="separate"/>
        </w:r>
        <w:r>
          <w:rPr>
            <w:noProof/>
            <w:webHidden/>
          </w:rPr>
          <w:t>117</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84" w:history="1">
        <w:r w:rsidRPr="00CA255A">
          <w:rPr>
            <w:rStyle w:val="Hyperlink"/>
            <w:noProof/>
          </w:rPr>
          <w:t>B.</w:t>
        </w:r>
        <w:r>
          <w:rPr>
            <w:rFonts w:eastAsiaTheme="minorEastAsia"/>
            <w:noProof/>
            <w:sz w:val="22"/>
            <w:szCs w:val="22"/>
            <w:lang w:eastAsia="ro-RO"/>
          </w:rPr>
          <w:tab/>
        </w:r>
        <w:r w:rsidRPr="00CA255A">
          <w:rPr>
            <w:rStyle w:val="Hyperlink"/>
            <w:noProof/>
          </w:rPr>
          <w:t>Elemente din jurisprudența internă referitoare la schimbările climatice</w:t>
        </w:r>
        <w:r>
          <w:rPr>
            <w:noProof/>
            <w:webHidden/>
          </w:rPr>
          <w:tab/>
        </w:r>
        <w:r>
          <w:rPr>
            <w:noProof/>
            <w:webHidden/>
          </w:rPr>
          <w:fldChar w:fldCharType="begin"/>
        </w:r>
        <w:r>
          <w:rPr>
            <w:noProof/>
            <w:webHidden/>
          </w:rPr>
          <w:instrText xml:space="preserve"> PAGEREF _Toc199273484 \h </w:instrText>
        </w:r>
        <w:r>
          <w:rPr>
            <w:noProof/>
            <w:webHidden/>
          </w:rPr>
        </w:r>
        <w:r>
          <w:rPr>
            <w:noProof/>
            <w:webHidden/>
          </w:rPr>
          <w:fldChar w:fldCharType="separate"/>
        </w:r>
        <w:r>
          <w:rPr>
            <w:noProof/>
            <w:webHidden/>
          </w:rPr>
          <w:t>118</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85" w:history="1">
        <w:r w:rsidRPr="00CA255A">
          <w:rPr>
            <w:rStyle w:val="Hyperlink"/>
            <w:noProof/>
          </w:rPr>
          <w:t>1.</w:t>
        </w:r>
        <w:r>
          <w:rPr>
            <w:rFonts w:eastAsiaTheme="minorEastAsia"/>
            <w:noProof/>
            <w:sz w:val="22"/>
            <w:szCs w:val="22"/>
            <w:lang w:eastAsia="ro-RO"/>
          </w:rPr>
          <w:tab/>
        </w:r>
        <w:r w:rsidRPr="00CA255A">
          <w:rPr>
            <w:rStyle w:val="Hyperlink"/>
            <w:noProof/>
          </w:rPr>
          <w:t>Franța</w:t>
        </w:r>
        <w:r>
          <w:rPr>
            <w:noProof/>
            <w:webHidden/>
          </w:rPr>
          <w:tab/>
        </w:r>
        <w:r>
          <w:rPr>
            <w:noProof/>
            <w:webHidden/>
          </w:rPr>
          <w:fldChar w:fldCharType="begin"/>
        </w:r>
        <w:r>
          <w:rPr>
            <w:noProof/>
            <w:webHidden/>
          </w:rPr>
          <w:instrText xml:space="preserve"> PAGEREF _Toc199273485 \h </w:instrText>
        </w:r>
        <w:r>
          <w:rPr>
            <w:noProof/>
            <w:webHidden/>
          </w:rPr>
        </w:r>
        <w:r>
          <w:rPr>
            <w:noProof/>
            <w:webHidden/>
          </w:rPr>
          <w:fldChar w:fldCharType="separate"/>
        </w:r>
        <w:r>
          <w:rPr>
            <w:noProof/>
            <w:webHidden/>
          </w:rPr>
          <w:t>118</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86" w:history="1">
        <w:r w:rsidRPr="00CA255A">
          <w:rPr>
            <w:rStyle w:val="Hyperlink"/>
            <w:noProof/>
          </w:rPr>
          <w:t>a)</w:t>
        </w:r>
        <w:r>
          <w:rPr>
            <w:rFonts w:eastAsiaTheme="minorEastAsia"/>
            <w:noProof/>
            <w:sz w:val="22"/>
            <w:szCs w:val="22"/>
            <w:lang w:eastAsia="ro-RO"/>
          </w:rPr>
          <w:tab/>
        </w:r>
        <w:r w:rsidRPr="00CA255A">
          <w:rPr>
            <w:rStyle w:val="Hyperlink"/>
            <w:noProof/>
          </w:rPr>
          <w:t xml:space="preserve">Cauza </w:t>
        </w:r>
        <w:r w:rsidRPr="00CA255A">
          <w:rPr>
            <w:rStyle w:val="Hyperlink"/>
            <w:i/>
            <w:noProof/>
          </w:rPr>
          <w:t>Commune de</w:t>
        </w:r>
        <w:r w:rsidRPr="00CA255A">
          <w:rPr>
            <w:rStyle w:val="Hyperlink"/>
            <w:noProof/>
          </w:rPr>
          <w:t xml:space="preserve"> </w:t>
        </w:r>
        <w:r w:rsidRPr="00CA255A">
          <w:rPr>
            <w:rStyle w:val="Hyperlink"/>
            <w:i/>
            <w:noProof/>
          </w:rPr>
          <w:t>Grande-Synthe (comuna Grande-Synthe)</w:t>
        </w:r>
        <w:r>
          <w:rPr>
            <w:noProof/>
            <w:webHidden/>
          </w:rPr>
          <w:tab/>
        </w:r>
        <w:r>
          <w:rPr>
            <w:noProof/>
            <w:webHidden/>
          </w:rPr>
          <w:fldChar w:fldCharType="begin"/>
        </w:r>
        <w:r>
          <w:rPr>
            <w:noProof/>
            <w:webHidden/>
          </w:rPr>
          <w:instrText xml:space="preserve"> PAGEREF _Toc199273486 \h </w:instrText>
        </w:r>
        <w:r>
          <w:rPr>
            <w:noProof/>
            <w:webHidden/>
          </w:rPr>
        </w:r>
        <w:r>
          <w:rPr>
            <w:noProof/>
            <w:webHidden/>
          </w:rPr>
          <w:fldChar w:fldCharType="separate"/>
        </w:r>
        <w:r>
          <w:rPr>
            <w:noProof/>
            <w:webHidden/>
          </w:rPr>
          <w:t>118</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87" w:history="1">
        <w:r w:rsidRPr="00CA255A">
          <w:rPr>
            <w:rStyle w:val="Hyperlink"/>
            <w:noProof/>
          </w:rPr>
          <w:t>b)</w:t>
        </w:r>
        <w:r>
          <w:rPr>
            <w:rFonts w:eastAsiaTheme="minorEastAsia"/>
            <w:noProof/>
            <w:sz w:val="22"/>
            <w:szCs w:val="22"/>
            <w:lang w:eastAsia="ro-RO"/>
          </w:rPr>
          <w:tab/>
        </w:r>
        <w:r w:rsidRPr="00CA255A">
          <w:rPr>
            <w:rStyle w:val="Hyperlink"/>
            <w:noProof/>
          </w:rPr>
          <w:t>Acțiunile pentru exces de putere având ca obiect asigurarea respectării valorilor-limită pentru concentrațiile de pulberi în suspensie și de dioxid de azot</w:t>
        </w:r>
        <w:r>
          <w:rPr>
            <w:noProof/>
            <w:webHidden/>
          </w:rPr>
          <w:tab/>
        </w:r>
        <w:r>
          <w:rPr>
            <w:noProof/>
            <w:webHidden/>
          </w:rPr>
          <w:fldChar w:fldCharType="begin"/>
        </w:r>
        <w:r>
          <w:rPr>
            <w:noProof/>
            <w:webHidden/>
          </w:rPr>
          <w:instrText xml:space="preserve"> PAGEREF _Toc199273487 \h </w:instrText>
        </w:r>
        <w:r>
          <w:rPr>
            <w:noProof/>
            <w:webHidden/>
          </w:rPr>
        </w:r>
        <w:r>
          <w:rPr>
            <w:noProof/>
            <w:webHidden/>
          </w:rPr>
          <w:fldChar w:fldCharType="separate"/>
        </w:r>
        <w:r>
          <w:rPr>
            <w:noProof/>
            <w:webHidden/>
          </w:rPr>
          <w:t>118</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88" w:history="1">
        <w:r w:rsidRPr="00CA255A">
          <w:rPr>
            <w:rStyle w:val="Hyperlink"/>
            <w:noProof/>
          </w:rPr>
          <w:t>c)</w:t>
        </w:r>
        <w:r>
          <w:rPr>
            <w:rFonts w:eastAsiaTheme="minorEastAsia"/>
            <w:noProof/>
            <w:sz w:val="22"/>
            <w:szCs w:val="22"/>
            <w:lang w:eastAsia="ro-RO"/>
          </w:rPr>
          <w:tab/>
        </w:r>
        <w:r w:rsidRPr="00CA255A">
          <w:rPr>
            <w:rStyle w:val="Hyperlink"/>
            <w:noProof/>
          </w:rPr>
          <w:t>Acțiunile de plin contencios având ca obiect asigurarea respectării obiectivului de reducere a emisiilor de GES</w:t>
        </w:r>
        <w:r>
          <w:rPr>
            <w:noProof/>
            <w:webHidden/>
          </w:rPr>
          <w:tab/>
        </w:r>
        <w:r>
          <w:rPr>
            <w:noProof/>
            <w:webHidden/>
          </w:rPr>
          <w:fldChar w:fldCharType="begin"/>
        </w:r>
        <w:r>
          <w:rPr>
            <w:noProof/>
            <w:webHidden/>
          </w:rPr>
          <w:instrText xml:space="preserve"> PAGEREF _Toc199273488 \h </w:instrText>
        </w:r>
        <w:r>
          <w:rPr>
            <w:noProof/>
            <w:webHidden/>
          </w:rPr>
        </w:r>
        <w:r>
          <w:rPr>
            <w:noProof/>
            <w:webHidden/>
          </w:rPr>
          <w:fldChar w:fldCharType="separate"/>
        </w:r>
        <w:r>
          <w:rPr>
            <w:noProof/>
            <w:webHidden/>
          </w:rPr>
          <w:t>119</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489" w:history="1">
        <w:r w:rsidRPr="00CA255A">
          <w:rPr>
            <w:rStyle w:val="Hyperlink"/>
            <w:noProof/>
          </w:rPr>
          <w:t>d)</w:t>
        </w:r>
        <w:r>
          <w:rPr>
            <w:rFonts w:eastAsiaTheme="minorEastAsia"/>
            <w:noProof/>
            <w:sz w:val="22"/>
            <w:szCs w:val="22"/>
            <w:lang w:eastAsia="ro-RO"/>
          </w:rPr>
          <w:tab/>
        </w:r>
        <w:r w:rsidRPr="00CA255A">
          <w:rPr>
            <w:rStyle w:val="Hyperlink"/>
            <w:noProof/>
          </w:rPr>
          <w:t>Exemple de ordine și de penalități cu titlu cominatoriu pronunțate în materia contenciosului climatic</w:t>
        </w:r>
        <w:r>
          <w:rPr>
            <w:noProof/>
            <w:webHidden/>
          </w:rPr>
          <w:tab/>
        </w:r>
        <w:r>
          <w:rPr>
            <w:noProof/>
            <w:webHidden/>
          </w:rPr>
          <w:fldChar w:fldCharType="begin"/>
        </w:r>
        <w:r>
          <w:rPr>
            <w:noProof/>
            <w:webHidden/>
          </w:rPr>
          <w:instrText xml:space="preserve"> PAGEREF _Toc199273489 \h </w:instrText>
        </w:r>
        <w:r>
          <w:rPr>
            <w:noProof/>
            <w:webHidden/>
          </w:rPr>
        </w:r>
        <w:r>
          <w:rPr>
            <w:noProof/>
            <w:webHidden/>
          </w:rPr>
          <w:fldChar w:fldCharType="separate"/>
        </w:r>
        <w:r>
          <w:rPr>
            <w:noProof/>
            <w:webHidden/>
          </w:rPr>
          <w:t>122</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90" w:history="1">
        <w:r w:rsidRPr="00CA255A">
          <w:rPr>
            <w:rStyle w:val="Hyperlink"/>
            <w:noProof/>
          </w:rPr>
          <w:t>2.</w:t>
        </w:r>
        <w:r>
          <w:rPr>
            <w:rFonts w:eastAsiaTheme="minorEastAsia"/>
            <w:noProof/>
            <w:sz w:val="22"/>
            <w:szCs w:val="22"/>
            <w:lang w:eastAsia="ro-RO"/>
          </w:rPr>
          <w:tab/>
        </w:r>
        <w:r w:rsidRPr="00CA255A">
          <w:rPr>
            <w:rStyle w:val="Hyperlink"/>
            <w:noProof/>
          </w:rPr>
          <w:t>Germania</w:t>
        </w:r>
        <w:r>
          <w:rPr>
            <w:noProof/>
            <w:webHidden/>
          </w:rPr>
          <w:tab/>
        </w:r>
        <w:r>
          <w:rPr>
            <w:noProof/>
            <w:webHidden/>
          </w:rPr>
          <w:fldChar w:fldCharType="begin"/>
        </w:r>
        <w:r>
          <w:rPr>
            <w:noProof/>
            <w:webHidden/>
          </w:rPr>
          <w:instrText xml:space="preserve"> PAGEREF _Toc199273490 \h </w:instrText>
        </w:r>
        <w:r>
          <w:rPr>
            <w:noProof/>
            <w:webHidden/>
          </w:rPr>
        </w:r>
        <w:r>
          <w:rPr>
            <w:noProof/>
            <w:webHidden/>
          </w:rPr>
          <w:fldChar w:fldCharType="separate"/>
        </w:r>
        <w:r>
          <w:rPr>
            <w:noProof/>
            <w:webHidden/>
          </w:rPr>
          <w:t>123</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91" w:history="1">
        <w:r w:rsidRPr="00CA255A">
          <w:rPr>
            <w:rStyle w:val="Hyperlink"/>
            <w:noProof/>
          </w:rPr>
          <w:t>3.</w:t>
        </w:r>
        <w:r>
          <w:rPr>
            <w:rFonts w:eastAsiaTheme="minorEastAsia"/>
            <w:noProof/>
            <w:sz w:val="22"/>
            <w:szCs w:val="22"/>
            <w:lang w:eastAsia="ro-RO"/>
          </w:rPr>
          <w:tab/>
        </w:r>
        <w:r w:rsidRPr="00CA255A">
          <w:rPr>
            <w:rStyle w:val="Hyperlink"/>
            <w:noProof/>
          </w:rPr>
          <w:t>Irlanda</w:t>
        </w:r>
        <w:r>
          <w:rPr>
            <w:noProof/>
            <w:webHidden/>
          </w:rPr>
          <w:tab/>
        </w:r>
        <w:r>
          <w:rPr>
            <w:noProof/>
            <w:webHidden/>
          </w:rPr>
          <w:fldChar w:fldCharType="begin"/>
        </w:r>
        <w:r>
          <w:rPr>
            <w:noProof/>
            <w:webHidden/>
          </w:rPr>
          <w:instrText xml:space="preserve"> PAGEREF _Toc199273491 \h </w:instrText>
        </w:r>
        <w:r>
          <w:rPr>
            <w:noProof/>
            <w:webHidden/>
          </w:rPr>
        </w:r>
        <w:r>
          <w:rPr>
            <w:noProof/>
            <w:webHidden/>
          </w:rPr>
          <w:fldChar w:fldCharType="separate"/>
        </w:r>
        <w:r>
          <w:rPr>
            <w:noProof/>
            <w:webHidden/>
          </w:rPr>
          <w:t>126</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92" w:history="1">
        <w:r w:rsidRPr="00CA255A">
          <w:rPr>
            <w:rStyle w:val="Hyperlink"/>
            <w:noProof/>
          </w:rPr>
          <w:t>4.</w:t>
        </w:r>
        <w:r>
          <w:rPr>
            <w:rFonts w:eastAsiaTheme="minorEastAsia"/>
            <w:noProof/>
            <w:sz w:val="22"/>
            <w:szCs w:val="22"/>
            <w:lang w:eastAsia="ro-RO"/>
          </w:rPr>
          <w:tab/>
        </w:r>
        <w:r w:rsidRPr="00CA255A">
          <w:rPr>
            <w:rStyle w:val="Hyperlink"/>
            <w:noProof/>
          </w:rPr>
          <w:t>Țările de Jos</w:t>
        </w:r>
        <w:r>
          <w:rPr>
            <w:noProof/>
            <w:webHidden/>
          </w:rPr>
          <w:tab/>
        </w:r>
        <w:r>
          <w:rPr>
            <w:noProof/>
            <w:webHidden/>
          </w:rPr>
          <w:fldChar w:fldCharType="begin"/>
        </w:r>
        <w:r>
          <w:rPr>
            <w:noProof/>
            <w:webHidden/>
          </w:rPr>
          <w:instrText xml:space="preserve"> PAGEREF _Toc199273492 \h </w:instrText>
        </w:r>
        <w:r>
          <w:rPr>
            <w:noProof/>
            <w:webHidden/>
          </w:rPr>
        </w:r>
        <w:r>
          <w:rPr>
            <w:noProof/>
            <w:webHidden/>
          </w:rPr>
          <w:fldChar w:fldCharType="separate"/>
        </w:r>
        <w:r>
          <w:rPr>
            <w:noProof/>
            <w:webHidden/>
          </w:rPr>
          <w:t>127</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93" w:history="1">
        <w:r w:rsidRPr="00CA255A">
          <w:rPr>
            <w:rStyle w:val="Hyperlink"/>
            <w:noProof/>
          </w:rPr>
          <w:t>5.</w:t>
        </w:r>
        <w:r>
          <w:rPr>
            <w:rFonts w:eastAsiaTheme="minorEastAsia"/>
            <w:noProof/>
            <w:sz w:val="22"/>
            <w:szCs w:val="22"/>
            <w:lang w:eastAsia="ro-RO"/>
          </w:rPr>
          <w:tab/>
        </w:r>
        <w:r w:rsidRPr="00CA255A">
          <w:rPr>
            <w:rStyle w:val="Hyperlink"/>
            <w:noProof/>
          </w:rPr>
          <w:t>Norvegia</w:t>
        </w:r>
        <w:r>
          <w:rPr>
            <w:noProof/>
            <w:webHidden/>
          </w:rPr>
          <w:tab/>
        </w:r>
        <w:r>
          <w:rPr>
            <w:noProof/>
            <w:webHidden/>
          </w:rPr>
          <w:fldChar w:fldCharType="begin"/>
        </w:r>
        <w:r>
          <w:rPr>
            <w:noProof/>
            <w:webHidden/>
          </w:rPr>
          <w:instrText xml:space="preserve"> PAGEREF _Toc199273493 \h </w:instrText>
        </w:r>
        <w:r>
          <w:rPr>
            <w:noProof/>
            <w:webHidden/>
          </w:rPr>
        </w:r>
        <w:r>
          <w:rPr>
            <w:noProof/>
            <w:webHidden/>
          </w:rPr>
          <w:fldChar w:fldCharType="separate"/>
        </w:r>
        <w:r>
          <w:rPr>
            <w:noProof/>
            <w:webHidden/>
          </w:rPr>
          <w:t>131</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94" w:history="1">
        <w:r w:rsidRPr="00CA255A">
          <w:rPr>
            <w:rStyle w:val="Hyperlink"/>
            <w:noProof/>
          </w:rPr>
          <w:t>6.</w:t>
        </w:r>
        <w:r>
          <w:rPr>
            <w:rFonts w:eastAsiaTheme="minorEastAsia"/>
            <w:noProof/>
            <w:sz w:val="22"/>
            <w:szCs w:val="22"/>
            <w:lang w:eastAsia="ro-RO"/>
          </w:rPr>
          <w:tab/>
        </w:r>
        <w:r w:rsidRPr="00CA255A">
          <w:rPr>
            <w:rStyle w:val="Hyperlink"/>
            <w:noProof/>
          </w:rPr>
          <w:t>Spania</w:t>
        </w:r>
        <w:r>
          <w:rPr>
            <w:noProof/>
            <w:webHidden/>
          </w:rPr>
          <w:tab/>
        </w:r>
        <w:r>
          <w:rPr>
            <w:noProof/>
            <w:webHidden/>
          </w:rPr>
          <w:fldChar w:fldCharType="begin"/>
        </w:r>
        <w:r>
          <w:rPr>
            <w:noProof/>
            <w:webHidden/>
          </w:rPr>
          <w:instrText xml:space="preserve"> PAGEREF _Toc199273494 \h </w:instrText>
        </w:r>
        <w:r>
          <w:rPr>
            <w:noProof/>
            <w:webHidden/>
          </w:rPr>
        </w:r>
        <w:r>
          <w:rPr>
            <w:noProof/>
            <w:webHidden/>
          </w:rPr>
          <w:fldChar w:fldCharType="separate"/>
        </w:r>
        <w:r>
          <w:rPr>
            <w:noProof/>
            <w:webHidden/>
          </w:rPr>
          <w:t>134</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95" w:history="1">
        <w:r w:rsidRPr="00CA255A">
          <w:rPr>
            <w:rStyle w:val="Hyperlink"/>
            <w:noProof/>
          </w:rPr>
          <w:t>7.</w:t>
        </w:r>
        <w:r>
          <w:rPr>
            <w:rFonts w:eastAsiaTheme="minorEastAsia"/>
            <w:noProof/>
            <w:sz w:val="22"/>
            <w:szCs w:val="22"/>
            <w:lang w:eastAsia="ro-RO"/>
          </w:rPr>
          <w:tab/>
        </w:r>
        <w:r w:rsidRPr="00CA255A">
          <w:rPr>
            <w:rStyle w:val="Hyperlink"/>
            <w:noProof/>
          </w:rPr>
          <w:t>Regatul Unit</w:t>
        </w:r>
        <w:r>
          <w:rPr>
            <w:noProof/>
            <w:webHidden/>
          </w:rPr>
          <w:tab/>
        </w:r>
        <w:r>
          <w:rPr>
            <w:noProof/>
            <w:webHidden/>
          </w:rPr>
          <w:fldChar w:fldCharType="begin"/>
        </w:r>
        <w:r>
          <w:rPr>
            <w:noProof/>
            <w:webHidden/>
          </w:rPr>
          <w:instrText xml:space="preserve"> PAGEREF _Toc199273495 \h </w:instrText>
        </w:r>
        <w:r>
          <w:rPr>
            <w:noProof/>
            <w:webHidden/>
          </w:rPr>
        </w:r>
        <w:r>
          <w:rPr>
            <w:noProof/>
            <w:webHidden/>
          </w:rPr>
          <w:fldChar w:fldCharType="separate"/>
        </w:r>
        <w:r>
          <w:rPr>
            <w:noProof/>
            <w:webHidden/>
          </w:rPr>
          <w:t>134</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496" w:history="1">
        <w:r w:rsidRPr="00CA255A">
          <w:rPr>
            <w:rStyle w:val="Hyperlink"/>
            <w:noProof/>
          </w:rPr>
          <w:t>8.</w:t>
        </w:r>
        <w:r>
          <w:rPr>
            <w:rFonts w:eastAsiaTheme="minorEastAsia"/>
            <w:noProof/>
            <w:sz w:val="22"/>
            <w:szCs w:val="22"/>
            <w:lang w:eastAsia="ro-RO"/>
          </w:rPr>
          <w:tab/>
        </w:r>
        <w:r w:rsidRPr="00CA255A">
          <w:rPr>
            <w:rStyle w:val="Hyperlink"/>
            <w:noProof/>
          </w:rPr>
          <w:t>Belgia</w:t>
        </w:r>
        <w:r>
          <w:rPr>
            <w:noProof/>
            <w:webHidden/>
          </w:rPr>
          <w:tab/>
        </w:r>
        <w:r>
          <w:rPr>
            <w:noProof/>
            <w:webHidden/>
          </w:rPr>
          <w:fldChar w:fldCharType="begin"/>
        </w:r>
        <w:r>
          <w:rPr>
            <w:noProof/>
            <w:webHidden/>
          </w:rPr>
          <w:instrText xml:space="preserve"> PAGEREF _Toc199273496 \h </w:instrText>
        </w:r>
        <w:r>
          <w:rPr>
            <w:noProof/>
            <w:webHidden/>
          </w:rPr>
        </w:r>
        <w:r>
          <w:rPr>
            <w:noProof/>
            <w:webHidden/>
          </w:rPr>
          <w:fldChar w:fldCharType="separate"/>
        </w:r>
        <w:r>
          <w:rPr>
            <w:noProof/>
            <w:webHidden/>
          </w:rPr>
          <w:t>135</w:t>
        </w:r>
        <w:r>
          <w:rPr>
            <w:noProof/>
            <w:webHidden/>
          </w:rPr>
          <w:fldChar w:fldCharType="end"/>
        </w:r>
      </w:hyperlink>
    </w:p>
    <w:p w:rsidR="00690E9D" w:rsidRDefault="00690E9D">
      <w:pPr>
        <w:pStyle w:val="TOC1"/>
        <w:rPr>
          <w:rFonts w:eastAsiaTheme="minorEastAsia"/>
          <w:b w:val="0"/>
          <w:noProof/>
          <w:szCs w:val="22"/>
          <w:lang w:eastAsia="ro-RO"/>
        </w:rPr>
      </w:pPr>
      <w:hyperlink w:anchor="_Toc199273497" w:history="1">
        <w:r w:rsidRPr="00CA255A">
          <w:rPr>
            <w:rStyle w:val="Hyperlink"/>
            <w:noProof/>
          </w:rPr>
          <w:t>ÎN DREPT</w:t>
        </w:r>
        <w:r>
          <w:rPr>
            <w:noProof/>
            <w:webHidden/>
          </w:rPr>
          <w:tab/>
        </w:r>
        <w:r>
          <w:rPr>
            <w:noProof/>
            <w:webHidden/>
          </w:rPr>
          <w:fldChar w:fldCharType="begin"/>
        </w:r>
        <w:r>
          <w:rPr>
            <w:noProof/>
            <w:webHidden/>
          </w:rPr>
          <w:instrText xml:space="preserve"> PAGEREF _Toc199273497 \h </w:instrText>
        </w:r>
        <w:r>
          <w:rPr>
            <w:noProof/>
            <w:webHidden/>
          </w:rPr>
        </w:r>
        <w:r>
          <w:rPr>
            <w:noProof/>
            <w:webHidden/>
          </w:rPr>
          <w:fldChar w:fldCharType="separate"/>
        </w:r>
        <w:r>
          <w:rPr>
            <w:noProof/>
            <w:webHidden/>
          </w:rPr>
          <w:t>136</w:t>
        </w:r>
        <w:r>
          <w:rPr>
            <w:noProof/>
            <w:webHidden/>
          </w:rPr>
          <w:fldChar w:fldCharType="end"/>
        </w:r>
      </w:hyperlink>
    </w:p>
    <w:p w:rsidR="00690E9D" w:rsidRDefault="00690E9D">
      <w:pPr>
        <w:pStyle w:val="TOC2"/>
        <w:tabs>
          <w:tab w:val="left" w:pos="680"/>
        </w:tabs>
        <w:rPr>
          <w:rFonts w:eastAsiaTheme="minorEastAsia"/>
          <w:noProof/>
          <w:szCs w:val="22"/>
          <w:lang w:eastAsia="ro-RO"/>
        </w:rPr>
      </w:pPr>
      <w:hyperlink w:anchor="_Toc199273498" w:history="1">
        <w:r w:rsidRPr="00CA255A">
          <w:rPr>
            <w:rStyle w:val="Hyperlink"/>
            <w:noProof/>
          </w:rPr>
          <w:t>I.</w:t>
        </w:r>
        <w:r>
          <w:rPr>
            <w:rFonts w:eastAsiaTheme="minorEastAsia"/>
            <w:noProof/>
            <w:szCs w:val="22"/>
            <w:lang w:eastAsia="ro-RO"/>
          </w:rPr>
          <w:tab/>
        </w:r>
        <w:r w:rsidRPr="00CA255A">
          <w:rPr>
            <w:rStyle w:val="Hyperlink"/>
            <w:noProof/>
          </w:rPr>
          <w:t>ASPECTE PRELIMINARE</w:t>
        </w:r>
        <w:r>
          <w:rPr>
            <w:noProof/>
            <w:webHidden/>
          </w:rPr>
          <w:tab/>
        </w:r>
        <w:r>
          <w:rPr>
            <w:noProof/>
            <w:webHidden/>
          </w:rPr>
          <w:fldChar w:fldCharType="begin"/>
        </w:r>
        <w:r>
          <w:rPr>
            <w:noProof/>
            <w:webHidden/>
          </w:rPr>
          <w:instrText xml:space="preserve"> PAGEREF _Toc199273498 \h </w:instrText>
        </w:r>
        <w:r>
          <w:rPr>
            <w:noProof/>
            <w:webHidden/>
          </w:rPr>
        </w:r>
        <w:r>
          <w:rPr>
            <w:noProof/>
            <w:webHidden/>
          </w:rPr>
          <w:fldChar w:fldCharType="separate"/>
        </w:r>
        <w:r>
          <w:rPr>
            <w:noProof/>
            <w:webHidden/>
          </w:rPr>
          <w:t>136</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499" w:history="1">
        <w:r w:rsidRPr="00CA255A">
          <w:rPr>
            <w:rStyle w:val="Hyperlink"/>
            <w:noProof/>
          </w:rPr>
          <w:t>A.</w:t>
        </w:r>
        <w:r>
          <w:rPr>
            <w:rFonts w:eastAsiaTheme="minorEastAsia"/>
            <w:noProof/>
            <w:sz w:val="22"/>
            <w:szCs w:val="22"/>
            <w:lang w:eastAsia="ro-RO"/>
          </w:rPr>
          <w:tab/>
        </w:r>
        <w:r w:rsidRPr="00CA255A">
          <w:rPr>
            <w:rStyle w:val="Hyperlink"/>
            <w:noProof/>
          </w:rPr>
          <w:t>Cu privire la cea de-a doua reclamantă</w:t>
        </w:r>
        <w:r>
          <w:rPr>
            <w:noProof/>
            <w:webHidden/>
          </w:rPr>
          <w:tab/>
        </w:r>
        <w:r>
          <w:rPr>
            <w:noProof/>
            <w:webHidden/>
          </w:rPr>
          <w:fldChar w:fldCharType="begin"/>
        </w:r>
        <w:r>
          <w:rPr>
            <w:noProof/>
            <w:webHidden/>
          </w:rPr>
          <w:instrText xml:space="preserve"> PAGEREF _Toc199273499 \h </w:instrText>
        </w:r>
        <w:r>
          <w:rPr>
            <w:noProof/>
            <w:webHidden/>
          </w:rPr>
        </w:r>
        <w:r>
          <w:rPr>
            <w:noProof/>
            <w:webHidden/>
          </w:rPr>
          <w:fldChar w:fldCharType="separate"/>
        </w:r>
        <w:r>
          <w:rPr>
            <w:noProof/>
            <w:webHidden/>
          </w:rPr>
          <w:t>136</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500" w:history="1">
        <w:r w:rsidRPr="00CA255A">
          <w:rPr>
            <w:rStyle w:val="Hyperlink"/>
            <w:noProof/>
          </w:rPr>
          <w:t>B.</w:t>
        </w:r>
        <w:r>
          <w:rPr>
            <w:rFonts w:eastAsiaTheme="minorEastAsia"/>
            <w:noProof/>
            <w:sz w:val="22"/>
            <w:szCs w:val="22"/>
            <w:lang w:eastAsia="ro-RO"/>
          </w:rPr>
          <w:tab/>
        </w:r>
        <w:r w:rsidRPr="00CA255A">
          <w:rPr>
            <w:rStyle w:val="Hyperlink"/>
            <w:noProof/>
          </w:rPr>
          <w:t>Cu privire la obiectul cererii</w:t>
        </w:r>
        <w:r>
          <w:rPr>
            <w:noProof/>
            <w:webHidden/>
          </w:rPr>
          <w:tab/>
        </w:r>
        <w:r>
          <w:rPr>
            <w:noProof/>
            <w:webHidden/>
          </w:rPr>
          <w:fldChar w:fldCharType="begin"/>
        </w:r>
        <w:r>
          <w:rPr>
            <w:noProof/>
            <w:webHidden/>
          </w:rPr>
          <w:instrText xml:space="preserve"> PAGEREF _Toc199273500 \h </w:instrText>
        </w:r>
        <w:r>
          <w:rPr>
            <w:noProof/>
            <w:webHidden/>
          </w:rPr>
        </w:r>
        <w:r>
          <w:rPr>
            <w:noProof/>
            <w:webHidden/>
          </w:rPr>
          <w:fldChar w:fldCharType="separate"/>
        </w:r>
        <w:r>
          <w:rPr>
            <w:noProof/>
            <w:webHidden/>
          </w:rPr>
          <w:t>137</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01" w:history="1">
        <w:r w:rsidRPr="00CA255A">
          <w:rPr>
            <w:rStyle w:val="Hyperlink"/>
            <w:noProof/>
          </w:rPr>
          <w:t>1.</w:t>
        </w:r>
        <w:r>
          <w:rPr>
            <w:rFonts w:eastAsiaTheme="minorEastAsia"/>
            <w:noProof/>
            <w:sz w:val="22"/>
            <w:szCs w:val="22"/>
            <w:lang w:eastAsia="ro-RO"/>
          </w:rPr>
          <w:tab/>
        </w:r>
        <w:r w:rsidRPr="00CA255A">
          <w:rPr>
            <w:rStyle w:val="Hyperlink"/>
            <w:noProof/>
          </w:rPr>
          <w:t>Argumentele părților</w:t>
        </w:r>
        <w:r>
          <w:rPr>
            <w:noProof/>
            <w:webHidden/>
          </w:rPr>
          <w:tab/>
        </w:r>
        <w:r>
          <w:rPr>
            <w:noProof/>
            <w:webHidden/>
          </w:rPr>
          <w:fldChar w:fldCharType="begin"/>
        </w:r>
        <w:r>
          <w:rPr>
            <w:noProof/>
            <w:webHidden/>
          </w:rPr>
          <w:instrText xml:space="preserve"> PAGEREF _Toc199273501 \h </w:instrText>
        </w:r>
        <w:r>
          <w:rPr>
            <w:noProof/>
            <w:webHidden/>
          </w:rPr>
        </w:r>
        <w:r>
          <w:rPr>
            <w:noProof/>
            <w:webHidden/>
          </w:rPr>
          <w:fldChar w:fldCharType="separate"/>
        </w:r>
        <w:r>
          <w:rPr>
            <w:noProof/>
            <w:webHidden/>
          </w:rPr>
          <w:t>137</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02" w:history="1">
        <w:r w:rsidRPr="00CA255A">
          <w:rPr>
            <w:rStyle w:val="Hyperlink"/>
            <w:noProof/>
          </w:rPr>
          <w:t>2.</w:t>
        </w:r>
        <w:r>
          <w:rPr>
            <w:rFonts w:eastAsiaTheme="minorEastAsia"/>
            <w:noProof/>
            <w:sz w:val="22"/>
            <w:szCs w:val="22"/>
            <w:lang w:eastAsia="ro-RO"/>
          </w:rPr>
          <w:tab/>
        </w:r>
        <w:r w:rsidRPr="00CA255A">
          <w:rPr>
            <w:rStyle w:val="Hyperlink"/>
            <w:noProof/>
          </w:rPr>
          <w:t>Motivarea Curții</w:t>
        </w:r>
        <w:r>
          <w:rPr>
            <w:noProof/>
            <w:webHidden/>
          </w:rPr>
          <w:tab/>
        </w:r>
        <w:r>
          <w:rPr>
            <w:noProof/>
            <w:webHidden/>
          </w:rPr>
          <w:fldChar w:fldCharType="begin"/>
        </w:r>
        <w:r>
          <w:rPr>
            <w:noProof/>
            <w:webHidden/>
          </w:rPr>
          <w:instrText xml:space="preserve"> PAGEREF _Toc199273502 \h </w:instrText>
        </w:r>
        <w:r>
          <w:rPr>
            <w:noProof/>
            <w:webHidden/>
          </w:rPr>
        </w:r>
        <w:r>
          <w:rPr>
            <w:noProof/>
            <w:webHidden/>
          </w:rPr>
          <w:fldChar w:fldCharType="separate"/>
        </w:r>
        <w:r>
          <w:rPr>
            <w:noProof/>
            <w:webHidden/>
          </w:rPr>
          <w:t>138</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503" w:history="1">
        <w:r w:rsidRPr="00CA255A">
          <w:rPr>
            <w:rStyle w:val="Hyperlink"/>
            <w:noProof/>
          </w:rPr>
          <w:t>C.</w:t>
        </w:r>
        <w:r>
          <w:rPr>
            <w:rFonts w:eastAsiaTheme="minorEastAsia"/>
            <w:noProof/>
            <w:sz w:val="22"/>
            <w:szCs w:val="22"/>
            <w:lang w:eastAsia="ro-RO"/>
          </w:rPr>
          <w:tab/>
        </w:r>
        <w:r w:rsidRPr="00CA255A">
          <w:rPr>
            <w:rStyle w:val="Hyperlink"/>
            <w:noProof/>
          </w:rPr>
          <w:t>Cu privire la jurisdicție</w:t>
        </w:r>
        <w:r>
          <w:rPr>
            <w:noProof/>
            <w:webHidden/>
          </w:rPr>
          <w:tab/>
        </w:r>
        <w:r>
          <w:rPr>
            <w:noProof/>
            <w:webHidden/>
          </w:rPr>
          <w:fldChar w:fldCharType="begin"/>
        </w:r>
        <w:r>
          <w:rPr>
            <w:noProof/>
            <w:webHidden/>
          </w:rPr>
          <w:instrText xml:space="preserve"> PAGEREF _Toc199273503 \h </w:instrText>
        </w:r>
        <w:r>
          <w:rPr>
            <w:noProof/>
            <w:webHidden/>
          </w:rPr>
        </w:r>
        <w:r>
          <w:rPr>
            <w:noProof/>
            <w:webHidden/>
          </w:rPr>
          <w:fldChar w:fldCharType="separate"/>
        </w:r>
        <w:r>
          <w:rPr>
            <w:noProof/>
            <w:webHidden/>
          </w:rPr>
          <w:t>139</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04" w:history="1">
        <w:r w:rsidRPr="00CA255A">
          <w:rPr>
            <w:rStyle w:val="Hyperlink"/>
            <w:noProof/>
          </w:rPr>
          <w:t>1.</w:t>
        </w:r>
        <w:r>
          <w:rPr>
            <w:rFonts w:eastAsiaTheme="minorEastAsia"/>
            <w:noProof/>
            <w:sz w:val="22"/>
            <w:szCs w:val="22"/>
            <w:lang w:eastAsia="ro-RO"/>
          </w:rPr>
          <w:tab/>
        </w:r>
        <w:r w:rsidRPr="00CA255A">
          <w:rPr>
            <w:rStyle w:val="Hyperlink"/>
            <w:noProof/>
          </w:rPr>
          <w:t>Argumentele părților</w:t>
        </w:r>
        <w:r>
          <w:rPr>
            <w:noProof/>
            <w:webHidden/>
          </w:rPr>
          <w:tab/>
        </w:r>
        <w:r>
          <w:rPr>
            <w:noProof/>
            <w:webHidden/>
          </w:rPr>
          <w:fldChar w:fldCharType="begin"/>
        </w:r>
        <w:r>
          <w:rPr>
            <w:noProof/>
            <w:webHidden/>
          </w:rPr>
          <w:instrText xml:space="preserve"> PAGEREF _Toc199273504 \h </w:instrText>
        </w:r>
        <w:r>
          <w:rPr>
            <w:noProof/>
            <w:webHidden/>
          </w:rPr>
        </w:r>
        <w:r>
          <w:rPr>
            <w:noProof/>
            <w:webHidden/>
          </w:rPr>
          <w:fldChar w:fldCharType="separate"/>
        </w:r>
        <w:r>
          <w:rPr>
            <w:noProof/>
            <w:webHidden/>
          </w:rPr>
          <w:t>139</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05" w:history="1">
        <w:r w:rsidRPr="00CA255A">
          <w:rPr>
            <w:rStyle w:val="Hyperlink"/>
            <w:noProof/>
          </w:rPr>
          <w:t>2.</w:t>
        </w:r>
        <w:r>
          <w:rPr>
            <w:rFonts w:eastAsiaTheme="minorEastAsia"/>
            <w:noProof/>
            <w:sz w:val="22"/>
            <w:szCs w:val="22"/>
            <w:lang w:eastAsia="ro-RO"/>
          </w:rPr>
          <w:tab/>
        </w:r>
        <w:r w:rsidRPr="00CA255A">
          <w:rPr>
            <w:rStyle w:val="Hyperlink"/>
            <w:noProof/>
          </w:rPr>
          <w:t>Motivarea Curții</w:t>
        </w:r>
        <w:r>
          <w:rPr>
            <w:noProof/>
            <w:webHidden/>
          </w:rPr>
          <w:tab/>
        </w:r>
        <w:r>
          <w:rPr>
            <w:noProof/>
            <w:webHidden/>
          </w:rPr>
          <w:fldChar w:fldCharType="begin"/>
        </w:r>
        <w:r>
          <w:rPr>
            <w:noProof/>
            <w:webHidden/>
          </w:rPr>
          <w:instrText xml:space="preserve"> PAGEREF _Toc199273505 \h </w:instrText>
        </w:r>
        <w:r>
          <w:rPr>
            <w:noProof/>
            <w:webHidden/>
          </w:rPr>
        </w:r>
        <w:r>
          <w:rPr>
            <w:noProof/>
            <w:webHidden/>
          </w:rPr>
          <w:fldChar w:fldCharType="separate"/>
        </w:r>
        <w:r>
          <w:rPr>
            <w:noProof/>
            <w:webHidden/>
          </w:rPr>
          <w:t>140</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506" w:history="1">
        <w:r w:rsidRPr="00CA255A">
          <w:rPr>
            <w:rStyle w:val="Hyperlink"/>
            <w:noProof/>
          </w:rPr>
          <w:t>D.</w:t>
        </w:r>
        <w:r>
          <w:rPr>
            <w:rFonts w:eastAsiaTheme="minorEastAsia"/>
            <w:noProof/>
            <w:sz w:val="22"/>
            <w:szCs w:val="22"/>
            <w:lang w:eastAsia="ro-RO"/>
          </w:rPr>
          <w:tab/>
        </w:r>
        <w:r w:rsidRPr="00CA255A">
          <w:rPr>
            <w:rStyle w:val="Hyperlink"/>
            <w:noProof/>
          </w:rPr>
          <w:t>Cu privire la respectarea termenului de șase luni</w:t>
        </w:r>
        <w:r>
          <w:rPr>
            <w:noProof/>
            <w:webHidden/>
          </w:rPr>
          <w:tab/>
        </w:r>
        <w:r>
          <w:rPr>
            <w:noProof/>
            <w:webHidden/>
          </w:rPr>
          <w:fldChar w:fldCharType="begin"/>
        </w:r>
        <w:r>
          <w:rPr>
            <w:noProof/>
            <w:webHidden/>
          </w:rPr>
          <w:instrText xml:space="preserve"> PAGEREF _Toc199273506 \h </w:instrText>
        </w:r>
        <w:r>
          <w:rPr>
            <w:noProof/>
            <w:webHidden/>
          </w:rPr>
        </w:r>
        <w:r>
          <w:rPr>
            <w:noProof/>
            <w:webHidden/>
          </w:rPr>
          <w:fldChar w:fldCharType="separate"/>
        </w:r>
        <w:r>
          <w:rPr>
            <w:noProof/>
            <w:webHidden/>
          </w:rPr>
          <w:t>141</w:t>
        </w:r>
        <w:r>
          <w:rPr>
            <w:noProof/>
            <w:webHidden/>
          </w:rPr>
          <w:fldChar w:fldCharType="end"/>
        </w:r>
      </w:hyperlink>
    </w:p>
    <w:p w:rsidR="00690E9D" w:rsidRDefault="00690E9D">
      <w:pPr>
        <w:pStyle w:val="TOC2"/>
        <w:tabs>
          <w:tab w:val="left" w:pos="1020"/>
        </w:tabs>
        <w:rPr>
          <w:rFonts w:eastAsiaTheme="minorEastAsia"/>
          <w:noProof/>
          <w:szCs w:val="22"/>
          <w:lang w:eastAsia="ro-RO"/>
        </w:rPr>
      </w:pPr>
      <w:hyperlink w:anchor="_Toc199273507" w:history="1">
        <w:r w:rsidRPr="00CA255A">
          <w:rPr>
            <w:rStyle w:val="Hyperlink"/>
            <w:noProof/>
          </w:rPr>
          <w:t>II.</w:t>
        </w:r>
        <w:r>
          <w:rPr>
            <w:rFonts w:eastAsiaTheme="minorEastAsia"/>
            <w:noProof/>
            <w:szCs w:val="22"/>
            <w:lang w:eastAsia="ro-RO"/>
          </w:rPr>
          <w:tab/>
        </w:r>
        <w:r w:rsidRPr="00CA255A">
          <w:rPr>
            <w:rStyle w:val="Hyperlink"/>
            <w:noProof/>
          </w:rPr>
          <w:t>OBSERVAȚII INTRODUCTIVE CU PRIVIRE LA CAPETELE DE CERERE FORMULATE ÎN PREZENTA CAUZĂ</w:t>
        </w:r>
        <w:r>
          <w:rPr>
            <w:noProof/>
            <w:webHidden/>
          </w:rPr>
          <w:tab/>
        </w:r>
        <w:r>
          <w:rPr>
            <w:noProof/>
            <w:webHidden/>
          </w:rPr>
          <w:fldChar w:fldCharType="begin"/>
        </w:r>
        <w:r>
          <w:rPr>
            <w:noProof/>
            <w:webHidden/>
          </w:rPr>
          <w:instrText xml:space="preserve"> PAGEREF _Toc199273507 \h </w:instrText>
        </w:r>
        <w:r>
          <w:rPr>
            <w:noProof/>
            <w:webHidden/>
          </w:rPr>
        </w:r>
        <w:r>
          <w:rPr>
            <w:noProof/>
            <w:webHidden/>
          </w:rPr>
          <w:fldChar w:fldCharType="separate"/>
        </w:r>
        <w:r>
          <w:rPr>
            <w:noProof/>
            <w:webHidden/>
          </w:rPr>
          <w:t>141</w:t>
        </w:r>
        <w:r>
          <w:rPr>
            <w:noProof/>
            <w:webHidden/>
          </w:rPr>
          <w:fldChar w:fldCharType="end"/>
        </w:r>
      </w:hyperlink>
    </w:p>
    <w:p w:rsidR="00690E9D" w:rsidRDefault="00690E9D">
      <w:pPr>
        <w:pStyle w:val="TOC2"/>
        <w:tabs>
          <w:tab w:val="left" w:pos="1020"/>
        </w:tabs>
        <w:rPr>
          <w:rFonts w:eastAsiaTheme="minorEastAsia"/>
          <w:noProof/>
          <w:szCs w:val="22"/>
          <w:lang w:eastAsia="ro-RO"/>
        </w:rPr>
      </w:pPr>
      <w:hyperlink w:anchor="_Toc199273508" w:history="1">
        <w:r w:rsidRPr="00CA255A">
          <w:rPr>
            <w:rStyle w:val="Hyperlink"/>
            <w:noProof/>
          </w:rPr>
          <w:t>III.</w:t>
        </w:r>
        <w:r>
          <w:rPr>
            <w:rFonts w:eastAsiaTheme="minorEastAsia"/>
            <w:noProof/>
            <w:szCs w:val="22"/>
            <w:lang w:eastAsia="ro-RO"/>
          </w:rPr>
          <w:tab/>
        </w:r>
        <w:r w:rsidRPr="00CA255A">
          <w:rPr>
            <w:rStyle w:val="Hyperlink"/>
            <w:noProof/>
          </w:rPr>
          <w:t>CU PRIVIRE LA PRETINSA ÎNCĂLCARE A ART. 2 ȘI 8 DIN CONVENȚIE</w:t>
        </w:r>
        <w:r>
          <w:rPr>
            <w:noProof/>
            <w:webHidden/>
          </w:rPr>
          <w:tab/>
        </w:r>
        <w:r>
          <w:rPr>
            <w:noProof/>
            <w:webHidden/>
          </w:rPr>
          <w:fldChar w:fldCharType="begin"/>
        </w:r>
        <w:r>
          <w:rPr>
            <w:noProof/>
            <w:webHidden/>
          </w:rPr>
          <w:instrText xml:space="preserve"> PAGEREF _Toc199273508 \h </w:instrText>
        </w:r>
        <w:r>
          <w:rPr>
            <w:noProof/>
            <w:webHidden/>
          </w:rPr>
        </w:r>
        <w:r>
          <w:rPr>
            <w:noProof/>
            <w:webHidden/>
          </w:rPr>
          <w:fldChar w:fldCharType="separate"/>
        </w:r>
        <w:r>
          <w:rPr>
            <w:noProof/>
            <w:webHidden/>
          </w:rPr>
          <w:t>143</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509" w:history="1">
        <w:r w:rsidRPr="00CA255A">
          <w:rPr>
            <w:rStyle w:val="Hyperlink"/>
            <w:noProof/>
          </w:rPr>
          <w:t>A.</w:t>
        </w:r>
        <w:r>
          <w:rPr>
            <w:rFonts w:eastAsiaTheme="minorEastAsia"/>
            <w:noProof/>
            <w:sz w:val="22"/>
            <w:szCs w:val="22"/>
            <w:lang w:eastAsia="ro-RO"/>
          </w:rPr>
          <w:tab/>
        </w:r>
        <w:r w:rsidRPr="00CA255A">
          <w:rPr>
            <w:rStyle w:val="Hyperlink"/>
            <w:noProof/>
          </w:rPr>
          <w:t>Argumentele părților</w:t>
        </w:r>
        <w:r>
          <w:rPr>
            <w:noProof/>
            <w:webHidden/>
          </w:rPr>
          <w:tab/>
        </w:r>
        <w:r>
          <w:rPr>
            <w:noProof/>
            <w:webHidden/>
          </w:rPr>
          <w:fldChar w:fldCharType="begin"/>
        </w:r>
        <w:r>
          <w:rPr>
            <w:noProof/>
            <w:webHidden/>
          </w:rPr>
          <w:instrText xml:space="preserve"> PAGEREF _Toc199273509 \h </w:instrText>
        </w:r>
        <w:r>
          <w:rPr>
            <w:noProof/>
            <w:webHidden/>
          </w:rPr>
        </w:r>
        <w:r>
          <w:rPr>
            <w:noProof/>
            <w:webHidden/>
          </w:rPr>
          <w:fldChar w:fldCharType="separate"/>
        </w:r>
        <w:r>
          <w:rPr>
            <w:noProof/>
            <w:webHidden/>
          </w:rPr>
          <w:t>143</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10" w:history="1">
        <w:r w:rsidRPr="00CA255A">
          <w:rPr>
            <w:rStyle w:val="Hyperlink"/>
            <w:noProof/>
          </w:rPr>
          <w:t>1.</w:t>
        </w:r>
        <w:r>
          <w:rPr>
            <w:rFonts w:eastAsiaTheme="minorEastAsia"/>
            <w:noProof/>
            <w:sz w:val="22"/>
            <w:szCs w:val="22"/>
            <w:lang w:eastAsia="ro-RO"/>
          </w:rPr>
          <w:tab/>
        </w:r>
        <w:r w:rsidRPr="00CA255A">
          <w:rPr>
            <w:rStyle w:val="Hyperlink"/>
            <w:noProof/>
          </w:rPr>
          <w:t>Reclamantele</w:t>
        </w:r>
        <w:r>
          <w:rPr>
            <w:noProof/>
            <w:webHidden/>
          </w:rPr>
          <w:tab/>
        </w:r>
        <w:r>
          <w:rPr>
            <w:noProof/>
            <w:webHidden/>
          </w:rPr>
          <w:fldChar w:fldCharType="begin"/>
        </w:r>
        <w:r>
          <w:rPr>
            <w:noProof/>
            <w:webHidden/>
          </w:rPr>
          <w:instrText xml:space="preserve"> PAGEREF _Toc199273510 \h </w:instrText>
        </w:r>
        <w:r>
          <w:rPr>
            <w:noProof/>
            <w:webHidden/>
          </w:rPr>
        </w:r>
        <w:r>
          <w:rPr>
            <w:noProof/>
            <w:webHidden/>
          </w:rPr>
          <w:fldChar w:fldCharType="separate"/>
        </w:r>
        <w:r>
          <w:rPr>
            <w:noProof/>
            <w:webHidden/>
          </w:rPr>
          <w:t>143</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11" w:history="1">
        <w:r w:rsidRPr="00CA255A">
          <w:rPr>
            <w:rStyle w:val="Hyperlink"/>
            <w:noProof/>
          </w:rPr>
          <w:t>a)</w:t>
        </w:r>
        <w:r>
          <w:rPr>
            <w:rFonts w:eastAsiaTheme="minorEastAsia"/>
            <w:noProof/>
            <w:sz w:val="22"/>
            <w:szCs w:val="22"/>
            <w:lang w:eastAsia="ro-RO"/>
          </w:rPr>
          <w:tab/>
        </w:r>
        <w:r w:rsidRPr="00CA255A">
          <w:rPr>
            <w:rStyle w:val="Hyperlink"/>
            <w:noProof/>
          </w:rPr>
          <w:t>Observații preliminare</w:t>
        </w:r>
        <w:r>
          <w:rPr>
            <w:noProof/>
            <w:webHidden/>
          </w:rPr>
          <w:tab/>
        </w:r>
        <w:r>
          <w:rPr>
            <w:noProof/>
            <w:webHidden/>
          </w:rPr>
          <w:fldChar w:fldCharType="begin"/>
        </w:r>
        <w:r>
          <w:rPr>
            <w:noProof/>
            <w:webHidden/>
          </w:rPr>
          <w:instrText xml:space="preserve"> PAGEREF _Toc199273511 \h </w:instrText>
        </w:r>
        <w:r>
          <w:rPr>
            <w:noProof/>
            <w:webHidden/>
          </w:rPr>
        </w:r>
        <w:r>
          <w:rPr>
            <w:noProof/>
            <w:webHidden/>
          </w:rPr>
          <w:fldChar w:fldCharType="separate"/>
        </w:r>
        <w:r>
          <w:rPr>
            <w:noProof/>
            <w:webHidden/>
          </w:rPr>
          <w:t>143</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12" w:history="1">
        <w:r w:rsidRPr="00CA255A">
          <w:rPr>
            <w:rStyle w:val="Hyperlink"/>
            <w:noProof/>
          </w:rPr>
          <w:t>b)</w:t>
        </w:r>
        <w:r>
          <w:rPr>
            <w:rFonts w:eastAsiaTheme="minorEastAsia"/>
            <w:noProof/>
            <w:sz w:val="22"/>
            <w:szCs w:val="22"/>
            <w:lang w:eastAsia="ro-RO"/>
          </w:rPr>
          <w:tab/>
        </w:r>
        <w:r w:rsidRPr="00CA255A">
          <w:rPr>
            <w:rStyle w:val="Hyperlink"/>
            <w:noProof/>
          </w:rPr>
          <w:t>Cu privire la calitatea de victimă</w:t>
        </w:r>
        <w:r>
          <w:rPr>
            <w:noProof/>
            <w:webHidden/>
          </w:rPr>
          <w:tab/>
        </w:r>
        <w:r>
          <w:rPr>
            <w:noProof/>
            <w:webHidden/>
          </w:rPr>
          <w:fldChar w:fldCharType="begin"/>
        </w:r>
        <w:r>
          <w:rPr>
            <w:noProof/>
            <w:webHidden/>
          </w:rPr>
          <w:instrText xml:space="preserve"> PAGEREF _Toc199273512 \h </w:instrText>
        </w:r>
        <w:r>
          <w:rPr>
            <w:noProof/>
            <w:webHidden/>
          </w:rPr>
        </w:r>
        <w:r>
          <w:rPr>
            <w:noProof/>
            <w:webHidden/>
          </w:rPr>
          <w:fldChar w:fldCharType="separate"/>
        </w:r>
        <w:r>
          <w:rPr>
            <w:noProof/>
            <w:webHidden/>
          </w:rPr>
          <w:t>145</w:t>
        </w:r>
        <w:r>
          <w:rPr>
            <w:noProof/>
            <w:webHidden/>
          </w:rPr>
          <w:fldChar w:fldCharType="end"/>
        </w:r>
      </w:hyperlink>
    </w:p>
    <w:p w:rsidR="00690E9D" w:rsidRDefault="00690E9D">
      <w:pPr>
        <w:pStyle w:val="TOC6"/>
        <w:tabs>
          <w:tab w:val="left" w:pos="2041"/>
        </w:tabs>
        <w:rPr>
          <w:rFonts w:eastAsiaTheme="minorEastAsia"/>
          <w:noProof/>
          <w:sz w:val="22"/>
          <w:szCs w:val="22"/>
          <w:lang w:eastAsia="ro-RO"/>
        </w:rPr>
      </w:pPr>
      <w:hyperlink w:anchor="_Toc199273513" w:history="1">
        <w:r w:rsidRPr="00CA255A">
          <w:rPr>
            <w:rStyle w:val="Hyperlink"/>
            <w:noProof/>
            <w:lang w:bidi="en-US"/>
          </w:rPr>
          <w:t>i.</w:t>
        </w:r>
        <w:r>
          <w:rPr>
            <w:rFonts w:eastAsiaTheme="minorEastAsia"/>
            <w:noProof/>
            <w:sz w:val="22"/>
            <w:szCs w:val="22"/>
            <w:lang w:eastAsia="ro-RO"/>
          </w:rPr>
          <w:tab/>
        </w:r>
        <w:r w:rsidRPr="00CA255A">
          <w:rPr>
            <w:rStyle w:val="Hyperlink"/>
            <w:noProof/>
            <w:lang w:bidi="en-US"/>
          </w:rPr>
          <w:t>Asociația reclamantă</w:t>
        </w:r>
        <w:r>
          <w:rPr>
            <w:noProof/>
            <w:webHidden/>
          </w:rPr>
          <w:tab/>
        </w:r>
        <w:r>
          <w:rPr>
            <w:noProof/>
            <w:webHidden/>
          </w:rPr>
          <w:fldChar w:fldCharType="begin"/>
        </w:r>
        <w:r>
          <w:rPr>
            <w:noProof/>
            <w:webHidden/>
          </w:rPr>
          <w:instrText xml:space="preserve"> PAGEREF _Toc199273513 \h </w:instrText>
        </w:r>
        <w:r>
          <w:rPr>
            <w:noProof/>
            <w:webHidden/>
          </w:rPr>
        </w:r>
        <w:r>
          <w:rPr>
            <w:noProof/>
            <w:webHidden/>
          </w:rPr>
          <w:fldChar w:fldCharType="separate"/>
        </w:r>
        <w:r>
          <w:rPr>
            <w:noProof/>
            <w:webHidden/>
          </w:rPr>
          <w:t>145</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514" w:history="1">
        <w:r w:rsidRPr="00CA255A">
          <w:rPr>
            <w:rStyle w:val="Hyperlink"/>
            <w:noProof/>
            <w:lang w:bidi="en-US"/>
          </w:rPr>
          <w:t>ii.</w:t>
        </w:r>
        <w:r>
          <w:rPr>
            <w:rFonts w:eastAsiaTheme="minorEastAsia"/>
            <w:noProof/>
            <w:sz w:val="22"/>
            <w:szCs w:val="22"/>
            <w:lang w:eastAsia="ro-RO"/>
          </w:rPr>
          <w:tab/>
        </w:r>
        <w:r w:rsidRPr="00CA255A">
          <w:rPr>
            <w:rStyle w:val="Hyperlink"/>
            <w:noProof/>
            <w:lang w:bidi="en-US"/>
          </w:rPr>
          <w:t>Reclamantele nr. 2-5</w:t>
        </w:r>
        <w:r>
          <w:rPr>
            <w:noProof/>
            <w:webHidden/>
          </w:rPr>
          <w:tab/>
        </w:r>
        <w:r>
          <w:rPr>
            <w:noProof/>
            <w:webHidden/>
          </w:rPr>
          <w:fldChar w:fldCharType="begin"/>
        </w:r>
        <w:r>
          <w:rPr>
            <w:noProof/>
            <w:webHidden/>
          </w:rPr>
          <w:instrText xml:space="preserve"> PAGEREF _Toc199273514 \h </w:instrText>
        </w:r>
        <w:r>
          <w:rPr>
            <w:noProof/>
            <w:webHidden/>
          </w:rPr>
        </w:r>
        <w:r>
          <w:rPr>
            <w:noProof/>
            <w:webHidden/>
          </w:rPr>
          <w:fldChar w:fldCharType="separate"/>
        </w:r>
        <w:r>
          <w:rPr>
            <w:noProof/>
            <w:webHidden/>
          </w:rPr>
          <w:t>146</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15" w:history="1">
        <w:r w:rsidRPr="00CA255A">
          <w:rPr>
            <w:rStyle w:val="Hyperlink"/>
            <w:noProof/>
          </w:rPr>
          <w:t>c)</w:t>
        </w:r>
        <w:r>
          <w:rPr>
            <w:rFonts w:eastAsiaTheme="minorEastAsia"/>
            <w:noProof/>
            <w:sz w:val="22"/>
            <w:szCs w:val="22"/>
            <w:lang w:eastAsia="ro-RO"/>
          </w:rPr>
          <w:tab/>
        </w:r>
        <w:r w:rsidRPr="00CA255A">
          <w:rPr>
            <w:rStyle w:val="Hyperlink"/>
            <w:noProof/>
          </w:rPr>
          <w:t>Cu privire la aplicabilitatea dispozițiilor relevante ale Convenției</w:t>
        </w:r>
        <w:r>
          <w:rPr>
            <w:noProof/>
            <w:webHidden/>
          </w:rPr>
          <w:tab/>
        </w:r>
        <w:r>
          <w:rPr>
            <w:noProof/>
            <w:webHidden/>
          </w:rPr>
          <w:fldChar w:fldCharType="begin"/>
        </w:r>
        <w:r>
          <w:rPr>
            <w:noProof/>
            <w:webHidden/>
          </w:rPr>
          <w:instrText xml:space="preserve"> PAGEREF _Toc199273515 \h </w:instrText>
        </w:r>
        <w:r>
          <w:rPr>
            <w:noProof/>
            <w:webHidden/>
          </w:rPr>
        </w:r>
        <w:r>
          <w:rPr>
            <w:noProof/>
            <w:webHidden/>
          </w:rPr>
          <w:fldChar w:fldCharType="separate"/>
        </w:r>
        <w:r>
          <w:rPr>
            <w:noProof/>
            <w:webHidden/>
          </w:rPr>
          <w:t>147</w:t>
        </w:r>
        <w:r>
          <w:rPr>
            <w:noProof/>
            <w:webHidden/>
          </w:rPr>
          <w:fldChar w:fldCharType="end"/>
        </w:r>
      </w:hyperlink>
    </w:p>
    <w:p w:rsidR="00690E9D" w:rsidRDefault="00690E9D">
      <w:pPr>
        <w:pStyle w:val="TOC6"/>
        <w:tabs>
          <w:tab w:val="left" w:pos="2041"/>
        </w:tabs>
        <w:rPr>
          <w:rFonts w:eastAsiaTheme="minorEastAsia"/>
          <w:noProof/>
          <w:sz w:val="22"/>
          <w:szCs w:val="22"/>
          <w:lang w:eastAsia="ro-RO"/>
        </w:rPr>
      </w:pPr>
      <w:hyperlink w:anchor="_Toc199273516" w:history="1">
        <w:r w:rsidRPr="00CA255A">
          <w:rPr>
            <w:rStyle w:val="Hyperlink"/>
            <w:noProof/>
            <w:lang w:bidi="en-US"/>
          </w:rPr>
          <w:t>i.</w:t>
        </w:r>
        <w:r>
          <w:rPr>
            <w:rFonts w:eastAsiaTheme="minorEastAsia"/>
            <w:noProof/>
            <w:sz w:val="22"/>
            <w:szCs w:val="22"/>
            <w:lang w:eastAsia="ro-RO"/>
          </w:rPr>
          <w:tab/>
        </w:r>
        <w:r w:rsidRPr="00CA255A">
          <w:rPr>
            <w:rStyle w:val="Hyperlink"/>
            <w:noProof/>
            <w:lang w:bidi="en-US"/>
          </w:rPr>
          <w:t>Art. 2 din Convenție</w:t>
        </w:r>
        <w:r>
          <w:rPr>
            <w:noProof/>
            <w:webHidden/>
          </w:rPr>
          <w:tab/>
        </w:r>
        <w:r>
          <w:rPr>
            <w:noProof/>
            <w:webHidden/>
          </w:rPr>
          <w:fldChar w:fldCharType="begin"/>
        </w:r>
        <w:r>
          <w:rPr>
            <w:noProof/>
            <w:webHidden/>
          </w:rPr>
          <w:instrText xml:space="preserve"> PAGEREF _Toc199273516 \h </w:instrText>
        </w:r>
        <w:r>
          <w:rPr>
            <w:noProof/>
            <w:webHidden/>
          </w:rPr>
        </w:r>
        <w:r>
          <w:rPr>
            <w:noProof/>
            <w:webHidden/>
          </w:rPr>
          <w:fldChar w:fldCharType="separate"/>
        </w:r>
        <w:r>
          <w:rPr>
            <w:noProof/>
            <w:webHidden/>
          </w:rPr>
          <w:t>147</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517" w:history="1">
        <w:r w:rsidRPr="00CA255A">
          <w:rPr>
            <w:rStyle w:val="Hyperlink"/>
            <w:noProof/>
            <w:lang w:bidi="en-US"/>
          </w:rPr>
          <w:t>ii.</w:t>
        </w:r>
        <w:r>
          <w:rPr>
            <w:rFonts w:eastAsiaTheme="minorEastAsia"/>
            <w:noProof/>
            <w:sz w:val="22"/>
            <w:szCs w:val="22"/>
            <w:lang w:eastAsia="ro-RO"/>
          </w:rPr>
          <w:tab/>
        </w:r>
        <w:r w:rsidRPr="00CA255A">
          <w:rPr>
            <w:rStyle w:val="Hyperlink"/>
            <w:noProof/>
            <w:lang w:bidi="en-US"/>
          </w:rPr>
          <w:t>Art. 8 din Convenție</w:t>
        </w:r>
        <w:r>
          <w:rPr>
            <w:noProof/>
            <w:webHidden/>
          </w:rPr>
          <w:tab/>
        </w:r>
        <w:r>
          <w:rPr>
            <w:noProof/>
            <w:webHidden/>
          </w:rPr>
          <w:fldChar w:fldCharType="begin"/>
        </w:r>
        <w:r>
          <w:rPr>
            <w:noProof/>
            <w:webHidden/>
          </w:rPr>
          <w:instrText xml:space="preserve"> PAGEREF _Toc199273517 \h </w:instrText>
        </w:r>
        <w:r>
          <w:rPr>
            <w:noProof/>
            <w:webHidden/>
          </w:rPr>
        </w:r>
        <w:r>
          <w:rPr>
            <w:noProof/>
            <w:webHidden/>
          </w:rPr>
          <w:fldChar w:fldCharType="separate"/>
        </w:r>
        <w:r>
          <w:rPr>
            <w:noProof/>
            <w:webHidden/>
          </w:rPr>
          <w:t>148</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18" w:history="1">
        <w:r w:rsidRPr="00CA255A">
          <w:rPr>
            <w:rStyle w:val="Hyperlink"/>
            <w:noProof/>
          </w:rPr>
          <w:t>d)</w:t>
        </w:r>
        <w:r>
          <w:rPr>
            <w:rFonts w:eastAsiaTheme="minorEastAsia"/>
            <w:noProof/>
            <w:sz w:val="22"/>
            <w:szCs w:val="22"/>
            <w:lang w:eastAsia="ro-RO"/>
          </w:rPr>
          <w:tab/>
        </w:r>
        <w:r w:rsidRPr="00CA255A">
          <w:rPr>
            <w:rStyle w:val="Hyperlink"/>
            <w:noProof/>
          </w:rPr>
          <w:t>Cu privire la fond</w:t>
        </w:r>
        <w:r>
          <w:rPr>
            <w:noProof/>
            <w:webHidden/>
          </w:rPr>
          <w:tab/>
        </w:r>
        <w:r>
          <w:rPr>
            <w:noProof/>
            <w:webHidden/>
          </w:rPr>
          <w:fldChar w:fldCharType="begin"/>
        </w:r>
        <w:r>
          <w:rPr>
            <w:noProof/>
            <w:webHidden/>
          </w:rPr>
          <w:instrText xml:space="preserve"> PAGEREF _Toc199273518 \h </w:instrText>
        </w:r>
        <w:r>
          <w:rPr>
            <w:noProof/>
            <w:webHidden/>
          </w:rPr>
        </w:r>
        <w:r>
          <w:rPr>
            <w:noProof/>
            <w:webHidden/>
          </w:rPr>
          <w:fldChar w:fldCharType="separate"/>
        </w:r>
        <w:r>
          <w:rPr>
            <w:noProof/>
            <w:webHidden/>
          </w:rPr>
          <w:t>149</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19" w:history="1">
        <w:r w:rsidRPr="00CA255A">
          <w:rPr>
            <w:rStyle w:val="Hyperlink"/>
            <w:noProof/>
          </w:rPr>
          <w:t>2.</w:t>
        </w:r>
        <w:r>
          <w:rPr>
            <w:rFonts w:eastAsiaTheme="minorEastAsia"/>
            <w:noProof/>
            <w:sz w:val="22"/>
            <w:szCs w:val="22"/>
            <w:lang w:eastAsia="ro-RO"/>
          </w:rPr>
          <w:tab/>
        </w:r>
        <w:r w:rsidRPr="00CA255A">
          <w:rPr>
            <w:rStyle w:val="Hyperlink"/>
            <w:noProof/>
          </w:rPr>
          <w:t>Guvernul</w:t>
        </w:r>
        <w:r>
          <w:rPr>
            <w:noProof/>
            <w:webHidden/>
          </w:rPr>
          <w:tab/>
        </w:r>
        <w:r>
          <w:rPr>
            <w:noProof/>
            <w:webHidden/>
          </w:rPr>
          <w:fldChar w:fldCharType="begin"/>
        </w:r>
        <w:r>
          <w:rPr>
            <w:noProof/>
            <w:webHidden/>
          </w:rPr>
          <w:instrText xml:space="preserve"> PAGEREF _Toc199273519 \h </w:instrText>
        </w:r>
        <w:r>
          <w:rPr>
            <w:noProof/>
            <w:webHidden/>
          </w:rPr>
        </w:r>
        <w:r>
          <w:rPr>
            <w:noProof/>
            <w:webHidden/>
          </w:rPr>
          <w:fldChar w:fldCharType="separate"/>
        </w:r>
        <w:r>
          <w:rPr>
            <w:noProof/>
            <w:webHidden/>
          </w:rPr>
          <w:t>155</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20" w:history="1">
        <w:r w:rsidRPr="00CA255A">
          <w:rPr>
            <w:rStyle w:val="Hyperlink"/>
            <w:noProof/>
          </w:rPr>
          <w:t>a)</w:t>
        </w:r>
        <w:r>
          <w:rPr>
            <w:rFonts w:eastAsiaTheme="minorEastAsia"/>
            <w:noProof/>
            <w:sz w:val="22"/>
            <w:szCs w:val="22"/>
            <w:lang w:eastAsia="ro-RO"/>
          </w:rPr>
          <w:tab/>
        </w:r>
        <w:r w:rsidRPr="00CA255A">
          <w:rPr>
            <w:rStyle w:val="Hyperlink"/>
            <w:noProof/>
          </w:rPr>
          <w:t>Observații preliminare</w:t>
        </w:r>
        <w:r>
          <w:rPr>
            <w:noProof/>
            <w:webHidden/>
          </w:rPr>
          <w:tab/>
        </w:r>
        <w:r>
          <w:rPr>
            <w:noProof/>
            <w:webHidden/>
          </w:rPr>
          <w:fldChar w:fldCharType="begin"/>
        </w:r>
        <w:r>
          <w:rPr>
            <w:noProof/>
            <w:webHidden/>
          </w:rPr>
          <w:instrText xml:space="preserve"> PAGEREF _Toc199273520 \h </w:instrText>
        </w:r>
        <w:r>
          <w:rPr>
            <w:noProof/>
            <w:webHidden/>
          </w:rPr>
        </w:r>
        <w:r>
          <w:rPr>
            <w:noProof/>
            <w:webHidden/>
          </w:rPr>
          <w:fldChar w:fldCharType="separate"/>
        </w:r>
        <w:r>
          <w:rPr>
            <w:noProof/>
            <w:webHidden/>
          </w:rPr>
          <w:t>155</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21" w:history="1">
        <w:r w:rsidRPr="00CA255A">
          <w:rPr>
            <w:rStyle w:val="Hyperlink"/>
            <w:noProof/>
          </w:rPr>
          <w:t>b)</w:t>
        </w:r>
        <w:r>
          <w:rPr>
            <w:rFonts w:eastAsiaTheme="minorEastAsia"/>
            <w:noProof/>
            <w:sz w:val="22"/>
            <w:szCs w:val="22"/>
            <w:lang w:eastAsia="ro-RO"/>
          </w:rPr>
          <w:tab/>
        </w:r>
        <w:r w:rsidRPr="00CA255A">
          <w:rPr>
            <w:rStyle w:val="Hyperlink"/>
            <w:noProof/>
          </w:rPr>
          <w:t>Cu privire la calitatea de victimă</w:t>
        </w:r>
        <w:r>
          <w:rPr>
            <w:noProof/>
            <w:webHidden/>
          </w:rPr>
          <w:tab/>
        </w:r>
        <w:r>
          <w:rPr>
            <w:noProof/>
            <w:webHidden/>
          </w:rPr>
          <w:fldChar w:fldCharType="begin"/>
        </w:r>
        <w:r>
          <w:rPr>
            <w:noProof/>
            <w:webHidden/>
          </w:rPr>
          <w:instrText xml:space="preserve"> PAGEREF _Toc199273521 \h </w:instrText>
        </w:r>
        <w:r>
          <w:rPr>
            <w:noProof/>
            <w:webHidden/>
          </w:rPr>
        </w:r>
        <w:r>
          <w:rPr>
            <w:noProof/>
            <w:webHidden/>
          </w:rPr>
          <w:fldChar w:fldCharType="separate"/>
        </w:r>
        <w:r>
          <w:rPr>
            <w:noProof/>
            <w:webHidden/>
          </w:rPr>
          <w:t>156</w:t>
        </w:r>
        <w:r>
          <w:rPr>
            <w:noProof/>
            <w:webHidden/>
          </w:rPr>
          <w:fldChar w:fldCharType="end"/>
        </w:r>
      </w:hyperlink>
    </w:p>
    <w:p w:rsidR="00690E9D" w:rsidRDefault="00690E9D">
      <w:pPr>
        <w:pStyle w:val="TOC6"/>
        <w:tabs>
          <w:tab w:val="left" w:pos="2041"/>
        </w:tabs>
        <w:rPr>
          <w:rFonts w:eastAsiaTheme="minorEastAsia"/>
          <w:noProof/>
          <w:sz w:val="22"/>
          <w:szCs w:val="22"/>
          <w:lang w:eastAsia="ro-RO"/>
        </w:rPr>
      </w:pPr>
      <w:hyperlink w:anchor="_Toc199273522" w:history="1">
        <w:r w:rsidRPr="00CA255A">
          <w:rPr>
            <w:rStyle w:val="Hyperlink"/>
            <w:noProof/>
            <w:lang w:bidi="en-US"/>
          </w:rPr>
          <w:t>i.</w:t>
        </w:r>
        <w:r>
          <w:rPr>
            <w:rFonts w:eastAsiaTheme="minorEastAsia"/>
            <w:noProof/>
            <w:sz w:val="22"/>
            <w:szCs w:val="22"/>
            <w:lang w:eastAsia="ro-RO"/>
          </w:rPr>
          <w:tab/>
        </w:r>
        <w:r w:rsidRPr="00CA255A">
          <w:rPr>
            <w:rStyle w:val="Hyperlink"/>
            <w:noProof/>
            <w:lang w:bidi="en-US"/>
          </w:rPr>
          <w:t>Asociația reclamantă</w:t>
        </w:r>
        <w:r>
          <w:rPr>
            <w:noProof/>
            <w:webHidden/>
          </w:rPr>
          <w:tab/>
        </w:r>
        <w:r>
          <w:rPr>
            <w:noProof/>
            <w:webHidden/>
          </w:rPr>
          <w:fldChar w:fldCharType="begin"/>
        </w:r>
        <w:r>
          <w:rPr>
            <w:noProof/>
            <w:webHidden/>
          </w:rPr>
          <w:instrText xml:space="preserve"> PAGEREF _Toc199273522 \h </w:instrText>
        </w:r>
        <w:r>
          <w:rPr>
            <w:noProof/>
            <w:webHidden/>
          </w:rPr>
        </w:r>
        <w:r>
          <w:rPr>
            <w:noProof/>
            <w:webHidden/>
          </w:rPr>
          <w:fldChar w:fldCharType="separate"/>
        </w:r>
        <w:r>
          <w:rPr>
            <w:noProof/>
            <w:webHidden/>
          </w:rPr>
          <w:t>156</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523" w:history="1">
        <w:r w:rsidRPr="00CA255A">
          <w:rPr>
            <w:rStyle w:val="Hyperlink"/>
            <w:noProof/>
            <w:lang w:bidi="en-US"/>
          </w:rPr>
          <w:t>ii.</w:t>
        </w:r>
        <w:r>
          <w:rPr>
            <w:rFonts w:eastAsiaTheme="minorEastAsia"/>
            <w:noProof/>
            <w:sz w:val="22"/>
            <w:szCs w:val="22"/>
            <w:lang w:eastAsia="ro-RO"/>
          </w:rPr>
          <w:tab/>
        </w:r>
        <w:r w:rsidRPr="00CA255A">
          <w:rPr>
            <w:rStyle w:val="Hyperlink"/>
            <w:noProof/>
            <w:lang w:bidi="en-US"/>
          </w:rPr>
          <w:t>Reclamantele nr. 2-5</w:t>
        </w:r>
        <w:r>
          <w:rPr>
            <w:noProof/>
            <w:webHidden/>
          </w:rPr>
          <w:tab/>
        </w:r>
        <w:r>
          <w:rPr>
            <w:noProof/>
            <w:webHidden/>
          </w:rPr>
          <w:fldChar w:fldCharType="begin"/>
        </w:r>
        <w:r>
          <w:rPr>
            <w:noProof/>
            <w:webHidden/>
          </w:rPr>
          <w:instrText xml:space="preserve"> PAGEREF _Toc199273523 \h </w:instrText>
        </w:r>
        <w:r>
          <w:rPr>
            <w:noProof/>
            <w:webHidden/>
          </w:rPr>
        </w:r>
        <w:r>
          <w:rPr>
            <w:noProof/>
            <w:webHidden/>
          </w:rPr>
          <w:fldChar w:fldCharType="separate"/>
        </w:r>
        <w:r>
          <w:rPr>
            <w:noProof/>
            <w:webHidden/>
          </w:rPr>
          <w:t>156</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24" w:history="1">
        <w:r w:rsidRPr="00CA255A">
          <w:rPr>
            <w:rStyle w:val="Hyperlink"/>
            <w:noProof/>
          </w:rPr>
          <w:t>c)</w:t>
        </w:r>
        <w:r>
          <w:rPr>
            <w:rFonts w:eastAsiaTheme="minorEastAsia"/>
            <w:noProof/>
            <w:sz w:val="22"/>
            <w:szCs w:val="22"/>
            <w:lang w:eastAsia="ro-RO"/>
          </w:rPr>
          <w:tab/>
        </w:r>
        <w:r w:rsidRPr="00CA255A">
          <w:rPr>
            <w:rStyle w:val="Hyperlink"/>
            <w:noProof/>
          </w:rPr>
          <w:t>Cu privire la aplicabilitatea dispozițiilor relevante ale Convenției</w:t>
        </w:r>
        <w:r>
          <w:rPr>
            <w:noProof/>
            <w:webHidden/>
          </w:rPr>
          <w:tab/>
        </w:r>
        <w:r>
          <w:rPr>
            <w:noProof/>
            <w:webHidden/>
          </w:rPr>
          <w:fldChar w:fldCharType="begin"/>
        </w:r>
        <w:r>
          <w:rPr>
            <w:noProof/>
            <w:webHidden/>
          </w:rPr>
          <w:instrText xml:space="preserve"> PAGEREF _Toc199273524 \h </w:instrText>
        </w:r>
        <w:r>
          <w:rPr>
            <w:noProof/>
            <w:webHidden/>
          </w:rPr>
        </w:r>
        <w:r>
          <w:rPr>
            <w:noProof/>
            <w:webHidden/>
          </w:rPr>
          <w:fldChar w:fldCharType="separate"/>
        </w:r>
        <w:r>
          <w:rPr>
            <w:noProof/>
            <w:webHidden/>
          </w:rPr>
          <w:t>157</w:t>
        </w:r>
        <w:r>
          <w:rPr>
            <w:noProof/>
            <w:webHidden/>
          </w:rPr>
          <w:fldChar w:fldCharType="end"/>
        </w:r>
      </w:hyperlink>
    </w:p>
    <w:p w:rsidR="00690E9D" w:rsidRDefault="00690E9D">
      <w:pPr>
        <w:pStyle w:val="TOC6"/>
        <w:tabs>
          <w:tab w:val="left" w:pos="2041"/>
        </w:tabs>
        <w:rPr>
          <w:rFonts w:eastAsiaTheme="minorEastAsia"/>
          <w:noProof/>
          <w:sz w:val="22"/>
          <w:szCs w:val="22"/>
          <w:lang w:eastAsia="ro-RO"/>
        </w:rPr>
      </w:pPr>
      <w:hyperlink w:anchor="_Toc199273525" w:history="1">
        <w:r w:rsidRPr="00CA255A">
          <w:rPr>
            <w:rStyle w:val="Hyperlink"/>
            <w:noProof/>
            <w:lang w:bidi="en-US"/>
          </w:rPr>
          <w:t>i.</w:t>
        </w:r>
        <w:r>
          <w:rPr>
            <w:rFonts w:eastAsiaTheme="minorEastAsia"/>
            <w:noProof/>
            <w:sz w:val="22"/>
            <w:szCs w:val="22"/>
            <w:lang w:eastAsia="ro-RO"/>
          </w:rPr>
          <w:tab/>
        </w:r>
        <w:r w:rsidRPr="00CA255A">
          <w:rPr>
            <w:rStyle w:val="Hyperlink"/>
            <w:noProof/>
            <w:lang w:bidi="en-US"/>
          </w:rPr>
          <w:t>Art. 2 din Convenție</w:t>
        </w:r>
        <w:r>
          <w:rPr>
            <w:noProof/>
            <w:webHidden/>
          </w:rPr>
          <w:tab/>
        </w:r>
        <w:r>
          <w:rPr>
            <w:noProof/>
            <w:webHidden/>
          </w:rPr>
          <w:fldChar w:fldCharType="begin"/>
        </w:r>
        <w:r>
          <w:rPr>
            <w:noProof/>
            <w:webHidden/>
          </w:rPr>
          <w:instrText xml:space="preserve"> PAGEREF _Toc199273525 \h </w:instrText>
        </w:r>
        <w:r>
          <w:rPr>
            <w:noProof/>
            <w:webHidden/>
          </w:rPr>
        </w:r>
        <w:r>
          <w:rPr>
            <w:noProof/>
            <w:webHidden/>
          </w:rPr>
          <w:fldChar w:fldCharType="separate"/>
        </w:r>
        <w:r>
          <w:rPr>
            <w:noProof/>
            <w:webHidden/>
          </w:rPr>
          <w:t>158</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526" w:history="1">
        <w:r w:rsidRPr="00CA255A">
          <w:rPr>
            <w:rStyle w:val="Hyperlink"/>
            <w:noProof/>
            <w:lang w:bidi="en-US"/>
          </w:rPr>
          <w:t>ii.</w:t>
        </w:r>
        <w:r>
          <w:rPr>
            <w:rFonts w:eastAsiaTheme="minorEastAsia"/>
            <w:noProof/>
            <w:sz w:val="22"/>
            <w:szCs w:val="22"/>
            <w:lang w:eastAsia="ro-RO"/>
          </w:rPr>
          <w:tab/>
        </w:r>
        <w:r w:rsidRPr="00CA255A">
          <w:rPr>
            <w:rStyle w:val="Hyperlink"/>
            <w:noProof/>
            <w:lang w:bidi="en-US"/>
          </w:rPr>
          <w:t>Art. 8 din Convenție</w:t>
        </w:r>
        <w:r>
          <w:rPr>
            <w:noProof/>
            <w:webHidden/>
          </w:rPr>
          <w:tab/>
        </w:r>
        <w:r>
          <w:rPr>
            <w:noProof/>
            <w:webHidden/>
          </w:rPr>
          <w:fldChar w:fldCharType="begin"/>
        </w:r>
        <w:r>
          <w:rPr>
            <w:noProof/>
            <w:webHidden/>
          </w:rPr>
          <w:instrText xml:space="preserve"> PAGEREF _Toc199273526 \h </w:instrText>
        </w:r>
        <w:r>
          <w:rPr>
            <w:noProof/>
            <w:webHidden/>
          </w:rPr>
        </w:r>
        <w:r>
          <w:rPr>
            <w:noProof/>
            <w:webHidden/>
          </w:rPr>
          <w:fldChar w:fldCharType="separate"/>
        </w:r>
        <w:r>
          <w:rPr>
            <w:noProof/>
            <w:webHidden/>
          </w:rPr>
          <w:t>158</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27" w:history="1">
        <w:r w:rsidRPr="00CA255A">
          <w:rPr>
            <w:rStyle w:val="Hyperlink"/>
            <w:noProof/>
          </w:rPr>
          <w:t>d)</w:t>
        </w:r>
        <w:r>
          <w:rPr>
            <w:rFonts w:eastAsiaTheme="minorEastAsia"/>
            <w:noProof/>
            <w:sz w:val="22"/>
            <w:szCs w:val="22"/>
            <w:lang w:eastAsia="ro-RO"/>
          </w:rPr>
          <w:tab/>
        </w:r>
        <w:r w:rsidRPr="00CA255A">
          <w:rPr>
            <w:rStyle w:val="Hyperlink"/>
            <w:noProof/>
          </w:rPr>
          <w:t>Cu privire la fond</w:t>
        </w:r>
        <w:r>
          <w:rPr>
            <w:noProof/>
            <w:webHidden/>
          </w:rPr>
          <w:tab/>
        </w:r>
        <w:r>
          <w:rPr>
            <w:noProof/>
            <w:webHidden/>
          </w:rPr>
          <w:fldChar w:fldCharType="begin"/>
        </w:r>
        <w:r>
          <w:rPr>
            <w:noProof/>
            <w:webHidden/>
          </w:rPr>
          <w:instrText xml:space="preserve"> PAGEREF _Toc199273527 \h </w:instrText>
        </w:r>
        <w:r>
          <w:rPr>
            <w:noProof/>
            <w:webHidden/>
          </w:rPr>
        </w:r>
        <w:r>
          <w:rPr>
            <w:noProof/>
            <w:webHidden/>
          </w:rPr>
          <w:fldChar w:fldCharType="separate"/>
        </w:r>
        <w:r>
          <w:rPr>
            <w:noProof/>
            <w:webHidden/>
          </w:rPr>
          <w:t>159</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528" w:history="1">
        <w:r w:rsidRPr="00CA255A">
          <w:rPr>
            <w:rStyle w:val="Hyperlink"/>
            <w:noProof/>
          </w:rPr>
          <w:t>B.</w:t>
        </w:r>
        <w:r>
          <w:rPr>
            <w:rFonts w:eastAsiaTheme="minorEastAsia"/>
            <w:noProof/>
            <w:sz w:val="22"/>
            <w:szCs w:val="22"/>
            <w:lang w:eastAsia="ro-RO"/>
          </w:rPr>
          <w:tab/>
        </w:r>
        <w:r w:rsidRPr="00CA255A">
          <w:rPr>
            <w:rStyle w:val="Hyperlink"/>
            <w:noProof/>
          </w:rPr>
          <w:t>Terții intervenienți</w:t>
        </w:r>
        <w:r>
          <w:rPr>
            <w:noProof/>
            <w:webHidden/>
          </w:rPr>
          <w:tab/>
        </w:r>
        <w:r>
          <w:rPr>
            <w:noProof/>
            <w:webHidden/>
          </w:rPr>
          <w:fldChar w:fldCharType="begin"/>
        </w:r>
        <w:r>
          <w:rPr>
            <w:noProof/>
            <w:webHidden/>
          </w:rPr>
          <w:instrText xml:space="preserve"> PAGEREF _Toc199273528 \h </w:instrText>
        </w:r>
        <w:r>
          <w:rPr>
            <w:noProof/>
            <w:webHidden/>
          </w:rPr>
        </w:r>
        <w:r>
          <w:rPr>
            <w:noProof/>
            <w:webHidden/>
          </w:rPr>
          <w:fldChar w:fldCharType="separate"/>
        </w:r>
        <w:r>
          <w:rPr>
            <w:noProof/>
            <w:webHidden/>
          </w:rPr>
          <w:t>163</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29" w:history="1">
        <w:r w:rsidRPr="00CA255A">
          <w:rPr>
            <w:rStyle w:val="Hyperlink"/>
            <w:noProof/>
          </w:rPr>
          <w:t>1.</w:t>
        </w:r>
        <w:r>
          <w:rPr>
            <w:rFonts w:eastAsiaTheme="minorEastAsia"/>
            <w:noProof/>
            <w:sz w:val="22"/>
            <w:szCs w:val="22"/>
            <w:lang w:eastAsia="ro-RO"/>
          </w:rPr>
          <w:tab/>
        </w:r>
        <w:r w:rsidRPr="00CA255A">
          <w:rPr>
            <w:rStyle w:val="Hyperlink"/>
            <w:noProof/>
          </w:rPr>
          <w:t>Guvernele interveniente</w:t>
        </w:r>
        <w:r>
          <w:rPr>
            <w:noProof/>
            <w:webHidden/>
          </w:rPr>
          <w:tab/>
        </w:r>
        <w:r>
          <w:rPr>
            <w:noProof/>
            <w:webHidden/>
          </w:rPr>
          <w:fldChar w:fldCharType="begin"/>
        </w:r>
        <w:r>
          <w:rPr>
            <w:noProof/>
            <w:webHidden/>
          </w:rPr>
          <w:instrText xml:space="preserve"> PAGEREF _Toc199273529 \h </w:instrText>
        </w:r>
        <w:r>
          <w:rPr>
            <w:noProof/>
            <w:webHidden/>
          </w:rPr>
        </w:r>
        <w:r>
          <w:rPr>
            <w:noProof/>
            <w:webHidden/>
          </w:rPr>
          <w:fldChar w:fldCharType="separate"/>
        </w:r>
        <w:r>
          <w:rPr>
            <w:noProof/>
            <w:webHidden/>
          </w:rPr>
          <w:t>163</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30" w:history="1">
        <w:r w:rsidRPr="00CA255A">
          <w:rPr>
            <w:rStyle w:val="Hyperlink"/>
            <w:noProof/>
          </w:rPr>
          <w:t>a)</w:t>
        </w:r>
        <w:r>
          <w:rPr>
            <w:rFonts w:eastAsiaTheme="minorEastAsia"/>
            <w:noProof/>
            <w:sz w:val="22"/>
            <w:szCs w:val="22"/>
            <w:lang w:eastAsia="ro-RO"/>
          </w:rPr>
          <w:tab/>
        </w:r>
        <w:r w:rsidRPr="00CA255A">
          <w:rPr>
            <w:rStyle w:val="Hyperlink"/>
            <w:noProof/>
          </w:rPr>
          <w:t>Guvernul austriac</w:t>
        </w:r>
        <w:r>
          <w:rPr>
            <w:noProof/>
            <w:webHidden/>
          </w:rPr>
          <w:tab/>
        </w:r>
        <w:r>
          <w:rPr>
            <w:noProof/>
            <w:webHidden/>
          </w:rPr>
          <w:fldChar w:fldCharType="begin"/>
        </w:r>
        <w:r>
          <w:rPr>
            <w:noProof/>
            <w:webHidden/>
          </w:rPr>
          <w:instrText xml:space="preserve"> PAGEREF _Toc199273530 \h </w:instrText>
        </w:r>
        <w:r>
          <w:rPr>
            <w:noProof/>
            <w:webHidden/>
          </w:rPr>
        </w:r>
        <w:r>
          <w:rPr>
            <w:noProof/>
            <w:webHidden/>
          </w:rPr>
          <w:fldChar w:fldCharType="separate"/>
        </w:r>
        <w:r>
          <w:rPr>
            <w:noProof/>
            <w:webHidden/>
          </w:rPr>
          <w:t>163</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31" w:history="1">
        <w:r w:rsidRPr="00CA255A">
          <w:rPr>
            <w:rStyle w:val="Hyperlink"/>
            <w:noProof/>
          </w:rPr>
          <w:t>b)</w:t>
        </w:r>
        <w:r>
          <w:rPr>
            <w:rFonts w:eastAsiaTheme="minorEastAsia"/>
            <w:noProof/>
            <w:sz w:val="22"/>
            <w:szCs w:val="22"/>
            <w:lang w:eastAsia="ro-RO"/>
          </w:rPr>
          <w:tab/>
        </w:r>
        <w:r w:rsidRPr="00CA255A">
          <w:rPr>
            <w:rStyle w:val="Hyperlink"/>
            <w:noProof/>
          </w:rPr>
          <w:t>Guvernul irlandez</w:t>
        </w:r>
        <w:r>
          <w:rPr>
            <w:noProof/>
            <w:webHidden/>
          </w:rPr>
          <w:tab/>
        </w:r>
        <w:r>
          <w:rPr>
            <w:noProof/>
            <w:webHidden/>
          </w:rPr>
          <w:fldChar w:fldCharType="begin"/>
        </w:r>
        <w:r>
          <w:rPr>
            <w:noProof/>
            <w:webHidden/>
          </w:rPr>
          <w:instrText xml:space="preserve"> PAGEREF _Toc199273531 \h </w:instrText>
        </w:r>
        <w:r>
          <w:rPr>
            <w:noProof/>
            <w:webHidden/>
          </w:rPr>
        </w:r>
        <w:r>
          <w:rPr>
            <w:noProof/>
            <w:webHidden/>
          </w:rPr>
          <w:fldChar w:fldCharType="separate"/>
        </w:r>
        <w:r>
          <w:rPr>
            <w:noProof/>
            <w:webHidden/>
          </w:rPr>
          <w:t>164</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32" w:history="1">
        <w:r w:rsidRPr="00CA255A">
          <w:rPr>
            <w:rStyle w:val="Hyperlink"/>
            <w:noProof/>
          </w:rPr>
          <w:t>c)</w:t>
        </w:r>
        <w:r>
          <w:rPr>
            <w:rFonts w:eastAsiaTheme="minorEastAsia"/>
            <w:noProof/>
            <w:sz w:val="22"/>
            <w:szCs w:val="22"/>
            <w:lang w:eastAsia="ro-RO"/>
          </w:rPr>
          <w:tab/>
        </w:r>
        <w:r w:rsidRPr="00CA255A">
          <w:rPr>
            <w:rStyle w:val="Hyperlink"/>
            <w:noProof/>
          </w:rPr>
          <w:t>Guvernul italian</w:t>
        </w:r>
        <w:r>
          <w:rPr>
            <w:noProof/>
            <w:webHidden/>
          </w:rPr>
          <w:tab/>
        </w:r>
        <w:r>
          <w:rPr>
            <w:noProof/>
            <w:webHidden/>
          </w:rPr>
          <w:fldChar w:fldCharType="begin"/>
        </w:r>
        <w:r>
          <w:rPr>
            <w:noProof/>
            <w:webHidden/>
          </w:rPr>
          <w:instrText xml:space="preserve"> PAGEREF _Toc199273532 \h </w:instrText>
        </w:r>
        <w:r>
          <w:rPr>
            <w:noProof/>
            <w:webHidden/>
          </w:rPr>
        </w:r>
        <w:r>
          <w:rPr>
            <w:noProof/>
            <w:webHidden/>
          </w:rPr>
          <w:fldChar w:fldCharType="separate"/>
        </w:r>
        <w:r>
          <w:rPr>
            <w:noProof/>
            <w:webHidden/>
          </w:rPr>
          <w:t>165</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33" w:history="1">
        <w:r w:rsidRPr="00CA255A">
          <w:rPr>
            <w:rStyle w:val="Hyperlink"/>
            <w:noProof/>
          </w:rPr>
          <w:t>d)</w:t>
        </w:r>
        <w:r>
          <w:rPr>
            <w:rFonts w:eastAsiaTheme="minorEastAsia"/>
            <w:noProof/>
            <w:sz w:val="22"/>
            <w:szCs w:val="22"/>
            <w:lang w:eastAsia="ro-RO"/>
          </w:rPr>
          <w:tab/>
        </w:r>
        <w:r w:rsidRPr="00CA255A">
          <w:rPr>
            <w:rStyle w:val="Hyperlink"/>
            <w:noProof/>
          </w:rPr>
          <w:t>Guvernul leton</w:t>
        </w:r>
        <w:r>
          <w:rPr>
            <w:noProof/>
            <w:webHidden/>
          </w:rPr>
          <w:tab/>
        </w:r>
        <w:r>
          <w:rPr>
            <w:noProof/>
            <w:webHidden/>
          </w:rPr>
          <w:fldChar w:fldCharType="begin"/>
        </w:r>
        <w:r>
          <w:rPr>
            <w:noProof/>
            <w:webHidden/>
          </w:rPr>
          <w:instrText xml:space="preserve"> PAGEREF _Toc199273533 \h </w:instrText>
        </w:r>
        <w:r>
          <w:rPr>
            <w:noProof/>
            <w:webHidden/>
          </w:rPr>
        </w:r>
        <w:r>
          <w:rPr>
            <w:noProof/>
            <w:webHidden/>
          </w:rPr>
          <w:fldChar w:fldCharType="separate"/>
        </w:r>
        <w:r>
          <w:rPr>
            <w:noProof/>
            <w:webHidden/>
          </w:rPr>
          <w:t>165</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34" w:history="1">
        <w:r w:rsidRPr="00CA255A">
          <w:rPr>
            <w:rStyle w:val="Hyperlink"/>
            <w:noProof/>
          </w:rPr>
          <w:t>e)</w:t>
        </w:r>
        <w:r>
          <w:rPr>
            <w:rFonts w:eastAsiaTheme="minorEastAsia"/>
            <w:noProof/>
            <w:sz w:val="22"/>
            <w:szCs w:val="22"/>
            <w:lang w:eastAsia="ro-RO"/>
          </w:rPr>
          <w:tab/>
        </w:r>
        <w:r w:rsidRPr="00CA255A">
          <w:rPr>
            <w:rStyle w:val="Hyperlink"/>
            <w:noProof/>
          </w:rPr>
          <w:t>Guvernul norvegian</w:t>
        </w:r>
        <w:r>
          <w:rPr>
            <w:noProof/>
            <w:webHidden/>
          </w:rPr>
          <w:tab/>
        </w:r>
        <w:r>
          <w:rPr>
            <w:noProof/>
            <w:webHidden/>
          </w:rPr>
          <w:fldChar w:fldCharType="begin"/>
        </w:r>
        <w:r>
          <w:rPr>
            <w:noProof/>
            <w:webHidden/>
          </w:rPr>
          <w:instrText xml:space="preserve"> PAGEREF _Toc199273534 \h </w:instrText>
        </w:r>
        <w:r>
          <w:rPr>
            <w:noProof/>
            <w:webHidden/>
          </w:rPr>
        </w:r>
        <w:r>
          <w:rPr>
            <w:noProof/>
            <w:webHidden/>
          </w:rPr>
          <w:fldChar w:fldCharType="separate"/>
        </w:r>
        <w:r>
          <w:rPr>
            <w:noProof/>
            <w:webHidden/>
          </w:rPr>
          <w:t>165</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35" w:history="1">
        <w:r w:rsidRPr="00CA255A">
          <w:rPr>
            <w:rStyle w:val="Hyperlink"/>
            <w:noProof/>
          </w:rPr>
          <w:t>f)</w:t>
        </w:r>
        <w:r>
          <w:rPr>
            <w:rFonts w:eastAsiaTheme="minorEastAsia"/>
            <w:noProof/>
            <w:sz w:val="22"/>
            <w:szCs w:val="22"/>
            <w:lang w:eastAsia="ro-RO"/>
          </w:rPr>
          <w:tab/>
        </w:r>
        <w:r w:rsidRPr="00CA255A">
          <w:rPr>
            <w:rStyle w:val="Hyperlink"/>
            <w:noProof/>
          </w:rPr>
          <w:t>Guvernul portughez</w:t>
        </w:r>
        <w:r>
          <w:rPr>
            <w:noProof/>
            <w:webHidden/>
          </w:rPr>
          <w:tab/>
        </w:r>
        <w:r>
          <w:rPr>
            <w:noProof/>
            <w:webHidden/>
          </w:rPr>
          <w:fldChar w:fldCharType="begin"/>
        </w:r>
        <w:r>
          <w:rPr>
            <w:noProof/>
            <w:webHidden/>
          </w:rPr>
          <w:instrText xml:space="preserve"> PAGEREF _Toc199273535 \h </w:instrText>
        </w:r>
        <w:r>
          <w:rPr>
            <w:noProof/>
            <w:webHidden/>
          </w:rPr>
        </w:r>
        <w:r>
          <w:rPr>
            <w:noProof/>
            <w:webHidden/>
          </w:rPr>
          <w:fldChar w:fldCharType="separate"/>
        </w:r>
        <w:r>
          <w:rPr>
            <w:noProof/>
            <w:webHidden/>
          </w:rPr>
          <w:t>166</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36" w:history="1">
        <w:r w:rsidRPr="00CA255A">
          <w:rPr>
            <w:rStyle w:val="Hyperlink"/>
            <w:noProof/>
          </w:rPr>
          <w:t>g)</w:t>
        </w:r>
        <w:r>
          <w:rPr>
            <w:rFonts w:eastAsiaTheme="minorEastAsia"/>
            <w:noProof/>
            <w:sz w:val="22"/>
            <w:szCs w:val="22"/>
            <w:lang w:eastAsia="ro-RO"/>
          </w:rPr>
          <w:tab/>
        </w:r>
        <w:r w:rsidRPr="00CA255A">
          <w:rPr>
            <w:rStyle w:val="Hyperlink"/>
            <w:noProof/>
          </w:rPr>
          <w:t>Guvernul român</w:t>
        </w:r>
        <w:r>
          <w:rPr>
            <w:noProof/>
            <w:webHidden/>
          </w:rPr>
          <w:tab/>
        </w:r>
        <w:r>
          <w:rPr>
            <w:noProof/>
            <w:webHidden/>
          </w:rPr>
          <w:fldChar w:fldCharType="begin"/>
        </w:r>
        <w:r>
          <w:rPr>
            <w:noProof/>
            <w:webHidden/>
          </w:rPr>
          <w:instrText xml:space="preserve"> PAGEREF _Toc199273536 \h </w:instrText>
        </w:r>
        <w:r>
          <w:rPr>
            <w:noProof/>
            <w:webHidden/>
          </w:rPr>
        </w:r>
        <w:r>
          <w:rPr>
            <w:noProof/>
            <w:webHidden/>
          </w:rPr>
          <w:fldChar w:fldCharType="separate"/>
        </w:r>
        <w:r>
          <w:rPr>
            <w:noProof/>
            <w:webHidden/>
          </w:rPr>
          <w:t>167</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37" w:history="1">
        <w:r w:rsidRPr="00CA255A">
          <w:rPr>
            <w:rStyle w:val="Hyperlink"/>
            <w:noProof/>
          </w:rPr>
          <w:t>h)</w:t>
        </w:r>
        <w:r>
          <w:rPr>
            <w:rFonts w:eastAsiaTheme="minorEastAsia"/>
            <w:noProof/>
            <w:sz w:val="22"/>
            <w:szCs w:val="22"/>
            <w:lang w:eastAsia="ro-RO"/>
          </w:rPr>
          <w:tab/>
        </w:r>
        <w:r w:rsidRPr="00CA255A">
          <w:rPr>
            <w:rStyle w:val="Hyperlink"/>
            <w:noProof/>
          </w:rPr>
          <w:t>Guvernul slovac</w:t>
        </w:r>
        <w:r>
          <w:rPr>
            <w:noProof/>
            <w:webHidden/>
          </w:rPr>
          <w:tab/>
        </w:r>
        <w:r>
          <w:rPr>
            <w:noProof/>
            <w:webHidden/>
          </w:rPr>
          <w:fldChar w:fldCharType="begin"/>
        </w:r>
        <w:r>
          <w:rPr>
            <w:noProof/>
            <w:webHidden/>
          </w:rPr>
          <w:instrText xml:space="preserve"> PAGEREF _Toc199273537 \h </w:instrText>
        </w:r>
        <w:r>
          <w:rPr>
            <w:noProof/>
            <w:webHidden/>
          </w:rPr>
        </w:r>
        <w:r>
          <w:rPr>
            <w:noProof/>
            <w:webHidden/>
          </w:rPr>
          <w:fldChar w:fldCharType="separate"/>
        </w:r>
        <w:r>
          <w:rPr>
            <w:noProof/>
            <w:webHidden/>
          </w:rPr>
          <w:t>167</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38" w:history="1">
        <w:r w:rsidRPr="00CA255A">
          <w:rPr>
            <w:rStyle w:val="Hyperlink"/>
            <w:noProof/>
          </w:rPr>
          <w:t>2.</w:t>
        </w:r>
        <w:r>
          <w:rPr>
            <w:rFonts w:eastAsiaTheme="minorEastAsia"/>
            <w:noProof/>
            <w:sz w:val="22"/>
            <w:szCs w:val="22"/>
            <w:lang w:eastAsia="ro-RO"/>
          </w:rPr>
          <w:tab/>
        </w:r>
        <w:r w:rsidRPr="00CA255A">
          <w:rPr>
            <w:rStyle w:val="Hyperlink"/>
            <w:noProof/>
          </w:rPr>
          <w:t>Înaltul Comisar al ONU pentru Drepturile Omului</w:t>
        </w:r>
        <w:r>
          <w:rPr>
            <w:noProof/>
            <w:webHidden/>
          </w:rPr>
          <w:tab/>
        </w:r>
        <w:r>
          <w:rPr>
            <w:noProof/>
            <w:webHidden/>
          </w:rPr>
          <w:fldChar w:fldCharType="begin"/>
        </w:r>
        <w:r>
          <w:rPr>
            <w:noProof/>
            <w:webHidden/>
          </w:rPr>
          <w:instrText xml:space="preserve"> PAGEREF _Toc199273538 \h </w:instrText>
        </w:r>
        <w:r>
          <w:rPr>
            <w:noProof/>
            <w:webHidden/>
          </w:rPr>
        </w:r>
        <w:r>
          <w:rPr>
            <w:noProof/>
            <w:webHidden/>
          </w:rPr>
          <w:fldChar w:fldCharType="separate"/>
        </w:r>
        <w:r>
          <w:rPr>
            <w:noProof/>
            <w:webHidden/>
          </w:rPr>
          <w:t>168</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39" w:history="1">
        <w:r w:rsidRPr="00CA255A">
          <w:rPr>
            <w:rStyle w:val="Hyperlink"/>
            <w:noProof/>
          </w:rPr>
          <w:t>3.</w:t>
        </w:r>
        <w:r>
          <w:rPr>
            <w:rFonts w:eastAsiaTheme="minorEastAsia"/>
            <w:noProof/>
            <w:sz w:val="22"/>
            <w:szCs w:val="22"/>
            <w:lang w:eastAsia="ro-RO"/>
          </w:rPr>
          <w:tab/>
        </w:r>
        <w:r w:rsidRPr="00CA255A">
          <w:rPr>
            <w:rStyle w:val="Hyperlink"/>
            <w:noProof/>
          </w:rPr>
          <w:t>Raportorul special al ONU privind substanțele toxice și drepturile omului și Raportorul special al ONU privind drepturile omului și mediul; Expertul independent privind promovarea exercitării tuturor drepturilor omului de către persoanele în vârstă</w:t>
        </w:r>
        <w:r>
          <w:rPr>
            <w:noProof/>
            <w:webHidden/>
          </w:rPr>
          <w:tab/>
        </w:r>
        <w:r>
          <w:rPr>
            <w:noProof/>
            <w:webHidden/>
          </w:rPr>
          <w:fldChar w:fldCharType="begin"/>
        </w:r>
        <w:r>
          <w:rPr>
            <w:noProof/>
            <w:webHidden/>
          </w:rPr>
          <w:instrText xml:space="preserve"> PAGEREF _Toc199273539 \h </w:instrText>
        </w:r>
        <w:r>
          <w:rPr>
            <w:noProof/>
            <w:webHidden/>
          </w:rPr>
        </w:r>
        <w:r>
          <w:rPr>
            <w:noProof/>
            <w:webHidden/>
          </w:rPr>
          <w:fldChar w:fldCharType="separate"/>
        </w:r>
        <w:r>
          <w:rPr>
            <w:noProof/>
            <w:webHidden/>
          </w:rPr>
          <w:t>169</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40" w:history="1">
        <w:r w:rsidRPr="00CA255A">
          <w:rPr>
            <w:rStyle w:val="Hyperlink"/>
            <w:noProof/>
          </w:rPr>
          <w:t>4.</w:t>
        </w:r>
        <w:r>
          <w:rPr>
            <w:rFonts w:eastAsiaTheme="minorEastAsia"/>
            <w:noProof/>
            <w:sz w:val="22"/>
            <w:szCs w:val="22"/>
            <w:lang w:eastAsia="ro-RO"/>
          </w:rPr>
          <w:tab/>
        </w:r>
        <w:r w:rsidRPr="00CA255A">
          <w:rPr>
            <w:rStyle w:val="Hyperlink"/>
            <w:noProof/>
          </w:rPr>
          <w:t>Comisia Internațională a Juriștilor (CIJ) și filiala elvețiană a CIJ (CIJ-CH)</w:t>
        </w:r>
        <w:r>
          <w:rPr>
            <w:noProof/>
            <w:webHidden/>
          </w:rPr>
          <w:tab/>
        </w:r>
        <w:r>
          <w:rPr>
            <w:noProof/>
            <w:webHidden/>
          </w:rPr>
          <w:fldChar w:fldCharType="begin"/>
        </w:r>
        <w:r>
          <w:rPr>
            <w:noProof/>
            <w:webHidden/>
          </w:rPr>
          <w:instrText xml:space="preserve"> PAGEREF _Toc199273540 \h </w:instrText>
        </w:r>
        <w:r>
          <w:rPr>
            <w:noProof/>
            <w:webHidden/>
          </w:rPr>
        </w:r>
        <w:r>
          <w:rPr>
            <w:noProof/>
            <w:webHidden/>
          </w:rPr>
          <w:fldChar w:fldCharType="separate"/>
        </w:r>
        <w:r>
          <w:rPr>
            <w:noProof/>
            <w:webHidden/>
          </w:rPr>
          <w:t>170</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41" w:history="1">
        <w:r w:rsidRPr="00CA255A">
          <w:rPr>
            <w:rStyle w:val="Hyperlink"/>
            <w:noProof/>
          </w:rPr>
          <w:t>5.</w:t>
        </w:r>
        <w:r>
          <w:rPr>
            <w:rFonts w:eastAsiaTheme="minorEastAsia"/>
            <w:noProof/>
            <w:sz w:val="22"/>
            <w:szCs w:val="22"/>
            <w:lang w:eastAsia="ro-RO"/>
          </w:rPr>
          <w:tab/>
        </w:r>
        <w:r w:rsidRPr="00CA255A">
          <w:rPr>
            <w:rStyle w:val="Hyperlink"/>
            <w:noProof/>
          </w:rPr>
          <w:t>Rețeaua europeană a instituțiilor naționale din domeniul drepturilor omului (ENNHRI)</w:t>
        </w:r>
        <w:r>
          <w:rPr>
            <w:noProof/>
            <w:webHidden/>
          </w:rPr>
          <w:tab/>
        </w:r>
        <w:r>
          <w:rPr>
            <w:noProof/>
            <w:webHidden/>
          </w:rPr>
          <w:fldChar w:fldCharType="begin"/>
        </w:r>
        <w:r>
          <w:rPr>
            <w:noProof/>
            <w:webHidden/>
          </w:rPr>
          <w:instrText xml:space="preserve"> PAGEREF _Toc199273541 \h </w:instrText>
        </w:r>
        <w:r>
          <w:rPr>
            <w:noProof/>
            <w:webHidden/>
          </w:rPr>
        </w:r>
        <w:r>
          <w:rPr>
            <w:noProof/>
            <w:webHidden/>
          </w:rPr>
          <w:fldChar w:fldCharType="separate"/>
        </w:r>
        <w:r>
          <w:rPr>
            <w:noProof/>
            <w:webHidden/>
          </w:rPr>
          <w:t>171</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42" w:history="1">
        <w:r w:rsidRPr="00CA255A">
          <w:rPr>
            <w:rStyle w:val="Hyperlink"/>
            <w:noProof/>
          </w:rPr>
          <w:t>6.</w:t>
        </w:r>
        <w:r>
          <w:rPr>
            <w:rFonts w:eastAsiaTheme="minorEastAsia"/>
            <w:noProof/>
            <w:sz w:val="22"/>
            <w:szCs w:val="22"/>
            <w:lang w:eastAsia="ro-RO"/>
          </w:rPr>
          <w:tab/>
        </w:r>
        <w:r w:rsidRPr="00CA255A">
          <w:rPr>
            <w:rStyle w:val="Hyperlink"/>
            <w:noProof/>
          </w:rPr>
          <w:t>Observațiile coordonate ale Rețelei internaționale pentru drepturile economice, sociale și culturale (ESCR-Net)</w:t>
        </w:r>
        <w:r>
          <w:rPr>
            <w:noProof/>
            <w:webHidden/>
          </w:rPr>
          <w:tab/>
        </w:r>
        <w:r>
          <w:rPr>
            <w:noProof/>
            <w:webHidden/>
          </w:rPr>
          <w:fldChar w:fldCharType="begin"/>
        </w:r>
        <w:r>
          <w:rPr>
            <w:noProof/>
            <w:webHidden/>
          </w:rPr>
          <w:instrText xml:space="preserve"> PAGEREF _Toc199273542 \h </w:instrText>
        </w:r>
        <w:r>
          <w:rPr>
            <w:noProof/>
            <w:webHidden/>
          </w:rPr>
        </w:r>
        <w:r>
          <w:rPr>
            <w:noProof/>
            <w:webHidden/>
          </w:rPr>
          <w:fldChar w:fldCharType="separate"/>
        </w:r>
        <w:r>
          <w:rPr>
            <w:noProof/>
            <w:webHidden/>
          </w:rPr>
          <w:t>173</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43" w:history="1">
        <w:r w:rsidRPr="00CA255A">
          <w:rPr>
            <w:rStyle w:val="Hyperlink"/>
            <w:noProof/>
          </w:rPr>
          <w:t>7.</w:t>
        </w:r>
        <w:r>
          <w:rPr>
            <w:rFonts w:eastAsiaTheme="minorEastAsia"/>
            <w:noProof/>
            <w:sz w:val="22"/>
            <w:szCs w:val="22"/>
            <w:lang w:eastAsia="ro-RO"/>
          </w:rPr>
          <w:tab/>
        </w:r>
        <w:r w:rsidRPr="00CA255A">
          <w:rPr>
            <w:rStyle w:val="Hyperlink"/>
            <w:noProof/>
          </w:rPr>
          <w:t>Centrul pentru Drepturile Omului din cadrul Universității din Gent</w:t>
        </w:r>
        <w:r>
          <w:rPr>
            <w:noProof/>
            <w:webHidden/>
          </w:rPr>
          <w:tab/>
        </w:r>
        <w:r>
          <w:rPr>
            <w:noProof/>
            <w:webHidden/>
          </w:rPr>
          <w:fldChar w:fldCharType="begin"/>
        </w:r>
        <w:r>
          <w:rPr>
            <w:noProof/>
            <w:webHidden/>
          </w:rPr>
          <w:instrText xml:space="preserve"> PAGEREF _Toc199273543 \h </w:instrText>
        </w:r>
        <w:r>
          <w:rPr>
            <w:noProof/>
            <w:webHidden/>
          </w:rPr>
        </w:r>
        <w:r>
          <w:rPr>
            <w:noProof/>
            <w:webHidden/>
          </w:rPr>
          <w:fldChar w:fldCharType="separate"/>
        </w:r>
        <w:r>
          <w:rPr>
            <w:noProof/>
            <w:webHidden/>
          </w:rPr>
          <w:t>173</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44" w:history="1">
        <w:r w:rsidRPr="00CA255A">
          <w:rPr>
            <w:rStyle w:val="Hyperlink"/>
            <w:noProof/>
          </w:rPr>
          <w:t>8.</w:t>
        </w:r>
        <w:r>
          <w:rPr>
            <w:rFonts w:eastAsiaTheme="minorEastAsia"/>
            <w:noProof/>
            <w:sz w:val="22"/>
            <w:szCs w:val="22"/>
            <w:lang w:eastAsia="ro-RO"/>
          </w:rPr>
          <w:tab/>
        </w:r>
        <w:r w:rsidRPr="00CA255A">
          <w:rPr>
            <w:rStyle w:val="Hyperlink"/>
            <w:noProof/>
          </w:rPr>
          <w:t>Profesoarele Evelyne Schmid și Véronique Boillet (Universitatea din Lausanne)</w:t>
        </w:r>
        <w:r>
          <w:rPr>
            <w:noProof/>
            <w:webHidden/>
          </w:rPr>
          <w:tab/>
        </w:r>
        <w:r>
          <w:rPr>
            <w:noProof/>
            <w:webHidden/>
          </w:rPr>
          <w:fldChar w:fldCharType="begin"/>
        </w:r>
        <w:r>
          <w:rPr>
            <w:noProof/>
            <w:webHidden/>
          </w:rPr>
          <w:instrText xml:space="preserve"> PAGEREF _Toc199273544 \h </w:instrText>
        </w:r>
        <w:r>
          <w:rPr>
            <w:noProof/>
            <w:webHidden/>
          </w:rPr>
        </w:r>
        <w:r>
          <w:rPr>
            <w:noProof/>
            <w:webHidden/>
          </w:rPr>
          <w:fldChar w:fldCharType="separate"/>
        </w:r>
        <w:r>
          <w:rPr>
            <w:noProof/>
            <w:webHidden/>
          </w:rPr>
          <w:t>174</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45" w:history="1">
        <w:r w:rsidRPr="00CA255A">
          <w:rPr>
            <w:rStyle w:val="Hyperlink"/>
            <w:noProof/>
          </w:rPr>
          <w:t>9.</w:t>
        </w:r>
        <w:r>
          <w:rPr>
            <w:rFonts w:eastAsiaTheme="minorEastAsia"/>
            <w:noProof/>
            <w:sz w:val="22"/>
            <w:szCs w:val="22"/>
            <w:lang w:eastAsia="ro-RO"/>
          </w:rPr>
          <w:tab/>
        </w:r>
        <w:r w:rsidRPr="00CA255A">
          <w:rPr>
            <w:rStyle w:val="Hyperlink"/>
            <w:noProof/>
          </w:rPr>
          <w:t>Profesorii Sonia I. Seneviratne și Andreas Fischlin (Școala Politehnică Federală din Zürich)</w:t>
        </w:r>
        <w:r>
          <w:rPr>
            <w:noProof/>
            <w:webHidden/>
          </w:rPr>
          <w:tab/>
        </w:r>
        <w:r>
          <w:rPr>
            <w:noProof/>
            <w:webHidden/>
          </w:rPr>
          <w:fldChar w:fldCharType="begin"/>
        </w:r>
        <w:r>
          <w:rPr>
            <w:noProof/>
            <w:webHidden/>
          </w:rPr>
          <w:instrText xml:space="preserve"> PAGEREF _Toc199273545 \h </w:instrText>
        </w:r>
        <w:r>
          <w:rPr>
            <w:noProof/>
            <w:webHidden/>
          </w:rPr>
        </w:r>
        <w:r>
          <w:rPr>
            <w:noProof/>
            <w:webHidden/>
          </w:rPr>
          <w:fldChar w:fldCharType="separate"/>
        </w:r>
        <w:r>
          <w:rPr>
            <w:noProof/>
            <w:webHidden/>
          </w:rPr>
          <w:t>175</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46" w:history="1">
        <w:r w:rsidRPr="00CA255A">
          <w:rPr>
            <w:rStyle w:val="Hyperlink"/>
            <w:noProof/>
          </w:rPr>
          <w:t>10.</w:t>
        </w:r>
        <w:r>
          <w:rPr>
            <w:rFonts w:eastAsiaTheme="minorEastAsia"/>
            <w:noProof/>
            <w:sz w:val="22"/>
            <w:szCs w:val="22"/>
            <w:lang w:eastAsia="ro-RO"/>
          </w:rPr>
          <w:tab/>
        </w:r>
        <w:r w:rsidRPr="00CA255A">
          <w:rPr>
            <w:rStyle w:val="Hyperlink"/>
            <w:noProof/>
          </w:rPr>
          <w:t>Global Justice Clinic, Climate Litigation Accelerator și profesorul C. Voigt (Universitatea din Oslo)</w:t>
        </w:r>
        <w:r>
          <w:rPr>
            <w:noProof/>
            <w:webHidden/>
          </w:rPr>
          <w:tab/>
        </w:r>
        <w:r>
          <w:rPr>
            <w:noProof/>
            <w:webHidden/>
          </w:rPr>
          <w:fldChar w:fldCharType="begin"/>
        </w:r>
        <w:r>
          <w:rPr>
            <w:noProof/>
            <w:webHidden/>
          </w:rPr>
          <w:instrText xml:space="preserve"> PAGEREF _Toc199273546 \h </w:instrText>
        </w:r>
        <w:r>
          <w:rPr>
            <w:noProof/>
            <w:webHidden/>
          </w:rPr>
        </w:r>
        <w:r>
          <w:rPr>
            <w:noProof/>
            <w:webHidden/>
          </w:rPr>
          <w:fldChar w:fldCharType="separate"/>
        </w:r>
        <w:r>
          <w:rPr>
            <w:noProof/>
            <w:webHidden/>
          </w:rPr>
          <w:t>176</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47" w:history="1">
        <w:r w:rsidRPr="00CA255A">
          <w:rPr>
            <w:rStyle w:val="Hyperlink"/>
            <w:noProof/>
          </w:rPr>
          <w:t>11.</w:t>
        </w:r>
        <w:r>
          <w:rPr>
            <w:rFonts w:eastAsiaTheme="minorEastAsia"/>
            <w:noProof/>
            <w:sz w:val="22"/>
            <w:szCs w:val="22"/>
            <w:lang w:eastAsia="ro-RO"/>
          </w:rPr>
          <w:tab/>
        </w:r>
        <w:r w:rsidRPr="00CA255A">
          <w:rPr>
            <w:rStyle w:val="Hyperlink"/>
            <w:noProof/>
          </w:rPr>
          <w:t>Organizația ClientEarth</w:t>
        </w:r>
        <w:r>
          <w:rPr>
            <w:noProof/>
            <w:webHidden/>
          </w:rPr>
          <w:tab/>
        </w:r>
        <w:r>
          <w:rPr>
            <w:noProof/>
            <w:webHidden/>
          </w:rPr>
          <w:fldChar w:fldCharType="begin"/>
        </w:r>
        <w:r>
          <w:rPr>
            <w:noProof/>
            <w:webHidden/>
          </w:rPr>
          <w:instrText xml:space="preserve"> PAGEREF _Toc199273547 \h </w:instrText>
        </w:r>
        <w:r>
          <w:rPr>
            <w:noProof/>
            <w:webHidden/>
          </w:rPr>
        </w:r>
        <w:r>
          <w:rPr>
            <w:noProof/>
            <w:webHidden/>
          </w:rPr>
          <w:fldChar w:fldCharType="separate"/>
        </w:r>
        <w:r>
          <w:rPr>
            <w:noProof/>
            <w:webHidden/>
          </w:rPr>
          <w:t>177</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48" w:history="1">
        <w:r w:rsidRPr="00CA255A">
          <w:rPr>
            <w:rStyle w:val="Hyperlink"/>
            <w:noProof/>
          </w:rPr>
          <w:t>12.</w:t>
        </w:r>
        <w:r>
          <w:rPr>
            <w:rFonts w:eastAsiaTheme="minorEastAsia"/>
            <w:noProof/>
            <w:sz w:val="22"/>
            <w:szCs w:val="22"/>
            <w:lang w:eastAsia="ro-RO"/>
          </w:rPr>
          <w:tab/>
        </w:r>
        <w:r w:rsidRPr="00CA255A">
          <w:rPr>
            <w:rStyle w:val="Hyperlink"/>
            <w:noProof/>
          </w:rPr>
          <w:t>Our Children’s Trust, Oxfam France și Oxfam International și afiliații acesteia (Oxfam)</w:t>
        </w:r>
        <w:r>
          <w:rPr>
            <w:noProof/>
            <w:webHidden/>
          </w:rPr>
          <w:tab/>
        </w:r>
        <w:r>
          <w:rPr>
            <w:noProof/>
            <w:webHidden/>
          </w:rPr>
          <w:fldChar w:fldCharType="begin"/>
        </w:r>
        <w:r>
          <w:rPr>
            <w:noProof/>
            <w:webHidden/>
          </w:rPr>
          <w:instrText xml:space="preserve"> PAGEREF _Toc199273548 \h </w:instrText>
        </w:r>
        <w:r>
          <w:rPr>
            <w:noProof/>
            <w:webHidden/>
          </w:rPr>
        </w:r>
        <w:r>
          <w:rPr>
            <w:noProof/>
            <w:webHidden/>
          </w:rPr>
          <w:fldChar w:fldCharType="separate"/>
        </w:r>
        <w:r>
          <w:rPr>
            <w:noProof/>
            <w:webHidden/>
          </w:rPr>
          <w:t>178</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49" w:history="1">
        <w:r w:rsidRPr="00CA255A">
          <w:rPr>
            <w:rStyle w:val="Hyperlink"/>
            <w:noProof/>
          </w:rPr>
          <w:t>13.</w:t>
        </w:r>
        <w:r>
          <w:rPr>
            <w:rFonts w:eastAsiaTheme="minorEastAsia"/>
            <w:noProof/>
            <w:sz w:val="22"/>
            <w:szCs w:val="22"/>
            <w:lang w:eastAsia="ro-RO"/>
          </w:rPr>
          <w:tab/>
        </w:r>
        <w:r w:rsidRPr="00CA255A">
          <w:rPr>
            <w:rStyle w:val="Hyperlink"/>
            <w:noProof/>
          </w:rPr>
          <w:t xml:space="preserve">Grupul de cadre universitare de la Universitatea din Berna (profesorii Claus Beisbart, Thomas Frölicher, Martin Grosjean, Karin Ingold, Fortunat Joos, Jörg Künzli, C. Christoph Raible, </w:t>
        </w:r>
        <w:r w:rsidRPr="00CA255A">
          <w:rPr>
            <w:rStyle w:val="Hyperlink"/>
            <w:noProof/>
          </w:rPr>
          <w:lastRenderedPageBreak/>
          <w:t>Thomas Stocker, Ralph Winkler și Judith Wyttenbach, și doctorii Ana M. Vicedo</w:t>
        </w:r>
        <w:r w:rsidRPr="00CA255A">
          <w:rPr>
            <w:rStyle w:val="Hyperlink"/>
            <w:noProof/>
          </w:rPr>
          <w:noBreakHyphen/>
          <w:t>Cabrera și Charlotte Blattner)</w:t>
        </w:r>
        <w:r>
          <w:rPr>
            <w:noProof/>
            <w:webHidden/>
          </w:rPr>
          <w:tab/>
        </w:r>
        <w:r>
          <w:rPr>
            <w:noProof/>
            <w:webHidden/>
          </w:rPr>
          <w:fldChar w:fldCharType="begin"/>
        </w:r>
        <w:r>
          <w:rPr>
            <w:noProof/>
            <w:webHidden/>
          </w:rPr>
          <w:instrText xml:space="preserve"> PAGEREF _Toc199273549 \h </w:instrText>
        </w:r>
        <w:r>
          <w:rPr>
            <w:noProof/>
            <w:webHidden/>
          </w:rPr>
        </w:r>
        <w:r>
          <w:rPr>
            <w:noProof/>
            <w:webHidden/>
          </w:rPr>
          <w:fldChar w:fldCharType="separate"/>
        </w:r>
        <w:r>
          <w:rPr>
            <w:noProof/>
            <w:webHidden/>
          </w:rPr>
          <w:t>179</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50" w:history="1">
        <w:r w:rsidRPr="00CA255A">
          <w:rPr>
            <w:rStyle w:val="Hyperlink"/>
            <w:noProof/>
          </w:rPr>
          <w:t>14.</w:t>
        </w:r>
        <w:r>
          <w:rPr>
            <w:rFonts w:eastAsiaTheme="minorEastAsia"/>
            <w:noProof/>
            <w:sz w:val="22"/>
            <w:szCs w:val="22"/>
            <w:lang w:eastAsia="ro-RO"/>
          </w:rPr>
          <w:tab/>
        </w:r>
        <w:r w:rsidRPr="00CA255A">
          <w:rPr>
            <w:rStyle w:val="Hyperlink"/>
            <w:noProof/>
          </w:rPr>
          <w:t>Centrul de Drept Internațional al Mediului (Center for International Environmental Law) și doctorul Margaretha Wewerinke-Singh</w:t>
        </w:r>
        <w:r>
          <w:rPr>
            <w:noProof/>
            <w:webHidden/>
          </w:rPr>
          <w:tab/>
        </w:r>
        <w:r>
          <w:rPr>
            <w:noProof/>
            <w:webHidden/>
          </w:rPr>
          <w:fldChar w:fldCharType="begin"/>
        </w:r>
        <w:r>
          <w:rPr>
            <w:noProof/>
            <w:webHidden/>
          </w:rPr>
          <w:instrText xml:space="preserve"> PAGEREF _Toc199273550 \h </w:instrText>
        </w:r>
        <w:r>
          <w:rPr>
            <w:noProof/>
            <w:webHidden/>
          </w:rPr>
        </w:r>
        <w:r>
          <w:rPr>
            <w:noProof/>
            <w:webHidden/>
          </w:rPr>
          <w:fldChar w:fldCharType="separate"/>
        </w:r>
        <w:r>
          <w:rPr>
            <w:noProof/>
            <w:webHidden/>
          </w:rPr>
          <w:t>180</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51" w:history="1">
        <w:r w:rsidRPr="00CA255A">
          <w:rPr>
            <w:rStyle w:val="Hyperlink"/>
            <w:noProof/>
          </w:rPr>
          <w:t>15.</w:t>
        </w:r>
        <w:r>
          <w:rPr>
            <w:rFonts w:eastAsiaTheme="minorEastAsia"/>
            <w:noProof/>
            <w:sz w:val="22"/>
            <w:szCs w:val="22"/>
            <w:lang w:eastAsia="ro-RO"/>
          </w:rPr>
          <w:tab/>
        </w:r>
        <w:r w:rsidRPr="00CA255A">
          <w:rPr>
            <w:rStyle w:val="Hyperlink"/>
            <w:noProof/>
          </w:rPr>
          <w:t>Centrul Sabin de cercetare în domeniul dreptului schimbărilor climatice (Sabin Center for Climate Change Law) (Facultatea de Drept a Universității Columbia)</w:t>
        </w:r>
        <w:r>
          <w:rPr>
            <w:noProof/>
            <w:webHidden/>
          </w:rPr>
          <w:tab/>
        </w:r>
        <w:r>
          <w:rPr>
            <w:noProof/>
            <w:webHidden/>
          </w:rPr>
          <w:fldChar w:fldCharType="begin"/>
        </w:r>
        <w:r>
          <w:rPr>
            <w:noProof/>
            <w:webHidden/>
          </w:rPr>
          <w:instrText xml:space="preserve"> PAGEREF _Toc199273551 \h </w:instrText>
        </w:r>
        <w:r>
          <w:rPr>
            <w:noProof/>
            <w:webHidden/>
          </w:rPr>
        </w:r>
        <w:r>
          <w:rPr>
            <w:noProof/>
            <w:webHidden/>
          </w:rPr>
          <w:fldChar w:fldCharType="separate"/>
        </w:r>
        <w:r>
          <w:rPr>
            <w:noProof/>
            <w:webHidden/>
          </w:rPr>
          <w:t>181</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52" w:history="1">
        <w:r w:rsidRPr="00CA255A">
          <w:rPr>
            <w:rStyle w:val="Hyperlink"/>
            <w:noProof/>
          </w:rPr>
          <w:t>16.</w:t>
        </w:r>
        <w:r>
          <w:rPr>
            <w:rFonts w:eastAsiaTheme="minorEastAsia"/>
            <w:noProof/>
            <w:sz w:val="22"/>
            <w:szCs w:val="22"/>
            <w:lang w:eastAsia="ro-RO"/>
          </w:rPr>
          <w:tab/>
        </w:r>
        <w:r w:rsidRPr="00CA255A">
          <w:rPr>
            <w:rStyle w:val="Hyperlink"/>
            <w:noProof/>
          </w:rPr>
          <w:t>Germanwatch, Greenpeace Germania și Scientists for Future (Oameni de știință pentru viitor)</w:t>
        </w:r>
        <w:r>
          <w:rPr>
            <w:noProof/>
            <w:webHidden/>
          </w:rPr>
          <w:tab/>
        </w:r>
        <w:r>
          <w:rPr>
            <w:noProof/>
            <w:webHidden/>
          </w:rPr>
          <w:fldChar w:fldCharType="begin"/>
        </w:r>
        <w:r>
          <w:rPr>
            <w:noProof/>
            <w:webHidden/>
          </w:rPr>
          <w:instrText xml:space="preserve"> PAGEREF _Toc199273552 \h </w:instrText>
        </w:r>
        <w:r>
          <w:rPr>
            <w:noProof/>
            <w:webHidden/>
          </w:rPr>
        </w:r>
        <w:r>
          <w:rPr>
            <w:noProof/>
            <w:webHidden/>
          </w:rPr>
          <w:fldChar w:fldCharType="separate"/>
        </w:r>
        <w:r>
          <w:rPr>
            <w:noProof/>
            <w:webHidden/>
          </w:rPr>
          <w:t>182</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553" w:history="1">
        <w:r w:rsidRPr="00CA255A">
          <w:rPr>
            <w:rStyle w:val="Hyperlink"/>
            <w:noProof/>
          </w:rPr>
          <w:t>C.</w:t>
        </w:r>
        <w:r>
          <w:rPr>
            <w:rFonts w:eastAsiaTheme="minorEastAsia"/>
            <w:noProof/>
            <w:sz w:val="22"/>
            <w:szCs w:val="22"/>
            <w:lang w:eastAsia="ro-RO"/>
          </w:rPr>
          <w:tab/>
        </w:r>
        <w:r w:rsidRPr="00CA255A">
          <w:rPr>
            <w:rStyle w:val="Hyperlink"/>
            <w:noProof/>
          </w:rPr>
          <w:t>Motivarea Curții</w:t>
        </w:r>
        <w:r>
          <w:rPr>
            <w:noProof/>
            <w:webHidden/>
          </w:rPr>
          <w:tab/>
        </w:r>
        <w:r>
          <w:rPr>
            <w:noProof/>
            <w:webHidden/>
          </w:rPr>
          <w:fldChar w:fldCharType="begin"/>
        </w:r>
        <w:r>
          <w:rPr>
            <w:noProof/>
            <w:webHidden/>
          </w:rPr>
          <w:instrText xml:space="preserve"> PAGEREF _Toc199273553 \h </w:instrText>
        </w:r>
        <w:r>
          <w:rPr>
            <w:noProof/>
            <w:webHidden/>
          </w:rPr>
        </w:r>
        <w:r>
          <w:rPr>
            <w:noProof/>
            <w:webHidden/>
          </w:rPr>
          <w:fldChar w:fldCharType="separate"/>
        </w:r>
        <w:r>
          <w:rPr>
            <w:noProof/>
            <w:webHidden/>
          </w:rPr>
          <w:t>183</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54" w:history="1">
        <w:r w:rsidRPr="00CA255A">
          <w:rPr>
            <w:rStyle w:val="Hyperlink"/>
            <w:noProof/>
          </w:rPr>
          <w:t>1.</w:t>
        </w:r>
        <w:r>
          <w:rPr>
            <w:rFonts w:eastAsiaTheme="minorEastAsia"/>
            <w:noProof/>
            <w:sz w:val="22"/>
            <w:szCs w:val="22"/>
            <w:lang w:eastAsia="ro-RO"/>
          </w:rPr>
          <w:tab/>
        </w:r>
        <w:r w:rsidRPr="00CA255A">
          <w:rPr>
            <w:rStyle w:val="Hyperlink"/>
            <w:noProof/>
          </w:rPr>
          <w:t>Observații preliminare</w:t>
        </w:r>
        <w:r>
          <w:rPr>
            <w:noProof/>
            <w:webHidden/>
          </w:rPr>
          <w:tab/>
        </w:r>
        <w:r>
          <w:rPr>
            <w:noProof/>
            <w:webHidden/>
          </w:rPr>
          <w:fldChar w:fldCharType="begin"/>
        </w:r>
        <w:r>
          <w:rPr>
            <w:noProof/>
            <w:webHidden/>
          </w:rPr>
          <w:instrText xml:space="preserve"> PAGEREF _Toc199273554 \h </w:instrText>
        </w:r>
        <w:r>
          <w:rPr>
            <w:noProof/>
            <w:webHidden/>
          </w:rPr>
        </w:r>
        <w:r>
          <w:rPr>
            <w:noProof/>
            <w:webHidden/>
          </w:rPr>
          <w:fldChar w:fldCharType="separate"/>
        </w:r>
        <w:r>
          <w:rPr>
            <w:noProof/>
            <w:webHidden/>
          </w:rPr>
          <w:t>183</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55" w:history="1">
        <w:r w:rsidRPr="00CA255A">
          <w:rPr>
            <w:rStyle w:val="Hyperlink"/>
            <w:noProof/>
          </w:rPr>
          <w:t>2.</w:t>
        </w:r>
        <w:r>
          <w:rPr>
            <w:rFonts w:eastAsiaTheme="minorEastAsia"/>
            <w:noProof/>
            <w:sz w:val="22"/>
            <w:szCs w:val="22"/>
            <w:lang w:eastAsia="ro-RO"/>
          </w:rPr>
          <w:tab/>
        </w:r>
        <w:r w:rsidRPr="00CA255A">
          <w:rPr>
            <w:rStyle w:val="Hyperlink"/>
            <w:noProof/>
          </w:rPr>
          <w:t>Considerații generale privind litigiile referitoare la schimbările climatice</w:t>
        </w:r>
        <w:r>
          <w:rPr>
            <w:noProof/>
            <w:webHidden/>
          </w:rPr>
          <w:tab/>
        </w:r>
        <w:r>
          <w:rPr>
            <w:noProof/>
            <w:webHidden/>
          </w:rPr>
          <w:fldChar w:fldCharType="begin"/>
        </w:r>
        <w:r>
          <w:rPr>
            <w:noProof/>
            <w:webHidden/>
          </w:rPr>
          <w:instrText xml:space="preserve"> PAGEREF _Toc199273555 \h </w:instrText>
        </w:r>
        <w:r>
          <w:rPr>
            <w:noProof/>
            <w:webHidden/>
          </w:rPr>
        </w:r>
        <w:r>
          <w:rPr>
            <w:noProof/>
            <w:webHidden/>
          </w:rPr>
          <w:fldChar w:fldCharType="separate"/>
        </w:r>
        <w:r>
          <w:rPr>
            <w:noProof/>
            <w:webHidden/>
          </w:rPr>
          <w:t>187</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56" w:history="1">
        <w:r w:rsidRPr="00CA255A">
          <w:rPr>
            <w:rStyle w:val="Hyperlink"/>
            <w:noProof/>
          </w:rPr>
          <w:t>a)</w:t>
        </w:r>
        <w:r>
          <w:rPr>
            <w:rFonts w:eastAsiaTheme="minorEastAsia"/>
            <w:noProof/>
            <w:sz w:val="22"/>
            <w:szCs w:val="22"/>
            <w:lang w:eastAsia="ro-RO"/>
          </w:rPr>
          <w:tab/>
        </w:r>
        <w:r w:rsidRPr="00CA255A">
          <w:rPr>
            <w:rStyle w:val="Hyperlink"/>
            <w:noProof/>
          </w:rPr>
          <w:t>Aspecte legate de cauzalitate</w:t>
        </w:r>
        <w:r>
          <w:rPr>
            <w:noProof/>
            <w:webHidden/>
          </w:rPr>
          <w:tab/>
        </w:r>
        <w:r>
          <w:rPr>
            <w:noProof/>
            <w:webHidden/>
          </w:rPr>
          <w:fldChar w:fldCharType="begin"/>
        </w:r>
        <w:r>
          <w:rPr>
            <w:noProof/>
            <w:webHidden/>
          </w:rPr>
          <w:instrText xml:space="preserve"> PAGEREF _Toc199273556 \h </w:instrText>
        </w:r>
        <w:r>
          <w:rPr>
            <w:noProof/>
            <w:webHidden/>
          </w:rPr>
        </w:r>
        <w:r>
          <w:rPr>
            <w:noProof/>
            <w:webHidden/>
          </w:rPr>
          <w:fldChar w:fldCharType="separate"/>
        </w:r>
        <w:r>
          <w:rPr>
            <w:noProof/>
            <w:webHidden/>
          </w:rPr>
          <w:t>187</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57" w:history="1">
        <w:r w:rsidRPr="00CA255A">
          <w:rPr>
            <w:rStyle w:val="Hyperlink"/>
            <w:noProof/>
          </w:rPr>
          <w:t>b)</w:t>
        </w:r>
        <w:r>
          <w:rPr>
            <w:rFonts w:eastAsiaTheme="minorEastAsia"/>
            <w:noProof/>
            <w:sz w:val="22"/>
            <w:szCs w:val="22"/>
            <w:lang w:eastAsia="ro-RO"/>
          </w:rPr>
          <w:tab/>
        </w:r>
        <w:r w:rsidRPr="00CA255A">
          <w:rPr>
            <w:rStyle w:val="Hyperlink"/>
            <w:noProof/>
          </w:rPr>
          <w:t>Aspecte legate de probe</w:t>
        </w:r>
        <w:r>
          <w:rPr>
            <w:noProof/>
            <w:webHidden/>
          </w:rPr>
          <w:tab/>
        </w:r>
        <w:r>
          <w:rPr>
            <w:noProof/>
            <w:webHidden/>
          </w:rPr>
          <w:fldChar w:fldCharType="begin"/>
        </w:r>
        <w:r>
          <w:rPr>
            <w:noProof/>
            <w:webHidden/>
          </w:rPr>
          <w:instrText xml:space="preserve"> PAGEREF _Toc199273557 \h </w:instrText>
        </w:r>
        <w:r>
          <w:rPr>
            <w:noProof/>
            <w:webHidden/>
          </w:rPr>
        </w:r>
        <w:r>
          <w:rPr>
            <w:noProof/>
            <w:webHidden/>
          </w:rPr>
          <w:fldChar w:fldCharType="separate"/>
        </w:r>
        <w:r>
          <w:rPr>
            <w:noProof/>
            <w:webHidden/>
          </w:rPr>
          <w:t>188</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58" w:history="1">
        <w:r w:rsidRPr="00CA255A">
          <w:rPr>
            <w:rStyle w:val="Hyperlink"/>
            <w:noProof/>
          </w:rPr>
          <w:t>c)</w:t>
        </w:r>
        <w:r>
          <w:rPr>
            <w:rFonts w:eastAsiaTheme="minorEastAsia"/>
            <w:noProof/>
            <w:sz w:val="22"/>
            <w:szCs w:val="22"/>
            <w:lang w:eastAsia="ro-RO"/>
          </w:rPr>
          <w:tab/>
        </w:r>
        <w:r w:rsidRPr="00CA255A">
          <w:rPr>
            <w:rStyle w:val="Hyperlink"/>
            <w:noProof/>
          </w:rPr>
          <w:t>Efectele schimbărilor climatice asupra exercitării drepturilor protejate de Convenție</w:t>
        </w:r>
        <w:r>
          <w:rPr>
            <w:noProof/>
            <w:webHidden/>
          </w:rPr>
          <w:tab/>
        </w:r>
        <w:r>
          <w:rPr>
            <w:noProof/>
            <w:webHidden/>
          </w:rPr>
          <w:fldChar w:fldCharType="begin"/>
        </w:r>
        <w:r>
          <w:rPr>
            <w:noProof/>
            <w:webHidden/>
          </w:rPr>
          <w:instrText xml:space="preserve"> PAGEREF _Toc199273558 \h </w:instrText>
        </w:r>
        <w:r>
          <w:rPr>
            <w:noProof/>
            <w:webHidden/>
          </w:rPr>
        </w:r>
        <w:r>
          <w:rPr>
            <w:noProof/>
            <w:webHidden/>
          </w:rPr>
          <w:fldChar w:fldCharType="separate"/>
        </w:r>
        <w:r>
          <w:rPr>
            <w:noProof/>
            <w:webHidden/>
          </w:rPr>
          <w:t>190</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59" w:history="1">
        <w:r w:rsidRPr="00CA255A">
          <w:rPr>
            <w:rStyle w:val="Hyperlink"/>
            <w:noProof/>
          </w:rPr>
          <w:t>d)</w:t>
        </w:r>
        <w:r>
          <w:rPr>
            <w:rFonts w:eastAsiaTheme="minorEastAsia"/>
            <w:noProof/>
            <w:sz w:val="22"/>
            <w:szCs w:val="22"/>
            <w:lang w:eastAsia="ro-RO"/>
          </w:rPr>
          <w:tab/>
        </w:r>
        <w:r w:rsidRPr="00CA255A">
          <w:rPr>
            <w:rStyle w:val="Hyperlink"/>
            <w:noProof/>
          </w:rPr>
          <w:t>Cu privire la problema legăturii de cauzalitate și a obligațiilor pozitive în contextul schimbărilor climatice</w:t>
        </w:r>
        <w:r>
          <w:rPr>
            <w:noProof/>
            <w:webHidden/>
          </w:rPr>
          <w:tab/>
        </w:r>
        <w:r>
          <w:rPr>
            <w:noProof/>
            <w:webHidden/>
          </w:rPr>
          <w:fldChar w:fldCharType="begin"/>
        </w:r>
        <w:r>
          <w:rPr>
            <w:noProof/>
            <w:webHidden/>
          </w:rPr>
          <w:instrText xml:space="preserve"> PAGEREF _Toc199273559 \h </w:instrText>
        </w:r>
        <w:r>
          <w:rPr>
            <w:noProof/>
            <w:webHidden/>
          </w:rPr>
        </w:r>
        <w:r>
          <w:rPr>
            <w:noProof/>
            <w:webHidden/>
          </w:rPr>
          <w:fldChar w:fldCharType="separate"/>
        </w:r>
        <w:r>
          <w:rPr>
            <w:noProof/>
            <w:webHidden/>
          </w:rPr>
          <w:t>191</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60" w:history="1">
        <w:r w:rsidRPr="00CA255A">
          <w:rPr>
            <w:rStyle w:val="Hyperlink"/>
            <w:noProof/>
          </w:rPr>
          <w:t>e)</w:t>
        </w:r>
        <w:r>
          <w:rPr>
            <w:rFonts w:eastAsiaTheme="minorEastAsia"/>
            <w:noProof/>
            <w:sz w:val="22"/>
            <w:szCs w:val="22"/>
            <w:lang w:eastAsia="ro-RO"/>
          </w:rPr>
          <w:tab/>
        </w:r>
        <w:r w:rsidRPr="00CA255A">
          <w:rPr>
            <w:rStyle w:val="Hyperlink"/>
            <w:noProof/>
          </w:rPr>
          <w:t>Cu privire la aspectul legat de partea de responsabilitate a statului</w:t>
        </w:r>
        <w:r>
          <w:rPr>
            <w:noProof/>
            <w:webHidden/>
          </w:rPr>
          <w:tab/>
        </w:r>
        <w:r>
          <w:rPr>
            <w:noProof/>
            <w:webHidden/>
          </w:rPr>
          <w:fldChar w:fldCharType="begin"/>
        </w:r>
        <w:r>
          <w:rPr>
            <w:noProof/>
            <w:webHidden/>
          </w:rPr>
          <w:instrText xml:space="preserve"> PAGEREF _Toc199273560 \h </w:instrText>
        </w:r>
        <w:r>
          <w:rPr>
            <w:noProof/>
            <w:webHidden/>
          </w:rPr>
        </w:r>
        <w:r>
          <w:rPr>
            <w:noProof/>
            <w:webHidden/>
          </w:rPr>
          <w:fldChar w:fldCharType="separate"/>
        </w:r>
        <w:r>
          <w:rPr>
            <w:noProof/>
            <w:webHidden/>
          </w:rPr>
          <w:t>193</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61" w:history="1">
        <w:r w:rsidRPr="00CA255A">
          <w:rPr>
            <w:rStyle w:val="Hyperlink"/>
            <w:noProof/>
          </w:rPr>
          <w:t>f)</w:t>
        </w:r>
        <w:r>
          <w:rPr>
            <w:rFonts w:eastAsiaTheme="minorEastAsia"/>
            <w:noProof/>
            <w:sz w:val="22"/>
            <w:szCs w:val="22"/>
            <w:lang w:eastAsia="ro-RO"/>
          </w:rPr>
          <w:tab/>
        </w:r>
        <w:r w:rsidRPr="00CA255A">
          <w:rPr>
            <w:rStyle w:val="Hyperlink"/>
            <w:noProof/>
          </w:rPr>
          <w:t>Cu privire la întinderea aprecierii Curții</w:t>
        </w:r>
        <w:r>
          <w:rPr>
            <w:noProof/>
            <w:webHidden/>
          </w:rPr>
          <w:tab/>
        </w:r>
        <w:r>
          <w:rPr>
            <w:noProof/>
            <w:webHidden/>
          </w:rPr>
          <w:fldChar w:fldCharType="begin"/>
        </w:r>
        <w:r>
          <w:rPr>
            <w:noProof/>
            <w:webHidden/>
          </w:rPr>
          <w:instrText xml:space="preserve"> PAGEREF _Toc199273561 \h </w:instrText>
        </w:r>
        <w:r>
          <w:rPr>
            <w:noProof/>
            <w:webHidden/>
          </w:rPr>
        </w:r>
        <w:r>
          <w:rPr>
            <w:noProof/>
            <w:webHidden/>
          </w:rPr>
          <w:fldChar w:fldCharType="separate"/>
        </w:r>
        <w:r>
          <w:rPr>
            <w:noProof/>
            <w:webHidden/>
          </w:rPr>
          <w:t>194</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62" w:history="1">
        <w:r w:rsidRPr="00CA255A">
          <w:rPr>
            <w:rStyle w:val="Hyperlink"/>
            <w:noProof/>
          </w:rPr>
          <w:t>g)</w:t>
        </w:r>
        <w:r>
          <w:rPr>
            <w:rFonts w:eastAsiaTheme="minorEastAsia"/>
            <w:noProof/>
            <w:sz w:val="22"/>
            <w:szCs w:val="22"/>
            <w:lang w:eastAsia="ro-RO"/>
          </w:rPr>
          <w:tab/>
        </w:r>
        <w:r w:rsidRPr="00CA255A">
          <w:rPr>
            <w:rStyle w:val="Hyperlink"/>
            <w:noProof/>
          </w:rPr>
          <w:t>Cu privire la principiile relevante de interpretare a Convenției</w:t>
        </w:r>
        <w:r>
          <w:rPr>
            <w:noProof/>
            <w:webHidden/>
          </w:rPr>
          <w:tab/>
        </w:r>
        <w:r>
          <w:rPr>
            <w:noProof/>
            <w:webHidden/>
          </w:rPr>
          <w:fldChar w:fldCharType="begin"/>
        </w:r>
        <w:r>
          <w:rPr>
            <w:noProof/>
            <w:webHidden/>
          </w:rPr>
          <w:instrText xml:space="preserve"> PAGEREF _Toc199273562 \h </w:instrText>
        </w:r>
        <w:r>
          <w:rPr>
            <w:noProof/>
            <w:webHidden/>
          </w:rPr>
        </w:r>
        <w:r>
          <w:rPr>
            <w:noProof/>
            <w:webHidden/>
          </w:rPr>
          <w:fldChar w:fldCharType="separate"/>
        </w:r>
        <w:r>
          <w:rPr>
            <w:noProof/>
            <w:webHidden/>
          </w:rPr>
          <w:t>196</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63" w:history="1">
        <w:r w:rsidRPr="00CA255A">
          <w:rPr>
            <w:rStyle w:val="Hyperlink"/>
            <w:noProof/>
          </w:rPr>
          <w:t>3.</w:t>
        </w:r>
        <w:r>
          <w:rPr>
            <w:rFonts w:eastAsiaTheme="minorEastAsia"/>
            <w:noProof/>
            <w:sz w:val="22"/>
            <w:szCs w:val="22"/>
            <w:lang w:eastAsia="ro-RO"/>
          </w:rPr>
          <w:tab/>
        </w:r>
        <w:r w:rsidRPr="00CA255A">
          <w:rPr>
            <w:rStyle w:val="Hyperlink"/>
            <w:noProof/>
          </w:rPr>
          <w:t>Cu privire la admisibilitate</w:t>
        </w:r>
        <w:r>
          <w:rPr>
            <w:noProof/>
            <w:webHidden/>
          </w:rPr>
          <w:tab/>
        </w:r>
        <w:r>
          <w:rPr>
            <w:noProof/>
            <w:webHidden/>
          </w:rPr>
          <w:fldChar w:fldCharType="begin"/>
        </w:r>
        <w:r>
          <w:rPr>
            <w:noProof/>
            <w:webHidden/>
          </w:rPr>
          <w:instrText xml:space="preserve"> PAGEREF _Toc199273563 \h </w:instrText>
        </w:r>
        <w:r>
          <w:rPr>
            <w:noProof/>
            <w:webHidden/>
          </w:rPr>
        </w:r>
        <w:r>
          <w:rPr>
            <w:noProof/>
            <w:webHidden/>
          </w:rPr>
          <w:fldChar w:fldCharType="separate"/>
        </w:r>
        <w:r>
          <w:rPr>
            <w:noProof/>
            <w:webHidden/>
          </w:rPr>
          <w:t>198</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64" w:history="1">
        <w:r w:rsidRPr="00CA255A">
          <w:rPr>
            <w:rStyle w:val="Hyperlink"/>
            <w:noProof/>
          </w:rPr>
          <w:t>a)</w:t>
        </w:r>
        <w:r>
          <w:rPr>
            <w:rFonts w:eastAsiaTheme="minorEastAsia"/>
            <w:noProof/>
            <w:sz w:val="22"/>
            <w:szCs w:val="22"/>
            <w:lang w:eastAsia="ro-RO"/>
          </w:rPr>
          <w:tab/>
        </w:r>
        <w:r w:rsidRPr="00CA255A">
          <w:rPr>
            <w:rStyle w:val="Hyperlink"/>
            <w:noProof/>
          </w:rPr>
          <w:t>Calitatea de victimă/calitatea procesuală (reprezentare)</w:t>
        </w:r>
        <w:r>
          <w:rPr>
            <w:noProof/>
            <w:webHidden/>
          </w:rPr>
          <w:tab/>
        </w:r>
        <w:r>
          <w:rPr>
            <w:noProof/>
            <w:webHidden/>
          </w:rPr>
          <w:fldChar w:fldCharType="begin"/>
        </w:r>
        <w:r>
          <w:rPr>
            <w:noProof/>
            <w:webHidden/>
          </w:rPr>
          <w:instrText xml:space="preserve"> PAGEREF _Toc199273564 \h </w:instrText>
        </w:r>
        <w:r>
          <w:rPr>
            <w:noProof/>
            <w:webHidden/>
          </w:rPr>
        </w:r>
        <w:r>
          <w:rPr>
            <w:noProof/>
            <w:webHidden/>
          </w:rPr>
          <w:fldChar w:fldCharType="separate"/>
        </w:r>
        <w:r>
          <w:rPr>
            <w:noProof/>
            <w:webHidden/>
          </w:rPr>
          <w:t>198</w:t>
        </w:r>
        <w:r>
          <w:rPr>
            <w:noProof/>
            <w:webHidden/>
          </w:rPr>
          <w:fldChar w:fldCharType="end"/>
        </w:r>
      </w:hyperlink>
    </w:p>
    <w:p w:rsidR="00690E9D" w:rsidRDefault="00690E9D">
      <w:pPr>
        <w:pStyle w:val="TOC6"/>
        <w:tabs>
          <w:tab w:val="left" w:pos="2041"/>
        </w:tabs>
        <w:rPr>
          <w:rFonts w:eastAsiaTheme="minorEastAsia"/>
          <w:noProof/>
          <w:sz w:val="22"/>
          <w:szCs w:val="22"/>
          <w:lang w:eastAsia="ro-RO"/>
        </w:rPr>
      </w:pPr>
      <w:hyperlink w:anchor="_Toc199273565" w:history="1">
        <w:r w:rsidRPr="00CA255A">
          <w:rPr>
            <w:rStyle w:val="Hyperlink"/>
            <w:noProof/>
            <w:lang w:bidi="en-US"/>
          </w:rPr>
          <w:t>i.</w:t>
        </w:r>
        <w:r>
          <w:rPr>
            <w:rFonts w:eastAsiaTheme="minorEastAsia"/>
            <w:noProof/>
            <w:sz w:val="22"/>
            <w:szCs w:val="22"/>
            <w:lang w:eastAsia="ro-RO"/>
          </w:rPr>
          <w:tab/>
        </w:r>
        <w:r w:rsidRPr="00CA255A">
          <w:rPr>
            <w:rStyle w:val="Hyperlink"/>
            <w:noProof/>
            <w:lang w:bidi="en-US"/>
          </w:rPr>
          <w:t>Principii generale</w:t>
        </w:r>
        <w:r>
          <w:rPr>
            <w:noProof/>
            <w:webHidden/>
          </w:rPr>
          <w:tab/>
        </w:r>
        <w:r>
          <w:rPr>
            <w:noProof/>
            <w:webHidden/>
          </w:rPr>
          <w:fldChar w:fldCharType="begin"/>
        </w:r>
        <w:r>
          <w:rPr>
            <w:noProof/>
            <w:webHidden/>
          </w:rPr>
          <w:instrText xml:space="preserve"> PAGEREF _Toc199273565 \h </w:instrText>
        </w:r>
        <w:r>
          <w:rPr>
            <w:noProof/>
            <w:webHidden/>
          </w:rPr>
        </w:r>
        <w:r>
          <w:rPr>
            <w:noProof/>
            <w:webHidden/>
          </w:rPr>
          <w:fldChar w:fldCharType="separate"/>
        </w:r>
        <w:r>
          <w:rPr>
            <w:noProof/>
            <w:webHidden/>
          </w:rPr>
          <w:t>198</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566" w:history="1">
        <w:r w:rsidRPr="00CA255A">
          <w:rPr>
            <w:rStyle w:val="Hyperlink"/>
            <w:noProof/>
            <w:lang w:bidi="en-US"/>
          </w:rPr>
          <w:t>ii.</w:t>
        </w:r>
        <w:r>
          <w:rPr>
            <w:rFonts w:eastAsiaTheme="minorEastAsia"/>
            <w:noProof/>
            <w:sz w:val="22"/>
            <w:szCs w:val="22"/>
            <w:lang w:eastAsia="ro-RO"/>
          </w:rPr>
          <w:tab/>
        </w:r>
        <w:r w:rsidRPr="00CA255A">
          <w:rPr>
            <w:rStyle w:val="Hyperlink"/>
            <w:noProof/>
            <w:lang w:bidi="en-US"/>
          </w:rPr>
          <w:t>Calitatea de victimă/calitatea procesuală în contextul schimbărilor climatice</w:t>
        </w:r>
        <w:r>
          <w:rPr>
            <w:noProof/>
            <w:webHidden/>
          </w:rPr>
          <w:tab/>
        </w:r>
        <w:r>
          <w:rPr>
            <w:noProof/>
            <w:webHidden/>
          </w:rPr>
          <w:fldChar w:fldCharType="begin"/>
        </w:r>
        <w:r>
          <w:rPr>
            <w:noProof/>
            <w:webHidden/>
          </w:rPr>
          <w:instrText xml:space="preserve"> PAGEREF _Toc199273566 \h </w:instrText>
        </w:r>
        <w:r>
          <w:rPr>
            <w:noProof/>
            <w:webHidden/>
          </w:rPr>
        </w:r>
        <w:r>
          <w:rPr>
            <w:noProof/>
            <w:webHidden/>
          </w:rPr>
          <w:fldChar w:fldCharType="separate"/>
        </w:r>
        <w:r>
          <w:rPr>
            <w:noProof/>
            <w:webHidden/>
          </w:rPr>
          <w:t>203</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567" w:history="1">
        <w:r w:rsidRPr="00CA255A">
          <w:rPr>
            <w:rStyle w:val="Hyperlink"/>
            <w:noProof/>
            <w:lang w:bidi="en-US"/>
          </w:rPr>
          <w:t>iii.</w:t>
        </w:r>
        <w:r>
          <w:rPr>
            <w:rFonts w:eastAsiaTheme="minorEastAsia"/>
            <w:noProof/>
            <w:sz w:val="22"/>
            <w:szCs w:val="22"/>
            <w:lang w:eastAsia="ro-RO"/>
          </w:rPr>
          <w:tab/>
        </w:r>
        <w:r w:rsidRPr="00CA255A">
          <w:rPr>
            <w:rStyle w:val="Hyperlink"/>
            <w:noProof/>
            <w:lang w:bidi="en-US"/>
          </w:rPr>
          <w:t>Aplicarea acestor principii în prezenta cauză</w:t>
        </w:r>
        <w:r>
          <w:rPr>
            <w:noProof/>
            <w:webHidden/>
          </w:rPr>
          <w:tab/>
        </w:r>
        <w:r>
          <w:rPr>
            <w:noProof/>
            <w:webHidden/>
          </w:rPr>
          <w:fldChar w:fldCharType="begin"/>
        </w:r>
        <w:r>
          <w:rPr>
            <w:noProof/>
            <w:webHidden/>
          </w:rPr>
          <w:instrText xml:space="preserve"> PAGEREF _Toc199273567 \h </w:instrText>
        </w:r>
        <w:r>
          <w:rPr>
            <w:noProof/>
            <w:webHidden/>
          </w:rPr>
        </w:r>
        <w:r>
          <w:rPr>
            <w:noProof/>
            <w:webHidden/>
          </w:rPr>
          <w:fldChar w:fldCharType="separate"/>
        </w:r>
        <w:r>
          <w:rPr>
            <w:noProof/>
            <w:webHidden/>
          </w:rPr>
          <w:t>211</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68" w:history="1">
        <w:r w:rsidRPr="00CA255A">
          <w:rPr>
            <w:rStyle w:val="Hyperlink"/>
            <w:noProof/>
          </w:rPr>
          <w:t>b)</w:t>
        </w:r>
        <w:r>
          <w:rPr>
            <w:rFonts w:eastAsiaTheme="minorEastAsia"/>
            <w:noProof/>
            <w:sz w:val="22"/>
            <w:szCs w:val="22"/>
            <w:lang w:eastAsia="ro-RO"/>
          </w:rPr>
          <w:tab/>
        </w:r>
        <w:r w:rsidRPr="00CA255A">
          <w:rPr>
            <w:rStyle w:val="Hyperlink"/>
            <w:noProof/>
          </w:rPr>
          <w:t>Cu privire la aplicabilitatea dispozițiilor relevante ale Convenției</w:t>
        </w:r>
        <w:r>
          <w:rPr>
            <w:noProof/>
            <w:webHidden/>
          </w:rPr>
          <w:tab/>
        </w:r>
        <w:r>
          <w:rPr>
            <w:noProof/>
            <w:webHidden/>
          </w:rPr>
          <w:fldChar w:fldCharType="begin"/>
        </w:r>
        <w:r>
          <w:rPr>
            <w:noProof/>
            <w:webHidden/>
          </w:rPr>
          <w:instrText xml:space="preserve"> PAGEREF _Toc199273568 \h </w:instrText>
        </w:r>
        <w:r>
          <w:rPr>
            <w:noProof/>
            <w:webHidden/>
          </w:rPr>
        </w:r>
        <w:r>
          <w:rPr>
            <w:noProof/>
            <w:webHidden/>
          </w:rPr>
          <w:fldChar w:fldCharType="separate"/>
        </w:r>
        <w:r>
          <w:rPr>
            <w:noProof/>
            <w:webHidden/>
          </w:rPr>
          <w:t>211</w:t>
        </w:r>
        <w:r>
          <w:rPr>
            <w:noProof/>
            <w:webHidden/>
          </w:rPr>
          <w:fldChar w:fldCharType="end"/>
        </w:r>
      </w:hyperlink>
    </w:p>
    <w:p w:rsidR="00690E9D" w:rsidRDefault="00690E9D">
      <w:pPr>
        <w:pStyle w:val="TOC6"/>
        <w:tabs>
          <w:tab w:val="left" w:pos="2041"/>
        </w:tabs>
        <w:rPr>
          <w:rFonts w:eastAsiaTheme="minorEastAsia"/>
          <w:noProof/>
          <w:sz w:val="22"/>
          <w:szCs w:val="22"/>
          <w:lang w:eastAsia="ro-RO"/>
        </w:rPr>
      </w:pPr>
      <w:hyperlink w:anchor="_Toc199273569" w:history="1">
        <w:r w:rsidRPr="00CA255A">
          <w:rPr>
            <w:rStyle w:val="Hyperlink"/>
            <w:noProof/>
            <w:lang w:bidi="en-US"/>
          </w:rPr>
          <w:t>i.</w:t>
        </w:r>
        <w:r>
          <w:rPr>
            <w:rFonts w:eastAsiaTheme="minorEastAsia"/>
            <w:noProof/>
            <w:sz w:val="22"/>
            <w:szCs w:val="22"/>
            <w:lang w:eastAsia="ro-RO"/>
          </w:rPr>
          <w:tab/>
        </w:r>
        <w:r w:rsidRPr="00CA255A">
          <w:rPr>
            <w:rStyle w:val="Hyperlink"/>
            <w:noProof/>
            <w:lang w:bidi="en-US"/>
          </w:rPr>
          <w:t>Principii generale</w:t>
        </w:r>
        <w:r>
          <w:rPr>
            <w:noProof/>
            <w:webHidden/>
          </w:rPr>
          <w:tab/>
        </w:r>
        <w:r>
          <w:rPr>
            <w:noProof/>
            <w:webHidden/>
          </w:rPr>
          <w:fldChar w:fldCharType="begin"/>
        </w:r>
        <w:r>
          <w:rPr>
            <w:noProof/>
            <w:webHidden/>
          </w:rPr>
          <w:instrText xml:space="preserve"> PAGEREF _Toc199273569 \h </w:instrText>
        </w:r>
        <w:r>
          <w:rPr>
            <w:noProof/>
            <w:webHidden/>
          </w:rPr>
        </w:r>
        <w:r>
          <w:rPr>
            <w:noProof/>
            <w:webHidden/>
          </w:rPr>
          <w:fldChar w:fldCharType="separate"/>
        </w:r>
        <w:r>
          <w:rPr>
            <w:noProof/>
            <w:webHidden/>
          </w:rPr>
          <w:t>212</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570" w:history="1">
        <w:r w:rsidRPr="00CA255A">
          <w:rPr>
            <w:rStyle w:val="Hyperlink"/>
            <w:noProof/>
            <w:lang w:bidi="en-US"/>
          </w:rPr>
          <w:t>ii.</w:t>
        </w:r>
        <w:r>
          <w:rPr>
            <w:rFonts w:eastAsiaTheme="minorEastAsia"/>
            <w:noProof/>
            <w:sz w:val="22"/>
            <w:szCs w:val="22"/>
            <w:lang w:eastAsia="ro-RO"/>
          </w:rPr>
          <w:tab/>
        </w:r>
        <w:r w:rsidRPr="00CA255A">
          <w:rPr>
            <w:rStyle w:val="Hyperlink"/>
            <w:noProof/>
            <w:lang w:bidi="en-US"/>
          </w:rPr>
          <w:t>Aplicarea acestor principii în prezenta cauză</w:t>
        </w:r>
        <w:r>
          <w:rPr>
            <w:noProof/>
            <w:webHidden/>
          </w:rPr>
          <w:tab/>
        </w:r>
        <w:r>
          <w:rPr>
            <w:noProof/>
            <w:webHidden/>
          </w:rPr>
          <w:fldChar w:fldCharType="begin"/>
        </w:r>
        <w:r>
          <w:rPr>
            <w:noProof/>
            <w:webHidden/>
          </w:rPr>
          <w:instrText xml:space="preserve"> PAGEREF _Toc199273570 \h </w:instrText>
        </w:r>
        <w:r>
          <w:rPr>
            <w:noProof/>
            <w:webHidden/>
          </w:rPr>
        </w:r>
        <w:r>
          <w:rPr>
            <w:noProof/>
            <w:webHidden/>
          </w:rPr>
          <w:fldChar w:fldCharType="separate"/>
        </w:r>
        <w:r>
          <w:rPr>
            <w:noProof/>
            <w:webHidden/>
          </w:rPr>
          <w:t>216</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71" w:history="1">
        <w:r w:rsidRPr="00CA255A">
          <w:rPr>
            <w:rStyle w:val="Hyperlink"/>
            <w:noProof/>
          </w:rPr>
          <w:t>4.</w:t>
        </w:r>
        <w:r>
          <w:rPr>
            <w:rFonts w:eastAsiaTheme="minorEastAsia"/>
            <w:noProof/>
            <w:sz w:val="22"/>
            <w:szCs w:val="22"/>
            <w:lang w:eastAsia="ro-RO"/>
          </w:rPr>
          <w:tab/>
        </w:r>
        <w:r w:rsidRPr="00CA255A">
          <w:rPr>
            <w:rStyle w:val="Hyperlink"/>
            <w:noProof/>
          </w:rPr>
          <w:t>Cu privire la fond</w:t>
        </w:r>
        <w:r>
          <w:rPr>
            <w:noProof/>
            <w:webHidden/>
          </w:rPr>
          <w:tab/>
        </w:r>
        <w:r>
          <w:rPr>
            <w:noProof/>
            <w:webHidden/>
          </w:rPr>
          <w:fldChar w:fldCharType="begin"/>
        </w:r>
        <w:r>
          <w:rPr>
            <w:noProof/>
            <w:webHidden/>
          </w:rPr>
          <w:instrText xml:space="preserve"> PAGEREF _Toc199273571 \h </w:instrText>
        </w:r>
        <w:r>
          <w:rPr>
            <w:noProof/>
            <w:webHidden/>
          </w:rPr>
        </w:r>
        <w:r>
          <w:rPr>
            <w:noProof/>
            <w:webHidden/>
          </w:rPr>
          <w:fldChar w:fldCharType="separate"/>
        </w:r>
        <w:r>
          <w:rPr>
            <w:noProof/>
            <w:webHidden/>
          </w:rPr>
          <w:t>220</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72" w:history="1">
        <w:r w:rsidRPr="00CA255A">
          <w:rPr>
            <w:rStyle w:val="Hyperlink"/>
            <w:noProof/>
          </w:rPr>
          <w:t>a)</w:t>
        </w:r>
        <w:r>
          <w:rPr>
            <w:rFonts w:eastAsiaTheme="minorEastAsia"/>
            <w:noProof/>
            <w:sz w:val="22"/>
            <w:szCs w:val="22"/>
            <w:lang w:eastAsia="ro-RO"/>
          </w:rPr>
          <w:tab/>
        </w:r>
        <w:r w:rsidRPr="00CA255A">
          <w:rPr>
            <w:rStyle w:val="Hyperlink"/>
            <w:noProof/>
          </w:rPr>
          <w:t>Principii generale</w:t>
        </w:r>
        <w:r>
          <w:rPr>
            <w:noProof/>
            <w:webHidden/>
          </w:rPr>
          <w:tab/>
        </w:r>
        <w:r>
          <w:rPr>
            <w:noProof/>
            <w:webHidden/>
          </w:rPr>
          <w:fldChar w:fldCharType="begin"/>
        </w:r>
        <w:r>
          <w:rPr>
            <w:noProof/>
            <w:webHidden/>
          </w:rPr>
          <w:instrText xml:space="preserve"> PAGEREF _Toc199273572 \h </w:instrText>
        </w:r>
        <w:r>
          <w:rPr>
            <w:noProof/>
            <w:webHidden/>
          </w:rPr>
        </w:r>
        <w:r>
          <w:rPr>
            <w:noProof/>
            <w:webHidden/>
          </w:rPr>
          <w:fldChar w:fldCharType="separate"/>
        </w:r>
        <w:r>
          <w:rPr>
            <w:noProof/>
            <w:webHidden/>
          </w:rPr>
          <w:t>220</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73" w:history="1">
        <w:r w:rsidRPr="00CA255A">
          <w:rPr>
            <w:rStyle w:val="Hyperlink"/>
            <w:noProof/>
          </w:rPr>
          <w:t>b)</w:t>
        </w:r>
        <w:r>
          <w:rPr>
            <w:rFonts w:eastAsiaTheme="minorEastAsia"/>
            <w:noProof/>
            <w:sz w:val="22"/>
            <w:szCs w:val="22"/>
            <w:lang w:eastAsia="ro-RO"/>
          </w:rPr>
          <w:tab/>
        </w:r>
        <w:r w:rsidRPr="00CA255A">
          <w:rPr>
            <w:rStyle w:val="Hyperlink"/>
            <w:noProof/>
          </w:rPr>
          <w:t>Obligațiile pozitive ale statelor în contextul schimbărilor climatice</w:t>
        </w:r>
        <w:r>
          <w:rPr>
            <w:noProof/>
            <w:webHidden/>
          </w:rPr>
          <w:tab/>
        </w:r>
        <w:r>
          <w:rPr>
            <w:noProof/>
            <w:webHidden/>
          </w:rPr>
          <w:fldChar w:fldCharType="begin"/>
        </w:r>
        <w:r>
          <w:rPr>
            <w:noProof/>
            <w:webHidden/>
          </w:rPr>
          <w:instrText xml:space="preserve"> PAGEREF _Toc199273573 \h </w:instrText>
        </w:r>
        <w:r>
          <w:rPr>
            <w:noProof/>
            <w:webHidden/>
          </w:rPr>
        </w:r>
        <w:r>
          <w:rPr>
            <w:noProof/>
            <w:webHidden/>
          </w:rPr>
          <w:fldChar w:fldCharType="separate"/>
        </w:r>
        <w:r>
          <w:rPr>
            <w:noProof/>
            <w:webHidden/>
          </w:rPr>
          <w:t>222</w:t>
        </w:r>
        <w:r>
          <w:rPr>
            <w:noProof/>
            <w:webHidden/>
          </w:rPr>
          <w:fldChar w:fldCharType="end"/>
        </w:r>
      </w:hyperlink>
    </w:p>
    <w:p w:rsidR="00690E9D" w:rsidRDefault="00690E9D">
      <w:pPr>
        <w:pStyle w:val="TOC6"/>
        <w:tabs>
          <w:tab w:val="left" w:pos="2041"/>
        </w:tabs>
        <w:rPr>
          <w:rFonts w:eastAsiaTheme="minorEastAsia"/>
          <w:noProof/>
          <w:sz w:val="22"/>
          <w:szCs w:val="22"/>
          <w:lang w:eastAsia="ro-RO"/>
        </w:rPr>
      </w:pPr>
      <w:hyperlink w:anchor="_Toc199273574" w:history="1">
        <w:r w:rsidRPr="00CA255A">
          <w:rPr>
            <w:rStyle w:val="Hyperlink"/>
            <w:noProof/>
            <w:lang w:bidi="en-US"/>
          </w:rPr>
          <w:t>i.</w:t>
        </w:r>
        <w:r>
          <w:rPr>
            <w:rFonts w:eastAsiaTheme="minorEastAsia"/>
            <w:noProof/>
            <w:sz w:val="22"/>
            <w:szCs w:val="22"/>
            <w:lang w:eastAsia="ro-RO"/>
          </w:rPr>
          <w:tab/>
        </w:r>
        <w:r w:rsidRPr="00CA255A">
          <w:rPr>
            <w:rStyle w:val="Hyperlink"/>
            <w:noProof/>
            <w:lang w:bidi="en-US"/>
          </w:rPr>
          <w:t>Marja de apreciere a statelor</w:t>
        </w:r>
        <w:r>
          <w:rPr>
            <w:noProof/>
            <w:webHidden/>
          </w:rPr>
          <w:tab/>
        </w:r>
        <w:r>
          <w:rPr>
            <w:noProof/>
            <w:webHidden/>
          </w:rPr>
          <w:fldChar w:fldCharType="begin"/>
        </w:r>
        <w:r>
          <w:rPr>
            <w:noProof/>
            <w:webHidden/>
          </w:rPr>
          <w:instrText xml:space="preserve"> PAGEREF _Toc199273574 \h </w:instrText>
        </w:r>
        <w:r>
          <w:rPr>
            <w:noProof/>
            <w:webHidden/>
          </w:rPr>
        </w:r>
        <w:r>
          <w:rPr>
            <w:noProof/>
            <w:webHidden/>
          </w:rPr>
          <w:fldChar w:fldCharType="separate"/>
        </w:r>
        <w:r>
          <w:rPr>
            <w:noProof/>
            <w:webHidden/>
          </w:rPr>
          <w:t>222</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575" w:history="1">
        <w:r w:rsidRPr="00CA255A">
          <w:rPr>
            <w:rStyle w:val="Hyperlink"/>
            <w:noProof/>
            <w:lang w:bidi="en-US"/>
          </w:rPr>
          <w:t>ii.</w:t>
        </w:r>
        <w:r>
          <w:rPr>
            <w:rFonts w:eastAsiaTheme="minorEastAsia"/>
            <w:noProof/>
            <w:sz w:val="22"/>
            <w:szCs w:val="22"/>
            <w:lang w:eastAsia="ro-RO"/>
          </w:rPr>
          <w:tab/>
        </w:r>
        <w:r w:rsidRPr="00CA255A">
          <w:rPr>
            <w:rStyle w:val="Hyperlink"/>
            <w:noProof/>
            <w:lang w:bidi="en-US"/>
          </w:rPr>
          <w:t>Conținutul obligațiilor pozitive ale statelor</w:t>
        </w:r>
        <w:r>
          <w:rPr>
            <w:noProof/>
            <w:webHidden/>
          </w:rPr>
          <w:tab/>
        </w:r>
        <w:r>
          <w:rPr>
            <w:noProof/>
            <w:webHidden/>
          </w:rPr>
          <w:fldChar w:fldCharType="begin"/>
        </w:r>
        <w:r>
          <w:rPr>
            <w:noProof/>
            <w:webHidden/>
          </w:rPr>
          <w:instrText xml:space="preserve"> PAGEREF _Toc199273575 \h </w:instrText>
        </w:r>
        <w:r>
          <w:rPr>
            <w:noProof/>
            <w:webHidden/>
          </w:rPr>
        </w:r>
        <w:r>
          <w:rPr>
            <w:noProof/>
            <w:webHidden/>
          </w:rPr>
          <w:fldChar w:fldCharType="separate"/>
        </w:r>
        <w:r>
          <w:rPr>
            <w:noProof/>
            <w:webHidden/>
          </w:rPr>
          <w:t>224</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76" w:history="1">
        <w:r w:rsidRPr="00CA255A">
          <w:rPr>
            <w:rStyle w:val="Hyperlink"/>
            <w:noProof/>
          </w:rPr>
          <w:t>c)</w:t>
        </w:r>
        <w:r>
          <w:rPr>
            <w:rFonts w:eastAsiaTheme="minorEastAsia"/>
            <w:noProof/>
            <w:sz w:val="22"/>
            <w:szCs w:val="22"/>
            <w:lang w:eastAsia="ro-RO"/>
          </w:rPr>
          <w:tab/>
        </w:r>
        <w:r w:rsidRPr="00CA255A">
          <w:rPr>
            <w:rStyle w:val="Hyperlink"/>
            <w:noProof/>
          </w:rPr>
          <w:t>Aplicarea acestor principii în prezenta cauză</w:t>
        </w:r>
        <w:r>
          <w:rPr>
            <w:noProof/>
            <w:webHidden/>
          </w:rPr>
          <w:tab/>
        </w:r>
        <w:r>
          <w:rPr>
            <w:noProof/>
            <w:webHidden/>
          </w:rPr>
          <w:fldChar w:fldCharType="begin"/>
        </w:r>
        <w:r>
          <w:rPr>
            <w:noProof/>
            <w:webHidden/>
          </w:rPr>
          <w:instrText xml:space="preserve"> PAGEREF _Toc199273576 \h </w:instrText>
        </w:r>
        <w:r>
          <w:rPr>
            <w:noProof/>
            <w:webHidden/>
          </w:rPr>
        </w:r>
        <w:r>
          <w:rPr>
            <w:noProof/>
            <w:webHidden/>
          </w:rPr>
          <w:fldChar w:fldCharType="separate"/>
        </w:r>
        <w:r>
          <w:rPr>
            <w:noProof/>
            <w:webHidden/>
          </w:rPr>
          <w:t>227</w:t>
        </w:r>
        <w:r>
          <w:rPr>
            <w:noProof/>
            <w:webHidden/>
          </w:rPr>
          <w:fldChar w:fldCharType="end"/>
        </w:r>
      </w:hyperlink>
    </w:p>
    <w:p w:rsidR="00690E9D" w:rsidRDefault="00690E9D">
      <w:pPr>
        <w:pStyle w:val="TOC6"/>
        <w:tabs>
          <w:tab w:val="left" w:pos="2041"/>
        </w:tabs>
        <w:rPr>
          <w:rFonts w:eastAsiaTheme="minorEastAsia"/>
          <w:noProof/>
          <w:sz w:val="22"/>
          <w:szCs w:val="22"/>
          <w:lang w:eastAsia="ro-RO"/>
        </w:rPr>
      </w:pPr>
      <w:hyperlink w:anchor="_Toc199273577" w:history="1">
        <w:r w:rsidRPr="00CA255A">
          <w:rPr>
            <w:rStyle w:val="Hyperlink"/>
            <w:noProof/>
            <w:lang w:bidi="en-US"/>
          </w:rPr>
          <w:t>i.</w:t>
        </w:r>
        <w:r>
          <w:rPr>
            <w:rFonts w:eastAsiaTheme="minorEastAsia"/>
            <w:noProof/>
            <w:sz w:val="22"/>
            <w:szCs w:val="22"/>
            <w:lang w:eastAsia="ro-RO"/>
          </w:rPr>
          <w:tab/>
        </w:r>
        <w:r w:rsidRPr="00CA255A">
          <w:rPr>
            <w:rStyle w:val="Hyperlink"/>
            <w:noProof/>
            <w:lang w:bidi="en-US"/>
          </w:rPr>
          <w:t>Observații preliminare</w:t>
        </w:r>
        <w:r>
          <w:rPr>
            <w:noProof/>
            <w:webHidden/>
          </w:rPr>
          <w:tab/>
        </w:r>
        <w:r>
          <w:rPr>
            <w:noProof/>
            <w:webHidden/>
          </w:rPr>
          <w:fldChar w:fldCharType="begin"/>
        </w:r>
        <w:r>
          <w:rPr>
            <w:noProof/>
            <w:webHidden/>
          </w:rPr>
          <w:instrText xml:space="preserve"> PAGEREF _Toc199273577 \h </w:instrText>
        </w:r>
        <w:r>
          <w:rPr>
            <w:noProof/>
            <w:webHidden/>
          </w:rPr>
        </w:r>
        <w:r>
          <w:rPr>
            <w:noProof/>
            <w:webHidden/>
          </w:rPr>
          <w:fldChar w:fldCharType="separate"/>
        </w:r>
        <w:r>
          <w:rPr>
            <w:noProof/>
            <w:webHidden/>
          </w:rPr>
          <w:t>227</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578" w:history="1">
        <w:r w:rsidRPr="00CA255A">
          <w:rPr>
            <w:rStyle w:val="Hyperlink"/>
            <w:noProof/>
            <w:lang w:bidi="en-US"/>
          </w:rPr>
          <w:t>ii.</w:t>
        </w:r>
        <w:r>
          <w:rPr>
            <w:rFonts w:eastAsiaTheme="minorEastAsia"/>
            <w:noProof/>
            <w:sz w:val="22"/>
            <w:szCs w:val="22"/>
            <w:lang w:eastAsia="ro-RO"/>
          </w:rPr>
          <w:tab/>
        </w:r>
        <w:r w:rsidRPr="00CA255A">
          <w:rPr>
            <w:rStyle w:val="Hyperlink"/>
            <w:noProof/>
            <w:lang w:bidi="en-US"/>
          </w:rPr>
          <w:t>Respectarea de către statul pârât a obligațiilor sale pozitive</w:t>
        </w:r>
        <w:r>
          <w:rPr>
            <w:noProof/>
            <w:webHidden/>
          </w:rPr>
          <w:tab/>
        </w:r>
        <w:r>
          <w:rPr>
            <w:noProof/>
            <w:webHidden/>
          </w:rPr>
          <w:fldChar w:fldCharType="begin"/>
        </w:r>
        <w:r>
          <w:rPr>
            <w:noProof/>
            <w:webHidden/>
          </w:rPr>
          <w:instrText xml:space="preserve"> PAGEREF _Toc199273578 \h </w:instrText>
        </w:r>
        <w:r>
          <w:rPr>
            <w:noProof/>
            <w:webHidden/>
          </w:rPr>
        </w:r>
        <w:r>
          <w:rPr>
            <w:noProof/>
            <w:webHidden/>
          </w:rPr>
          <w:fldChar w:fldCharType="separate"/>
        </w:r>
        <w:r>
          <w:rPr>
            <w:noProof/>
            <w:webHidden/>
          </w:rPr>
          <w:t>227</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579" w:history="1">
        <w:r w:rsidRPr="00CA255A">
          <w:rPr>
            <w:rStyle w:val="Hyperlink"/>
            <w:noProof/>
            <w:lang w:bidi="en-US"/>
          </w:rPr>
          <w:t>iii.</w:t>
        </w:r>
        <w:r>
          <w:rPr>
            <w:rFonts w:eastAsiaTheme="minorEastAsia"/>
            <w:noProof/>
            <w:sz w:val="22"/>
            <w:szCs w:val="22"/>
            <w:lang w:eastAsia="ro-RO"/>
          </w:rPr>
          <w:tab/>
        </w:r>
        <w:r w:rsidRPr="00CA255A">
          <w:rPr>
            <w:rStyle w:val="Hyperlink"/>
            <w:noProof/>
            <w:lang w:bidi="en-US"/>
          </w:rPr>
          <w:t>Concluzie</w:t>
        </w:r>
        <w:r>
          <w:rPr>
            <w:noProof/>
            <w:webHidden/>
          </w:rPr>
          <w:tab/>
        </w:r>
        <w:r>
          <w:rPr>
            <w:noProof/>
            <w:webHidden/>
          </w:rPr>
          <w:fldChar w:fldCharType="begin"/>
        </w:r>
        <w:r>
          <w:rPr>
            <w:noProof/>
            <w:webHidden/>
          </w:rPr>
          <w:instrText xml:space="preserve"> PAGEREF _Toc199273579 \h </w:instrText>
        </w:r>
        <w:r>
          <w:rPr>
            <w:noProof/>
            <w:webHidden/>
          </w:rPr>
        </w:r>
        <w:r>
          <w:rPr>
            <w:noProof/>
            <w:webHidden/>
          </w:rPr>
          <w:fldChar w:fldCharType="separate"/>
        </w:r>
        <w:r>
          <w:rPr>
            <w:noProof/>
            <w:webHidden/>
          </w:rPr>
          <w:t>232</w:t>
        </w:r>
        <w:r>
          <w:rPr>
            <w:noProof/>
            <w:webHidden/>
          </w:rPr>
          <w:fldChar w:fldCharType="end"/>
        </w:r>
      </w:hyperlink>
    </w:p>
    <w:p w:rsidR="00690E9D" w:rsidRDefault="00690E9D">
      <w:pPr>
        <w:pStyle w:val="TOC2"/>
        <w:tabs>
          <w:tab w:val="left" w:pos="1020"/>
        </w:tabs>
        <w:rPr>
          <w:rFonts w:eastAsiaTheme="minorEastAsia"/>
          <w:noProof/>
          <w:szCs w:val="22"/>
          <w:lang w:eastAsia="ro-RO"/>
        </w:rPr>
      </w:pPr>
      <w:hyperlink w:anchor="_Toc199273580" w:history="1">
        <w:r w:rsidRPr="00CA255A">
          <w:rPr>
            <w:rStyle w:val="Hyperlink"/>
            <w:noProof/>
          </w:rPr>
          <w:t>IV.</w:t>
        </w:r>
        <w:r>
          <w:rPr>
            <w:rFonts w:eastAsiaTheme="minorEastAsia"/>
            <w:noProof/>
            <w:szCs w:val="22"/>
            <w:lang w:eastAsia="ro-RO"/>
          </w:rPr>
          <w:tab/>
        </w:r>
        <w:r w:rsidRPr="00CA255A">
          <w:rPr>
            <w:rStyle w:val="Hyperlink"/>
            <w:noProof/>
          </w:rPr>
          <w:t>CU PRIVIRE LA PRETINSA ÎNCĂLCARE A ART. 6 § 1 DIN CONVENȚIE</w:t>
        </w:r>
        <w:r>
          <w:rPr>
            <w:noProof/>
            <w:webHidden/>
          </w:rPr>
          <w:tab/>
        </w:r>
        <w:r>
          <w:rPr>
            <w:noProof/>
            <w:webHidden/>
          </w:rPr>
          <w:fldChar w:fldCharType="begin"/>
        </w:r>
        <w:r>
          <w:rPr>
            <w:noProof/>
            <w:webHidden/>
          </w:rPr>
          <w:instrText xml:space="preserve"> PAGEREF _Toc199273580 \h </w:instrText>
        </w:r>
        <w:r>
          <w:rPr>
            <w:noProof/>
            <w:webHidden/>
          </w:rPr>
        </w:r>
        <w:r>
          <w:rPr>
            <w:noProof/>
            <w:webHidden/>
          </w:rPr>
          <w:fldChar w:fldCharType="separate"/>
        </w:r>
        <w:r>
          <w:rPr>
            <w:noProof/>
            <w:webHidden/>
          </w:rPr>
          <w:t>232</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581" w:history="1">
        <w:r w:rsidRPr="00CA255A">
          <w:rPr>
            <w:rStyle w:val="Hyperlink"/>
            <w:noProof/>
          </w:rPr>
          <w:t>A.</w:t>
        </w:r>
        <w:r>
          <w:rPr>
            <w:rFonts w:eastAsiaTheme="minorEastAsia"/>
            <w:noProof/>
            <w:sz w:val="22"/>
            <w:szCs w:val="22"/>
            <w:lang w:eastAsia="ro-RO"/>
          </w:rPr>
          <w:tab/>
        </w:r>
        <w:r w:rsidRPr="00CA255A">
          <w:rPr>
            <w:rStyle w:val="Hyperlink"/>
            <w:noProof/>
          </w:rPr>
          <w:t>Argumentele părților</w:t>
        </w:r>
        <w:r>
          <w:rPr>
            <w:noProof/>
            <w:webHidden/>
          </w:rPr>
          <w:tab/>
        </w:r>
        <w:r>
          <w:rPr>
            <w:noProof/>
            <w:webHidden/>
          </w:rPr>
          <w:fldChar w:fldCharType="begin"/>
        </w:r>
        <w:r>
          <w:rPr>
            <w:noProof/>
            <w:webHidden/>
          </w:rPr>
          <w:instrText xml:space="preserve"> PAGEREF _Toc199273581 \h </w:instrText>
        </w:r>
        <w:r>
          <w:rPr>
            <w:noProof/>
            <w:webHidden/>
          </w:rPr>
        </w:r>
        <w:r>
          <w:rPr>
            <w:noProof/>
            <w:webHidden/>
          </w:rPr>
          <w:fldChar w:fldCharType="separate"/>
        </w:r>
        <w:r>
          <w:rPr>
            <w:noProof/>
            <w:webHidden/>
          </w:rPr>
          <w:t>232</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82" w:history="1">
        <w:r w:rsidRPr="00CA255A">
          <w:rPr>
            <w:rStyle w:val="Hyperlink"/>
            <w:noProof/>
          </w:rPr>
          <w:t>1.</w:t>
        </w:r>
        <w:r>
          <w:rPr>
            <w:rFonts w:eastAsiaTheme="minorEastAsia"/>
            <w:noProof/>
            <w:sz w:val="22"/>
            <w:szCs w:val="22"/>
            <w:lang w:eastAsia="ro-RO"/>
          </w:rPr>
          <w:tab/>
        </w:r>
        <w:r w:rsidRPr="00CA255A">
          <w:rPr>
            <w:rStyle w:val="Hyperlink"/>
            <w:noProof/>
          </w:rPr>
          <w:t>Reclamantele</w:t>
        </w:r>
        <w:r>
          <w:rPr>
            <w:noProof/>
            <w:webHidden/>
          </w:rPr>
          <w:tab/>
        </w:r>
        <w:r>
          <w:rPr>
            <w:noProof/>
            <w:webHidden/>
          </w:rPr>
          <w:fldChar w:fldCharType="begin"/>
        </w:r>
        <w:r>
          <w:rPr>
            <w:noProof/>
            <w:webHidden/>
          </w:rPr>
          <w:instrText xml:space="preserve"> PAGEREF _Toc199273582 \h </w:instrText>
        </w:r>
        <w:r>
          <w:rPr>
            <w:noProof/>
            <w:webHidden/>
          </w:rPr>
        </w:r>
        <w:r>
          <w:rPr>
            <w:noProof/>
            <w:webHidden/>
          </w:rPr>
          <w:fldChar w:fldCharType="separate"/>
        </w:r>
        <w:r>
          <w:rPr>
            <w:noProof/>
            <w:webHidden/>
          </w:rPr>
          <w:t>232</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83" w:history="1">
        <w:r w:rsidRPr="00CA255A">
          <w:rPr>
            <w:rStyle w:val="Hyperlink"/>
            <w:noProof/>
          </w:rPr>
          <w:t>2.</w:t>
        </w:r>
        <w:r>
          <w:rPr>
            <w:rFonts w:eastAsiaTheme="minorEastAsia"/>
            <w:noProof/>
            <w:sz w:val="22"/>
            <w:szCs w:val="22"/>
            <w:lang w:eastAsia="ro-RO"/>
          </w:rPr>
          <w:tab/>
        </w:r>
        <w:r w:rsidRPr="00CA255A">
          <w:rPr>
            <w:rStyle w:val="Hyperlink"/>
            <w:noProof/>
          </w:rPr>
          <w:t>Guvernul</w:t>
        </w:r>
        <w:r>
          <w:rPr>
            <w:noProof/>
            <w:webHidden/>
          </w:rPr>
          <w:tab/>
        </w:r>
        <w:r>
          <w:rPr>
            <w:noProof/>
            <w:webHidden/>
          </w:rPr>
          <w:fldChar w:fldCharType="begin"/>
        </w:r>
        <w:r>
          <w:rPr>
            <w:noProof/>
            <w:webHidden/>
          </w:rPr>
          <w:instrText xml:space="preserve"> PAGEREF _Toc199273583 \h </w:instrText>
        </w:r>
        <w:r>
          <w:rPr>
            <w:noProof/>
            <w:webHidden/>
          </w:rPr>
        </w:r>
        <w:r>
          <w:rPr>
            <w:noProof/>
            <w:webHidden/>
          </w:rPr>
          <w:fldChar w:fldCharType="separate"/>
        </w:r>
        <w:r>
          <w:rPr>
            <w:noProof/>
            <w:webHidden/>
          </w:rPr>
          <w:t>234</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584" w:history="1">
        <w:r w:rsidRPr="00CA255A">
          <w:rPr>
            <w:rStyle w:val="Hyperlink"/>
            <w:noProof/>
          </w:rPr>
          <w:t>B.</w:t>
        </w:r>
        <w:r>
          <w:rPr>
            <w:rFonts w:eastAsiaTheme="minorEastAsia"/>
            <w:noProof/>
            <w:sz w:val="22"/>
            <w:szCs w:val="22"/>
            <w:lang w:eastAsia="ro-RO"/>
          </w:rPr>
          <w:tab/>
        </w:r>
        <w:r w:rsidRPr="00CA255A">
          <w:rPr>
            <w:rStyle w:val="Hyperlink"/>
            <w:noProof/>
          </w:rPr>
          <w:t>Motivarea Curții</w:t>
        </w:r>
        <w:r>
          <w:rPr>
            <w:noProof/>
            <w:webHidden/>
          </w:rPr>
          <w:tab/>
        </w:r>
        <w:r>
          <w:rPr>
            <w:noProof/>
            <w:webHidden/>
          </w:rPr>
          <w:fldChar w:fldCharType="begin"/>
        </w:r>
        <w:r>
          <w:rPr>
            <w:noProof/>
            <w:webHidden/>
          </w:rPr>
          <w:instrText xml:space="preserve"> PAGEREF _Toc199273584 \h </w:instrText>
        </w:r>
        <w:r>
          <w:rPr>
            <w:noProof/>
            <w:webHidden/>
          </w:rPr>
        </w:r>
        <w:r>
          <w:rPr>
            <w:noProof/>
            <w:webHidden/>
          </w:rPr>
          <w:fldChar w:fldCharType="separate"/>
        </w:r>
        <w:r>
          <w:rPr>
            <w:noProof/>
            <w:webHidden/>
          </w:rPr>
          <w:t>236</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85" w:history="1">
        <w:r w:rsidRPr="00CA255A">
          <w:rPr>
            <w:rStyle w:val="Hyperlink"/>
            <w:noProof/>
          </w:rPr>
          <w:t>1.</w:t>
        </w:r>
        <w:r>
          <w:rPr>
            <w:rFonts w:eastAsiaTheme="minorEastAsia"/>
            <w:noProof/>
            <w:sz w:val="22"/>
            <w:szCs w:val="22"/>
            <w:lang w:eastAsia="ro-RO"/>
          </w:rPr>
          <w:tab/>
        </w:r>
        <w:r w:rsidRPr="00CA255A">
          <w:rPr>
            <w:rStyle w:val="Hyperlink"/>
            <w:noProof/>
          </w:rPr>
          <w:t>Cu privire la admisibilitate</w:t>
        </w:r>
        <w:r>
          <w:rPr>
            <w:noProof/>
            <w:webHidden/>
          </w:rPr>
          <w:tab/>
        </w:r>
        <w:r>
          <w:rPr>
            <w:noProof/>
            <w:webHidden/>
          </w:rPr>
          <w:fldChar w:fldCharType="begin"/>
        </w:r>
        <w:r>
          <w:rPr>
            <w:noProof/>
            <w:webHidden/>
          </w:rPr>
          <w:instrText xml:space="preserve"> PAGEREF _Toc199273585 \h </w:instrText>
        </w:r>
        <w:r>
          <w:rPr>
            <w:noProof/>
            <w:webHidden/>
          </w:rPr>
        </w:r>
        <w:r>
          <w:rPr>
            <w:noProof/>
            <w:webHidden/>
          </w:rPr>
          <w:fldChar w:fldCharType="separate"/>
        </w:r>
        <w:r>
          <w:rPr>
            <w:noProof/>
            <w:webHidden/>
          </w:rPr>
          <w:t>236</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86" w:history="1">
        <w:r w:rsidRPr="00CA255A">
          <w:rPr>
            <w:rStyle w:val="Hyperlink"/>
            <w:noProof/>
          </w:rPr>
          <w:t>a)</w:t>
        </w:r>
        <w:r>
          <w:rPr>
            <w:rFonts w:eastAsiaTheme="minorEastAsia"/>
            <w:noProof/>
            <w:sz w:val="22"/>
            <w:szCs w:val="22"/>
            <w:lang w:eastAsia="ro-RO"/>
          </w:rPr>
          <w:tab/>
        </w:r>
        <w:r w:rsidRPr="00CA255A">
          <w:rPr>
            <w:rStyle w:val="Hyperlink"/>
            <w:noProof/>
          </w:rPr>
          <w:t>Calitatea de victimă</w:t>
        </w:r>
        <w:r>
          <w:rPr>
            <w:noProof/>
            <w:webHidden/>
          </w:rPr>
          <w:tab/>
        </w:r>
        <w:r>
          <w:rPr>
            <w:noProof/>
            <w:webHidden/>
          </w:rPr>
          <w:fldChar w:fldCharType="begin"/>
        </w:r>
        <w:r>
          <w:rPr>
            <w:noProof/>
            <w:webHidden/>
          </w:rPr>
          <w:instrText xml:space="preserve"> PAGEREF _Toc199273586 \h </w:instrText>
        </w:r>
        <w:r>
          <w:rPr>
            <w:noProof/>
            <w:webHidden/>
          </w:rPr>
        </w:r>
        <w:r>
          <w:rPr>
            <w:noProof/>
            <w:webHidden/>
          </w:rPr>
          <w:fldChar w:fldCharType="separate"/>
        </w:r>
        <w:r>
          <w:rPr>
            <w:noProof/>
            <w:webHidden/>
          </w:rPr>
          <w:t>236</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87" w:history="1">
        <w:r w:rsidRPr="00CA255A">
          <w:rPr>
            <w:rStyle w:val="Hyperlink"/>
            <w:noProof/>
          </w:rPr>
          <w:t>b)</w:t>
        </w:r>
        <w:r>
          <w:rPr>
            <w:rFonts w:eastAsiaTheme="minorEastAsia"/>
            <w:noProof/>
            <w:sz w:val="22"/>
            <w:szCs w:val="22"/>
            <w:lang w:eastAsia="ro-RO"/>
          </w:rPr>
          <w:tab/>
        </w:r>
        <w:r w:rsidRPr="00CA255A">
          <w:rPr>
            <w:rStyle w:val="Hyperlink"/>
            <w:noProof/>
          </w:rPr>
          <w:t>Aplicabilitatea art. 6 § 1 din Convenție</w:t>
        </w:r>
        <w:r>
          <w:rPr>
            <w:noProof/>
            <w:webHidden/>
          </w:rPr>
          <w:tab/>
        </w:r>
        <w:r>
          <w:rPr>
            <w:noProof/>
            <w:webHidden/>
          </w:rPr>
          <w:fldChar w:fldCharType="begin"/>
        </w:r>
        <w:r>
          <w:rPr>
            <w:noProof/>
            <w:webHidden/>
          </w:rPr>
          <w:instrText xml:space="preserve"> PAGEREF _Toc199273587 \h </w:instrText>
        </w:r>
        <w:r>
          <w:rPr>
            <w:noProof/>
            <w:webHidden/>
          </w:rPr>
        </w:r>
        <w:r>
          <w:rPr>
            <w:noProof/>
            <w:webHidden/>
          </w:rPr>
          <w:fldChar w:fldCharType="separate"/>
        </w:r>
        <w:r>
          <w:rPr>
            <w:noProof/>
            <w:webHidden/>
          </w:rPr>
          <w:t>237</w:t>
        </w:r>
        <w:r>
          <w:rPr>
            <w:noProof/>
            <w:webHidden/>
          </w:rPr>
          <w:fldChar w:fldCharType="end"/>
        </w:r>
      </w:hyperlink>
    </w:p>
    <w:p w:rsidR="00690E9D" w:rsidRDefault="00690E9D">
      <w:pPr>
        <w:pStyle w:val="TOC6"/>
        <w:tabs>
          <w:tab w:val="left" w:pos="2041"/>
        </w:tabs>
        <w:rPr>
          <w:rFonts w:eastAsiaTheme="minorEastAsia"/>
          <w:noProof/>
          <w:sz w:val="22"/>
          <w:szCs w:val="22"/>
          <w:lang w:eastAsia="ro-RO"/>
        </w:rPr>
      </w:pPr>
      <w:hyperlink w:anchor="_Toc199273588" w:history="1">
        <w:r w:rsidRPr="00CA255A">
          <w:rPr>
            <w:rStyle w:val="Hyperlink"/>
            <w:noProof/>
            <w:lang w:bidi="en-US"/>
          </w:rPr>
          <w:t>i.</w:t>
        </w:r>
        <w:r>
          <w:rPr>
            <w:rFonts w:eastAsiaTheme="minorEastAsia"/>
            <w:noProof/>
            <w:sz w:val="22"/>
            <w:szCs w:val="22"/>
            <w:lang w:eastAsia="ro-RO"/>
          </w:rPr>
          <w:tab/>
        </w:r>
        <w:r w:rsidRPr="00CA255A">
          <w:rPr>
            <w:rStyle w:val="Hyperlink"/>
            <w:noProof/>
            <w:lang w:bidi="en-US"/>
          </w:rPr>
          <w:t>Principii generale</w:t>
        </w:r>
        <w:r>
          <w:rPr>
            <w:noProof/>
            <w:webHidden/>
          </w:rPr>
          <w:tab/>
        </w:r>
        <w:r>
          <w:rPr>
            <w:noProof/>
            <w:webHidden/>
          </w:rPr>
          <w:fldChar w:fldCharType="begin"/>
        </w:r>
        <w:r>
          <w:rPr>
            <w:noProof/>
            <w:webHidden/>
          </w:rPr>
          <w:instrText xml:space="preserve"> PAGEREF _Toc199273588 \h </w:instrText>
        </w:r>
        <w:r>
          <w:rPr>
            <w:noProof/>
            <w:webHidden/>
          </w:rPr>
        </w:r>
        <w:r>
          <w:rPr>
            <w:noProof/>
            <w:webHidden/>
          </w:rPr>
          <w:fldChar w:fldCharType="separate"/>
        </w:r>
        <w:r>
          <w:rPr>
            <w:noProof/>
            <w:webHidden/>
          </w:rPr>
          <w:t>237</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589" w:history="1">
        <w:r w:rsidRPr="00CA255A">
          <w:rPr>
            <w:rStyle w:val="Hyperlink"/>
            <w:noProof/>
            <w:lang w:bidi="en-US"/>
          </w:rPr>
          <w:t>ii.</w:t>
        </w:r>
        <w:r>
          <w:rPr>
            <w:rFonts w:eastAsiaTheme="minorEastAsia"/>
            <w:noProof/>
            <w:sz w:val="22"/>
            <w:szCs w:val="22"/>
            <w:lang w:eastAsia="ro-RO"/>
          </w:rPr>
          <w:tab/>
        </w:r>
        <w:r w:rsidRPr="00CA255A">
          <w:rPr>
            <w:rStyle w:val="Hyperlink"/>
            <w:noProof/>
            <w:lang w:bidi="en-US"/>
          </w:rPr>
          <w:t>Aplicabilitatea art. 6 § 1 în contextul schimbărilor climatice</w:t>
        </w:r>
        <w:r>
          <w:rPr>
            <w:noProof/>
            <w:webHidden/>
          </w:rPr>
          <w:tab/>
        </w:r>
        <w:r>
          <w:rPr>
            <w:noProof/>
            <w:webHidden/>
          </w:rPr>
          <w:fldChar w:fldCharType="begin"/>
        </w:r>
        <w:r>
          <w:rPr>
            <w:noProof/>
            <w:webHidden/>
          </w:rPr>
          <w:instrText xml:space="preserve"> PAGEREF _Toc199273589 \h </w:instrText>
        </w:r>
        <w:r>
          <w:rPr>
            <w:noProof/>
            <w:webHidden/>
          </w:rPr>
        </w:r>
        <w:r>
          <w:rPr>
            <w:noProof/>
            <w:webHidden/>
          </w:rPr>
          <w:fldChar w:fldCharType="separate"/>
        </w:r>
        <w:r>
          <w:rPr>
            <w:noProof/>
            <w:webHidden/>
          </w:rPr>
          <w:t>240</w:t>
        </w:r>
        <w:r>
          <w:rPr>
            <w:noProof/>
            <w:webHidden/>
          </w:rPr>
          <w:fldChar w:fldCharType="end"/>
        </w:r>
      </w:hyperlink>
    </w:p>
    <w:p w:rsidR="00690E9D" w:rsidRDefault="00690E9D">
      <w:pPr>
        <w:pStyle w:val="TOC6"/>
        <w:tabs>
          <w:tab w:val="left" w:pos="2381"/>
        </w:tabs>
        <w:rPr>
          <w:rFonts w:eastAsiaTheme="minorEastAsia"/>
          <w:noProof/>
          <w:sz w:val="22"/>
          <w:szCs w:val="22"/>
          <w:lang w:eastAsia="ro-RO"/>
        </w:rPr>
      </w:pPr>
      <w:hyperlink w:anchor="_Toc199273590" w:history="1">
        <w:r w:rsidRPr="00CA255A">
          <w:rPr>
            <w:rStyle w:val="Hyperlink"/>
            <w:noProof/>
            <w:lang w:bidi="en-US"/>
          </w:rPr>
          <w:t>iii.</w:t>
        </w:r>
        <w:r>
          <w:rPr>
            <w:rFonts w:eastAsiaTheme="minorEastAsia"/>
            <w:noProof/>
            <w:sz w:val="22"/>
            <w:szCs w:val="22"/>
            <w:lang w:eastAsia="ro-RO"/>
          </w:rPr>
          <w:tab/>
        </w:r>
        <w:r w:rsidRPr="00CA255A">
          <w:rPr>
            <w:rStyle w:val="Hyperlink"/>
            <w:noProof/>
            <w:lang w:bidi="en-US"/>
          </w:rPr>
          <w:t>Aplicarea în prezenta cauză a principiilor și considerațiilor de mai sus</w:t>
        </w:r>
        <w:r>
          <w:rPr>
            <w:noProof/>
            <w:webHidden/>
          </w:rPr>
          <w:tab/>
        </w:r>
        <w:r>
          <w:rPr>
            <w:noProof/>
            <w:webHidden/>
          </w:rPr>
          <w:fldChar w:fldCharType="begin"/>
        </w:r>
        <w:r>
          <w:rPr>
            <w:noProof/>
            <w:webHidden/>
          </w:rPr>
          <w:instrText xml:space="preserve"> PAGEREF _Toc199273590 \h </w:instrText>
        </w:r>
        <w:r>
          <w:rPr>
            <w:noProof/>
            <w:webHidden/>
          </w:rPr>
        </w:r>
        <w:r>
          <w:rPr>
            <w:noProof/>
            <w:webHidden/>
          </w:rPr>
          <w:fldChar w:fldCharType="separate"/>
        </w:r>
        <w:r>
          <w:rPr>
            <w:noProof/>
            <w:webHidden/>
          </w:rPr>
          <w:t>242</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91" w:history="1">
        <w:r w:rsidRPr="00CA255A">
          <w:rPr>
            <w:rStyle w:val="Hyperlink"/>
            <w:noProof/>
          </w:rPr>
          <w:t>2.</w:t>
        </w:r>
        <w:r>
          <w:rPr>
            <w:rFonts w:eastAsiaTheme="minorEastAsia"/>
            <w:noProof/>
            <w:sz w:val="22"/>
            <w:szCs w:val="22"/>
            <w:lang w:eastAsia="ro-RO"/>
          </w:rPr>
          <w:tab/>
        </w:r>
        <w:r w:rsidRPr="00CA255A">
          <w:rPr>
            <w:rStyle w:val="Hyperlink"/>
            <w:noProof/>
          </w:rPr>
          <w:t>Cu privire la fond</w:t>
        </w:r>
        <w:r>
          <w:rPr>
            <w:noProof/>
            <w:webHidden/>
          </w:rPr>
          <w:tab/>
        </w:r>
        <w:r>
          <w:rPr>
            <w:noProof/>
            <w:webHidden/>
          </w:rPr>
          <w:fldChar w:fldCharType="begin"/>
        </w:r>
        <w:r>
          <w:rPr>
            <w:noProof/>
            <w:webHidden/>
          </w:rPr>
          <w:instrText xml:space="preserve"> PAGEREF _Toc199273591 \h </w:instrText>
        </w:r>
        <w:r>
          <w:rPr>
            <w:noProof/>
            <w:webHidden/>
          </w:rPr>
        </w:r>
        <w:r>
          <w:rPr>
            <w:noProof/>
            <w:webHidden/>
          </w:rPr>
          <w:fldChar w:fldCharType="separate"/>
        </w:r>
        <w:r>
          <w:rPr>
            <w:noProof/>
            <w:webHidden/>
          </w:rPr>
          <w:t>245</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92" w:history="1">
        <w:r w:rsidRPr="00CA255A">
          <w:rPr>
            <w:rStyle w:val="Hyperlink"/>
            <w:noProof/>
          </w:rPr>
          <w:t>a)</w:t>
        </w:r>
        <w:r>
          <w:rPr>
            <w:rFonts w:eastAsiaTheme="minorEastAsia"/>
            <w:noProof/>
            <w:sz w:val="22"/>
            <w:szCs w:val="22"/>
            <w:lang w:eastAsia="ro-RO"/>
          </w:rPr>
          <w:tab/>
        </w:r>
        <w:r w:rsidRPr="00CA255A">
          <w:rPr>
            <w:rStyle w:val="Hyperlink"/>
            <w:noProof/>
          </w:rPr>
          <w:t>Principii generale</w:t>
        </w:r>
        <w:r>
          <w:rPr>
            <w:noProof/>
            <w:webHidden/>
          </w:rPr>
          <w:tab/>
        </w:r>
        <w:r>
          <w:rPr>
            <w:noProof/>
            <w:webHidden/>
          </w:rPr>
          <w:fldChar w:fldCharType="begin"/>
        </w:r>
        <w:r>
          <w:rPr>
            <w:noProof/>
            <w:webHidden/>
          </w:rPr>
          <w:instrText xml:space="preserve"> PAGEREF _Toc199273592 \h </w:instrText>
        </w:r>
        <w:r>
          <w:rPr>
            <w:noProof/>
            <w:webHidden/>
          </w:rPr>
        </w:r>
        <w:r>
          <w:rPr>
            <w:noProof/>
            <w:webHidden/>
          </w:rPr>
          <w:fldChar w:fldCharType="separate"/>
        </w:r>
        <w:r>
          <w:rPr>
            <w:noProof/>
            <w:webHidden/>
          </w:rPr>
          <w:t>245</w:t>
        </w:r>
        <w:r>
          <w:rPr>
            <w:noProof/>
            <w:webHidden/>
          </w:rPr>
          <w:fldChar w:fldCharType="end"/>
        </w:r>
      </w:hyperlink>
    </w:p>
    <w:p w:rsidR="00690E9D" w:rsidRDefault="00690E9D">
      <w:pPr>
        <w:pStyle w:val="TOC5"/>
        <w:tabs>
          <w:tab w:val="left" w:pos="2041"/>
        </w:tabs>
        <w:rPr>
          <w:rFonts w:eastAsiaTheme="minorEastAsia"/>
          <w:noProof/>
          <w:sz w:val="22"/>
          <w:szCs w:val="22"/>
          <w:lang w:eastAsia="ro-RO"/>
        </w:rPr>
      </w:pPr>
      <w:hyperlink w:anchor="_Toc199273593" w:history="1">
        <w:r w:rsidRPr="00CA255A">
          <w:rPr>
            <w:rStyle w:val="Hyperlink"/>
            <w:rFonts w:eastAsia="Times New Roman"/>
            <w:noProof/>
          </w:rPr>
          <w:t>b)</w:t>
        </w:r>
        <w:r>
          <w:rPr>
            <w:rFonts w:eastAsiaTheme="minorEastAsia"/>
            <w:noProof/>
            <w:sz w:val="22"/>
            <w:szCs w:val="22"/>
            <w:lang w:eastAsia="ro-RO"/>
          </w:rPr>
          <w:tab/>
        </w:r>
        <w:r w:rsidRPr="00CA255A">
          <w:rPr>
            <w:rStyle w:val="Hyperlink"/>
            <w:noProof/>
          </w:rPr>
          <w:t>Aplicarea acestor principii în prezenta cauză</w:t>
        </w:r>
        <w:r>
          <w:rPr>
            <w:noProof/>
            <w:webHidden/>
          </w:rPr>
          <w:tab/>
        </w:r>
        <w:r>
          <w:rPr>
            <w:noProof/>
            <w:webHidden/>
          </w:rPr>
          <w:fldChar w:fldCharType="begin"/>
        </w:r>
        <w:r>
          <w:rPr>
            <w:noProof/>
            <w:webHidden/>
          </w:rPr>
          <w:instrText xml:space="preserve"> PAGEREF _Toc199273593 \h </w:instrText>
        </w:r>
        <w:r>
          <w:rPr>
            <w:noProof/>
            <w:webHidden/>
          </w:rPr>
        </w:r>
        <w:r>
          <w:rPr>
            <w:noProof/>
            <w:webHidden/>
          </w:rPr>
          <w:fldChar w:fldCharType="separate"/>
        </w:r>
        <w:r>
          <w:rPr>
            <w:noProof/>
            <w:webHidden/>
          </w:rPr>
          <w:t>246</w:t>
        </w:r>
        <w:r>
          <w:rPr>
            <w:noProof/>
            <w:webHidden/>
          </w:rPr>
          <w:fldChar w:fldCharType="end"/>
        </w:r>
      </w:hyperlink>
    </w:p>
    <w:p w:rsidR="00690E9D" w:rsidRDefault="00690E9D">
      <w:pPr>
        <w:pStyle w:val="TOC2"/>
        <w:tabs>
          <w:tab w:val="left" w:pos="1020"/>
        </w:tabs>
        <w:rPr>
          <w:rFonts w:eastAsiaTheme="minorEastAsia"/>
          <w:noProof/>
          <w:szCs w:val="22"/>
          <w:lang w:eastAsia="ro-RO"/>
        </w:rPr>
      </w:pPr>
      <w:hyperlink w:anchor="_Toc199273594" w:history="1">
        <w:r w:rsidRPr="00CA255A">
          <w:rPr>
            <w:rStyle w:val="Hyperlink"/>
            <w:rFonts w:eastAsia="Times New Roman"/>
            <w:noProof/>
          </w:rPr>
          <w:t>V.</w:t>
        </w:r>
        <w:r>
          <w:rPr>
            <w:rFonts w:eastAsiaTheme="minorEastAsia"/>
            <w:noProof/>
            <w:szCs w:val="22"/>
            <w:lang w:eastAsia="ro-RO"/>
          </w:rPr>
          <w:tab/>
        </w:r>
        <w:r w:rsidRPr="00CA255A">
          <w:rPr>
            <w:rStyle w:val="Hyperlink"/>
            <w:noProof/>
          </w:rPr>
          <w:t>CU PRIVIRE LA PRETINSA ÎNCĂLCARE A ART. 13 DIN CONVENȚIE</w:t>
        </w:r>
        <w:r>
          <w:rPr>
            <w:noProof/>
            <w:webHidden/>
          </w:rPr>
          <w:tab/>
        </w:r>
        <w:r>
          <w:rPr>
            <w:noProof/>
            <w:webHidden/>
          </w:rPr>
          <w:fldChar w:fldCharType="begin"/>
        </w:r>
        <w:r>
          <w:rPr>
            <w:noProof/>
            <w:webHidden/>
          </w:rPr>
          <w:instrText xml:space="preserve"> PAGEREF _Toc199273594 \h </w:instrText>
        </w:r>
        <w:r>
          <w:rPr>
            <w:noProof/>
            <w:webHidden/>
          </w:rPr>
        </w:r>
        <w:r>
          <w:rPr>
            <w:noProof/>
            <w:webHidden/>
          </w:rPr>
          <w:fldChar w:fldCharType="separate"/>
        </w:r>
        <w:r>
          <w:rPr>
            <w:noProof/>
            <w:webHidden/>
          </w:rPr>
          <w:t>249</w:t>
        </w:r>
        <w:r>
          <w:rPr>
            <w:noProof/>
            <w:webHidden/>
          </w:rPr>
          <w:fldChar w:fldCharType="end"/>
        </w:r>
      </w:hyperlink>
    </w:p>
    <w:p w:rsidR="00690E9D" w:rsidRDefault="00690E9D">
      <w:pPr>
        <w:pStyle w:val="TOC2"/>
        <w:tabs>
          <w:tab w:val="left" w:pos="1020"/>
        </w:tabs>
        <w:rPr>
          <w:rFonts w:eastAsiaTheme="minorEastAsia"/>
          <w:noProof/>
          <w:szCs w:val="22"/>
          <w:lang w:eastAsia="ro-RO"/>
        </w:rPr>
      </w:pPr>
      <w:hyperlink w:anchor="_Toc199273595" w:history="1">
        <w:r w:rsidRPr="00CA255A">
          <w:rPr>
            <w:rStyle w:val="Hyperlink"/>
            <w:noProof/>
          </w:rPr>
          <w:t>VI.</w:t>
        </w:r>
        <w:r>
          <w:rPr>
            <w:rFonts w:eastAsiaTheme="minorEastAsia"/>
            <w:noProof/>
            <w:szCs w:val="22"/>
            <w:lang w:eastAsia="ro-RO"/>
          </w:rPr>
          <w:tab/>
        </w:r>
        <w:r w:rsidRPr="00CA255A">
          <w:rPr>
            <w:rStyle w:val="Hyperlink"/>
            <w:noProof/>
          </w:rPr>
          <w:t>CU PRIVIRE LA APLICAREA ART. 41 ȘI 46 DIN CONVENȚIE</w:t>
        </w:r>
        <w:r>
          <w:rPr>
            <w:noProof/>
            <w:webHidden/>
          </w:rPr>
          <w:tab/>
        </w:r>
        <w:r>
          <w:rPr>
            <w:noProof/>
            <w:webHidden/>
          </w:rPr>
          <w:fldChar w:fldCharType="begin"/>
        </w:r>
        <w:r>
          <w:rPr>
            <w:noProof/>
            <w:webHidden/>
          </w:rPr>
          <w:instrText xml:space="preserve"> PAGEREF _Toc199273595 \h </w:instrText>
        </w:r>
        <w:r>
          <w:rPr>
            <w:noProof/>
            <w:webHidden/>
          </w:rPr>
        </w:r>
        <w:r>
          <w:rPr>
            <w:noProof/>
            <w:webHidden/>
          </w:rPr>
          <w:fldChar w:fldCharType="separate"/>
        </w:r>
        <w:r>
          <w:rPr>
            <w:noProof/>
            <w:webHidden/>
          </w:rPr>
          <w:t>249</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596" w:history="1">
        <w:r w:rsidRPr="00CA255A">
          <w:rPr>
            <w:rStyle w:val="Hyperlink"/>
            <w:noProof/>
          </w:rPr>
          <w:t>A.</w:t>
        </w:r>
        <w:r>
          <w:rPr>
            <w:rFonts w:eastAsiaTheme="minorEastAsia"/>
            <w:noProof/>
            <w:sz w:val="22"/>
            <w:szCs w:val="22"/>
            <w:lang w:eastAsia="ro-RO"/>
          </w:rPr>
          <w:tab/>
        </w:r>
        <w:r w:rsidRPr="00CA255A">
          <w:rPr>
            <w:rStyle w:val="Hyperlink"/>
            <w:noProof/>
          </w:rPr>
          <w:t>Art. 41 din Convenție</w:t>
        </w:r>
        <w:r>
          <w:rPr>
            <w:noProof/>
            <w:webHidden/>
          </w:rPr>
          <w:tab/>
        </w:r>
        <w:r>
          <w:rPr>
            <w:noProof/>
            <w:webHidden/>
          </w:rPr>
          <w:fldChar w:fldCharType="begin"/>
        </w:r>
        <w:r>
          <w:rPr>
            <w:noProof/>
            <w:webHidden/>
          </w:rPr>
          <w:instrText xml:space="preserve"> PAGEREF _Toc199273596 \h </w:instrText>
        </w:r>
        <w:r>
          <w:rPr>
            <w:noProof/>
            <w:webHidden/>
          </w:rPr>
        </w:r>
        <w:r>
          <w:rPr>
            <w:noProof/>
            <w:webHidden/>
          </w:rPr>
          <w:fldChar w:fldCharType="separate"/>
        </w:r>
        <w:r>
          <w:rPr>
            <w:noProof/>
            <w:webHidden/>
          </w:rPr>
          <w:t>249</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97" w:history="1">
        <w:r w:rsidRPr="00CA255A">
          <w:rPr>
            <w:rStyle w:val="Hyperlink"/>
            <w:noProof/>
          </w:rPr>
          <w:t>4.</w:t>
        </w:r>
        <w:r>
          <w:rPr>
            <w:rFonts w:eastAsiaTheme="minorEastAsia"/>
            <w:noProof/>
            <w:sz w:val="22"/>
            <w:szCs w:val="22"/>
            <w:lang w:eastAsia="ro-RO"/>
          </w:rPr>
          <w:tab/>
        </w:r>
        <w:r w:rsidRPr="00CA255A">
          <w:rPr>
            <w:rStyle w:val="Hyperlink"/>
            <w:noProof/>
          </w:rPr>
          <w:t>Prejudiciu</w:t>
        </w:r>
        <w:r>
          <w:rPr>
            <w:noProof/>
            <w:webHidden/>
          </w:rPr>
          <w:tab/>
        </w:r>
        <w:r>
          <w:rPr>
            <w:noProof/>
            <w:webHidden/>
          </w:rPr>
          <w:fldChar w:fldCharType="begin"/>
        </w:r>
        <w:r>
          <w:rPr>
            <w:noProof/>
            <w:webHidden/>
          </w:rPr>
          <w:instrText xml:space="preserve"> PAGEREF _Toc199273597 \h </w:instrText>
        </w:r>
        <w:r>
          <w:rPr>
            <w:noProof/>
            <w:webHidden/>
          </w:rPr>
        </w:r>
        <w:r>
          <w:rPr>
            <w:noProof/>
            <w:webHidden/>
          </w:rPr>
          <w:fldChar w:fldCharType="separate"/>
        </w:r>
        <w:r>
          <w:rPr>
            <w:noProof/>
            <w:webHidden/>
          </w:rPr>
          <w:t>249</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98" w:history="1">
        <w:r w:rsidRPr="00CA255A">
          <w:rPr>
            <w:rStyle w:val="Hyperlink"/>
            <w:noProof/>
          </w:rPr>
          <w:t>5.</w:t>
        </w:r>
        <w:r>
          <w:rPr>
            <w:rFonts w:eastAsiaTheme="minorEastAsia"/>
            <w:noProof/>
            <w:sz w:val="22"/>
            <w:szCs w:val="22"/>
            <w:lang w:eastAsia="ro-RO"/>
          </w:rPr>
          <w:tab/>
        </w:r>
        <w:r w:rsidRPr="00CA255A">
          <w:rPr>
            <w:rStyle w:val="Hyperlink"/>
            <w:noProof/>
          </w:rPr>
          <w:t>Cheltuieli de judecată</w:t>
        </w:r>
        <w:r>
          <w:rPr>
            <w:noProof/>
            <w:webHidden/>
          </w:rPr>
          <w:tab/>
        </w:r>
        <w:r>
          <w:rPr>
            <w:noProof/>
            <w:webHidden/>
          </w:rPr>
          <w:fldChar w:fldCharType="begin"/>
        </w:r>
        <w:r>
          <w:rPr>
            <w:noProof/>
            <w:webHidden/>
          </w:rPr>
          <w:instrText xml:space="preserve"> PAGEREF _Toc199273598 \h </w:instrText>
        </w:r>
        <w:r>
          <w:rPr>
            <w:noProof/>
            <w:webHidden/>
          </w:rPr>
        </w:r>
        <w:r>
          <w:rPr>
            <w:noProof/>
            <w:webHidden/>
          </w:rPr>
          <w:fldChar w:fldCharType="separate"/>
        </w:r>
        <w:r>
          <w:rPr>
            <w:noProof/>
            <w:webHidden/>
          </w:rPr>
          <w:t>250</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599" w:history="1">
        <w:r w:rsidRPr="00CA255A">
          <w:rPr>
            <w:rStyle w:val="Hyperlink"/>
            <w:noProof/>
          </w:rPr>
          <w:t>6.</w:t>
        </w:r>
        <w:r>
          <w:rPr>
            <w:rFonts w:eastAsiaTheme="minorEastAsia"/>
            <w:noProof/>
            <w:sz w:val="22"/>
            <w:szCs w:val="22"/>
            <w:lang w:eastAsia="ro-RO"/>
          </w:rPr>
          <w:tab/>
        </w:r>
        <w:r w:rsidRPr="00CA255A">
          <w:rPr>
            <w:rStyle w:val="Hyperlink"/>
            <w:noProof/>
          </w:rPr>
          <w:t>Dobânzi moratorii</w:t>
        </w:r>
        <w:r>
          <w:rPr>
            <w:noProof/>
            <w:webHidden/>
          </w:rPr>
          <w:tab/>
        </w:r>
        <w:r>
          <w:rPr>
            <w:noProof/>
            <w:webHidden/>
          </w:rPr>
          <w:fldChar w:fldCharType="begin"/>
        </w:r>
        <w:r>
          <w:rPr>
            <w:noProof/>
            <w:webHidden/>
          </w:rPr>
          <w:instrText xml:space="preserve"> PAGEREF _Toc199273599 \h </w:instrText>
        </w:r>
        <w:r>
          <w:rPr>
            <w:noProof/>
            <w:webHidden/>
          </w:rPr>
        </w:r>
        <w:r>
          <w:rPr>
            <w:noProof/>
            <w:webHidden/>
          </w:rPr>
          <w:fldChar w:fldCharType="separate"/>
        </w:r>
        <w:r>
          <w:rPr>
            <w:noProof/>
            <w:webHidden/>
          </w:rPr>
          <w:t>250</w:t>
        </w:r>
        <w:r>
          <w:rPr>
            <w:noProof/>
            <w:webHidden/>
          </w:rPr>
          <w:fldChar w:fldCharType="end"/>
        </w:r>
      </w:hyperlink>
    </w:p>
    <w:p w:rsidR="00690E9D" w:rsidRDefault="00690E9D">
      <w:pPr>
        <w:pStyle w:val="TOC3"/>
        <w:tabs>
          <w:tab w:val="left" w:pos="1361"/>
        </w:tabs>
        <w:rPr>
          <w:rFonts w:eastAsiaTheme="minorEastAsia"/>
          <w:noProof/>
          <w:sz w:val="22"/>
          <w:szCs w:val="22"/>
          <w:lang w:eastAsia="ro-RO"/>
        </w:rPr>
      </w:pPr>
      <w:hyperlink w:anchor="_Toc199273600" w:history="1">
        <w:r w:rsidRPr="00CA255A">
          <w:rPr>
            <w:rStyle w:val="Hyperlink"/>
            <w:noProof/>
          </w:rPr>
          <w:t>B.</w:t>
        </w:r>
        <w:r>
          <w:rPr>
            <w:rFonts w:eastAsiaTheme="minorEastAsia"/>
            <w:noProof/>
            <w:sz w:val="22"/>
            <w:szCs w:val="22"/>
            <w:lang w:eastAsia="ro-RO"/>
          </w:rPr>
          <w:tab/>
        </w:r>
        <w:r w:rsidRPr="00CA255A">
          <w:rPr>
            <w:rStyle w:val="Hyperlink"/>
            <w:noProof/>
          </w:rPr>
          <w:t>Art. 46 din Convenție</w:t>
        </w:r>
        <w:r>
          <w:rPr>
            <w:noProof/>
            <w:webHidden/>
          </w:rPr>
          <w:tab/>
        </w:r>
        <w:r>
          <w:rPr>
            <w:noProof/>
            <w:webHidden/>
          </w:rPr>
          <w:fldChar w:fldCharType="begin"/>
        </w:r>
        <w:r>
          <w:rPr>
            <w:noProof/>
            <w:webHidden/>
          </w:rPr>
          <w:instrText xml:space="preserve"> PAGEREF _Toc199273600 \h </w:instrText>
        </w:r>
        <w:r>
          <w:rPr>
            <w:noProof/>
            <w:webHidden/>
          </w:rPr>
        </w:r>
        <w:r>
          <w:rPr>
            <w:noProof/>
            <w:webHidden/>
          </w:rPr>
          <w:fldChar w:fldCharType="separate"/>
        </w:r>
        <w:r>
          <w:rPr>
            <w:noProof/>
            <w:webHidden/>
          </w:rPr>
          <w:t>250</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601" w:history="1">
        <w:r w:rsidRPr="00CA255A">
          <w:rPr>
            <w:rStyle w:val="Hyperlink"/>
            <w:noProof/>
          </w:rPr>
          <w:t>4.</w:t>
        </w:r>
        <w:r>
          <w:rPr>
            <w:rFonts w:eastAsiaTheme="minorEastAsia"/>
            <w:noProof/>
            <w:sz w:val="22"/>
            <w:szCs w:val="22"/>
            <w:lang w:eastAsia="ro-RO"/>
          </w:rPr>
          <w:tab/>
        </w:r>
        <w:r w:rsidRPr="00CA255A">
          <w:rPr>
            <w:rStyle w:val="Hyperlink"/>
            <w:noProof/>
          </w:rPr>
          <w:t>Argumentele părților</w:t>
        </w:r>
        <w:r>
          <w:rPr>
            <w:noProof/>
            <w:webHidden/>
          </w:rPr>
          <w:tab/>
        </w:r>
        <w:r>
          <w:rPr>
            <w:noProof/>
            <w:webHidden/>
          </w:rPr>
          <w:fldChar w:fldCharType="begin"/>
        </w:r>
        <w:r>
          <w:rPr>
            <w:noProof/>
            <w:webHidden/>
          </w:rPr>
          <w:instrText xml:space="preserve"> PAGEREF _Toc199273601 \h </w:instrText>
        </w:r>
        <w:r>
          <w:rPr>
            <w:noProof/>
            <w:webHidden/>
          </w:rPr>
        </w:r>
        <w:r>
          <w:rPr>
            <w:noProof/>
            <w:webHidden/>
          </w:rPr>
          <w:fldChar w:fldCharType="separate"/>
        </w:r>
        <w:r>
          <w:rPr>
            <w:noProof/>
            <w:webHidden/>
          </w:rPr>
          <w:t>250</w:t>
        </w:r>
        <w:r>
          <w:rPr>
            <w:noProof/>
            <w:webHidden/>
          </w:rPr>
          <w:fldChar w:fldCharType="end"/>
        </w:r>
      </w:hyperlink>
    </w:p>
    <w:p w:rsidR="00690E9D" w:rsidRDefault="00690E9D">
      <w:pPr>
        <w:pStyle w:val="TOC4"/>
        <w:tabs>
          <w:tab w:val="left" w:pos="1701"/>
        </w:tabs>
        <w:rPr>
          <w:rFonts w:eastAsiaTheme="minorEastAsia"/>
          <w:noProof/>
          <w:sz w:val="22"/>
          <w:szCs w:val="22"/>
          <w:lang w:eastAsia="ro-RO"/>
        </w:rPr>
      </w:pPr>
      <w:hyperlink w:anchor="_Toc199273602" w:history="1">
        <w:r w:rsidRPr="00CA255A">
          <w:rPr>
            <w:rStyle w:val="Hyperlink"/>
            <w:noProof/>
          </w:rPr>
          <w:t>5.</w:t>
        </w:r>
        <w:r>
          <w:rPr>
            <w:rFonts w:eastAsiaTheme="minorEastAsia"/>
            <w:noProof/>
            <w:sz w:val="22"/>
            <w:szCs w:val="22"/>
            <w:lang w:eastAsia="ro-RO"/>
          </w:rPr>
          <w:tab/>
        </w:r>
        <w:r w:rsidRPr="00CA255A">
          <w:rPr>
            <w:rStyle w:val="Hyperlink"/>
            <w:noProof/>
          </w:rPr>
          <w:t>Motivarea Curții</w:t>
        </w:r>
        <w:r>
          <w:rPr>
            <w:noProof/>
            <w:webHidden/>
          </w:rPr>
          <w:tab/>
        </w:r>
        <w:r>
          <w:rPr>
            <w:noProof/>
            <w:webHidden/>
          </w:rPr>
          <w:fldChar w:fldCharType="begin"/>
        </w:r>
        <w:r>
          <w:rPr>
            <w:noProof/>
            <w:webHidden/>
          </w:rPr>
          <w:instrText xml:space="preserve"> PAGEREF _Toc199273602 \h </w:instrText>
        </w:r>
        <w:r>
          <w:rPr>
            <w:noProof/>
            <w:webHidden/>
          </w:rPr>
        </w:r>
        <w:r>
          <w:rPr>
            <w:noProof/>
            <w:webHidden/>
          </w:rPr>
          <w:fldChar w:fldCharType="separate"/>
        </w:r>
        <w:r>
          <w:rPr>
            <w:noProof/>
            <w:webHidden/>
          </w:rPr>
          <w:t>251</w:t>
        </w:r>
        <w:r>
          <w:rPr>
            <w:noProof/>
            <w:webHidden/>
          </w:rPr>
          <w:fldChar w:fldCharType="end"/>
        </w:r>
      </w:hyperlink>
    </w:p>
    <w:p w:rsidR="00690E9D" w:rsidRDefault="00690E9D">
      <w:pPr>
        <w:pStyle w:val="TOC1"/>
        <w:rPr>
          <w:rFonts w:eastAsiaTheme="minorEastAsia"/>
          <w:b w:val="0"/>
          <w:noProof/>
          <w:szCs w:val="22"/>
          <w:lang w:eastAsia="ro-RO"/>
        </w:rPr>
      </w:pPr>
      <w:hyperlink w:anchor="_Toc199273603" w:history="1">
        <w:r w:rsidRPr="00CA255A">
          <w:rPr>
            <w:rStyle w:val="Hyperlink"/>
            <w:noProof/>
          </w:rPr>
          <w:t>PENTRU ACESTE MOTIVE, CURTEA</w:t>
        </w:r>
        <w:r>
          <w:rPr>
            <w:noProof/>
            <w:webHidden/>
          </w:rPr>
          <w:tab/>
        </w:r>
        <w:r>
          <w:rPr>
            <w:noProof/>
            <w:webHidden/>
          </w:rPr>
          <w:fldChar w:fldCharType="begin"/>
        </w:r>
        <w:r>
          <w:rPr>
            <w:noProof/>
            <w:webHidden/>
          </w:rPr>
          <w:instrText xml:space="preserve"> PAGEREF _Toc199273603 \h </w:instrText>
        </w:r>
        <w:r>
          <w:rPr>
            <w:noProof/>
            <w:webHidden/>
          </w:rPr>
        </w:r>
        <w:r>
          <w:rPr>
            <w:noProof/>
            <w:webHidden/>
          </w:rPr>
          <w:fldChar w:fldCharType="separate"/>
        </w:r>
        <w:r>
          <w:rPr>
            <w:noProof/>
            <w:webHidden/>
          </w:rPr>
          <w:t>252</w:t>
        </w:r>
        <w:r>
          <w:rPr>
            <w:noProof/>
            <w:webHidden/>
          </w:rPr>
          <w:fldChar w:fldCharType="end"/>
        </w:r>
      </w:hyperlink>
    </w:p>
    <w:p w:rsidR="00690E9D" w:rsidRDefault="00690E9D">
      <w:pPr>
        <w:pStyle w:val="TOC1"/>
        <w:rPr>
          <w:rFonts w:eastAsiaTheme="minorEastAsia"/>
          <w:b w:val="0"/>
          <w:noProof/>
          <w:szCs w:val="22"/>
          <w:lang w:eastAsia="ro-RO"/>
        </w:rPr>
      </w:pPr>
      <w:hyperlink w:anchor="_Toc199273604" w:history="1">
        <w:r w:rsidRPr="00CA255A">
          <w:rPr>
            <w:rStyle w:val="Hyperlink"/>
            <w:noProof/>
          </w:rPr>
          <w:t>OPINIA PARȚIAL CONCORDANTĂ ȘI PARȚIAL SEPARATĂ A JUDECĂTORULUI EICKE</w:t>
        </w:r>
        <w:r>
          <w:rPr>
            <w:noProof/>
            <w:webHidden/>
          </w:rPr>
          <w:tab/>
        </w:r>
        <w:r>
          <w:rPr>
            <w:noProof/>
            <w:webHidden/>
          </w:rPr>
          <w:fldChar w:fldCharType="begin"/>
        </w:r>
        <w:r>
          <w:rPr>
            <w:noProof/>
            <w:webHidden/>
          </w:rPr>
          <w:instrText xml:space="preserve"> PAGEREF _Toc199273604 \h </w:instrText>
        </w:r>
        <w:r>
          <w:rPr>
            <w:noProof/>
            <w:webHidden/>
          </w:rPr>
        </w:r>
        <w:r>
          <w:rPr>
            <w:noProof/>
            <w:webHidden/>
          </w:rPr>
          <w:fldChar w:fldCharType="separate"/>
        </w:r>
        <w:r>
          <w:rPr>
            <w:noProof/>
            <w:webHidden/>
          </w:rPr>
          <w:t>254</w:t>
        </w:r>
        <w:r>
          <w:rPr>
            <w:noProof/>
            <w:webHidden/>
          </w:rPr>
          <w:fldChar w:fldCharType="end"/>
        </w:r>
      </w:hyperlink>
    </w:p>
    <w:p w:rsidR="00690E9D" w:rsidRDefault="00690E9D">
      <w:pPr>
        <w:pStyle w:val="TOC1"/>
        <w:rPr>
          <w:rFonts w:eastAsiaTheme="minorEastAsia"/>
          <w:b w:val="0"/>
          <w:noProof/>
          <w:szCs w:val="22"/>
          <w:lang w:eastAsia="ro-RO"/>
        </w:rPr>
      </w:pPr>
      <w:hyperlink w:anchor="_Toc199273605" w:history="1">
        <w:r w:rsidRPr="00CA255A">
          <w:rPr>
            <w:rStyle w:val="Hyperlink"/>
            <w:noProof/>
          </w:rPr>
          <w:t>Introducere</w:t>
        </w:r>
        <w:r>
          <w:rPr>
            <w:noProof/>
            <w:webHidden/>
          </w:rPr>
          <w:tab/>
        </w:r>
        <w:r>
          <w:rPr>
            <w:noProof/>
            <w:webHidden/>
          </w:rPr>
          <w:fldChar w:fldCharType="begin"/>
        </w:r>
        <w:r>
          <w:rPr>
            <w:noProof/>
            <w:webHidden/>
          </w:rPr>
          <w:instrText xml:space="preserve"> PAGEREF _Toc199273605 \h </w:instrText>
        </w:r>
        <w:r>
          <w:rPr>
            <w:noProof/>
            <w:webHidden/>
          </w:rPr>
        </w:r>
        <w:r>
          <w:rPr>
            <w:noProof/>
            <w:webHidden/>
          </w:rPr>
          <w:fldChar w:fldCharType="separate"/>
        </w:r>
        <w:r>
          <w:rPr>
            <w:noProof/>
            <w:webHidden/>
          </w:rPr>
          <w:t>254</w:t>
        </w:r>
        <w:r>
          <w:rPr>
            <w:noProof/>
            <w:webHidden/>
          </w:rPr>
          <w:fldChar w:fldCharType="end"/>
        </w:r>
      </w:hyperlink>
    </w:p>
    <w:p w:rsidR="00690E9D" w:rsidRDefault="00690E9D">
      <w:pPr>
        <w:pStyle w:val="TOC1"/>
        <w:rPr>
          <w:rFonts w:eastAsiaTheme="minorEastAsia"/>
          <w:b w:val="0"/>
          <w:noProof/>
          <w:szCs w:val="22"/>
          <w:lang w:eastAsia="ro-RO"/>
        </w:rPr>
      </w:pPr>
      <w:hyperlink w:anchor="_Toc199273606" w:history="1">
        <w:r w:rsidRPr="00CA255A">
          <w:rPr>
            <w:rStyle w:val="Hyperlink"/>
            <w:noProof/>
          </w:rPr>
          <w:t>Context</w:t>
        </w:r>
        <w:r>
          <w:rPr>
            <w:noProof/>
            <w:webHidden/>
          </w:rPr>
          <w:tab/>
        </w:r>
        <w:r>
          <w:rPr>
            <w:noProof/>
            <w:webHidden/>
          </w:rPr>
          <w:fldChar w:fldCharType="begin"/>
        </w:r>
        <w:r>
          <w:rPr>
            <w:noProof/>
            <w:webHidden/>
          </w:rPr>
          <w:instrText xml:space="preserve"> PAGEREF _Toc199273606 \h </w:instrText>
        </w:r>
        <w:r>
          <w:rPr>
            <w:noProof/>
            <w:webHidden/>
          </w:rPr>
        </w:r>
        <w:r>
          <w:rPr>
            <w:noProof/>
            <w:webHidden/>
          </w:rPr>
          <w:fldChar w:fldCharType="separate"/>
        </w:r>
        <w:r>
          <w:rPr>
            <w:noProof/>
            <w:webHidden/>
          </w:rPr>
          <w:t>255</w:t>
        </w:r>
        <w:r>
          <w:rPr>
            <w:noProof/>
            <w:webHidden/>
          </w:rPr>
          <w:fldChar w:fldCharType="end"/>
        </w:r>
      </w:hyperlink>
    </w:p>
    <w:p w:rsidR="00690E9D" w:rsidRDefault="00690E9D">
      <w:pPr>
        <w:pStyle w:val="TOC1"/>
        <w:rPr>
          <w:rFonts w:eastAsiaTheme="minorEastAsia"/>
          <w:b w:val="0"/>
          <w:noProof/>
          <w:szCs w:val="22"/>
          <w:lang w:eastAsia="ro-RO"/>
        </w:rPr>
      </w:pPr>
      <w:hyperlink w:anchor="_Toc199273607" w:history="1">
        <w:r w:rsidRPr="00CA255A">
          <w:rPr>
            <w:rStyle w:val="Hyperlink"/>
            <w:noProof/>
          </w:rPr>
          <w:t>Rolul Curții și interpretarea evolutivă</w:t>
        </w:r>
        <w:r>
          <w:rPr>
            <w:noProof/>
            <w:webHidden/>
          </w:rPr>
          <w:tab/>
        </w:r>
        <w:r>
          <w:rPr>
            <w:noProof/>
            <w:webHidden/>
          </w:rPr>
          <w:fldChar w:fldCharType="begin"/>
        </w:r>
        <w:r>
          <w:rPr>
            <w:noProof/>
            <w:webHidden/>
          </w:rPr>
          <w:instrText xml:space="preserve"> PAGEREF _Toc199273607 \h </w:instrText>
        </w:r>
        <w:r>
          <w:rPr>
            <w:noProof/>
            <w:webHidden/>
          </w:rPr>
        </w:r>
        <w:r>
          <w:rPr>
            <w:noProof/>
            <w:webHidden/>
          </w:rPr>
          <w:fldChar w:fldCharType="separate"/>
        </w:r>
        <w:r>
          <w:rPr>
            <w:noProof/>
            <w:webHidden/>
          </w:rPr>
          <w:t>261</w:t>
        </w:r>
        <w:r>
          <w:rPr>
            <w:noProof/>
            <w:webHidden/>
          </w:rPr>
          <w:fldChar w:fldCharType="end"/>
        </w:r>
      </w:hyperlink>
    </w:p>
    <w:p w:rsidR="00690E9D" w:rsidRDefault="00690E9D">
      <w:pPr>
        <w:pStyle w:val="TOC1"/>
        <w:rPr>
          <w:rFonts w:eastAsiaTheme="minorEastAsia"/>
          <w:b w:val="0"/>
          <w:noProof/>
          <w:szCs w:val="22"/>
          <w:lang w:eastAsia="ro-RO"/>
        </w:rPr>
      </w:pPr>
      <w:hyperlink w:anchor="_Toc199273608" w:history="1">
        <w:r w:rsidRPr="00CA255A">
          <w:rPr>
            <w:rStyle w:val="Hyperlink"/>
            <w:noProof/>
          </w:rPr>
          <w:t>Cu privire la calitatea de „victimă” / calitatea procesuală</w:t>
        </w:r>
        <w:r>
          <w:rPr>
            <w:noProof/>
            <w:webHidden/>
          </w:rPr>
          <w:tab/>
        </w:r>
        <w:r>
          <w:rPr>
            <w:noProof/>
            <w:webHidden/>
          </w:rPr>
          <w:fldChar w:fldCharType="begin"/>
        </w:r>
        <w:r>
          <w:rPr>
            <w:noProof/>
            <w:webHidden/>
          </w:rPr>
          <w:instrText xml:space="preserve"> PAGEREF _Toc199273608 \h </w:instrText>
        </w:r>
        <w:r>
          <w:rPr>
            <w:noProof/>
            <w:webHidden/>
          </w:rPr>
        </w:r>
        <w:r>
          <w:rPr>
            <w:noProof/>
            <w:webHidden/>
          </w:rPr>
          <w:fldChar w:fldCharType="separate"/>
        </w:r>
        <w:r>
          <w:rPr>
            <w:noProof/>
            <w:webHidden/>
          </w:rPr>
          <w:t>264</w:t>
        </w:r>
        <w:r>
          <w:rPr>
            <w:noProof/>
            <w:webHidden/>
          </w:rPr>
          <w:fldChar w:fldCharType="end"/>
        </w:r>
      </w:hyperlink>
    </w:p>
    <w:p w:rsidR="00690E9D" w:rsidRDefault="00690E9D">
      <w:pPr>
        <w:pStyle w:val="TOC1"/>
        <w:rPr>
          <w:rFonts w:eastAsiaTheme="minorEastAsia"/>
          <w:b w:val="0"/>
          <w:noProof/>
          <w:szCs w:val="22"/>
          <w:lang w:eastAsia="ro-RO"/>
        </w:rPr>
      </w:pPr>
      <w:hyperlink w:anchor="_Toc199273609" w:history="1">
        <w:r w:rsidRPr="00CA255A">
          <w:rPr>
            <w:rStyle w:val="Hyperlink"/>
            <w:noProof/>
          </w:rPr>
          <w:t>Art. 6 – accesul la o instanță</w:t>
        </w:r>
        <w:r>
          <w:rPr>
            <w:noProof/>
            <w:webHidden/>
          </w:rPr>
          <w:tab/>
        </w:r>
        <w:r>
          <w:rPr>
            <w:noProof/>
            <w:webHidden/>
          </w:rPr>
          <w:fldChar w:fldCharType="begin"/>
        </w:r>
        <w:r>
          <w:rPr>
            <w:noProof/>
            <w:webHidden/>
          </w:rPr>
          <w:instrText xml:space="preserve"> PAGEREF _Toc199273609 \h </w:instrText>
        </w:r>
        <w:r>
          <w:rPr>
            <w:noProof/>
            <w:webHidden/>
          </w:rPr>
        </w:r>
        <w:r>
          <w:rPr>
            <w:noProof/>
            <w:webHidden/>
          </w:rPr>
          <w:fldChar w:fldCharType="separate"/>
        </w:r>
        <w:r>
          <w:rPr>
            <w:noProof/>
            <w:webHidden/>
          </w:rPr>
          <w:t>275</w:t>
        </w:r>
        <w:r>
          <w:rPr>
            <w:noProof/>
            <w:webHidden/>
          </w:rPr>
          <w:fldChar w:fldCharType="end"/>
        </w:r>
      </w:hyperlink>
    </w:p>
    <w:p w:rsidR="00690E9D" w:rsidRDefault="00690E9D">
      <w:pPr>
        <w:pStyle w:val="TOC1"/>
        <w:rPr>
          <w:rFonts w:eastAsiaTheme="minorEastAsia"/>
          <w:b w:val="0"/>
          <w:noProof/>
          <w:szCs w:val="22"/>
          <w:lang w:eastAsia="ro-RO"/>
        </w:rPr>
      </w:pPr>
      <w:hyperlink w:anchor="_Toc199273610" w:history="1">
        <w:r w:rsidRPr="00CA255A">
          <w:rPr>
            <w:rStyle w:val="Hyperlink"/>
            <w:noProof/>
          </w:rPr>
          <w:t>Art. 2 și 8 – crearea unui nou drept</w:t>
        </w:r>
        <w:r>
          <w:rPr>
            <w:noProof/>
            <w:webHidden/>
          </w:rPr>
          <w:tab/>
        </w:r>
        <w:r>
          <w:rPr>
            <w:noProof/>
            <w:webHidden/>
          </w:rPr>
          <w:fldChar w:fldCharType="begin"/>
        </w:r>
        <w:r>
          <w:rPr>
            <w:noProof/>
            <w:webHidden/>
          </w:rPr>
          <w:instrText xml:space="preserve"> PAGEREF _Toc199273610 \h </w:instrText>
        </w:r>
        <w:r>
          <w:rPr>
            <w:noProof/>
            <w:webHidden/>
          </w:rPr>
        </w:r>
        <w:r>
          <w:rPr>
            <w:noProof/>
            <w:webHidden/>
          </w:rPr>
          <w:fldChar w:fldCharType="separate"/>
        </w:r>
        <w:r>
          <w:rPr>
            <w:noProof/>
            <w:webHidden/>
          </w:rPr>
          <w:t>278</w:t>
        </w:r>
        <w:r>
          <w:rPr>
            <w:noProof/>
            <w:webHidden/>
          </w:rPr>
          <w:fldChar w:fldCharType="end"/>
        </w:r>
      </w:hyperlink>
    </w:p>
    <w:p w:rsidR="00690E9D" w:rsidRDefault="00690E9D">
      <w:pPr>
        <w:pStyle w:val="TOC1"/>
        <w:rPr>
          <w:rFonts w:eastAsiaTheme="minorEastAsia"/>
          <w:b w:val="0"/>
          <w:noProof/>
          <w:szCs w:val="22"/>
          <w:lang w:eastAsia="ro-RO"/>
        </w:rPr>
      </w:pPr>
      <w:hyperlink w:anchor="_Toc199273611" w:history="1">
        <w:r w:rsidRPr="00CA255A">
          <w:rPr>
            <w:rStyle w:val="Hyperlink"/>
            <w:noProof/>
          </w:rPr>
          <w:t>Concluzie</w:t>
        </w:r>
        <w:r>
          <w:rPr>
            <w:noProof/>
            <w:webHidden/>
          </w:rPr>
          <w:tab/>
        </w:r>
        <w:r>
          <w:rPr>
            <w:noProof/>
            <w:webHidden/>
          </w:rPr>
          <w:fldChar w:fldCharType="begin"/>
        </w:r>
        <w:r>
          <w:rPr>
            <w:noProof/>
            <w:webHidden/>
          </w:rPr>
          <w:instrText xml:space="preserve"> PAGEREF _Toc199273611 \h </w:instrText>
        </w:r>
        <w:r>
          <w:rPr>
            <w:noProof/>
            <w:webHidden/>
          </w:rPr>
        </w:r>
        <w:r>
          <w:rPr>
            <w:noProof/>
            <w:webHidden/>
          </w:rPr>
          <w:fldChar w:fldCharType="separate"/>
        </w:r>
        <w:r>
          <w:rPr>
            <w:noProof/>
            <w:webHidden/>
          </w:rPr>
          <w:t>282</w:t>
        </w:r>
        <w:r>
          <w:rPr>
            <w:noProof/>
            <w:webHidden/>
          </w:rPr>
          <w:fldChar w:fldCharType="end"/>
        </w:r>
      </w:hyperlink>
    </w:p>
    <w:p w:rsidR="00E5758E" w:rsidRPr="00472687" w:rsidRDefault="0052083E" w:rsidP="00472687">
      <w:pPr>
        <w:pStyle w:val="TOC1"/>
      </w:pPr>
      <w:r w:rsidRPr="00472687">
        <w:fldChar w:fldCharType="end"/>
      </w:r>
      <w:r>
        <w:br w:type="page"/>
      </w:r>
    </w:p>
    <w:p w:rsidR="00F47ACE" w:rsidRPr="00472687" w:rsidRDefault="0052083E" w:rsidP="00472687">
      <w:pPr>
        <w:pStyle w:val="JuCase"/>
      </w:pPr>
      <w:r>
        <w:lastRenderedPageBreak/>
        <w:t>În cauza Verein KlimaSeniorinnen Schweiz și altele împotriva Elveției,</w:t>
      </w:r>
    </w:p>
    <w:p w:rsidR="00F47ACE" w:rsidRPr="00472687" w:rsidRDefault="0052083E" w:rsidP="00472687">
      <w:pPr>
        <w:pStyle w:val="JuPara"/>
      </w:pPr>
      <w:r>
        <w:t>Curtea Europeană a Drepturilor Omului, reunită în Marea Cameră compusă din:</w:t>
      </w:r>
    </w:p>
    <w:p w:rsidR="00F47ACE" w:rsidRPr="00472687" w:rsidRDefault="0052083E" w:rsidP="00472687">
      <w:pPr>
        <w:pStyle w:val="JuJudges"/>
      </w:pPr>
      <w:r>
        <w:tab/>
        <w:t>Síofra O’Leary,</w:t>
      </w:r>
      <w:r>
        <w:br/>
      </w:r>
      <w:r>
        <w:tab/>
        <w:t>Georges Ravarani,</w:t>
      </w:r>
      <w:r>
        <w:br/>
      </w:r>
      <w:r>
        <w:tab/>
        <w:t>Marko Bošnjak,</w:t>
      </w:r>
      <w:r>
        <w:br/>
      </w:r>
      <w:r>
        <w:tab/>
        <w:t>Gabriele Kucsko-Stadlmayer,</w:t>
      </w:r>
      <w:r>
        <w:br/>
      </w:r>
      <w:r>
        <w:tab/>
        <w:t>Pere Pastor Vilanova,</w:t>
      </w:r>
      <w:r>
        <w:br/>
      </w:r>
      <w:r>
        <w:tab/>
        <w:t>Arnfinn Bårdsen,</w:t>
      </w:r>
      <w:r>
        <w:br/>
      </w:r>
      <w:r>
        <w:tab/>
        <w:t>Pauliine Koskelo,</w:t>
      </w:r>
      <w:r>
        <w:br/>
      </w:r>
      <w:r>
        <w:tab/>
        <w:t>Tim Eicke,</w:t>
      </w:r>
      <w:r>
        <w:br/>
      </w:r>
      <w:r>
        <w:tab/>
        <w:t>Jovan Ilievski,</w:t>
      </w:r>
      <w:r>
        <w:br/>
      </w:r>
      <w:r>
        <w:tab/>
        <w:t>Darian Pavli,</w:t>
      </w:r>
      <w:r>
        <w:br/>
      </w:r>
      <w:r>
        <w:tab/>
        <w:t>Raffaele Sabato,</w:t>
      </w:r>
      <w:r>
        <w:br/>
      </w:r>
      <w:r>
        <w:tab/>
        <w:t>Lorraine Schembri Orland,</w:t>
      </w:r>
      <w:r>
        <w:br/>
      </w:r>
      <w:r>
        <w:tab/>
        <w:t>Anja Seibert-Fohr,</w:t>
      </w:r>
      <w:r>
        <w:br/>
      </w:r>
      <w:r>
        <w:tab/>
        <w:t>Peeter Roosma,</w:t>
      </w:r>
      <w:r>
        <w:br/>
      </w:r>
      <w:r>
        <w:tab/>
        <w:t>Ana Maria Guerra Martins,</w:t>
      </w:r>
      <w:r>
        <w:br/>
      </w:r>
      <w:r>
        <w:tab/>
        <w:t>Mattias Guyomar,</w:t>
      </w:r>
      <w:r>
        <w:br/>
      </w:r>
      <w:r>
        <w:tab/>
        <w:t>Andreas Zünd</w:t>
      </w:r>
      <w:r>
        <w:rPr>
          <w:i/>
        </w:rPr>
        <w:t>, judecători</w:t>
      </w:r>
      <w:r>
        <w:t>,</w:t>
      </w:r>
    </w:p>
    <w:p w:rsidR="00F47ACE" w:rsidRPr="00472687" w:rsidRDefault="0052083E" w:rsidP="00472687">
      <w:pPr>
        <w:pStyle w:val="JuJudges"/>
      </w:pPr>
      <w:r>
        <w:t xml:space="preserve">și Søren Prebensen, </w:t>
      </w:r>
      <w:r>
        <w:rPr>
          <w:i/>
          <w:iCs/>
        </w:rPr>
        <w:t>grefier adjunct al Marii Camere</w:t>
      </w:r>
      <w:r>
        <w:t>,</w:t>
      </w:r>
    </w:p>
    <w:p w:rsidR="00F47ACE" w:rsidRPr="00472687" w:rsidRDefault="0052083E" w:rsidP="00472687">
      <w:pPr>
        <w:pStyle w:val="JuPara"/>
      </w:pPr>
      <w:r>
        <w:t>după ce a deliberat în camera de consiliu, la 30 martie 2023, la 6 și 7 decembrie 2023 și la 14 februarie 2024,</w:t>
      </w:r>
    </w:p>
    <w:p w:rsidR="00F47ACE" w:rsidRPr="00472687" w:rsidRDefault="0052083E" w:rsidP="00472687">
      <w:pPr>
        <w:pStyle w:val="JuPara"/>
      </w:pPr>
      <w:r>
        <w:t>pronunță prezenta hotărâre, adoptată la cea din urmă dată:</w:t>
      </w:r>
    </w:p>
    <w:p w:rsidR="00F47ACE" w:rsidRPr="00472687" w:rsidRDefault="0052083E" w:rsidP="00472687">
      <w:pPr>
        <w:pStyle w:val="JuHHead"/>
        <w:numPr>
          <w:ilvl w:val="0"/>
          <w:numId w:val="28"/>
        </w:numPr>
      </w:pPr>
      <w:bookmarkStart w:id="3" w:name="_Toc149127497"/>
      <w:bookmarkStart w:id="4" w:name="_Toc158019676"/>
      <w:bookmarkStart w:id="5" w:name="_Toc199273404"/>
      <w:r>
        <w:t>PROCEDURA</w:t>
      </w:r>
      <w:bookmarkEnd w:id="3"/>
      <w:bookmarkEnd w:id="4"/>
      <w:bookmarkEnd w:id="5"/>
    </w:p>
    <w:p w:rsidR="00F47ACE" w:rsidRPr="00472687" w:rsidRDefault="00FD3281" w:rsidP="00472687">
      <w:pPr>
        <w:pStyle w:val="JuPara"/>
        <w:rPr>
          <w:b/>
          <w:bCs/>
        </w:rPr>
      </w:pPr>
      <w:r>
        <w:fldChar w:fldCharType="begin"/>
      </w:r>
      <w:r>
        <w:instrText xml:space="preserve"> SEQ level0 \*arabic </w:instrText>
      </w:r>
      <w:r>
        <w:fldChar w:fldCharType="separate"/>
      </w:r>
      <w:r w:rsidR="00472687" w:rsidRPr="00472687">
        <w:t>1</w:t>
      </w:r>
      <w:r>
        <w:fldChar w:fldCharType="end"/>
      </w:r>
      <w:r w:rsidR="0052083E">
        <w:t>. La originea cauzei se află cererea nr. 53600/20 îndreptată împotriva Confederației Elvețiene, prin care o asociație de drept elvețian, Verein KlimaSeniorinnen Schweiz, și patru resortisante elvețiene, doamna  Ruth Schaub, doamna Marie-Eve Volkoff Peschon, doamna Bruna Giovanna Olimpia Molinari și doamna Marie Gabrielle Thérèse Budry („reclamantele”), toate patru membre ale asociației, au sesizat Curtea la 26 noiembrie 2020,</w:t>
      </w:r>
      <w:r w:rsidR="0052083E">
        <w:rPr>
          <w:b/>
        </w:rPr>
        <w:t xml:space="preserve"> </w:t>
      </w:r>
      <w:r w:rsidR="0052083E">
        <w:t>în temeiul art. 34 din Convenția pentru apărarea drepturilor omului și a libertăților fundamentale („Convenția”).</w:t>
      </w:r>
    </w:p>
    <w:p w:rsidR="00F47ACE" w:rsidRPr="00472687" w:rsidRDefault="00FD3281" w:rsidP="00472687">
      <w:pPr>
        <w:pStyle w:val="JuPara"/>
      </w:pPr>
      <w:r>
        <w:fldChar w:fldCharType="begin"/>
      </w:r>
      <w:r>
        <w:instrText xml:space="preserve"> SEQ level0 \*arabic </w:instrText>
      </w:r>
      <w:r>
        <w:fldChar w:fldCharType="separate"/>
      </w:r>
      <w:r w:rsidR="00472687" w:rsidRPr="00472687">
        <w:t>2</w:t>
      </w:r>
      <w:r>
        <w:fldChar w:fldCharType="end"/>
      </w:r>
      <w:r w:rsidR="0052083E">
        <w:t>. Reclamantele au fost reprezentate de  C.C. Bähr și  M. Looser, avocați în Zürich, J. Simor KC și M. Willers KC, avocați în Londra, și R. Mahaim, avocat în Lausanne. Guvernul elvețian („Guvernul”) a fost reprezentat de agentul guvernamental, domnul A. Chablais, din cadrul Biroului Federal de Justiție.</w:t>
      </w:r>
    </w:p>
    <w:p w:rsidR="00F47ACE" w:rsidRPr="00472687" w:rsidRDefault="00FD3281" w:rsidP="00472687">
      <w:pPr>
        <w:pStyle w:val="JuPara"/>
      </w:pPr>
      <w:r>
        <w:fldChar w:fldCharType="begin"/>
      </w:r>
      <w:r>
        <w:instrText xml:space="preserve"> SEQ level0 \*arabic </w:instrText>
      </w:r>
      <w:r>
        <w:fldChar w:fldCharType="separate"/>
      </w:r>
      <w:r w:rsidR="00472687" w:rsidRPr="00472687">
        <w:t>3</w:t>
      </w:r>
      <w:r>
        <w:fldChar w:fldCharType="end"/>
      </w:r>
      <w:r w:rsidR="0052083E">
        <w:t>. Reclamantele s-au plâns în special cu privire la diferite omisiuni ale autorităților elvețiene în domeniul atenuării schimbărilor climatice. Acestea invocă art. 2, 6, 8 și 13 din Convenție.</w:t>
      </w:r>
    </w:p>
    <w:p w:rsidR="00F47ACE" w:rsidRPr="00472687" w:rsidRDefault="00FD3281" w:rsidP="00472687">
      <w:pPr>
        <w:pStyle w:val="JuPara"/>
      </w:pPr>
      <w:r>
        <w:lastRenderedPageBreak/>
        <w:fldChar w:fldCharType="begin"/>
      </w:r>
      <w:r>
        <w:instrText xml:space="preserve"> SEQ level0 \*arabic </w:instrText>
      </w:r>
      <w:r>
        <w:fldChar w:fldCharType="separate"/>
      </w:r>
      <w:r w:rsidR="00472687" w:rsidRPr="00472687">
        <w:t>4</w:t>
      </w:r>
      <w:r>
        <w:fldChar w:fldCharType="end"/>
      </w:r>
      <w:r w:rsidR="0052083E">
        <w:t>. Cererea a fost repartizată Secției a treia a Curții (art. 52 § 1 din Regulamentul Curții – „Regulamentul”). La 26 aprilie 2022, Camera căreia i-a fost repartizată cererea s-a desesizat în favoarea Marii Camere; niciuna din părți nu s-a opus la aceasta (art. 30 din Convenție și art. 72 din Regulament).</w:t>
      </w:r>
    </w:p>
    <w:bookmarkStart w:id="6" w:name="paragraph00005"/>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5</w:t>
      </w:r>
      <w:r w:rsidRPr="00472687">
        <w:fldChar w:fldCharType="end"/>
      </w:r>
      <w:bookmarkEnd w:id="6"/>
      <w:r>
        <w:t xml:space="preserve">. Compunerea Marii Camere a fost stabilită în conformitate cu art. 26 § 4 și § 5 din Convenție și art. 24 din Regulament. Președintele Curții a decis că, în interesul bunei administrări a justiției, prezenta cauză trebuie să fie repartizată aceluiași complet al Marii Camere ca și cauzele </w:t>
      </w:r>
      <w:r>
        <w:rPr>
          <w:i/>
        </w:rPr>
        <w:t>Carême împotriva Franței</w:t>
      </w:r>
      <w:r>
        <w:t xml:space="preserve"> (cererea nr. 7189/21) și </w:t>
      </w:r>
      <w:r>
        <w:rPr>
          <w:i/>
        </w:rPr>
        <w:t xml:space="preserve">Duarte Agostinho și alții împotriva Portugaliei și a altor 32 de state </w:t>
      </w:r>
      <w:r>
        <w:t>(cererea nr. 39371/20) (art. 24, 42 § 2 și 71 din Regulament), care au făcut de asemenea obiectul unei desesizări, de către o Cameră a Secției a cincea și, respectiv, o Cameră a Secției a patra.</w:t>
      </w:r>
    </w:p>
    <w:p w:rsidR="00985409" w:rsidRPr="00472687" w:rsidRDefault="00472687" w:rsidP="00472687">
      <w:pPr>
        <w:pStyle w:val="JuPara"/>
      </w:pPr>
      <w:r w:rsidRPr="00472687">
        <w:fldChar w:fldCharType="begin"/>
      </w:r>
      <w:r w:rsidR="0052083E">
        <w:instrText xml:space="preserve"> SEQ level0 \*arabic \* MERGEFORMAT </w:instrText>
      </w:r>
      <w:r w:rsidRPr="00472687">
        <w:fldChar w:fldCharType="separate"/>
      </w:r>
      <w:r w:rsidRPr="00472687">
        <w:t>6</w:t>
      </w:r>
      <w:r w:rsidRPr="00472687">
        <w:fldChar w:fldCharType="end"/>
      </w:r>
      <w:r>
        <w:t>. Atât reclamantele, cât și Guvernul au depus un memoriu cu privire la admisibilitatea și fondul cauzei. În plus, după ce au primit încuviințarea președintelui (Marii Camere) să intervină în procedura scrisă (art. 36 § 2 din Convenție și art. 44 § 3 din Regulament, următorii terți intervenienți au adresat Curții observațiile lor: guvernele austriac, irlandez, italian, leton, norvegian, portughez, român și slovac.</w:t>
      </w:r>
    </w:p>
    <w:p w:rsidR="00F47ACE" w:rsidRPr="00472687" w:rsidRDefault="00472687" w:rsidP="00472687">
      <w:pPr>
        <w:pStyle w:val="JuPara"/>
      </w:pPr>
      <w:r w:rsidRPr="00472687">
        <w:fldChar w:fldCharType="begin"/>
      </w:r>
      <w:r w:rsidR="0052083E">
        <w:instrText xml:space="preserve"> SEQ level0 \*arabic \* MERGEFORMAT </w:instrText>
      </w:r>
      <w:r w:rsidRPr="00472687">
        <w:fldChar w:fldCharType="separate"/>
      </w:r>
      <w:r w:rsidRPr="00472687">
        <w:t>7</w:t>
      </w:r>
      <w:r w:rsidRPr="00472687">
        <w:fldChar w:fldCharType="end"/>
      </w:r>
      <w:r>
        <w:t>. De asemenea, după ce au primit încuviințarea președintelui, următoarele entități au prezentat Curții observații: Înaltul Comisar al Organizației Națiunilor Unite pentru Drepturile Omului; Raportorul special al ONU privind substanțele toxice și drepturile omului și Raportorul special al ONU privind drepturile omului și mediul; Expertul independent privind exercitarea tuturor drepturilor omului de către persoanele în vârstă; Comisia Internațională a Juriștilor (CIJ) și filiala elvețiană a CIJ (CIJ-CH); Rețeaua europeană a instituțiilor naționale din domeniul drepturilor omului (European Network of National Human Rights Institutions, ENNHRI); Rețeaua internațională pentru drepturile economice, sociale și culturale (International Network for Economic, Social and Cultural Rights, ESCR-Net), care a prezentat observații coordonate; Centrul pentru Drepturile Omului din cadrul Universității din Gent (Centre des droits de l’homme de l’université de Gand); profesorii Evelyne Schmid și Véronique Boillet (Universitatea din Lausanne); profesorii Sonia I. Seneviratne și Andreas Fischlin (Școala Politehnică Federală din Zürich); Global Justice Clinic; Climate Litigation Accelerator și profesorul C. Voigt (Universitatea din Oslo); ClientEarth; Our Children’s Trust, Oxfam France și Oxfam International și afiliații acesteia (Oxfam); grupul de cadre universitare de la Universitatea din Berna (profesorii Claus Beisbart, Thomas Frölicher, Martin Grosjean, Karin Ingold, Fortunat Joos, Jörg Künzli, C. Christoph Raible, Thomas Stocker, Ralph Winkler și Judith Wyttenbach, și doctorii Ana M. Vicedo</w:t>
      </w:r>
      <w:r>
        <w:noBreakHyphen/>
        <w:t>Cabrera și Charlotte Blattner); Centrul de Drept Internațional al Mediului (Center for International Environmental Law) și doctorul Margaretha Wewerinke</w:t>
      </w:r>
      <w:r>
        <w:noBreakHyphen/>
        <w:t xml:space="preserve">Singh; Centrul Sabin de cercetare în domeniul dreptului schimbărilor climatice </w:t>
      </w:r>
      <w:r>
        <w:lastRenderedPageBreak/>
        <w:t>(Sabin Center for Climate Change Law) [Facultatea de Drept a Universității Columbia (Columbia Law School)]; și Germanwatch, Greenpeace Germania și Scientists for Future (Oameni de știință pentru viitor).</w:t>
      </w:r>
    </w:p>
    <w:p w:rsidR="00EF402E" w:rsidRPr="00472687" w:rsidRDefault="00472687" w:rsidP="00472687">
      <w:pPr>
        <w:pStyle w:val="JuPara"/>
      </w:pPr>
      <w:r w:rsidRPr="00472687">
        <w:fldChar w:fldCharType="begin"/>
      </w:r>
      <w:r w:rsidR="0052083E">
        <w:instrText xml:space="preserve"> SEQ level0 \*arabic \* MERGEFORMAT </w:instrText>
      </w:r>
      <w:r w:rsidRPr="00472687">
        <w:fldChar w:fldCharType="separate"/>
      </w:r>
      <w:r w:rsidRPr="00472687">
        <w:t>8</w:t>
      </w:r>
      <w:r w:rsidRPr="00472687">
        <w:fldChar w:fldCharType="end"/>
      </w:r>
      <w:r>
        <w:t xml:space="preserve">. La 11 ianuarie 2023, Marea Cameră a decis că, în interesul bunei administrări a justiției, era necesar ca, după finalizarea procedurii scrise din aceste trei cauze, procedura orală să fie organizată în două etape, astfel încât ședința în prezenta cauză și în cauza </w:t>
      </w:r>
      <w:r>
        <w:rPr>
          <w:i/>
        </w:rPr>
        <w:t>Carême împotriva Franței</w:t>
      </w:r>
      <w:r>
        <w:t xml:space="preserve"> să se desfășoare la 29 martie 2023 și ședința în cauza </w:t>
      </w:r>
      <w:r>
        <w:rPr>
          <w:i/>
        </w:rPr>
        <w:t>Duarte Agostinho și alții împotriva Portugaliei și a altor 32</w:t>
      </w:r>
      <w:r>
        <w:t xml:space="preserve"> </w:t>
      </w:r>
      <w:r>
        <w:rPr>
          <w:i/>
          <w:iCs/>
        </w:rPr>
        <w:t>de state</w:t>
      </w:r>
      <w:r>
        <w:t xml:space="preserve"> să se desfășoare într-o etapă ulterioară, în fața aceluiași complet al Marii Camere (această ședință a avut loc la 27 septembrie 2023). Ulterior, Armen Harutyunyan, care nu a putut participa la judecarea cauzei, a fost înlocuit de Jovan Ilievski, judecător supleant (art. 24 § 3 din Regulament).</w:t>
      </w:r>
    </w:p>
    <w:p w:rsidR="00F47ACE" w:rsidRPr="00472687" w:rsidRDefault="00FD3281" w:rsidP="00472687">
      <w:pPr>
        <w:pStyle w:val="JuPara"/>
      </w:pPr>
      <w:r>
        <w:fldChar w:fldCharType="begin"/>
      </w:r>
      <w:r>
        <w:instrText xml:space="preserve"> SEQ level0 \*arabic </w:instrText>
      </w:r>
      <w:r>
        <w:fldChar w:fldCharType="separate"/>
      </w:r>
      <w:r w:rsidR="00472687" w:rsidRPr="00472687">
        <w:t>9</w:t>
      </w:r>
      <w:r>
        <w:fldChar w:fldCharType="end"/>
      </w:r>
      <w:r w:rsidR="0052083E">
        <w:t>. La 29 martie 2023, a avut loc o ședință publică la Palatul Drepturilor Omului din Strasbourg (art. 59 § 3 din Regulament).</w:t>
      </w:r>
    </w:p>
    <w:p w:rsidR="00F47ACE" w:rsidRPr="00472687" w:rsidRDefault="0052083E" w:rsidP="00472687">
      <w:pPr>
        <w:pStyle w:val="JuPara"/>
      </w:pPr>
      <w:r>
        <w:t>S-au înfățișat:</w:t>
      </w:r>
    </w:p>
    <w:p w:rsidR="00F47ACE" w:rsidRPr="00472687" w:rsidRDefault="0052083E" w:rsidP="00472687">
      <w:pPr>
        <w:pStyle w:val="JuCourt"/>
        <w:keepLines/>
        <w:rPr>
          <w:smallCaps/>
        </w:rPr>
      </w:pPr>
      <w:r>
        <w:t xml:space="preserve">– </w:t>
      </w:r>
      <w:r>
        <w:rPr>
          <w:i/>
        </w:rPr>
        <w:t>pentru Guvern</w:t>
      </w:r>
      <w:r>
        <w:br/>
      </w:r>
      <w:r>
        <w:rPr>
          <w:smallCaps/>
        </w:rPr>
        <w:t>domnul</w:t>
      </w:r>
      <w:r>
        <w:rPr>
          <w:smallCaps/>
        </w:rPr>
        <w:tab/>
        <w:t>A. Chablais,</w:t>
      </w:r>
      <w:r>
        <w:tab/>
      </w:r>
      <w:r>
        <w:rPr>
          <w:i/>
        </w:rPr>
        <w:t>agent</w:t>
      </w:r>
      <w:r>
        <w:t>,</w:t>
      </w:r>
      <w:r>
        <w:br/>
      </w:r>
      <w:r>
        <w:rPr>
          <w:smallCaps/>
        </w:rPr>
        <w:t>domnul</w:t>
      </w:r>
      <w:r>
        <w:rPr>
          <w:smallCaps/>
        </w:rPr>
        <w:tab/>
        <w:t>F. Perrez,</w:t>
      </w:r>
      <w:r>
        <w:rPr>
          <w:smallCaps/>
        </w:rPr>
        <w:tab/>
      </w:r>
      <w:r>
        <w:rPr>
          <w:smallCaps/>
        </w:rPr>
        <w:br/>
        <w:t xml:space="preserve">doamna </w:t>
      </w:r>
      <w:r>
        <w:rPr>
          <w:smallCaps/>
        </w:rPr>
        <w:tab/>
        <w:t xml:space="preserve">M. Beeler-Sigron, </w:t>
      </w:r>
      <w:r>
        <w:rPr>
          <w:smallCaps/>
        </w:rPr>
        <w:br/>
        <w:t xml:space="preserve">doamna </w:t>
      </w:r>
      <w:r>
        <w:rPr>
          <w:smallCaps/>
        </w:rPr>
        <w:tab/>
        <w:t>L.L. Paroz,</w:t>
      </w:r>
    </w:p>
    <w:p w:rsidR="00F47ACE" w:rsidRPr="00472687" w:rsidRDefault="0052083E" w:rsidP="00472687">
      <w:pPr>
        <w:pStyle w:val="JuCourt"/>
        <w:spacing w:before="0"/>
        <w:rPr>
          <w:smallCaps/>
        </w:rPr>
      </w:pPr>
      <w:r>
        <w:tab/>
        <w:t>doamna</w:t>
      </w:r>
      <w:r>
        <w:rPr>
          <w:smallCaps/>
        </w:rPr>
        <w:t xml:space="preserve"> R. Burkard</w:t>
      </w:r>
    </w:p>
    <w:p w:rsidR="00F47ACE" w:rsidRPr="00472687" w:rsidRDefault="0052083E" w:rsidP="00472687">
      <w:pPr>
        <w:pStyle w:val="JuCourt"/>
        <w:spacing w:before="0"/>
        <w:rPr>
          <w:smallCaps/>
        </w:rPr>
      </w:pPr>
      <w:r>
        <w:tab/>
      </w:r>
      <w:r>
        <w:rPr>
          <w:smallCaps/>
        </w:rPr>
        <w:t>doamna S. Nguyen-Bloch,</w:t>
      </w:r>
    </w:p>
    <w:p w:rsidR="00F47ACE" w:rsidRPr="00472687" w:rsidRDefault="0052083E" w:rsidP="00472687">
      <w:pPr>
        <w:pStyle w:val="JuCourt"/>
        <w:spacing w:before="0"/>
      </w:pPr>
      <w:r>
        <w:tab/>
        <w:t xml:space="preserve">I. </w:t>
      </w:r>
      <w:r>
        <w:rPr>
          <w:smallCaps/>
        </w:rPr>
        <w:t>Ryse</w:t>
      </w:r>
      <w:r>
        <w:tab/>
      </w:r>
      <w:r>
        <w:tab/>
      </w:r>
      <w:r>
        <w:rPr>
          <w:i/>
        </w:rPr>
        <w:t>consilieri;</w:t>
      </w:r>
    </w:p>
    <w:p w:rsidR="00F47ACE" w:rsidRPr="00472687" w:rsidRDefault="00F47ACE" w:rsidP="00472687">
      <w:pPr>
        <w:pStyle w:val="JuPara"/>
        <w:ind w:firstLine="0"/>
        <w:jc w:val="left"/>
      </w:pPr>
    </w:p>
    <w:p w:rsidR="00F47ACE" w:rsidRPr="00472687" w:rsidRDefault="0052083E" w:rsidP="00472687">
      <w:pPr>
        <w:pStyle w:val="JuCourt"/>
        <w:keepLines/>
        <w:spacing w:before="0"/>
        <w:rPr>
          <w:rStyle w:val="JUNAMES"/>
        </w:rPr>
      </w:pPr>
      <w:r>
        <w:t xml:space="preserve">– </w:t>
      </w:r>
      <w:r>
        <w:rPr>
          <w:i/>
        </w:rPr>
        <w:t>pentru reclamante</w:t>
      </w:r>
      <w:r>
        <w:br/>
        <w:t>doamna</w:t>
      </w:r>
      <w:r>
        <w:rPr>
          <w:rStyle w:val="JUNAMES"/>
        </w:rPr>
        <w:tab/>
        <w:t>J. Simor KC,</w:t>
      </w:r>
    </w:p>
    <w:p w:rsidR="00F47ACE" w:rsidRPr="00472687" w:rsidRDefault="0052083E" w:rsidP="00472687">
      <w:pPr>
        <w:pStyle w:val="JuCourt"/>
        <w:keepLines/>
        <w:spacing w:before="0"/>
        <w:rPr>
          <w:rStyle w:val="JUNAMES"/>
        </w:rPr>
      </w:pPr>
      <w:r>
        <w:rPr>
          <w:rStyle w:val="JUNAMES"/>
        </w:rPr>
        <w:tab/>
        <w:t>domnul</w:t>
      </w:r>
      <w:r>
        <w:rPr>
          <w:rStyle w:val="JUNAMES"/>
        </w:rPr>
        <w:tab/>
        <w:t>M. Willers KC,</w:t>
      </w:r>
      <w:r>
        <w:rPr>
          <w:rStyle w:val="JUNAMES"/>
        </w:rPr>
        <w:tab/>
      </w:r>
    </w:p>
    <w:p w:rsidR="00F47ACE" w:rsidRPr="00472687" w:rsidRDefault="0052083E" w:rsidP="00472687">
      <w:pPr>
        <w:pStyle w:val="JuCourt"/>
        <w:keepLines/>
        <w:spacing w:before="0"/>
        <w:rPr>
          <w:rStyle w:val="JUNAMES"/>
        </w:rPr>
      </w:pPr>
      <w:r>
        <w:rPr>
          <w:rStyle w:val="JUNAMES"/>
        </w:rPr>
        <w:tab/>
      </w:r>
      <w:r>
        <w:t>doamna</w:t>
      </w:r>
      <w:r>
        <w:rPr>
          <w:rStyle w:val="JUNAMES"/>
        </w:rPr>
        <w:tab/>
        <w:t>C.C. Bähr,</w:t>
      </w:r>
      <w:r>
        <w:rPr>
          <w:rStyle w:val="JUNAMES"/>
        </w:rPr>
        <w:tab/>
      </w:r>
    </w:p>
    <w:p w:rsidR="00F47ACE" w:rsidRPr="00472687" w:rsidRDefault="0052083E" w:rsidP="00472687">
      <w:pPr>
        <w:pStyle w:val="JuCourt"/>
        <w:keepLines/>
        <w:spacing w:before="0"/>
        <w:rPr>
          <w:rStyle w:val="JUNAMES"/>
        </w:rPr>
      </w:pPr>
      <w:r>
        <w:rPr>
          <w:rStyle w:val="JUNAMES"/>
        </w:rPr>
        <w:tab/>
        <w:t xml:space="preserve">domnul </w:t>
      </w:r>
      <w:r>
        <w:rPr>
          <w:rStyle w:val="JUNAMES"/>
        </w:rPr>
        <w:tab/>
        <w:t>M. Looser,</w:t>
      </w:r>
      <w:r>
        <w:rPr>
          <w:rStyle w:val="JUNAMES"/>
        </w:rPr>
        <w:tab/>
      </w:r>
    </w:p>
    <w:p w:rsidR="00F47ACE" w:rsidRPr="00472687" w:rsidRDefault="0052083E" w:rsidP="00472687">
      <w:pPr>
        <w:pStyle w:val="JuCourt"/>
        <w:keepLines/>
        <w:spacing w:before="0"/>
        <w:rPr>
          <w:rStyle w:val="JUNAMES"/>
        </w:rPr>
      </w:pPr>
      <w:r>
        <w:rPr>
          <w:smallCaps/>
        </w:rPr>
        <w:tab/>
      </w:r>
      <w:r>
        <w:t>domnul</w:t>
      </w:r>
      <w:r>
        <w:rPr>
          <w:smallCaps/>
        </w:rPr>
        <w:tab/>
        <w:t>R. Mahaim,</w:t>
      </w:r>
      <w:r>
        <w:rPr>
          <w:rStyle w:val="JUNAMES"/>
        </w:rPr>
        <w:tab/>
      </w:r>
      <w:r>
        <w:rPr>
          <w:i/>
          <w:iCs/>
        </w:rPr>
        <w:t>avocați</w:t>
      </w:r>
      <w:r>
        <w:t>,</w:t>
      </w:r>
    </w:p>
    <w:p w:rsidR="00F47ACE" w:rsidRPr="00472687" w:rsidRDefault="0052083E" w:rsidP="00472687">
      <w:pPr>
        <w:pStyle w:val="JuCourt"/>
        <w:keepLines/>
        <w:spacing w:before="0"/>
        <w:rPr>
          <w:rStyle w:val="JUNAMES"/>
        </w:rPr>
      </w:pPr>
      <w:r>
        <w:rPr>
          <w:rStyle w:val="JUNAMES"/>
        </w:rPr>
        <w:tab/>
        <w:t>domnul</w:t>
      </w:r>
      <w:r>
        <w:rPr>
          <w:rStyle w:val="JUNAMES"/>
        </w:rPr>
        <w:tab/>
        <w:t>R. Harvey,</w:t>
      </w:r>
      <w:r>
        <w:rPr>
          <w:rStyle w:val="JUNAMES"/>
        </w:rPr>
        <w:tab/>
      </w:r>
    </w:p>
    <w:p w:rsidR="00F47ACE" w:rsidRPr="00472687" w:rsidRDefault="0052083E" w:rsidP="00472687">
      <w:pPr>
        <w:pStyle w:val="JuCourt"/>
        <w:keepLines/>
        <w:spacing w:before="0"/>
        <w:rPr>
          <w:rStyle w:val="JUNAMES"/>
        </w:rPr>
      </w:pPr>
      <w:r>
        <w:rPr>
          <w:rStyle w:val="JUNAMES"/>
        </w:rPr>
        <w:tab/>
      </w:r>
      <w:r>
        <w:t>doamna</w:t>
      </w:r>
      <w:r>
        <w:rPr>
          <w:rStyle w:val="JUNAMES"/>
        </w:rPr>
        <w:tab/>
        <w:t>L. Fournier,</w:t>
      </w:r>
      <w:r>
        <w:rPr>
          <w:rStyle w:val="JUNAMES"/>
        </w:rPr>
        <w:tab/>
      </w:r>
      <w:r>
        <w:rPr>
          <w:i/>
        </w:rPr>
        <w:t>consilieri</w:t>
      </w:r>
      <w:r>
        <w:t>,</w:t>
      </w:r>
    </w:p>
    <w:p w:rsidR="00F47ACE" w:rsidRPr="00472687" w:rsidRDefault="0052083E" w:rsidP="00472687">
      <w:pPr>
        <w:pStyle w:val="JuCourt"/>
        <w:keepLines/>
        <w:spacing w:before="0"/>
        <w:rPr>
          <w:rStyle w:val="JUNAMES"/>
        </w:rPr>
      </w:pPr>
      <w:r>
        <w:rPr>
          <w:rStyle w:val="JUNAMES"/>
        </w:rPr>
        <w:tab/>
      </w:r>
      <w:r>
        <w:t>doamna</w:t>
      </w:r>
      <w:r>
        <w:rPr>
          <w:rStyle w:val="JUNAMES"/>
        </w:rPr>
        <w:t xml:space="preserve"> </w:t>
      </w:r>
      <w:r>
        <w:rPr>
          <w:rStyle w:val="JUNAMES"/>
        </w:rPr>
        <w:tab/>
        <w:t>B. Molinari,</w:t>
      </w:r>
      <w:r>
        <w:rPr>
          <w:rStyle w:val="JUNAMES"/>
        </w:rPr>
        <w:tab/>
      </w:r>
    </w:p>
    <w:p w:rsidR="00F47ACE" w:rsidRPr="00472687" w:rsidRDefault="0052083E" w:rsidP="00472687">
      <w:pPr>
        <w:pStyle w:val="JuCourt"/>
        <w:keepLines/>
        <w:spacing w:before="0"/>
        <w:rPr>
          <w:rStyle w:val="JUNAMES"/>
        </w:rPr>
      </w:pPr>
      <w:r>
        <w:rPr>
          <w:rStyle w:val="JUNAMES"/>
        </w:rPr>
        <w:tab/>
      </w:r>
      <w:r>
        <w:t>doamna</w:t>
      </w:r>
      <w:r>
        <w:rPr>
          <w:rStyle w:val="JUNAMES"/>
        </w:rPr>
        <w:t xml:space="preserve"> </w:t>
      </w:r>
      <w:r>
        <w:rPr>
          <w:rStyle w:val="JUNAMES"/>
        </w:rPr>
        <w:tab/>
        <w:t>M. Budry,</w:t>
      </w:r>
      <w:r>
        <w:rPr>
          <w:rStyle w:val="JUNAMES"/>
        </w:rPr>
        <w:tab/>
      </w:r>
      <w:r>
        <w:rPr>
          <w:i/>
        </w:rPr>
        <w:t>reclamante</w:t>
      </w:r>
      <w:r>
        <w:t>,</w:t>
      </w:r>
    </w:p>
    <w:p w:rsidR="00F47ACE" w:rsidRPr="00472687" w:rsidRDefault="0052083E" w:rsidP="00472687">
      <w:pPr>
        <w:pStyle w:val="JuCourt"/>
        <w:keepLines/>
        <w:spacing w:before="0"/>
        <w:rPr>
          <w:rStyle w:val="JUNAMES"/>
        </w:rPr>
      </w:pPr>
      <w:r>
        <w:rPr>
          <w:rStyle w:val="JUNAMES"/>
        </w:rPr>
        <w:tab/>
      </w:r>
      <w:r>
        <w:t>doamna</w:t>
      </w:r>
      <w:r>
        <w:rPr>
          <w:rStyle w:val="JUNAMES"/>
        </w:rPr>
        <w:t xml:space="preserve"> </w:t>
      </w:r>
      <w:r>
        <w:rPr>
          <w:rStyle w:val="JUNAMES"/>
        </w:rPr>
        <w:tab/>
        <w:t>A. Mahrer,</w:t>
      </w:r>
      <w:r>
        <w:rPr>
          <w:rStyle w:val="JUNAMES"/>
        </w:rPr>
        <w:tab/>
      </w:r>
    </w:p>
    <w:p w:rsidR="00F47ACE" w:rsidRPr="00472687" w:rsidRDefault="0052083E" w:rsidP="00472687">
      <w:pPr>
        <w:pStyle w:val="JuCourt"/>
        <w:keepLines/>
        <w:spacing w:before="0"/>
      </w:pPr>
      <w:r>
        <w:rPr>
          <w:rStyle w:val="JUNAMES"/>
        </w:rPr>
        <w:tab/>
      </w:r>
      <w:r>
        <w:t>doamna</w:t>
      </w:r>
      <w:r>
        <w:rPr>
          <w:rStyle w:val="JUNAMES"/>
        </w:rPr>
        <w:t xml:space="preserve"> </w:t>
      </w:r>
      <w:r>
        <w:rPr>
          <w:rStyle w:val="JUNAMES"/>
        </w:rPr>
        <w:tab/>
        <w:t>R. Wydler-Wälti,</w:t>
      </w:r>
      <w:r>
        <w:rPr>
          <w:rStyle w:val="JUNAMES"/>
        </w:rPr>
        <w:tab/>
      </w:r>
      <w:r>
        <w:rPr>
          <w:i/>
        </w:rPr>
        <w:t>copreședinte ale asociației reclamante;</w:t>
      </w:r>
    </w:p>
    <w:p w:rsidR="00F47ACE" w:rsidRPr="00472687" w:rsidRDefault="00F47ACE" w:rsidP="00472687">
      <w:pPr>
        <w:pStyle w:val="JuPara"/>
        <w:jc w:val="left"/>
      </w:pPr>
    </w:p>
    <w:p w:rsidR="00F47ACE" w:rsidRPr="00472687" w:rsidRDefault="0052083E" w:rsidP="00472687">
      <w:pPr>
        <w:pStyle w:val="JuCourt"/>
        <w:keepLines/>
        <w:spacing w:before="0"/>
        <w:rPr>
          <w:rStyle w:val="JUNAMES"/>
        </w:rPr>
      </w:pPr>
      <w:r>
        <w:t xml:space="preserve">– </w:t>
      </w:r>
      <w:r>
        <w:rPr>
          <w:i/>
        </w:rPr>
        <w:t>pentru Guvernul Irlandei</w:t>
      </w:r>
      <w:r>
        <w:br/>
      </w:r>
      <w:r>
        <w:rPr>
          <w:smallCaps/>
        </w:rPr>
        <w:t>domnul</w:t>
      </w:r>
      <w:r>
        <w:rPr>
          <w:smallCaps/>
        </w:rPr>
        <w:tab/>
        <w:t>B. Lysaght,</w:t>
      </w:r>
      <w:r>
        <w:rPr>
          <w:smallCaps/>
        </w:rPr>
        <w:tab/>
      </w:r>
      <w:r>
        <w:rPr>
          <w:i/>
        </w:rPr>
        <w:t>agent</w:t>
      </w:r>
      <w:r>
        <w:rPr>
          <w:smallCaps/>
        </w:rPr>
        <w:t>,</w:t>
      </w:r>
    </w:p>
    <w:p w:rsidR="00F47ACE" w:rsidRPr="00472687" w:rsidRDefault="0052083E" w:rsidP="00472687">
      <w:pPr>
        <w:pStyle w:val="JuCourt"/>
        <w:keepLines/>
        <w:spacing w:before="0"/>
        <w:rPr>
          <w:rStyle w:val="JUNAMES"/>
        </w:rPr>
      </w:pPr>
      <w:r>
        <w:rPr>
          <w:rStyle w:val="JUNAMES"/>
        </w:rPr>
        <w:tab/>
      </w:r>
      <w:r>
        <w:t>doamna</w:t>
      </w:r>
      <w:r>
        <w:rPr>
          <w:rStyle w:val="JUNAMES"/>
        </w:rPr>
        <w:tab/>
        <w:t xml:space="preserve">C. Donnelly SC, </w:t>
      </w:r>
      <w:r>
        <w:rPr>
          <w:rStyle w:val="JUNAMES"/>
        </w:rPr>
        <w:tab/>
      </w:r>
    </w:p>
    <w:p w:rsidR="00F47ACE" w:rsidRPr="00472687" w:rsidRDefault="0052083E" w:rsidP="00472687">
      <w:pPr>
        <w:pStyle w:val="JuCourt"/>
        <w:keepLines/>
        <w:spacing w:before="0"/>
        <w:rPr>
          <w:rStyle w:val="JUNAMES"/>
        </w:rPr>
      </w:pPr>
      <w:r>
        <w:rPr>
          <w:rStyle w:val="JUNAMES"/>
        </w:rPr>
        <w:tab/>
        <w:t>domnul</w:t>
      </w:r>
      <w:r>
        <w:rPr>
          <w:rStyle w:val="JUNAMES"/>
        </w:rPr>
        <w:tab/>
        <w:t>D. Fennelly,</w:t>
      </w:r>
      <w:r>
        <w:rPr>
          <w:rStyle w:val="JUNAMES"/>
        </w:rPr>
        <w:tab/>
      </w:r>
      <w:r>
        <w:rPr>
          <w:i/>
        </w:rPr>
        <w:t>avocați</w:t>
      </w:r>
      <w:r>
        <w:rPr>
          <w:rStyle w:val="JUNAMES"/>
        </w:rPr>
        <w:t>,</w:t>
      </w:r>
    </w:p>
    <w:p w:rsidR="00F47ACE" w:rsidRPr="00472687" w:rsidRDefault="0052083E" w:rsidP="00472687">
      <w:pPr>
        <w:pStyle w:val="JuCourt"/>
        <w:keepLines/>
        <w:spacing w:before="0"/>
        <w:rPr>
          <w:rStyle w:val="JUNAMES"/>
        </w:rPr>
      </w:pPr>
      <w:r>
        <w:rPr>
          <w:rStyle w:val="JUNAMES"/>
        </w:rPr>
        <w:lastRenderedPageBreak/>
        <w:tab/>
        <w:t>domnul</w:t>
      </w:r>
      <w:r>
        <w:rPr>
          <w:rStyle w:val="JUNAMES"/>
        </w:rPr>
        <w:tab/>
        <w:t>M. Corry,</w:t>
      </w:r>
      <w:r>
        <w:rPr>
          <w:rStyle w:val="JUNAMES"/>
        </w:rPr>
        <w:tab/>
      </w:r>
    </w:p>
    <w:p w:rsidR="00F47ACE" w:rsidRPr="00472687" w:rsidRDefault="0052083E" w:rsidP="00472687">
      <w:pPr>
        <w:pStyle w:val="JuCourt"/>
        <w:keepLines/>
        <w:spacing w:before="0"/>
      </w:pPr>
      <w:r>
        <w:rPr>
          <w:rStyle w:val="JUNAMES"/>
        </w:rPr>
        <w:tab/>
      </w:r>
      <w:r>
        <w:t>doamna</w:t>
      </w:r>
      <w:r>
        <w:rPr>
          <w:rStyle w:val="JUNAMES"/>
        </w:rPr>
        <w:tab/>
        <w:t>E. Griffin,</w:t>
      </w:r>
      <w:r>
        <w:rPr>
          <w:rStyle w:val="JUNAMES"/>
        </w:rPr>
        <w:tab/>
      </w:r>
      <w:r>
        <w:rPr>
          <w:i/>
        </w:rPr>
        <w:t>consilieri;</w:t>
      </w:r>
    </w:p>
    <w:p w:rsidR="00F47ACE" w:rsidRPr="00472687" w:rsidRDefault="00F47ACE" w:rsidP="00472687">
      <w:pPr>
        <w:pStyle w:val="JuPara"/>
        <w:jc w:val="left"/>
      </w:pPr>
    </w:p>
    <w:p w:rsidR="00F47ACE" w:rsidRPr="00472687" w:rsidRDefault="0052083E" w:rsidP="00472687">
      <w:pPr>
        <w:pStyle w:val="JuPara"/>
        <w:rPr>
          <w:i/>
          <w:iCs/>
        </w:rPr>
      </w:pPr>
      <w:r>
        <w:t xml:space="preserve">– </w:t>
      </w:r>
      <w:r>
        <w:rPr>
          <w:i/>
        </w:rPr>
        <w:t>pentru ENNHRI</w:t>
      </w:r>
    </w:p>
    <w:p w:rsidR="00F47ACE" w:rsidRPr="00472687" w:rsidRDefault="0052083E" w:rsidP="00472687">
      <w:pPr>
        <w:pStyle w:val="JuCourt"/>
        <w:keepLines/>
        <w:spacing w:before="0"/>
        <w:rPr>
          <w:smallCaps/>
        </w:rPr>
      </w:pPr>
      <w:bookmarkStart w:id="7" w:name="lt_pId109"/>
      <w:r>
        <w:rPr>
          <w:smallCaps/>
        </w:rPr>
        <w:tab/>
      </w:r>
      <w:bookmarkStart w:id="8" w:name="lt_pId110"/>
      <w:bookmarkEnd w:id="7"/>
      <w:r>
        <w:t>doamna</w:t>
      </w:r>
      <w:r>
        <w:rPr>
          <w:rStyle w:val="JUNAMES"/>
        </w:rPr>
        <w:tab/>
      </w:r>
      <w:r>
        <w:rPr>
          <w:smallCaps/>
        </w:rPr>
        <w:t>J. Sandvig,</w:t>
      </w:r>
      <w:bookmarkEnd w:id="8"/>
      <w:r>
        <w:rPr>
          <w:smallCaps/>
        </w:rPr>
        <w:tab/>
      </w:r>
    </w:p>
    <w:p w:rsidR="00F47ACE" w:rsidRPr="00472687" w:rsidRDefault="0052083E" w:rsidP="00472687">
      <w:pPr>
        <w:pStyle w:val="JuCourt"/>
        <w:keepLines/>
        <w:spacing w:before="0"/>
        <w:rPr>
          <w:smallCaps/>
        </w:rPr>
      </w:pPr>
      <w:r>
        <w:rPr>
          <w:smallCaps/>
        </w:rPr>
        <w:tab/>
      </w:r>
      <w:bookmarkStart w:id="9" w:name="lt_pId112"/>
      <w:r>
        <w:t>doamna</w:t>
      </w:r>
      <w:r>
        <w:rPr>
          <w:rStyle w:val="JUNAMES"/>
        </w:rPr>
        <w:tab/>
      </w:r>
      <w:r>
        <w:rPr>
          <w:smallCaps/>
        </w:rPr>
        <w:t>K. Sulyok,</w:t>
      </w:r>
      <w:bookmarkEnd w:id="9"/>
      <w:r>
        <w:rPr>
          <w:smallCaps/>
        </w:rPr>
        <w:tab/>
      </w:r>
    </w:p>
    <w:p w:rsidR="00F47ACE" w:rsidRPr="00472687" w:rsidRDefault="0052083E" w:rsidP="00472687">
      <w:pPr>
        <w:pStyle w:val="JuCourt"/>
        <w:keepLines/>
        <w:spacing w:before="0"/>
        <w:rPr>
          <w:smallCaps/>
        </w:rPr>
      </w:pPr>
      <w:r>
        <w:rPr>
          <w:smallCaps/>
        </w:rPr>
        <w:tab/>
      </w:r>
      <w:bookmarkStart w:id="10" w:name="lt_pId114"/>
      <w:r>
        <w:t>doamna</w:t>
      </w:r>
      <w:r>
        <w:rPr>
          <w:rStyle w:val="JUNAMES"/>
        </w:rPr>
        <w:tab/>
      </w:r>
      <w:r>
        <w:rPr>
          <w:smallCaps/>
        </w:rPr>
        <w:t>H.C. Braenden,</w:t>
      </w:r>
      <w:bookmarkStart w:id="11" w:name="lt_pId115"/>
      <w:bookmarkEnd w:id="10"/>
    </w:p>
    <w:p w:rsidR="00F47ACE" w:rsidRPr="00472687" w:rsidRDefault="0052083E" w:rsidP="00472687">
      <w:pPr>
        <w:pStyle w:val="JuCourt"/>
        <w:keepLines/>
        <w:spacing w:before="0"/>
        <w:rPr>
          <w:smallCaps/>
        </w:rPr>
      </w:pPr>
      <w:r>
        <w:rPr>
          <w:smallCaps/>
        </w:rPr>
        <w:tab/>
        <w:t>domnul</w:t>
      </w:r>
      <w:bookmarkEnd w:id="11"/>
      <w:r>
        <w:rPr>
          <w:smallCaps/>
        </w:rPr>
        <w:t xml:space="preserve"> </w:t>
      </w:r>
      <w:r>
        <w:rPr>
          <w:smallCaps/>
        </w:rPr>
        <w:tab/>
      </w:r>
      <w:bookmarkStart w:id="12" w:name="lt_pId116"/>
      <w:r>
        <w:rPr>
          <w:smallCaps/>
        </w:rPr>
        <w:t>P.W. Dawson,</w:t>
      </w:r>
      <w:r>
        <w:rPr>
          <w:smallCaps/>
        </w:rPr>
        <w:tab/>
      </w:r>
      <w:r>
        <w:rPr>
          <w:i/>
          <w:iCs/>
        </w:rPr>
        <w:t>consilieri</w:t>
      </w:r>
      <w:r>
        <w:rPr>
          <w:smallCaps/>
        </w:rPr>
        <w:t>.</w:t>
      </w:r>
      <w:bookmarkEnd w:id="12"/>
    </w:p>
    <w:p w:rsidR="00F47ACE" w:rsidRPr="00472687" w:rsidRDefault="00F47ACE" w:rsidP="00472687">
      <w:pPr>
        <w:rPr>
          <w:lang w:bidi="en-US"/>
        </w:rPr>
      </w:pPr>
    </w:p>
    <w:p w:rsidR="00C014F0" w:rsidRPr="00472687" w:rsidRDefault="0052083E" w:rsidP="00472687">
      <w:pPr>
        <w:pStyle w:val="JuPara"/>
      </w:pPr>
      <w:r>
        <w:t>Curtea a ascultat declarațiile domnului Chablais, domnului Perrez, doamnei Simor KC, domnului Willers KC, doamnei Donnelly SC și doamnei Sandvig. De asemenea, Curtea a ascultat răspunsurile domnului Chablais, domnului Perrez și doamnei Simor KC la întrebările sale.</w:t>
      </w:r>
    </w:p>
    <w:p w:rsidR="00F47ACE" w:rsidRPr="00472687" w:rsidRDefault="0052083E" w:rsidP="00472687">
      <w:pPr>
        <w:pStyle w:val="JuHHead"/>
        <w:numPr>
          <w:ilvl w:val="0"/>
          <w:numId w:val="28"/>
        </w:numPr>
        <w:tabs>
          <w:tab w:val="left" w:pos="5387"/>
        </w:tabs>
      </w:pPr>
      <w:bookmarkStart w:id="13" w:name="_Toc149127498"/>
      <w:bookmarkStart w:id="14" w:name="_Toc158019677"/>
      <w:bookmarkStart w:id="15" w:name="_Toc199273405"/>
      <w:r>
        <w:t>ÎN FAPT</w:t>
      </w:r>
      <w:bookmarkEnd w:id="13"/>
      <w:bookmarkEnd w:id="14"/>
      <w:bookmarkEnd w:id="15"/>
    </w:p>
    <w:p w:rsidR="00F47ACE" w:rsidRPr="00472687" w:rsidRDefault="0052083E" w:rsidP="00472687">
      <w:pPr>
        <w:pStyle w:val="JuHIRoman"/>
        <w:numPr>
          <w:ilvl w:val="1"/>
          <w:numId w:val="28"/>
        </w:numPr>
        <w:tabs>
          <w:tab w:val="clear" w:pos="539"/>
          <w:tab w:val="clear" w:pos="624"/>
          <w:tab w:val="clear" w:pos="709"/>
          <w:tab w:val="clear" w:pos="794"/>
          <w:tab w:val="left" w:pos="567"/>
          <w:tab w:val="left" w:pos="680"/>
        </w:tabs>
        <w:ind w:left="397" w:hanging="397"/>
      </w:pPr>
      <w:bookmarkStart w:id="16" w:name="_Toc149127499"/>
      <w:bookmarkStart w:id="17" w:name="_Toc158019678"/>
      <w:bookmarkStart w:id="18" w:name="_Toc199273406"/>
      <w:r>
        <w:t>CIRCUMSTANȚELE CAUZEI</w:t>
      </w:r>
      <w:bookmarkEnd w:id="16"/>
      <w:bookmarkEnd w:id="17"/>
      <w:bookmarkEnd w:id="18"/>
    </w:p>
    <w:p w:rsidR="00F47ACE" w:rsidRPr="00472687" w:rsidRDefault="0052083E" w:rsidP="00472687">
      <w:pPr>
        <w:pStyle w:val="JuHA"/>
        <w:numPr>
          <w:ilvl w:val="2"/>
          <w:numId w:val="28"/>
        </w:numPr>
      </w:pPr>
      <w:bookmarkStart w:id="19" w:name="_Toc149127500"/>
      <w:bookmarkStart w:id="20" w:name="_Toc158019679"/>
      <w:bookmarkStart w:id="21" w:name="_Toc199273407"/>
      <w:r>
        <w:t>Situația specială a reclamantelor</w:t>
      </w:r>
      <w:bookmarkEnd w:id="19"/>
      <w:bookmarkEnd w:id="20"/>
      <w:bookmarkEnd w:id="21"/>
    </w:p>
    <w:p w:rsidR="00F47ACE" w:rsidRPr="00472687" w:rsidRDefault="0052083E" w:rsidP="00472687">
      <w:pPr>
        <w:pStyle w:val="JuH1"/>
        <w:numPr>
          <w:ilvl w:val="3"/>
          <w:numId w:val="28"/>
        </w:numPr>
      </w:pPr>
      <w:bookmarkStart w:id="22" w:name="lt_pId121"/>
      <w:bookmarkStart w:id="23" w:name="_Toc199273408"/>
      <w:r>
        <w:t>Prima reclamantă</w:t>
      </w:r>
      <w:bookmarkEnd w:id="22"/>
      <w:bookmarkEnd w:id="23"/>
    </w:p>
    <w:bookmarkStart w:id="24" w:name="paragraph00010"/>
    <w:p w:rsidR="00F47ACE" w:rsidRPr="00472687" w:rsidRDefault="0052083E" w:rsidP="00472687">
      <w:pPr>
        <w:pStyle w:val="JuPara"/>
      </w:pPr>
      <w:r w:rsidRPr="00472687">
        <w:fldChar w:fldCharType="begin"/>
      </w:r>
      <w:r w:rsidRPr="00472687">
        <w:instrText xml:space="preserve"> SEQ level0 \*arabic </w:instrText>
      </w:r>
      <w:r w:rsidRPr="00472687">
        <w:fldChar w:fldCharType="separate"/>
      </w:r>
      <w:r w:rsidR="00472687" w:rsidRPr="00472687">
        <w:t>10</w:t>
      </w:r>
      <w:r w:rsidRPr="00472687">
        <w:fldChar w:fldCharType="end"/>
      </w:r>
      <w:bookmarkEnd w:id="24"/>
      <w:r>
        <w:t>. Prima reclamantă – Verein KlimaSeniorinnen Schweiz – este o asociație fără scop lucrativ de drept elvețian („asociația reclamantă”). Statutul său indică faptul că a fost creată pentru a promova și a pune în aplicare o protecție eficientă a climei, în numele aderentelor sale. Membrele asociației sunt femei care locuiesc în Elveția. Majoritatea dintre ele au peste 70 de ani. Asociația reclamantă și-a asumat angajamentul de a reduce emisiile de gaze cu efect de seră (GES) în Elveția și efectele acestora asupra încălzirii globale. În statutul acesteia se precizează că acționează pentru a apăra interesele membrelor sale, dar și ale populației generale și ale generațiilor viitoare, prin asigurarea unei protecții eficiente a climei. Asociația reclamantă își urmărește obiectivul în special prin furnizarea de informații, inclusiv prin organizarea de activități educaționale, și prin inițierea de acțiuni în justiție cu privire la efectele schimbărilor climatice, în interesul membrelor sale. Aceasta are peste 2 000 de aderente, cu vârsta medie de 73 de ani; aproximativ 650 de membre au 75 de ani și mai mult.</w:t>
      </w:r>
    </w:p>
    <w:bookmarkStart w:id="25" w:name="paragraph00011"/>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11</w:t>
      </w:r>
      <w:r w:rsidRPr="00472687">
        <w:fldChar w:fldCharType="end"/>
      </w:r>
      <w:bookmarkEnd w:id="25"/>
      <w:r>
        <w:t>. În cadrul procedurii în fața Marii Camere, asociația reclamantă a invitat aderentele sale să își prezinte observațiile cu privire la efectele pe care schimbările climatice le au asupra lor. Prin urmare, acestea au descris modul în care episoadele caniculare le afectează sănătatea și obiceiurile zilnice.</w:t>
      </w:r>
    </w:p>
    <w:p w:rsidR="00F47ACE" w:rsidRPr="00472687" w:rsidRDefault="0052083E" w:rsidP="00472687">
      <w:pPr>
        <w:pStyle w:val="JuH1"/>
        <w:numPr>
          <w:ilvl w:val="3"/>
          <w:numId w:val="28"/>
        </w:numPr>
      </w:pPr>
      <w:bookmarkStart w:id="26" w:name="_Toc199273409"/>
      <w:r>
        <w:lastRenderedPageBreak/>
        <w:t>Cea de-a doua, cea de-a treia, cea de-a patra și cea de-a cincea reclamantă</w:t>
      </w:r>
      <w:bookmarkEnd w:id="26"/>
    </w:p>
    <w:p w:rsidR="00F47ACE" w:rsidRPr="00472687" w:rsidRDefault="00FD3281" w:rsidP="00472687">
      <w:pPr>
        <w:pStyle w:val="JuPara"/>
      </w:pPr>
      <w:r>
        <w:fldChar w:fldCharType="begin"/>
      </w:r>
      <w:r>
        <w:instrText xml:space="preserve"> SEQ</w:instrText>
      </w:r>
      <w:r>
        <w:instrText xml:space="preserve"> level0 \*arabic </w:instrText>
      </w:r>
      <w:r>
        <w:fldChar w:fldCharType="separate"/>
      </w:r>
      <w:r w:rsidR="00472687" w:rsidRPr="00472687">
        <w:t>12</w:t>
      </w:r>
      <w:r>
        <w:fldChar w:fldCharType="end"/>
      </w:r>
      <w:r w:rsidR="0052083E">
        <w:t>. Cea de-a doua, cea de-a treia, cea de-a patra și cea de-a cincea reclamantă („reclamantele nr. 2-5”) sunt femei, membre ale asociației reclamante. Cea de-a doua reclamantă, doamna Schaub, născută în 1931, a decedat în cursul procedurii în fața Curții (infra, pct. </w:t>
      </w:r>
      <w:r w:rsidR="00E547AD" w:rsidRPr="00472687">
        <w:fldChar w:fldCharType="begin"/>
      </w:r>
      <w:r w:rsidR="00E547AD" w:rsidRPr="00472687">
        <w:instrText xml:space="preserve"> REF paragraph00273 \h </w:instrText>
      </w:r>
      <w:r w:rsidR="00E547AD" w:rsidRPr="00472687">
        <w:fldChar w:fldCharType="separate"/>
      </w:r>
      <w:r w:rsidR="00472687" w:rsidRPr="00472687">
        <w:t>273</w:t>
      </w:r>
      <w:r w:rsidR="00E547AD" w:rsidRPr="00472687">
        <w:fldChar w:fldCharType="end"/>
      </w:r>
      <w:r w:rsidR="0052083E">
        <w:t>). Cea de-a treia reclamantă, doamna Volkoff Peschon, s-a născut în 1937 și locuiește în Geneva. Cea de-a patra reclamantă, doamna Molinari, s-a născut în 1941 și locuiește în Vico Morcote. Cea de-a cincea reclamantă, doamna Budry, s-a născut în 1942 și locuiește în Geneva.</w:t>
      </w:r>
    </w:p>
    <w:p w:rsidR="00F47ACE" w:rsidRPr="00472687" w:rsidRDefault="0052083E" w:rsidP="00472687">
      <w:pPr>
        <w:pStyle w:val="JuHa0"/>
        <w:numPr>
          <w:ilvl w:val="4"/>
          <w:numId w:val="28"/>
        </w:numPr>
      </w:pPr>
      <w:bookmarkStart w:id="27" w:name="_Toc199273410"/>
      <w:r>
        <w:t>Cea de-a doua reclamantă</w:t>
      </w:r>
      <w:bookmarkEnd w:id="27"/>
    </w:p>
    <w:p w:rsidR="00F47ACE" w:rsidRPr="00472687" w:rsidRDefault="00C71855" w:rsidP="00472687">
      <w:pPr>
        <w:pStyle w:val="JuPara"/>
      </w:pPr>
      <w:fldSimple w:instr=" SEQ level0 \*arabic \* MERGEFORMAT ">
        <w:r w:rsidR="00472687" w:rsidRPr="00472687">
          <w:t>13</w:t>
        </w:r>
      </w:fldSimple>
      <w:r w:rsidR="00B71F73">
        <w:t>. Într-o declarație scrisă, a doua reclamantă a relatat că îi era greu să suporte valurile de caniculă și că, în mai multe rânduri, a leșinat în timp ce stătea la soare, pe balconul apartamentului său. Ea a precizat că a trebuit să-și adapteze stilul de viață la episoadele de caniculă, de exemplu pentru a merge la cumpărături, și că, în acele perioade, era nevoită să stea în casă aproape toată ziua. Ea a explicat, de asemenea, că a beneficiat de asistența unei infirmiere, care i-a pus la dispoziție haine speciale, care i-au permis să îi fie mai puțin cald. A declarat că a avut nevoie de îngrijiri medicale și că a avut crize de gută extrem de dureroase, care se intensificau în zilele călduroase. A precizat că, o dată, a fost și internată în spital, după ce a leșinat în timpul unui val de caniculă, dar că, ulterior, și-a adaptat obiceiurile în funcție de căldură, mergând la cumpărături mai devreme și ieșind la plimbare seara. A adăugat că toate aceste limitări i-au cauzat dificultăți în viața socială.</w:t>
      </w:r>
    </w:p>
    <w:bookmarkStart w:id="28" w:name="paragraph00014"/>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14</w:t>
      </w:r>
      <w:r w:rsidRPr="00472687">
        <w:fldChar w:fldCharType="end"/>
      </w:r>
      <w:bookmarkEnd w:id="28"/>
      <w:r>
        <w:t>. Cea de-a doua reclamantă a prezentat, de asemenea, un certificat medical întocmit la 15 noiembrie 2016, în care se preciza că, într-o zi călduroasă din august 2015, din cauza temperaturilor ridicate, aceasta leșinase în sala de așteptare a cabinetului medicului său. Certificatul medical indică, de asemenea, faptul că reclamanta purta un stimulator cardiac (pacemaker).</w:t>
      </w:r>
    </w:p>
    <w:p w:rsidR="00F47ACE" w:rsidRPr="00472687" w:rsidRDefault="0052083E" w:rsidP="00472687">
      <w:pPr>
        <w:pStyle w:val="JuHa0"/>
        <w:numPr>
          <w:ilvl w:val="4"/>
          <w:numId w:val="28"/>
        </w:numPr>
      </w:pPr>
      <w:bookmarkStart w:id="29" w:name="_Toc199273411"/>
      <w:r>
        <w:t>Cea de-a treia reclamantă</w:t>
      </w:r>
      <w:bookmarkEnd w:id="29"/>
    </w:p>
    <w:p w:rsidR="00F47ACE" w:rsidRPr="00472687" w:rsidRDefault="00C71855" w:rsidP="00472687">
      <w:pPr>
        <w:pStyle w:val="JuPara"/>
      </w:pPr>
      <w:fldSimple w:instr=" SEQ level0 \*arabic \* MERGEFORMAT ">
        <w:r w:rsidR="00472687" w:rsidRPr="00472687">
          <w:t>15</w:t>
        </w:r>
      </w:fldSimple>
      <w:r w:rsidR="00B71F73">
        <w:t xml:space="preserve">. Într-o declarație scrisă, cea de-a treia reclamantă menționează că suportă greu valurile de căldură și că, prin urmare, trebuie să își organizeze viața în funcție de buletinele meteo. Ea explică faptul că, atunci când este foarte cald, trebuie să stea acasă toată ziua, cu jaluzelele trase și cu aerul condiționat pornit. Afirmă că este de asemenea obligată să renunțe la activitățile recreative și să-și măsoare în mod regulat tensiunea arterială și apoi să-și ia medicamentele în funcție de rezultate. Precizează că, uneori, a fost nevoită să consulte un cardiolog. Declară că și-ar dori să se stabilească într-o zonă de altitudine, dar că problemele sale cardiovasculare îi impun limite în acest sens. Spune că nu a fost spitalizată niciodată, dar că s-a simțit </w:t>
      </w:r>
      <w:r w:rsidR="00B71F73">
        <w:lastRenderedPageBreak/>
        <w:t>foarte rău de mai multe ori. Adaugă că poluarea îi provoacă dificultăți de respirație și transpirație excesivă. În concluzie, subliniază că, din mai până în septembrie, modul său de viață, inclusiv relațiile cu familia și prietenii, sunt condiționate de termometru.</w:t>
      </w:r>
    </w:p>
    <w:bookmarkStart w:id="30" w:name="paragraph00016"/>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16</w:t>
      </w:r>
      <w:r w:rsidRPr="00472687">
        <w:fldChar w:fldCharType="end"/>
      </w:r>
      <w:bookmarkEnd w:id="30"/>
      <w:r>
        <w:t>. Cea de-a treia reclamantă a prezentat un certificat medical întocmit la 19 octombrie 2016, care preciza că, în cursul celor două veri anterioare, valurile de caniculă i-au cauzat multă suferință. Documentul menționează că acestea îi afectează capacitățile fizice, din cauza problemelor sale cardiovasculare. Un alt certificat medical, întocmit la 11 februarie 2019, arată că starea de sănătate a reclamantei și tratamentul medicamentos urmat de aceasta nu sunt compatibile cu valurile de caniculă și că, în timpul acestor episoade, persoana în cauză trebuie să stea în casă și să își adapteze medicația.</w:t>
      </w:r>
    </w:p>
    <w:bookmarkStart w:id="31" w:name="paragraph00017"/>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17</w:t>
      </w:r>
      <w:r w:rsidRPr="00472687">
        <w:fldChar w:fldCharType="end"/>
      </w:r>
      <w:bookmarkEnd w:id="31"/>
      <w:r>
        <w:t>. Un certificat medical din 23 septembrie 2021 confirmă faptul că reclamanta suferă de probleme cardiovasculare. Precizează că, în perioadele de caniculă, aceasta simte o stare generală de slăbiciune și nu își poate administra tratamentul obișnuit. Se precizează de asemenea că persoana în cauză este obligată să își adapteze obiceiurile zilnice. Un alt certificat medical din 26 noiembrie 2022, întocmit pe baza unei discuții telefonice cu reclamanta și în urma examinării dosarului său medical, confirmă faptul că sănătatea fizică și psihică a persoanei în cauză este afectată în perioadele de caniculă.</w:t>
      </w:r>
    </w:p>
    <w:p w:rsidR="00F47ACE" w:rsidRPr="00472687" w:rsidRDefault="0052083E" w:rsidP="00472687">
      <w:pPr>
        <w:pStyle w:val="JuHa0"/>
        <w:numPr>
          <w:ilvl w:val="4"/>
          <w:numId w:val="28"/>
        </w:numPr>
      </w:pPr>
      <w:bookmarkStart w:id="32" w:name="_Toc199273412"/>
      <w:r>
        <w:t>Cea de-a patra reclamantă</w:t>
      </w:r>
      <w:bookmarkEnd w:id="32"/>
    </w:p>
    <w:p w:rsidR="00F47ACE" w:rsidRPr="00472687" w:rsidRDefault="00C71855" w:rsidP="00472687">
      <w:pPr>
        <w:pStyle w:val="JuPara"/>
      </w:pPr>
      <w:fldSimple w:instr=" SEQ level0 \*arabic \* MERGEFORMAT ">
        <w:r w:rsidR="00472687" w:rsidRPr="00472687">
          <w:t>18</w:t>
        </w:r>
      </w:fldSimple>
      <w:r w:rsidR="00B71F73">
        <w:t>. Într-o declarație scrisă, cea de-a patra reclamantă menționează că mobilitatea sa este limitată în perioadele de caniculă, întrucât căldura excesivă îi exacerbează astmul și bronhopneumopatia obstructivă cronică.</w:t>
      </w:r>
    </w:p>
    <w:p w:rsidR="00F47ACE" w:rsidRPr="00472687" w:rsidRDefault="00C71855" w:rsidP="00472687">
      <w:pPr>
        <w:pStyle w:val="JuPara"/>
      </w:pPr>
      <w:fldSimple w:instr=" SEQ level0 \*arabic \* MERGEFORMAT ">
        <w:r w:rsidR="00472687" w:rsidRPr="00472687">
          <w:t>19</w:t>
        </w:r>
      </w:fldSimple>
      <w:r w:rsidR="00B71F73">
        <w:t>. Aceasta a prezentat certificate medicale întocmite la 7 octombrie 2016 și 15 iulie 2020, care atestă starea sa de sănătate și consecințele negative pe care le au perioadele caniculare asupra sănătății sale. Aceste elemente sunt confirmate de un alt certificat medical, datat 26 noiembrie 2022, care menționează că este foarte probabil să existe o corelație între agravarea patologiei persoanei în cauză și perioadele caniculare cauzate de schimbările climatice. Acest document precizează că, în timpul valurilor de căldură, reclamanta suferă din cauza faptului că este nevoită să își limiteze activitățile și a faptului că se simte izolată.</w:t>
      </w:r>
    </w:p>
    <w:p w:rsidR="00F47ACE" w:rsidRPr="00472687" w:rsidRDefault="0052083E" w:rsidP="00472687">
      <w:pPr>
        <w:pStyle w:val="JuHa0"/>
        <w:numPr>
          <w:ilvl w:val="4"/>
          <w:numId w:val="28"/>
        </w:numPr>
      </w:pPr>
      <w:bookmarkStart w:id="33" w:name="_Toc199273413"/>
      <w:r>
        <w:t>Cea de-a cincea reclamantă</w:t>
      </w:r>
      <w:bookmarkEnd w:id="33"/>
    </w:p>
    <w:bookmarkStart w:id="34" w:name="paragraph00020"/>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20</w:t>
      </w:r>
      <w:r w:rsidRPr="00472687">
        <w:fldChar w:fldCharType="end"/>
      </w:r>
      <w:bookmarkEnd w:id="34"/>
      <w:r>
        <w:t xml:space="preserve">. Într-o declarație scrisă, cea de-a cincea reclamantă se plânge că valurile de caniculă îi epuizează toată energia. Explică faptul că, în timpul verii, nu are curaj să iasă din casă pentru a merge la înot și, în același timp, precizează că nu își poate permite șederi îndelungate la hoteluri cu piscină. Menționează că nu a fost spitalizată niciodată și nici nu a trebuit să consulte un medic în timpul unui episod de caniculă. Afirmă că, în urmă cu ceva timp, și-a făcut </w:t>
      </w:r>
      <w:r>
        <w:lastRenderedPageBreak/>
        <w:t>griji pentru mama ei de nouăzeci de ani, până când aceasta s-a mutat într-un loc cu o climă mai blândă.</w:t>
      </w:r>
    </w:p>
    <w:bookmarkStart w:id="35" w:name="paragraph00021"/>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21</w:t>
      </w:r>
      <w:r w:rsidRPr="00472687">
        <w:fldChar w:fldCharType="end"/>
      </w:r>
      <w:bookmarkEnd w:id="35"/>
      <w:r>
        <w:t>. Cea de-a cincea reclamantă a prezentat un certificat medical întocmit la 4 octombrie 2016, care atestă că aceasta suferă de astm.</w:t>
      </w:r>
    </w:p>
    <w:p w:rsidR="00F47ACE" w:rsidRPr="00472687" w:rsidRDefault="0052083E" w:rsidP="00472687">
      <w:pPr>
        <w:pStyle w:val="JuHA"/>
        <w:numPr>
          <w:ilvl w:val="2"/>
          <w:numId w:val="28"/>
        </w:numPr>
      </w:pPr>
      <w:bookmarkStart w:id="36" w:name="_Toc149127501"/>
      <w:bookmarkStart w:id="37" w:name="_Toc158019680"/>
      <w:bookmarkStart w:id="38" w:name="_Toc199273414"/>
      <w:r>
        <w:t>Procedura inițiată de reclamante</w:t>
      </w:r>
      <w:bookmarkEnd w:id="36"/>
      <w:bookmarkEnd w:id="37"/>
      <w:bookmarkEnd w:id="38"/>
    </w:p>
    <w:p w:rsidR="00F47ACE" w:rsidRPr="00472687" w:rsidRDefault="0052083E" w:rsidP="00472687">
      <w:pPr>
        <w:pStyle w:val="JuH1"/>
        <w:numPr>
          <w:ilvl w:val="3"/>
          <w:numId w:val="28"/>
        </w:numPr>
      </w:pPr>
      <w:bookmarkStart w:id="39" w:name="lt_pId199"/>
      <w:bookmarkStart w:id="40" w:name="_Toc199273415"/>
      <w:r>
        <w:t>Cererile adresate de reclamante autorităților</w:t>
      </w:r>
      <w:bookmarkEnd w:id="39"/>
      <w:bookmarkEnd w:id="40"/>
    </w:p>
    <w:bookmarkStart w:id="41" w:name="paragraph00022"/>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22</w:t>
      </w:r>
      <w:r w:rsidRPr="00472687">
        <w:fldChar w:fldCharType="end"/>
      </w:r>
      <w:bookmarkEnd w:id="41"/>
      <w:r>
        <w:t>. La 25 noiembrie 2016, în temeiul articolului 25a din Legea federală din 20 decembrie 1968 privind procedura administrativă („LPA”), precum și al art. 6 și 13 din Convenție, reclamantele au solicitat Consiliului Federal (Federal Council), Departamentului Federal pentru Mediu, Transport, Energie și Comunicații (Federal Department of the Environment, Transport, Energy and Communications, DETEC), Oficiului Federal pentru Mediu (Federal Office for the Environment, FOEN) și Oficiului Federal pentru Energie (Swiss Federal Office of Energy, SFOE) să adopte o decizie oficială cu privire la „acte materiale” (acte întemeiate pe dreptul public federal care au impact asupra unor drepturi sau obligații, dar care nu rezultă din decizii formale), pentru a remedia omisiunile pretinse de acestea în ceea ce privește protecția climei. Cererile lor în justiție au fost formulate după cum urmează:</w:t>
      </w:r>
    </w:p>
    <w:p w:rsidR="00F47ACE" w:rsidRPr="00472687" w:rsidRDefault="0052083E" w:rsidP="00472687">
      <w:pPr>
        <w:pStyle w:val="JuQuot"/>
      </w:pPr>
      <w:r>
        <w:t>„1. De acum și până în 2020, pârâții [organele sus-menționate] iau toate măsurile necesare în limitele competenței lor pentru a reduce emisiile de [GES], astfel încât contribuția Elveției să se alinieze la obiectivul de a menține creșterea temperaturii medii globale cu mult sub 2°C peste nivelurile preindustriale sau, cel puțin, să nu depășească obiectivul de 2°C, astfel încât să se pună capăt omisiunilor nelegale care subminează aceste obiective.</w:t>
      </w:r>
    </w:p>
    <w:p w:rsidR="00F47ACE" w:rsidRPr="00472687" w:rsidRDefault="0052083E" w:rsidP="00472687">
      <w:pPr>
        <w:pStyle w:val="JuQuot"/>
      </w:pPr>
      <w:r>
        <w:t>În special:</w:t>
      </w:r>
    </w:p>
    <w:p w:rsidR="00F47ACE" w:rsidRPr="00472687" w:rsidRDefault="0052083E" w:rsidP="00472687">
      <w:pPr>
        <w:pStyle w:val="JuQuot"/>
      </w:pPr>
      <w:r>
        <w:t>a. [Pârâtul 1] analizează obligațiile ce revin Confederației în temeiul articolului 74 § 1 din Constituția Federală, precum și punerea în aplicare a acestor obligații în materie de climă, în cadrul obiectivului climatic actual, și în conformitate cu</w:t>
      </w:r>
    </w:p>
    <w:p w:rsidR="00F47ACE" w:rsidRPr="00472687" w:rsidRDefault="0052083E" w:rsidP="00472687">
      <w:pPr>
        <w:pStyle w:val="JuQuot"/>
      </w:pPr>
      <w:r>
        <w:t>– articolul 74 § 2 și articolul 73 din Constituție, precum și cu obligația de a proteja persoanele, impusă Guvernului de articolul 10 § 1 din Constituție;</w:t>
      </w:r>
    </w:p>
    <w:p w:rsidR="00F47ACE" w:rsidRPr="00472687" w:rsidRDefault="0052083E" w:rsidP="00472687">
      <w:pPr>
        <w:pStyle w:val="JuQuot"/>
      </w:pPr>
      <w:r>
        <w:t>– articolele 2 și 8 din Convenția europeană a drepturilor omului (CEDO);</w:t>
      </w:r>
    </w:p>
    <w:p w:rsidR="00F47ACE" w:rsidRPr="00472687" w:rsidRDefault="0052083E" w:rsidP="00472687">
      <w:pPr>
        <w:pStyle w:val="JuQuot"/>
      </w:pPr>
      <w:r>
        <w:t>și elaborează fără întârziere un nou plan, care să fie pus în aplicare imediat și până în 2020, de natură să permită Elveției să atingă obiectivul [de a menține creșterea temperaturii] „cu mult sub 2°C” sau, cel puțin, să nu depășească obiectivul de 2°C, ceea ce impune o reducere a emisiilor naționale de [GES], de acum și până în 2020, cu cel puțin 25% față de nivelurile din 1990;</w:t>
      </w:r>
    </w:p>
    <w:p w:rsidR="00F47ACE" w:rsidRPr="00472687" w:rsidRDefault="0052083E" w:rsidP="00472687">
      <w:pPr>
        <w:pStyle w:val="JuQuot"/>
      </w:pPr>
      <w:r>
        <w:t>b. [Pârâtul 1] informează Adunarea Federală (Parlamentul) și publicul larg că, pentru a respecta obligația de protecție ce revine Elveției, precum și principiile precauției și durabilității, se impune o reducere a emisiilor de [GES] până în 2020, pentru a realiza obiectivul [de a menține creșterea temperaturii] „cu mult sub 2°C” sau, cel puțin, pentru a nu depăși obiectivul de 2°C, ceea ce implică o reducere a emisiilor naționale de [GES], de acum și până în 2020, cu cel puțin 25% față de nivelurile din 1990;</w:t>
      </w:r>
    </w:p>
    <w:p w:rsidR="00F47ACE" w:rsidRPr="00472687" w:rsidRDefault="0052083E" w:rsidP="00472687">
      <w:pPr>
        <w:pStyle w:val="JuQuot"/>
      </w:pPr>
      <w:r>
        <w:lastRenderedPageBreak/>
        <w:t>c. Printr-o decizie adoptată la nivelul Consiliului Federal, al Departamentului Federal [pentru Mediu] sau al Oficiului Federal [pentru Mediu], [pârâții 1, 2 și 3] inițiază fără întârziere o procedură legislativă preliminară cu privire la obiectivul de reducere a emisiilor, astfel cum a fost enunțat la punctul 1 a);</w:t>
      </w:r>
    </w:p>
    <w:p w:rsidR="00F47ACE" w:rsidRPr="00472687" w:rsidRDefault="0052083E" w:rsidP="00472687">
      <w:pPr>
        <w:pStyle w:val="JuQuot"/>
      </w:pPr>
      <w:r>
        <w:t>d. [Pârâtul 1] informează Parlamentul, astfel cum se indică la punctul 1 c), [dacă] obiectivul propus de reducere a emisiilor este conform cu Constituția și cu CEDO.</w:t>
      </w:r>
    </w:p>
    <w:p w:rsidR="00F47ACE" w:rsidRPr="00472687" w:rsidRDefault="0052083E" w:rsidP="00472687">
      <w:pPr>
        <w:pStyle w:val="JuQuot"/>
      </w:pPr>
      <w:r>
        <w:t>2. [Pârâții] iau toate măsurile de atenuare necesare, în limitele competenței lor, pentru a atinge obiectivul de reducere a [GES], stabilit la punctul 1, și anume o reducere a emisiilor [respective], de acum și până în 2020, cu cel puțin 25% față de nivelurile din 1990, astfel încât să se pună capăt omisiunilor nelegale ale acestora. În special:</w:t>
      </w:r>
    </w:p>
    <w:p w:rsidR="00F47ACE" w:rsidRPr="00472687" w:rsidRDefault="0052083E" w:rsidP="00472687">
      <w:pPr>
        <w:pStyle w:val="JuQuot"/>
      </w:pPr>
      <w:r>
        <w:t>a. [Pârâtul 1] analizează măsurile care trebuie luate pentru atingerea obiectivului definit la punctul 1 a);</w:t>
      </w:r>
    </w:p>
    <w:p w:rsidR="00F47ACE" w:rsidRPr="00472687" w:rsidRDefault="0052083E" w:rsidP="00472687">
      <w:pPr>
        <w:pStyle w:val="JuQuot"/>
      </w:pPr>
      <w:r>
        <w:t>b. [Pârâtul 1] comunică măsurile adecvate pentru atingerea obiectivului definit la punctul 1 b);</w:t>
      </w:r>
    </w:p>
    <w:p w:rsidR="00F47ACE" w:rsidRPr="00472687" w:rsidRDefault="0052083E" w:rsidP="00472687">
      <w:pPr>
        <w:pStyle w:val="JuQuot"/>
      </w:pPr>
      <w:r>
        <w:t>c. [Pârâții 1, 2 sau 3], ținând seama de punctul 1 c) de mai sus, includ în procedura legislativă preliminară măsuri care să permită atingerea obiectivului.</w:t>
      </w:r>
    </w:p>
    <w:p w:rsidR="00F47ACE" w:rsidRPr="00472687" w:rsidRDefault="0052083E" w:rsidP="00472687">
      <w:pPr>
        <w:pStyle w:val="JuQuot"/>
      </w:pPr>
      <w:r>
        <w:t>3. [Pârâții] întreprind toate acțiunile în limitele competenței lor și care se impun pentru reducerea emisiilor de acum și până în 2030, astfel încât contribuția Elveției să se alinieze la obiectivul [de a menține creșterea temperaturii] „cu mult sub 2°C” sau, cel puțin, să nu depășească obiectivul de 2°C, astfel încât să se pună capăt omisiunilor nelegale, incompatibile cu aceste obiective. În special:</w:t>
      </w:r>
    </w:p>
    <w:p w:rsidR="00F47ACE" w:rsidRPr="00472687" w:rsidRDefault="0052083E" w:rsidP="00472687">
      <w:pPr>
        <w:pStyle w:val="JuQuot"/>
      </w:pPr>
      <w:r>
        <w:t>a. În cursul procedurii legislative preliminare, [pârâții 1, 2 sau 3] întreprind toate acțiunile necesare pentru ca Elveția să se achite de obligațiile care îi revin pentru a asigura atingerea obiectivului [de a menține creșterea temperaturii] „cu mult sub 2°C” sau, cel puțin, pentru a se asigura că nu depășește obiectivul de 2°C, ceea ce implică o reducere a emisiilor naționale de [GES], de acum și până în 2030, cu cel puțin 50% față de nivelurile din 1990;</w:t>
      </w:r>
    </w:p>
    <w:p w:rsidR="00F47ACE" w:rsidRPr="00472687" w:rsidRDefault="0052083E" w:rsidP="00472687">
      <w:pPr>
        <w:pStyle w:val="JuQuot"/>
      </w:pPr>
      <w:r>
        <w:t>b. [Pârâții 1, 2 sau 3] includ în procedura legislativă preliminară toate măsurile de atenuare necesare pentru atingerea obiectivului de reducere a [GES], definit la punctul 3 a).</w:t>
      </w:r>
    </w:p>
    <w:p w:rsidR="00F47ACE" w:rsidRPr="00472687" w:rsidRDefault="0052083E" w:rsidP="00472687">
      <w:pPr>
        <w:pStyle w:val="JuQuot"/>
      </w:pPr>
      <w:r>
        <w:t>4. [Pârâții] pun în aplicare toate măsurile de atenuare în limitele competenței lor și care se impun pentru atingerea obiectivului actual de reducere cu 20% a [GES], pentru a pune capăt omisiunilor nelegale. În special:</w:t>
      </w:r>
    </w:p>
    <w:p w:rsidR="00F47ACE" w:rsidRPr="00472687" w:rsidRDefault="0052083E" w:rsidP="00472687">
      <w:pPr>
        <w:pStyle w:val="JuQuot"/>
      </w:pPr>
      <w:r>
        <w:t>a. [Pârâtul 3] colectează fără întârziere rapoartele întocmite la nivelul cantoanelor, care detaliază măsurile tehnice adoptate în scopul reducerii emisiilor de CO</w:t>
      </w:r>
      <w:r>
        <w:rPr>
          <w:vertAlign w:val="subscript"/>
        </w:rPr>
        <w:t>2</w:t>
      </w:r>
      <w:r>
        <w:t xml:space="preserve"> generate de clădiri;</w:t>
      </w:r>
    </w:p>
    <w:p w:rsidR="00F47ACE" w:rsidRPr="00472687" w:rsidRDefault="0052083E" w:rsidP="00472687">
      <w:pPr>
        <w:pStyle w:val="JuQuot"/>
      </w:pPr>
      <w:r>
        <w:t>b. [Pârâtul 3] se asigură că rapoartele de la nivelul cantoanelor conțin informații cu privire la măsurile de reducere a emisiilor de CO</w:t>
      </w:r>
      <w:r>
        <w:rPr>
          <w:vertAlign w:val="subscript"/>
        </w:rPr>
        <w:t>2</w:t>
      </w:r>
      <w:r>
        <w:t xml:space="preserve"> care au fost deja adoptate sau care se au în vedere, precum și cu privire la eficacitatea acestora, și apreciază nivelul progreselor realizate în ceea ce privește reducerea emisiilor de CO</w:t>
      </w:r>
      <w:r>
        <w:rPr>
          <w:vertAlign w:val="subscript"/>
        </w:rPr>
        <w:t>2</w:t>
      </w:r>
      <w:r>
        <w:t xml:space="preserve"> generate de clădirile aflate pe teritoriile în cauză; și solicită realizarea de progrese în acest sens, după caz;</w:t>
      </w:r>
    </w:p>
    <w:p w:rsidR="00F47ACE" w:rsidRPr="00472687" w:rsidRDefault="0052083E" w:rsidP="00472687">
      <w:pPr>
        <w:pStyle w:val="JuQuot"/>
      </w:pPr>
      <w:r>
        <w:t>c. [Pârâtul 3] se asigură că, la nivel de cantoane, sunt instituite standarde de ultimă generație pentru clădirile noi și cele existente;</w:t>
      </w:r>
    </w:p>
    <w:p w:rsidR="00F47ACE" w:rsidRPr="00472687" w:rsidRDefault="0052083E" w:rsidP="00472687">
      <w:pPr>
        <w:pStyle w:val="JuQuot"/>
      </w:pPr>
      <w:r>
        <w:t>d. [Pârâții 1, 2 sau 3] iau măsurile necesare în cazul în care cantoanele nu au respectat obligația prevăzută la punctul 4 c); după caz, aceștia procedează la elaborarea de noi standarde federale de ultimă generație pentru clădirile noi și cele existente;</w:t>
      </w:r>
    </w:p>
    <w:p w:rsidR="00F47ACE" w:rsidRPr="00472687" w:rsidRDefault="0052083E" w:rsidP="00472687">
      <w:pPr>
        <w:pStyle w:val="JuQuot"/>
      </w:pPr>
      <w:r>
        <w:lastRenderedPageBreak/>
        <w:t>e. [Pârâtul 2], după ce a constatat că nu a fost atins obiectivul intermediar al sectorului construcțiilor pentru 2015, analizează necesitatea realizării de progrese la nivel de cantoane și propune pârâtului 1 noi măsuri eficiente de atenuare;</w:t>
      </w:r>
    </w:p>
    <w:p w:rsidR="00F47ACE" w:rsidRPr="00472687" w:rsidRDefault="0052083E" w:rsidP="00472687">
      <w:pPr>
        <w:pStyle w:val="JuQuot"/>
      </w:pPr>
      <w:r>
        <w:t>f. [Pârâții 1, 2 și 3] iau măsuri în vederea creșterii rapide a taxei pe emisiile de CO</w:t>
      </w:r>
      <w:r>
        <w:rPr>
          <w:vertAlign w:val="subscript"/>
        </w:rPr>
        <w:t>2</w:t>
      </w:r>
      <w:r>
        <w:t xml:space="preserve"> aplicată combustibililor termici;</w:t>
      </w:r>
    </w:p>
    <w:p w:rsidR="00F47ACE" w:rsidRPr="00472687" w:rsidRDefault="0052083E" w:rsidP="00472687">
      <w:pPr>
        <w:pStyle w:val="JuQuot"/>
      </w:pPr>
      <w:r>
        <w:t>g. [Pârâtul 4] impune importatorilor de autoturisme să furnizeze date care să indice emisiile reale de CO</w:t>
      </w:r>
      <w:r>
        <w:rPr>
          <w:vertAlign w:val="subscript"/>
        </w:rPr>
        <w:t>2</w:t>
      </w:r>
      <w:r>
        <w:t xml:space="preserve"> generate de aceste vehicule;</w:t>
      </w:r>
    </w:p>
    <w:p w:rsidR="00F47ACE" w:rsidRPr="00472687" w:rsidRDefault="0052083E" w:rsidP="00472687">
      <w:pPr>
        <w:pStyle w:val="JuQuot"/>
      </w:pPr>
      <w:r>
        <w:t>h. [Pârâtul 2], ținând seama de faptul că este probabil ca obiectivul intermediar al sectorului transporturilor pentru 2015 să nu fie atins, elaborează imediat noi măsuri eficiente de atenuare și le propune pârâtului 1; în special, [pârâtul 1] ia măsuri pentru a promova electromobilitatea sau demonstrează că obiectivul sectorial intermediar menționat la articolul 3 § 2 din Ordonanța privind emisiile de CO</w:t>
      </w:r>
      <w:r>
        <w:rPr>
          <w:vertAlign w:val="subscript"/>
        </w:rPr>
        <w:t>2</w:t>
      </w:r>
      <w:r>
        <w:t xml:space="preserve"> poate fi realizat fără punerea în aplicare a acestor măsuri de promovare; și [pârâții 1, 2 și 3] iau măsuri pentru creșterea ratei de compensare a emisiilor de CO</w:t>
      </w:r>
      <w:r>
        <w:rPr>
          <w:vertAlign w:val="subscript"/>
        </w:rPr>
        <w:t>2</w:t>
      </w:r>
      <w:r>
        <w:t xml:space="preserve"> aplicabilă combustibililor auto;</w:t>
      </w:r>
    </w:p>
    <w:p w:rsidR="00F47ACE" w:rsidRPr="00472687" w:rsidRDefault="0052083E" w:rsidP="00472687">
      <w:pPr>
        <w:pStyle w:val="JuQuot"/>
      </w:pPr>
      <w:r>
        <w:t>i. [Pârâtul 1] efectuează o evaluare completă a eficacității măsurilor adoptate în temeiul Legii privind emisiile de CO</w:t>
      </w:r>
      <w:r>
        <w:rPr>
          <w:vertAlign w:val="subscript"/>
        </w:rPr>
        <w:t>2</w:t>
      </w:r>
      <w:r>
        <w:t xml:space="preserve"> și stabilește dacă sunt necesare măsuri suplimentare, comunică Parlamentului concluziile acestei evaluări și întreprinde fără întârziere demersuri pentru punerea în aplicare a măsurilor necesare pentru perioada care se încheie în 2020.</w:t>
      </w:r>
    </w:p>
    <w:p w:rsidR="00F47ACE" w:rsidRPr="00472687" w:rsidRDefault="0052083E" w:rsidP="00472687">
      <w:pPr>
        <w:pStyle w:val="JuQuot"/>
      </w:pPr>
      <w:r>
        <w:t>5. În subsidiar față de pretențiile formulate la punctele 1, 2, 3 și 4, [reclamantele solicită] ca omisiunile în discuție să fie declarate nelegale.</w:t>
      </w:r>
    </w:p>
    <w:p w:rsidR="00F47ACE" w:rsidRPr="00472687" w:rsidRDefault="0052083E" w:rsidP="00472687">
      <w:pPr>
        <w:pStyle w:val="JuQuot"/>
      </w:pPr>
      <w:r>
        <w:t>[Pe plan procedural], reclamantele solicită, de asemenea, pronunțarea într-un termen scurt cu privire la pretențiile 1-5. ”</w:t>
      </w:r>
    </w:p>
    <w:p w:rsidR="00F47ACE" w:rsidRPr="00472687" w:rsidRDefault="00C71855" w:rsidP="00472687">
      <w:pPr>
        <w:pStyle w:val="JuPara"/>
      </w:pPr>
      <w:fldSimple w:instr=" SEQ level0 \*arabic \* MERGEFORMAT ">
        <w:r w:rsidR="00472687" w:rsidRPr="00472687">
          <w:t>23</w:t>
        </w:r>
      </w:fldSimple>
      <w:r w:rsidR="00B71F73">
        <w:t>. În memoriul depus la DETEC, reclamantele au subliniat în special că scopul cererii lor era acela de a obliga autoritățile, în interesul protejării vieții și sănătății acestora, să ia toate măsurile necesare, impuse de Constituție și de Convenție, pentru a preveni încălzirea globală.</w:t>
      </w:r>
    </w:p>
    <w:p w:rsidR="00F47ACE" w:rsidRPr="00472687" w:rsidRDefault="00C71855" w:rsidP="00472687">
      <w:pPr>
        <w:pStyle w:val="JuPara"/>
      </w:pPr>
      <w:fldSimple w:instr=" SEQ level0 \*arabic \* MERGEFORMAT ">
        <w:r w:rsidR="00472687" w:rsidRPr="00472687">
          <w:t>24</w:t>
        </w:r>
      </w:fldSimple>
      <w:r w:rsidR="00B71F73">
        <w:t>. În ceea ce privește situația lor personală, reclamantele au reamintit natura și misiunea asociației și au susținut că reclamantele individuale aparțineau unei categorii extrem de vulnerabile, afectată de schimbările climatice. Acestea au precizat că, potrivit datelor disponibile, femeile în vârstă suportă mai greu decât restul populației efectele episoadelor caniculare asupra vieții și sănătății lor. Ele au susținut că situația lor ilustra starea de fapt respectivă, având în vedere că, potrivit acestora, toate sufereau de diferite probleme de sănătate cauzate de valurile de căldură, iar aceste efecte nefaste urmau să se agraveze în timp, având în vedere creșterea preconizată a frecvenței și a duratei episoadelor caniculare.</w:t>
      </w:r>
    </w:p>
    <w:p w:rsidR="00F47ACE" w:rsidRPr="00472687" w:rsidRDefault="00C71855" w:rsidP="00472687">
      <w:pPr>
        <w:pStyle w:val="JuPara"/>
      </w:pPr>
      <w:fldSimple w:instr=" SEQ level0 \*arabic \* MERGEFORMAT ">
        <w:r w:rsidR="00472687" w:rsidRPr="00472687">
          <w:t>25</w:t>
        </w:r>
      </w:fldSimple>
      <w:r w:rsidR="00B71F73">
        <w:t>. Reclamantele au explicat, de asemenea, că, în opinia lor, obiectivele actuale de reducere a emisiilor naționale erau insuficiente, neconstituționale și incompatibile cu Convenția și cu dreptul internațional. De asemenea, acestea au apreciat că măsurile de atenuare adoptate de autorități erau insuficiente. În opinia lor, inacțiunea autorităților în ceea ce privește schimbările climatice nu avea nicio justificare.</w:t>
      </w:r>
    </w:p>
    <w:p w:rsidR="00F47ACE" w:rsidRPr="00472687" w:rsidRDefault="00C71855" w:rsidP="00472687">
      <w:pPr>
        <w:pStyle w:val="JuPara"/>
      </w:pPr>
      <w:fldSimple w:instr=" SEQ level0 \*arabic \* MERGEFORMAT ">
        <w:r w:rsidR="00472687" w:rsidRPr="00472687">
          <w:t>26</w:t>
        </w:r>
      </w:fldSimple>
      <w:r w:rsidR="00B71F73">
        <w:t xml:space="preserve">. Reclamantele au susținut că omisiunile sus-menționate au încălcat principiul durabilității (articolul 73 din Constituție), principiul precauției </w:t>
      </w:r>
      <w:r w:rsidR="00B71F73">
        <w:lastRenderedPageBreak/>
        <w:t>(articolul 74 § 2 din Constituție), dreptul la viață (articolul 10 din Constituție), precum și drepturile acestora prevăzute de Convenție, în special „dreptul la viață, dreptul la sănătate și dreptul la integritate fizică”, protejate de art. 2 și 8 [din Convenție]”, având în vedere obligația pozitivă de protejare a acestor drepturi. Acestea au argumentat în mod specific că statul avea obligația de a institui cadrul de reglementare și administrativ necesar, ținând seama de situația specifică în cauză și de nivelul de risc.</w:t>
      </w:r>
    </w:p>
    <w:bookmarkStart w:id="42" w:name="paragraph00027"/>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27</w:t>
      </w:r>
      <w:r w:rsidRPr="00472687">
        <w:fldChar w:fldCharType="end"/>
      </w:r>
      <w:bookmarkEnd w:id="42"/>
      <w:r>
        <w:t>. În plus, reclamantele au invocat art. 6 și 13 din Convenție. Ele au susținut în special că acțiunea lor avea ca obiect o contestație serioasă și reală referitoare la drepturile și obligațiile lor cu caracter civil, în sensul art. 6 § 1 din Convenție, întrucât, potrivit acestora, omisiunile în cauză constituiau un risc grav pentru viața, sănătatea și integritatea lor fizică. Prin urmare, acestea considerau că aveau dreptul de a obține examinarea cererii lor de către autorități și, în cele din urmă, de către o instanță. În opinia lor, acestea erau finalitatea și scopul căii de atac prevăzute la articolul 25a din LPA, care, prin natura sa, era exercitată în speță pentru a contesta omisiunile și pentru a solicita protecție în temeiul Convenției. Cu toate acestea, și independent de articolul 25a din LPA, reclamantele considerau că cererea lor trebuia să fie examinată ținând seama de cerințele care decurg din art. 6 și 13 din Convenție.</w:t>
      </w:r>
    </w:p>
    <w:bookmarkStart w:id="43" w:name="paragraph00028"/>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28</w:t>
      </w:r>
      <w:r w:rsidRPr="00472687">
        <w:fldChar w:fldCharType="end"/>
      </w:r>
      <w:bookmarkEnd w:id="43"/>
      <w:r>
        <w:t>. La 25 aprilie 2017, DETEC a respins acțiunea reclamantelor pentru lipsa calității procesuale. Acesta a explicat că o acțiune întemeiată pe articolul 25a din LPA trebuia să îndeplinească următoarele condiții: a) trebuia să existe un „act material”; b) cererea trebuia să privească dreptul public federal; c) autoritatea în cauză trebuia să fie o autoritate administrativă federală; d) actul material trebuia să aibă impact asupra unor drepturi sau obligații; e) trebuia să existe un „interes demn de protecție”; și f) trebuia să fie respectat principiul subsidiarității.</w:t>
      </w:r>
    </w:p>
    <w:p w:rsidR="00F47ACE" w:rsidRPr="00472687" w:rsidRDefault="00C71855" w:rsidP="00472687">
      <w:pPr>
        <w:pStyle w:val="JuPara"/>
      </w:pPr>
      <w:fldSimple w:instr=" SEQ level0 \*arabic \* MERGEFORMAT ">
        <w:r w:rsidR="00472687" w:rsidRPr="00472687">
          <w:t>29</w:t>
        </w:r>
      </w:fldSimple>
      <w:r w:rsidR="00B71F73">
        <w:t>. Deși a acceptat că, în principiu, condițiile prevăzute la literele a)-c) erau îndeplinite, DETEC a apreciat că nu era îndeplinită condiția menționată la litera d) – actul material trebuia să aibă impact asupra unor drepturi sau obligații –, astfel încât nu era necesar să examineze condițiile prevăzute la literele e)-f).</w:t>
      </w:r>
    </w:p>
    <w:bookmarkStart w:id="44" w:name="paragraph00030"/>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30</w:t>
      </w:r>
      <w:r w:rsidRPr="00472687">
        <w:fldChar w:fldCharType="end"/>
      </w:r>
      <w:bookmarkEnd w:id="44"/>
      <w:r>
        <w:t>. DETEC a considerat că scopul principal al cererii adresate de reclamante autorităților administrative federale era acela de a iniția adoptarea unor dispoziții legislative care să permită reducerea emisiilor de CO</w:t>
      </w:r>
      <w:r>
        <w:rPr>
          <w:vertAlign w:val="subscript"/>
        </w:rPr>
        <w:t>2</w:t>
      </w:r>
      <w:r>
        <w:t>. A afirmat că această acțiune nu era comparabilă cu o cerere de decizie (individuală-specifică) și nici măcar de decizie generală (generală</w:t>
      </w:r>
      <w:r>
        <w:noBreakHyphen/>
        <w:t>specifică), astfel cum prevede articolul 25a din LPA. Potrivit DETEC, scopul general al cererii reclamantelor era acela de a obține o reducere a emisiilor de CO</w:t>
      </w:r>
      <w:r>
        <w:rPr>
          <w:vertAlign w:val="subscript"/>
        </w:rPr>
        <w:t>2</w:t>
      </w:r>
      <w:r>
        <w:t xml:space="preserve"> la nivel mondial, și nu doar în imediata lor vecinătate. DETEC a apreciat că, în speță, nu era afectată nicio situație juridică individuală, întrucât, în opinia sa, acțiunea reclamantelor nu avea ca obiect în mod special realizarea unor drepturi subiective, ci urmărea mai degrabă instituirea unor norme și măsuri </w:t>
      </w:r>
      <w:r>
        <w:lastRenderedPageBreak/>
        <w:t>abstracte și generale. Prin urmare, DETEC a considerat că articolul 25a din LPA nu era aplicabil, întrucât procedura legislativă nu era reglementată de legea în cauză, iar reclamantele dispuneau de alte mijloace pentru a-și exercita drepturile politice.</w:t>
      </w:r>
    </w:p>
    <w:bookmarkStart w:id="45" w:name="paragraph00031"/>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31</w:t>
      </w:r>
      <w:r w:rsidRPr="00472687">
        <w:fldChar w:fldCharType="end"/>
      </w:r>
      <w:bookmarkEnd w:id="45"/>
      <w:r>
        <w:t>. Din motive similare, DETEC a respins argumentele întemeiate de reclamante pe dispozițiile Convenției. Concentrându-se pe art. 13 din Convenție, acesta a apreciat că reclamantele urmăreau un interes public general, care nu putea să justifice calitatea lor de victimă în temeiul Convenției. Acesta a considerat de asemenea că art. 13 din Convenție permitea doar controlul unei acțiuni concrete a statului față de o persoană, ceea ce nu corespundea situației din cauza reclamantelor.</w:t>
      </w:r>
    </w:p>
    <w:p w:rsidR="00F47ACE" w:rsidRPr="00472687" w:rsidRDefault="0052083E" w:rsidP="00472687">
      <w:pPr>
        <w:pStyle w:val="JuH1"/>
        <w:numPr>
          <w:ilvl w:val="3"/>
          <w:numId w:val="28"/>
        </w:numPr>
      </w:pPr>
      <w:bookmarkStart w:id="46" w:name="_Toc199273416"/>
      <w:r>
        <w:t>Procedura în fața Tribunalului Administrativ Federal (Tribunal administratif fédéral)</w:t>
      </w:r>
      <w:bookmarkEnd w:id="46"/>
    </w:p>
    <w:p w:rsidR="00F47ACE" w:rsidRPr="00472687" w:rsidRDefault="0052083E" w:rsidP="00472687">
      <w:pPr>
        <w:pStyle w:val="JuHa0"/>
        <w:numPr>
          <w:ilvl w:val="4"/>
          <w:numId w:val="28"/>
        </w:numPr>
      </w:pPr>
      <w:bookmarkStart w:id="47" w:name="_Toc199273417"/>
      <w:r>
        <w:t>Recursul declarat de reclamante</w:t>
      </w:r>
      <w:bookmarkEnd w:id="47"/>
    </w:p>
    <w:p w:rsidR="00F47ACE" w:rsidRPr="00472687" w:rsidRDefault="00C71855" w:rsidP="00472687">
      <w:pPr>
        <w:pStyle w:val="JuPara"/>
      </w:pPr>
      <w:fldSimple w:instr=" SEQ level0 \*arabic \* MERGEFORMAT ">
        <w:r w:rsidR="00472687" w:rsidRPr="00472687">
          <w:t>32</w:t>
        </w:r>
      </w:fldSimple>
      <w:r w:rsidR="00B71F73">
        <w:t>. La 26 mai 2017, reclamantele au sesizat Tribunalul Administrativ Federal („TAF”) cu recurs împotriva deciziei DETEC. Ele au solicitat anularea deciziei atacate și retrimiterea acesteia la DETEC spre reexaminare.</w:t>
      </w:r>
    </w:p>
    <w:bookmarkStart w:id="48" w:name="paragraph00033"/>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33</w:t>
      </w:r>
      <w:r w:rsidRPr="00472687">
        <w:fldChar w:fldCharType="end"/>
      </w:r>
      <w:bookmarkEnd w:id="48"/>
      <w:r>
        <w:t>. În recursul lor, reclamantele și-au reiterat argumentele prezentate în fața DETEC cu privire la efectele schimbărilor climatice (supra, pct. </w:t>
      </w:r>
      <w:r w:rsidRPr="00472687">
        <w:fldChar w:fldCharType="begin"/>
      </w:r>
      <w:r w:rsidRPr="00472687">
        <w:instrText xml:space="preserve">REF paragraph00022 \h \* CharFormat </w:instrText>
      </w:r>
      <w:r w:rsidRPr="00472687">
        <w:fldChar w:fldCharType="separate"/>
      </w:r>
      <w:r w:rsidR="00472687" w:rsidRPr="00472687">
        <w:t>22</w:t>
      </w:r>
      <w:r w:rsidRPr="00472687">
        <w:fldChar w:fldCharType="end"/>
      </w:r>
      <w:r>
        <w:t>-</w:t>
      </w:r>
      <w:r w:rsidRPr="00472687">
        <w:fldChar w:fldCharType="begin"/>
      </w:r>
      <w:r w:rsidRPr="00472687">
        <w:instrText xml:space="preserve">REF paragraph00027 \h \* CharFormat </w:instrText>
      </w:r>
      <w:r w:rsidRPr="00472687">
        <w:fldChar w:fldCharType="separate"/>
      </w:r>
      <w:r w:rsidR="00472687" w:rsidRPr="00472687">
        <w:t>27</w:t>
      </w:r>
      <w:r w:rsidRPr="00472687">
        <w:fldChar w:fldCharType="end"/>
      </w:r>
      <w:r>
        <w:t>) și au susținut că acțiunea lor nu urmărea adoptarea unor dispoziții generale și abstracte, ci obținerea unor măsuri specifice, în cadrul unei proceduri legislative preliminare, și punerea în aplicare adecvată a legislației în vigoare. Acestea au considerat că o astfel de cerere intra sub incidența articolului 25a din LPA. În plus, au susținut că DETEC le-a încălcat dreptul de a fi ascultate, ca urmare a faptului că acesta nu a examinat în detaliu cererea lor, în special argumentele acestora întemeiate pe Convenție.</w:t>
      </w:r>
    </w:p>
    <w:p w:rsidR="00F47ACE" w:rsidRPr="00472687" w:rsidRDefault="0052083E" w:rsidP="00472687">
      <w:pPr>
        <w:pStyle w:val="JuHa0"/>
        <w:numPr>
          <w:ilvl w:val="4"/>
          <w:numId w:val="28"/>
        </w:numPr>
      </w:pPr>
      <w:bookmarkStart w:id="49" w:name="_Toc199273418"/>
      <w:r>
        <w:t>Decizia TAF</w:t>
      </w:r>
      <w:bookmarkEnd w:id="49"/>
    </w:p>
    <w:bookmarkStart w:id="50" w:name="paragraph00034"/>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34</w:t>
      </w:r>
      <w:r w:rsidRPr="00472687">
        <w:fldChar w:fldCharType="end"/>
      </w:r>
      <w:bookmarkEnd w:id="50"/>
      <w:r>
        <w:t>. La 27 noiembrie 2018, TAF a respins recursul reclamantelor.</w:t>
      </w:r>
    </w:p>
    <w:bookmarkStart w:id="51" w:name="paragraph00035"/>
    <w:p w:rsidR="00C014F0"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35</w:t>
      </w:r>
      <w:r w:rsidRPr="00472687">
        <w:fldChar w:fldCharType="end"/>
      </w:r>
      <w:bookmarkEnd w:id="51"/>
      <w:r>
        <w:t>. În ceea ce privește, în primul rând, calitatea procesuală a reclamantelor, TAF a apreciat că reclamantele nr. 2-5 aveau un „interes demn de protecție” de a obține anularea sau modificarea deciziei în litigiu a DETEC și că, din acest punct de vedere, recursul era admisibil. Prin urmare, acesta a considerat că nu era necesar să se stabilească dacă asociația reclamantă avea, de asemenea, un astfel de interes.</w:t>
      </w:r>
    </w:p>
    <w:p w:rsidR="00F47ACE" w:rsidRPr="00472687" w:rsidRDefault="00C71855" w:rsidP="00472687">
      <w:pPr>
        <w:pStyle w:val="JuPara"/>
      </w:pPr>
      <w:fldSimple w:instr=" SEQ level0 \*arabic \* MERGEFORMAT ">
        <w:r w:rsidR="00472687" w:rsidRPr="00472687">
          <w:t>36</w:t>
        </w:r>
      </w:fldSimple>
      <w:r w:rsidR="00B71F73">
        <w:t xml:space="preserve">. TAF a examinat apoi capătul de cerere întemeiat de reclamante pe încălcarea dreptului lor de a fi ascultate. A apreciat că, deși decizia DETEC era insuficient motivată, era clar, în circumstanțele speței, că respectiva cerere a reclamantelor a fost respinsă deoarece DETEC a considerat că aceasta avea caracterul unei </w:t>
      </w:r>
      <w:r w:rsidR="00B71F73">
        <w:rPr>
          <w:i/>
        </w:rPr>
        <w:t>actio popularis</w:t>
      </w:r>
      <w:r w:rsidR="00B71F73">
        <w:t>.</w:t>
      </w:r>
    </w:p>
    <w:p w:rsidR="00F47ACE" w:rsidRPr="00472687" w:rsidRDefault="00C71855" w:rsidP="00472687">
      <w:pPr>
        <w:pStyle w:val="JuPara"/>
      </w:pPr>
      <w:fldSimple w:instr=" SEQ level0 \*arabic \* MERGEFORMAT ">
        <w:r w:rsidR="00472687" w:rsidRPr="00472687">
          <w:t>37</w:t>
        </w:r>
      </w:fldSimple>
      <w:r w:rsidR="00B71F73">
        <w:t xml:space="preserve">. În ceea ce privește celelalte argumente ale reclamantelor, TAF a explicat că articolul 25a din LPA reflecta garanția privind accesul la o </w:t>
      </w:r>
      <w:r w:rsidR="00B71F73">
        <w:lastRenderedPageBreak/>
        <w:t xml:space="preserve">instanță, prevăzută la articolul 29a din Constituție și la art. 6 din Convenție, în măsura în care acesta se referea la „acte materiale”. În plus, acesta a subliniat că nici legea, nici jurisprudența nu defineau noțiunea de „acte materiale”. Cu toate acestea, a apreciat că, în ceea ce privește domeniul de aplicare material al articolului 25a din LPA, elementul decisiv era aspectul dacă exista o nevoie de protecție juridică individuală. A precizat de asemenea că, pentru a limita acest domeniu de aplicare astfel încât să fie exclusă o </w:t>
      </w:r>
      <w:r w:rsidR="00B71F73">
        <w:rPr>
          <w:i/>
        </w:rPr>
        <w:t>actio popularis</w:t>
      </w:r>
      <w:r w:rsidR="00B71F73">
        <w:t xml:space="preserve">, era necesar să se aplice celelalte criterii menționate la articolul 25a litera (l) din LPA, și anume existența unui „interes demn de protecție” și a unor drepturi sau obligații afectate. A menționat că noțiunea de „interes demn de protecție” decurgea în principal din drepturile fundamentale și impunea existența unui interes, precum și a unui beneficiu practic în apărarea acestui interes. A adăugat că era necesar ca partea care formulează recursul să fie afectată într-un mod diferit în raport cu populația generală și că acest criteriu urmărea excluderea </w:t>
      </w:r>
      <w:r w:rsidR="00B71F73">
        <w:rPr>
          <w:i/>
        </w:rPr>
        <w:t>actio popularis</w:t>
      </w:r>
      <w:r w:rsidR="00B71F73">
        <w:t>. În ceea ce privește eventualele încălcări ale drepturilor fundamentale, acesta a precizat că era necesar să examineze domeniul de aplicare material al dreptului în cauză, pentru a stabili dacă acesta era sau nu afectat. A precizat că această apreciere trebuia realizată în lumina circumstanțelor cauzei respective.</w:t>
      </w:r>
    </w:p>
    <w:p w:rsidR="00F47ACE" w:rsidRPr="00472687" w:rsidRDefault="00C71855" w:rsidP="00472687">
      <w:pPr>
        <w:pStyle w:val="JuPara"/>
      </w:pPr>
      <w:fldSimple w:instr=" SEQ level0 \*arabic \* MERGEFORMAT ">
        <w:r w:rsidR="00472687" w:rsidRPr="00472687">
          <w:t>38</w:t>
        </w:r>
      </w:fldSimple>
      <w:r w:rsidR="00B71F73">
        <w:t xml:space="preserve">. Examinând cauza reclamantelor din perspectiva acestor considerente și întemeindu-se pe jurisprudența Tribunalului Federal cu privire la </w:t>
      </w:r>
      <w:r w:rsidR="00B71F73">
        <w:rPr>
          <w:i/>
        </w:rPr>
        <w:t>actio popularis</w:t>
      </w:r>
      <w:r w:rsidR="00B71F73">
        <w:t xml:space="preserve">, TAF a considerat că acțiunea reclamantelor, care privea consecințele schimbărilor climatice și în care se solicita adoptarea unei decizii pe fond în sensul articolului 25a din LPA, impunea existența unei legături strânse între reclamante și problema ridicată în litigiu, care – spre deosebire de o acțiune de tip </w:t>
      </w:r>
      <w:r w:rsidR="00B71F73">
        <w:rPr>
          <w:i/>
        </w:rPr>
        <w:t>actio popularis</w:t>
      </w:r>
      <w:r w:rsidR="00B71F73">
        <w:t xml:space="preserve"> – depășea o eventuală legătură pe care ar putea să o invoce populația generală. În acest sens, recunoscând că, în cursul secolului al XXI-lea, schimbările climatice vor afecta toate regiunile și toate anotimpurile din Elveția, TAF a considerat că consecințele schimbărilor climatice asupra oamenilor, animalelor și plantelor ar avea un caracter general, chiar dacă nu toate ar fi afectate în același mod. Acesta a arătat, în special, următoarele:</w:t>
      </w:r>
    </w:p>
    <w:p w:rsidR="00F47ACE" w:rsidRPr="00472687" w:rsidRDefault="0052083E" w:rsidP="00472687">
      <w:pPr>
        <w:pStyle w:val="JuQuot"/>
      </w:pPr>
      <w:r>
        <w:t>„Consecințele negative, din perspectiva economiei și a sănătății, variază între diferitele categorii de populație. De exemplu, pentru populația orașelor și aglomerărilor urbane, valurile de caniculă constituie o povară pentru sănătate din cauza formării insulelor de căldură urbană. Valurile de căldură din timpul verii pot, de asemenea, să pună în pericol sugarii și copiii mici, din cauza predispoziției lor la deshidratare, iar nivelurile ridicate de ozon cauzate de căldură pot duce la tulburări respiratorii și la deteriorarea funcției pulmonare. În plus, colonizarea unor zone geografice noi de către vectorii bolilor, cum ar fi căpușele și țânțarii, va afecta grupuri de populație care anterior nu au fost expuse unor astfel de riscuri. Schimbările climatice, în special temperaturile medii și cantitățile medii de precipitații asociate acestora, afectează, de asemenea, silvicultura, agricultura, turismul de iarnă și managementul apei, de exemplu. În plus, din cauza dezghețării permafrostului, crește riscul de căderi de pietre, precum și – în special în timpul iernii – riscul de inundații, alunecări de grohotiș și alunecări de teren. ”</w:t>
      </w:r>
    </w:p>
    <w:p w:rsidR="00F47ACE" w:rsidRPr="00472687" w:rsidRDefault="00C71855" w:rsidP="00472687">
      <w:pPr>
        <w:pStyle w:val="JuPara"/>
      </w:pPr>
      <w:fldSimple w:instr=" SEQ level0 \*arabic \* MERGEFORMAT ">
        <w:r w:rsidR="00472687" w:rsidRPr="00472687">
          <w:t>39</w:t>
        </w:r>
      </w:fldSimple>
      <w:r w:rsidR="00B71F73">
        <w:t>. Cu toate acestea, TAF a considerat că grupul de femei cu vârsta peste șaptezeci și cinci de ani nu ar fi afectat de efectele schimbărilor climatice într-o asemenea măsură încât acestea să fie îndreptățite să inițieze o acțiune în temeiul articolului 25a din LPA. Acesta a subliniat următoarele:</w:t>
      </w:r>
    </w:p>
    <w:p w:rsidR="00F47ACE" w:rsidRPr="00472687" w:rsidRDefault="0052083E" w:rsidP="00472687">
      <w:pPr>
        <w:pStyle w:val="JuQuot"/>
      </w:pPr>
      <w:r>
        <w:t>„Deși diferite categorii sunt afectate în moduri diferite – prejudiciile variind de la interesele economice la efectele nefaste asupra sănătății populației generale – nu se poate afirma, din perspectiva administrării justiției și în lumina jurisprudenței descrise mai sus, că recurentele aveau, în raport cu populația generală, o legătură strânsă cu problema ridicată în litigiu, și anume protecția climei de către Confederație. Prin urmare, recurentele nu se pot prevala de un interes demn de protecție suficient, motiv pentru care autoritatea de prim grad de jurisdicție a refuzat în mod întemeiat să se pronunțe asupra fondului, în sensul articolului 25a din LPA. ”</w:t>
      </w:r>
    </w:p>
    <w:p w:rsidR="00F47ACE" w:rsidRPr="00472687" w:rsidRDefault="00C71855" w:rsidP="00472687">
      <w:pPr>
        <w:pStyle w:val="JuPara"/>
      </w:pPr>
      <w:fldSimple w:instr=" SEQ level0 \*arabic \* MERGEFORMAT ">
        <w:r w:rsidR="00472687" w:rsidRPr="00472687">
          <w:t>40</w:t>
        </w:r>
      </w:fldSimple>
      <w:r w:rsidR="00B71F73">
        <w:t xml:space="preserve">. În ceea ce privește invocarea de către reclamante a art. 6 § 1 și, în subsidiar, a art. 13 din Convenție, în ceea ce privește protecția drepturilor lor în temeiul art. 2 și 8 din Convenție, TAF a considerat că aplicabilitatea art. 6 § 1 din Convenție impunea, printre altele, existența unei contestații reale și serioase, al cărei rezultat ar fi direct decisiv pentru acțiunea civilă în cauză. În opinia TAF, acest lucru însemna că o acțiune trebuia formulată în termeni formali și în mod rezonabil și că art. 6 § 1 trebuia să fie interpretat în coroborare cu art. 34 din Convenție, care stabilește condițiile pentru formularea cererilor individuale în fața Curții și exclude posibilitatea unei </w:t>
      </w:r>
      <w:r w:rsidR="00B71F73">
        <w:rPr>
          <w:i/>
        </w:rPr>
        <w:t>actio popularis.</w:t>
      </w:r>
    </w:p>
    <w:p w:rsidR="00F47ACE" w:rsidRPr="00472687" w:rsidRDefault="00C71855" w:rsidP="00472687">
      <w:pPr>
        <w:pStyle w:val="JuPara"/>
      </w:pPr>
      <w:fldSimple w:instr=" SEQ level0 \*arabic \* MERGEFORMAT ">
        <w:r w:rsidR="00472687" w:rsidRPr="00472687">
          <w:t>41</w:t>
        </w:r>
      </w:fldSimple>
      <w:r w:rsidR="00B71F73">
        <w:t>. În această privință, TAF a prezentat următorul raționament cu privire la capetele de cerere specifice ale reclamantelor:</w:t>
      </w:r>
    </w:p>
    <w:p w:rsidR="00F47ACE" w:rsidRPr="00472687" w:rsidRDefault="0052083E" w:rsidP="00472687">
      <w:pPr>
        <w:pStyle w:val="JuQuot"/>
      </w:pPr>
      <w:r>
        <w:t>„Nici o procedură legislativă preliminară, nici comunicarea de informații publicului [solicitate de recurente] nu pot contribui în mod direct la reducerea emisiilor de [GES] în Elveția, în conformitate cu jurisprudența rezumată mai sus. O astfel de reducere depinde mai degrabă de deciziile autorităților legislative și de reglementare, precum și de deciziile fiecărei persoane în cauză. Prin urmare, măsurile solicitate nu sunt de natură să reducă riscul valurilor de caniculă din timpul verii. Același lucru este valabil și în ceea ce privește solicitarea recurentelor de instituire a unor măsuri de reducere a emisiilor care nu sunt prevăzute de lege în prezent [...]</w:t>
      </w:r>
    </w:p>
    <w:p w:rsidR="00F47ACE" w:rsidRPr="00472687" w:rsidRDefault="0052083E" w:rsidP="00472687">
      <w:pPr>
        <w:pStyle w:val="JuQuot"/>
      </w:pPr>
      <w:r>
        <w:t>Având în vedere situația de fapt, nu se poate afirma că autoritatea de prim grad de jurisdicție a fost sesizată cu o contestație reală și serioasă, al cărei rezultat s-ar fi dovedit în mod direct decisiv pentru orice eventuală acțiune civilă introdusă de recurente; reducerea unui potențial pericol general nu poate fi obținută direct prin intermediul acțiunilor solicitate. Așadar, autoritatea de prim grad de jurisdicție nu era obligată, în temeiul art. 6 § 1 [din Convenție], să examineze cauza părților interesate și să emită o decizie pe fond, care să poată fi atacată cu recurs și, prin urmare, să ofere o protecție jurisdicțională. Prin urmare, nu este necesar să se examineze nici art. 13 [din Convenție] [...] În litigiile civile, garanția prevăzută la art. 13 [din Convenție] este absorbită în întregime de art. 6 [din Convenție]. ”</w:t>
      </w:r>
    </w:p>
    <w:bookmarkStart w:id="52" w:name="paragraph00042"/>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42</w:t>
      </w:r>
      <w:r w:rsidRPr="00472687">
        <w:fldChar w:fldCharType="end"/>
      </w:r>
      <w:bookmarkEnd w:id="52"/>
      <w:r>
        <w:t>. În cele din urmă, TAF a rezumat concluziile sale după cum urmează:</w:t>
      </w:r>
    </w:p>
    <w:p w:rsidR="00F47ACE" w:rsidRPr="00472687" w:rsidRDefault="0052083E" w:rsidP="00472687">
      <w:pPr>
        <w:pStyle w:val="JuQuot"/>
      </w:pPr>
      <w:r>
        <w:t xml:space="preserve">„Pe scurt, recurentele nu sunt mai afectate decât populația generală de măsurile de protecție a climei Confederației. Cererile lor, în măsura în care se întemeiază pe articolul 25a din LPA și impun acțiuni (suplimentare) de reducere a emisiilor de [GES], </w:t>
      </w:r>
      <w:r>
        <w:lastRenderedPageBreak/>
        <w:t xml:space="preserve">trebuie așadar să fie considerate drept o </w:t>
      </w:r>
      <w:r>
        <w:rPr>
          <w:i/>
        </w:rPr>
        <w:t>actio popularis</w:t>
      </w:r>
      <w:r>
        <w:t xml:space="preserve"> inadmisibilă; autoritatea de prim grad de jurisdicție a decis în mod întemeiat să nu examineze fondul. În plus, acestea nu se pot prevala de [Convenție] pentru a solicita adoptarea unei decizii pe fond. În consecință, recursul trebuie să fie respins.” ”</w:t>
      </w:r>
    </w:p>
    <w:p w:rsidR="00F47ACE" w:rsidRPr="00472687" w:rsidRDefault="0052083E" w:rsidP="00472687">
      <w:pPr>
        <w:pStyle w:val="JuH1"/>
        <w:numPr>
          <w:ilvl w:val="3"/>
          <w:numId w:val="28"/>
        </w:numPr>
      </w:pPr>
      <w:bookmarkStart w:id="53" w:name="_Toc199273419"/>
      <w:r>
        <w:t>Procedura în fața Tribunalului Federal (Tribunal fédéral)</w:t>
      </w:r>
      <w:bookmarkEnd w:id="53"/>
    </w:p>
    <w:p w:rsidR="00F47ACE" w:rsidRPr="00472687" w:rsidRDefault="0052083E" w:rsidP="00472687">
      <w:pPr>
        <w:pStyle w:val="JuHa0"/>
        <w:numPr>
          <w:ilvl w:val="4"/>
          <w:numId w:val="28"/>
        </w:numPr>
      </w:pPr>
      <w:bookmarkStart w:id="54" w:name="_Toc199273420"/>
      <w:r>
        <w:t>Recursul formulat de reclamante</w:t>
      </w:r>
      <w:bookmarkEnd w:id="54"/>
    </w:p>
    <w:p w:rsidR="00F47ACE" w:rsidRPr="00472687" w:rsidRDefault="00C71855" w:rsidP="00472687">
      <w:pPr>
        <w:pStyle w:val="JuPara"/>
      </w:pPr>
      <w:fldSimple w:instr=" SEQ level0 \*arabic \* MERGEFORMAT ">
        <w:r w:rsidR="00472687" w:rsidRPr="00472687">
          <w:t>43</w:t>
        </w:r>
      </w:fldSimple>
      <w:r w:rsidR="0052083E">
        <w:t>. La 21 ianuarie 2019, reclamantele au formulat, în fața Tribunalului Federal („TF”), recurs împotriva hotărârii TAF. Acestea au solicitat casarea acestei hotărâri și trimiterea cauzei la DETEC pentru examinarea acesteia pe fond sau, cu titlu subsidiar, la TAF spre reexaminare. În recursul formulat, reclamantele au invocat articolele 9, 10, 29 și 29a din Constituție, precum și art. 2, 6, 8, 13 și 34 din Convenție.</w:t>
      </w:r>
    </w:p>
    <w:p w:rsidR="00F47ACE" w:rsidRPr="00472687" w:rsidRDefault="00C71855" w:rsidP="00472687">
      <w:pPr>
        <w:pStyle w:val="JuPara"/>
      </w:pPr>
      <w:fldSimple w:instr=" SEQ level0 \*arabic \* MERGEFORMAT ">
        <w:r w:rsidR="00472687" w:rsidRPr="00472687">
          <w:t>44</w:t>
        </w:r>
      </w:fldSimple>
      <w:r w:rsidR="0052083E">
        <w:t>. Reclamantele au susținut că aveau un „interes demn de protecție”, actual și concret, întrucât, potrivit acestora, în lipsa unor măsuri corective, Elveția continua să producă emisii excesive de GES, care aveau un impact din ce în ce mai mare asupra vieții și sănătății lor. Acestea au subliniat că asociația reclamantă a formulat acest recurs în nume propriu, dar și în interesul membrelor sale, care constituiau o categorie vulnerabilă de persoane, a căror sănătate, și chiar viață, erau deosebit de afectate de consecințele încălzirii globale.</w:t>
      </w:r>
    </w:p>
    <w:p w:rsidR="00F47ACE" w:rsidRPr="00472687" w:rsidRDefault="00C71855" w:rsidP="00472687">
      <w:pPr>
        <w:pStyle w:val="JuPara"/>
      </w:pPr>
      <w:fldSimple w:instr=" SEQ level0 \*arabic \* MERGEFORMAT ">
        <w:r w:rsidR="00472687" w:rsidRPr="00472687">
          <w:t>45</w:t>
        </w:r>
      </w:fldSimple>
      <w:r w:rsidR="0052083E">
        <w:t>. În plus, reclamantele au susținut că TF trebuia să procedeze la stabilirea faptelor, având în vedere că, potrivit acestora, TAF nu își îndeplinise această obligație sau făcuse acest lucru într-o manieră sumară, în special în ceea ce privește potențialele efecte ale schimbărilor climatice. Acestea au apreciat că TAF nu abordase problemele legate de creșterea numărului de decese și efectele nefaste ale schimbărilor climatice asupra sănătății categoriei de populație a femeilor cu vârste cuprinse între șaptezeci și cinci și optzeci și patru de ani. Acestea au făcut referire la diferitele probleme de sănătate de care sufereau reclamantele nr. 2-5, probleme care, în opinia lor, le făceau și mai vulnerabile în fața schimbărilor climatice.</w:t>
      </w:r>
    </w:p>
    <w:p w:rsidR="00F47ACE" w:rsidRPr="00472687" w:rsidRDefault="00C71855" w:rsidP="00472687">
      <w:pPr>
        <w:pStyle w:val="JuPara"/>
      </w:pPr>
      <w:fldSimple w:instr=" SEQ level0 \*arabic \* MERGEFORMAT ">
        <w:r w:rsidR="00472687" w:rsidRPr="00472687">
          <w:t>46</w:t>
        </w:r>
      </w:fldSimple>
      <w:r w:rsidR="0052083E">
        <w:t>. În ceea ce privește obiectul recursului în fața TF, reclamantele au explicat că acestea contestau în special modul în care instanțele inferioare au stabilit condițiile procedurale prealabile care trebuiau îndeplinite pentru examinarea pe fond a cauzei lor, în temeiul articolului 25a din LPA și al art. 6 § 1 și 13 din Convenție, coroborate cu articolul 10 și articolul 29 § 2 din Constituție și cu art. 2 și 8 din Convenție. Acestea au susținut că le-a fost încălcat dreptul de a fi ascultate, și anume dreptul la o examinare adecvată a cauzei lor de către DETEC și TAF. În ceea ce privește calitatea procesuală a acestora pentru a introduce o acțiune în fața instanțelor, ele au invocat, de asemenea, articolul 9 punctul 3 din Convenția de la Aarhus</w:t>
      </w:r>
      <w:r w:rsidR="0052083E">
        <w:rPr>
          <w:rStyle w:val="FootnoteReference"/>
          <w:lang w:bidi="en-US"/>
        </w:rPr>
        <w:footnoteReference w:id="1"/>
      </w:r>
      <w:r w:rsidR="0052083E">
        <w:t xml:space="preserve"> (infra, pct. </w:t>
      </w:r>
      <w:r w:rsidR="0052083E" w:rsidRPr="00472687">
        <w:fldChar w:fldCharType="begin"/>
      </w:r>
      <w:r w:rsidR="0052083E" w:rsidRPr="00472687">
        <w:instrText xml:space="preserve">REF paragraph00141 \h \* CharFormat </w:instrText>
      </w:r>
      <w:r w:rsidR="0052083E" w:rsidRPr="00472687">
        <w:fldChar w:fldCharType="separate"/>
      </w:r>
      <w:r w:rsidR="00472687" w:rsidRPr="00472687">
        <w:t>141</w:t>
      </w:r>
      <w:r w:rsidR="0052083E" w:rsidRPr="00472687">
        <w:fldChar w:fldCharType="end"/>
      </w:r>
      <w:r w:rsidR="0052083E">
        <w:t>).</w:t>
      </w:r>
    </w:p>
    <w:p w:rsidR="00F47ACE" w:rsidRPr="00472687" w:rsidRDefault="00C71855" w:rsidP="00472687">
      <w:pPr>
        <w:pStyle w:val="JuPara"/>
      </w:pPr>
      <w:fldSimple w:instr=" SEQ level0 \*arabic \* MERGEFORMAT ">
        <w:r w:rsidR="00472687" w:rsidRPr="00472687">
          <w:t>47</w:t>
        </w:r>
      </w:fldSimple>
      <w:r w:rsidR="0052083E">
        <w:t xml:space="preserve">. Reclamantele au susținut de asemenea că TAF a considerat în mod eronat că recursul lor era, prin natura sa, o </w:t>
      </w:r>
      <w:r w:rsidR="0052083E">
        <w:rPr>
          <w:i/>
        </w:rPr>
        <w:t>actio popularis</w:t>
      </w:r>
      <w:r w:rsidR="0052083E">
        <w:t>. Acestea au apreciat că, întrucât făceau parte dintr-o categorie deosebit de sensibilă la schimbările climatice, aveau dreptul să solicite protecție în temeiul articolului 10 din Constituție și al art. 2 din Convenție. În plus, subliniind riscurile pe care le reprezenta încălzirea globală pentru sănătatea, integritatea fizică și bunăstarea lor, acestea au susținut că emisiile excesive de GES puteau fi asimilate unei poluări atmosferice dăunătoare și trebuiau considerate activități periculoase în sensul art. 8 din Convenție. În lumina acestor considerații, reclamantele au considerat de asemenea că aveau calitatea de victime în sensul art. 34 din Convenție.</w:t>
      </w:r>
    </w:p>
    <w:p w:rsidR="00F47ACE" w:rsidRPr="00472687" w:rsidRDefault="00C71855" w:rsidP="00472687">
      <w:pPr>
        <w:pStyle w:val="JuPara"/>
      </w:pPr>
      <w:fldSimple w:instr=" SEQ level0 \*arabic \* MERGEFORMAT ">
        <w:r w:rsidR="00472687" w:rsidRPr="00472687">
          <w:t>48</w:t>
        </w:r>
      </w:fldSimple>
      <w:r w:rsidR="0052083E">
        <w:t>. Invocând în special art. 6 din Convenție, reclamantele au susținut că TAF a examinat chestiunea greșită atunci când a analizat legătura existentă între cererile lor și emisiile de GES – chestiune pe care, în opinia lor, acesta a apreciat-o incorect – deși acesta ar fi trebuit să examineze legătura dintre aceste emisii și obligația statului de a le proteja dreptul lor la viață, în sensul articolului 10 din Constituție.</w:t>
      </w:r>
    </w:p>
    <w:p w:rsidR="00F47ACE" w:rsidRPr="00472687" w:rsidRDefault="00C71855" w:rsidP="00472687">
      <w:pPr>
        <w:pStyle w:val="JuPara"/>
      </w:pPr>
      <w:fldSimple w:instr=" SEQ level0 \*arabic \* MERGEFORMAT ">
        <w:r w:rsidR="00472687" w:rsidRPr="00472687">
          <w:t>49</w:t>
        </w:r>
      </w:fldSimple>
      <w:r w:rsidR="0052083E">
        <w:t>. În această privință, reclamantele au susținut că nu au beneficiat de protecția juridică efectivă impusă</w:t>
      </w:r>
      <w:r w:rsidR="0052083E">
        <w:rPr>
          <w:b/>
        </w:rPr>
        <w:t xml:space="preserve"> </w:t>
      </w:r>
      <w:r w:rsidR="0052083E">
        <w:t>de Convenție. Potrivit acestora, TAF a interpretat în mod eronat noțiunea de contestație reală și serioasă, care era relevantă pentru stabilirea aplicabilității art. 6. Au afirmat că acțiunea lor avea ca scop remedierea omisiunilor statului în ceea ce privește protecția climei și, astfel, obținerea unei reduceri a emisiilor excesive de GES și a valurilor de caniculă cauzate de aceste emisii. Cu alte cuvinte, au subliniat că rezultatul pe care doreau să îl obțină în urma procedurii era o reducere a emisiilor de GES și a episoadelor de caniculă. Or - au susținut acestea - TAF a apreciat în mod eronat că era necesar să existe o legătură directă între cererile lor și reducerea emisiilor de GES. În orice caz, potrivit reclamantelor, TAF nu a examinat în mod corespunzător existența unei legături între unele dintre cererile lor (cum ar fi inițierea unei proceduri legislative preliminare sau comunicarea de informații publicului și Parlamentului) și reducerea emisiilor de GES și a episoadelor caniculare și, prin extensie, protecția dreptului lor la viață, garantat de dreptul intern relevant, și anume articolul 10 din Constituție.</w:t>
      </w:r>
    </w:p>
    <w:p w:rsidR="00F47ACE" w:rsidRPr="00472687" w:rsidRDefault="00C71855" w:rsidP="00472687">
      <w:pPr>
        <w:pStyle w:val="JuPara"/>
      </w:pPr>
      <w:fldSimple w:instr=" SEQ level0 \*arabic \* MERGEFORMAT ">
        <w:r w:rsidR="00472687" w:rsidRPr="00472687">
          <w:t>50</w:t>
        </w:r>
      </w:fldSimple>
      <w:r w:rsidR="0052083E">
        <w:t xml:space="preserve">. Potrivit reclamantelor, exista o legătură suficientă între acest drept cu caracter civil, protejat de dreptul intern, și rezultatul pe care doreau să îl obțină în urma procedurii pe care au inițiat-o. În plus, citând hotărârea pronunțată de Curte în cauza </w:t>
      </w:r>
      <w:r w:rsidR="0052083E">
        <w:rPr>
          <w:i/>
        </w:rPr>
        <w:t xml:space="preserve">Bursa Barosu Bașkanlığı și alții împotriva Turciei </w:t>
      </w:r>
      <w:r w:rsidR="0052083E">
        <w:t xml:space="preserve">(nr. 25680/05, pct. 128, 19 iunie 2018), acestea au afirmat că art. 6 era aplicabil chiar dacă acțiunea lor nu le aducea beneficii doar lor, ci și populației generale. În plus, au considerat că interpretarea de către TAF </w:t>
      </w:r>
      <w:r w:rsidR="0052083E">
        <w:lastRenderedPageBreak/>
        <w:t>a art. 6, coroborat cu art. 34 din Convenție, nu avea o bază legală și era arbitrară. Pe scurt, reclamantele au subliniat următoarele:</w:t>
      </w:r>
    </w:p>
    <w:p w:rsidR="00F47ACE" w:rsidRPr="00472687" w:rsidRDefault="0052083E" w:rsidP="00472687">
      <w:pPr>
        <w:pStyle w:val="JuQuot"/>
      </w:pPr>
      <w:r>
        <w:t>„Contestația recurentelor este reală și serioasă întrucât rezultatul procedurii – reducerea emisiilor de [GES] – este în mod direct decisiv pentru dreptul lor la protejarea vieții lor, precum și pentru aplicarea legislației referitoare la CO</w:t>
      </w:r>
      <w:r>
        <w:rPr>
          <w:vertAlign w:val="subscript"/>
        </w:rPr>
        <w:t>2</w:t>
      </w:r>
      <w:r>
        <w:t>. Prin urmare, recurentele au dreptul de acces la o instanță, în sensul art. 6 [din Convenție].” ”</w:t>
      </w:r>
    </w:p>
    <w:p w:rsidR="00F47ACE" w:rsidRPr="00472687" w:rsidRDefault="00C71855" w:rsidP="00472687">
      <w:pPr>
        <w:pStyle w:val="JuPara"/>
      </w:pPr>
      <w:fldSimple w:instr=" SEQ level0 \*arabic \* MERGEFORMAT ">
        <w:r w:rsidR="00472687" w:rsidRPr="00472687">
          <w:t>51</w:t>
        </w:r>
      </w:fldSimple>
      <w:r w:rsidR="0052083E">
        <w:t>. În ceea ce privește art. 13 din Convenție, reclamantele au susținut că, deși TAF a apreciat că art. 6 nu era aplicabil, acesta ar fi trebuit să examineze capătul de cerere formulat în temeiul art. 13 în legătură cu existența unor efecte negative ale schimbărilor climatice asupra dreptului lor la viață, care decurge din art. 2 din Convenție, precum și asupra dreptului lor la respectarea vieții private și de familie, ce rezultă din art. 8 din Convenție.</w:t>
      </w:r>
    </w:p>
    <w:p w:rsidR="00F47ACE" w:rsidRPr="00472687" w:rsidRDefault="0052083E" w:rsidP="00472687">
      <w:pPr>
        <w:pStyle w:val="JuHa0"/>
        <w:numPr>
          <w:ilvl w:val="4"/>
          <w:numId w:val="28"/>
        </w:numPr>
      </w:pPr>
      <w:bookmarkStart w:id="55" w:name="_Toc199273421"/>
      <w:r>
        <w:t>Hotărârea pronunțată de TF</w:t>
      </w:r>
      <w:bookmarkEnd w:id="55"/>
    </w:p>
    <w:bookmarkStart w:id="56" w:name="paragraph00052"/>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52</w:t>
      </w:r>
      <w:r w:rsidRPr="00472687">
        <w:fldChar w:fldCharType="end"/>
      </w:r>
      <w:bookmarkEnd w:id="56"/>
      <w:r>
        <w:t>. La 5 mai 2020, TF a respins recursul reclamantelor.</w:t>
      </w:r>
    </w:p>
    <w:bookmarkStart w:id="57" w:name="paragraph00053"/>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53</w:t>
      </w:r>
      <w:r w:rsidRPr="00472687">
        <w:fldChar w:fldCharType="end"/>
      </w:r>
      <w:bookmarkEnd w:id="57"/>
      <w:r>
        <w:t>. Acesta a apreciat că reclamantele nr. 2-5 aveau calitatea procesuală pentru a formula recurs împotriva hotărârii TAF. În schimb, acesta nu s-a pronunțat cu privire la aspectul dacă asociația reclamantă avea, de asemenea, calitate procesuală pentru a exercita calea de atac a recursului și a hotărât că era mai adecvat să își limiteze considerațiile la reclamantele nr. 2-5.</w:t>
      </w:r>
    </w:p>
    <w:p w:rsidR="00F47ACE" w:rsidRPr="00472687" w:rsidRDefault="00C71855" w:rsidP="00472687">
      <w:pPr>
        <w:pStyle w:val="JuPara"/>
      </w:pPr>
      <w:fldSimple w:instr=" SEQ level0 \*arabic \* MERGEFORMAT ">
        <w:r w:rsidR="00472687" w:rsidRPr="00472687">
          <w:t>54</w:t>
        </w:r>
      </w:fldSimple>
      <w:r w:rsidR="00B71F73">
        <w:t>. În ceea ce privește fondul recursului, TF a statuat mai întâi că deciziile DETEC și TAF erau motivate în mod corespunzător, în conformitate cu articolul 29 § 2 din Constituție și cu art. 6 § 1 din Convenție (presupunând că această dispoziție era aplicabilă).</w:t>
      </w:r>
    </w:p>
    <w:p w:rsidR="00F47ACE" w:rsidRPr="00472687" w:rsidRDefault="00C71855" w:rsidP="00472687">
      <w:pPr>
        <w:pStyle w:val="JuPara"/>
      </w:pPr>
      <w:fldSimple w:instr=" SEQ level0 \*arabic \* MERGEFORMAT ">
        <w:r w:rsidR="00472687" w:rsidRPr="00472687">
          <w:t>55</w:t>
        </w:r>
      </w:fldSimple>
      <w:r w:rsidR="00B71F73">
        <w:t xml:space="preserve">. În măsura în care reclamantele au invocat articolul 25a din LPA, TF a subliniat că această dispoziție era menită să asigure protecție juridică împotriva „actelor materiale”, și nu să ofere posibilitatea inițierii unei </w:t>
      </w:r>
      <w:r w:rsidR="00B71F73">
        <w:rPr>
          <w:i/>
        </w:rPr>
        <w:t>actio popularis</w:t>
      </w:r>
      <w:r w:rsidR="00B71F73">
        <w:t>. Potrivit TF, era necesar să se examineze cu atenție, în circumstanțele specifice fiecărei cauze, dacă persoana interesată a fost afectată într-un mod diferit față de populația generală. Cu alte cuvinte, a explicat TF, era esențial ca înseși drepturile autorului recursului să fi fost afectate. TF a explicat, de asemenea, că sintagma „acte materiale”, folosită la articolul 25a din LPA, făcea referire la noțiunea de acte (sau omisiuni) ale statului, care avea o sferă largă de aplicare. A precizat că protecția juridică garantată de această dispoziție era totuși limitată de aplicarea altor condiții de admisibilitate, în special condițiile care impuneau ca „actul material” să fi afectat anumite drepturi sau obligații și ca persoana în cauză să aibă un „interes demn de protecție”. A indicat că primul element (condiția de „a avea impact”) presupunea o ingerință (reală sau potențială) de o anumită gravitate în exercitarea de către o persoană a drepturilor sale. În ceea ce privește acest aspect, „interesul demn de protecție” privea în principal drepturile fundamentale, chiar dacă puteau fi luate în considerare și alte tipuri de drepturi.</w:t>
      </w:r>
    </w:p>
    <w:bookmarkStart w:id="58" w:name="paragraph00056"/>
    <w:p w:rsidR="00F47ACE" w:rsidRPr="00472687" w:rsidRDefault="0052083E" w:rsidP="00472687">
      <w:pPr>
        <w:pStyle w:val="JuPara"/>
      </w:pPr>
      <w:r w:rsidRPr="00472687">
        <w:lastRenderedPageBreak/>
        <w:fldChar w:fldCharType="begin"/>
      </w:r>
      <w:r w:rsidRPr="00472687">
        <w:instrText xml:space="preserve"> SEQ level0 \*arabic \* MERGEFORMAT </w:instrText>
      </w:r>
      <w:r w:rsidRPr="00472687">
        <w:fldChar w:fldCharType="separate"/>
      </w:r>
      <w:r w:rsidR="00472687" w:rsidRPr="00472687">
        <w:t>56</w:t>
      </w:r>
      <w:r w:rsidRPr="00472687">
        <w:fldChar w:fldCharType="end"/>
      </w:r>
      <w:bookmarkEnd w:id="58"/>
      <w:r>
        <w:t>. Aplicând aceste considerente în cauza cu care a fost sesizat, TF a constatat, mai întâi, că reclamantele au solicitat adoptarea a numeroase măsuri, cu un caracter și un domeniu de aplicare diferite, ceea ce echivala, în esență, cu solicitarea inițierii unor lucrări pregătitoare pentru adoptarea unor acte legislative și normative.</w:t>
      </w:r>
      <w:r>
        <w:rPr>
          <w:b/>
        </w:rPr>
        <w:t xml:space="preserve"> </w:t>
      </w:r>
      <w:r>
        <w:t>Totuși, apreciind, în lumina altor considerente, că nu era necesar să se procedeze la o examinare detaliată a acestei chestiuni, TF a subliniat că, în temeiul dreptului constituțional elvețian, propunerile menite să influențeze domeniile politice actuale trebuiau, în principiu, să fie prezentate prin participare democratică.</w:t>
      </w:r>
    </w:p>
    <w:p w:rsidR="00F47ACE" w:rsidRPr="00472687" w:rsidRDefault="00C71855" w:rsidP="00472687">
      <w:pPr>
        <w:pStyle w:val="JuPara"/>
      </w:pPr>
      <w:fldSimple w:instr=" SEQ level0 \*arabic \* MERGEFORMAT ">
        <w:r w:rsidR="00472687" w:rsidRPr="00472687">
          <w:t>57</w:t>
        </w:r>
      </w:fldSimple>
      <w:r w:rsidR="00B71F73">
        <w:t>. În plus, TF a considerat că faptul că DETEC și celelalte autorități nu au luat măsurile solicitate de reclamante nu implica, în sine, o încălcare a drepturilor invocate de acestea. A adăugat că această pretinsă omisiune, de sine stătătoare, nu era suficientă pentru a se considera că au fost afectate suficient de mult drepturile fundamentale ale reclamantelor, astfel cum se prevede la articolul 25a din LPA.</w:t>
      </w:r>
    </w:p>
    <w:p w:rsidR="00393E75" w:rsidRPr="00472687" w:rsidRDefault="00C71855" w:rsidP="00472687">
      <w:pPr>
        <w:pStyle w:val="JuPara"/>
      </w:pPr>
      <w:fldSimple w:instr=" SEQ level0 \*arabic \* MERGEFORMAT ">
        <w:r w:rsidR="00472687" w:rsidRPr="00472687">
          <w:t>58</w:t>
        </w:r>
      </w:fldSimple>
      <w:r w:rsidR="00B71F73">
        <w:t>. În această privință, TF a considerat că era probabil ca limita de creștere a temperaturii „cu mult sub 2°C”, prevăzută de Acordul de la Paris</w:t>
      </w:r>
      <w:r w:rsidR="0052083E">
        <w:rPr>
          <w:rStyle w:val="FootnoteReference"/>
        </w:rPr>
        <w:footnoteReference w:id="2"/>
      </w:r>
      <w:r w:rsidR="00B71F73">
        <w:t>, să nu fie depășită în viitorul apropiat. Pe baza Raportului special pe 2018 cu privire la încălzirea globală („Global Warming of 1.5</w:t>
      </w:r>
      <w:r w:rsidR="00B71F73">
        <w:rPr>
          <w:vertAlign w:val="superscript"/>
        </w:rPr>
        <w:t>o</w:t>
      </w:r>
      <w:r w:rsidR="00B71F73">
        <w:t>C” - Încălzirea globală cu 1,5</w:t>
      </w:r>
      <w:r w:rsidR="00B71F73">
        <w:rPr>
          <w:vertAlign w:val="superscript"/>
        </w:rPr>
        <w:t>o</w:t>
      </w:r>
      <w:r w:rsidR="00B71F73">
        <w:t>C), elaborat de Grupul interguvernamental privind schimbările climatice (</w:t>
      </w:r>
      <w:r w:rsidR="00B71F73">
        <w:rPr>
          <w:i/>
          <w:iCs/>
        </w:rPr>
        <w:t>Intergovernmental Panel on Climate Change</w:t>
      </w:r>
      <w:r w:rsidR="00B71F73">
        <w:t>, IPCC), TF a concluzionat că încălzirea globală va atinge 1,5</w:t>
      </w:r>
      <w:r w:rsidR="00B71F73">
        <w:rPr>
          <w:vertAlign w:val="superscript"/>
        </w:rPr>
        <w:t>o</w:t>
      </w:r>
      <w:r w:rsidR="00B71F73">
        <w:t>C până în 2040 (probabil între 2030 și 2052), dacă va continua în ritmul actual (0,2</w:t>
      </w:r>
      <w:r w:rsidR="00B71F73">
        <w:rPr>
          <w:vertAlign w:val="superscript"/>
        </w:rPr>
        <w:t>o</w:t>
      </w:r>
      <w:r w:rsidR="00B71F73">
        <w:t>C pe deceniu, intervalul probabil fiind cuprins între 0,1</w:t>
      </w:r>
      <w:r w:rsidR="00B71F73">
        <w:rPr>
          <w:vertAlign w:val="superscript"/>
        </w:rPr>
        <w:t>o</w:t>
      </w:r>
      <w:r w:rsidR="00B71F73">
        <w:t>C și 0,3</w:t>
      </w:r>
      <w:r w:rsidR="00B71F73">
        <w:rPr>
          <w:vertAlign w:val="superscript"/>
        </w:rPr>
        <w:t>o</w:t>
      </w:r>
      <w:r w:rsidR="00B71F73">
        <w:t>C pe deceniu); Acesta a dedus că limita („cu mult sub 2°C”) urma să fie atinsă într-un viitor mai îndepărtat. TF a considerat că Acordul de la Paris și regimul internațional de protecție a climei, bazat pe acest acord, inclusiv dreptul elvețian relevant, se întemeiau pe ipoteza potrivit căreia limita stabilită la un nivel „cu mult sub 2°C” nu urma să fie depășită în viitorul apropiat și că încă mai era timp să se împiedice depășirea acestui plafon de încălzirea globală.</w:t>
      </w:r>
      <w:bookmarkStart w:id="59" w:name="paragraph00059"/>
    </w:p>
    <w:p w:rsidR="00F47ACE" w:rsidRPr="00472687" w:rsidRDefault="00C71855" w:rsidP="00472687">
      <w:pPr>
        <w:pStyle w:val="JuPara"/>
      </w:pPr>
      <w:fldSimple w:instr=" SEQ level0 \*arabic \* MERGEFORMAT ">
        <w:r w:rsidR="00472687" w:rsidRPr="00472687">
          <w:t>59</w:t>
        </w:r>
      </w:fldSimple>
      <w:bookmarkEnd w:id="59"/>
      <w:r w:rsidR="00B71F73">
        <w:t>. Pe baza considerentelor de mai sus, TF s-a pronunțat după cum urmează:</w:t>
      </w:r>
    </w:p>
    <w:p w:rsidR="00F47ACE" w:rsidRPr="00472687" w:rsidRDefault="0052083E" w:rsidP="00472687">
      <w:pPr>
        <w:pStyle w:val="JuQuot"/>
      </w:pPr>
      <w:r>
        <w:t xml:space="preserve">„În circumstanțele sus-menționate, dreptul la viață al recurentelor, ce decurge din articolul 10 § 1 din Constituție și art. 2 [din Convenție], nu pare să fie periclitat de pretinsele omisiuni într-o asemenea măsură încât, în prezent, se poate afirma că s-a adus o atingere suficient de gravă drepturilor persoanelor în cauză, în sensul articolului 25a din LPA [...] Același lucru este valabil și pentru dreptul la respectarea vieții lor private și de familie și a domiciliului lor, în sensul art. 8 [din Convenție] și al articolului 13 § 1 din Constituție. Pretinsele omisiuni interne nu au, în raport cu drepturile fundamentale, gradul de relevanță impus la articolul 25a în ceea ce privește protecția drepturilor individuale. Prin urmare, articolul 25a din LPA, care garantează o astfel de protecție, nu se aplică [...] Recurentele nu par să fie nici victimele unei încălcări a drepturilor sus-menționate prevăzute de Convenție, în temeiul art. 34 [din Convenție]. Nu se aduce </w:t>
      </w:r>
      <w:r>
        <w:lastRenderedPageBreak/>
        <w:t>atingere drepturilor menționate ale acestora, iar ele nu sunt victime în sensul art. 34 [din Convenție], având în vedere că nu a existat o încălcare suficient de gravă a drepturilor acestora. Acest lucru nu schimbă cu nimic faptul – susținut de părțile interesate – că, în unele cazuri, potențialele victime pot fi victime în sensul art. 34 [din Convenție]. Această dispoziție impune, de asemenea, ca atingerea adusă unui drept să aibă o anumită intensitate [...], condiție care nu este îndeplinită în speță.</w:t>
      </w:r>
    </w:p>
    <w:p w:rsidR="00F47ACE" w:rsidRPr="00472687" w:rsidRDefault="0052083E" w:rsidP="00472687">
      <w:pPr>
        <w:pStyle w:val="JuQuot"/>
      </w:pPr>
      <w:r>
        <w:t>Din cele de mai sus rezultă că – la fel ca și drepturile restului populației – drepturile autoarelor acțiunii nu sunt afectate suficient de mult de pretinsele omisiuni, în sensul articolului 25a din LPA. Prin urmare, solicitarea adresată de acestea autorităților sus-menționate, de a se pronunța cu privire la</w:t>
      </w:r>
      <w:r>
        <w:rPr>
          <w:b/>
        </w:rPr>
        <w:t xml:space="preserve"> </w:t>
      </w:r>
      <w:r>
        <w:t>anumite acte materiale nu</w:t>
      </w:r>
      <w:r>
        <w:rPr>
          <w:b/>
        </w:rPr>
        <w:t xml:space="preserve"> </w:t>
      </w:r>
      <w:r>
        <w:t xml:space="preserve">are ca obiect să asigure protecția juridică individuală a acestora. Mai degrabă, aceasta urmărește examinarea </w:t>
      </w:r>
      <w:r>
        <w:rPr>
          <w:i/>
          <w:iCs/>
        </w:rPr>
        <w:t>in abstracto</w:t>
      </w:r>
      <w:r>
        <w:t xml:space="preserve"> a aspectului dacă măsurile de protecție a climei, existente în prezent la nivel federal și prevăzute până în 2030, sunt compatibile cu obligațiile ce îi revin statului în materie de protecție. Indirect – prin intermediul acțiunilor solicitate autorităților statului</w:t>
      </w:r>
      <w:r>
        <w:noBreakHyphen/>
        <w:t xml:space="preserve">, aceasta urmărește să determine consolidarea acestor măsuri. O astfel de procedură sau </w:t>
      </w:r>
      <w:r>
        <w:rPr>
          <w:i/>
        </w:rPr>
        <w:t>actio popularis</w:t>
      </w:r>
      <w:r>
        <w:t xml:space="preserve"> este inadmisibilă în temeiul articolului 25a din LPA, care garantează doar protecția drepturilor individuale. Articolul 9 alineatul (3) din Convenția de la Aarhus [...], la care fac referire recurentele, nu poate schimba această concluzie [...] ”</w:t>
      </w:r>
    </w:p>
    <w:p w:rsidR="00F47ACE" w:rsidRPr="00472687" w:rsidRDefault="00C71855" w:rsidP="00472687">
      <w:pPr>
        <w:pStyle w:val="JuPara"/>
      </w:pPr>
      <w:fldSimple w:instr=" SEQ level0 \*arabic \* MERGEFORMAT ">
        <w:r w:rsidR="00472687" w:rsidRPr="00472687">
          <w:t>60</w:t>
        </w:r>
      </w:fldSimple>
      <w:r w:rsidR="00B71F73">
        <w:t xml:space="preserve">. În plus, TF a considerat că, având în vedere articolul 25a din LPA, acțiunea reclamantelor era, prin natura sa, o </w:t>
      </w:r>
      <w:r w:rsidR="00B71F73">
        <w:rPr>
          <w:i/>
        </w:rPr>
        <w:t>actio popularis</w:t>
      </w:r>
      <w:r w:rsidR="00B71F73">
        <w:t xml:space="preserve"> și viza obținerea unui rezultat care ar fi trebuit urmărit mai degrabă prin mijloace politice decât prin intermediul unei acțiuni în justiție. Prin urmare, TF a apreciat că DETEC nu a încălcat articolul 25a din LPA atunci când a respins cererile reclamantelor.</w:t>
      </w:r>
    </w:p>
    <w:bookmarkStart w:id="60" w:name="paragraph00061"/>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61</w:t>
      </w:r>
      <w:r w:rsidRPr="00472687">
        <w:fldChar w:fldCharType="end"/>
      </w:r>
      <w:bookmarkEnd w:id="60"/>
      <w:r>
        <w:t>. În măsura în care reclamantele au invocat art. 6 § 1 din Convenție, TF s-a pronunțat astfel:</w:t>
      </w:r>
    </w:p>
    <w:p w:rsidR="00F47ACE" w:rsidRPr="00472687" w:rsidRDefault="0052083E" w:rsidP="00472687">
      <w:pPr>
        <w:pStyle w:val="JuQuot"/>
      </w:pPr>
      <w:r>
        <w:t>„Condiția [care impune ca pretenția în discuție existentă în dreptul intern să fie cel puțin „întemeiată”] nu este îndeplinită în speță. Potrivit dreptului intern, recurentele își întemeiază pretinsul drept subiectiv de a pune capăt omisiunilor în litigiu și de a obține realizarea acțiunilor necesare în ceea ce privește dreptul la viață garantat de articolul 10 § 1 din Constituție. Cu toate acestea, astfel cum s-a menționat mai sus, pretinsele omisiuni nu afectează acest drept fundamental din punct de vedere juridic. Prin urmare, ele nu pot întemeia cerințele menționate pe acest drept. Așadar, nu au niciun drept subiectiv de a obține ceea ce solicită în subsidiar, și anume o decizie declarativă conform căreia pretinsele omisiuni contravin drepturilor (fundamentale). Prin urmare, [TAF] a confirmat, în mod corect, decizia DETEC de a nu examina acest aspect al cauzei. În consecință, nu este necesar să examineze mai îndeaproape cerințele art. 6 § 1 [din Convenție] [...] ”</w:t>
      </w:r>
    </w:p>
    <w:p w:rsidR="00F47ACE" w:rsidRPr="00472687" w:rsidRDefault="00C71855" w:rsidP="00472687">
      <w:pPr>
        <w:pStyle w:val="JuPara"/>
      </w:pPr>
      <w:fldSimple w:instr=" SEQ level0 \*arabic \* MERGEFORMAT ">
        <w:r w:rsidR="00472687" w:rsidRPr="00472687">
          <w:t>62</w:t>
        </w:r>
      </w:fldSimple>
      <w:r w:rsidR="00B71F73">
        <w:t>. În sfârșit, în ceea ce privește plângerea formulată de reclamante în temeiul art. 13 din Convenție, TF a apreciat, în lumina concluziilor precedente, că reclamantele nu dispuneau de o pretenție întemeiată bazată pe o altă dispoziție din Convenție care ar fi putut declanșa aplicarea art. 13.</w:t>
      </w:r>
    </w:p>
    <w:bookmarkStart w:id="61" w:name="paragraph00063"/>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63</w:t>
      </w:r>
      <w:r w:rsidRPr="00472687">
        <w:fldChar w:fldCharType="end"/>
      </w:r>
      <w:bookmarkEnd w:id="61"/>
      <w:r>
        <w:t>. În concluzie, TF a subliniat următoarele:</w:t>
      </w:r>
    </w:p>
    <w:p w:rsidR="00F47ACE" w:rsidRPr="00472687" w:rsidRDefault="0052083E" w:rsidP="00472687">
      <w:pPr>
        <w:pStyle w:val="JuQuot"/>
      </w:pPr>
      <w:r>
        <w:t xml:space="preserve">„Din considerentele de mai sus rezultă că recurentele nu se pot prevala de modalitatea de protecție juridică individuală invocată pentru a se apăra împotriva pretinselor omisiuni ale autorităților sus-menționate în domeniul protecției climei. Prin urmare, chiar dacă îngrijorarea lor este de înțeles, având în vedere consecințele, subliniate de </w:t>
      </w:r>
      <w:r>
        <w:lastRenderedPageBreak/>
        <w:t>acestea, pe care le-ar putea avea asupra femeilor în vârstă punerea în aplicare insuficientă a Acordului de la Paris privind schimbările climatice, acțiunea lor trebuie să fie respinsă. ”</w:t>
      </w:r>
    </w:p>
    <w:p w:rsidR="00F47ACE" w:rsidRPr="00472687" w:rsidRDefault="0052083E" w:rsidP="00472687">
      <w:pPr>
        <w:pStyle w:val="JuHIRoman"/>
        <w:numPr>
          <w:ilvl w:val="1"/>
          <w:numId w:val="28"/>
        </w:numPr>
      </w:pPr>
      <w:bookmarkStart w:id="62" w:name="_Toc149127502"/>
      <w:bookmarkStart w:id="63" w:name="_Toc158019681"/>
      <w:bookmarkStart w:id="64" w:name="_Toc199273422"/>
      <w:r>
        <w:rPr>
          <w:caps w:val="0"/>
        </w:rPr>
        <w:t>FAPTE REFERITOARE LA SCHIMBĂRILE CLIMATICE</w:t>
      </w:r>
      <w:bookmarkEnd w:id="62"/>
      <w:bookmarkEnd w:id="63"/>
      <w:bookmarkEnd w:id="64"/>
    </w:p>
    <w:p w:rsidR="00F47ACE" w:rsidRPr="00472687" w:rsidRDefault="0052083E" w:rsidP="00472687">
      <w:pPr>
        <w:pStyle w:val="JuHA"/>
        <w:numPr>
          <w:ilvl w:val="2"/>
          <w:numId w:val="28"/>
        </w:numPr>
      </w:pPr>
      <w:bookmarkStart w:id="65" w:name="_Toc149127503"/>
      <w:bookmarkStart w:id="66" w:name="_Toc158019682"/>
      <w:bookmarkStart w:id="67" w:name="_Toc199273423"/>
      <w:r>
        <w:t>Elemente prezentate de reclamante</w:t>
      </w:r>
      <w:bookmarkEnd w:id="65"/>
      <w:bookmarkEnd w:id="66"/>
      <w:bookmarkEnd w:id="67"/>
    </w:p>
    <w:p w:rsidR="00F47ACE" w:rsidRPr="00472687" w:rsidRDefault="0052083E" w:rsidP="00472687">
      <w:pPr>
        <w:pStyle w:val="JuH1"/>
        <w:numPr>
          <w:ilvl w:val="3"/>
          <w:numId w:val="28"/>
        </w:numPr>
      </w:pPr>
      <w:bookmarkStart w:id="68" w:name="_Toc199273424"/>
      <w:r>
        <w:t>Observații generale privind schimbările climatice</w:t>
      </w:r>
      <w:bookmarkEnd w:id="68"/>
    </w:p>
    <w:p w:rsidR="00F47ACE" w:rsidRPr="00472687" w:rsidRDefault="00C71855" w:rsidP="00472687">
      <w:pPr>
        <w:pStyle w:val="JuPara"/>
      </w:pPr>
      <w:fldSimple w:instr=" SEQ level0 \*arabic \* MERGEFORMAT ">
        <w:r w:rsidR="00472687" w:rsidRPr="00472687">
          <w:t>64</w:t>
        </w:r>
      </w:fldSimple>
      <w:r w:rsidR="0052083E">
        <w:t>. Reclamantele declară că activitatea IPCC a demonstrat că, începând cu aproximativ anul 1750, creșterile concentrațiilor de GES au fost în mod clar rezultatul activităților umane și că, în perioadele 1850-1900 și 2010-2019, s-a înregistrat o creștere de 1,07</w:t>
      </w:r>
      <w:r w:rsidR="0052083E">
        <w:rPr>
          <w:vertAlign w:val="superscript"/>
        </w:rPr>
        <w:t>o</w:t>
      </w:r>
      <w:r w:rsidR="0052083E">
        <w:t>C a temperaturii de la suprafața Pământului, cauzată de activitățile umane. Acestea indică faptul că IPCC a constatat de asemenea, cu un grad ridicat de încredere, că există o relație aproape liniară între emisiile antropice cumulate de GES și încălzirea globală: schimbările climatice provocate de om au avut ca rezultat valuri de căldură mai frecvente și mai intense</w:t>
      </w:r>
      <w:r w:rsidR="0052083E">
        <w:rPr>
          <w:rStyle w:val="FootnoteReference"/>
          <w:lang w:bidi="en-US"/>
        </w:rPr>
        <w:footnoteReference w:id="3"/>
      </w:r>
      <w:r w:rsidR="0052083E">
        <w:t>. Acestea adaugă că IPCC a remarcat că reducerile care vor fi realizate în cursul acestui deceniu vor determina în mare măsură posibilitatea limitării încălzirii la 1,5 sau 2</w:t>
      </w:r>
      <w:r w:rsidR="0052083E">
        <w:rPr>
          <w:vertAlign w:val="superscript"/>
        </w:rPr>
        <w:t>o</w:t>
      </w:r>
      <w:r w:rsidR="0052083E">
        <w:t>C</w:t>
      </w:r>
      <w:r w:rsidR="0052083E">
        <w:rPr>
          <w:rStyle w:val="FootnoteReference"/>
          <w:lang w:bidi="en-US"/>
        </w:rPr>
        <w:footnoteReference w:id="4"/>
      </w:r>
      <w:r w:rsidR="0052083E">
        <w:t>.</w:t>
      </w:r>
    </w:p>
    <w:bookmarkStart w:id="69" w:name="paragraph00065"/>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65</w:t>
      </w:r>
      <w:r w:rsidRPr="00472687">
        <w:fldChar w:fldCharType="end"/>
      </w:r>
      <w:bookmarkEnd w:id="69"/>
      <w:r>
        <w:t>. Acestea susțin că temperaturile în creștere și frecvența tot mai mare a episoadelor de caniculă duc la o creștere a mortalității ce poate fi atribuită schimbărilor climatice provocate de om</w:t>
      </w:r>
      <w:r>
        <w:rPr>
          <w:rStyle w:val="FootnoteReference"/>
          <w:lang w:bidi="en-US"/>
        </w:rPr>
        <w:footnoteReference w:id="5"/>
      </w:r>
      <w:r>
        <w:t>. Potrivit reclamantelor, într-adevăr, schimbările climatice și evenimentele extreme asociate acestora vor agrava semnificativ problemele de sănătate și vor crește numărul de decese premature pe termen scurt, mediu și lung</w:t>
      </w:r>
      <w:r>
        <w:rPr>
          <w:rStyle w:val="FootnoteReference"/>
          <w:lang w:bidi="en-US"/>
        </w:rPr>
        <w:footnoteReference w:id="6"/>
      </w:r>
      <w:r>
        <w:t>. La nivel mondial, mortalitatea cauzată de căldură în rândul persoanelor cu vârsta peste 65 de ani a crescut cu aproximativ 68% în perioadele 2000</w:t>
      </w:r>
      <w:r>
        <w:noBreakHyphen/>
        <w:t>2004 și 2017-2021</w:t>
      </w:r>
      <w:r>
        <w:rPr>
          <w:rStyle w:val="FootnoteReference"/>
          <w:lang w:bidi="en-US"/>
        </w:rPr>
        <w:footnoteReference w:id="7"/>
      </w:r>
      <w:r>
        <w:t>. Dintre toate riscurile climatice, căldura este de departe principala cauză a deceselor în Europa</w:t>
      </w:r>
      <w:r>
        <w:rPr>
          <w:rStyle w:val="FootnoteReference"/>
          <w:lang w:bidi="en-US"/>
        </w:rPr>
        <w:footnoteReference w:id="8"/>
      </w:r>
      <w:r>
        <w:t>.</w:t>
      </w:r>
    </w:p>
    <w:p w:rsidR="00F47ACE" w:rsidRPr="00472687" w:rsidRDefault="00C71855" w:rsidP="00472687">
      <w:pPr>
        <w:pStyle w:val="JuPara"/>
      </w:pPr>
      <w:fldSimple w:instr=" SEQ level0 \*arabic \* MERGEFORMAT ">
        <w:r w:rsidR="00472687" w:rsidRPr="00472687">
          <w:t>66</w:t>
        </w:r>
      </w:fldSimple>
      <w:r w:rsidR="0052083E">
        <w:t>. Potrivit acestora, creșterea temperaturilor și a frecvenței episoadelor caniculare nu numai că determină o creștere a mortalității, dar constituie și un risc serios pentru sănătate. Valurile de căldură solicită foarte mult organismul uman și provoacă deshidratarea acestuia și deteriorarea funcției cardiace și pulmonare, ceea ce duce la creșterea numărului de internări în unitățile de primiri urgențe din spitale; în acest sens, persoanele în vârstă și sugarii sunt deosebit de expuși riscului. Acestea contribuie, de asemenea, la hipertermie, stări de epuizare, pierderea stării de conștiență, crampe de căldură și accident vascular cerebral pe fondul căldurii, precum și la agravarea bolilor deja existente, cum ar fi bolile cardiovasculare, respiratorii și renale, tulburările psihice și stresul</w:t>
      </w:r>
      <w:r w:rsidR="0052083E">
        <w:rPr>
          <w:rStyle w:val="FootnoteReference"/>
          <w:lang w:bidi="en-US"/>
        </w:rPr>
        <w:footnoteReference w:id="9"/>
      </w:r>
      <w:r w:rsidR="0052083E">
        <w:t>.</w:t>
      </w:r>
    </w:p>
    <w:bookmarkStart w:id="70" w:name="paragraph00067"/>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67</w:t>
      </w:r>
      <w:r w:rsidRPr="00472687">
        <w:fldChar w:fldCharType="end"/>
      </w:r>
      <w:bookmarkEnd w:id="70"/>
      <w:r>
        <w:t>. Persoanele în vârstă, femeile și persoanele cu boli cronice prezintă cel mai mare risc de morbiditate și mortalitate legate de temperatură</w:t>
      </w:r>
      <w:r>
        <w:rPr>
          <w:rStyle w:val="FootnoteReference"/>
          <w:lang w:bidi="en-US"/>
        </w:rPr>
        <w:footnoteReference w:id="10"/>
      </w:r>
      <w:r>
        <w:t>. În general, căldura excesivă cauzată de schimbările climatice expune femeile cu vârsta peste 75 de ani – cum ar fi reclamantele nr. 2-5 – la un risc mai mare decât populația generală de a muri prematur sau ca viața privată și de familie și calitatea vieții acestora să fie grav afectate</w:t>
      </w:r>
      <w:r>
        <w:rPr>
          <w:rStyle w:val="FootnoteReference"/>
          <w:lang w:bidi="en-US"/>
        </w:rPr>
        <w:footnoteReference w:id="11"/>
      </w:r>
      <w:r>
        <w:t>.</w:t>
      </w:r>
    </w:p>
    <w:bookmarkStart w:id="71" w:name="paragraph00068"/>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68</w:t>
      </w:r>
      <w:r w:rsidRPr="00472687">
        <w:fldChar w:fldCharType="end"/>
      </w:r>
      <w:bookmarkEnd w:id="71"/>
      <w:r>
        <w:t>. Reclamantele adaugă că, potrivit previziunilor, orice creștere a încălzirii globale va afecta morbiditatea și mortalitatea legate de căldură, dar că există totuși un consens științific la nivel mondial potrivit căruia, dacă se va respecta limita de 1,5</w:t>
      </w:r>
      <w:r>
        <w:rPr>
          <w:vertAlign w:val="superscript"/>
        </w:rPr>
        <w:t>o</w:t>
      </w:r>
      <w:r>
        <w:t>C, vor putea fi evitate numeroase decese premature și probleme de sănătate</w:t>
      </w:r>
      <w:r>
        <w:rPr>
          <w:rStyle w:val="FootnoteReference"/>
          <w:lang w:bidi="en-US"/>
        </w:rPr>
        <w:footnoteReference w:id="12"/>
      </w:r>
      <w:r>
        <w:t>.</w:t>
      </w:r>
    </w:p>
    <w:p w:rsidR="00F47ACE" w:rsidRPr="00472687" w:rsidRDefault="0052083E" w:rsidP="00472687">
      <w:pPr>
        <w:pStyle w:val="JuH1"/>
        <w:numPr>
          <w:ilvl w:val="3"/>
          <w:numId w:val="28"/>
        </w:numPr>
      </w:pPr>
      <w:bookmarkStart w:id="72" w:name="_Toc199273425"/>
      <w:r>
        <w:t>Situația din Elveția</w:t>
      </w:r>
      <w:bookmarkEnd w:id="72"/>
    </w:p>
    <w:p w:rsidR="00F47ACE" w:rsidRPr="00472687" w:rsidRDefault="00C71855" w:rsidP="00472687">
      <w:pPr>
        <w:pStyle w:val="JuPara"/>
      </w:pPr>
      <w:fldSimple w:instr=" SEQ level0 \*arabic \* MERGEFORMAT ">
        <w:r w:rsidR="00472687" w:rsidRPr="00472687">
          <w:t>69</w:t>
        </w:r>
      </w:fldSimple>
      <w:r w:rsidR="00B71F73">
        <w:t>. În 2020, emisiile de GES pe cap de locuitor din Elveția s-au ridicat la 5,04 tone (de) CO</w:t>
      </w:r>
      <w:r w:rsidR="00B71F73">
        <w:rPr>
          <w:vertAlign w:val="subscript"/>
        </w:rPr>
        <w:t>2</w:t>
      </w:r>
      <w:r w:rsidR="00B71F73">
        <w:t xml:space="preserve"> echivalent. Totalul emisiilor naționale de GES din Elveția s-au ridicat la 43,40 de milioane de tone de CO</w:t>
      </w:r>
      <w:r w:rsidR="00B71F73">
        <w:rPr>
          <w:vertAlign w:val="subscript"/>
        </w:rPr>
        <w:t>2</w:t>
      </w:r>
      <w:r w:rsidR="00B71F73">
        <w:t xml:space="preserve"> echivalent</w:t>
      </w:r>
      <w:r w:rsidR="0052083E">
        <w:rPr>
          <w:rStyle w:val="FootnoteReference"/>
        </w:rPr>
        <w:footnoteReference w:id="13"/>
      </w:r>
      <w:r w:rsidR="00B71F73">
        <w:rPr>
          <w:vertAlign w:val="subscript"/>
        </w:rPr>
        <w:t>.</w:t>
      </w:r>
      <w:r w:rsidR="00B71F73">
        <w:t xml:space="preserve"> Pentru același </w:t>
      </w:r>
      <w:r w:rsidR="00B71F73">
        <w:lastRenderedPageBreak/>
        <w:t>an, cota de emisii globale cumulate de CO</w:t>
      </w:r>
      <w:r w:rsidR="00B71F73">
        <w:rPr>
          <w:vertAlign w:val="subscript"/>
        </w:rPr>
        <w:t>2</w:t>
      </w:r>
      <w:r w:rsidR="00B71F73">
        <w:t xml:space="preserve"> corespunzătoare Elveției este de 0,18%</w:t>
      </w:r>
      <w:r w:rsidR="0052083E">
        <w:rPr>
          <w:rStyle w:val="FootnoteReference"/>
        </w:rPr>
        <w:footnoteReference w:id="14"/>
      </w:r>
      <w:r w:rsidR="00B71F73">
        <w:t>.</w:t>
      </w:r>
    </w:p>
    <w:p w:rsidR="00F47ACE" w:rsidRPr="00472687" w:rsidRDefault="00C71855" w:rsidP="00472687">
      <w:pPr>
        <w:pStyle w:val="JuPara"/>
      </w:pPr>
      <w:fldSimple w:instr=" SEQ level0 \*arabic \* MERGEFORMAT ">
        <w:r w:rsidR="00472687" w:rsidRPr="00472687">
          <w:t>70</w:t>
        </w:r>
      </w:fldSimple>
      <w:r w:rsidR="00B71F73">
        <w:t>. Totuși, aceste cifre nu iau în considerare emisiile care pot fi imputate Elveției, ci emisiile produse în afara teritoriului său („emisii externe”), cum ar fi emisiile de GES generate de combustibilii alimentați în Elveția pentru transportul aerian și maritim internațional (practic, aceste emisii s-au dublat din 2004 și, în 2019, au reprezentat aproximativ 13,2% din totalul emisiilor naționale de GES din Elveția</w:t>
      </w:r>
      <w:r w:rsidR="0052083E">
        <w:rPr>
          <w:rStyle w:val="FootnoteReference"/>
        </w:rPr>
        <w:footnoteReference w:id="15"/>
      </w:r>
      <w:r w:rsidR="00B71F73">
        <w:t>) și emisiile de GES calculate pe baza consumului, generate de importurile de bunuri (Elveția este cel mai mare importator de astfel de emisii din lume, în raport cu emisiile sale naționale</w:t>
      </w:r>
      <w:r w:rsidR="0052083E">
        <w:rPr>
          <w:rStyle w:val="FootnoteReference"/>
        </w:rPr>
        <w:footnoteReference w:id="16"/>
      </w:r>
      <w:r w:rsidR="00B71F73">
        <w:t>) În această privință, amprenta de carbon pe cap de locuitor s-a ridicat la 13 tone de CO</w:t>
      </w:r>
      <w:r w:rsidR="00B71F73">
        <w:rPr>
          <w:vertAlign w:val="subscript"/>
        </w:rPr>
        <w:t>2</w:t>
      </w:r>
      <w:r w:rsidR="00B71F73">
        <w:t xml:space="preserve"> echivalent</w:t>
      </w:r>
      <w:r w:rsidR="0052083E">
        <w:rPr>
          <w:rStyle w:val="FootnoteReference"/>
        </w:rPr>
        <w:footnoteReference w:id="17"/>
      </w:r>
      <w:r w:rsidR="00B71F73">
        <w:rPr>
          <w:vertAlign w:val="subscript"/>
        </w:rPr>
        <w:t>.</w:t>
      </w:r>
      <w:r w:rsidR="00B71F73">
        <w:t xml:space="preserve"> FOEN a considerat că această amprentă de GES este excesiv de ridicată</w:t>
      </w:r>
      <w:r w:rsidR="0052083E">
        <w:rPr>
          <w:rStyle w:val="FootnoteReference"/>
        </w:rPr>
        <w:footnoteReference w:id="18"/>
      </w:r>
      <w:r w:rsidR="00B71F73">
        <w:t>.</w:t>
      </w:r>
    </w:p>
    <w:p w:rsidR="00F47ACE" w:rsidRPr="00472687" w:rsidRDefault="00C71855" w:rsidP="00472687">
      <w:pPr>
        <w:pStyle w:val="JuPara"/>
      </w:pPr>
      <w:fldSimple w:instr=" SEQ level0 \*arabic \* MERGEFORMAT ">
        <w:r w:rsidR="00472687" w:rsidRPr="00472687">
          <w:t>71</w:t>
        </w:r>
      </w:fldSimple>
      <w:r w:rsidR="00B71F73">
        <w:t>. Reclamantele apreciază că ar trebui menționate, de asemenea, emisiile generate de fluxurile financiare (de exemplu, legate de investiții, subscrieri, împrumuturi și asigurări). Acestea indică faptul că un studiu realizat în 2015, la cererea FOEN, a arătat că investițiile realizate de cele mai mari fonduri de investiții autorizate în Elveția aveau tendința de a contribui la încălzirea globală între 4 și 6</w:t>
      </w:r>
      <w:r w:rsidR="00B71F73">
        <w:rPr>
          <w:vertAlign w:val="superscript"/>
        </w:rPr>
        <w:t>o</w:t>
      </w:r>
      <w:r w:rsidR="00B71F73">
        <w:t>C</w:t>
      </w:r>
      <w:r w:rsidR="0052083E">
        <w:rPr>
          <w:rStyle w:val="FootnoteReference"/>
        </w:rPr>
        <w:footnoteReference w:id="19"/>
      </w:r>
      <w:r w:rsidR="00B71F73">
        <w:t>. Prin urmare, FOEN a considerat că ar putea fi depuse eforturi suplimentare în acest sector</w:t>
      </w:r>
      <w:r w:rsidR="0052083E">
        <w:rPr>
          <w:rStyle w:val="FootnoteReference"/>
        </w:rPr>
        <w:footnoteReference w:id="20"/>
      </w:r>
      <w:r w:rsidR="00B71F73">
        <w:t>.</w:t>
      </w:r>
    </w:p>
    <w:p w:rsidR="00F47ACE" w:rsidRPr="00472687" w:rsidRDefault="00C71855" w:rsidP="00472687">
      <w:pPr>
        <w:pStyle w:val="JuPara"/>
      </w:pPr>
      <w:fldSimple w:instr=" SEQ level0 \*arabic \* MERGEFORMAT ">
        <w:r w:rsidR="00472687" w:rsidRPr="00472687">
          <w:t>72</w:t>
        </w:r>
      </w:fldSimple>
      <w:r w:rsidR="00B71F73">
        <w:t>. În Elveția, temperatura medie anuală a crescut cu aproximativ 2,1</w:t>
      </w:r>
      <w:r w:rsidR="00B71F73">
        <w:rPr>
          <w:vertAlign w:val="superscript"/>
        </w:rPr>
        <w:t>o</w:t>
      </w:r>
      <w:r w:rsidR="00B71F73">
        <w:t>C față de 1864, anul primelor înregistrări</w:t>
      </w:r>
      <w:r w:rsidR="0052083E">
        <w:rPr>
          <w:rStyle w:val="FootnoteReference"/>
        </w:rPr>
        <w:footnoteReference w:id="21"/>
      </w:r>
      <w:r w:rsidR="00B71F73">
        <w:t>. Cele mai călduroase cinci veri înregistrate vreodată în țară au fost cele din anii 2003, 2015, 2018, 2019 și 2022; cele din 2003 și 2022 sunt prima și a doua cea mai caldă vară înregistrată de la începutul consemnărilor</w:t>
      </w:r>
      <w:r w:rsidR="0052083E">
        <w:rPr>
          <w:rStyle w:val="FootnoteReference"/>
        </w:rPr>
        <w:footnoteReference w:id="22"/>
      </w:r>
      <w:r w:rsidR="00B71F73">
        <w:t>.</w:t>
      </w:r>
    </w:p>
    <w:p w:rsidR="00F47ACE" w:rsidRPr="00472687" w:rsidRDefault="00472687" w:rsidP="00472687">
      <w:pPr>
        <w:pStyle w:val="JuPara"/>
      </w:pPr>
      <w:r w:rsidRPr="00472687">
        <w:fldChar w:fldCharType="begin"/>
      </w:r>
      <w:r w:rsidR="0052083E">
        <w:instrText xml:space="preserve"> SEQ level0 \*arabic \* MERGEFORMAT </w:instrText>
      </w:r>
      <w:r w:rsidRPr="00472687">
        <w:fldChar w:fldCharType="separate"/>
      </w:r>
      <w:r w:rsidRPr="00472687">
        <w:t>73</w:t>
      </w:r>
      <w:r w:rsidRPr="00472687">
        <w:fldChar w:fldCharType="end"/>
      </w:r>
      <w:r>
        <w:t>. În Elveția, în verile fierbinți au avut loc mai multe decese decât media</w:t>
      </w:r>
      <w:r w:rsidR="0052083E">
        <w:rPr>
          <w:rStyle w:val="FootnoteReference"/>
        </w:rPr>
        <w:footnoteReference w:id="23"/>
      </w:r>
      <w:r>
        <w:t xml:space="preserve">. În iunie și august 2003, s-au înregistrat aproape 1 000 de decese suplimentare cauzate de căldură; în iunie, iulie și august 2015, aproximativ 800; în august 2018, 185; și în iunie, iulie și august 2019, 521. În perioada </w:t>
      </w:r>
      <w:r>
        <w:lastRenderedPageBreak/>
        <w:t>iunie-august 2022, în rândul persoanelor cu vârsta peste 65 de ani s-au înregistrat cu 1 700 mai multe decese decât cele preconizate de previziunile statistice (analiza cauzelor nu a fost încă finalizată)</w:t>
      </w:r>
      <w:r w:rsidR="0052083E">
        <w:rPr>
          <w:rStyle w:val="FootnoteReference"/>
        </w:rPr>
        <w:footnoteReference w:id="24"/>
      </w:r>
      <w:r>
        <w:t>.</w:t>
      </w:r>
    </w:p>
    <w:p w:rsidR="00F47ACE" w:rsidRPr="00472687" w:rsidRDefault="00472687" w:rsidP="00472687">
      <w:pPr>
        <w:pStyle w:val="JuPara"/>
      </w:pPr>
      <w:r w:rsidRPr="00472687">
        <w:fldChar w:fldCharType="begin"/>
      </w:r>
      <w:r w:rsidR="0052083E">
        <w:instrText xml:space="preserve"> SEQ level0 \*arabic \* MERGEFORMAT </w:instrText>
      </w:r>
      <w:r w:rsidRPr="00472687">
        <w:fldChar w:fldCharType="separate"/>
      </w:r>
      <w:r w:rsidRPr="00472687">
        <w:t>74</w:t>
      </w:r>
      <w:r w:rsidRPr="00472687">
        <w:fldChar w:fldCharType="end"/>
      </w:r>
      <w:r>
        <w:t>. În timpul episodului canicular din 2003, 80% din decesele suplimentare s-au înregistrat în rândul persoanelor cu vârsta peste 75 de ani. Cea mai mare creștere a riscului de deces în cursul perioadei caniculare din vara anului 2015 a afectat grupa de vârstă 75-84 de ani. În august 2018, aproape 90% din decesele cauzate de căldură s-au înregistrat în rândul femeilor în vârstă, aproape toate având peste 75 de ani. În timpul episodului de caniculă din 2019, persoanele în vârstă au fost cele mai expuse riscului de deces, cele mai afectate fiind persoanele cu vârsta de 85 de ani și mai mult (448 din 521). În mod similar, se pare că episoadele de caniculă din 2022 au afectat în principal persoanele cu vârsta peste 65 de ani</w:t>
      </w:r>
      <w:r w:rsidR="0052083E">
        <w:rPr>
          <w:rStyle w:val="FootnoteReference"/>
        </w:rPr>
        <w:footnoteReference w:id="25"/>
      </w:r>
      <w:r>
        <w:t>.</w:t>
      </w:r>
    </w:p>
    <w:p w:rsidR="00F47ACE" w:rsidRPr="00472687" w:rsidRDefault="0052083E" w:rsidP="00472687">
      <w:pPr>
        <w:pStyle w:val="JuH1"/>
        <w:numPr>
          <w:ilvl w:val="3"/>
          <w:numId w:val="28"/>
        </w:numPr>
      </w:pPr>
      <w:bookmarkStart w:id="74" w:name="_Toc199273426"/>
      <w:r>
        <w:t>Măsurile adoptate de autoritățile elvețiene</w:t>
      </w:r>
      <w:bookmarkEnd w:id="74"/>
    </w:p>
    <w:p w:rsidR="00F47ACE" w:rsidRPr="00472687" w:rsidRDefault="00C71855" w:rsidP="00472687">
      <w:pPr>
        <w:pStyle w:val="JuPara"/>
        <w:rPr>
          <w:b/>
          <w:bCs/>
        </w:rPr>
      </w:pPr>
      <w:fldSimple w:instr=" SEQ level0 \*arabic \* MERGEFORMAT ">
        <w:r w:rsidR="00472687" w:rsidRPr="00472687">
          <w:t>75</w:t>
        </w:r>
      </w:fldSimple>
      <w:r w:rsidR="00B71F73">
        <w:t>. Reclamantele afirmă că Elveția nu a transpus în dreptul intern contribuția sa stabilită la nivel național (CSN), adoptată în temeiul dreptului internațional, și, în această privință, susțin următoarele:</w:t>
      </w:r>
    </w:p>
    <w:p w:rsidR="00F47ACE" w:rsidRPr="00472687" w:rsidRDefault="0052083E" w:rsidP="00472687">
      <w:pPr>
        <w:pStyle w:val="JuPara"/>
      </w:pPr>
      <w:r>
        <w:t>– Actuala lege (din 2011) privind (emisiile de) CO</w:t>
      </w:r>
      <w:r>
        <w:rPr>
          <w:vertAlign w:val="subscript"/>
        </w:rPr>
        <w:t>2</w:t>
      </w:r>
      <w:r>
        <w:t xml:space="preserve"> conține un singur obiectiv obligatoriu de reducere a emisiilor pentru 2020 și 2024.</w:t>
      </w:r>
    </w:p>
    <w:p w:rsidR="00F47ACE" w:rsidRPr="00472687" w:rsidRDefault="0052083E" w:rsidP="00472687">
      <w:pPr>
        <w:pStyle w:val="JuPara"/>
      </w:pPr>
      <w:r>
        <w:t>– O nouă lege (din 2020) privind (emisiile de) CO</w:t>
      </w:r>
      <w:r>
        <w:rPr>
          <w:vertAlign w:val="subscript"/>
        </w:rPr>
        <w:t>2</w:t>
      </w:r>
      <w:r>
        <w:rPr>
          <w:rStyle w:val="FootnoteReference"/>
        </w:rPr>
        <w:footnoteReference w:id="26"/>
      </w:r>
      <w:r>
        <w:t>, care stabilea un obiectiv obligatoriu pentru 2030, a fost respinsă în urma unui referendum care a avut loc la 13 iunie 2021.</w:t>
      </w:r>
    </w:p>
    <w:p w:rsidR="00F47ACE" w:rsidRPr="00472687" w:rsidRDefault="0052083E" w:rsidP="00472687">
      <w:pPr>
        <w:pStyle w:val="JuPara"/>
      </w:pPr>
      <w:r>
        <w:t>– La 16 septembrie 2022, Guvernul a prezentat Parlamentului un proiect de modificare a Legii din 2011 privind emisiile de CO</w:t>
      </w:r>
      <w:r>
        <w:rPr>
          <w:vertAlign w:val="subscript"/>
        </w:rPr>
        <w:t>2</w:t>
      </w:r>
      <w:r>
        <w:rPr>
          <w:rStyle w:val="FootnoteReference"/>
        </w:rPr>
        <w:footnoteReference w:id="27"/>
      </w:r>
      <w:r>
        <w:t>, care trebuia să se aplice pentru perioada 2025-2030</w:t>
      </w:r>
      <w:r>
        <w:rPr>
          <w:rStyle w:val="FootnoteReference"/>
        </w:rPr>
        <w:footnoteReference w:id="28"/>
      </w:r>
      <w:r>
        <w:t>. Cu toate acestea, Parlamentul a aprobat un alt proiect</w:t>
      </w:r>
      <w:r>
        <w:rPr>
          <w:rStyle w:val="FootnoteReference"/>
        </w:rPr>
        <w:footnoteReference w:id="29"/>
      </w:r>
      <w:r>
        <w:t xml:space="preserve"> de lege</w:t>
      </w:r>
    </w:p>
    <w:p w:rsidR="00F47ACE" w:rsidRPr="00472687" w:rsidRDefault="0052083E" w:rsidP="00472687">
      <w:pPr>
        <w:pStyle w:val="JuPara"/>
      </w:pPr>
      <w:r>
        <w:lastRenderedPageBreak/>
        <w:t>– În plus, Elveția nu a efectuat niciodată o analiză a bugetului său de carbon.</w:t>
      </w:r>
    </w:p>
    <w:bookmarkStart w:id="75" w:name="paragraph00076"/>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76</w:t>
      </w:r>
      <w:r w:rsidRPr="00472687">
        <w:fldChar w:fldCharType="end"/>
      </w:r>
      <w:bookmarkEnd w:id="75"/>
      <w:r>
        <w:t>. Potrivit reclamantelor, obiectivele și acțiunile Elveției de reducere a schimbărilor climatice pot fi rezumate după cum urmează:</w:t>
      </w:r>
    </w:p>
    <w:p w:rsidR="00F47ACE" w:rsidRPr="00472687" w:rsidRDefault="0052083E" w:rsidP="00472687">
      <w:pPr>
        <w:pStyle w:val="JuPara"/>
      </w:pPr>
      <w:r>
        <w:t>– 2007-2013: în conformitate cu Legea din 2011 privind emisiile de CO</w:t>
      </w:r>
      <w:r>
        <w:rPr>
          <w:vertAlign w:val="subscript"/>
        </w:rPr>
        <w:t>2</w:t>
      </w:r>
      <w:r>
        <w:t xml:space="preserve"> (în vigoare din 2013), era necesar ca, până în 2020, emisiile naționale de GES să fie reduse cu 20% față de nivelurile din anii 1990. Cu toate acestea, în 2007, IPCC a declarat că țările dezvoltate, cum ar fi Elveția, ar trebui să își reducă emisiile naționale cu 25-40% față de nivelurile din 1990, până în 2020, pentru a atinge, cu o probabilitate de 66%, limita de 2</w:t>
      </w:r>
      <w:r>
        <w:rPr>
          <w:vertAlign w:val="superscript"/>
        </w:rPr>
        <w:t>o</w:t>
      </w:r>
      <w:r>
        <w:t>C (care a devenit caducă)</w:t>
      </w:r>
      <w:r>
        <w:rPr>
          <w:rStyle w:val="FootnoteReference"/>
        </w:rPr>
        <w:footnoteReference w:id="30"/>
      </w:r>
      <w:r>
        <w:t>. Guvernul a recunoscut inadecvarea soluției propuse</w:t>
      </w:r>
      <w:r>
        <w:rPr>
          <w:rStyle w:val="FootnoteReference"/>
        </w:rPr>
        <w:footnoteReference w:id="31"/>
      </w:r>
      <w:r>
        <w:t>.</w:t>
      </w:r>
    </w:p>
    <w:p w:rsidR="00F47ACE" w:rsidRPr="00472687" w:rsidRDefault="0052083E" w:rsidP="00472687">
      <w:pPr>
        <w:pStyle w:val="JuPara"/>
      </w:pPr>
      <w:r>
        <w:t>– 2014-2017: în 2017, Guvernul a prezentat o nouă lege privind emisiile de CO</w:t>
      </w:r>
      <w:r>
        <w:rPr>
          <w:vertAlign w:val="subscript"/>
        </w:rPr>
        <w:t>2</w:t>
      </w:r>
      <w:r>
        <w:t xml:space="preserve"> (acest text a devenit ulterior Legea din 2020 privind emisiile de CO</w:t>
      </w:r>
      <w:r>
        <w:rPr>
          <w:vertAlign w:val="subscript"/>
        </w:rPr>
        <w:t>2</w:t>
      </w:r>
      <w:r>
        <w:t xml:space="preserve"> și a fost respinsă), care propunea o reducere globală de 50% și, până în 2030, o reducere cu 30% a emisiilor naționale față de nivelurile din 1990</w:t>
      </w:r>
      <w:r>
        <w:rPr>
          <w:rStyle w:val="FootnoteReference"/>
        </w:rPr>
        <w:footnoteReference w:id="32"/>
      </w:r>
      <w:r>
        <w:t>. Cu toate acestea, în 2014, IPCC a apreciat că țări precum Elveția trebuie să își reducă emisiile naționale cu cel puțin 40% sau chiar cu 100% până în 2030, pentru a exista o probabilitate de 66% de a nu depăși limita (devenită caducă) de 2</w:t>
      </w:r>
      <w:r>
        <w:rPr>
          <w:vertAlign w:val="superscript"/>
        </w:rPr>
        <w:t>o</w:t>
      </w:r>
      <w:r>
        <w:t>C. Acest lucru implica necesitatea unei reduceri medii de 50% a emisiilor naționale până în 2030</w:t>
      </w:r>
      <w:r>
        <w:rPr>
          <w:rStyle w:val="FootnoteReference"/>
        </w:rPr>
        <w:footnoteReference w:id="33"/>
      </w:r>
      <w:r>
        <w:t>.</w:t>
      </w:r>
    </w:p>
    <w:p w:rsidR="00F47ACE" w:rsidRPr="00472687" w:rsidRDefault="0052083E" w:rsidP="00472687">
      <w:pPr>
        <w:pStyle w:val="JuPara"/>
      </w:pPr>
      <w:r>
        <w:t>– În 2020, Elveția a prezentat un CSN actualizat, precizând că se angajează să urmeze recomandările științifice pentru limitarea încălzirii la 1,5°C și că, având în vedere obiectivul său de realizare a neutralității climatice până în 2050, CSN-ul său ar trebui să vizeze reducerea emisiilor sale de GES cu cel puțin 50% până în 2030, comparativ cu nivelurile din 1990</w:t>
      </w:r>
      <w:r>
        <w:rPr>
          <w:rStyle w:val="FootnoteReference"/>
        </w:rPr>
        <w:footnoteReference w:id="34"/>
      </w:r>
      <w:r>
        <w:t>.</w:t>
      </w:r>
    </w:p>
    <w:p w:rsidR="00F47ACE" w:rsidRPr="00472687" w:rsidRDefault="0052083E" w:rsidP="00472687">
      <w:pPr>
        <w:pStyle w:val="JuPara"/>
      </w:pPr>
      <w:r>
        <w:t xml:space="preserve">– 2018-2030: Elveția nu a înregistrat progrese reale în ceea ce privește CSN-ul „actualizat” oficial </w:t>
      </w:r>
      <w:r>
        <w:rPr>
          <w:rStyle w:val="FootnoteReference"/>
        </w:rPr>
        <w:footnoteReference w:id="35"/>
      </w:r>
      <w:r>
        <w:t>, iar textul legislației naționale actuale și planificate privind clima nu reflectă angajamentul de a respecta limita de 1,5</w:t>
      </w:r>
      <w:r>
        <w:rPr>
          <w:vertAlign w:val="superscript"/>
        </w:rPr>
        <w:t>o</w:t>
      </w:r>
      <w:r>
        <w:t>C. În plus, traiectoriile de reducere a emisiilor nu sunt în concordanță cu limita de 1,5</w:t>
      </w:r>
      <w:r>
        <w:rPr>
          <w:vertAlign w:val="superscript"/>
        </w:rPr>
        <w:t>o</w:t>
      </w:r>
      <w:r>
        <w:t xml:space="preserve">C: în comparație cu perioada de până în 2020 (care, potrivit reclamantelor, a implicat o reducere de 2% pe an), acestea chiar au scăzut în </w:t>
      </w:r>
      <w:r>
        <w:lastRenderedPageBreak/>
        <w:t>2021 (infra, pct. </w:t>
      </w:r>
      <w:r w:rsidRPr="00472687">
        <w:fldChar w:fldCharType="begin"/>
      </w:r>
      <w:r w:rsidRPr="00472687">
        <w:instrText xml:space="preserve">REF paragraph00123 \h \* CharFormat </w:instrText>
      </w:r>
      <w:r w:rsidRPr="00472687">
        <w:fldChar w:fldCharType="separate"/>
      </w:r>
      <w:r w:rsidR="00472687" w:rsidRPr="00472687">
        <w:t>123</w:t>
      </w:r>
      <w:r w:rsidRPr="00472687">
        <w:fldChar w:fldCharType="end"/>
      </w:r>
      <w:r>
        <w:t>; articolul 3 (1</w:t>
      </w:r>
      <w:r>
        <w:rPr>
          <w:vertAlign w:val="superscript"/>
        </w:rPr>
        <w:t>bis</w:t>
      </w:r>
      <w:r>
        <w:t xml:space="preserve"> și 1</w:t>
      </w:r>
      <w:r>
        <w:rPr>
          <w:vertAlign w:val="superscript"/>
        </w:rPr>
        <w:t>ter</w:t>
      </w:r>
      <w:r>
        <w:t>) din Legea din 2011 privind emisiile de CO</w:t>
      </w:r>
      <w:r>
        <w:rPr>
          <w:vertAlign w:val="subscript"/>
        </w:rPr>
        <w:t>2</w:t>
      </w:r>
      <w:r>
        <w:t>). Autoritățile elvețiene au admis că traiectoria de reducere nu ar fi suficientă pentru a respecta CSN-ul Elveției, că ar fi o provocare majoră compensarea întârzierii în reducerea emisiilor și că ponderea măsurilor adoptate în străinătate ar trebui să fie semnificativ mai mare decât s-a prevăzut</w:t>
      </w:r>
      <w:r>
        <w:rPr>
          <w:rStyle w:val="FootnoteReference"/>
        </w:rPr>
        <w:footnoteReference w:id="36"/>
      </w:r>
      <w:r>
        <w:t>. Pentru perioada 2025-2030, Guvernul va fi autoritatea competentă să stabilească amploarea măsurilor care urmează să fie puse în aplicare în Elveția, în raport cu obiectivul de reducere cu cel puțin 50% până în 2030. Obiectivul național de</w:t>
      </w:r>
      <w:r>
        <w:rPr>
          <w:b/>
        </w:rPr>
        <w:t xml:space="preserve"> </w:t>
      </w:r>
      <w:r>
        <w:t>reducere este de aproximativ 34% până în 2030, comparativ cu 1990 (1,52% pe an). Cu toate acestea, statul nu a explicat cum ar putea fi compensată întârzierea prin această traiectorie națională de reducere</w:t>
      </w:r>
      <w:r>
        <w:rPr>
          <w:rStyle w:val="FootnoteReference"/>
        </w:rPr>
        <w:footnoteReference w:id="37"/>
      </w:r>
      <w:r>
        <w:t>.</w:t>
      </w:r>
    </w:p>
    <w:p w:rsidR="00F47ACE" w:rsidRPr="00472687" w:rsidRDefault="0052083E" w:rsidP="00472687">
      <w:pPr>
        <w:pStyle w:val="JuPara"/>
      </w:pPr>
      <w:r>
        <w:t>– 2031-2050: pentru această perioadă, obiectivul autorităților elvețiene este, până în 2040, o reducere cu 75% a emisiilor de GES, comparativ cu nivelurile din anii 1990, și, până în 2050, realizarea obiectivului „zero emisii nete”. Cu toate acestea, reclamantele subliniază că, potrivit legislației, aceste obiective nu pot fi atinse decât „în măsura în care este posibil”, prin adoptarea unor măsuri pe plan intern</w:t>
      </w:r>
      <w:r>
        <w:rPr>
          <w:rStyle w:val="FootnoteReference"/>
        </w:rPr>
        <w:footnoteReference w:id="38"/>
      </w:r>
      <w:r>
        <w:t xml:space="preserve"> În plus, consideră că aceste obiective nu sunt conforme cu limita de 1,5</w:t>
      </w:r>
      <w:r>
        <w:rPr>
          <w:vertAlign w:val="superscript"/>
        </w:rPr>
        <w:t>o</w:t>
      </w:r>
      <w:r>
        <w:t>C.</w:t>
      </w:r>
    </w:p>
    <w:bookmarkStart w:id="76" w:name="paragraph00077"/>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77</w:t>
      </w:r>
      <w:r w:rsidRPr="00472687">
        <w:fldChar w:fldCharType="end"/>
      </w:r>
      <w:bookmarkEnd w:id="76"/>
      <w:r>
        <w:t>. Reclamantele observă că, potrivit IPCC, luarea de măsuri imediate la nivel mondial pentru limitarea încălzirii la 1,5</w:t>
      </w:r>
      <w:r>
        <w:rPr>
          <w:vertAlign w:val="superscript"/>
        </w:rPr>
        <w:t>o</w:t>
      </w:r>
      <w:r>
        <w:t>C implică reducerea emisiilor globale nete de GES cu 43% până în 2030 și cu 84% până în 2050, comparativ cu nivelurile din 2019</w:t>
      </w:r>
      <w:r>
        <w:rPr>
          <w:rStyle w:val="FootnoteReference"/>
        </w:rPr>
        <w:footnoteReference w:id="39"/>
      </w:r>
      <w:r>
        <w:t>. Pentru a limita creșterea temperaturii globale, este necesară limitarea emisiilor globale cumulate de CO</w:t>
      </w:r>
      <w:r>
        <w:rPr>
          <w:vertAlign w:val="subscript"/>
        </w:rPr>
        <w:t>2</w:t>
      </w:r>
      <w:r>
        <w:t xml:space="preserve"> în cadrul unui buget de carbon. Pentru o probabilitate de 67% de a respecta limita de 1,5</w:t>
      </w:r>
      <w:r>
        <w:rPr>
          <w:vertAlign w:val="superscript"/>
        </w:rPr>
        <w:t>o</w:t>
      </w:r>
      <w:r>
        <w:t>C, bugetul global de carbon rămas ar fi de 400 de gigatone (Gt) de CO</w:t>
      </w:r>
      <w:r>
        <w:rPr>
          <w:vertAlign w:val="subscript"/>
        </w:rPr>
        <w:t>2</w:t>
      </w:r>
      <w:r>
        <w:t xml:space="preserve"> și, pentru o probabilitate de 83%, 300 Gt de CO</w:t>
      </w:r>
      <w:r>
        <w:rPr>
          <w:vertAlign w:val="subscript"/>
        </w:rPr>
        <w:t>2</w:t>
      </w:r>
      <w:r>
        <w:rPr>
          <w:rStyle w:val="FootnoteReference"/>
        </w:rPr>
        <w:footnoteReference w:id="40"/>
      </w:r>
      <w:r>
        <w:t>. Astfel, potrivit calculului reclamantelor, chiar aplicând metoda „partajării eforturilor pe cap de locuitor” pentru reducerea emisiilor începând cu 2020 (reclamantele contestă validitatea metodei „repartizării egale a emisiilor pe cap de locuitor”, în raport cu „cel mai ridicat nivel de ambiție posibilă”), Elveția ar dispune de un buget de carbon rămas de 0,44 Gt de CO</w:t>
      </w:r>
      <w:r>
        <w:rPr>
          <w:vertAlign w:val="subscript"/>
        </w:rPr>
        <w:t>2</w:t>
      </w:r>
      <w:r>
        <w:t xml:space="preserve"> pentru o probabilitate de 67% de a respecta limita de 1,5</w:t>
      </w:r>
      <w:r>
        <w:rPr>
          <w:vertAlign w:val="superscript"/>
        </w:rPr>
        <w:t>o</w:t>
      </w:r>
      <w:r>
        <w:t>C sau de 0,33 Gt de CO</w:t>
      </w:r>
      <w:r>
        <w:rPr>
          <w:vertAlign w:val="subscript"/>
        </w:rPr>
        <w:t>2</w:t>
      </w:r>
      <w:r>
        <w:t xml:space="preserve"> pentru o probabilitate de 83%. </w:t>
      </w:r>
      <w:r>
        <w:lastRenderedPageBreak/>
        <w:t>În cadrul unui scenariu care implică o reducere de 34% a emisiilor de CO</w:t>
      </w:r>
      <w:r>
        <w:rPr>
          <w:vertAlign w:val="subscript"/>
        </w:rPr>
        <w:t>2</w:t>
      </w:r>
      <w:r>
        <w:t xml:space="preserve"> până în 2030 și de 75% până în 2040, Elveția va fi epuizat bugetul de carbon rămas în jurul anului 2034 (sau 2030, pentru o probabilitate de 83%).</w:t>
      </w:r>
    </w:p>
    <w:p w:rsidR="00F47ACE" w:rsidRPr="00472687" w:rsidRDefault="00C71855" w:rsidP="00472687">
      <w:pPr>
        <w:pStyle w:val="JuPara"/>
      </w:pPr>
      <w:fldSimple w:instr=" SEQ level0 \*arabic \* MERGEFORMAT ">
        <w:r w:rsidR="00472687" w:rsidRPr="00472687">
          <w:t>78</w:t>
        </w:r>
      </w:fldSimple>
      <w:r w:rsidR="00B71F73">
        <w:t>. Reclamantele subliniază că, în cadrul evaluării sale, The Climate Action Tracker („CAT”)</w:t>
      </w:r>
      <w:r w:rsidR="0052083E">
        <w:rPr>
          <w:rStyle w:val="FootnoteReference"/>
        </w:rPr>
        <w:footnoteReference w:id="41"/>
      </w:r>
      <w:r w:rsidR="00B71F73">
        <w:t xml:space="preserve"> a apreciat că, dacă toate statele ar urma abordarea Elveției, încălzirea ar ajunge la 3</w:t>
      </w:r>
      <w:r w:rsidR="00B71F73">
        <w:rPr>
          <w:vertAlign w:val="superscript"/>
        </w:rPr>
        <w:t>o</w:t>
      </w:r>
      <w:r w:rsidR="00B71F73">
        <w:t>C. În plus, afirmă acestea, CAT a calificat ca fiind „insuficiente” atât obiectivul Elveției de respectare a cotei echitabile, cât și finanțarea eforturilor sale de combatere a schimbărilor climatice, și a precizat că sunt necesare „progrese semnificative” din partea Elveției pentru ca aceasta să poată respecta o limitare a încălzirii de 1,5</w:t>
      </w:r>
      <w:r w:rsidR="00B71F73">
        <w:rPr>
          <w:vertAlign w:val="superscript"/>
        </w:rPr>
        <w:t>o</w:t>
      </w:r>
      <w:r w:rsidR="00B71F73">
        <w:t>C</w:t>
      </w:r>
      <w:r w:rsidR="0052083E">
        <w:rPr>
          <w:rStyle w:val="FootnoteReference"/>
        </w:rPr>
        <w:footnoteReference w:id="42"/>
      </w:r>
      <w:r w:rsidR="00B71F73">
        <w:t>. CAT a concluzionat că, pentru a-și respecta cota echitabilă în scopul unei astfel de limitări, era necesar ca Elveția să își reducă emisiile de GES la un nivel cu mult sub zero până în 2030 (adică o reducere cuprinsă între 160% și peste 200% față de emisiile din 1990)</w:t>
      </w:r>
      <w:r w:rsidR="0052083E">
        <w:rPr>
          <w:rStyle w:val="FootnoteReference"/>
        </w:rPr>
        <w:footnoteReference w:id="43"/>
      </w:r>
      <w:r w:rsidR="00B71F73">
        <w:t>. Reclamantele subliniază că și alte studii au condus la concluzii similare</w:t>
      </w:r>
      <w:r w:rsidR="0052083E">
        <w:rPr>
          <w:rStyle w:val="FootnoteReference"/>
        </w:rPr>
        <w:footnoteReference w:id="44"/>
      </w:r>
      <w:r w:rsidR="00B71F73">
        <w:t>.</w:t>
      </w:r>
    </w:p>
    <w:p w:rsidR="00F47ACE" w:rsidRPr="00472687" w:rsidRDefault="00C71855" w:rsidP="00472687">
      <w:pPr>
        <w:pStyle w:val="JuPara"/>
      </w:pPr>
      <w:fldSimple w:instr=" SEQ level0 \*arabic \* MERGEFORMAT ">
        <w:r w:rsidR="00472687" w:rsidRPr="00472687">
          <w:t>79</w:t>
        </w:r>
      </w:fldSimple>
      <w:r w:rsidR="00B71F73">
        <w:t>. Ele observă că, în pofida acestui fapt, strategia Elveției constă în „cumpărarea” de reduceri de emisii în străinătate și luarea în considerare a acestora în cadrul obiectivului național de reducere pentru 2030, strategie care, în opinia lor, nu va face decât să întârzie eforturile pe care va trebui să le depună țara pentru atingerea obiectivului zero emisii nete până în 2050. Susțin că această strategie va obliga Elveția ca, după 2030, să își reducă la zero emisiile naționale într-o perioadă foarte scurtă de timp, pe baza unor rate anuale ridicate de reducere a emisiilor, care vor deveni din ce în ce mai dificil de realizat</w:t>
      </w:r>
      <w:r w:rsidR="0052083E">
        <w:rPr>
          <w:rStyle w:val="FootnoteReference"/>
        </w:rPr>
        <w:footnoteReference w:id="45"/>
      </w:r>
      <w:r w:rsidR="00B71F73">
        <w:t>.</w:t>
      </w:r>
    </w:p>
    <w:p w:rsidR="00F47ACE" w:rsidRPr="00472687" w:rsidRDefault="00C71855" w:rsidP="00472687">
      <w:pPr>
        <w:pStyle w:val="JuPara"/>
      </w:pPr>
      <w:fldSimple w:instr=" SEQ level0 \*arabic \* MERGEFORMAT ">
        <w:r w:rsidR="00472687" w:rsidRPr="00472687">
          <w:t>80</w:t>
        </w:r>
      </w:fldSimple>
      <w:r w:rsidR="00B71F73">
        <w:t>. În plus, potrivit reclamantelor, cea mai mare parte din emisiile de GES imputabile Elveției sunt generate în străinătate. Inițial, autoritățile elvețiene au recunoscut că acestea trebuie luate în considerare la stabilirea obiectivelor climatice</w:t>
      </w:r>
      <w:r w:rsidR="0052083E">
        <w:rPr>
          <w:rStyle w:val="FootnoteReference"/>
        </w:rPr>
        <w:footnoteReference w:id="46"/>
      </w:r>
      <w:r w:rsidR="00B71F73">
        <w:t>. Totuși, acest lucru nu era inclus în propunerile lor legislative actuale sau în CSN-ul actualizat din 2021</w:t>
      </w:r>
      <w:r w:rsidR="0052083E">
        <w:rPr>
          <w:rStyle w:val="FootnoteReference"/>
        </w:rPr>
        <w:footnoteReference w:id="47"/>
      </w:r>
      <w:r w:rsidR="00B71F73">
        <w:t>. În acest context, sectorul financiar avea un impact major asupra emisiilor de GES</w:t>
      </w:r>
      <w:r w:rsidR="0052083E">
        <w:rPr>
          <w:rStyle w:val="FootnoteReference"/>
        </w:rPr>
        <w:footnoteReference w:id="48"/>
      </w:r>
      <w:r w:rsidR="00B71F73">
        <w:t xml:space="preserve">. Or, potrivit reclamantelor, în conformitate cu Legea (modificată) din 2011 privind </w:t>
      </w:r>
      <w:r w:rsidR="00B71F73">
        <w:lastRenderedPageBreak/>
        <w:t>emisiile de CO</w:t>
      </w:r>
      <w:r w:rsidR="00B71F73">
        <w:rPr>
          <w:vertAlign w:val="subscript"/>
        </w:rPr>
        <w:t>2</w:t>
      </w:r>
      <w:r w:rsidR="00B71F73">
        <w:t>, acest sector va fi inclus în legislația națională privind clima abia în 2025, iar acest lucru va avea un efect limitat, întrucât Elveția va avea doar obligația de a examina riscurile financiare legate de schimbările climatice și nu de a garanta că fluxurile financiare sunt compatibile cu o traiectorie de reducere a emisiilor care să asigure protecția climei.</w:t>
      </w:r>
    </w:p>
    <w:p w:rsidR="00F47ACE" w:rsidRPr="00472687" w:rsidRDefault="00C71855" w:rsidP="00472687">
      <w:pPr>
        <w:pStyle w:val="JuPara"/>
      </w:pPr>
      <w:fldSimple w:instr=" SEQ level0 \*arabic \* MERGEFORMAT ">
        <w:r w:rsidR="00472687" w:rsidRPr="00472687">
          <w:t>81</w:t>
        </w:r>
      </w:fldSimple>
      <w:r w:rsidR="00B71F73">
        <w:t>. Autoritățile elvețiene au recunoscut, de asemenea, că nu și-au atins obiectivul climatic pentru 2020. Chiar și după restricțiile impuse de pandemia de Covid-19, emisiile de GES au înregistrat o creștere semnificativă</w:t>
      </w:r>
      <w:r w:rsidR="0052083E">
        <w:rPr>
          <w:rStyle w:val="FootnoteReference"/>
        </w:rPr>
        <w:footnoteReference w:id="49"/>
      </w:r>
      <w:r w:rsidR="00B71F73">
        <w:t>. Unele sectoare (în special cel al construcțiilor și cel al transporturilor la nivelul cantoanelor) nu sunt monitorizate în mod corespunzător, iar altele (cum ar fi sectoarele agricol și financiar) nu sunt reglementate.</w:t>
      </w:r>
    </w:p>
    <w:p w:rsidR="00F47ACE" w:rsidRPr="00472687" w:rsidRDefault="00C71855" w:rsidP="00472687">
      <w:pPr>
        <w:pStyle w:val="JuPara"/>
      </w:pPr>
      <w:fldSimple w:instr=" SEQ level0 \*arabic \* MERGEFORMAT ">
        <w:r w:rsidR="00472687" w:rsidRPr="00472687">
          <w:t>82</w:t>
        </w:r>
      </w:fldSimple>
      <w:r w:rsidR="00B71F73">
        <w:t>. Reclamantele susțin că măsurile (planificate) de reducere a emisiilor pentru 2030 sunt similare celor din Legea din 2011 privind emisiile de CO</w:t>
      </w:r>
      <w:r w:rsidR="00B71F73">
        <w:rPr>
          <w:vertAlign w:val="subscript"/>
        </w:rPr>
        <w:t>2</w:t>
      </w:r>
      <w:r w:rsidR="00B71F73">
        <w:t xml:space="preserve"> și că acestea nu vor permite realizarea unei reduceri a emisiilor naționale de aproximativ 34% până în 2030</w:t>
      </w:r>
      <w:r w:rsidR="0052083E">
        <w:rPr>
          <w:rStyle w:val="FootnoteReference"/>
        </w:rPr>
        <w:footnoteReference w:id="50"/>
      </w:r>
      <w:r w:rsidR="00B71F73">
        <w:t>. Totuși, acestea susțin că o traiectorie națională compatibilă cu limitarea încălzirii la 1,5</w:t>
      </w:r>
      <w:r w:rsidR="00B71F73">
        <w:rPr>
          <w:vertAlign w:val="superscript"/>
        </w:rPr>
        <w:t>o</w:t>
      </w:r>
      <w:r w:rsidR="00B71F73">
        <w:t>C rămâne fezabilă din punct de vedere tehnic și economic</w:t>
      </w:r>
      <w:r w:rsidR="0052083E">
        <w:rPr>
          <w:rStyle w:val="FootnoteReference"/>
        </w:rPr>
        <w:footnoteReference w:id="51"/>
      </w:r>
      <w:r w:rsidR="00B71F73">
        <w:t>. Precizează că Elveția ar trebui să realizeze decarbonizarea totală în conformitate cu limita de 1,5°C și să accelereze adoptarea de măsuri în străinătate, pentru a-și respecta „cota echitabilă”.</w:t>
      </w:r>
    </w:p>
    <w:p w:rsidR="00C014F0" w:rsidRPr="00472687" w:rsidRDefault="0052083E" w:rsidP="00472687">
      <w:pPr>
        <w:pStyle w:val="JuHA"/>
        <w:numPr>
          <w:ilvl w:val="2"/>
          <w:numId w:val="28"/>
        </w:numPr>
      </w:pPr>
      <w:bookmarkStart w:id="77" w:name="_Toc149127504"/>
      <w:bookmarkStart w:id="78" w:name="_Toc158019683"/>
      <w:bookmarkStart w:id="79" w:name="_Toc199273427"/>
      <w:r>
        <w:t>Elemente prezentate de Guvern</w:t>
      </w:r>
      <w:bookmarkEnd w:id="77"/>
      <w:bookmarkEnd w:id="78"/>
      <w:bookmarkEnd w:id="79"/>
    </w:p>
    <w:p w:rsidR="00F47ACE" w:rsidRPr="00472687" w:rsidRDefault="00C71855" w:rsidP="00472687">
      <w:pPr>
        <w:pStyle w:val="JuPara"/>
      </w:pPr>
      <w:fldSimple w:instr=" SEQ level0 \*arabic \* MERGEFORMAT ">
        <w:r w:rsidR="00472687" w:rsidRPr="00472687">
          <w:t>83</w:t>
        </w:r>
      </w:fldSimple>
      <w:r w:rsidR="00B71F73">
        <w:t>. Potrivit Guvernului, situația legată de schimbările climatice din Elveția și măsurile adoptate în acest domeniu trebuie să fie examinate în două etape distincte: prima etapă privește măsurile luate înainte de adoptarea hotărârii pronunțate de TF la 5 mai 2020 în cauza reclamantelor (supra, pct. </w:t>
      </w:r>
      <w:r w:rsidR="00927EBA" w:rsidRPr="00472687">
        <w:fldChar w:fldCharType="begin"/>
      </w:r>
      <w:r w:rsidR="00927EBA" w:rsidRPr="00472687">
        <w:instrText xml:space="preserve"> REF paragraph00052 \h </w:instrText>
      </w:r>
      <w:r w:rsidR="00927EBA" w:rsidRPr="00472687">
        <w:fldChar w:fldCharType="separate"/>
      </w:r>
      <w:r w:rsidR="00472687" w:rsidRPr="00472687">
        <w:t>52</w:t>
      </w:r>
      <w:r w:rsidR="00927EBA" w:rsidRPr="00472687">
        <w:fldChar w:fldCharType="end"/>
      </w:r>
      <w:r w:rsidR="00B71F73">
        <w:t>-</w:t>
      </w:r>
      <w:r w:rsidR="00927EBA" w:rsidRPr="00472687">
        <w:fldChar w:fldCharType="begin"/>
      </w:r>
      <w:r w:rsidR="00927EBA" w:rsidRPr="00472687">
        <w:instrText xml:space="preserve"> REF paragraph00063 \h </w:instrText>
      </w:r>
      <w:r w:rsidR="00927EBA" w:rsidRPr="00472687">
        <w:fldChar w:fldCharType="separate"/>
      </w:r>
      <w:r w:rsidR="00472687" w:rsidRPr="00472687">
        <w:t>63</w:t>
      </w:r>
      <w:r w:rsidR="00927EBA" w:rsidRPr="00472687">
        <w:fldChar w:fldCharType="end"/>
      </w:r>
      <w:r w:rsidR="00B71F73">
        <w:t>), iar cea de-a doua privește măsurile luate după adoptarea acestei hotărâri.</w:t>
      </w:r>
    </w:p>
    <w:p w:rsidR="00F47ACE" w:rsidRPr="00472687" w:rsidRDefault="0052083E" w:rsidP="00472687">
      <w:pPr>
        <w:pStyle w:val="JuH1"/>
        <w:numPr>
          <w:ilvl w:val="3"/>
          <w:numId w:val="28"/>
        </w:numPr>
      </w:pPr>
      <w:bookmarkStart w:id="80" w:name="_Toc199273428"/>
      <w:r>
        <w:t>Prima etapă</w:t>
      </w:r>
      <w:bookmarkEnd w:id="80"/>
    </w:p>
    <w:bookmarkStart w:id="81" w:name="paragraph00084"/>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84</w:t>
      </w:r>
      <w:r w:rsidRPr="00472687">
        <w:fldChar w:fldCharType="end"/>
      </w:r>
      <w:bookmarkEnd w:id="81"/>
      <w:r>
        <w:t>. Guvernul afirmă că Legea din 2011 privind emisiile de CO</w:t>
      </w:r>
      <w:r>
        <w:rPr>
          <w:vertAlign w:val="subscript"/>
        </w:rPr>
        <w:t>2</w:t>
      </w:r>
      <w:r>
        <w:t>, care a pus în aplicare Protocolul de la Kyoto</w:t>
      </w:r>
      <w:r>
        <w:rPr>
          <w:rStyle w:val="FootnoteReference"/>
          <w:lang w:bidi="en-US"/>
        </w:rPr>
        <w:footnoteReference w:id="52"/>
      </w:r>
      <w:r>
        <w:t xml:space="preserve">, prevedea o reducere cu 20% a emisiilor de GES din Elveția până în 2020, față de nivelurile din 1990, și că aceasta corespundea unei reduceri medii de 15,8% între 2013 și 2020, acesta fiind și obiectivul internațional stabilit de Elveția pe baza Protocolului de la Kyoto. </w:t>
      </w:r>
      <w:r>
        <w:lastRenderedPageBreak/>
        <w:t>Acesta precizează că, atunci când a stabilit obiectivul pentru perioada de până în 2020, Consiliul Federal s-a bazat pe datele științifice disponibile.</w:t>
      </w:r>
    </w:p>
    <w:p w:rsidR="00F47ACE" w:rsidRPr="00472687" w:rsidRDefault="00C71855" w:rsidP="00472687">
      <w:pPr>
        <w:pStyle w:val="JuPara"/>
      </w:pPr>
      <w:fldSimple w:instr=" SEQ level0 \*arabic \* MERGEFORMAT ">
        <w:r w:rsidR="00472687" w:rsidRPr="00472687">
          <w:t>85</w:t>
        </w:r>
      </w:fldSimple>
      <w:r w:rsidR="0052083E">
        <w:t>. A explicat că în cel de-al patrulea raport al IPCC (2007)</w:t>
      </w:r>
      <w:r w:rsidR="0052083E">
        <w:rPr>
          <w:rStyle w:val="FootnoteReference"/>
          <w:lang w:bidi="en-US"/>
        </w:rPr>
        <w:footnoteReference w:id="53"/>
      </w:r>
      <w:r w:rsidR="0052083E">
        <w:t xml:space="preserve"> se indica faptul că, pentru a evita schimbările climatice periculoase, concentrația de GES din atmosferă trebuia să fie stabilizată la un nivel între 445 și 490 ppm de CO</w:t>
      </w:r>
      <w:r w:rsidR="0052083E">
        <w:rPr>
          <w:vertAlign w:val="subscript"/>
        </w:rPr>
        <w:t>2</w:t>
      </w:r>
      <w:r w:rsidR="0052083E">
        <w:t xml:space="preserve"> echivalent. În acest fel, era posibilă limitarea creșterii temperaturilor la 2</w:t>
      </w:r>
      <w:r w:rsidR="0052083E">
        <w:rPr>
          <w:vertAlign w:val="superscript"/>
        </w:rPr>
        <w:t>o</w:t>
      </w:r>
      <w:r w:rsidR="0052083E">
        <w:t>C, sau chiar 2,4</w:t>
      </w:r>
      <w:r w:rsidR="0052083E">
        <w:rPr>
          <w:vertAlign w:val="superscript"/>
        </w:rPr>
        <w:t>o</w:t>
      </w:r>
      <w:r w:rsidR="0052083E">
        <w:t>C, în comparație cu nivelurile din perioada preindustrială. Pentru a atinge acest obiectiv, era necesar ca emisiile globale de GES să fie reduse de la de 5,8 tone la 1 până la maximum 1,5 tone de CO</w:t>
      </w:r>
      <w:r w:rsidR="0052083E">
        <w:rPr>
          <w:vertAlign w:val="subscript"/>
        </w:rPr>
        <w:t>2</w:t>
      </w:r>
      <w:r w:rsidR="0052083E">
        <w:t xml:space="preserve"> echivalent pe cap de locuitor. Un astfel de obiectiv impunea o reducere a emisiilor de GES de cel puțin 50-85% la nivel mondial și de 80-95% la nivel național în țările industrializate, până în 2050 și în raport cu nivelurile din 1990. Astfel, era necesar ca aceste țări să își reducă emisiile cu 25-40% până în 2050 și în raport cu nivelurile din 1990. În acest sens, obiectivul stabilit de Elveția (20% față de nivelurile din 1990) corespundea celui stabilit de principalii săi parteneri comerciali, în special Uniunea Europeană (UE). Guvernul adaugă că, deși Consiliul Federal a luat în considerare posibilitatea creșterii la 30% a nivelului relevant de reducere a emisiilor de GES, în cele din urmă, nu a adoptat această opțiune.</w:t>
      </w:r>
    </w:p>
    <w:p w:rsidR="00F47ACE" w:rsidRPr="00472687" w:rsidRDefault="00FD3281" w:rsidP="00472687">
      <w:pPr>
        <w:pStyle w:val="JuPara"/>
      </w:pPr>
      <w:r>
        <w:fldChar w:fldCharType="begin"/>
      </w:r>
      <w:r>
        <w:instrText xml:space="preserve"> SEQ level0 \*</w:instrText>
      </w:r>
      <w:r>
        <w:instrText xml:space="preserve">arabic </w:instrText>
      </w:r>
      <w:r>
        <w:fldChar w:fldCharType="separate"/>
      </w:r>
      <w:r w:rsidR="00472687" w:rsidRPr="00472687">
        <w:t>86</w:t>
      </w:r>
      <w:r>
        <w:fldChar w:fldCharType="end"/>
      </w:r>
      <w:r w:rsidR="0052083E">
        <w:t>. Acesta precizează că, la sfârșitul anului 2020, legislația relevantă privind clima prevedea următoarele măsuri: a) impunerea unei taxe pe CO</w:t>
      </w:r>
      <w:r w:rsidR="0052083E">
        <w:rPr>
          <w:vertAlign w:val="subscript"/>
        </w:rPr>
        <w:t>2</w:t>
      </w:r>
      <w:r w:rsidR="0052083E">
        <w:t xml:space="preserve"> pentru materialele energetice fosile și introducerea de beneficii pentru sectorul construcțiilor și cel tehnologic, gospodării și întreprinderi; b) impunerea cerinței potrivit căreia orice instalație care emite niveluri semnificative de GES să participe la Schema UE de comercializare a certificatelor de emisii de gaze cu efect de seră</w:t>
      </w:r>
      <w:r w:rsidR="0052083E">
        <w:rPr>
          <w:rStyle w:val="FootnoteReference"/>
        </w:rPr>
        <w:footnoteReference w:id="54"/>
      </w:r>
      <w:r w:rsidR="0052083E">
        <w:t>; c) respectarea de către instalațiile mici și mijlocii care emit GES a obligației de reducere a emisiilor; d) alinierea legislației naționale la cerințele UE privind emisiile de GES generate de autoturisme; e) obligarea importatorilor de materiale energetice fosile să compenseze o anumită parte din emisiile de CO</w:t>
      </w:r>
      <w:r w:rsidR="0052083E">
        <w:rPr>
          <w:vertAlign w:val="subscript"/>
        </w:rPr>
        <w:t>2</w:t>
      </w:r>
      <w:r w:rsidR="0052083E">
        <w:t>; f) adoptarea de măsuri în domeniul gestionării deșeurilor în vederea reducerii emisiilor de GES; g) coordonarea măsurilor relevante de adaptare la schimbările climatice; și h) furnizarea de informații și documente privind schimbările climatice.</w:t>
      </w:r>
    </w:p>
    <w:bookmarkStart w:id="82" w:name="paragraph00087"/>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87</w:t>
      </w:r>
      <w:r w:rsidRPr="00472687">
        <w:fldChar w:fldCharType="end"/>
      </w:r>
      <w:bookmarkEnd w:id="82"/>
      <w:r>
        <w:t>. Guvernul susține că aceste măsuri și cele adoptate în alte sectoare, inclusiv în cel agricol și cel energetic, ar trebui să permită Elveției să își reducă emisiile cu 20% până în 2020, comparativ cu nivelurile din 1990. Precizează că, potrivit unei evaluări efectuate în acest domeniu</w:t>
      </w:r>
      <w:r>
        <w:rPr>
          <w:rStyle w:val="FootnoteReference"/>
        </w:rPr>
        <w:footnoteReference w:id="55"/>
      </w:r>
      <w:r>
        <w:t xml:space="preserve">, Elveția a </w:t>
      </w:r>
      <w:r>
        <w:lastRenderedPageBreak/>
        <w:t>fost foarte aproape de îndeplinirea acestui obiectiv: în 2020, emisiile sale de GES au fost cu aproximativ 19% mai mici decât nivelurile din 1990. În 2020, datorită unei ierni blânde, emisiile au fost deosebit de scăzute în sectorul construcțiilor; în plus, măsurile luate pentru a limita răspândirea pandemiei de COVID-19 au determinat o reducere a emisiilor generate de transporturi. Cu toate acestea, doar sectorul industrial a atins obiectivul stabilit. Emisiile generate de clădiri și transporturi, precum și alte emisii, au depășit nivelul-țintă. În medie, în perioada 2013-2020, Elveția și-a redus emisiile de GES cu aproximativ 11% față de nivelurile din 1990.</w:t>
      </w:r>
    </w:p>
    <w:bookmarkStart w:id="83" w:name="paragraph00088"/>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88</w:t>
      </w:r>
      <w:r w:rsidRPr="00472687">
        <w:fldChar w:fldCharType="end"/>
      </w:r>
      <w:bookmarkEnd w:id="83"/>
      <w:r>
        <w:t>. Guvernul a explicat că, în 2012, Consiliul Federal a instituit Strategia națională privind adaptarea la schimbările climatice, în cadrul căreia au fost identificate măsurile care trebuie adoptate în diferite sectoare pentru a face față acestui fenomen.</w:t>
      </w:r>
      <w:r>
        <w:rPr>
          <w:rStyle w:val="FootnoteReference"/>
        </w:rPr>
        <w:footnoteReference w:id="56"/>
      </w:r>
      <w:r>
        <w:t xml:space="preserve"> A subliniat că aceasta este o strategie federală, dar că, în temeiul Legii privind emisiile de CO</w:t>
      </w:r>
      <w:r>
        <w:rPr>
          <w:vertAlign w:val="subscript"/>
        </w:rPr>
        <w:t>2</w:t>
      </w:r>
      <w:r>
        <w:t>, autoritățile competente la nivel local și cantonal pot să adopte numeroase măsuri.</w:t>
      </w:r>
    </w:p>
    <w:p w:rsidR="00F47ACE" w:rsidRPr="00472687" w:rsidRDefault="00C71855" w:rsidP="00472687">
      <w:pPr>
        <w:pStyle w:val="JuPara"/>
      </w:pPr>
      <w:fldSimple w:instr=" SEQ level0 \*arabic \* MERGEFORMAT ">
        <w:r w:rsidR="00472687" w:rsidRPr="00472687">
          <w:t>89</w:t>
        </w:r>
      </w:fldSimple>
      <w:r w:rsidR="00B71F73">
        <w:t>. Pentru perioada 2014-2019, Consiliul Federal a luat în considerare șaizeci și trei de măsuri de adaptare la schimbările climatice, în special în ceea ce privește protecția împotriva episoadelor de caniculă. Declară că interesul pentru această chestiune a dus la publicarea de noi rapoarte științifice</w:t>
      </w:r>
      <w:r w:rsidR="0052083E">
        <w:rPr>
          <w:rStyle w:val="FootnoteReference"/>
        </w:rPr>
        <w:footnoteReference w:id="57"/>
      </w:r>
      <w:r w:rsidR="00B71F73">
        <w:t>, dintre care unul elaborat de FOEN, în care s-a constatat că accentuarea stresului termic și degradarea sănătății umane cauzate de acesta se numără printre principalele riscuri legate de schimbările climatice din Elveția</w:t>
      </w:r>
      <w:r w:rsidR="0052083E">
        <w:rPr>
          <w:rStyle w:val="FootnoteReference"/>
        </w:rPr>
        <w:footnoteReference w:id="58"/>
      </w:r>
      <w:r w:rsidR="00B71F73">
        <w:t>. Precizează că au fost adoptate măsuri de adaptare suplimentare</w:t>
      </w:r>
      <w:r w:rsidR="0052083E">
        <w:rPr>
          <w:rStyle w:val="FootnoteReference"/>
        </w:rPr>
        <w:footnoteReference w:id="59"/>
      </w:r>
      <w:r w:rsidR="00B71F73">
        <w:t>.</w:t>
      </w:r>
    </w:p>
    <w:bookmarkStart w:id="84" w:name="paragraph00090"/>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90</w:t>
      </w:r>
      <w:r w:rsidRPr="00472687">
        <w:fldChar w:fldCharType="end"/>
      </w:r>
      <w:bookmarkEnd w:id="84"/>
      <w:r>
        <w:t>. În plus, afirmă că, în 2015, Elveția a creat Centrul Național pentru Servicii Climatice (National Centre for Climate Services), care este responsabil pentru coordonarea la nivel federal a diferitelor servicii climatice. Adaugă că, din 2005, ca răspuns la episoadele caniculare din vara anului 2003, Oficiul Federal de Meteorologie și Climatologie MeteoSwiss emite alerte de caniculă și că Oficiul Federal pentru Sănătate Publică formulează și publică recomandări cu privire la modalitățile de a face față efectelor acestor valuri de căldură</w:t>
      </w:r>
      <w:r>
        <w:rPr>
          <w:rStyle w:val="FootnoteReference"/>
        </w:rPr>
        <w:footnoteReference w:id="60"/>
      </w:r>
      <w:r>
        <w:t>. În consecință, au fost luate diverse măsuri de adaptare la nivel cantonal, pentru a proteja populația în timpul episoadelor de caniculă.</w:t>
      </w:r>
    </w:p>
    <w:p w:rsidR="00F47ACE" w:rsidRPr="00472687" w:rsidRDefault="00FD3281" w:rsidP="00472687">
      <w:pPr>
        <w:pStyle w:val="JuPara"/>
      </w:pPr>
      <w:r>
        <w:fldChar w:fldCharType="begin"/>
      </w:r>
      <w:r>
        <w:instrText xml:space="preserve"> SEQ level0 \*arabic </w:instrText>
      </w:r>
      <w:r>
        <w:fldChar w:fldCharType="separate"/>
      </w:r>
      <w:r w:rsidR="00472687" w:rsidRPr="00472687">
        <w:t>91</w:t>
      </w:r>
      <w:r>
        <w:fldChar w:fldCharType="end"/>
      </w:r>
      <w:r w:rsidR="0052083E">
        <w:t>. În ceea ce privește planificarea pentru</w:t>
      </w:r>
      <w:r w:rsidR="0052083E">
        <w:rPr>
          <w:b/>
        </w:rPr>
        <w:t xml:space="preserve"> </w:t>
      </w:r>
      <w:r w:rsidR="0052083E">
        <w:t>perioada 2030</w:t>
      </w:r>
      <w:r w:rsidR="0052083E">
        <w:noBreakHyphen/>
        <w:t xml:space="preserve">2050, Guvernul subliniază că Elveția a fost prima țară care a furnizat CSN-ul său, la 27 </w:t>
      </w:r>
      <w:r w:rsidR="0052083E">
        <w:lastRenderedPageBreak/>
        <w:t>februarie 2015</w:t>
      </w:r>
      <w:r w:rsidR="0052083E">
        <w:rPr>
          <w:rStyle w:val="FootnoteReference"/>
        </w:rPr>
        <w:footnoteReference w:id="61"/>
      </w:r>
      <w:r w:rsidR="0052083E">
        <w:t>. Explică faptul că aceasta s-a angajat ca, până în 2030, să își reducă emisiile de GES cu 50%, comparativ cu nivelurile din 1990, și că aceasta reprezenta o reducere medie de 35% în perioada 2021-2030. Adaugă că Elveția a stabilit un obiectiv orientativ de reducere cu 70-85% până în 2050. Atunci când a stabilit aceste obiective, Elveția s-a bazat pe datele științifice disponibile, conținute în special în cel de-al cincilea raport al IPCC (2014)</w:t>
      </w:r>
      <w:r w:rsidR="0052083E">
        <w:rPr>
          <w:rStyle w:val="FootnoteReference"/>
        </w:rPr>
        <w:footnoteReference w:id="62"/>
      </w:r>
      <w:r w:rsidR="0052083E">
        <w:t>. Guvernul afirmă că, în opinia Elveției, angajamentul său de a-și reduce emisiile cu 50% față de 1990, până în 2030, corespunde recomandărilor cuprinse în raportul IPCC, care implică o reducere cu 40-70% a emisiilor globale, comparativ cu nivelurile din 2010, până în 2050. Elveția subliniază, de asemenea, că responsabilitatea sa pentru emisiile de GES este limitată întrucât generează doar aproximativ 0,1% din emisiile globale și că emisiile sale pe cap de locuitor se încadrează în media globală. În plus, potrivit Guvernului, Elveția ia măsuri pentru a reduce emisiile de GES.</w:t>
      </w:r>
    </w:p>
    <w:p w:rsidR="00F47ACE" w:rsidRPr="00472687" w:rsidRDefault="00C71855" w:rsidP="00472687">
      <w:pPr>
        <w:pStyle w:val="JuPara"/>
      </w:pPr>
      <w:fldSimple w:instr=" SEQ level0 \*arabic \* MERGEFORMAT ">
        <w:r w:rsidR="00472687" w:rsidRPr="00472687">
          <w:t>92</w:t>
        </w:r>
      </w:fldSimple>
      <w:r w:rsidR="00B71F73">
        <w:t>. Guvernul declară, de asemenea, că, prin ratificarea Acordului de la Paris, Elveția s-a angajat ferm să își reducă la jumătate emisiile de GES până în 2030 și să le reducă, în medie, cu 35% pe an în perioada 2021-2030, comparativ cu nivelurile din 1990. Adaugă că, în 2017, Consiliul Federal a propus o lege de punere în aplicare a acestui angajament, dar că, deși a fost aprobată de Parlament, aceasta fost respinsă prin referendum la 13 iunie 2021.</w:t>
      </w:r>
    </w:p>
    <w:bookmarkStart w:id="86" w:name="paragraph00093"/>
    <w:p w:rsidR="00F47ACE" w:rsidRPr="00472687" w:rsidRDefault="0052083E" w:rsidP="00472687">
      <w:pPr>
        <w:pStyle w:val="JuPara"/>
      </w:pPr>
      <w:r w:rsidRPr="00472687">
        <w:fldChar w:fldCharType="begin"/>
      </w:r>
      <w:r w:rsidRPr="00472687">
        <w:instrText xml:space="preserve"> SEQ level0 \*arabic </w:instrText>
      </w:r>
      <w:r w:rsidRPr="00472687">
        <w:fldChar w:fldCharType="separate"/>
      </w:r>
      <w:r w:rsidR="00472687" w:rsidRPr="00472687">
        <w:t>93</w:t>
      </w:r>
      <w:r w:rsidRPr="00472687">
        <w:fldChar w:fldCharType="end"/>
      </w:r>
      <w:bookmarkEnd w:id="86"/>
      <w:r>
        <w:t>. Explică faptul că dezbaterile parlamentare privind revizuirea integrală a Legii privind emisiile de CO</w:t>
      </w:r>
      <w:r>
        <w:rPr>
          <w:vertAlign w:val="subscript"/>
        </w:rPr>
        <w:t>2</w:t>
      </w:r>
      <w:r>
        <w:t xml:space="preserve"> au fost amânate și că, prin urmare, în 2019, Parlamentul a decis să efectueze o revizuire parțială a Legii privind emisiile de CO</w:t>
      </w:r>
      <w:r>
        <w:rPr>
          <w:vertAlign w:val="subscript"/>
        </w:rPr>
        <w:t>2</w:t>
      </w:r>
      <w:r>
        <w:t>, în vigoare la acel moment, prelungind termenul pentru măsurile în curs și stabilind un obiectiv de reducere pentru 2021, constând într-o reducere anuală a emisiilor de GES cu 1,5% comparativ cu nivelul lor din 1990. Potrivit Guvernului, obiectivul pentru 2021 a constituit, în special, o bază legală care a permis stabilirea ratei de compensare aplicabile importatorilor de combustibili fosili, precum și a nivelului de creștere a taxei pe CO</w:t>
      </w:r>
      <w:r>
        <w:rPr>
          <w:vertAlign w:val="subscript"/>
        </w:rPr>
        <w:t>2</w:t>
      </w:r>
      <w:r>
        <w:t>. Guvernul adaugă că, în august 2019, Consiliul Federal a decis că, începând cu 2050, Elveția ar trebui să înceteze să emită mai multe GES decât ar putea fi absorbite de rezervoarele naturale de GES și stocate de instalațiile tehnice (obiectivul zero emisii nete)</w:t>
      </w:r>
      <w:r>
        <w:rPr>
          <w:rStyle w:val="FootnoteReference"/>
        </w:rPr>
        <w:footnoteReference w:id="63"/>
      </w:r>
      <w:r>
        <w:t>. Potrivit Guvernului, acest lucru corespundea datelor științifice prezentate în Raportul special pe 2018 al IPCC cu privire la încălzirea globală de 1,5</w:t>
      </w:r>
      <w:r>
        <w:rPr>
          <w:vertAlign w:val="superscript"/>
        </w:rPr>
        <w:t>o</w:t>
      </w:r>
      <w:r>
        <w:t>C (citat anterior). Pe aceeași bază științifică s-au întemeiat obiectivele stabilite în strategia climatică adoptată de Elveția în 2021 (infra, pct. </w:t>
      </w:r>
      <w:r w:rsidRPr="00472687">
        <w:fldChar w:fldCharType="begin"/>
      </w:r>
      <w:r w:rsidRPr="00472687">
        <w:instrText xml:space="preserve">REF paragraph00100 \h \* CharFormat </w:instrText>
      </w:r>
      <w:r w:rsidRPr="00472687">
        <w:fldChar w:fldCharType="separate"/>
      </w:r>
      <w:r w:rsidR="00472687" w:rsidRPr="00472687">
        <w:t>100</w:t>
      </w:r>
      <w:r w:rsidRPr="00472687">
        <w:fldChar w:fldCharType="end"/>
      </w:r>
      <w:r>
        <w:t>).</w:t>
      </w:r>
    </w:p>
    <w:p w:rsidR="00F47ACE" w:rsidRPr="00472687" w:rsidRDefault="0052083E" w:rsidP="00472687">
      <w:pPr>
        <w:pStyle w:val="JuH1"/>
        <w:numPr>
          <w:ilvl w:val="3"/>
          <w:numId w:val="28"/>
        </w:numPr>
      </w:pPr>
      <w:bookmarkStart w:id="87" w:name="_Toc199273429"/>
      <w:r>
        <w:lastRenderedPageBreak/>
        <w:t>Cea de-a doua etapă</w:t>
      </w:r>
      <w:bookmarkEnd w:id="87"/>
    </w:p>
    <w:p w:rsidR="00F47ACE" w:rsidRPr="00472687" w:rsidRDefault="00FD3281" w:rsidP="00472687">
      <w:pPr>
        <w:pStyle w:val="JuPara"/>
      </w:pPr>
      <w:r>
        <w:fldChar w:fldCharType="begin"/>
      </w:r>
      <w:r>
        <w:instrText xml:space="preserve"> SEQ level0 \*arabic </w:instrText>
      </w:r>
      <w:r>
        <w:fldChar w:fldCharType="separate"/>
      </w:r>
      <w:r w:rsidR="00472687" w:rsidRPr="00472687">
        <w:t>94</w:t>
      </w:r>
      <w:r>
        <w:fldChar w:fldCharType="end"/>
      </w:r>
      <w:r w:rsidR="0052083E">
        <w:t>. Guvernul afirmă că, la 25 septembrie 2020, Parlamentul a adoptat o nouă Lege privind emisiile de CO</w:t>
      </w:r>
      <w:r w:rsidR="0052083E">
        <w:rPr>
          <w:vertAlign w:val="subscript"/>
        </w:rPr>
        <w:t>2</w:t>
      </w:r>
      <w:r w:rsidR="0052083E">
        <w:t>, care să permită punerea în aplicare a angajamentelor asumate de Elveția în temeiul Acordului de la Paris și stabilirea de obiective pentru perioada până în 2030 (reducerea emisiilor cu 50% până în 2030 și cu 35% pentru perioada 2021-2030, în ambele cazuri comparativ cu nivelurile din 1990). Acesta precizează că noua lege prevedea un set cuprinzător de măsuri menite să permită atingerea obiectivelor stabilite și că aceasta urma să intre în vigoare la 1 ianuarie 2022, dar a fost respinsă printr-un referendum la 13 iunie 2021.</w:t>
      </w:r>
    </w:p>
    <w:bookmarkStart w:id="88" w:name="paragraph00095"/>
    <w:p w:rsidR="00F47ACE" w:rsidRPr="00472687" w:rsidRDefault="0052083E" w:rsidP="00472687">
      <w:pPr>
        <w:pStyle w:val="JuPara"/>
      </w:pPr>
      <w:r w:rsidRPr="00472687">
        <w:fldChar w:fldCharType="begin"/>
      </w:r>
      <w:r w:rsidRPr="00472687">
        <w:instrText xml:space="preserve"> SEQ level0 \*arabic </w:instrText>
      </w:r>
      <w:r w:rsidRPr="00472687">
        <w:fldChar w:fldCharType="separate"/>
      </w:r>
      <w:r w:rsidR="00472687" w:rsidRPr="00472687">
        <w:t>95</w:t>
      </w:r>
      <w:r w:rsidRPr="00472687">
        <w:fldChar w:fldCharType="end"/>
      </w:r>
      <w:bookmarkEnd w:id="88"/>
      <w:r>
        <w:t>. Explică faptul că, la 17 decembrie 2021, pentru a evita un vid legislativ, Parlamentul a decis să adopte o versiune parțial revizuită a Legii din 2011 privind CO</w:t>
      </w:r>
      <w:r>
        <w:rPr>
          <w:vertAlign w:val="subscript"/>
        </w:rPr>
        <w:t>2</w:t>
      </w:r>
      <w:r>
        <w:rPr>
          <w:rStyle w:val="FootnoteReference"/>
        </w:rPr>
        <w:footnoteReference w:id="64"/>
      </w:r>
      <w:r>
        <w:t xml:space="preserve"> existentă la acel moment, care prevedea, pentru perioada 2021-2024, obiectivul de reducere cu 1,5% pe an, față de nivelul din 1990, cu condiția ca, începând din 2022, maximum un sfert din această reducere să poată fi realizată prin intermediul măsurilor puse în aplicare în străinătate. A precizat că era vorba despre obiective independente de obiectivul de reducere cu 20%, stabilit pentru perioada de până în 2020, și că era probabil ca acestea să necesite modificări suplimentare.</w:t>
      </w:r>
    </w:p>
    <w:p w:rsidR="00F47ACE" w:rsidRPr="00472687" w:rsidRDefault="00FD3281" w:rsidP="00472687">
      <w:pPr>
        <w:pStyle w:val="JuPara"/>
      </w:pPr>
      <w:r>
        <w:fldChar w:fldCharType="begin"/>
      </w:r>
      <w:r>
        <w:instrText xml:space="preserve"> SEQ level0 \*arabic </w:instrText>
      </w:r>
      <w:r>
        <w:fldChar w:fldCharType="separate"/>
      </w:r>
      <w:r w:rsidR="00472687" w:rsidRPr="00472687">
        <w:t>96</w:t>
      </w:r>
      <w:r>
        <w:fldChar w:fldCharType="end"/>
      </w:r>
      <w:r w:rsidR="0052083E">
        <w:t>. Între timp, la 17 septembrie 2021, Consiliul Federal a definit următoarele etape ale politicii Elveției în domeniul climei</w:t>
      </w:r>
      <w:r w:rsidR="0052083E">
        <w:rPr>
          <w:rStyle w:val="FootnoteReference"/>
        </w:rPr>
        <w:footnoteReference w:id="65"/>
      </w:r>
      <w:r w:rsidR="0052083E">
        <w:t>. Scopul acesteia era în special să răspundă îngrijorărilor exprimate în timpul votului popular cu privire la o creștere a costului vieții, în special la o posibilă creștere a prețului benzinei, care au condus la respingerea noii Legi privind CO</w:t>
      </w:r>
      <w:r w:rsidR="0052083E">
        <w:rPr>
          <w:vertAlign w:val="subscript"/>
        </w:rPr>
        <w:t>2</w:t>
      </w:r>
      <w:r w:rsidR="0052083E">
        <w:t>. Prin urmare, Consiliul Federal a stabilit următoarele principii directoare pentru noua legislație: a) menținerea instrumentelor din Legea existentă privind emisiile de CO</w:t>
      </w:r>
      <w:r w:rsidR="0052083E">
        <w:rPr>
          <w:vertAlign w:val="subscript"/>
        </w:rPr>
        <w:t>2</w:t>
      </w:r>
      <w:r w:rsidR="0052083E">
        <w:t>; b) nicio altă taxă; c) asistență financiară suplimentară pentru sectoarele și populația în cauză; și d) dezvoltarea unor combustibili durabili pentru sectorul aviației.</w:t>
      </w:r>
    </w:p>
    <w:bookmarkStart w:id="89" w:name="paragraph00097"/>
    <w:p w:rsidR="00F47ACE" w:rsidRPr="00472687" w:rsidRDefault="0052083E" w:rsidP="00472687">
      <w:pPr>
        <w:pStyle w:val="JuPara"/>
      </w:pPr>
      <w:r w:rsidRPr="00472687">
        <w:fldChar w:fldCharType="begin"/>
      </w:r>
      <w:r w:rsidRPr="00472687">
        <w:instrText xml:space="preserve"> SEQ level0 \*arabic </w:instrText>
      </w:r>
      <w:r w:rsidRPr="00472687">
        <w:fldChar w:fldCharType="separate"/>
      </w:r>
      <w:r w:rsidR="00472687" w:rsidRPr="00472687">
        <w:t>97</w:t>
      </w:r>
      <w:r w:rsidRPr="00472687">
        <w:fldChar w:fldCharType="end"/>
      </w:r>
      <w:bookmarkEnd w:id="89"/>
      <w:r>
        <w:t>. Acesta explică în continuare că, la 17 decembrie 2021, Consiliul Federal a inițiat procesul de consultare în legătură cu revizuirea Legii privind emisiile de CO</w:t>
      </w:r>
      <w:r>
        <w:rPr>
          <w:vertAlign w:val="subscript"/>
        </w:rPr>
        <w:t>2</w:t>
      </w:r>
      <w:r>
        <w:t xml:space="preserve"> pentru perioada de după 2024</w:t>
      </w:r>
      <w:r>
        <w:rPr>
          <w:rStyle w:val="FootnoteReference"/>
        </w:rPr>
        <w:footnoteReference w:id="66"/>
      </w:r>
      <w:r>
        <w:t>. Precizează că acest proces s-a încheiat în aprilie 2022 și că, în luna septembrie a aceluiași an, Consiliul Federal a publicat un comunicat cu privire la această revizuire pentru perioada în cauză</w:t>
      </w:r>
      <w:r>
        <w:rPr>
          <w:rStyle w:val="FootnoteReference"/>
        </w:rPr>
        <w:footnoteReference w:id="67"/>
      </w:r>
      <w:r>
        <w:t>. Menționează că măsurile avute în vedere la momentul respectiv erau următoarele: a) reintroducerea taxei pe CO</w:t>
      </w:r>
      <w:r>
        <w:rPr>
          <w:vertAlign w:val="subscript"/>
        </w:rPr>
        <w:t>2</w:t>
      </w:r>
      <w:r>
        <w:t xml:space="preserve"> și, pentru o </w:t>
      </w:r>
      <w:r>
        <w:lastRenderedPageBreak/>
        <w:t>anumită perioadă, o creștere a ajutoarelor acordate pentru protecția climei; b) acordarea de sprijin financiar pentru instalațiile de biogaz și încurajarea planificării energetice în comune; c) reducerea valorilor-țintă ale emisiilor de CO</w:t>
      </w:r>
      <w:r>
        <w:rPr>
          <w:vertAlign w:val="subscript"/>
        </w:rPr>
        <w:t>2</w:t>
      </w:r>
      <w:r>
        <w:t xml:space="preserve"> aplicabile vehiculelor noi, în cooperare cu Uniunea Europeană; d) introducerea unor măsuri de protecție a climei în sectorul transporturilor; e) dezvoltarea unor combustibili durabili pentru sectorul aviației, în coordonare cu Uniunea Europeană; f) creșterea la 90% a ponderii din emisii pe care importatorii de benzină sunt obligați să o compenseze (măsuri de compensare în Elveția și în străinătate); g) introducerea posibilității de scutire de taxa pe CO</w:t>
      </w:r>
      <w:r>
        <w:rPr>
          <w:vertAlign w:val="subscript"/>
        </w:rPr>
        <w:t>2</w:t>
      </w:r>
      <w:r>
        <w:t xml:space="preserve"> a întreprinderilor care sunt dispuse să pună în aplicare măsuri compensatorii adecvate; și h) introducerea obligației ca autoritățile de supraveghere financiară să examineze riscurile legate de schimbările climatice. Guvernul subliniază că toate aceste măsuri, combinate cu utilizarea de tehnologii inovatoare, ar trebui să permită Elveției să își mențină obiectivul de reducere cu 50% a emisiilor până în 2030. Consiliul Federal - adăugă acesta - a apreciat că măsurile puse în aplicare în Elveția ar trebui să conducă la o reducere a emisiilor cu aproximativ 34%. Precizează că procesul legislativ în vederea adoptării acestei legi este în curs de desfășurare.</w:t>
      </w:r>
    </w:p>
    <w:p w:rsidR="00F47ACE" w:rsidRPr="00472687" w:rsidRDefault="00FD3281" w:rsidP="00472687">
      <w:pPr>
        <w:pStyle w:val="JuPara"/>
      </w:pPr>
      <w:r>
        <w:fldChar w:fldCharType="begin"/>
      </w:r>
      <w:r>
        <w:instrText xml:space="preserve"> SEQ level0 \*arabic </w:instrText>
      </w:r>
      <w:r>
        <w:fldChar w:fldCharType="separate"/>
      </w:r>
      <w:r w:rsidR="00472687" w:rsidRPr="00472687">
        <w:t>98</w:t>
      </w:r>
      <w:r>
        <w:fldChar w:fldCharType="end"/>
      </w:r>
      <w:r w:rsidR="0052083E">
        <w:t xml:space="preserve">. Guvernul subliniază că în legislația națională au existat și alte evoluții în legătură cu inițiativele populare de combatere a schimbărilor climatice, în special </w:t>
      </w:r>
      <w:r w:rsidR="0052083E">
        <w:rPr>
          <w:i/>
          <w:iCs/>
        </w:rPr>
        <w:t>Initiative pour les glaciers</w:t>
      </w:r>
      <w:r w:rsidR="0052083E">
        <w:t>, care viza includerea în Constituție, până în 2050, a unei interdicții privind emisiile de GES. Cu toate acestea, Consiliul Federal s-a opus anumitor aspecte ale acestei inițiative, considerând că aceasta mergea prea departe și, la 11 august 2021, acesta a făcut o contrapropunere legislativă, considerând că era mai adecvat să se introducă o obligație de reducere a consumului de combustibili fosili, cu excepția unor circumstanțe excepționale (de exemplu, atunci când acest consum este necesar pentru serviciile militare, polițienești sau alte servicii de securitate).</w:t>
      </w:r>
    </w:p>
    <w:bookmarkStart w:id="90" w:name="paragraph00099"/>
    <w:p w:rsidR="00F47ACE" w:rsidRPr="00472687" w:rsidRDefault="0052083E" w:rsidP="00472687">
      <w:pPr>
        <w:pStyle w:val="JuPara"/>
      </w:pPr>
      <w:r w:rsidRPr="00472687">
        <w:fldChar w:fldCharType="begin"/>
      </w:r>
      <w:r w:rsidRPr="00472687">
        <w:instrText xml:space="preserve"> SEQ level0 \*arabic </w:instrText>
      </w:r>
      <w:r w:rsidRPr="00472687">
        <w:fldChar w:fldCharType="separate"/>
      </w:r>
      <w:r w:rsidR="00472687" w:rsidRPr="00472687">
        <w:t>99</w:t>
      </w:r>
      <w:r w:rsidRPr="00472687">
        <w:fldChar w:fldCharType="end"/>
      </w:r>
      <w:bookmarkEnd w:id="90"/>
      <w:r>
        <w:t>. Guvernul subliniază că, la 30 septembrie 2022, Parlamentul a adoptat, în cele din urmă, Legea privind protecția climei, inovarea și consolidarea securității energetice („Legea privind clima”)</w:t>
      </w:r>
      <w:r>
        <w:rPr>
          <w:rStyle w:val="FootnoteReference"/>
        </w:rPr>
        <w:footnoteReference w:id="68"/>
      </w:r>
      <w:r>
        <w:t xml:space="preserve"> și că acest text a instituit principiul referitor la obiectivul zero emisii nete, care trebuie atins până în 2050. Acesta precizează că legea în cauză a fost aprobată în urma unui vot popular organizat în 18 iunie 2023, că prevede obiective intermediare pentru 2040 (reducerea cu 75% față de 1990), pentru perioada 2031-2040 (o reducere medie de 64%) și pentru perioada 2041-2050 (o reducere medie de 89%) și că stabilește, de asemenea, valori orientative pentru reducerea emisiilor în sectoarele construcțiilor, transporturilor și industrial pentru anii 2040 și 2050. A fost deja alocat un buget semnificativ pentru atingerea obiectivelor prevăzute de această lege.</w:t>
      </w:r>
    </w:p>
    <w:bookmarkStart w:id="91" w:name="paragraph00100"/>
    <w:p w:rsidR="00F47ACE" w:rsidRPr="00472687" w:rsidRDefault="0052083E" w:rsidP="00472687">
      <w:pPr>
        <w:pStyle w:val="JuPara"/>
      </w:pPr>
      <w:r w:rsidRPr="00472687">
        <w:lastRenderedPageBreak/>
        <w:fldChar w:fldCharType="begin"/>
      </w:r>
      <w:r w:rsidRPr="00472687">
        <w:instrText xml:space="preserve"> SEQ level0 \*arabic </w:instrText>
      </w:r>
      <w:r w:rsidRPr="00472687">
        <w:fldChar w:fldCharType="separate"/>
      </w:r>
      <w:r w:rsidR="00472687" w:rsidRPr="00472687">
        <w:t>100</w:t>
      </w:r>
      <w:r w:rsidRPr="00472687">
        <w:fldChar w:fldCharType="end"/>
      </w:r>
      <w:bookmarkEnd w:id="91"/>
      <w:r>
        <w:t>. Guvernul afirmă că Legea privind clima corespunde strategiei climatice pentru 2050, pe care Consiliul Federal a stabilit-o în ianuarie 2021</w:t>
      </w:r>
      <w:r>
        <w:rPr>
          <w:rStyle w:val="FootnoteReference"/>
        </w:rPr>
        <w:footnoteReference w:id="69"/>
      </w:r>
      <w:r>
        <w:t>, și anume, cu câteva luni înainte de publicarea celui de-al șaselea raport al IPCC</w:t>
      </w:r>
      <w:r>
        <w:rPr>
          <w:rStyle w:val="FootnoteReference"/>
        </w:rPr>
        <w:footnoteReference w:id="70"/>
      </w:r>
      <w:r>
        <w:t>. Apreciază că, prin adoptarea acestei strategii, Elveția și-a îndeplinit – desigur, cu o lună mai târziu – angajamentele asumate în temeiul Acordului de la Paris, arătând că și-ar putea reduce emisiile de GES cu aproape 90% până în 2050. Potrivit Guvernului, până în 2050, sectorul construcțiilor și cel al transporturilor și-ar putea reduce emisiile, iar sectorul industrial și-ar putea elimina emisiile generate de consumul de energie; în sectorul agricol, ar fi posibilă, de asemenea, o reducere a emisiilor cu cel puțin 40% față de nivelurile din 1990.</w:t>
      </w:r>
    </w:p>
    <w:p w:rsidR="00F47ACE" w:rsidRPr="00472687" w:rsidRDefault="00FD3281" w:rsidP="00472687">
      <w:pPr>
        <w:pStyle w:val="JuPara"/>
      </w:pPr>
      <w:r>
        <w:fldChar w:fldCharType="begin"/>
      </w:r>
      <w:r>
        <w:instrText xml:space="preserve"> SEQ level0 \*arabic </w:instrText>
      </w:r>
      <w:r>
        <w:fldChar w:fldCharType="separate"/>
      </w:r>
      <w:r w:rsidR="00472687" w:rsidRPr="00472687">
        <w:t>101</w:t>
      </w:r>
      <w:r>
        <w:fldChar w:fldCharType="end"/>
      </w:r>
      <w:r w:rsidR="0052083E">
        <w:t>. În ceea ce privește măsurile de adaptare, Guvernul precizează că, în august 2020, pe baza evaluărilor preliminare ale situației, Consiliul Federal a adoptat cel de-al doilea plan de adaptare la schimbările climatice.</w:t>
      </w:r>
      <w:r w:rsidR="0052083E">
        <w:rPr>
          <w:rStyle w:val="FootnoteReference"/>
        </w:rPr>
        <w:footnoteReference w:id="71"/>
      </w:r>
      <w:r w:rsidR="0052083E">
        <w:t xml:space="preserve"> Menționează că principala noutate a acestui plan a fost instituirea măsurii de „prevenire a stresului termic”, menită să protejeze populația, în special lucrătorii, împotriva căldurii. Adaugă că au fost luate diverse alte măsuri pentru a face față efectelor nefaste ale valurilor de caniculă. În plus, în prezent, Elveția pregătește următorul său plan de adaptare la schimbările climatice, pentru perioada de după 2025.</w:t>
      </w:r>
    </w:p>
    <w:bookmarkStart w:id="92" w:name="paragraph00102"/>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102</w:t>
      </w:r>
      <w:r w:rsidRPr="00472687">
        <w:fldChar w:fldCharType="end"/>
      </w:r>
      <w:bookmarkEnd w:id="92"/>
      <w:r>
        <w:t>. La nivel internațional, Guvernul afirmă că, la 9 decembrie 2020, Elveția și-a prezentat noul CSN, în care a fost stabilit obiectivul de reducere a emisiilor de GES cu cel puțin 50% până în 2030, comparativ cu nivelurile din 1990. Evidențiază că, în comparație cu obiectivul anunțat în 2015, cel din 2020 se caracterizează prin următoarele elemente: reducerea avută în vedere a crescut de la 50% la cel puțin 50%, iar obiectivul orientativ de reducere a fost majorat de la 70% la 85% până în 2050, fiind completat de obiectivul privind asigurarea neutralității emisiilor de GES până în 2050.</w:t>
      </w:r>
      <w:r>
        <w:rPr>
          <w:rStyle w:val="FootnoteReference"/>
        </w:rPr>
        <w:footnoteReference w:id="72"/>
      </w:r>
      <w:r>
        <w:t xml:space="preserve"> În cele din urmă, Guvernul declară că Elveția a informat în mod corespunzător părțile la Acordul de la Paris cu privire la evoluțiile de la nivel național.</w:t>
      </w:r>
    </w:p>
    <w:p w:rsidR="00F47ACE" w:rsidRPr="00472687" w:rsidRDefault="0052083E" w:rsidP="00472687">
      <w:pPr>
        <w:pStyle w:val="JuHA"/>
        <w:numPr>
          <w:ilvl w:val="2"/>
          <w:numId w:val="28"/>
        </w:numPr>
      </w:pPr>
      <w:bookmarkStart w:id="93" w:name="_Toc149127505"/>
      <w:bookmarkStart w:id="94" w:name="_Toc158019684"/>
      <w:bookmarkStart w:id="95" w:name="_Toc199273430"/>
      <w:r>
        <w:t>Fapte legate de schimbările climatice care reies din elementele de care dispune Curtea</w:t>
      </w:r>
      <w:bookmarkEnd w:id="93"/>
      <w:bookmarkEnd w:id="94"/>
      <w:bookmarkEnd w:id="95"/>
    </w:p>
    <w:p w:rsidR="00F47ACE" w:rsidRPr="00472687" w:rsidRDefault="00FD3281" w:rsidP="00472687">
      <w:pPr>
        <w:pStyle w:val="JuPara"/>
      </w:pPr>
      <w:r>
        <w:fldChar w:fldCharType="begin"/>
      </w:r>
      <w:r>
        <w:instrText xml:space="preserve"> SEQ level0 \*arabic </w:instrText>
      </w:r>
      <w:r>
        <w:fldChar w:fldCharType="separate"/>
      </w:r>
      <w:r w:rsidR="00472687" w:rsidRPr="00472687">
        <w:t>103</w:t>
      </w:r>
      <w:r>
        <w:fldChar w:fldCharType="end"/>
      </w:r>
      <w:r w:rsidR="0052083E">
        <w:t>. În vederea examinării prezentei cauze și ținând seama de celelalte două cauze care sunt în curs de examinare de către Marea Cameră (supra, pct. </w:t>
      </w:r>
      <w:r w:rsidR="0052083E" w:rsidRPr="00472687">
        <w:fldChar w:fldCharType="begin"/>
      </w:r>
      <w:r w:rsidR="0052083E" w:rsidRPr="00472687">
        <w:instrText xml:space="preserve">REF paragraph00005 \h \* CharFormat </w:instrText>
      </w:r>
      <w:r w:rsidR="0052083E" w:rsidRPr="00472687">
        <w:fldChar w:fldCharType="separate"/>
      </w:r>
      <w:r w:rsidR="00472687" w:rsidRPr="00472687">
        <w:t>5</w:t>
      </w:r>
      <w:r w:rsidR="0052083E" w:rsidRPr="00472687">
        <w:fldChar w:fldCharType="end"/>
      </w:r>
      <w:r w:rsidR="0052083E">
        <w:t xml:space="preserve">) și cu privire la care Curtea se pronunță la aceeași dată ca și în prezenta cauză, precum și de alte cauze pendinte în cadrul unei Camere, Curtea </w:t>
      </w:r>
      <w:r w:rsidR="0052083E">
        <w:lastRenderedPageBreak/>
        <w:t>consideră necesar să evidențieze aspectele prezentate în continuare, care rezultă din elementele de care dispune.</w:t>
      </w:r>
    </w:p>
    <w:bookmarkStart w:id="96" w:name="paragraph00104"/>
    <w:p w:rsidR="00F47ACE" w:rsidRPr="00472687" w:rsidRDefault="0052083E" w:rsidP="00472687">
      <w:pPr>
        <w:pStyle w:val="JuPara"/>
      </w:pPr>
      <w:r w:rsidRPr="00472687">
        <w:fldChar w:fldCharType="begin"/>
      </w:r>
      <w:r w:rsidRPr="00472687">
        <w:instrText xml:space="preserve"> SEQ level0 \*arabic </w:instrText>
      </w:r>
      <w:r w:rsidRPr="00472687">
        <w:fldChar w:fldCharType="separate"/>
      </w:r>
      <w:r w:rsidR="00472687" w:rsidRPr="00472687">
        <w:t>104</w:t>
      </w:r>
      <w:r w:rsidRPr="00472687">
        <w:fldChar w:fldCharType="end"/>
      </w:r>
      <w:bookmarkEnd w:id="96"/>
      <w:r>
        <w:t>. Încă din 1992, când existau mai puține dovezi și cunoștințe</w:t>
      </w:r>
      <w:r>
        <w:rPr>
          <w:b/>
        </w:rPr>
        <w:t xml:space="preserve"> </w:t>
      </w:r>
      <w:r>
        <w:t>științifice decât în prezent, în preambulul Convenției</w:t>
      </w:r>
      <w:r>
        <w:noBreakHyphen/>
        <w:t>cadru a Națiunilor Unite asupra schimbărilor climatice (UNFCCC - United Nations Framework Convention on Climate Change)</w:t>
      </w:r>
      <w:r>
        <w:rPr>
          <w:rStyle w:val="FootnoteReference"/>
        </w:rPr>
        <w:footnoteReference w:id="73"/>
      </w:r>
      <w:r>
        <w:t xml:space="preserve"> se afirma că „activitatea omenească a făcut să crească sensibil concentrațiile de [GES] [în atmosferă], că această creștere intensifică efectul de seră natural și că va rezulta, în medie, o încălzire suplimentară a suprafeței terestre și a atmosferei, pe care riscă să o suporte ecosistemele naturale și omenirea”. Această constatare a fost dezvoltată în cursul operaționalizării - prin adoptarea Protocolului de la Kyoto din 1997 (inclusiv a Amendamentului de la Doha) și a Acordului de la Paris din 2015 - a angajamentelor asumate în cadrul UNFCCC, un tratat internațional privind schimbările climatice, care are caracter obligatoriu din punct de vedere juridic. Astfel, în preambulul Acordului de la Paris se recunoaște, în special, că „schimbările climatice sunt o preocupare comună a omenirii, în momentul luării măsurilor de abordare a schimbărilor climatice, părțile ar trebui să respecte, să promoveze și să ia în considerare obligațiile care le revin privind drepturile omului, dreptul la sănătate, drepturile popoarelor indigene, ale comunităților locale, ale migranților, ale copiilor, ale persoanelor cu handicap și ale persoanelor în situații vulnerabile și dreptul la dezvoltare, precum și egalitatea de gen, emanciparea femeilor și egalitatea între generații”.</w:t>
      </w:r>
    </w:p>
    <w:p w:rsidR="00F47ACE" w:rsidRPr="00472687" w:rsidRDefault="00FD3281" w:rsidP="00472687">
      <w:pPr>
        <w:pStyle w:val="JuPara"/>
      </w:pPr>
      <w:r>
        <w:fldChar w:fldCharType="begin"/>
      </w:r>
      <w:r>
        <w:instrText xml:space="preserve"> SEQ level0 \*arabic </w:instrText>
      </w:r>
      <w:r>
        <w:fldChar w:fldCharType="separate"/>
      </w:r>
      <w:r w:rsidR="00472687" w:rsidRPr="00472687">
        <w:t>105</w:t>
      </w:r>
      <w:r>
        <w:fldChar w:fldCharType="end"/>
      </w:r>
      <w:r w:rsidR="0052083E">
        <w:t>. Mai recent, în 2021, preocupările exprimate în Acordul de la Paris au fost reafirmate în Pactul climatic de la Glasgow</w:t>
      </w:r>
      <w:r w:rsidR="0052083E">
        <w:rPr>
          <w:rStyle w:val="FootnoteReference"/>
        </w:rPr>
        <w:footnoteReference w:id="74"/>
      </w:r>
      <w:r w:rsidR="0052083E">
        <w:t>, în cadrul căruia Conferința părților (COP) s-a declarat „extrem de preocupată” de încălzirea globală cauzată de activitățile umane; în plus, Acordul de la Paris a fost aprobat, de asemenea, în cadrul Planului de punere în aplicare de la Sharm el-Sheikh, la Conferința COP27 din 2022, iar în 2023 au fost formulate concluzii similare, în cadrul Deciziei COP28 (infra, pct. </w:t>
      </w:r>
      <w:r w:rsidR="0052083E" w:rsidRPr="00472687">
        <w:fldChar w:fldCharType="begin"/>
      </w:r>
      <w:r w:rsidR="0052083E" w:rsidRPr="00472687">
        <w:instrText xml:space="preserve">REF paragraph00140 \h \* CharFormat </w:instrText>
      </w:r>
      <w:r w:rsidR="0052083E" w:rsidRPr="00472687">
        <w:fldChar w:fldCharType="separate"/>
      </w:r>
      <w:r w:rsidR="00472687" w:rsidRPr="00472687">
        <w:t>140</w:t>
      </w:r>
      <w:r w:rsidR="0052083E" w:rsidRPr="00472687">
        <w:fldChar w:fldCharType="end"/>
      </w:r>
      <w:r w:rsidR="0052083E">
        <w:t>) La rândul său, UE a recunoscut, în Legea europeană a climei, „amenințarea existențială pe care o prezintă schimbările climatice” și a subliniat că această amenințare „impune un nivel de ambiție mai ridicat și o intensificare a acțiunilor climatice ale Uniunii și ale statelor membre”. O poziție similară a fost exprimată în diferitele inițiative și instrumente adoptate sub egida ONU, cu ocazia evenimentelor recente legate de schimbările climatice, în special în ceea ce privește recunoașterea unui drept fundamental la un mediu curat, sănătos și durabil (Rezoluția 76/300 a Adunării Generale a Organizației Națiunilor Unite</w:t>
      </w:r>
      <w:r w:rsidR="0052083E">
        <w:rPr>
          <w:rStyle w:val="FootnoteReference"/>
        </w:rPr>
        <w:footnoteReference w:id="75"/>
      </w:r>
      <w:r w:rsidR="0052083E">
        <w:t>).</w:t>
      </w:r>
    </w:p>
    <w:p w:rsidR="00F47ACE" w:rsidRPr="00472687" w:rsidRDefault="00FD3281" w:rsidP="00472687">
      <w:pPr>
        <w:pStyle w:val="JuPara"/>
      </w:pPr>
      <w:r>
        <w:lastRenderedPageBreak/>
        <w:fldChar w:fldCharType="begin"/>
      </w:r>
      <w:r>
        <w:instrText xml:space="preserve"> SEQ level0 \*arabic </w:instrText>
      </w:r>
      <w:r>
        <w:fldChar w:fldCharType="separate"/>
      </w:r>
      <w:r w:rsidR="00472687" w:rsidRPr="00472687">
        <w:t>106</w:t>
      </w:r>
      <w:r>
        <w:fldChar w:fldCharType="end"/>
      </w:r>
      <w:r w:rsidR="0052083E">
        <w:t>. În plus, Curtea observă că, prin definirea obiectivelor Acordului de la Paris, statele au formulat și au acceptat obiectivul primordial de a menține creșterea temperaturii medii globale „cu mult sub 2°C peste nivelurile preindustriale și [de a continua eforturile] de limitare a creșterii temperaturii la 1,5°C peste nivelurile preindustriale”, recunoscând că astfel s-ar reduce în mod semnificativ riscurile și efectele schimbărilor climatice [articolul 2 alineatul (1) litera (a)]. De atunci, cunoștințele științifice au continuat să progreseze, iar statele au apreciat că „efectele schimbărilor climatice vor fi mult mai scăzute dacă temperatura crește cu 1,5</w:t>
      </w:r>
      <w:r w:rsidR="0052083E">
        <w:rPr>
          <w:vertAlign w:val="superscript"/>
        </w:rPr>
        <w:t>o</w:t>
      </w:r>
      <w:r w:rsidR="0052083E">
        <w:t>C și nu cu 2</w:t>
      </w:r>
      <w:r w:rsidR="0052083E">
        <w:rPr>
          <w:vertAlign w:val="superscript"/>
        </w:rPr>
        <w:t>o</w:t>
      </w:r>
      <w:r w:rsidR="0052083E">
        <w:t>C” și, prin urmare, au decis „să continue eforturile de limitare a creșterii temperaturii la 1,5</w:t>
      </w:r>
      <w:r w:rsidR="0052083E">
        <w:rPr>
          <w:vertAlign w:val="superscript"/>
        </w:rPr>
        <w:t>o</w:t>
      </w:r>
      <w:r w:rsidR="0052083E">
        <w:t>C” (Pactul climatic de la Glasgow, pct. 21, și Planul de punere în aplicare de la Sharm el-Sheikh, pct. 4).</w:t>
      </w:r>
    </w:p>
    <w:bookmarkStart w:id="98" w:name="paragraph00107"/>
    <w:p w:rsidR="00F47ACE" w:rsidRPr="00472687" w:rsidRDefault="0052083E" w:rsidP="00472687">
      <w:pPr>
        <w:pStyle w:val="JuPara"/>
      </w:pPr>
      <w:r w:rsidRPr="00472687">
        <w:fldChar w:fldCharType="begin"/>
      </w:r>
      <w:r w:rsidRPr="00472687">
        <w:instrText xml:space="preserve"> SEQ level0 \*arabic </w:instrText>
      </w:r>
      <w:r w:rsidRPr="00472687">
        <w:fldChar w:fldCharType="separate"/>
      </w:r>
      <w:r w:rsidR="00472687" w:rsidRPr="00472687">
        <w:t>107</w:t>
      </w:r>
      <w:r w:rsidRPr="00472687">
        <w:fldChar w:fldCharType="end"/>
      </w:r>
      <w:bookmarkEnd w:id="98"/>
      <w:r>
        <w:t>. Într-adevăr, în această privință, în decizia sa de adoptare a Acordului de la Paris, Conferința părților la UNFCCC a invitat IPCC, în 2018, să prezinte un raport special privind consecințele încălzirii globale cu peste 1,5</w:t>
      </w:r>
      <w:r>
        <w:rPr>
          <w:vertAlign w:val="superscript"/>
        </w:rPr>
        <w:t>o</w:t>
      </w:r>
      <w:r>
        <w:t>C peste nivelurile preindustriale și traiectoriile conexe de evoluție a emisiilor globale de GES (1/CP.21, pct. 21). În raportul în cauză – Raportul special pe 2018 intitulat „Încălzirea globală cu 1,5</w:t>
      </w:r>
      <w:r>
        <w:rPr>
          <w:vertAlign w:val="superscript"/>
        </w:rPr>
        <w:t>o</w:t>
      </w:r>
      <w:r>
        <w:t>C” (citat anterior) – IPCC constată că, în 2017, încălzirea globală antropică a depășit nivelurile preindustriale cu aproximativ 1</w:t>
      </w:r>
      <w:r>
        <w:rPr>
          <w:vertAlign w:val="superscript"/>
        </w:rPr>
        <w:t>o</w:t>
      </w:r>
      <w:r>
        <w:t>C (perioada 1850-1900) și că aceasta crește cu 0,2</w:t>
      </w:r>
      <w:r>
        <w:rPr>
          <w:vertAlign w:val="superscript"/>
        </w:rPr>
        <w:t>o</w:t>
      </w:r>
      <w:r>
        <w:t>C pe deceniu (</w:t>
      </w:r>
      <w:r>
        <w:rPr>
          <w:i/>
          <w:iCs/>
        </w:rPr>
        <w:t xml:space="preserve">grad </w:t>
      </w:r>
      <w:r>
        <w:rPr>
          <w:i/>
        </w:rPr>
        <w:t>ridicat</w:t>
      </w:r>
      <w:r>
        <w:t xml:space="preserve"> </w:t>
      </w:r>
      <w:r>
        <w:rPr>
          <w:i/>
          <w:iCs/>
        </w:rPr>
        <w:t>de</w:t>
      </w:r>
      <w:r>
        <w:t xml:space="preserve"> </w:t>
      </w:r>
      <w:r>
        <w:rPr>
          <w:i/>
        </w:rPr>
        <w:t>încredere</w:t>
      </w:r>
      <w:r>
        <w:t>). Prin urmare, raportul consideră că adoptarea unor măsuri ambițioase de atenuare este indispensabilă pentru a limita încălzirea la 1,5</w:t>
      </w:r>
      <w:r>
        <w:rPr>
          <w:vertAlign w:val="superscript"/>
        </w:rPr>
        <w:t>o</w:t>
      </w:r>
      <w:r>
        <w:t>C</w:t>
      </w:r>
      <w:r>
        <w:rPr>
          <w:rStyle w:val="FootnoteReference"/>
        </w:rPr>
        <w:footnoteReference w:id="76"/>
      </w:r>
      <w:r>
        <w:t>. Raportul constată, de asemenea, că, potrivit previziunilor, este de așteptat ca orice creștere a încălzirii globale (de exemplu, 0,5</w:t>
      </w:r>
      <w:r>
        <w:rPr>
          <w:vertAlign w:val="superscript"/>
        </w:rPr>
        <w:t>o</w:t>
      </w:r>
      <w:r>
        <w:t>C) să afecteze sănătatea umană, având în principal consecințe negative (</w:t>
      </w:r>
      <w:r>
        <w:rPr>
          <w:i/>
          <w:iCs/>
        </w:rPr>
        <w:t xml:space="preserve">grad </w:t>
      </w:r>
      <w:r>
        <w:rPr>
          <w:i/>
        </w:rPr>
        <w:t>ridicat</w:t>
      </w:r>
      <w:r>
        <w:t xml:space="preserve"> </w:t>
      </w:r>
      <w:r>
        <w:rPr>
          <w:i/>
          <w:iCs/>
        </w:rPr>
        <w:t>de</w:t>
      </w:r>
      <w:r>
        <w:t xml:space="preserve"> </w:t>
      </w:r>
      <w:r>
        <w:rPr>
          <w:i/>
        </w:rPr>
        <w:t>încredere</w:t>
      </w:r>
      <w:r>
        <w:t>). Acesta menționează că se apreciază că riscurile ar trebui să fie mai reduse în cazul limitării încălzirii la 1,5</w:t>
      </w:r>
      <w:r>
        <w:rPr>
          <w:vertAlign w:val="superscript"/>
        </w:rPr>
        <w:t>o</w:t>
      </w:r>
      <w:r>
        <w:t>C decât în cazul limitării la 2</w:t>
      </w:r>
      <w:r>
        <w:rPr>
          <w:vertAlign w:val="superscript"/>
        </w:rPr>
        <w:t>o</w:t>
      </w:r>
      <w:r>
        <w:t>C, în ceea ce privește morbiditatea și mortalitatea legate de căldură (</w:t>
      </w:r>
      <w:r>
        <w:rPr>
          <w:i/>
          <w:iCs/>
        </w:rPr>
        <w:t xml:space="preserve">grad </w:t>
      </w:r>
      <w:r>
        <w:rPr>
          <w:i/>
        </w:rPr>
        <w:t>ridicat</w:t>
      </w:r>
      <w:r>
        <w:t xml:space="preserve"> </w:t>
      </w:r>
      <w:r>
        <w:rPr>
          <w:i/>
          <w:iCs/>
        </w:rPr>
        <w:t>de</w:t>
      </w:r>
      <w:r>
        <w:t xml:space="preserve"> </w:t>
      </w:r>
      <w:r>
        <w:rPr>
          <w:i/>
        </w:rPr>
        <w:t>încredere</w:t>
      </w:r>
      <w:r>
        <w:t>) și mortalitatea legată de ozon, dacă emisiile necesare pentru formarea ozonului rămân ridicate (</w:t>
      </w:r>
      <w:r>
        <w:rPr>
          <w:i/>
          <w:iCs/>
        </w:rPr>
        <w:t xml:space="preserve">grad </w:t>
      </w:r>
      <w:r>
        <w:rPr>
          <w:i/>
        </w:rPr>
        <w:t>ridicat</w:t>
      </w:r>
      <w:r>
        <w:t xml:space="preserve"> </w:t>
      </w:r>
      <w:r>
        <w:rPr>
          <w:i/>
          <w:iCs/>
        </w:rPr>
        <w:t>de</w:t>
      </w:r>
      <w:r>
        <w:t xml:space="preserve"> </w:t>
      </w:r>
      <w:r>
        <w:rPr>
          <w:i/>
        </w:rPr>
        <w:t>încredere</w:t>
      </w:r>
      <w:r>
        <w:t>)</w:t>
      </w:r>
      <w:r>
        <w:rPr>
          <w:rStyle w:val="FootnoteReference"/>
        </w:rPr>
        <w:footnoteReference w:id="77"/>
      </w:r>
      <w:r>
        <w:t>.</w:t>
      </w:r>
    </w:p>
    <w:p w:rsidR="00F47ACE" w:rsidRPr="00472687" w:rsidRDefault="00FD3281" w:rsidP="00472687">
      <w:pPr>
        <w:pStyle w:val="JuPara"/>
      </w:pPr>
      <w:r>
        <w:fldChar w:fldCharType="begin"/>
      </w:r>
      <w:r>
        <w:instrText xml:space="preserve"> SEQ level0 \*a</w:instrText>
      </w:r>
      <w:r>
        <w:instrText xml:space="preserve">rabic </w:instrText>
      </w:r>
      <w:r>
        <w:fldChar w:fldCharType="separate"/>
      </w:r>
      <w:r w:rsidR="00472687" w:rsidRPr="00472687">
        <w:t>108</w:t>
      </w:r>
      <w:r>
        <w:fldChar w:fldCharType="end"/>
      </w:r>
      <w:r w:rsidR="0052083E">
        <w:t>. În plus, raportul constată cu deosebită îngrijorare că, pe baza angajamentelor privind emisiile asumate la momentul respectiv în temeiul Acordului de la Paris (CSN-urile), se preconizează că încălzirea globală va depăși cu 1,5</w:t>
      </w:r>
      <w:r w:rsidR="0052083E">
        <w:rPr>
          <w:vertAlign w:val="superscript"/>
        </w:rPr>
        <w:t>o</w:t>
      </w:r>
      <w:r w:rsidR="0052083E">
        <w:t>C nivelurile preindustriale, chiar dacă măsurile anunțate sunt completate de o ajustare, foarte dificil de realizat, în sensul creșterii amplorii și nivelului ambiției de atenuare a schimbărilor climatice, după 2030 (</w:t>
      </w:r>
      <w:r w:rsidR="0052083E">
        <w:rPr>
          <w:i/>
          <w:iCs/>
        </w:rPr>
        <w:t xml:space="preserve">grad </w:t>
      </w:r>
      <w:r w:rsidR="0052083E">
        <w:rPr>
          <w:i/>
        </w:rPr>
        <w:t>ridicat</w:t>
      </w:r>
      <w:r w:rsidR="0052083E">
        <w:t xml:space="preserve"> </w:t>
      </w:r>
      <w:r w:rsidR="0052083E">
        <w:rPr>
          <w:i/>
          <w:iCs/>
        </w:rPr>
        <w:t>de</w:t>
      </w:r>
      <w:r w:rsidR="0052083E">
        <w:t xml:space="preserve"> </w:t>
      </w:r>
      <w:r w:rsidR="0052083E">
        <w:rPr>
          <w:i/>
        </w:rPr>
        <w:t>încredere</w:t>
      </w:r>
      <w:r w:rsidR="0052083E">
        <w:t>). Prin urmare, raportul afirmă că obiectivul zero emisii nete de CO</w:t>
      </w:r>
      <w:r w:rsidR="0052083E">
        <w:rPr>
          <w:vertAlign w:val="subscript"/>
        </w:rPr>
        <w:t>2</w:t>
      </w:r>
      <w:r w:rsidR="0052083E">
        <w:t xml:space="preserve"> ar trebui atins în mai puțin de 15 ani și că un nivel redus de emisii de GES în 2030 ar asigura o probabilitate mai mare de menținere a nivelului maxim de încălzire la 1,5</w:t>
      </w:r>
      <w:r w:rsidR="0052083E">
        <w:rPr>
          <w:vertAlign w:val="superscript"/>
        </w:rPr>
        <w:t>o</w:t>
      </w:r>
      <w:r w:rsidR="0052083E">
        <w:t>C (</w:t>
      </w:r>
      <w:r w:rsidR="0052083E">
        <w:rPr>
          <w:i/>
          <w:iCs/>
        </w:rPr>
        <w:t xml:space="preserve">grad </w:t>
      </w:r>
      <w:r w:rsidR="0052083E">
        <w:rPr>
          <w:i/>
        </w:rPr>
        <w:t>ridicat</w:t>
      </w:r>
      <w:r w:rsidR="0052083E">
        <w:t xml:space="preserve"> </w:t>
      </w:r>
      <w:r w:rsidR="0052083E">
        <w:rPr>
          <w:i/>
          <w:iCs/>
        </w:rPr>
        <w:t>de</w:t>
      </w:r>
      <w:r w:rsidR="0052083E">
        <w:t xml:space="preserve"> </w:t>
      </w:r>
      <w:r w:rsidR="0052083E">
        <w:rPr>
          <w:i/>
        </w:rPr>
        <w:t>încredere</w:t>
      </w:r>
      <w:r w:rsidR="0052083E">
        <w:t xml:space="preserve">). Precizează în special </w:t>
      </w:r>
      <w:r w:rsidR="0052083E">
        <w:lastRenderedPageBreak/>
        <w:t>că limitarea încălzirii la 1,5</w:t>
      </w:r>
      <w:r w:rsidR="0052083E">
        <w:rPr>
          <w:vertAlign w:val="superscript"/>
        </w:rPr>
        <w:t>o</w:t>
      </w:r>
      <w:r w:rsidR="0052083E">
        <w:t>C implică atingerea obiectivului de reducere la zero a emisiilor globale nete de CO</w:t>
      </w:r>
      <w:r w:rsidR="0052083E">
        <w:rPr>
          <w:vertAlign w:val="subscript"/>
        </w:rPr>
        <w:t>2</w:t>
      </w:r>
      <w:r w:rsidR="0052083E">
        <w:t xml:space="preserve"> în jurul anului 2050 și, în același timp, reducerea semnificativă a forțării radiative, alta decât cea cauzată de CO</w:t>
      </w:r>
      <w:r w:rsidR="0052083E">
        <w:rPr>
          <w:vertAlign w:val="subscript"/>
        </w:rPr>
        <w:t>2</w:t>
      </w:r>
      <w:r w:rsidR="0052083E">
        <w:t xml:space="preserve"> (</w:t>
      </w:r>
      <w:r w:rsidR="0052083E">
        <w:rPr>
          <w:i/>
          <w:iCs/>
        </w:rPr>
        <w:t xml:space="preserve">grad </w:t>
      </w:r>
      <w:r w:rsidR="0052083E">
        <w:rPr>
          <w:i/>
        </w:rPr>
        <w:t>ridicat</w:t>
      </w:r>
      <w:r w:rsidR="0052083E">
        <w:t xml:space="preserve"> </w:t>
      </w:r>
      <w:r w:rsidR="0052083E">
        <w:rPr>
          <w:i/>
          <w:iCs/>
        </w:rPr>
        <w:t>de</w:t>
      </w:r>
      <w:r w:rsidR="0052083E">
        <w:t xml:space="preserve"> </w:t>
      </w:r>
      <w:r w:rsidR="0052083E">
        <w:rPr>
          <w:i/>
        </w:rPr>
        <w:t>încredere</w:t>
      </w:r>
      <w:r w:rsidR="0052083E">
        <w:t>)</w:t>
      </w:r>
      <w:r w:rsidR="0052083E">
        <w:rPr>
          <w:rStyle w:val="FootnoteReference"/>
        </w:rPr>
        <w:footnoteReference w:id="78"/>
      </w:r>
      <w:r w:rsidR="0052083E">
        <w:t>.</w:t>
      </w:r>
    </w:p>
    <w:p w:rsidR="00F47ACE" w:rsidRPr="00472687" w:rsidRDefault="00FD3281" w:rsidP="00472687">
      <w:pPr>
        <w:pStyle w:val="JuPara"/>
      </w:pPr>
      <w:r>
        <w:fldChar w:fldCharType="begin"/>
      </w:r>
      <w:r>
        <w:instrText xml:space="preserve"> SEQ level0 \*arabic </w:instrText>
      </w:r>
      <w:r>
        <w:fldChar w:fldCharType="separate"/>
      </w:r>
      <w:r w:rsidR="00472687" w:rsidRPr="00472687">
        <w:t>109</w:t>
      </w:r>
      <w:r>
        <w:fldChar w:fldCharType="end"/>
      </w:r>
      <w:r w:rsidR="0052083E">
        <w:t>. În raportul său, IPCC urmărește să cuantifice nevoile în materie de atenuare din perspectiva unor traiectorii compatibile cu limita de 1,5</w:t>
      </w:r>
      <w:r w:rsidR="0052083E">
        <w:rPr>
          <w:vertAlign w:val="superscript"/>
        </w:rPr>
        <w:t>o</w:t>
      </w:r>
      <w:r w:rsidR="0052083E">
        <w:t>C, care se referă la „bugetele de carbon”. Raportul explică faptul că emisiile cumulate de CO</w:t>
      </w:r>
      <w:r w:rsidR="0052083E">
        <w:rPr>
          <w:vertAlign w:val="subscript"/>
        </w:rPr>
        <w:t>2</w:t>
      </w:r>
      <w:r w:rsidR="0052083E">
        <w:t xml:space="preserve"> vor fi menținute în limitele unui buget de carbon dacă emisiile globale anuale nete de CO</w:t>
      </w:r>
      <w:r w:rsidR="0052083E">
        <w:rPr>
          <w:vertAlign w:val="subscript"/>
        </w:rPr>
        <w:t>2</w:t>
      </w:r>
      <w:r w:rsidR="0052083E">
        <w:t xml:space="preserve"> vor fi reduse la zero. Această evaluare indică un buget de carbon rămas de aproximativ 420 Gt de CO</w:t>
      </w:r>
      <w:r w:rsidR="0052083E">
        <w:rPr>
          <w:vertAlign w:val="subscript"/>
        </w:rPr>
        <w:t>2</w:t>
      </w:r>
      <w:r w:rsidR="0052083E">
        <w:t xml:space="preserve"> pentru o probabilitate de 66% de limitare a încălzirii la 1,5</w:t>
      </w:r>
      <w:r w:rsidR="0052083E">
        <w:rPr>
          <w:vertAlign w:val="superscript"/>
        </w:rPr>
        <w:t>o</w:t>
      </w:r>
      <w:r w:rsidR="0052083E">
        <w:t>C și de aproximativ 580 Gt de CO</w:t>
      </w:r>
      <w:r w:rsidR="0052083E">
        <w:rPr>
          <w:vertAlign w:val="subscript"/>
        </w:rPr>
        <w:t>2</w:t>
      </w:r>
      <w:r w:rsidR="0052083E">
        <w:t xml:space="preserve"> pentru o probabilitate de 50% (</w:t>
      </w:r>
      <w:r w:rsidR="0052083E">
        <w:rPr>
          <w:i/>
        </w:rPr>
        <w:t>grad mediu de încredere</w:t>
      </w:r>
      <w:r w:rsidR="0052083E">
        <w:t>). În plus, respectarea limitelor unui buget de carbon rămas de 580 Gt de CO</w:t>
      </w:r>
      <w:r w:rsidR="0052083E">
        <w:rPr>
          <w:vertAlign w:val="subscript"/>
        </w:rPr>
        <w:t>2</w:t>
      </w:r>
      <w:r w:rsidR="0052083E">
        <w:t xml:space="preserve"> implică atingerea obiectivului de neutralitate a emisiilor de CO</w:t>
      </w:r>
      <w:r w:rsidR="0052083E">
        <w:rPr>
          <w:vertAlign w:val="subscript"/>
        </w:rPr>
        <w:t>2</w:t>
      </w:r>
      <w:r w:rsidR="0052083E">
        <w:t xml:space="preserve"> în aproximativ 30 de ani, iar în cazul unui buget de carbon rămas de 420 Gt de CO</w:t>
      </w:r>
      <w:r w:rsidR="0052083E">
        <w:rPr>
          <w:vertAlign w:val="subscript"/>
        </w:rPr>
        <w:t>2</w:t>
      </w:r>
      <w:r w:rsidR="0052083E">
        <w:t xml:space="preserve"> în 20 de ani (</w:t>
      </w:r>
      <w:r w:rsidR="0052083E">
        <w:rPr>
          <w:i/>
          <w:iCs/>
        </w:rPr>
        <w:t>grad</w:t>
      </w:r>
      <w:r w:rsidR="0052083E">
        <w:t xml:space="preserve"> </w:t>
      </w:r>
      <w:r w:rsidR="0052083E">
        <w:rPr>
          <w:i/>
        </w:rPr>
        <w:t>ridicat de încredere</w:t>
      </w:r>
      <w:r w:rsidR="0052083E">
        <w:t>). În plus, emisiile de gaze, altele decât cele de CO</w:t>
      </w:r>
      <w:r w:rsidR="0052083E">
        <w:rPr>
          <w:vertAlign w:val="subscript"/>
        </w:rPr>
        <w:t>2</w:t>
      </w:r>
      <w:r w:rsidR="0052083E">
        <w:t>, contribuie la atingerea unui nivel maxim al încălzirii și afectează bugetul de carbon rămas</w:t>
      </w:r>
      <w:r w:rsidR="0052083E">
        <w:rPr>
          <w:rStyle w:val="FootnoteReference"/>
        </w:rPr>
        <w:footnoteReference w:id="79"/>
      </w:r>
      <w:r w:rsidR="0052083E">
        <w:t>.</w:t>
      </w:r>
    </w:p>
    <w:p w:rsidR="00F47ACE" w:rsidRPr="00472687" w:rsidRDefault="00FD3281" w:rsidP="00472687">
      <w:pPr>
        <w:pStyle w:val="JuPara"/>
      </w:pPr>
      <w:r>
        <w:fldChar w:fldCharType="begin"/>
      </w:r>
      <w:r>
        <w:instrText xml:space="preserve"> SEQ level0 \*arabic </w:instrText>
      </w:r>
      <w:r>
        <w:fldChar w:fldCharType="separate"/>
      </w:r>
      <w:r w:rsidR="00472687" w:rsidRPr="00472687">
        <w:t>110</w:t>
      </w:r>
      <w:r>
        <w:fldChar w:fldCharType="end"/>
      </w:r>
      <w:r w:rsidR="0052083E">
        <w:t>. În rapoartele sale de evaluare ulterioare („AR” - Assessment Reports), IPCC a ajuns la concluzii similare, confirmând și actualizând constatările pe care le-a formulat în Raportul său special pe 2018. Astfel, RE6, intitulat „Climate Change 2021: The Physical Science Basis” (citat anterior) confirmă fără echivoc faptul că schimbările climatice antropice au generat diferite efecte nefaste pentru specia umană și natură și au creat riscul ca alte efecte similare să apară în viitor, în special în ceea ce privește încălzirea globală. Potrivit raportului, temperatura de la suprafața Pământului va continua să crească cel puțin până la mijlocul acestui secol, în toate scenariile de emisii luate în considerare, și că încălzirea globală de 1,5</w:t>
      </w:r>
      <w:r w:rsidR="0052083E">
        <w:rPr>
          <w:vertAlign w:val="superscript"/>
        </w:rPr>
        <w:t>o</w:t>
      </w:r>
      <w:r w:rsidR="0052083E">
        <w:t>C și 2</w:t>
      </w:r>
      <w:r w:rsidR="0052083E">
        <w:rPr>
          <w:vertAlign w:val="superscript"/>
        </w:rPr>
        <w:t>o</w:t>
      </w:r>
      <w:r w:rsidR="0052083E">
        <w:t>C va fi depășită în cursul secolului al XXI-lea, cu excepția cazului în care vor avea loc, în următoarele decenii, reduceri semnificative ale emisiilor de CO</w:t>
      </w:r>
      <w:r w:rsidR="0052083E">
        <w:rPr>
          <w:vertAlign w:val="subscript"/>
        </w:rPr>
        <w:t>2</w:t>
      </w:r>
      <w:r w:rsidR="0052083E">
        <w:t xml:space="preserve"> și alte GES. De asemenea, se afirmă că, pe măsură ce încălzirea globală continuă, schimbările legate de factorii climatici care generează efecte vor fi mai răspândite în cazul unui nivel de încălzire globală de 2</w:t>
      </w:r>
      <w:r w:rsidR="0052083E">
        <w:rPr>
          <w:vertAlign w:val="superscript"/>
        </w:rPr>
        <w:t>o</w:t>
      </w:r>
      <w:r w:rsidR="0052083E">
        <w:t>C decât în cazul unuia de 1,5</w:t>
      </w:r>
      <w:r w:rsidR="0052083E">
        <w:rPr>
          <w:vertAlign w:val="superscript"/>
        </w:rPr>
        <w:t>o</w:t>
      </w:r>
      <w:r w:rsidR="0052083E">
        <w:t>C și chiar mai generalizate și/sau pronunțate pentru niveluri mai ridicate de încălzire globală</w:t>
      </w:r>
      <w:r w:rsidR="0052083E">
        <w:rPr>
          <w:rStyle w:val="FootnoteReference"/>
        </w:rPr>
        <w:footnoteReference w:id="80"/>
      </w:r>
      <w:r w:rsidR="0052083E">
        <w:t>. Raportul reafirmă, de asemenea, concluzia anterioară a IPCC (</w:t>
      </w:r>
      <w:r w:rsidR="0052083E">
        <w:rPr>
          <w:i/>
          <w:iCs/>
        </w:rPr>
        <w:t>grad</w:t>
      </w:r>
      <w:r w:rsidR="0052083E">
        <w:t xml:space="preserve"> </w:t>
      </w:r>
      <w:r w:rsidR="0052083E">
        <w:rPr>
          <w:i/>
        </w:rPr>
        <w:t>ridicat de încredere</w:t>
      </w:r>
      <w:r w:rsidR="0052083E">
        <w:t>) potrivit căreia există o relație aproape liniară între emisiile antropice cumulate de CO</w:t>
      </w:r>
      <w:r w:rsidR="0052083E">
        <w:rPr>
          <w:vertAlign w:val="subscript"/>
        </w:rPr>
        <w:t>2</w:t>
      </w:r>
      <w:r w:rsidR="0052083E">
        <w:t xml:space="preserve"> și încălzirea globală provocată de acestea. Astfel, limitarea încălzirii globale antropice la un anumit nivel necesită limitarea emisiilor cumulate de CO</w:t>
      </w:r>
      <w:r w:rsidR="0052083E">
        <w:rPr>
          <w:vertAlign w:val="subscript"/>
        </w:rPr>
        <w:t>2</w:t>
      </w:r>
      <w:r w:rsidR="0052083E">
        <w:t>, ajungând la minimum zero emisii nete de CO</w:t>
      </w:r>
      <w:r w:rsidR="0052083E">
        <w:rPr>
          <w:vertAlign w:val="subscript"/>
        </w:rPr>
        <w:t>2</w:t>
      </w:r>
      <w:r w:rsidR="0052083E">
        <w:t xml:space="preserve">, totodată fiind reduse considerabil emisiile provenite de la alte GES. În plus, raportul nuanțează estimarea relevantă a </w:t>
      </w:r>
      <w:r w:rsidR="0052083E">
        <w:lastRenderedPageBreak/>
        <w:t>bugetelor de carbon rămase de la începutul anului 2020. Se explică faptul că, pentru o probabilitate de 67% de a respecta limita de 1,5</w:t>
      </w:r>
      <w:r w:rsidR="0052083E">
        <w:rPr>
          <w:vertAlign w:val="superscript"/>
        </w:rPr>
        <w:t>o</w:t>
      </w:r>
      <w:r w:rsidR="0052083E">
        <w:t>C, bugetul global de carbon rămas este de 400 Gt de CO</w:t>
      </w:r>
      <w:r w:rsidR="0052083E">
        <w:rPr>
          <w:vertAlign w:val="subscript"/>
        </w:rPr>
        <w:t>2</w:t>
      </w:r>
      <w:r w:rsidR="0052083E">
        <w:t>, și că, pentru o probabilitate de 83%, acesta este de 300 Gt de CO</w:t>
      </w:r>
      <w:r w:rsidR="0052083E">
        <w:rPr>
          <w:vertAlign w:val="subscript"/>
        </w:rPr>
        <w:t>2</w:t>
      </w:r>
      <w:r w:rsidR="0052083E">
        <w:t>.</w:t>
      </w:r>
      <w:r w:rsidR="0052083E">
        <w:rPr>
          <w:rStyle w:val="FootnoteReference"/>
        </w:rPr>
        <w:footnoteReference w:id="81"/>
      </w:r>
    </w:p>
    <w:p w:rsidR="00F47ACE" w:rsidRPr="00472687" w:rsidRDefault="00FD3281" w:rsidP="00472687">
      <w:pPr>
        <w:pStyle w:val="JuPara"/>
      </w:pPr>
      <w:r>
        <w:fldChar w:fldCharType="begin"/>
      </w:r>
      <w:r>
        <w:instrText xml:space="preserve"> SEQ level0 \*arabic </w:instrText>
      </w:r>
      <w:r>
        <w:fldChar w:fldCharType="separate"/>
      </w:r>
      <w:r w:rsidR="00472687" w:rsidRPr="00472687">
        <w:t>111</w:t>
      </w:r>
      <w:r>
        <w:fldChar w:fldCharType="end"/>
      </w:r>
      <w:r w:rsidR="0052083E">
        <w:t>. În raportul AR6, „Climate Change 2022: Mitigation of Climate Change” (citat anterior), se constată că totalul emisiilor antropice nete de GES a continuat să crească în perioada 2010-2019. În acest raport, IPCC menționează că, în această perioadă, emisiile medii anuale de GES au fost mai mari decât în toate deceniile anterioare (</w:t>
      </w:r>
      <w:r w:rsidR="0052083E">
        <w:rPr>
          <w:i/>
          <w:iCs/>
        </w:rPr>
        <w:t>grad</w:t>
      </w:r>
      <w:r w:rsidR="0052083E">
        <w:t xml:space="preserve"> </w:t>
      </w:r>
      <w:r w:rsidR="0052083E">
        <w:rPr>
          <w:i/>
        </w:rPr>
        <w:t>ridicat de încredere</w:t>
      </w:r>
      <w:r w:rsidR="0052083E">
        <w:t>). Acesta precizează că emisiile antropice nete de GES au crescut în toate sectoarele majore la nivel mondial</w:t>
      </w:r>
      <w:r w:rsidR="0052083E">
        <w:rPr>
          <w:rStyle w:val="FootnoteReference"/>
        </w:rPr>
        <w:footnoteReference w:id="82"/>
      </w:r>
      <w:r w:rsidR="0052083E">
        <w:t>. Raportul subliniază, de asemenea, că dezvoltarea constantă a politicilor și legilor referitoare la atenuarea schimbărilor climatice a permis evitarea unor emisii care, altfel, ar fi fost generate. Acesta afirmă că, ținând seama de emisiile globale de GES în 2030, asociate cu punerea în aplicare a CSN-urilor anunțate înainte de Conferința de la Glasgow privind schimbările climatice (COP26), este probabil ca încălzirea să depășească +1,5</w:t>
      </w:r>
      <w:r w:rsidR="0052083E">
        <w:rPr>
          <w:vertAlign w:val="superscript"/>
        </w:rPr>
        <w:t>o</w:t>
      </w:r>
      <w:r w:rsidR="0052083E">
        <w:t>C în cursul secolului al XXI-lea. Se explică faptul că, în acest caz, fără îndoială că limitarea încălzirii sub 2</w:t>
      </w:r>
      <w:r w:rsidR="0052083E">
        <w:rPr>
          <w:vertAlign w:val="superscript"/>
        </w:rPr>
        <w:t>o</w:t>
      </w:r>
      <w:r w:rsidR="0052083E">
        <w:t>C ar implica o accelerare rapidă a măsurilor de atenuare după 2030. Potrivit raportului, se preconiza că politicile puse în aplicare înainte de sfârșitul anului 2020 vor avea ca rezultat emisii globale de GES mai mari decât cele incluse în CSN-uri (</w:t>
      </w:r>
      <w:r w:rsidR="0052083E">
        <w:rPr>
          <w:i/>
        </w:rPr>
        <w:t>grad ridicat</w:t>
      </w:r>
      <w:r w:rsidR="0052083E">
        <w:rPr>
          <w:i/>
          <w:iCs/>
        </w:rPr>
        <w:t xml:space="preserve"> de</w:t>
      </w:r>
      <w:r w:rsidR="0052083E">
        <w:t xml:space="preserve"> </w:t>
      </w:r>
      <w:r w:rsidR="0052083E">
        <w:rPr>
          <w:i/>
        </w:rPr>
        <w:t>încredere</w:t>
      </w:r>
      <w:r w:rsidR="0052083E">
        <w:t>). Cu alte cuvinte, conform concluziilor IPCC, lumea se află în prezent pe o traiectorie ce riscă să aibă consecințe negative deosebit de importante pentru viața și bunăstarea speciei umane.</w:t>
      </w:r>
    </w:p>
    <w:p w:rsidR="00F47ACE" w:rsidRPr="00472687" w:rsidRDefault="00FD3281" w:rsidP="00472687">
      <w:pPr>
        <w:pStyle w:val="JuPara"/>
      </w:pPr>
      <w:r>
        <w:fldChar w:fldCharType="begin"/>
      </w:r>
      <w:r>
        <w:instrText xml:space="preserve"> SEQ level0 </w:instrText>
      </w:r>
      <w:r>
        <w:instrText xml:space="preserve">\*arabic </w:instrText>
      </w:r>
      <w:r>
        <w:fldChar w:fldCharType="separate"/>
      </w:r>
      <w:r w:rsidR="00472687" w:rsidRPr="00472687">
        <w:t>112</w:t>
      </w:r>
      <w:r>
        <w:fldChar w:fldCharType="end"/>
      </w:r>
      <w:r w:rsidR="0052083E">
        <w:t>. Conform aceluiași raport al IPCC, se preconizează că emisiile globale de GES vor atinge un nivel maxim între 2020 și cel târziu înainte de 2025, în conformitate cu traiectoriile modelate la nivel mondial care limitează încălzirea la 1,5</w:t>
      </w:r>
      <w:r w:rsidR="0052083E">
        <w:rPr>
          <w:vertAlign w:val="superscript"/>
        </w:rPr>
        <w:t>o</w:t>
      </w:r>
      <w:r w:rsidR="0052083E">
        <w:t>C,</w:t>
      </w:r>
      <w:r w:rsidR="0052083E">
        <w:rPr>
          <w:vertAlign w:val="superscript"/>
        </w:rPr>
        <w:t xml:space="preserve"> </w:t>
      </w:r>
      <w:r w:rsidR="0052083E">
        <w:t>fără să depășească acest prag sau cu o depășire limitată, și în conformitate cu traiectoriile care limitează încălzirea la 2</w:t>
      </w:r>
      <w:r w:rsidR="0052083E">
        <w:rPr>
          <w:vertAlign w:val="superscript"/>
        </w:rPr>
        <w:t>o</w:t>
      </w:r>
      <w:r w:rsidR="0052083E">
        <w:t>C și implică acțiuni imediate (în cazul ambelor tipuri de traiectorii modelate, reducerile rapide și semnificative ale emisiilor de GES continuă până în 2030, 2040 și 2050). Cu toate acestea, raportul prevede că, în absența unor politici mai solide decât cele puse deja în aplicare până la sfârșitul anului 2020, emisiile de GES vor crește după 2025, ceea ce va duce la o încălzire globală medie de 3,2</w:t>
      </w:r>
      <w:r w:rsidR="0052083E">
        <w:rPr>
          <w:vertAlign w:val="superscript"/>
        </w:rPr>
        <w:t>o</w:t>
      </w:r>
      <w:r w:rsidR="0052083E">
        <w:t>C (între 2,2 și 3,5</w:t>
      </w:r>
      <w:r w:rsidR="0052083E">
        <w:rPr>
          <w:vertAlign w:val="superscript"/>
        </w:rPr>
        <w:t>o</w:t>
      </w:r>
      <w:r w:rsidR="0052083E">
        <w:t>C) până în 2100 (</w:t>
      </w:r>
      <w:r w:rsidR="0052083E">
        <w:rPr>
          <w:i/>
        </w:rPr>
        <w:t>grad mediu de încredere</w:t>
      </w:r>
      <w:r w:rsidR="0052083E">
        <w:t>)</w:t>
      </w:r>
      <w:r w:rsidR="0052083E">
        <w:rPr>
          <w:rStyle w:val="FootnoteReference"/>
        </w:rPr>
        <w:footnoteReference w:id="83"/>
      </w:r>
      <w:r w:rsidR="0052083E">
        <w:t>.</w:t>
      </w:r>
    </w:p>
    <w:p w:rsidR="00F47ACE" w:rsidRPr="00472687" w:rsidRDefault="00FD3281" w:rsidP="00472687">
      <w:pPr>
        <w:pStyle w:val="JuPara"/>
      </w:pPr>
      <w:r>
        <w:fldChar w:fldCharType="begin"/>
      </w:r>
      <w:r>
        <w:instrText xml:space="preserve"> SEQ level0 \*arabic </w:instrText>
      </w:r>
      <w:r>
        <w:fldChar w:fldCharType="separate"/>
      </w:r>
      <w:r w:rsidR="00472687" w:rsidRPr="00472687">
        <w:t>113</w:t>
      </w:r>
      <w:r>
        <w:fldChar w:fldCharType="end"/>
      </w:r>
      <w:r w:rsidR="0052083E">
        <w:t>. În plus, raportul subliniază că emisiile globale nete de CO</w:t>
      </w:r>
      <w:r w:rsidR="0052083E">
        <w:rPr>
          <w:vertAlign w:val="subscript"/>
        </w:rPr>
        <w:t>2</w:t>
      </w:r>
      <w:r w:rsidR="0052083E">
        <w:t xml:space="preserve"> vor fi reduse la zero la începutul anilor 2050, în conformitate cu traiectoriile modelate care limitează încălzirea la 1,5</w:t>
      </w:r>
      <w:r w:rsidR="0052083E">
        <w:rPr>
          <w:vertAlign w:val="superscript"/>
        </w:rPr>
        <w:t>o</w:t>
      </w:r>
      <w:r w:rsidR="0052083E">
        <w:t>C,</w:t>
      </w:r>
      <w:r w:rsidR="0052083E">
        <w:rPr>
          <w:vertAlign w:val="superscript"/>
        </w:rPr>
        <w:t xml:space="preserve"> </w:t>
      </w:r>
      <w:r w:rsidR="0052083E">
        <w:t>fără să depășească acest prag sau cu o depășire limitată, și până la începutul anilor 2070, în conformitate cu traiectoriile modelate care limitează încălzirea la 2</w:t>
      </w:r>
      <w:r w:rsidR="0052083E">
        <w:rPr>
          <w:vertAlign w:val="superscript"/>
        </w:rPr>
        <w:t>o</w:t>
      </w:r>
      <w:r w:rsidR="0052083E">
        <w:t xml:space="preserve">C. Se precizează că aceste scenarii includ și reduceri semnificative ale altor emisii de GES. Se adaugă </w:t>
      </w:r>
      <w:r w:rsidR="0052083E">
        <w:lastRenderedPageBreak/>
        <w:t>că reducerea la zero a emisiilor globale nete de GES și menținerea lor la acest nivel ar duce la o scădere progresivă a încălzirii (</w:t>
      </w:r>
      <w:r w:rsidR="0052083E">
        <w:rPr>
          <w:i/>
          <w:iCs/>
        </w:rPr>
        <w:t>grad ridicat de</w:t>
      </w:r>
      <w:r w:rsidR="0052083E">
        <w:t xml:space="preserve"> </w:t>
      </w:r>
      <w:r w:rsidR="0052083E">
        <w:rPr>
          <w:i/>
        </w:rPr>
        <w:t>încredere</w:t>
      </w:r>
      <w:r w:rsidR="0052083E">
        <w:t>).</w:t>
      </w:r>
      <w:r w:rsidR="0052083E">
        <w:rPr>
          <w:rStyle w:val="FootnoteReference"/>
        </w:rPr>
        <w:footnoteReference w:id="84"/>
      </w:r>
    </w:p>
    <w:p w:rsidR="00F47ACE" w:rsidRPr="00472687" w:rsidRDefault="00FD3281" w:rsidP="00472687">
      <w:pPr>
        <w:pStyle w:val="JuPara"/>
        <w:rPr>
          <w:b/>
          <w:bCs/>
        </w:rPr>
      </w:pPr>
      <w:r>
        <w:fldChar w:fldCharType="begin"/>
      </w:r>
      <w:r>
        <w:instrText xml:space="preserve"> SEQ level0 \*arabic </w:instrText>
      </w:r>
      <w:r>
        <w:fldChar w:fldCharType="separate"/>
      </w:r>
      <w:r w:rsidR="00472687" w:rsidRPr="00472687">
        <w:t>114</w:t>
      </w:r>
      <w:r>
        <w:fldChar w:fldCharType="end"/>
      </w:r>
      <w:r w:rsidR="0052083E">
        <w:t>. În raportul său de sinteză recent AR6 „Synthesis Report: Climate Change 2023”, IPCC constată că este evident faptul că activitățile umane, în principal prin emisiile de GES (care continuă să crească, cu contribuții istorice și actuale inegale rezultate din utilizarea nesustenabilă a energiei, folosința terenurilor și schimbarea folosinței terenurilor, stilurile de viață și modelele de consum și producție la nivelul regiunilor, între țări și în interiorul acestora, precum și între persoane) sunt cele care au cauzat încălzirea globală, cu o creștere a temperaturii de la suprafața Pământului de 1,1</w:t>
      </w:r>
      <w:r w:rsidR="0052083E">
        <w:rPr>
          <w:vertAlign w:val="superscript"/>
        </w:rPr>
        <w:t>o</w:t>
      </w:r>
      <w:r w:rsidR="0052083E">
        <w:t>C în perioadele 1850</w:t>
      </w:r>
      <w:r w:rsidR="0052083E">
        <w:noBreakHyphen/>
        <w:t>1900 și 2011</w:t>
      </w:r>
      <w:r w:rsidR="0052083E">
        <w:noBreakHyphen/>
        <w:t>2020. Potrivit raportului, schimbările climatice antropice au deja un impact asupra multor fenomene meteorologice și climatice extreme din toate regiunile lumii, provocând efecte negative pe scară largă, precum și pierderi și pagube conexe naturii și populațiilor (</w:t>
      </w:r>
      <w:r w:rsidR="0052083E">
        <w:rPr>
          <w:i/>
          <w:iCs/>
        </w:rPr>
        <w:t>grad de</w:t>
      </w:r>
      <w:r w:rsidR="0052083E">
        <w:t xml:space="preserve"> </w:t>
      </w:r>
      <w:r w:rsidR="0052083E">
        <w:rPr>
          <w:i/>
        </w:rPr>
        <w:t>încredere ridicat</w:t>
      </w:r>
      <w:r w:rsidR="0052083E">
        <w:t>)</w:t>
      </w:r>
      <w:r w:rsidR="0052083E">
        <w:rPr>
          <w:rFonts w:eastAsiaTheme="minorEastAsia"/>
          <w:vertAlign w:val="superscript"/>
        </w:rPr>
        <w:footnoteReference w:id="85"/>
      </w:r>
      <w:r w:rsidR="0052083E">
        <w:t>.</w:t>
      </w:r>
    </w:p>
    <w:bookmarkStart w:id="99" w:name="paragraph00115"/>
    <w:p w:rsidR="00F47ACE" w:rsidRPr="00472687" w:rsidRDefault="0052083E" w:rsidP="00472687">
      <w:pPr>
        <w:pStyle w:val="JuPara"/>
        <w:rPr>
          <w:rFonts w:eastAsiaTheme="minorEastAsia"/>
        </w:rPr>
      </w:pPr>
      <w:r w:rsidRPr="00472687">
        <w:rPr>
          <w:rFonts w:eastAsiaTheme="minorEastAsia"/>
        </w:rPr>
        <w:fldChar w:fldCharType="begin"/>
      </w:r>
      <w:r w:rsidRPr="00472687">
        <w:rPr>
          <w:rFonts w:eastAsiaTheme="minorEastAsia"/>
        </w:rPr>
        <w:instrText xml:space="preserve"> SEQ level0 \*arabic \* MERGEFORMAT </w:instrText>
      </w:r>
      <w:r w:rsidRPr="00472687">
        <w:rPr>
          <w:rFonts w:eastAsiaTheme="minorEastAsia"/>
        </w:rPr>
        <w:fldChar w:fldCharType="separate"/>
      </w:r>
      <w:r w:rsidR="00472687" w:rsidRPr="00472687">
        <w:rPr>
          <w:rFonts w:eastAsiaTheme="minorEastAsia"/>
        </w:rPr>
        <w:t>115</w:t>
      </w:r>
      <w:r w:rsidRPr="00472687">
        <w:rPr>
          <w:rFonts w:eastAsiaTheme="minorEastAsia"/>
        </w:rPr>
        <w:fldChar w:fldCharType="end"/>
      </w:r>
      <w:bookmarkEnd w:id="99"/>
      <w:r>
        <w:t>. IPCC adaugă că politicile și legile referitoare la atenuarea schimbărilor  climatice au continuat să se dezvolte și au fost deja puse în aplicare cu succes în unele țări, ceea ce a permis evitarea și, în unele cazuri, reducerea sau eliminarea emisiilor (</w:t>
      </w:r>
      <w:r>
        <w:rPr>
          <w:i/>
          <w:iCs/>
        </w:rPr>
        <w:t>grad de</w:t>
      </w:r>
      <w:r>
        <w:t xml:space="preserve"> </w:t>
      </w:r>
      <w:r>
        <w:rPr>
          <w:i/>
        </w:rPr>
        <w:t>încredere ridicat</w:t>
      </w:r>
      <w:r>
        <w:t>). Acesta consideră că, având în vedere emisiile globale de GES în 2030, care se preconizează că vor rezulta din CSN-urile anunțate până în octombrie 2021, este probabil ca încălzirea să depășească 1,5</w:t>
      </w:r>
      <w:r>
        <w:rPr>
          <w:vertAlign w:val="superscript"/>
        </w:rPr>
        <w:t>o</w:t>
      </w:r>
      <w:r>
        <w:t>C în cursul secolului al XXI-lea și că va fi mai dificil ca încălzirea să fie limitată la mai puțin de 2</w:t>
      </w:r>
      <w:r>
        <w:rPr>
          <w:vertAlign w:val="superscript"/>
        </w:rPr>
        <w:t>o</w:t>
      </w:r>
      <w:r>
        <w:t>C. Explică faptul că există o discrepanță între emisiile planificate în cadrul politicilor puse în aplicare și cele incluse în CSN-uri și că fluxurile financiare nu sunt suficiente pentru a atinge obiectivele climatice în toate sectoarele și regiunile (</w:t>
      </w:r>
      <w:r>
        <w:rPr>
          <w:i/>
          <w:iCs/>
        </w:rPr>
        <w:t xml:space="preserve">grad </w:t>
      </w:r>
      <w:r>
        <w:rPr>
          <w:i/>
        </w:rPr>
        <w:t>ridicat de încredere</w:t>
      </w:r>
      <w:r>
        <w:t>). Acesta avertizează că, dacă vor continua emisiile de GES, încălzirea globală va crește, ajungând la 1,5</w:t>
      </w:r>
      <w:r>
        <w:rPr>
          <w:vertAlign w:val="superscript"/>
        </w:rPr>
        <w:t>o</w:t>
      </w:r>
      <w:r>
        <w:t>C pe termen scurt (2021-2040), conform celui mai bun scenariu preconizat, și că, în același timp, fiecare agravare a încălzirii va intensifica riscurile multiple și simultane. Adaugă că, pe de altă parte, reduceri puternice, rapide și susținute ale emisiilor de GES ar conduce la o încetinire semnificativă a încălzirii globale în decurs de aproximativ două decenii, precum și la schimbări notabile în compoziția atmosferei în câțiva ani (</w:t>
      </w:r>
      <w:r>
        <w:rPr>
          <w:i/>
          <w:iCs/>
        </w:rPr>
        <w:t>grad</w:t>
      </w:r>
      <w:r>
        <w:t xml:space="preserve"> </w:t>
      </w:r>
      <w:r>
        <w:rPr>
          <w:i/>
        </w:rPr>
        <w:t xml:space="preserve">ridicat </w:t>
      </w:r>
      <w:r>
        <w:t xml:space="preserve">de </w:t>
      </w:r>
      <w:r>
        <w:rPr>
          <w:i/>
        </w:rPr>
        <w:t>încredere</w:t>
      </w:r>
      <w:r>
        <w:t>). Consideră că, deși unele viitoare schimbări sunt inevitabile și/sau potențial ireversibile, acestea pot fi limitate printr-o reducere puternică, rapidă și susținută a emisiilor globale de GES. Aceasta afirmă că probabilitatea unor schimbări bruște și/sau ireversibile crește pe măsură ce nivelurile de încălzire globală cresc. În mod similar, menționează că, odată cu nivelurile de încălzire globală, cresc și șansele unor rezultate cu probabilitate</w:t>
      </w:r>
      <w:r>
        <w:rPr>
          <w:b/>
        </w:rPr>
        <w:t xml:space="preserve"> </w:t>
      </w:r>
      <w:r>
        <w:t>scăzută, asociate cu potențiale efecte negative semnificative (</w:t>
      </w:r>
      <w:r>
        <w:rPr>
          <w:i/>
          <w:iCs/>
        </w:rPr>
        <w:t>grad</w:t>
      </w:r>
      <w:r>
        <w:t xml:space="preserve"> </w:t>
      </w:r>
      <w:r>
        <w:rPr>
          <w:i/>
        </w:rPr>
        <w:t xml:space="preserve">ridicat </w:t>
      </w:r>
      <w:r>
        <w:t xml:space="preserve">de </w:t>
      </w:r>
      <w:r>
        <w:rPr>
          <w:i/>
        </w:rPr>
        <w:t>încredere</w:t>
      </w:r>
      <w:r>
        <w:t xml:space="preserve">). Observă </w:t>
      </w:r>
      <w:r>
        <w:lastRenderedPageBreak/>
        <w:t>că opțiunile de adaptare care sunt fezabile și eficiente în prezent vor deveni limitate și mai puțin eficiente pe măsură ce va crește încălzirea globală. Prevede că vor crește, de asemenea, pierderile și daunele și că mai multe sisteme umane și naturale își vor atinge limitele adaptabilității (</w:t>
      </w:r>
      <w:r>
        <w:rPr>
          <w:i/>
          <w:iCs/>
        </w:rPr>
        <w:t>grad</w:t>
      </w:r>
      <w:r>
        <w:t xml:space="preserve"> </w:t>
      </w:r>
      <w:r>
        <w:rPr>
          <w:i/>
        </w:rPr>
        <w:t xml:space="preserve">ridicat </w:t>
      </w:r>
      <w:r>
        <w:t xml:space="preserve">de </w:t>
      </w:r>
      <w:r>
        <w:rPr>
          <w:i/>
        </w:rPr>
        <w:t>încredere</w:t>
      </w:r>
      <w:r>
        <w:t>).</w:t>
      </w:r>
      <w:r>
        <w:rPr>
          <w:rFonts w:eastAsiaTheme="minorEastAsia"/>
          <w:vertAlign w:val="superscript"/>
        </w:rPr>
        <w:footnoteReference w:id="86"/>
      </w:r>
    </w:p>
    <w:bookmarkStart w:id="100" w:name="paragraph00116"/>
    <w:p w:rsidR="00C014F0" w:rsidRPr="00472687" w:rsidRDefault="0052083E" w:rsidP="00472687">
      <w:pPr>
        <w:pStyle w:val="JuPara"/>
      </w:pPr>
      <w:r w:rsidRPr="00472687">
        <w:rPr>
          <w:rFonts w:eastAsiaTheme="minorEastAsia"/>
        </w:rPr>
        <w:fldChar w:fldCharType="begin"/>
      </w:r>
      <w:r w:rsidRPr="00472687">
        <w:rPr>
          <w:rFonts w:eastAsiaTheme="minorEastAsia"/>
        </w:rPr>
        <w:instrText xml:space="preserve"> SEQ level0 \*arabic \* MERGEFORMAT </w:instrText>
      </w:r>
      <w:r w:rsidRPr="00472687">
        <w:rPr>
          <w:rFonts w:eastAsiaTheme="minorEastAsia"/>
        </w:rPr>
        <w:fldChar w:fldCharType="separate"/>
      </w:r>
      <w:r w:rsidR="00472687" w:rsidRPr="00472687">
        <w:rPr>
          <w:rFonts w:eastAsiaTheme="minorEastAsia"/>
        </w:rPr>
        <w:t>116</w:t>
      </w:r>
      <w:r w:rsidRPr="00472687">
        <w:rPr>
          <w:rFonts w:eastAsiaTheme="minorEastAsia"/>
        </w:rPr>
        <w:fldChar w:fldCharType="end"/>
      </w:r>
      <w:bookmarkEnd w:id="100"/>
      <w:r>
        <w:t>. În același raport, IPCC subliniază importanța bugetelor de carbon și a politicilor privind emisiile nete zero. Observă că limitarea încălzirii globale antropice necesită atingerea obiectivului zero emisii nete de CO</w:t>
      </w:r>
      <w:r>
        <w:rPr>
          <w:vertAlign w:val="subscript"/>
        </w:rPr>
        <w:t>2</w:t>
      </w:r>
      <w:r>
        <w:t>. Afirmă că, în mare măsură, capacitatea de a limita încălzirea la 1,5</w:t>
      </w:r>
      <w:r>
        <w:rPr>
          <w:vertAlign w:val="superscript"/>
        </w:rPr>
        <w:t>o</w:t>
      </w:r>
      <w:r>
        <w:t>C sau 2</w:t>
      </w:r>
      <w:r>
        <w:rPr>
          <w:vertAlign w:val="superscript"/>
        </w:rPr>
        <w:t>o</w:t>
      </w:r>
      <w:r>
        <w:t>C depinde de emisiile de carbon cumulate până la momentul în care emisiile nete de CO</w:t>
      </w:r>
      <w:r>
        <w:rPr>
          <w:vertAlign w:val="subscript"/>
        </w:rPr>
        <w:t>2</w:t>
      </w:r>
      <w:r>
        <w:t xml:space="preserve"> vor fi zero, precum și de nivelul de reducere a emisiilor de GES din acest deceniu. Adaugă că, în absența unei reduceri suplimentare, estimările privind emisiile de CO</w:t>
      </w:r>
      <w:r>
        <w:rPr>
          <w:vertAlign w:val="subscript"/>
        </w:rPr>
        <w:t>2</w:t>
      </w:r>
      <w:r>
        <w:t xml:space="preserve"> generate de infrastructurile existente legate de combustibilii fosili vor depăși bugetul de carbon rămas de 1,5</w:t>
      </w:r>
      <w:r>
        <w:rPr>
          <w:vertAlign w:val="superscript"/>
        </w:rPr>
        <w:t>o</w:t>
      </w:r>
      <w:r>
        <w:t>C (50%) (</w:t>
      </w:r>
      <w:r>
        <w:rPr>
          <w:i/>
        </w:rPr>
        <w:t>grad ridicat</w:t>
      </w:r>
      <w:r>
        <w:t xml:space="preserve"> de </w:t>
      </w:r>
      <w:r>
        <w:rPr>
          <w:i/>
        </w:rPr>
        <w:t>încredere</w:t>
      </w:r>
      <w:r>
        <w:t>). În ceea ce privește traiectoriile de atenuare, IPCC subliniază că toate traiectoriile modelate la nivel mondial,</w:t>
      </w:r>
      <w:r>
        <w:rPr>
          <w:b/>
        </w:rPr>
        <w:t xml:space="preserve"> </w:t>
      </w:r>
      <w:r>
        <w:t>care limitează încălzirea la 1,5</w:t>
      </w:r>
      <w:r>
        <w:rPr>
          <w:vertAlign w:val="superscript"/>
        </w:rPr>
        <w:t>o</w:t>
      </w:r>
      <w:r>
        <w:t>C (&gt; 50 %), fără să depășească acest prag sau cu o depășire limitată, precum și cele care limitează încălzirea la 2</w:t>
      </w:r>
      <w:r>
        <w:rPr>
          <w:vertAlign w:val="superscript"/>
        </w:rPr>
        <w:t>o</w:t>
      </w:r>
      <w:r>
        <w:t>C (&gt; 67%), prevăd reduceri rapide și puternice și, în majoritatea cazurilor, imediate ale emisiilor de GES în toate sectoarele, în decursul deceniului actual. Estimează că, în cazul acestor categorii de traiectorii, emisiile globale nete de CO</w:t>
      </w:r>
      <w:r>
        <w:rPr>
          <w:vertAlign w:val="subscript"/>
        </w:rPr>
        <w:t>2</w:t>
      </w:r>
      <w:r>
        <w:t xml:space="preserve"> vor fi reduse la zero la începutul anilor 2050, și, respectiv, la începutul anilor 2070 (</w:t>
      </w:r>
      <w:r>
        <w:rPr>
          <w:i/>
        </w:rPr>
        <w:t>grad ridicat</w:t>
      </w:r>
      <w:r>
        <w:t xml:space="preserve"> de </w:t>
      </w:r>
      <w:r>
        <w:rPr>
          <w:i/>
        </w:rPr>
        <w:t>încredere</w:t>
      </w:r>
      <w:r>
        <w:t>).</w:t>
      </w:r>
      <w:r>
        <w:rPr>
          <w:rFonts w:eastAsiaTheme="minorEastAsia"/>
          <w:vertAlign w:val="superscript"/>
        </w:rPr>
        <w:footnoteReference w:id="87"/>
      </w:r>
    </w:p>
    <w:p w:rsidR="00F47ACE" w:rsidRPr="00472687" w:rsidRDefault="00C71855" w:rsidP="00472687">
      <w:pPr>
        <w:pStyle w:val="JuPara"/>
        <w:rPr>
          <w:rFonts w:eastAsiaTheme="minorEastAsia"/>
        </w:rPr>
      </w:pPr>
      <w:fldSimple w:instr=" SEQ level0 \*arabic \* MERGEFORMAT ">
        <w:r w:rsidR="00472687" w:rsidRPr="00472687">
          <w:t>117</w:t>
        </w:r>
      </w:fldSimple>
      <w:r w:rsidR="00B71F73">
        <w:t>. Cu toate acestea, IPCC precizează că, în ipoteza în care încălzirea ar depăși un anumit nivel, de exemplu 1,5</w:t>
      </w:r>
      <w:r w:rsidR="00B71F73">
        <w:rPr>
          <w:vertAlign w:val="superscript"/>
        </w:rPr>
        <w:t>o</w:t>
      </w:r>
      <w:r w:rsidR="00B71F73">
        <w:t>C, aceasta ar putea fi redusă progresiv, din nou, dacă s-ar reuși atingerea și menținerea unor emisii nete negative de CO</w:t>
      </w:r>
      <w:r w:rsidR="00B71F73">
        <w:rPr>
          <w:vertAlign w:val="subscript"/>
        </w:rPr>
        <w:t>2</w:t>
      </w:r>
      <w:r w:rsidR="00B71F73">
        <w:t xml:space="preserve"> la nivel mondial, ceea ce ar impune, în raport cu traiectoriile care nu depășesc acest prag, punerea în aplicare a unor măsuri suplimentare de eliminare a dioxidului de carbon. Consideră că, totuși, acest lucru ar ridica probleme mai importante în ceea ce privește fezabilitatea și durabilitatea, având în vedere că depășirea acestui prag generează consecințe negative, dintre care unele sunt ireversibile, precum și riscuri suplimentare pentru sistemele umane și naturale, toate acestea crescând odată cu amploarea și durata depășirii (</w:t>
      </w:r>
      <w:r w:rsidR="00B71F73">
        <w:rPr>
          <w:i/>
          <w:iCs/>
        </w:rPr>
        <w:t xml:space="preserve">grad </w:t>
      </w:r>
      <w:r w:rsidR="00B71F73">
        <w:rPr>
          <w:i/>
        </w:rPr>
        <w:t>ridicat</w:t>
      </w:r>
      <w:r w:rsidR="00B71F73">
        <w:t xml:space="preserve"> de </w:t>
      </w:r>
      <w:r w:rsidR="00B71F73">
        <w:rPr>
          <w:i/>
        </w:rPr>
        <w:t>încredere</w:t>
      </w:r>
      <w:r w:rsidR="00B71F73">
        <w:t>).</w:t>
      </w:r>
      <w:r w:rsidR="0052083E">
        <w:rPr>
          <w:rStyle w:val="FootnoteReference"/>
          <w:rFonts w:eastAsiaTheme="minorEastAsia"/>
        </w:rPr>
        <w:footnoteReference w:id="88"/>
      </w:r>
    </w:p>
    <w:bookmarkStart w:id="101" w:name="paragraph00118"/>
    <w:p w:rsidR="00F47ACE" w:rsidRPr="00472687" w:rsidRDefault="0052083E" w:rsidP="00472687">
      <w:pPr>
        <w:pStyle w:val="JuPara"/>
        <w:rPr>
          <w:rFonts w:eastAsiaTheme="minorEastAsia"/>
        </w:rPr>
      </w:pPr>
      <w:r w:rsidRPr="00472687">
        <w:rPr>
          <w:rFonts w:eastAsiaTheme="minorEastAsia"/>
        </w:rPr>
        <w:fldChar w:fldCharType="begin"/>
      </w:r>
      <w:r w:rsidRPr="00472687">
        <w:rPr>
          <w:rFonts w:eastAsiaTheme="minorEastAsia"/>
        </w:rPr>
        <w:instrText xml:space="preserve"> SEQ level0 \*arabic \* MERGEFORMAT </w:instrText>
      </w:r>
      <w:r w:rsidRPr="00472687">
        <w:rPr>
          <w:rFonts w:eastAsiaTheme="minorEastAsia"/>
        </w:rPr>
        <w:fldChar w:fldCharType="separate"/>
      </w:r>
      <w:r w:rsidR="00472687" w:rsidRPr="00472687">
        <w:rPr>
          <w:rFonts w:eastAsiaTheme="minorEastAsia"/>
        </w:rPr>
        <w:t>118</w:t>
      </w:r>
      <w:r w:rsidRPr="00472687">
        <w:rPr>
          <w:rFonts w:eastAsiaTheme="minorEastAsia"/>
        </w:rPr>
        <w:fldChar w:fldCharType="end"/>
      </w:r>
      <w:bookmarkEnd w:id="101"/>
      <w:r>
        <w:t>. IPCC insistă asupra necesității urgente de a întreprinde acțiuni climatice integrate pe termen scurt. Acesta ia act de faptul că schimbările climatice reprezintă o amenințare la adresa bunăstării oamenilor și a sănătății planetei și că fereastra de oportunitate, care permite asigurarea unui viitor durabil, cu condiții de viață decente pentru toți, se închide rapid (</w:t>
      </w:r>
      <w:r>
        <w:rPr>
          <w:i/>
        </w:rPr>
        <w:t>grad de încredere</w:t>
      </w:r>
      <w:r>
        <w:t xml:space="preserve"> </w:t>
      </w:r>
      <w:r>
        <w:rPr>
          <w:i/>
          <w:iCs/>
        </w:rPr>
        <w:t>foarte ridicat</w:t>
      </w:r>
      <w:r>
        <w:t xml:space="preserve">). Adaugă că o dezvoltare rezilientă la efectele schimbărilor climatice include măsuri de adaptare și atenuare menite să </w:t>
      </w:r>
      <w:r>
        <w:lastRenderedPageBreak/>
        <w:t>promoveze dezvoltarea durabilă pentru toți și că aceasta este posibilă printr-o cooperare internațională sporită, inclusiv printr-un acces mai bun la resurse financiare adecvate, precum și printr-o guvernanță incluzivă și politici coordonate (</w:t>
      </w:r>
      <w:r>
        <w:rPr>
          <w:i/>
          <w:iCs/>
        </w:rPr>
        <w:t xml:space="preserve">grad </w:t>
      </w:r>
      <w:r>
        <w:rPr>
          <w:i/>
        </w:rPr>
        <w:t>ridicat</w:t>
      </w:r>
      <w:r>
        <w:t xml:space="preserve"> de </w:t>
      </w:r>
      <w:r>
        <w:rPr>
          <w:i/>
        </w:rPr>
        <w:t>încredere</w:t>
      </w:r>
      <w:r>
        <w:t>). Afirmă că alegerile făcute și acțiunile puse în aplicare în cursul acestui deceniu vor avea consecințe asupra prezentului, dar și următorii mii de ani (</w:t>
      </w:r>
      <w:r>
        <w:rPr>
          <w:i/>
          <w:iCs/>
        </w:rPr>
        <w:t xml:space="preserve">grad </w:t>
      </w:r>
      <w:r>
        <w:rPr>
          <w:i/>
        </w:rPr>
        <w:t>ridicat</w:t>
      </w:r>
      <w:r>
        <w:t xml:space="preserve"> de </w:t>
      </w:r>
      <w:r>
        <w:rPr>
          <w:i/>
        </w:rPr>
        <w:t>încredere</w:t>
      </w:r>
      <w:r>
        <w:t>).</w:t>
      </w:r>
      <w:r>
        <w:rPr>
          <w:rFonts w:eastAsiaTheme="minorEastAsia"/>
          <w:vertAlign w:val="superscript"/>
        </w:rPr>
        <w:footnoteReference w:id="89"/>
      </w:r>
    </w:p>
    <w:bookmarkStart w:id="102" w:name="paragraph00119"/>
    <w:p w:rsidR="00C014F0" w:rsidRPr="00472687" w:rsidRDefault="0052083E" w:rsidP="00472687">
      <w:pPr>
        <w:pStyle w:val="JuPara"/>
        <w:rPr>
          <w:rFonts w:eastAsiaTheme="minorEastAsia"/>
        </w:rPr>
      </w:pPr>
      <w:r w:rsidRPr="00472687">
        <w:rPr>
          <w:rFonts w:eastAsiaTheme="minorEastAsia"/>
        </w:rPr>
        <w:fldChar w:fldCharType="begin"/>
      </w:r>
      <w:r w:rsidRPr="00472687">
        <w:rPr>
          <w:rFonts w:eastAsiaTheme="minorEastAsia"/>
        </w:rPr>
        <w:instrText xml:space="preserve"> SEQ level0 \*arabic \* MERGEFORMAT </w:instrText>
      </w:r>
      <w:r w:rsidRPr="00472687">
        <w:rPr>
          <w:rFonts w:eastAsiaTheme="minorEastAsia"/>
        </w:rPr>
        <w:fldChar w:fldCharType="separate"/>
      </w:r>
      <w:r w:rsidR="00472687" w:rsidRPr="00472687">
        <w:rPr>
          <w:rFonts w:eastAsiaTheme="minorEastAsia"/>
        </w:rPr>
        <w:t>119</w:t>
      </w:r>
      <w:r w:rsidRPr="00472687">
        <w:rPr>
          <w:rFonts w:eastAsiaTheme="minorEastAsia"/>
        </w:rPr>
        <w:fldChar w:fldCharType="end"/>
      </w:r>
      <w:bookmarkEnd w:id="102"/>
      <w:r>
        <w:t>. IPCC consideră că o atenuare profundă, rapidă și susținută și o punere în aplicare accelerată a unor măsuri de adaptare în cursul acestui deceniu ar permite o reduce a pierderilor și daunelor pe care le-ar putea suferi oamenii și ecosistemele (</w:t>
      </w:r>
      <w:r>
        <w:rPr>
          <w:i/>
        </w:rPr>
        <w:t>nivel foarte ridicat de încredere</w:t>
      </w:r>
      <w:r>
        <w:t>). Apreciază că, pe de altă parte, amânarea punerii în aplicare a unor măsuri de atenuare și de adaptare ar avea ca efect „înghețarea” infrastructurilor cu emisii ridicate, creșterea riscului de depreciere a activelor și creșterea costurilor, reducerea fezabilității, precum și creșterea pierderilor și a daunelor (</w:t>
      </w:r>
      <w:r>
        <w:rPr>
          <w:i/>
          <w:iCs/>
        </w:rPr>
        <w:t>grad ridicat de</w:t>
      </w:r>
      <w:r>
        <w:t xml:space="preserve"> </w:t>
      </w:r>
      <w:r>
        <w:rPr>
          <w:i/>
        </w:rPr>
        <w:t>încredere</w:t>
      </w:r>
      <w:r>
        <w:t>)</w:t>
      </w:r>
      <w:r>
        <w:rPr>
          <w:rFonts w:eastAsiaTheme="minorEastAsia"/>
          <w:vertAlign w:val="superscript"/>
        </w:rPr>
        <w:footnoteReference w:id="90"/>
      </w:r>
      <w:r>
        <w:t>.</w:t>
      </w:r>
    </w:p>
    <w:bookmarkStart w:id="103" w:name="paragraph00120"/>
    <w:p w:rsidR="00F47ACE" w:rsidRPr="00472687" w:rsidRDefault="0052083E" w:rsidP="00472687">
      <w:pPr>
        <w:pStyle w:val="JuPara"/>
        <w:rPr>
          <w:rFonts w:eastAsiaTheme="minorEastAsia"/>
        </w:rPr>
      </w:pPr>
      <w:r w:rsidRPr="00472687">
        <w:rPr>
          <w:rFonts w:eastAsiaTheme="minorEastAsia"/>
        </w:rPr>
        <w:fldChar w:fldCharType="begin"/>
      </w:r>
      <w:r w:rsidRPr="00472687">
        <w:rPr>
          <w:rFonts w:eastAsiaTheme="minorEastAsia"/>
        </w:rPr>
        <w:instrText xml:space="preserve"> SEQ level0 \*arabic \* MERGEFORMAT </w:instrText>
      </w:r>
      <w:r w:rsidRPr="00472687">
        <w:rPr>
          <w:rFonts w:eastAsiaTheme="minorEastAsia"/>
        </w:rPr>
        <w:fldChar w:fldCharType="separate"/>
      </w:r>
      <w:r w:rsidR="00472687" w:rsidRPr="00472687">
        <w:rPr>
          <w:rFonts w:eastAsiaTheme="minorEastAsia"/>
        </w:rPr>
        <w:t>120</w:t>
      </w:r>
      <w:r w:rsidRPr="00472687">
        <w:rPr>
          <w:rFonts w:eastAsiaTheme="minorEastAsia"/>
        </w:rPr>
        <w:fldChar w:fldCharType="end"/>
      </w:r>
      <w:bookmarkEnd w:id="103"/>
      <w:r>
        <w:t>. IPCC observă că acțiunile climatice eficiente sunt posibile prin asumarea unor angajamente politice, o guvernanță pe mai multe niveluri și bine armonizată, instituirea unor cadre instituționale, legi, politici și strategii, precum și prin asigurarea unui acces mai bun la finanțare și tehnologie. Explică faptul că eficiența acțiunilor climatice este facilitată de stabilirea unor obiective clare, coordonarea între mai multe domenii politice și asigurarea unor procese de guvernanță favorabile incluziunii. Adaugă că instrumentele de reglementare și economice pot susține reducerea puternică a emisiilor și reziliența la efectele schimbărilor climatice, dacă acestea sunt transpuse și aplicate pe scară largă (</w:t>
      </w:r>
      <w:r>
        <w:rPr>
          <w:i/>
          <w:iCs/>
        </w:rPr>
        <w:t>grad ridicat de</w:t>
      </w:r>
      <w:r>
        <w:t xml:space="preserve"> </w:t>
      </w:r>
      <w:r>
        <w:rPr>
          <w:i/>
        </w:rPr>
        <w:t>încredere</w:t>
      </w:r>
      <w:r>
        <w:t>).</w:t>
      </w:r>
      <w:r>
        <w:rPr>
          <w:rFonts w:eastAsiaTheme="minorEastAsia"/>
          <w:vertAlign w:val="superscript"/>
        </w:rPr>
        <w:footnoteReference w:id="91"/>
      </w:r>
    </w:p>
    <w:p w:rsidR="00F47ACE" w:rsidRPr="00472687" w:rsidRDefault="0052083E" w:rsidP="00472687">
      <w:pPr>
        <w:pStyle w:val="JuHHead"/>
        <w:numPr>
          <w:ilvl w:val="0"/>
          <w:numId w:val="28"/>
        </w:numPr>
      </w:pPr>
      <w:bookmarkStart w:id="104" w:name="_Toc149127506"/>
      <w:bookmarkStart w:id="105" w:name="_Toc158019685"/>
      <w:bookmarkStart w:id="106" w:name="_Toc199273431"/>
      <w:r>
        <w:t>CADRUL JURIDIC ȘI PRACTICA INTERNE RELEVANTE</w:t>
      </w:r>
      <w:bookmarkEnd w:id="104"/>
      <w:bookmarkEnd w:id="105"/>
      <w:bookmarkEnd w:id="106"/>
    </w:p>
    <w:p w:rsidR="00F47ACE" w:rsidRPr="00472687" w:rsidRDefault="0052083E" w:rsidP="00472687">
      <w:pPr>
        <w:pStyle w:val="JuHIRoman"/>
        <w:numPr>
          <w:ilvl w:val="1"/>
          <w:numId w:val="28"/>
        </w:numPr>
      </w:pPr>
      <w:bookmarkStart w:id="107" w:name="_Toc158019686"/>
      <w:bookmarkStart w:id="108" w:name="_Toc199273432"/>
      <w:r>
        <w:rPr>
          <w:caps w:val="0"/>
        </w:rPr>
        <w:t>CADRUL JURIDIC INTERN</w:t>
      </w:r>
      <w:bookmarkEnd w:id="107"/>
      <w:bookmarkEnd w:id="108"/>
    </w:p>
    <w:p w:rsidR="00F47ACE" w:rsidRPr="00472687" w:rsidRDefault="0052083E" w:rsidP="00472687">
      <w:pPr>
        <w:pStyle w:val="JuHA"/>
        <w:numPr>
          <w:ilvl w:val="2"/>
          <w:numId w:val="28"/>
        </w:numPr>
      </w:pPr>
      <w:bookmarkStart w:id="109" w:name="_Toc149127508"/>
      <w:bookmarkStart w:id="110" w:name="_Toc158019687"/>
      <w:bookmarkStart w:id="111" w:name="_Toc199273433"/>
      <w:r>
        <w:t>Constituția</w:t>
      </w:r>
      <w:bookmarkEnd w:id="109"/>
      <w:bookmarkEnd w:id="110"/>
      <w:bookmarkEnd w:id="111"/>
    </w:p>
    <w:bookmarkStart w:id="112" w:name="paragraph00121"/>
    <w:p w:rsidR="00F47ACE" w:rsidRPr="00472687" w:rsidRDefault="0052083E" w:rsidP="00472687">
      <w:pPr>
        <w:pStyle w:val="JuPara"/>
        <w:rPr>
          <w:b/>
          <w:bCs/>
        </w:rPr>
      </w:pPr>
      <w:r w:rsidRPr="00472687">
        <w:fldChar w:fldCharType="begin"/>
      </w:r>
      <w:r w:rsidRPr="00472687">
        <w:instrText xml:space="preserve"> SEQ level0 \*arabic \* MERGEFORMAT </w:instrText>
      </w:r>
      <w:r w:rsidRPr="00472687">
        <w:fldChar w:fldCharType="separate"/>
      </w:r>
      <w:r w:rsidR="00472687" w:rsidRPr="00472687">
        <w:t>121</w:t>
      </w:r>
      <w:r w:rsidRPr="00472687">
        <w:fldChar w:fldCharType="end"/>
      </w:r>
      <w:bookmarkEnd w:id="112"/>
      <w:r>
        <w:t>. Dispozițiile relevante din Constituția Federală a Confederației Elvețiene, adoptată la 18 aprilie 1999 (Cst., RS 101), sunt redactate astfel:</w:t>
      </w:r>
    </w:p>
    <w:p w:rsidR="00F47ACE" w:rsidRPr="00472687" w:rsidRDefault="0052083E" w:rsidP="00472687">
      <w:pPr>
        <w:pStyle w:val="JuHArticle"/>
      </w:pPr>
      <w:r>
        <w:t>Articolul 10 – Dreptul la viață și libertatea persoanei</w:t>
      </w:r>
    </w:p>
    <w:p w:rsidR="00F47ACE" w:rsidRPr="00472687" w:rsidRDefault="0052083E" w:rsidP="00472687">
      <w:pPr>
        <w:pStyle w:val="JuQuot"/>
      </w:pPr>
      <w:r>
        <w:t>„1. Orice ființă umană are dreptul la viață. Pedeapsa cu moartea este interzisă.</w:t>
      </w:r>
    </w:p>
    <w:p w:rsidR="00F47ACE" w:rsidRPr="00472687" w:rsidRDefault="0052083E" w:rsidP="00472687">
      <w:pPr>
        <w:pStyle w:val="JuQuot"/>
      </w:pPr>
      <w:r>
        <w:t>2. Orice ființă umană are dreptul la libertatea persoanei, inclusiv la integritate fizică și psihică și la libertatea de mișcare.</w:t>
      </w:r>
    </w:p>
    <w:p w:rsidR="00F47ACE" w:rsidRPr="00472687" w:rsidRDefault="0052083E" w:rsidP="00472687">
      <w:pPr>
        <w:pStyle w:val="JuQuot"/>
      </w:pPr>
      <w:r>
        <w:t>[...] ”</w:t>
      </w:r>
    </w:p>
    <w:p w:rsidR="00F47ACE" w:rsidRPr="00472687" w:rsidRDefault="0052083E" w:rsidP="00472687">
      <w:pPr>
        <w:pStyle w:val="JuHArticle"/>
      </w:pPr>
      <w:r>
        <w:lastRenderedPageBreak/>
        <w:t>Articolul 13 Protejarea sferei private</w:t>
      </w:r>
    </w:p>
    <w:p w:rsidR="00F47ACE" w:rsidRPr="00472687" w:rsidRDefault="0052083E" w:rsidP="00472687">
      <w:pPr>
        <w:pStyle w:val="JuQuot"/>
      </w:pPr>
      <w:r>
        <w:t>„1. Orice persoană are dreptul la respectarea vieții sale private și de familie, a domiciliului său și a corespondenței sale, precum și a relațiilor stabilite prin poștă și a telecomunicațiilor.</w:t>
      </w:r>
    </w:p>
    <w:p w:rsidR="00F47ACE" w:rsidRPr="00472687" w:rsidRDefault="0052083E" w:rsidP="00472687">
      <w:pPr>
        <w:pStyle w:val="JuQuot"/>
      </w:pPr>
      <w:r>
        <w:t>[...] ”</w:t>
      </w:r>
    </w:p>
    <w:p w:rsidR="00F47ACE" w:rsidRPr="00472687" w:rsidRDefault="0052083E" w:rsidP="00472687">
      <w:pPr>
        <w:pStyle w:val="JuHArticle"/>
      </w:pPr>
      <w:r>
        <w:t>Articolul 29 Garanții procedurale generale</w:t>
      </w:r>
    </w:p>
    <w:p w:rsidR="00F47ACE" w:rsidRPr="00472687" w:rsidRDefault="0052083E" w:rsidP="00472687">
      <w:pPr>
        <w:pStyle w:val="JuQuot"/>
      </w:pPr>
      <w:r>
        <w:t>„1. Orice persoană are dreptul la judecarea în mod echitabil și într-un termen rezonabil a cauzei sale, în cadrul unei proceduri judiciare sau administrative.</w:t>
      </w:r>
    </w:p>
    <w:p w:rsidR="00F47ACE" w:rsidRPr="00472687" w:rsidRDefault="0052083E" w:rsidP="00472687">
      <w:pPr>
        <w:pStyle w:val="JuQuot"/>
      </w:pPr>
      <w:r>
        <w:t>2. Părțile au dreptul să fie ascultate.</w:t>
      </w:r>
    </w:p>
    <w:p w:rsidR="00F47ACE" w:rsidRPr="00472687" w:rsidRDefault="0052083E" w:rsidP="00472687">
      <w:pPr>
        <w:pStyle w:val="JuQuot"/>
      </w:pPr>
      <w:r>
        <w:t>[...] ”</w:t>
      </w:r>
    </w:p>
    <w:p w:rsidR="00F47ACE" w:rsidRPr="00472687" w:rsidRDefault="0052083E" w:rsidP="00472687">
      <w:pPr>
        <w:pStyle w:val="JuHArticle"/>
      </w:pPr>
      <w:r>
        <w:t>Articolul 29a Garanția accesului la o instanță</w:t>
      </w:r>
    </w:p>
    <w:p w:rsidR="00F47ACE" w:rsidRPr="00472687" w:rsidRDefault="0052083E" w:rsidP="00472687">
      <w:pPr>
        <w:pStyle w:val="JuQuot"/>
      </w:pPr>
      <w:r>
        <w:t>„Orice persoană are dreptul la judecarea cauzei sale de către o autoritate judiciară. În cazuri excepționale, Confederația și cantoanele pot să excludă prin lege accesul la o instanță. ”</w:t>
      </w:r>
    </w:p>
    <w:p w:rsidR="00F47ACE" w:rsidRPr="00472687" w:rsidRDefault="0052083E" w:rsidP="00472687">
      <w:pPr>
        <w:pStyle w:val="JuHArticle"/>
      </w:pPr>
      <w:r>
        <w:t>Articolul 73 Dezvoltarea durabilă</w:t>
      </w:r>
    </w:p>
    <w:p w:rsidR="00F47ACE" w:rsidRPr="00472687" w:rsidRDefault="0052083E" w:rsidP="00472687">
      <w:pPr>
        <w:pStyle w:val="JuQuot"/>
      </w:pPr>
      <w:r>
        <w:t>„Confederația și cantoanele depun eforturi pentru a asigura un echilibru durabil între natură, în special capacitatea acesteia de regenerare, și utilizarea resurselor sale de către oameni. ”</w:t>
      </w:r>
    </w:p>
    <w:p w:rsidR="00F47ACE" w:rsidRPr="00472687" w:rsidRDefault="0052083E" w:rsidP="00472687">
      <w:pPr>
        <w:pStyle w:val="JuHArticle"/>
      </w:pPr>
      <w:r>
        <w:t>Articolul 74 Protecția mediului</w:t>
      </w:r>
    </w:p>
    <w:p w:rsidR="00F47ACE" w:rsidRPr="00472687" w:rsidRDefault="0052083E" w:rsidP="00472687">
      <w:pPr>
        <w:pStyle w:val="JuQuot"/>
      </w:pPr>
      <w:r>
        <w:t>„1. Confederația legiferează cu privire la protecția ființelor umane și a mediului lor natural împotriva efectelor dăunătoare sau nedorite.</w:t>
      </w:r>
    </w:p>
    <w:p w:rsidR="00F47ACE" w:rsidRPr="00472687" w:rsidRDefault="0052083E" w:rsidP="00472687">
      <w:pPr>
        <w:pStyle w:val="JuQuot"/>
      </w:pPr>
      <w:r>
        <w:t>2. Este necesar să se prevină astfel de efecte. Costurile de prevenire și reparare a acestora sunt suportate de cei care le cauzează.</w:t>
      </w:r>
    </w:p>
    <w:p w:rsidR="00F47ACE" w:rsidRPr="00472687" w:rsidRDefault="0052083E" w:rsidP="00472687">
      <w:pPr>
        <w:pStyle w:val="JuQuot"/>
      </w:pPr>
      <w:r>
        <w:t>3. Responsabilitatea punerii în aplicare a dispozițiilor federale revine cantoanelor în măsura în care aceasta nu este rezervată Confederației prin lege. ”</w:t>
      </w:r>
    </w:p>
    <w:p w:rsidR="00F47ACE" w:rsidRPr="00472687" w:rsidRDefault="0052083E" w:rsidP="00472687">
      <w:pPr>
        <w:pStyle w:val="JuHArticle"/>
      </w:pPr>
      <w:r>
        <w:t>Articolul 189 Competențele Tribunalului Federal</w:t>
      </w:r>
    </w:p>
    <w:p w:rsidR="00F47ACE" w:rsidRPr="00472687" w:rsidRDefault="0052083E" w:rsidP="00472687">
      <w:pPr>
        <w:pStyle w:val="JuQuot"/>
      </w:pPr>
      <w:r>
        <w:t>„[...]</w:t>
      </w:r>
    </w:p>
    <w:p w:rsidR="00F47ACE" w:rsidRPr="00472687" w:rsidRDefault="0052083E" w:rsidP="00472687">
      <w:pPr>
        <w:pStyle w:val="JuQuot"/>
      </w:pPr>
      <w:r>
        <w:t>4. Actele Adunării Federale și ale Consiliului Federal nu pot fi contestate în fața Tribunalului Federal. Excepțiile sunt stabilite prin lege. ”</w:t>
      </w:r>
    </w:p>
    <w:p w:rsidR="00F47ACE" w:rsidRPr="00472687" w:rsidRDefault="0052083E" w:rsidP="00472687">
      <w:pPr>
        <w:pStyle w:val="JuHA"/>
        <w:numPr>
          <w:ilvl w:val="2"/>
          <w:numId w:val="28"/>
        </w:numPr>
      </w:pPr>
      <w:bookmarkStart w:id="113" w:name="_Toc149127509"/>
      <w:bookmarkStart w:id="114" w:name="_Toc158019688"/>
      <w:bookmarkStart w:id="115" w:name="_Toc199273434"/>
      <w:r>
        <w:t>Legea federală privind protecția mediului</w:t>
      </w:r>
      <w:bookmarkEnd w:id="113"/>
      <w:bookmarkEnd w:id="114"/>
      <w:bookmarkEnd w:id="115"/>
    </w:p>
    <w:p w:rsidR="00F47ACE" w:rsidRPr="00472687" w:rsidRDefault="00C71855" w:rsidP="00472687">
      <w:pPr>
        <w:pStyle w:val="JuPara"/>
        <w:rPr>
          <w:b/>
          <w:bCs/>
        </w:rPr>
      </w:pPr>
      <w:fldSimple w:instr=" SEQ level0 \*arabic \* MERGEFORMAT ">
        <w:r w:rsidR="00472687" w:rsidRPr="00472687">
          <w:t>122</w:t>
        </w:r>
      </w:fldSimple>
      <w:r w:rsidR="00B71F73">
        <w:t>. Dispozițiile relevante ale Legii federale din 7 octombrie 1983 privind protecția mediului („LPE”, RS 814.01) se citesc astfel:</w:t>
      </w:r>
    </w:p>
    <w:p w:rsidR="00F47ACE" w:rsidRPr="00472687" w:rsidRDefault="0052083E" w:rsidP="00472687">
      <w:pPr>
        <w:pStyle w:val="JuHArticle"/>
      </w:pPr>
      <w:r>
        <w:t>Articolul 1 Scop</w:t>
      </w:r>
    </w:p>
    <w:p w:rsidR="00C014F0" w:rsidRPr="00472687" w:rsidRDefault="0052083E" w:rsidP="00472687">
      <w:pPr>
        <w:pStyle w:val="JuQuot"/>
      </w:pPr>
      <w:r>
        <w:t xml:space="preserve">„(1) Scopul [Legii privind protecția mediului] este de a proteja oamenii, animalele și plantele, biocenozele și biotopurile acestora împotriva efectelor nocive sau nedorite și </w:t>
      </w:r>
      <w:r>
        <w:lastRenderedPageBreak/>
        <w:t>de a conserva în mod durabil resursele naturale, în special diversitatea biologică și fertilitatea solului.</w:t>
      </w:r>
    </w:p>
    <w:p w:rsidR="00F47ACE" w:rsidRPr="00472687" w:rsidRDefault="0052083E" w:rsidP="00472687">
      <w:pPr>
        <w:pStyle w:val="JuQuot"/>
      </w:pPr>
      <w:r>
        <w:t>(2) Pentru a limita potențialele efecte nocive sau nedorite se adoptă măsuri preventive, în timp util. ”</w:t>
      </w:r>
    </w:p>
    <w:p w:rsidR="00F47ACE" w:rsidRPr="00472687" w:rsidRDefault="0052083E" w:rsidP="00472687">
      <w:pPr>
        <w:pStyle w:val="JuHArticle"/>
      </w:pPr>
      <w:r>
        <w:t>Articolul 3 Rezerve privind alte legi</w:t>
      </w:r>
    </w:p>
    <w:p w:rsidR="00F47ACE" w:rsidRPr="00472687" w:rsidRDefault="0052083E" w:rsidP="00472687">
      <w:pPr>
        <w:pStyle w:val="JuQuot"/>
      </w:pPr>
      <w:r>
        <w:t>(1) Dispozițiile mai stricte ale altor legi federale fac obiectul unor rezerve.</w:t>
      </w:r>
    </w:p>
    <w:p w:rsidR="00F47ACE" w:rsidRPr="00472687" w:rsidRDefault="0052083E" w:rsidP="00472687">
      <w:pPr>
        <w:pStyle w:val="JuQuot"/>
      </w:pPr>
      <w:r>
        <w:t>[...] ”</w:t>
      </w:r>
    </w:p>
    <w:p w:rsidR="00F47ACE" w:rsidRPr="00472687" w:rsidRDefault="0052083E" w:rsidP="00472687">
      <w:pPr>
        <w:pStyle w:val="JuHArticle"/>
      </w:pPr>
      <w:r>
        <w:t>Articolul 4 Dispoziții de punere în aplicare bazate pe alte legi federale</w:t>
      </w:r>
    </w:p>
    <w:p w:rsidR="00F47ACE" w:rsidRPr="00472687" w:rsidRDefault="0052083E" w:rsidP="00472687">
      <w:pPr>
        <w:pStyle w:val="JuQuot"/>
      </w:pPr>
      <w:r>
        <w:t>(1) Dispozițiile referitoare la daunele provocate mediului de poluarea atmosferică, zgomot, vibrații și radiații, care se bazează pe alte legi federale, trebuie să respecte principiul limitării emisiilor (articolul 11), valorile-limită ale imisiilor (articolele 13-15), valorile de alertă (articolul 19) și valorile de planificare acustică (articolele 23-25).</w:t>
      </w:r>
    </w:p>
    <w:p w:rsidR="00F47ACE" w:rsidRPr="00472687" w:rsidRDefault="0052083E" w:rsidP="00472687">
      <w:pPr>
        <w:pStyle w:val="JuQuot"/>
      </w:pPr>
      <w:r>
        <w:t>[...] ”</w:t>
      </w:r>
    </w:p>
    <w:p w:rsidR="00F47ACE" w:rsidRPr="00472687" w:rsidRDefault="0052083E" w:rsidP="00472687">
      <w:pPr>
        <w:pStyle w:val="JuHArticle"/>
      </w:pPr>
      <w:r>
        <w:t>Articolul 11 Principii</w:t>
      </w:r>
    </w:p>
    <w:p w:rsidR="00F47ACE" w:rsidRPr="00472687" w:rsidRDefault="0052083E" w:rsidP="00472687">
      <w:pPr>
        <w:pStyle w:val="JuQuot"/>
      </w:pPr>
      <w:r>
        <w:t>„(1) Poluarea atmosferică, zgomotul, vibrațiile și radiațiile sunt limitate prin luarea de măsuri la sursă (limitarea emisiilor).</w:t>
      </w:r>
    </w:p>
    <w:p w:rsidR="00F47ACE" w:rsidRPr="00472687" w:rsidRDefault="0052083E" w:rsidP="00472687">
      <w:pPr>
        <w:pStyle w:val="JuQuot"/>
      </w:pPr>
      <w:r>
        <w:t>(2) Indiferent de efectele nocive asupra mediului existente, este importantă limitarea emisiilor, cu titlu preventiv, în măsura în care progresele tehnologice și condițiile de funcționare permit acest lucru și dacă acest lucru este fezabil din punct de vedere economic.</w:t>
      </w:r>
    </w:p>
    <w:p w:rsidR="00F47ACE" w:rsidRPr="00472687" w:rsidRDefault="0052083E" w:rsidP="00472687">
      <w:pPr>
        <w:pStyle w:val="JuQuot"/>
      </w:pPr>
      <w:r>
        <w:t>(3) Emisiile vor face obiectul unor limitări mai stricte în cazul în care se constată sau se poate presupune că, având în vedere nivelul actual de poluare a mediului, efectele asupra acestuia vor fi nocive sau nedorite. ”</w:t>
      </w:r>
    </w:p>
    <w:p w:rsidR="00F47ACE" w:rsidRPr="00472687" w:rsidRDefault="0052083E" w:rsidP="00472687">
      <w:pPr>
        <w:pStyle w:val="JuHArticle"/>
      </w:pPr>
      <w:r>
        <w:t>Articolul 12 Limitări ale emisiilor</w:t>
      </w:r>
    </w:p>
    <w:p w:rsidR="00F47ACE" w:rsidRPr="00472687" w:rsidRDefault="0052083E" w:rsidP="00472687">
      <w:pPr>
        <w:pStyle w:val="JuQuot"/>
      </w:pPr>
      <w:r>
        <w:t>„(1) Emisiile sunt limitate prin aplicarea:</w:t>
      </w:r>
    </w:p>
    <w:p w:rsidR="00F47ACE" w:rsidRPr="00472687" w:rsidRDefault="0052083E" w:rsidP="00472687">
      <w:pPr>
        <w:pStyle w:val="JuQuot"/>
        <w:ind w:left="567"/>
      </w:pPr>
      <w:r>
        <w:t>a) unor valori-limită de emisii;</w:t>
      </w:r>
    </w:p>
    <w:p w:rsidR="00F47ACE" w:rsidRPr="00472687" w:rsidRDefault="0052083E" w:rsidP="00472687">
      <w:pPr>
        <w:pStyle w:val="JuQuot"/>
        <w:ind w:left="567"/>
      </w:pPr>
      <w:r>
        <w:t>b) unor reglementări privind construcțiile sau echipamentele;</w:t>
      </w:r>
    </w:p>
    <w:p w:rsidR="00F47ACE" w:rsidRPr="00472687" w:rsidRDefault="0052083E" w:rsidP="00472687">
      <w:pPr>
        <w:pStyle w:val="JuQuot"/>
        <w:ind w:left="567"/>
      </w:pPr>
      <w:r>
        <w:t>c) unor reglementări în materie de trafic sau exploatare;</w:t>
      </w:r>
    </w:p>
    <w:p w:rsidR="00F47ACE" w:rsidRPr="00472687" w:rsidRDefault="0052083E" w:rsidP="00472687">
      <w:pPr>
        <w:pStyle w:val="JuQuot"/>
        <w:ind w:left="567"/>
      </w:pPr>
      <w:r>
        <w:t>d) unor reglementări privind izolarea termică a clădirilor;</w:t>
      </w:r>
    </w:p>
    <w:p w:rsidR="00F47ACE" w:rsidRPr="00472687" w:rsidRDefault="0052083E" w:rsidP="00472687">
      <w:pPr>
        <w:pStyle w:val="JuQuot"/>
        <w:ind w:left="567"/>
      </w:pPr>
      <w:r>
        <w:t>e) unor reglementări privind combustibilii și carburanții.</w:t>
      </w:r>
    </w:p>
    <w:p w:rsidR="00F47ACE" w:rsidRPr="00472687" w:rsidRDefault="0052083E" w:rsidP="00472687">
      <w:pPr>
        <w:pStyle w:val="JuQuot"/>
      </w:pPr>
      <w:r>
        <w:t>2) Limitările sunt prevăzute în ordonanțe sau, în cazurile care nu sunt acoperite de acestea, în cadrul unor hotărâri întemeiate direct pe prezenta lege. ”</w:t>
      </w:r>
    </w:p>
    <w:p w:rsidR="00F47ACE" w:rsidRPr="00472687" w:rsidRDefault="0052083E" w:rsidP="00472687">
      <w:pPr>
        <w:pStyle w:val="JuHArticle"/>
      </w:pPr>
      <w:r>
        <w:t>Articolul 13 Valori-limită ale imisiilor</w:t>
      </w:r>
    </w:p>
    <w:p w:rsidR="00F47ACE" w:rsidRPr="00472687" w:rsidRDefault="0052083E" w:rsidP="00472687">
      <w:pPr>
        <w:pStyle w:val="JuQuot"/>
      </w:pPr>
      <w:r>
        <w:t>(1) Consiliul Federal stabilește, prin ordonanță, valorile-limită ale imisiilor aplicabile la evaluarea efectelor nocive sau nedorite.</w:t>
      </w:r>
    </w:p>
    <w:p w:rsidR="00F47ACE" w:rsidRPr="00472687" w:rsidRDefault="0052083E" w:rsidP="00472687">
      <w:pPr>
        <w:pStyle w:val="JuQuot"/>
      </w:pPr>
      <w:r>
        <w:t>(2) În acest sens, se ține seama și de efectul imisiilor asupra categoriilor de persoane deosebit de sensibile, cum ar fi copiii, bolnavii, persoanele în vârstă și femeile însărcinate. ”</w:t>
      </w:r>
    </w:p>
    <w:p w:rsidR="00F47ACE" w:rsidRPr="00472687" w:rsidRDefault="0052083E" w:rsidP="00472687">
      <w:pPr>
        <w:pStyle w:val="JuHArticle"/>
      </w:pPr>
      <w:r>
        <w:lastRenderedPageBreak/>
        <w:t>Articolul 14 Valorile-limită ale imisiilor de poluanți în atmosferă</w:t>
      </w:r>
    </w:p>
    <w:p w:rsidR="00F47ACE" w:rsidRPr="00472687" w:rsidRDefault="0052083E" w:rsidP="00472687">
      <w:pPr>
        <w:pStyle w:val="JuQuot"/>
      </w:pPr>
      <w:r>
        <w:t>„Valorile-limită ale imisiilor de poluanți în atmosferă se stabilesc astfel încât, în funcție de cunoștințele științifice și de experiența dobândită, imisiile sub aceste valori:</w:t>
      </w:r>
    </w:p>
    <w:p w:rsidR="00F47ACE" w:rsidRPr="00472687" w:rsidRDefault="0052083E" w:rsidP="00472687">
      <w:pPr>
        <w:pStyle w:val="JuQuot"/>
        <w:ind w:left="567"/>
      </w:pPr>
      <w:r>
        <w:t>a) să nu reprezinte un pericol pentru oameni, animale și plante, precum și pentru biocenozele și biotopurile acestora;</w:t>
      </w:r>
    </w:p>
    <w:p w:rsidR="00F47ACE" w:rsidRPr="00472687" w:rsidRDefault="0052083E" w:rsidP="00472687">
      <w:pPr>
        <w:pStyle w:val="JuQuot"/>
        <w:ind w:left="567"/>
      </w:pPr>
      <w:r>
        <w:t>b) să nu afecteze semnificativ bunăstarea populației;</w:t>
      </w:r>
    </w:p>
    <w:p w:rsidR="00F47ACE" w:rsidRPr="00472687" w:rsidRDefault="0052083E" w:rsidP="00472687">
      <w:pPr>
        <w:pStyle w:val="JuQuot"/>
        <w:ind w:left="567"/>
      </w:pPr>
      <w:r>
        <w:t>c) să nu deterioreze clădirile;</w:t>
      </w:r>
    </w:p>
    <w:p w:rsidR="00F47ACE" w:rsidRPr="00472687" w:rsidRDefault="0052083E" w:rsidP="00472687">
      <w:pPr>
        <w:pStyle w:val="JuQuot"/>
        <w:ind w:left="567"/>
      </w:pPr>
      <w:r>
        <w:t>d) să nu afecteze fertilitatea solului, vegetația sau calitatea apei. ”</w:t>
      </w:r>
    </w:p>
    <w:p w:rsidR="00F47ACE" w:rsidRPr="00472687" w:rsidRDefault="0052083E" w:rsidP="00472687">
      <w:pPr>
        <w:pStyle w:val="JuHA"/>
        <w:numPr>
          <w:ilvl w:val="2"/>
          <w:numId w:val="28"/>
        </w:numPr>
      </w:pPr>
      <w:bookmarkStart w:id="116" w:name="_Toc149127510"/>
      <w:bookmarkStart w:id="117" w:name="_Toc158019689"/>
      <w:bookmarkStart w:id="118" w:name="_Toc199273435"/>
      <w:r>
        <w:t>Legea privind emisiile de CO</w:t>
      </w:r>
      <w:r>
        <w:rPr>
          <w:vertAlign w:val="subscript"/>
        </w:rPr>
        <w:t>2</w:t>
      </w:r>
      <w:bookmarkEnd w:id="116"/>
      <w:bookmarkEnd w:id="117"/>
      <w:bookmarkEnd w:id="118"/>
    </w:p>
    <w:bookmarkStart w:id="119" w:name="paragraph00123"/>
    <w:p w:rsidR="00F47ACE" w:rsidRPr="00472687" w:rsidRDefault="0052083E" w:rsidP="00472687">
      <w:pPr>
        <w:pStyle w:val="JuPara"/>
        <w:rPr>
          <w:b/>
          <w:bCs/>
        </w:rPr>
      </w:pPr>
      <w:r w:rsidRPr="00472687">
        <w:fldChar w:fldCharType="begin"/>
      </w:r>
      <w:r w:rsidRPr="00472687">
        <w:instrText xml:space="preserve"> SEQ level0 \*arabic \* MERGEFORMAT </w:instrText>
      </w:r>
      <w:r w:rsidRPr="00472687">
        <w:fldChar w:fldCharType="separate"/>
      </w:r>
      <w:r w:rsidR="00472687" w:rsidRPr="00472687">
        <w:t>123</w:t>
      </w:r>
      <w:r w:rsidRPr="00472687">
        <w:fldChar w:fldCharType="end"/>
      </w:r>
      <w:bookmarkEnd w:id="119"/>
      <w:r>
        <w:t>. Dispozițiile relevante ale Legii federale din 23 decembrie 2011 privind reducerea emisiilor de CO</w:t>
      </w:r>
      <w:r>
        <w:rPr>
          <w:vertAlign w:val="subscript"/>
        </w:rPr>
        <w:t>2</w:t>
      </w:r>
      <w:r>
        <w:t xml:space="preserve"> (loi fédérale du 23 décembre 2011 sur la réduction des émissions de CO</w:t>
      </w:r>
      <w:r>
        <w:rPr>
          <w:vertAlign w:val="subscript"/>
        </w:rPr>
        <w:t>2</w:t>
      </w:r>
      <w:r>
        <w:t>) („Legea privind emisiile de CO</w:t>
      </w:r>
      <w:r>
        <w:rPr>
          <w:vertAlign w:val="subscript"/>
        </w:rPr>
        <w:t>2</w:t>
      </w:r>
      <w:r>
        <w:t>”, RS 641.71) au următorul cuprins:</w:t>
      </w:r>
    </w:p>
    <w:p w:rsidR="00F47ACE" w:rsidRPr="00472687" w:rsidRDefault="0052083E" w:rsidP="00472687">
      <w:pPr>
        <w:pStyle w:val="JuHArticle"/>
      </w:pPr>
      <w:r>
        <w:t>Articolul 1 Scop</w:t>
      </w:r>
    </w:p>
    <w:p w:rsidR="00C014F0" w:rsidRPr="00472687" w:rsidRDefault="0052083E" w:rsidP="00472687">
      <w:pPr>
        <w:pStyle w:val="JuQuot"/>
      </w:pPr>
      <w:r>
        <w:t>(1) Prezenta lege urmărește reducerea emisiilor de [GES], în special a emisiilor de CO</w:t>
      </w:r>
      <w:r>
        <w:rPr>
          <w:vertAlign w:val="subscript"/>
        </w:rPr>
        <w:t>2</w:t>
      </w:r>
      <w:r>
        <w:t xml:space="preserve"> cauzate de utilizarea ca surse de energie a materialelor energetice fosile (combustibili și carburanți), cu scopul de a contribui la o limitare a creșterii temperaturii globale sub 2</w:t>
      </w:r>
      <w:r>
        <w:rPr>
          <w:vertAlign w:val="superscript"/>
        </w:rPr>
        <w:t>o</w:t>
      </w:r>
      <w:r>
        <w:t>C.</w:t>
      </w:r>
    </w:p>
    <w:p w:rsidR="00F47ACE" w:rsidRPr="00472687" w:rsidRDefault="0052083E" w:rsidP="00472687">
      <w:pPr>
        <w:pStyle w:val="JuQuot"/>
      </w:pPr>
      <w:r>
        <w:t>[...] ”</w:t>
      </w:r>
    </w:p>
    <w:p w:rsidR="00F47ACE" w:rsidRPr="00472687" w:rsidRDefault="0052083E" w:rsidP="00472687">
      <w:pPr>
        <w:pStyle w:val="JuHArticle"/>
      </w:pPr>
      <w:r>
        <w:t>Articolul 3 Obiectivul de reducere a [GES]</w:t>
      </w:r>
    </w:p>
    <w:p w:rsidR="00F47ACE" w:rsidRPr="00472687" w:rsidRDefault="0052083E" w:rsidP="00472687">
      <w:pPr>
        <w:pStyle w:val="JuQuot"/>
      </w:pPr>
      <w:r>
        <w:t>„(1) Până în 2020, nivelul global de emisii de [GES] generate în Elveția trebuie să fie redus cu 20% față de nivelul din 1990. Consiliul Federal poate stabili obiective sectoriale intermediare.</w:t>
      </w:r>
    </w:p>
    <w:p w:rsidR="00C014F0" w:rsidRPr="00472687" w:rsidRDefault="0052083E" w:rsidP="00472687">
      <w:pPr>
        <w:pStyle w:val="JuQuot"/>
      </w:pPr>
      <w:r>
        <w:t>(1</w:t>
      </w:r>
      <w:r>
        <w:rPr>
          <w:vertAlign w:val="superscript"/>
        </w:rPr>
        <w:t>bis</w:t>
      </w:r>
      <w:r>
        <w:t>) Până în 2024, emisiile de [GES] trebuie să fie reduse cu încă 1,5% pe an față de nivelul din 1990. Consiliul Federal poate stabili obiective sectoriale intermediare.</w:t>
      </w:r>
    </w:p>
    <w:p w:rsidR="00C014F0" w:rsidRPr="00472687" w:rsidRDefault="0052083E" w:rsidP="00472687">
      <w:pPr>
        <w:pStyle w:val="JuQuot"/>
      </w:pPr>
      <w:r>
        <w:t>(1</w:t>
      </w:r>
      <w:r>
        <w:rPr>
          <w:vertAlign w:val="superscript"/>
        </w:rPr>
        <w:t>ter</w:t>
      </w:r>
      <w:r>
        <w:t>) Reducerea emisiilor de [GES] în conformitate cu alineatul 1</w:t>
      </w:r>
      <w:r>
        <w:rPr>
          <w:vertAlign w:val="superscript"/>
        </w:rPr>
        <w:t>bis</w:t>
      </w:r>
      <w:r>
        <w:t xml:space="preserve"> trebuie să se realizeze în proporție de cel puțin 75% prin măsuri adoptate la nivel național.</w:t>
      </w:r>
    </w:p>
    <w:p w:rsidR="00F47ACE" w:rsidRPr="00472687" w:rsidRDefault="0052083E" w:rsidP="00472687">
      <w:pPr>
        <w:pStyle w:val="JuQuot"/>
        <w:rPr>
          <w:b/>
          <w:bCs/>
        </w:rPr>
      </w:pPr>
      <w:r>
        <w:t>[...]</w:t>
      </w:r>
    </w:p>
    <w:p w:rsidR="00C014F0" w:rsidRPr="00472687" w:rsidRDefault="0052083E" w:rsidP="00472687">
      <w:pPr>
        <w:pStyle w:val="JuQuot"/>
      </w:pPr>
      <w:r>
        <w:t>(3) Volumul total de emisii [GES] se calculează pe baza [GES] emise în Elveția. Nu se iau în considerare emisiile generate de combustibilii de aviație utilizați pentru zborurile internaționale.</w:t>
      </w:r>
    </w:p>
    <w:p w:rsidR="00F47ACE" w:rsidRPr="00472687" w:rsidRDefault="0052083E" w:rsidP="00472687">
      <w:pPr>
        <w:pStyle w:val="JuQuot"/>
      </w:pPr>
      <w:r>
        <w:t>[...]</w:t>
      </w:r>
    </w:p>
    <w:p w:rsidR="00F47ACE" w:rsidRPr="00472687" w:rsidRDefault="0052083E" w:rsidP="00472687">
      <w:pPr>
        <w:pStyle w:val="JuQuot"/>
      </w:pPr>
      <w:r>
        <w:t>(4) Consiliul Federal poate, de comun acord cu părțile interesate relevante, să stabilească obiective specifice pentru anumite sectoare economice.</w:t>
      </w:r>
    </w:p>
    <w:p w:rsidR="00F47ACE" w:rsidRPr="00472687" w:rsidRDefault="0052083E" w:rsidP="00472687">
      <w:pPr>
        <w:pStyle w:val="JuQuot"/>
      </w:pPr>
      <w:r>
        <w:t>5) Acesta prezintă Adunării Federale, în timp util, propuneri privind obiectivele pentru perioada ulterioară anului 2020. Acesta consultă în prealabil părțile în cauză. ”</w:t>
      </w:r>
    </w:p>
    <w:p w:rsidR="00F47ACE" w:rsidRPr="00472687" w:rsidRDefault="00C71855" w:rsidP="00472687">
      <w:pPr>
        <w:pStyle w:val="JuPara"/>
        <w:tabs>
          <w:tab w:val="left" w:pos="1244"/>
        </w:tabs>
      </w:pPr>
      <w:fldSimple w:instr=" SEQ level0 \*arabic \* MERGEFORMAT ">
        <w:r w:rsidR="00472687" w:rsidRPr="00472687">
          <w:t>124</w:t>
        </w:r>
      </w:fldSimple>
      <w:r w:rsidR="00B71F73">
        <w:t>. Consiliul Federal a stabilit obiective intermediare pentru diferite sectoare [articolul 3 § 1 din Ordonanța privind reducerea emisiilor de CO</w:t>
      </w:r>
      <w:r w:rsidR="00B71F73">
        <w:rPr>
          <w:vertAlign w:val="subscript"/>
        </w:rPr>
        <w:t>2</w:t>
      </w:r>
      <w:r w:rsidR="00B71F73">
        <w:t xml:space="preserve"> </w:t>
      </w:r>
      <w:r w:rsidR="00B71F73">
        <w:lastRenderedPageBreak/>
        <w:t>(„Ordonanța privind emisiile de CO</w:t>
      </w:r>
      <w:r w:rsidR="00B71F73">
        <w:rPr>
          <w:vertAlign w:val="subscript"/>
        </w:rPr>
        <w:t>2</w:t>
      </w:r>
      <w:r w:rsidR="00B71F73">
        <w:t>”, RS 641.711), coroborat cu articolul 3 § 1 alineatul 2 din Legea privind emisiile de CO</w:t>
      </w:r>
      <w:r w:rsidR="00B71F73">
        <w:rPr>
          <w:vertAlign w:val="subscript"/>
        </w:rPr>
        <w:t>2</w:t>
      </w:r>
      <w:r w:rsidR="00B71F73">
        <w:t>]. În cazul în care nu este realizat un obiectiv sectorial intermediar, DETEC, după consultarea cantoanelor și a părților interesate în cauză, solicită Consiliului Federal să ia măsuri suplimentare (articolul 3 § 2 din Ordonanța privind emisiile de CO</w:t>
      </w:r>
      <w:r w:rsidR="00B71F73">
        <w:rPr>
          <w:vertAlign w:val="subscript"/>
        </w:rPr>
        <w:t>2</w:t>
      </w:r>
      <w:r w:rsidR="00B71F73">
        <w:t>); sau, în sectorul combustibililor, taxa pe CO</w:t>
      </w:r>
      <w:r w:rsidR="00B71F73">
        <w:rPr>
          <w:vertAlign w:val="subscript"/>
        </w:rPr>
        <w:t>2</w:t>
      </w:r>
      <w:r w:rsidR="00B71F73">
        <w:t xml:space="preserve"> se majorează automat (articolul 94 § 1 din Ordonanța privind emisiile de CO</w:t>
      </w:r>
      <w:r w:rsidR="00B71F73">
        <w:rPr>
          <w:vertAlign w:val="subscript"/>
        </w:rPr>
        <w:t>2</w:t>
      </w:r>
      <w:r w:rsidR="00B71F73">
        <w:t>, coroborat cu articolul 29 din Legea privind emisiile de CO</w:t>
      </w:r>
      <w:r w:rsidR="00B71F73">
        <w:rPr>
          <w:vertAlign w:val="subscript"/>
        </w:rPr>
        <w:t>2</w:t>
      </w:r>
      <w:r w:rsidR="00B71F73">
        <w:t>). Legea privind emisiile de CO</w:t>
      </w:r>
      <w:r w:rsidR="00B71F73">
        <w:rPr>
          <w:vertAlign w:val="subscript"/>
        </w:rPr>
        <w:t>2</w:t>
      </w:r>
      <w:r w:rsidR="00B71F73">
        <w:t xml:space="preserve"> prevede diverse măsuri pentru atingerea obiectivului de reducere a emisiilor. Este vorba, în primul rând, despre măsuri tehnice de reducere a emisiilor de CO</w:t>
      </w:r>
      <w:r w:rsidR="00B71F73">
        <w:rPr>
          <w:vertAlign w:val="subscript"/>
        </w:rPr>
        <w:t>2</w:t>
      </w:r>
      <w:r w:rsidR="00B71F73">
        <w:t xml:space="preserve"> în sectorul construcțiilor (adoptarea de către cantoane a unor standarde de construcție aplicabile clădirilor noi și vechi, însoțită de obligația de raportare către FOEN – articolul 9 din Legea privind emisiile de CO</w:t>
      </w:r>
      <w:r w:rsidR="00B71F73">
        <w:rPr>
          <w:vertAlign w:val="subscript"/>
        </w:rPr>
        <w:t>2</w:t>
      </w:r>
      <w:r w:rsidR="00B71F73">
        <w:t>, coroborat cu articolul 16 din Ordonanța privind emisiile de CO</w:t>
      </w:r>
      <w:r w:rsidR="00B71F73">
        <w:rPr>
          <w:vertAlign w:val="subscript"/>
        </w:rPr>
        <w:t>2</w:t>
      </w:r>
      <w:r w:rsidR="00B71F73">
        <w:t>) și în sectorul transporturilor (valori-țintă globale pentru emisiile de CO</w:t>
      </w:r>
      <w:r w:rsidR="00B71F73">
        <w:rPr>
          <w:vertAlign w:val="subscript"/>
        </w:rPr>
        <w:t>2</w:t>
      </w:r>
      <w:r w:rsidR="00B71F73">
        <w:t xml:space="preserve"> generate de toate autoturismele noi puse în circulație în Elveția, precum și, de la 1 ianuarie 2018, pentru vehiculele pentru livrări și vehicule utilitare ușoare puse în circulație pentru prima dată – combinate cu valori-țintă specifice și penalități cu titlu cominatoriu – articolul 10 și următoarele din Legea privind emisiile de CO</w:t>
      </w:r>
      <w:r w:rsidR="00B71F73">
        <w:rPr>
          <w:vertAlign w:val="subscript"/>
        </w:rPr>
        <w:t>2</w:t>
      </w:r>
      <w:r w:rsidR="00B71F73">
        <w:t>).</w:t>
      </w:r>
    </w:p>
    <w:p w:rsidR="00C014F0" w:rsidRPr="00472687" w:rsidRDefault="00C71855" w:rsidP="00472687">
      <w:pPr>
        <w:pStyle w:val="JuPara"/>
      </w:pPr>
      <w:fldSimple w:instr=" SEQ level0 \*arabic \* MERGEFORMAT ">
        <w:r w:rsidR="00472687" w:rsidRPr="00472687">
          <w:t>125</w:t>
        </w:r>
      </w:fldSimple>
      <w:r w:rsidR="00B71F73">
        <w:t>. În sectorul transporturilor, o parte din emisiile de CO</w:t>
      </w:r>
      <w:r w:rsidR="00B71F73">
        <w:rPr>
          <w:vertAlign w:val="subscript"/>
        </w:rPr>
        <w:t>2</w:t>
      </w:r>
      <w:r w:rsidR="00B71F73">
        <w:t xml:space="preserve"> generate de utilizarea carburanților ca surse de energie trebuie compensată, de exemplu prin proiecte de reducere a emisiilor. Consiliul Federal stabilește rata de compensare, printre altele, în funcție de realizarea obiectivului de reducere menționat la articolul 3 din Legea privind emisiile de CO</w:t>
      </w:r>
      <w:r w:rsidR="00B71F73">
        <w:rPr>
          <w:vertAlign w:val="subscript"/>
        </w:rPr>
        <w:t>2</w:t>
      </w:r>
      <w:r w:rsidR="00B71F73">
        <w:t xml:space="preserve"> (articolul 26 § 1 și § 2 din Legea privind emisiile de CO</w:t>
      </w:r>
      <w:r w:rsidR="00B71F73">
        <w:rPr>
          <w:vertAlign w:val="subscript"/>
        </w:rPr>
        <w:t>2</w:t>
      </w:r>
      <w:r w:rsidR="00B71F73">
        <w:t>, coroborat cu articolul 89 § 1 din Ordonanța privind emisiile de CO</w:t>
      </w:r>
      <w:r w:rsidR="00B71F73">
        <w:rPr>
          <w:vertAlign w:val="subscript"/>
        </w:rPr>
        <w:t>2</w:t>
      </w:r>
      <w:r w:rsidR="00B71F73">
        <w:t>).</w:t>
      </w:r>
    </w:p>
    <w:p w:rsidR="00F47ACE" w:rsidRPr="00472687" w:rsidRDefault="00C71855" w:rsidP="00472687">
      <w:pPr>
        <w:pStyle w:val="JuPara"/>
      </w:pPr>
      <w:fldSimple w:instr=" SEQ level0 \*arabic \* MERGEFORMAT ">
        <w:r w:rsidR="00472687" w:rsidRPr="00472687">
          <w:t>126</w:t>
        </w:r>
      </w:fldSimple>
      <w:r w:rsidR="00B71F73">
        <w:t>. Guvernul federal percepe taxa pe CO</w:t>
      </w:r>
      <w:r w:rsidR="00B71F73">
        <w:rPr>
          <w:vertAlign w:val="subscript"/>
        </w:rPr>
        <w:t>2</w:t>
      </w:r>
      <w:r w:rsidR="00B71F73">
        <w:t xml:space="preserve"> sus-menționată pentru producția, extracția și importul de combustibili (articolul 29 din Legea privind emisiile de CO</w:t>
      </w:r>
      <w:r w:rsidR="00B71F73">
        <w:rPr>
          <w:vertAlign w:val="subscript"/>
        </w:rPr>
        <w:t>2</w:t>
      </w:r>
      <w:r w:rsidR="00B71F73">
        <w:t>). Aplicarea Legii privind emisiile de CO</w:t>
      </w:r>
      <w:r w:rsidR="00B71F73">
        <w:rPr>
          <w:vertAlign w:val="subscript"/>
        </w:rPr>
        <w:t>2</w:t>
      </w:r>
      <w:r w:rsidR="00B71F73">
        <w:t xml:space="preserve"> și adoptarea unor dispoziții de punere în aplicare țin de responsabilitatea Consiliului Federal (articolul 39 § 1 din Legea privind emisiile de CO</w:t>
      </w:r>
      <w:r w:rsidR="00B71F73">
        <w:rPr>
          <w:vertAlign w:val="subscript"/>
        </w:rPr>
        <w:t>2</w:t>
      </w:r>
      <w:r w:rsidR="00B71F73">
        <w:t>). Aceasta evaluează periodic eficacitatea măsurilor prevăzute de lege și necesitatea unor măsuri suplimentare (articolul 40 § 1 din Legea privind emisiile de CO</w:t>
      </w:r>
      <w:r w:rsidR="00B71F73">
        <w:rPr>
          <w:vertAlign w:val="subscript"/>
        </w:rPr>
        <w:t>2</w:t>
      </w:r>
      <w:r w:rsidR="00B71F73">
        <w:t>). Departamentul Federal pentru Mediu este responsabil pentru punerea în aplicare a Ordonanței privind emisiile de CO</w:t>
      </w:r>
      <w:r w:rsidR="00B71F73">
        <w:rPr>
          <w:vertAlign w:val="subscript"/>
        </w:rPr>
        <w:t>2</w:t>
      </w:r>
      <w:r w:rsidR="00B71F73">
        <w:t xml:space="preserve"> (articolul 130 § 1 din Ordonanța privind emisiile de CO</w:t>
      </w:r>
      <w:r w:rsidR="00B71F73">
        <w:rPr>
          <w:vertAlign w:val="subscript"/>
        </w:rPr>
        <w:t>2</w:t>
      </w:r>
      <w:r w:rsidR="00B71F73">
        <w:t>).</w:t>
      </w:r>
    </w:p>
    <w:p w:rsidR="00F47ACE" w:rsidRPr="00472687" w:rsidRDefault="0052083E" w:rsidP="00472687">
      <w:pPr>
        <w:pStyle w:val="JuHA"/>
        <w:numPr>
          <w:ilvl w:val="2"/>
          <w:numId w:val="28"/>
        </w:numPr>
      </w:pPr>
      <w:bookmarkStart w:id="120" w:name="_Toc149127511"/>
      <w:bookmarkStart w:id="121" w:name="_Toc158019690"/>
      <w:bookmarkStart w:id="122" w:name="_Toc199273436"/>
      <w:r>
        <w:t>Legea privind clima</w:t>
      </w:r>
      <w:bookmarkEnd w:id="120"/>
      <w:bookmarkEnd w:id="121"/>
      <w:bookmarkEnd w:id="122"/>
    </w:p>
    <w:p w:rsidR="00C014F0" w:rsidRPr="00472687" w:rsidRDefault="00C71855" w:rsidP="00472687">
      <w:pPr>
        <w:pStyle w:val="JuPara"/>
      </w:pPr>
      <w:fldSimple w:instr=" SEQ level0 \*arabic \* MERGEFORMAT ">
        <w:r w:rsidR="00472687" w:rsidRPr="00472687">
          <w:t>127</w:t>
        </w:r>
      </w:fldSimple>
      <w:r w:rsidR="00B71F73">
        <w:t xml:space="preserve">. Dispozițiile relevante ale Legii federale din 30 septembrie 2022 privind obiectivele de protecție a climei, inovarea și consolidarea securității energetice (loi fédérale du 30 septembre 2022 sur les objectifs en matière de protection du climat, sur l’innovation et sur le renforcement de la sécurité </w:t>
      </w:r>
      <w:r w:rsidR="00B71F73">
        <w:lastRenderedPageBreak/>
        <w:t>énergétique) („Legea privind clima”, FF 2022 2403) sunt redactate după cum urmează:</w:t>
      </w:r>
    </w:p>
    <w:p w:rsidR="00F47ACE" w:rsidRPr="00472687" w:rsidRDefault="0052083E" w:rsidP="00472687">
      <w:pPr>
        <w:pStyle w:val="JuHArticle"/>
      </w:pPr>
      <w:r>
        <w:t>Articolul 1 Scop</w:t>
      </w:r>
    </w:p>
    <w:p w:rsidR="00F47ACE" w:rsidRPr="00472687" w:rsidRDefault="0052083E" w:rsidP="00472687">
      <w:pPr>
        <w:pStyle w:val="JuQuot"/>
      </w:pPr>
      <w:r>
        <w:t>„Scopul prezentei legi este de a stabili următoarele obiective, în conformitate cu Acordul din 12 decembrie 2015 privind clima:</w:t>
      </w:r>
    </w:p>
    <w:p w:rsidR="00F47ACE" w:rsidRPr="00472687" w:rsidRDefault="0052083E" w:rsidP="00472687">
      <w:pPr>
        <w:pStyle w:val="JuQuot"/>
        <w:ind w:left="567"/>
      </w:pPr>
      <w:r>
        <w:t>a) reducerea emisiilor de [GES] și utilizarea unor tehnologii cu emisii negative;</w:t>
      </w:r>
    </w:p>
    <w:p w:rsidR="00F47ACE" w:rsidRPr="00472687" w:rsidRDefault="0052083E" w:rsidP="00472687">
      <w:pPr>
        <w:pStyle w:val="JuQuot"/>
        <w:ind w:left="567"/>
      </w:pPr>
      <w:r>
        <w:t>b) adaptarea și protecția împotriva efectelor schimbărilor climatice;</w:t>
      </w:r>
    </w:p>
    <w:p w:rsidR="00F47ACE" w:rsidRPr="00472687" w:rsidRDefault="0052083E" w:rsidP="00472687">
      <w:pPr>
        <w:pStyle w:val="JuQuot"/>
        <w:ind w:left="567"/>
      </w:pPr>
      <w:r>
        <w:t>c) orientarea fluxurilor financiare astfel încât acestea să fie compatibile cu o dezvoltare bazată pe emisii reduse și rezistentă la efectele schimbărilor climatice. ”</w:t>
      </w:r>
    </w:p>
    <w:p w:rsidR="00F47ACE" w:rsidRPr="00472687" w:rsidRDefault="0052083E" w:rsidP="00472687">
      <w:pPr>
        <w:pStyle w:val="JuHArticle"/>
      </w:pPr>
      <w:r>
        <w:t>Articolul 3 – Obiective privind reducerea emisiilor și tehnologiile cu emisii negative</w:t>
      </w:r>
    </w:p>
    <w:p w:rsidR="00F47ACE" w:rsidRPr="00472687" w:rsidRDefault="0052083E" w:rsidP="00472687">
      <w:pPr>
        <w:pStyle w:val="JuQuot"/>
        <w:tabs>
          <w:tab w:val="left" w:pos="2339"/>
        </w:tabs>
      </w:pPr>
      <w:r>
        <w:t>„1) Confederația se asigură că efectul emisiilor antropice de [GES] generate în Elveția este redus la zero până în 2050 (obiectivul zero emisii nete) prin intermediul următoarelor măsuri:</w:t>
      </w:r>
    </w:p>
    <w:p w:rsidR="00F47ACE" w:rsidRPr="00472687" w:rsidRDefault="0052083E" w:rsidP="00472687">
      <w:pPr>
        <w:pStyle w:val="JuQuot"/>
        <w:tabs>
          <w:tab w:val="left" w:pos="2339"/>
        </w:tabs>
        <w:ind w:left="567"/>
      </w:pPr>
      <w:r>
        <w:t>a) reducerea la minimum a emisiilor de [GES], și</w:t>
      </w:r>
    </w:p>
    <w:p w:rsidR="00F47ACE" w:rsidRPr="00472687" w:rsidRDefault="0052083E" w:rsidP="00472687">
      <w:pPr>
        <w:pStyle w:val="JuQuot"/>
        <w:tabs>
          <w:tab w:val="left" w:pos="2339"/>
        </w:tabs>
        <w:ind w:left="567"/>
      </w:pPr>
      <w:r>
        <w:t>b) compensarea efectului emisiilor de [GES] rămase, prin utilizarea tehnologiilor cu emisii negative în Elveția și în străinătate.</w:t>
      </w:r>
    </w:p>
    <w:p w:rsidR="00F47ACE" w:rsidRPr="00472687" w:rsidRDefault="0052083E" w:rsidP="00472687">
      <w:pPr>
        <w:pStyle w:val="JuQuot"/>
        <w:tabs>
          <w:tab w:val="left" w:pos="2339"/>
        </w:tabs>
      </w:pPr>
      <w:r>
        <w:t>2) După 2050, cantitatea de CO</w:t>
      </w:r>
      <w:r>
        <w:rPr>
          <w:vertAlign w:val="subscript"/>
        </w:rPr>
        <w:t>2</w:t>
      </w:r>
      <w:r>
        <w:t xml:space="preserve"> extrasă și stocată utilizând tehnologii cu emisii negative trebuie să depășească emisiile de [GES] rămase.</w:t>
      </w:r>
    </w:p>
    <w:p w:rsidR="00F47ACE" w:rsidRPr="00472687" w:rsidRDefault="0052083E" w:rsidP="00472687">
      <w:pPr>
        <w:pStyle w:val="JuQuot"/>
        <w:tabs>
          <w:tab w:val="left" w:pos="2339"/>
        </w:tabs>
      </w:pPr>
      <w:r>
        <w:t>3) Confederația se asigură că emisiile de [GES] sunt reduse în comparație cu nivelurile din 1990; obiectivele intermediare sunt următoarele:</w:t>
      </w:r>
    </w:p>
    <w:p w:rsidR="00F47ACE" w:rsidRPr="00472687" w:rsidRDefault="0052083E" w:rsidP="00472687">
      <w:pPr>
        <w:pStyle w:val="JuQuot"/>
        <w:tabs>
          <w:tab w:val="left" w:pos="2339"/>
        </w:tabs>
        <w:ind w:left="567"/>
      </w:pPr>
      <w:r>
        <w:t>a) între 2031 și 2040: cel puțin 64% în medie;</w:t>
      </w:r>
    </w:p>
    <w:p w:rsidR="00F47ACE" w:rsidRPr="00472687" w:rsidRDefault="0052083E" w:rsidP="00472687">
      <w:pPr>
        <w:pStyle w:val="JuQuot"/>
        <w:tabs>
          <w:tab w:val="left" w:pos="2339"/>
        </w:tabs>
        <w:ind w:left="567"/>
      </w:pPr>
      <w:r>
        <w:t>b) până în 2040: cel puțin 75%;</w:t>
      </w:r>
    </w:p>
    <w:p w:rsidR="00F47ACE" w:rsidRPr="00472687" w:rsidRDefault="0052083E" w:rsidP="00472687">
      <w:pPr>
        <w:pStyle w:val="JuQuot"/>
        <w:tabs>
          <w:tab w:val="left" w:pos="2339"/>
        </w:tabs>
        <w:ind w:left="567"/>
      </w:pPr>
      <w:r>
        <w:t>c) între 2041 și 2050: cel puțin 89% în medie.</w:t>
      </w:r>
    </w:p>
    <w:p w:rsidR="00F47ACE" w:rsidRPr="00472687" w:rsidRDefault="0052083E" w:rsidP="00472687">
      <w:pPr>
        <w:pStyle w:val="JuQuot"/>
        <w:tabs>
          <w:tab w:val="left" w:pos="2339"/>
        </w:tabs>
      </w:pPr>
      <w:r>
        <w:t>4) Obiectivele de reducere trebuie să fie fezabile din punct de vedere tehnic și sustenabile din punct de vedere economic. Acestea trebuie realizate, pe cât posibil, prin reducerea emisiilor generate în Elveția.</w:t>
      </w:r>
    </w:p>
    <w:p w:rsidR="00F47ACE" w:rsidRPr="00472687" w:rsidRDefault="0052083E" w:rsidP="00472687">
      <w:pPr>
        <w:pStyle w:val="JuQuot"/>
        <w:tabs>
          <w:tab w:val="left" w:pos="2339"/>
        </w:tabs>
      </w:pPr>
      <w:r>
        <w:t>5) În limitele competențelor lor, Confederația și cantoanele se asigură că, până cel târziu în 2050, în Elveția și în străinătate sunt disponibili absorbanții de carbon în cantități suficiente pentru a atinge obiectivul zero emisii nete. Consiliul Federal poate stabili valori orientative pentru utilizarea tehnologiilor cu emisii negative.</w:t>
      </w:r>
    </w:p>
    <w:p w:rsidR="00F47ACE" w:rsidRPr="00472687" w:rsidRDefault="0052083E" w:rsidP="00472687">
      <w:pPr>
        <w:pStyle w:val="JuQuot"/>
        <w:tabs>
          <w:tab w:val="left" w:pos="2339"/>
        </w:tabs>
      </w:pPr>
      <w:r>
        <w:t>6) Emisiile generate de combustibilii alimentați în Elveția pentru transportul aerian și maritim internațional sunt luate în considerare în vederea atingerii obiectivelor stabilite la alin. 1 și 2. ”</w:t>
      </w:r>
    </w:p>
    <w:p w:rsidR="00F47ACE" w:rsidRPr="00472687" w:rsidRDefault="0052083E" w:rsidP="00472687">
      <w:pPr>
        <w:pStyle w:val="JuHArticle"/>
      </w:pPr>
      <w:r>
        <w:t>Articolul 4 – Valori orientative pentru diferite sectoare</w:t>
      </w:r>
    </w:p>
    <w:p w:rsidR="00F47ACE" w:rsidRPr="00472687" w:rsidRDefault="0052083E" w:rsidP="00472687">
      <w:pPr>
        <w:pStyle w:val="JuQuot"/>
        <w:tabs>
          <w:tab w:val="left" w:pos="2339"/>
        </w:tabs>
      </w:pPr>
      <w:r>
        <w:t>„1) Obiectivele de reducere prevăzute la art. 3 alin. 1 și 3 trebuie să fie realizate printr-o reducere minimă a emisiilor de [GES] în Elveția față de nivelurile din 1990, după cum urmează:</w:t>
      </w:r>
    </w:p>
    <w:p w:rsidR="00F47ACE" w:rsidRPr="00472687" w:rsidRDefault="0052083E" w:rsidP="00472687">
      <w:pPr>
        <w:pStyle w:val="JuQuot"/>
        <w:tabs>
          <w:tab w:val="left" w:pos="2339"/>
        </w:tabs>
        <w:ind w:firstLine="295"/>
      </w:pPr>
      <w:r>
        <w:t>a) în sectorul construcțiilor:</w:t>
      </w:r>
    </w:p>
    <w:p w:rsidR="00F47ACE" w:rsidRPr="00472687" w:rsidRDefault="0052083E" w:rsidP="00472687">
      <w:pPr>
        <w:pStyle w:val="JuQuot"/>
        <w:tabs>
          <w:tab w:val="left" w:pos="2339"/>
        </w:tabs>
        <w:ind w:left="709"/>
      </w:pPr>
      <w:r>
        <w:t>1. până în 2040: de 82%,</w:t>
      </w:r>
    </w:p>
    <w:p w:rsidR="00F47ACE" w:rsidRPr="00472687" w:rsidRDefault="0052083E" w:rsidP="00472687">
      <w:pPr>
        <w:pStyle w:val="JuQuot"/>
        <w:tabs>
          <w:tab w:val="left" w:pos="2339"/>
        </w:tabs>
        <w:ind w:left="709"/>
      </w:pPr>
      <w:r>
        <w:lastRenderedPageBreak/>
        <w:t>2. până în 2050: de 100%;</w:t>
      </w:r>
    </w:p>
    <w:p w:rsidR="00F47ACE" w:rsidRPr="00472687" w:rsidRDefault="0052083E" w:rsidP="00472687">
      <w:pPr>
        <w:pStyle w:val="JuQuot"/>
        <w:tabs>
          <w:tab w:val="left" w:pos="2339"/>
        </w:tabs>
        <w:ind w:firstLine="295"/>
      </w:pPr>
      <w:r>
        <w:t>b) în sectorul transporturilor:</w:t>
      </w:r>
    </w:p>
    <w:p w:rsidR="00F47ACE" w:rsidRPr="00472687" w:rsidRDefault="0052083E" w:rsidP="00472687">
      <w:pPr>
        <w:pStyle w:val="JuQuot"/>
        <w:tabs>
          <w:tab w:val="left" w:pos="2339"/>
        </w:tabs>
        <w:ind w:left="709"/>
      </w:pPr>
      <w:r>
        <w:t>1. până în 2040: de 57%,</w:t>
      </w:r>
    </w:p>
    <w:p w:rsidR="00F47ACE" w:rsidRPr="00472687" w:rsidRDefault="0052083E" w:rsidP="00472687">
      <w:pPr>
        <w:pStyle w:val="JuQuot"/>
        <w:tabs>
          <w:tab w:val="left" w:pos="2339"/>
        </w:tabs>
        <w:ind w:left="709"/>
      </w:pPr>
      <w:r>
        <w:t>2. până în 2050: de 100%;</w:t>
      </w:r>
    </w:p>
    <w:p w:rsidR="00F47ACE" w:rsidRPr="00472687" w:rsidRDefault="0052083E" w:rsidP="00472687">
      <w:pPr>
        <w:pStyle w:val="JuQuot"/>
        <w:tabs>
          <w:tab w:val="left" w:pos="2339"/>
        </w:tabs>
        <w:ind w:firstLine="295"/>
      </w:pPr>
      <w:r>
        <w:t>c) în sectorul industrial:</w:t>
      </w:r>
    </w:p>
    <w:p w:rsidR="00F47ACE" w:rsidRPr="00472687" w:rsidRDefault="0052083E" w:rsidP="00472687">
      <w:pPr>
        <w:pStyle w:val="JuQuot"/>
        <w:tabs>
          <w:tab w:val="left" w:pos="2339"/>
        </w:tabs>
        <w:ind w:left="709"/>
      </w:pPr>
      <w:r>
        <w:t>1. până în 2040: de 50%,</w:t>
      </w:r>
    </w:p>
    <w:p w:rsidR="00F47ACE" w:rsidRPr="00472687" w:rsidRDefault="0052083E" w:rsidP="00472687">
      <w:pPr>
        <w:pStyle w:val="JuQuot"/>
        <w:tabs>
          <w:tab w:val="left" w:pos="2339"/>
        </w:tabs>
        <w:ind w:left="709"/>
      </w:pPr>
      <w:r>
        <w:t>2. până în 2050: de 90%.</w:t>
      </w:r>
    </w:p>
    <w:p w:rsidR="00F47ACE" w:rsidRPr="00472687" w:rsidRDefault="0052083E" w:rsidP="00472687">
      <w:pPr>
        <w:pStyle w:val="JuQuot"/>
        <w:tabs>
          <w:tab w:val="left" w:pos="2339"/>
        </w:tabs>
      </w:pPr>
      <w:r>
        <w:t>2) După consultarea părților interesate în cauză, Consiliul Federal poate, în conformitate cu alin. 1, să stabilească valori orientative pentru alte sectoare, precum și pentru [GES] și emisiile generate de materialele energetice fosile. Acesta ține seama de cele mai recente cunoștințe științifice, de noile tehnologii disponibile și de evoluțiile din cadrul Uniunii Europene. ”</w:t>
      </w:r>
    </w:p>
    <w:p w:rsidR="00F47ACE" w:rsidRPr="00472687" w:rsidRDefault="0052083E" w:rsidP="00472687">
      <w:pPr>
        <w:pStyle w:val="JuHArticle"/>
      </w:pPr>
      <w:r>
        <w:t>Articolul 11 – Punerea în aplicare a obiectivelor</w:t>
      </w:r>
    </w:p>
    <w:p w:rsidR="00F47ACE" w:rsidRPr="00472687" w:rsidRDefault="0052083E" w:rsidP="00472687">
      <w:pPr>
        <w:pStyle w:val="JuQuot"/>
        <w:tabs>
          <w:tab w:val="left" w:pos="2339"/>
        </w:tabs>
      </w:pPr>
      <w:r>
        <w:t>„1) După ascultarea opiniilor părților relevante și ținând seama de cele mai recente cunoștințe științifice, Consiliul Federal prezintă Adunării Federale, în timp util, propuneri pentru punerea în aplicare a obiectivelor prezentei legi:</w:t>
      </w:r>
    </w:p>
    <w:p w:rsidR="00F47ACE" w:rsidRPr="00472687" w:rsidRDefault="0052083E" w:rsidP="00472687">
      <w:pPr>
        <w:pStyle w:val="JuQuot"/>
        <w:tabs>
          <w:tab w:val="left" w:pos="2339"/>
        </w:tabs>
        <w:ind w:left="567"/>
      </w:pPr>
      <w:r>
        <w:t>a) pentru perioada 2025-2030;</w:t>
      </w:r>
    </w:p>
    <w:p w:rsidR="00F47ACE" w:rsidRPr="00472687" w:rsidRDefault="0052083E" w:rsidP="00472687">
      <w:pPr>
        <w:pStyle w:val="JuQuot"/>
        <w:tabs>
          <w:tab w:val="left" w:pos="2339"/>
        </w:tabs>
        <w:ind w:left="567"/>
      </w:pPr>
      <w:r>
        <w:t>b) pentru perioada 2031-2040;</w:t>
      </w:r>
    </w:p>
    <w:p w:rsidR="00F47ACE" w:rsidRPr="00472687" w:rsidRDefault="0052083E" w:rsidP="00472687">
      <w:pPr>
        <w:pStyle w:val="JuQuot"/>
        <w:tabs>
          <w:tab w:val="left" w:pos="2339"/>
        </w:tabs>
        <w:ind w:left="567"/>
      </w:pPr>
      <w:r>
        <w:t>c) pentru perioada 2041-2050.</w:t>
      </w:r>
    </w:p>
    <w:p w:rsidR="00F47ACE" w:rsidRPr="00472687" w:rsidRDefault="0052083E" w:rsidP="00472687">
      <w:pPr>
        <w:pStyle w:val="JuQuot"/>
        <w:tabs>
          <w:tab w:val="left" w:pos="2339"/>
        </w:tabs>
      </w:pPr>
      <w:r>
        <w:t>2) Propunerile menționate la alin. 1 trebuie puse în aplicare în primul rând în Legea din 23 decembrie 2011 privind emisiile de CO</w:t>
      </w:r>
      <w:r>
        <w:rPr>
          <w:vertAlign w:val="subscript"/>
        </w:rPr>
        <w:t>2</w:t>
      </w:r>
      <w:r>
        <w:t>.</w:t>
      </w:r>
    </w:p>
    <w:p w:rsidR="00F47ACE" w:rsidRPr="00472687" w:rsidRDefault="0052083E" w:rsidP="00472687">
      <w:pPr>
        <w:pStyle w:val="JuQuot"/>
        <w:tabs>
          <w:tab w:val="left" w:pos="2339"/>
        </w:tabs>
      </w:pPr>
      <w:r>
        <w:t>3) Propunerile Consiliului Federal vizează consolidarea economiei și asigurarea acceptabilității sociale.</w:t>
      </w:r>
    </w:p>
    <w:p w:rsidR="00F47ACE" w:rsidRPr="00472687" w:rsidRDefault="0052083E" w:rsidP="00472687">
      <w:pPr>
        <w:pStyle w:val="JuQuot"/>
        <w:tabs>
          <w:tab w:val="left" w:pos="2339"/>
        </w:tabs>
      </w:pPr>
      <w:r>
        <w:t>4) În limitele competenței lor, Confederația și cantoanele se angajează să limiteze, în Elveția și la nivel internațional, riscurile și efectele schimbărilor climatice, în conformitate cu obiectivele prezentei legi. ”</w:t>
      </w:r>
    </w:p>
    <w:p w:rsidR="00F47ACE" w:rsidRPr="00472687" w:rsidRDefault="0052083E" w:rsidP="00472687">
      <w:pPr>
        <w:pStyle w:val="JuHA"/>
        <w:numPr>
          <w:ilvl w:val="2"/>
          <w:numId w:val="28"/>
        </w:numPr>
      </w:pPr>
      <w:bookmarkStart w:id="123" w:name="_Toc149127512"/>
      <w:bookmarkStart w:id="124" w:name="_Toc158019691"/>
      <w:bookmarkStart w:id="125" w:name="_Toc199273437"/>
      <w:r>
        <w:t>Legea federală privind procedura administrativă</w:t>
      </w:r>
      <w:bookmarkEnd w:id="123"/>
      <w:bookmarkEnd w:id="124"/>
      <w:bookmarkEnd w:id="125"/>
    </w:p>
    <w:p w:rsidR="00F47ACE" w:rsidRPr="00472687" w:rsidRDefault="00C71855" w:rsidP="00472687">
      <w:pPr>
        <w:pStyle w:val="JuPara"/>
        <w:rPr>
          <w:b/>
          <w:bCs/>
        </w:rPr>
      </w:pPr>
      <w:fldSimple w:instr=" SEQ level0 \*arabic \* MERGEFORMAT ">
        <w:r w:rsidR="00472687" w:rsidRPr="00472687">
          <w:t>128</w:t>
        </w:r>
      </w:fldSimple>
      <w:r w:rsidR="00B71F73">
        <w:t>. Dispoziția relevantă din Legea federală din 20 decembrie 1968 privind procedura administrativă („LPA”, RS 172.021), care stabilește calitatea procesuală pentru a solicita pronunțarea unei decizii referitoare la acte materiale (acte întemeiate pe dreptul public federal, referitoare la drepturi sau obligații, dar care nu rezultă din decizii formale), este următoarea:</w:t>
      </w:r>
    </w:p>
    <w:p w:rsidR="00F47ACE" w:rsidRPr="00472687" w:rsidRDefault="0052083E" w:rsidP="00472687">
      <w:pPr>
        <w:pStyle w:val="JuHArticle"/>
      </w:pPr>
      <w:r>
        <w:t>Articolul 25a Decizia privind actele materiale</w:t>
      </w:r>
    </w:p>
    <w:p w:rsidR="00F47ACE" w:rsidRPr="00472687" w:rsidRDefault="0052083E" w:rsidP="00472687">
      <w:pPr>
        <w:pStyle w:val="JuQuot"/>
      </w:pPr>
      <w:r>
        <w:t>„1) Orice persoană care are un interes demn de protecție poate solicita autorității care are competența de a emite acte întemeiate pe dreptul public federal, referitoare la drepturi sau obligații:</w:t>
      </w:r>
    </w:p>
    <w:p w:rsidR="00F47ACE" w:rsidRPr="00472687" w:rsidRDefault="0052083E" w:rsidP="00472687">
      <w:pPr>
        <w:pStyle w:val="JuQuot"/>
        <w:ind w:left="567"/>
      </w:pPr>
      <w:r>
        <w:t>a) să se abțină de la acte ilicite, să înceteze să realizeze astfel de acte sau să le revoce;</w:t>
      </w:r>
    </w:p>
    <w:p w:rsidR="00F47ACE" w:rsidRPr="00472687" w:rsidRDefault="0052083E" w:rsidP="00472687">
      <w:pPr>
        <w:pStyle w:val="JuQuot"/>
        <w:ind w:left="567"/>
      </w:pPr>
      <w:r>
        <w:lastRenderedPageBreak/>
        <w:t>b) să elimine consecințele actelor ilicite;</w:t>
      </w:r>
    </w:p>
    <w:p w:rsidR="00F47ACE" w:rsidRPr="00472687" w:rsidRDefault="0052083E" w:rsidP="00472687">
      <w:pPr>
        <w:pStyle w:val="JuQuot"/>
        <w:ind w:left="567"/>
      </w:pPr>
      <w:r>
        <w:t>c) să constate nelegalitatea unor astfel de acte.</w:t>
      </w:r>
    </w:p>
    <w:p w:rsidR="00F47ACE" w:rsidRPr="00472687" w:rsidRDefault="0052083E" w:rsidP="00472687">
      <w:pPr>
        <w:pStyle w:val="JuQuot"/>
      </w:pPr>
      <w:r>
        <w:t>2) Autoritatea se pronunță prin decizie. ”</w:t>
      </w:r>
    </w:p>
    <w:p w:rsidR="00F47ACE" w:rsidRPr="00472687" w:rsidRDefault="00C71855" w:rsidP="00472687">
      <w:pPr>
        <w:pStyle w:val="JuPara"/>
      </w:pPr>
      <w:fldSimple w:instr=" SEQ level0 \*arabic \* MERGEFORMAT ">
        <w:r w:rsidR="00472687" w:rsidRPr="00472687">
          <w:t>129</w:t>
        </w:r>
      </w:fldSimple>
      <w:r w:rsidR="00B71F73">
        <w:t xml:space="preserve">. Alte dispoziții relevante ale legii sunt menționate în hotărârea </w:t>
      </w:r>
      <w:r w:rsidR="00B71F73">
        <w:rPr>
          <w:i/>
        </w:rPr>
        <w:t>Athanassoglou și alții împotriva Elveției</w:t>
      </w:r>
      <w:r w:rsidR="00B71F73">
        <w:t xml:space="preserve"> [(MC), nr. 27644/95, pct. 28, CEDO 2000</w:t>
      </w:r>
      <w:r w:rsidR="00B71F73">
        <w:noBreakHyphen/>
        <w:t>IV].</w:t>
      </w:r>
    </w:p>
    <w:p w:rsidR="00F47ACE" w:rsidRPr="00472687" w:rsidRDefault="0052083E" w:rsidP="00472687">
      <w:pPr>
        <w:pStyle w:val="JuHA"/>
        <w:numPr>
          <w:ilvl w:val="2"/>
          <w:numId w:val="28"/>
        </w:numPr>
      </w:pPr>
      <w:bookmarkStart w:id="126" w:name="_Toc149127513"/>
      <w:bookmarkStart w:id="127" w:name="_Toc158019692"/>
      <w:bookmarkStart w:id="128" w:name="_Toc199273438"/>
      <w:r>
        <w:t>Jurisprudența internă relevantă</w:t>
      </w:r>
      <w:bookmarkEnd w:id="126"/>
      <w:bookmarkEnd w:id="127"/>
      <w:bookmarkEnd w:id="128"/>
    </w:p>
    <w:p w:rsidR="00F47ACE" w:rsidRPr="00472687" w:rsidRDefault="00FD3281" w:rsidP="00472687">
      <w:pPr>
        <w:pStyle w:val="JuPara"/>
        <w:tabs>
          <w:tab w:val="left" w:pos="1544"/>
        </w:tabs>
      </w:pPr>
      <w:r>
        <w:fldChar w:fldCharType="begin"/>
      </w:r>
      <w:r>
        <w:instrText xml:space="preserve"> SEQ level0 \*arabic </w:instrText>
      </w:r>
      <w:r>
        <w:fldChar w:fldCharType="separate"/>
      </w:r>
      <w:r w:rsidR="00472687" w:rsidRPr="00472687">
        <w:t>130</w:t>
      </w:r>
      <w:r>
        <w:fldChar w:fldCharType="end"/>
      </w:r>
      <w:r w:rsidR="0052083E">
        <w:t>. Potrivit jurisprudenței Tribunalului Federal, articolul 73 din Constituție nu prevede un recurs individual [ATF (Arrêts du Tribunal fédéral) (hotărâri ale Tribunalului Federal) 132 II 305, punctul 4.3]. Invers, nu este vorba despre o simplă declarație sau un instrument de interpretare, „ci despre o instrucțiune obligatorie adresată autorităților competente” (FOJ, VPB 65.2, A.III). Prin urmare, Constituția consideră că dorința de a asigura durabilitatea este o sarcină permanentă (care nu se încheie niciodată). Destinatarii sunt Confederația și cantoanele, fiecare în limitele competențelor sale. Autoritățile politice (legiuitorul, parlamentul și guvernul) sunt primele vizate; apoi, doar cu titlu subsidiar și în limitele competențelor lor, sunt vizate autoritățile însărcinate cu aplicarea legii.</w:t>
      </w:r>
    </w:p>
    <w:p w:rsidR="00F47ACE" w:rsidRPr="00472687" w:rsidRDefault="00FD3281" w:rsidP="00472687">
      <w:pPr>
        <w:pStyle w:val="JuPara"/>
        <w:tabs>
          <w:tab w:val="left" w:pos="5345"/>
        </w:tabs>
      </w:pPr>
      <w:r>
        <w:fldChar w:fldCharType="begin"/>
      </w:r>
      <w:r>
        <w:instrText xml:space="preserve"> SEQ level0 \*arabic </w:instrText>
      </w:r>
      <w:r>
        <w:fldChar w:fldCharType="separate"/>
      </w:r>
      <w:r w:rsidR="00472687" w:rsidRPr="00472687">
        <w:t>131</w:t>
      </w:r>
      <w:r>
        <w:fldChar w:fldCharType="end"/>
      </w:r>
      <w:r w:rsidR="0052083E">
        <w:t>. La fel ca și articolul 73, articolul 74 din Constituție nu este o normă opozabilă. Această dispoziție oferă pur și simplu orientări pentru legislație. Destinatarul este în primul rând legiuitorul. Cu toate acestea, autoritățile însărcinate cu aplicarea legii trebuie să țină seama de dispozițiile articolului 74 § 2 din Constituție în cadrul și în limitele interpretării constituționale (ATF 132 II 305, punctul 4.3, referitor la noțiunea de precauție). „Principiul precauției”, în calitate de orientare constituțională, urmărește să evite ca lipsa certitudinii științifice să devină un pretext pentru inacțiunea statului (ATF 132 II 305, punctul 4.3). Alineatul 2 conferă legiuitorului (federal) o anumită marjă în ceea ce privește aprecierea și elaborarea măsurilor legislative care urmează să fie adoptate. În conformitate cu articolul 74 § 2 din Constituție, articolul 1 § 2 din Legea privind protecția mediului interpretează acest angajament constituțional în sensul că efectele potențial nocive sau nedorite trebuie să fie „reduse în timp util”.</w:t>
      </w:r>
    </w:p>
    <w:p w:rsidR="00F47ACE" w:rsidRPr="00472687" w:rsidRDefault="00FD3281" w:rsidP="00472687">
      <w:pPr>
        <w:pStyle w:val="JuPara"/>
        <w:tabs>
          <w:tab w:val="left" w:pos="1532"/>
        </w:tabs>
      </w:pPr>
      <w:r>
        <w:fldChar w:fldCharType="begin"/>
      </w:r>
      <w:r>
        <w:instrText xml:space="preserve"> SEQ level0 \*arabic </w:instrText>
      </w:r>
      <w:r>
        <w:fldChar w:fldCharType="separate"/>
      </w:r>
      <w:r w:rsidR="00472687" w:rsidRPr="00472687">
        <w:t>132</w:t>
      </w:r>
      <w:r>
        <w:fldChar w:fldCharType="end"/>
      </w:r>
      <w:r w:rsidR="0052083E">
        <w:t xml:space="preserve">. În plus, articolul 189 § 4 din Constituție exclude controlul abstract al normelor în cadrul unui recurs. Cu toate acestea, nu se opune unei acțiuni concrete în justiție împotriva unei ordonanțe. Nu sunt excluse nici controlul prealabil al unei ordonanțe în circumstanțele specifice ale unei cauze în care a fost aplicată Constituția (controlul concret al normelor; ATF 141 V 473, punctul 8.3, și ATF 141 II 169, punctul 3.4), nici controlul prealabil al unui alt act al Consiliului Federal sau al Parlamentului (ATF 139 II 499, punctul 4.1). Articolul 189 § 4 din Constituție nu permite nici eludarea garanției constituționale a căii de atac prevăzute la articolul 29a din Constituție. </w:t>
      </w:r>
      <w:r w:rsidR="0052083E">
        <w:lastRenderedPageBreak/>
        <w:t>Conținutul acestei ultime dispoziții trebuie să fie luat în considerare la interpretarea și punerea în aplicare a articolului 189 din Constituție; în mod similar, trebuie să se țină seama de cerințele dreptului internațional care decurg din art. 6 § 1 sau art. 13 din Convenție (Mesajul Consiliului Federal care însoțește Constituția, p. 531).</w:t>
      </w:r>
    </w:p>
    <w:p w:rsidR="00F47ACE" w:rsidRPr="00472687" w:rsidRDefault="0052083E" w:rsidP="00472687">
      <w:pPr>
        <w:pStyle w:val="JuHIRoman"/>
        <w:numPr>
          <w:ilvl w:val="1"/>
          <w:numId w:val="28"/>
        </w:numPr>
      </w:pPr>
      <w:bookmarkStart w:id="129" w:name="_Toc149127514"/>
      <w:bookmarkStart w:id="130" w:name="_Toc158019693"/>
      <w:bookmarkStart w:id="131" w:name="_Toc199273439"/>
      <w:r>
        <w:t>TEXTELE INTERNAȚIONALE RELEVANTE</w:t>
      </w:r>
      <w:bookmarkEnd w:id="129"/>
      <w:bookmarkEnd w:id="130"/>
      <w:bookmarkEnd w:id="131"/>
    </w:p>
    <w:p w:rsidR="00F47ACE" w:rsidRPr="00472687" w:rsidRDefault="0052083E" w:rsidP="00472687">
      <w:pPr>
        <w:pStyle w:val="JuHA"/>
        <w:numPr>
          <w:ilvl w:val="2"/>
          <w:numId w:val="28"/>
        </w:numPr>
      </w:pPr>
      <w:bookmarkStart w:id="132" w:name="_Toc149127515"/>
      <w:bookmarkStart w:id="133" w:name="_Toc158019694"/>
      <w:bookmarkStart w:id="134" w:name="_Toc199273440"/>
      <w:r>
        <w:t>Organizația Națiunilor Unite</w:t>
      </w:r>
      <w:bookmarkEnd w:id="132"/>
      <w:bookmarkEnd w:id="133"/>
      <w:bookmarkEnd w:id="134"/>
    </w:p>
    <w:p w:rsidR="00F47ACE" w:rsidRPr="00472687" w:rsidRDefault="0052083E" w:rsidP="00472687">
      <w:pPr>
        <w:pStyle w:val="JuH1"/>
        <w:numPr>
          <w:ilvl w:val="3"/>
          <w:numId w:val="28"/>
        </w:numPr>
      </w:pPr>
      <w:bookmarkStart w:id="135" w:name="_Toc199273441"/>
      <w:r>
        <w:t>Sistemul Convenției-cadru a Națiunilor Unite asupra schimbărilor climatice</w:t>
      </w:r>
      <w:bookmarkEnd w:id="135"/>
    </w:p>
    <w:p w:rsidR="00F47ACE" w:rsidRPr="00472687" w:rsidRDefault="0052083E" w:rsidP="00472687">
      <w:pPr>
        <w:pStyle w:val="JuHa0"/>
        <w:numPr>
          <w:ilvl w:val="4"/>
          <w:numId w:val="28"/>
        </w:numPr>
      </w:pPr>
      <w:bookmarkStart w:id="136" w:name="_Toc199273442"/>
      <w:r>
        <w:t>Convenția-cadru a Națiunilor Unite asupra schimbărilor climatice</w:t>
      </w:r>
      <w:bookmarkEnd w:id="136"/>
    </w:p>
    <w:bookmarkStart w:id="137" w:name="paragraph00133"/>
    <w:p w:rsidR="00C014F0"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133</w:t>
      </w:r>
      <w:r w:rsidRPr="00472687">
        <w:fldChar w:fldCharType="end"/>
      </w:r>
      <w:bookmarkEnd w:id="137"/>
      <w:r>
        <w:t>. Pasajele relevante din UNFCCC sunt redactate după cum urmează:</w:t>
      </w:r>
    </w:p>
    <w:p w:rsidR="00F47ACE" w:rsidRPr="00472687" w:rsidRDefault="0052083E" w:rsidP="00472687">
      <w:pPr>
        <w:pStyle w:val="JuQuot"/>
      </w:pPr>
      <w:r>
        <w:t>„conștiente că schimbările climei planetei și efectele lor nefaste sunt un motiv de îngrijorare pentru întreaga omenire,</w:t>
      </w:r>
    </w:p>
    <w:p w:rsidR="00F47ACE" w:rsidRPr="00472687" w:rsidRDefault="0052083E" w:rsidP="00472687">
      <w:pPr>
        <w:pStyle w:val="JuQuot"/>
      </w:pPr>
      <w:r>
        <w:t>preocupate de faptul că activitatea omenească a făcut să crească sensibil concentrațiile de [GES] în atmosferă, că această creștere intensifică efectul de seră natural și că va rezulta, în medie, o încălzire suplimentară a suprafeței terestre, pe care riscă să o suporte ecosistemele naturale și omenirea,</w:t>
      </w:r>
    </w:p>
    <w:p w:rsidR="00F47ACE" w:rsidRPr="00472687" w:rsidRDefault="0052083E" w:rsidP="00472687">
      <w:pPr>
        <w:pStyle w:val="JuQuot"/>
      </w:pPr>
      <w:r>
        <w:t xml:space="preserve">notând că cea mai mare parte a [GES] emise în lume, în trecut și în momentul de față, își au originea în țările dezvoltate, că emisiile pe locuitor în țările în curs de dezvoltare sunt încă relativ slabe, iar că partea emisiilor totale imputabilă țărilor în curs de dezvoltare va fi în creștere pentru a le putea permite satisfacerea nevoilor lor sociale și de dezvoltare, </w:t>
      </w:r>
    </w:p>
    <w:p w:rsidR="00F47ACE" w:rsidRPr="00472687" w:rsidRDefault="0052083E" w:rsidP="00472687">
      <w:pPr>
        <w:pStyle w:val="JuQuot"/>
      </w:pPr>
      <w:r>
        <w:t>[...]</w:t>
      </w:r>
    </w:p>
    <w:p w:rsidR="00F47ACE" w:rsidRPr="00472687" w:rsidRDefault="0052083E" w:rsidP="00472687">
      <w:pPr>
        <w:pStyle w:val="JuQuot"/>
      </w:pPr>
      <w:r>
        <w:t xml:space="preserve">notând ca prognoza schimbărilor climatice este afectată de un mare număr de incertitudini, mai ales în ceea ce privește derularea lor în timp, amploarea și caracteristicile lor regionale, </w:t>
      </w:r>
    </w:p>
    <w:p w:rsidR="00F47ACE" w:rsidRPr="00472687" w:rsidRDefault="0052083E" w:rsidP="00472687">
      <w:pPr>
        <w:pStyle w:val="JuQuot"/>
      </w:pPr>
      <w:r>
        <w:t>conștiente de caracterul global al schimbărilor climatice, care cere ca toate țările să coopereze și să participe la o acțiune internațională, eficace și corespunzătoare, potrivit responsabilităților lor comune, dar diferențiată în funcție de capacitatea și situația lor socială și economică,</w:t>
      </w:r>
    </w:p>
    <w:p w:rsidR="00F47ACE" w:rsidRPr="00472687" w:rsidRDefault="0052083E" w:rsidP="00472687">
      <w:pPr>
        <w:pStyle w:val="JuQuot"/>
      </w:pPr>
      <w:r>
        <w:t>[...]</w:t>
      </w:r>
    </w:p>
    <w:p w:rsidR="00F47ACE" w:rsidRPr="00472687" w:rsidRDefault="0052083E" w:rsidP="00472687">
      <w:pPr>
        <w:pStyle w:val="JuQuot"/>
      </w:pPr>
      <w:r>
        <w:t>reamintind că, în conformitate cu Carta Națiunilor Unite și principiile de drept internațional, statele care au dreptul suveran de a exploata propriile lor resurse, potrivit propriei lor politici de mediu și dezvoltare, au și datoria de a face astfel ca activitățile exercitate, în limitele jurisdicției lor sau sub controlul lor, să nu cauzeze daune mediului în alte state sau regiuni care nu depind de nicio jurisdicție națională,</w:t>
      </w:r>
    </w:p>
    <w:p w:rsidR="00F47ACE" w:rsidRPr="00472687" w:rsidRDefault="0052083E" w:rsidP="00472687">
      <w:pPr>
        <w:pStyle w:val="JuQuot"/>
      </w:pPr>
      <w:r>
        <w:t>[...]</w:t>
      </w:r>
    </w:p>
    <w:p w:rsidR="00F47ACE" w:rsidRPr="00472687" w:rsidRDefault="0052083E" w:rsidP="00472687">
      <w:pPr>
        <w:pStyle w:val="JuQuot"/>
      </w:pPr>
      <w:r>
        <w:t xml:space="preserve">considerând că este dreptul statelor să adopte o legislație eficace în materie de mediu, că normele, obiectivele de gospodărire și prioritățile ecologice trebuie să reflecte condițiile de mediu și dezvoltare în care ele se înscriu și că normele aplicate de unele </w:t>
      </w:r>
      <w:r>
        <w:lastRenderedPageBreak/>
        <w:t>țări riscă să fie nepotrivite și prea costisitoare pe plan economic și social pentru alte țări, în special pentru țările în curs de dezvoltare,</w:t>
      </w:r>
    </w:p>
    <w:p w:rsidR="00F47ACE" w:rsidRPr="00472687" w:rsidRDefault="0052083E" w:rsidP="00472687">
      <w:pPr>
        <w:pStyle w:val="JuQuot"/>
      </w:pPr>
      <w:r>
        <w:t>[...]</w:t>
      </w:r>
    </w:p>
    <w:p w:rsidR="00F47ACE" w:rsidRPr="00472687" w:rsidRDefault="0052083E" w:rsidP="00472687">
      <w:pPr>
        <w:pStyle w:val="JuQuot"/>
      </w:pPr>
      <w:r>
        <w:t xml:space="preserve">conștiente că măsurile care permit să se înțeleagă schimbările climatice și să se facă față acestora au o eficacitate pentru mediu și o eficacitate socială și economică maxime, dacă ele se bazează pe considerații științifice, tehnice și economice corespunzătoare și dacă ele sunt constant reevaluate în lumina noilor progrese realizate în aceste domenii, </w:t>
      </w:r>
    </w:p>
    <w:p w:rsidR="00F47ACE" w:rsidRPr="00472687" w:rsidRDefault="0052083E" w:rsidP="00472687">
      <w:pPr>
        <w:pStyle w:val="JuQuot"/>
      </w:pPr>
      <w:r>
        <w:t xml:space="preserve">știind că diferite măsuri luate pentru a face față schimbărilor climatice își pot găsi în ele însele justificarea economică și pot, de asemenea, să contribuie la rezolvarea altor probleme de mediu, </w:t>
      </w:r>
    </w:p>
    <w:p w:rsidR="00F47ACE" w:rsidRPr="00472687" w:rsidRDefault="0052083E" w:rsidP="00472687">
      <w:pPr>
        <w:pStyle w:val="JuQuot"/>
      </w:pPr>
      <w:r>
        <w:t>știind, în egală măsură, că țările dezvoltate trebuie să acționeze imediat și cu suplețe, pe baza unor priorități clar definite, ceea ce va constitui o primă etapă spre strategii de ansamblu la nivel mondial, național și, eventual, regional, aceste strategii de ripostă trebuind sa țină cont de toate [GES] și să ia în considerație, așa cum se cuvine, rolul fiecăruia în intensificarea efectului de seră,</w:t>
      </w:r>
    </w:p>
    <w:p w:rsidR="00F47ACE" w:rsidRPr="00472687" w:rsidRDefault="0052083E" w:rsidP="00472687">
      <w:pPr>
        <w:pStyle w:val="JuQuot"/>
      </w:pPr>
      <w:r>
        <w:t>[...]</w:t>
      </w:r>
    </w:p>
    <w:p w:rsidR="00F47ACE" w:rsidRPr="00472687" w:rsidRDefault="0052083E" w:rsidP="00472687">
      <w:pPr>
        <w:pStyle w:val="JuQuot"/>
      </w:pPr>
      <w:r>
        <w:t xml:space="preserve">afirmând că măsurile luate pentru a evita schimbările climatice trebuie să fie strâns coordonate cu dezvoltarea socială și economică, pentru a evita orice incidență nefastă asupra acesteia din urmă, ținând cont de nevoile prioritare legitime ale țărilor în curs de dezvoltare, și anume o creștere economică durabila și eradicarea sărăciei, </w:t>
      </w:r>
    </w:p>
    <w:p w:rsidR="00F47ACE" w:rsidRPr="00472687" w:rsidRDefault="0052083E" w:rsidP="00472687">
      <w:pPr>
        <w:pStyle w:val="JuQuot"/>
      </w:pPr>
      <w:r>
        <w:t>[...]</w:t>
      </w:r>
    </w:p>
    <w:p w:rsidR="00F47ACE" w:rsidRPr="00472687" w:rsidRDefault="0052083E" w:rsidP="00472687">
      <w:pPr>
        <w:pStyle w:val="JuQuot"/>
      </w:pPr>
      <w:r>
        <w:t>hotărâte să ocrotească sistemul climatic pentru generațiile prezente și viitoare [...] ”</w:t>
      </w:r>
    </w:p>
    <w:p w:rsidR="00F47ACE" w:rsidRPr="00472687" w:rsidRDefault="0052083E" w:rsidP="00472687">
      <w:pPr>
        <w:pStyle w:val="JuHArticle"/>
      </w:pPr>
      <w:r>
        <w:t>Articolul 1</w:t>
      </w:r>
    </w:p>
    <w:p w:rsidR="00F47ACE" w:rsidRPr="00472687" w:rsidRDefault="0052083E" w:rsidP="00472687">
      <w:pPr>
        <w:pStyle w:val="JuHArticle"/>
      </w:pPr>
      <w:r>
        <w:t>Definiții</w:t>
      </w:r>
    </w:p>
    <w:p w:rsidR="00F47ACE" w:rsidRPr="00472687" w:rsidRDefault="0052083E" w:rsidP="00472687">
      <w:pPr>
        <w:pStyle w:val="JuQuot"/>
      </w:pPr>
      <w:r>
        <w:t>„În spiritul prezentei convenții, se înțelege prin:</w:t>
      </w:r>
    </w:p>
    <w:p w:rsidR="00F47ACE" w:rsidRPr="00472687" w:rsidRDefault="0052083E" w:rsidP="00472687">
      <w:pPr>
        <w:pStyle w:val="JuQuot"/>
      </w:pPr>
      <w:r>
        <w:t xml:space="preserve">1. efecte nefaste ale schimbărilor climatice: modificările mediului fizic sau ale ființelor vii datorate schimbărilor climatice și care exercită efecte nocive semnificative asupra compoziției, stabilității sau productivității ecosistemelor naturale și amenajate, asupra funcționarii sistemelor socioeconomice sau asupra sănătății și bunăstării omului; </w:t>
      </w:r>
    </w:p>
    <w:p w:rsidR="00F47ACE" w:rsidRPr="00472687" w:rsidRDefault="0052083E" w:rsidP="00472687">
      <w:pPr>
        <w:pStyle w:val="JuQuot"/>
      </w:pPr>
      <w:r>
        <w:t xml:space="preserve">2. schimbări climatice: schimbări de climat care sunt atribuite direct sau indirect unei activități omenești care alterează compoziția atmosferei la nivel global și care se adaugă variabilității naturale a climatului observat în cursul unor perioade comparabile; </w:t>
      </w:r>
    </w:p>
    <w:p w:rsidR="00F47ACE" w:rsidRPr="00472687" w:rsidRDefault="0052083E" w:rsidP="00472687">
      <w:pPr>
        <w:pStyle w:val="JuQuot"/>
      </w:pPr>
      <w:r>
        <w:t>[...]</w:t>
      </w:r>
    </w:p>
    <w:p w:rsidR="00F47ACE" w:rsidRPr="00472687" w:rsidRDefault="0052083E" w:rsidP="00472687">
      <w:pPr>
        <w:pStyle w:val="JuQuot"/>
      </w:pPr>
      <w:r>
        <w:t>4. emisii: eliberarea în atmosfera de [GES] sau de precursori ai unor asemenea gaze dintr-o anumită zona și în cursul unei perioade date;</w:t>
      </w:r>
    </w:p>
    <w:p w:rsidR="00F47ACE" w:rsidRPr="00472687" w:rsidRDefault="0052083E" w:rsidP="00472687">
      <w:pPr>
        <w:pStyle w:val="JuQuot"/>
      </w:pPr>
      <w:r>
        <w:t>5. gaze cu efect de seră [GES]: constituenți gazoși ai atmosferei, atât naturali cât și antropici, care absorb și reemit radiația infraroșie;</w:t>
      </w:r>
    </w:p>
    <w:p w:rsidR="00F47ACE" w:rsidRPr="00472687" w:rsidRDefault="0052083E" w:rsidP="00472687">
      <w:pPr>
        <w:pStyle w:val="JuQuot"/>
      </w:pPr>
      <w:r>
        <w:t>[...]</w:t>
      </w:r>
    </w:p>
    <w:p w:rsidR="00F47ACE" w:rsidRPr="00472687" w:rsidRDefault="0052083E" w:rsidP="00472687">
      <w:pPr>
        <w:pStyle w:val="JuQuot"/>
      </w:pPr>
      <w:r>
        <w:t>9. sursă: orice proces sau activitate care eliberează în atmosfera un [GES], un aerosol sau un precursor de [GES]. ”</w:t>
      </w:r>
    </w:p>
    <w:p w:rsidR="00F47ACE" w:rsidRPr="00472687" w:rsidRDefault="0052083E" w:rsidP="00472687">
      <w:pPr>
        <w:pStyle w:val="JuHArticle"/>
      </w:pPr>
      <w:r>
        <w:lastRenderedPageBreak/>
        <w:t>Articolul 2</w:t>
      </w:r>
    </w:p>
    <w:p w:rsidR="00F47ACE" w:rsidRPr="00472687" w:rsidRDefault="0052083E" w:rsidP="00472687">
      <w:pPr>
        <w:pStyle w:val="JuHArticle"/>
      </w:pPr>
      <w:r>
        <w:t>Obiectiv</w:t>
      </w:r>
    </w:p>
    <w:p w:rsidR="00F47ACE" w:rsidRPr="00472687" w:rsidRDefault="0052083E" w:rsidP="00472687">
      <w:pPr>
        <w:pStyle w:val="JuQuot"/>
      </w:pPr>
      <w:r>
        <w:t>„Obiectivul final al prezentei convenții și al tuturor instrumentelor juridice conexe pe care conferința părților le-ar putea adopta este de a stabiliza, conform dispozițiilor pertinente ale convenției, concentrațiile de [GES] în atmosferă la un nivel care să împiedice orice perturbare antropică periculoasă a sistemului climatic. Se va conveni să se atingă acest obiectiv într-un interval de timp suficient pentru ca ecosistemele să se poată adapta natural la schimbările climatice, pentru ca producția alimentară sa nu fie amenințată, iar dezvoltarea economică să se poată desfășura în mod durabil. ”</w:t>
      </w:r>
    </w:p>
    <w:p w:rsidR="00F47ACE" w:rsidRPr="00472687" w:rsidRDefault="0052083E" w:rsidP="00472687">
      <w:pPr>
        <w:pStyle w:val="JuHArticle"/>
      </w:pPr>
      <w:r>
        <w:t>Articolul 3</w:t>
      </w:r>
    </w:p>
    <w:p w:rsidR="00F47ACE" w:rsidRPr="00472687" w:rsidRDefault="0052083E" w:rsidP="00472687">
      <w:pPr>
        <w:pStyle w:val="JuHArticle"/>
      </w:pPr>
      <w:r>
        <w:t>Principii</w:t>
      </w:r>
    </w:p>
    <w:p w:rsidR="00F47ACE" w:rsidRPr="00472687" w:rsidRDefault="0052083E" w:rsidP="00472687">
      <w:pPr>
        <w:pStyle w:val="JuQuot"/>
      </w:pPr>
      <w:r>
        <w:t>„În măsurile pe care le vor lua pentru a atinge obiectivul convenției și a aplica dispozițiile acesteia, părțile vor fi îndrumate de ceea ce urmează:</w:t>
      </w:r>
    </w:p>
    <w:p w:rsidR="00F47ACE" w:rsidRPr="00472687" w:rsidRDefault="0052083E" w:rsidP="00472687">
      <w:pPr>
        <w:pStyle w:val="JuQuot"/>
      </w:pPr>
      <w:r>
        <w:t>1. Revine în sarcina părților să ocrotească sistemul climatic în interesul generațiilor prezente și viitoare, pe baza echității și în funcție de responsabilitățile lor comune, dar diferențiate, și de capacitățile lor. În consecință, revine în sarcina țărilor dezvoltate-părți să fie în avangarda luptei împotriva schimbărilor climatice și a efectelor lor nefaste.</w:t>
      </w:r>
    </w:p>
    <w:p w:rsidR="00F47ACE" w:rsidRPr="00472687" w:rsidRDefault="0052083E" w:rsidP="00472687">
      <w:pPr>
        <w:pStyle w:val="JuQuot"/>
      </w:pPr>
      <w:r>
        <w:t>2. Se cuvine să se țină cont de nevoile specifice și de situația specială a țărilor în curs de dezvoltare-părți, mai ales a celor care sunt deosebit de vulnerabile la efectele nefaste ale schimbărilor climatice, precum și părților, mai ales țărilor în curs de dezvoltare-părți, cărora convenția le-ar impune o sarcina disproporționată sau anormală.</w:t>
      </w:r>
    </w:p>
    <w:p w:rsidR="00F47ACE" w:rsidRPr="00472687" w:rsidRDefault="0052083E" w:rsidP="00472687">
      <w:pPr>
        <w:pStyle w:val="JuQuot"/>
      </w:pPr>
      <w:r>
        <w:t>3. Revine în sarcina părților sa ia măsuri de precauție pentru a prevedea, a preveni sau a atenua cauzele schimbărilor climatice și a limita efectele nefaste ale acestora. Când există riscul unor perturbări grave sau ireversibile, absența certitudinii științifice absolute nu trebuie să servească drept pretext pentru a amâna adoptarea unor asemenea măsuri, fiind stabilit că politicile și măsurile pe care le atrag schimbările climatice reclamă un bun raport cost-eficacitate, încât să garanteze avantaje globale la costul cel mai scăzut cu putință [...]</w:t>
      </w:r>
    </w:p>
    <w:p w:rsidR="00F47ACE" w:rsidRPr="00472687" w:rsidRDefault="0052083E" w:rsidP="00472687">
      <w:pPr>
        <w:pStyle w:val="JuQuot"/>
      </w:pPr>
      <w:r>
        <w:t>4. Părțile au dreptul să acționeze pentru o dezvoltare durabilă și trebuie să se ocupe efectiv de aceasta [...]</w:t>
      </w:r>
    </w:p>
    <w:p w:rsidR="00F47ACE" w:rsidRPr="00472687" w:rsidRDefault="0052083E" w:rsidP="00472687">
      <w:pPr>
        <w:pStyle w:val="JuQuot"/>
      </w:pPr>
      <w:r>
        <w:t>5. Revine în sarcina părților să lucreze de comun acord la un sistem economic internațional deschis, care să conducă la o creștere economică și la o dezvoltare durabilă a tuturor părților, în special a țărilor în curs de dezvoltare-părți [...] ”</w:t>
      </w:r>
    </w:p>
    <w:p w:rsidR="00F47ACE" w:rsidRPr="00472687" w:rsidRDefault="0052083E" w:rsidP="00472687">
      <w:pPr>
        <w:pStyle w:val="JuHArticle"/>
      </w:pPr>
      <w:r>
        <w:t>Articolul 4</w:t>
      </w:r>
    </w:p>
    <w:p w:rsidR="00F47ACE" w:rsidRPr="00472687" w:rsidRDefault="0052083E" w:rsidP="00472687">
      <w:pPr>
        <w:pStyle w:val="JuHArticle"/>
      </w:pPr>
      <w:r>
        <w:t>Angajamente</w:t>
      </w:r>
    </w:p>
    <w:p w:rsidR="00F47ACE" w:rsidRPr="00472687" w:rsidRDefault="0052083E" w:rsidP="00472687">
      <w:pPr>
        <w:pStyle w:val="JuQuot"/>
      </w:pPr>
      <w:r>
        <w:t>„1. Toate părțile, ținând cont de responsabilitățile lor comune, dar diferențiate, și de specificitatea priorităților lor naționale și regionale de dezvoltare, de obiectivele și de situația lor:</w:t>
      </w:r>
    </w:p>
    <w:p w:rsidR="00F47ACE" w:rsidRPr="00472687" w:rsidRDefault="0052083E" w:rsidP="00472687">
      <w:pPr>
        <w:pStyle w:val="JuQuot"/>
        <w:ind w:left="567"/>
      </w:pPr>
      <w:r>
        <w:t>a) stabilesc, aduc la zi periodic, publică și pun la dispoziția conferinței părților [...] inventarele naționale ale emisiilor antropice [...] ;</w:t>
      </w:r>
    </w:p>
    <w:p w:rsidR="00F47ACE" w:rsidRPr="00472687" w:rsidRDefault="0052083E" w:rsidP="00472687">
      <w:pPr>
        <w:pStyle w:val="JuQuot"/>
        <w:ind w:left="567"/>
      </w:pPr>
      <w:r>
        <w:t xml:space="preserve">b) stabilesc, realizează, publică și aduc la zi, în mod regulat, programe naționale și, dacă este cazul, regionale, care conțin măsuri vizând atenuarea schimbărilor climatice, ținând cont de emisiile antropice și de diminuarea de către absorbanți a [GES] nereglementate de Protocolul de la Montreal, precum și de măsuri vizând facilitarea adaptării corespunzătoare la schimbările climatice; </w:t>
      </w:r>
    </w:p>
    <w:p w:rsidR="00F47ACE" w:rsidRPr="00472687" w:rsidRDefault="0052083E" w:rsidP="00472687">
      <w:pPr>
        <w:pStyle w:val="JuQuot"/>
        <w:ind w:left="567"/>
      </w:pPr>
      <w:r>
        <w:lastRenderedPageBreak/>
        <w:t>c) încurajează și susțin, prin cooperarea lor, punerea la punct, aplicarea și difuzarea - în special pe calea transferului - de tehnologii, practici [...]</w:t>
      </w:r>
    </w:p>
    <w:p w:rsidR="00F47ACE" w:rsidRPr="00472687" w:rsidRDefault="0052083E" w:rsidP="00472687">
      <w:pPr>
        <w:pStyle w:val="JuQuot"/>
        <w:ind w:left="567"/>
      </w:pPr>
      <w:r>
        <w:t>d) încurajează gospodărirea durabilă, încurajează și susțin, prin cooperarea lor, conservarea și, dacă este cazul, consolidarea absorbanților și rezervoarelor [...]</w:t>
      </w:r>
    </w:p>
    <w:p w:rsidR="00F47ACE" w:rsidRPr="00472687" w:rsidRDefault="0052083E" w:rsidP="00472687">
      <w:pPr>
        <w:pStyle w:val="JuQuot"/>
        <w:ind w:left="567"/>
      </w:pPr>
      <w:r>
        <w:t>e) pregătesc, în cooperare, adaptarea la impactul schimbărilor climatice [...]</w:t>
      </w:r>
    </w:p>
    <w:p w:rsidR="00F47ACE" w:rsidRPr="00472687" w:rsidRDefault="0052083E" w:rsidP="00472687">
      <w:pPr>
        <w:pStyle w:val="JuQuot"/>
        <w:ind w:left="567"/>
      </w:pPr>
      <w:r>
        <w:t>f) în politicile și acțiunile lor sociale, economice și de mediu țin cont, în măsura posibilului, de considerații legate de schimbările climatice și utilizează metode corespunzătoare, de exemplu studii de impact, formulate și definite pe plan național pentru a reduce la minimum efectele - dăunătoare economiei, sănătății publice și calității mediului - proiectelor sau ale măsurilor pe care ele le întreprind în vederea atenuării schimbărilor climatice sau adaptării la acestea;</w:t>
      </w:r>
    </w:p>
    <w:p w:rsidR="00F47ACE" w:rsidRPr="00472687" w:rsidRDefault="0052083E" w:rsidP="00472687">
      <w:pPr>
        <w:pStyle w:val="JuQuot"/>
        <w:ind w:left="567"/>
      </w:pPr>
      <w:r>
        <w:t>g) încurajează și susțin, prin cooperarea lor, lucrările de cercetare științifică, tehnologică, socioeconomică și altele [...]</w:t>
      </w:r>
    </w:p>
    <w:p w:rsidR="00F47ACE" w:rsidRPr="00472687" w:rsidRDefault="0052083E" w:rsidP="00472687">
      <w:pPr>
        <w:pStyle w:val="JuQuot"/>
      </w:pPr>
      <w:r>
        <w:t>2. Țările dezvoltate-părți [...] își iau angajamentele specifice prevăzute mai jos:</w:t>
      </w:r>
    </w:p>
    <w:p w:rsidR="00F47ACE" w:rsidRPr="00472687" w:rsidRDefault="0052083E" w:rsidP="00472687">
      <w:pPr>
        <w:pStyle w:val="JuQuot"/>
        <w:ind w:left="567"/>
      </w:pPr>
      <w:r>
        <w:t>a) fiecare dintre aceste părți adoptă politici naționale și ia, în consecință, măsurile necesare pentru atenuarea schimbărilor climatice, limitând emisiile sale antropice de [GES], protejând și consolidând absorbanții și rezervoarele sale de [GES]. Aceste politici și măsuri demonstrează că țările dezvoltate iau inițiativa modificării tendințelor pe termen lung a emisiilor antropice, conform obiectivului convenției, recunoscând că reîntoarcerea, până la sfârșitul acestui deceniu, la nivelurile anterioare de emisii antropice de dioxid de carbon și alte [GES], nereglementate de Protocolul de la Montreal, ar contribui la o astfel de modificare și ținând cont de diferențele dintre aceste părți în ceea ce privește punctul lor de plecare, abordarea lor, structura lor economică și baza lor de resurse, de necesitatea de a menține o creștere economică puternica și durabilă, de tehnologiile disponibile și de alte circumstanțe proprii fiecărui caz, precum și de necesitatea, pentru fiecare dintre aceste părți, de a contribui în mod corespunzător și echitabil la efortul întreprins la scară mondială pentru a atinge acest obiectiv. Aceste părți pot aplica astfel de politici și măsuri în asociație cu alte părți și pot ajuta alte părți să contribuie la obiectivul convenției, în special la cel al prezentului alineat;</w:t>
      </w:r>
    </w:p>
    <w:p w:rsidR="00F47ACE" w:rsidRPr="00472687" w:rsidRDefault="0052083E" w:rsidP="00472687">
      <w:pPr>
        <w:pStyle w:val="JuQuot"/>
        <w:ind w:left="567"/>
      </w:pPr>
      <w:r>
        <w:t>b) în scopul de a favoriza progresul în această direcție, fiecare dintre aceste părți va comunica [...] informații detaliate privind politicile și măsurile la care se referă alin. a) [...] în vederea revenirii, individual sau în comun, a emisiilor antropice de dioxid de carbon și de alte [GES], nereglementate prin Protocolul de la Montreal, la nivelurile din 1990 [...] ”</w:t>
      </w:r>
    </w:p>
    <w:p w:rsidR="00F47ACE" w:rsidRPr="00472687" w:rsidRDefault="0052083E" w:rsidP="00472687">
      <w:pPr>
        <w:pStyle w:val="JuHa0"/>
        <w:numPr>
          <w:ilvl w:val="4"/>
          <w:numId w:val="28"/>
        </w:numPr>
      </w:pPr>
      <w:bookmarkStart w:id="138" w:name="_Toc199273443"/>
      <w:r>
        <w:t>Protocolul de la Kyoto</w:t>
      </w:r>
      <w:bookmarkEnd w:id="138"/>
    </w:p>
    <w:p w:rsidR="00F47ACE" w:rsidRPr="00472687" w:rsidRDefault="00C71855" w:rsidP="00472687">
      <w:pPr>
        <w:pStyle w:val="JuPara"/>
      </w:pPr>
      <w:fldSimple w:instr=" SEQ level0 \*arabic \* MERGEFORMAT ">
        <w:r w:rsidR="00472687" w:rsidRPr="00472687">
          <w:t>134</w:t>
        </w:r>
      </w:fldSimple>
      <w:r w:rsidR="00B71F73">
        <w:t>. Protocolul de la Kyoto (1997) a permis pentru prima dată concretizarea UNFCCC. Acest text angajează țările industrializate și țările cu economii în tranziție să își limiteze și să își reducă emisiile de GES în conformitate cu obiectivele convenite pentru fiecare țară și cu principiul „responsabilităților comune, dar diferențiate, și al capacităților aferente”. Partea relevantă din protocol este redactată după cum urmează:</w:t>
      </w:r>
    </w:p>
    <w:p w:rsidR="00F47ACE" w:rsidRPr="00472687" w:rsidRDefault="0052083E" w:rsidP="00472687">
      <w:pPr>
        <w:pStyle w:val="JuHArticle"/>
      </w:pPr>
      <w:r>
        <w:t>Articolul 3 paragraful 1</w:t>
      </w:r>
    </w:p>
    <w:p w:rsidR="00F47ACE" w:rsidRPr="00472687" w:rsidRDefault="0052083E" w:rsidP="00472687">
      <w:pPr>
        <w:pStyle w:val="JuQuot"/>
        <w:ind w:left="567"/>
      </w:pPr>
      <w:r>
        <w:t xml:space="preserve">„Părțile incluse în anexa nr. I vor asigura, individual sau în comun, ca totalul emisiilor antropice de gaze cu efect de seră, exprimate în bioxid de carbon echivalent, </w:t>
      </w:r>
      <w:r>
        <w:lastRenderedPageBreak/>
        <w:t>[GES] cuprinse în anexa A, să nu depășească cantitățile atribuite, calculate ca urmare a angajamentelor de limitare cantitativă și de reducere a emisiei, înscrise în anexa B, și în concordanță cu prevederile acestui articol, în scopul reducerii emisiilor globale de astfel de gaze cu cel puțin 5% față de nivelul anului 1990 în perioada de angajare 2008-2012. ”</w:t>
      </w:r>
    </w:p>
    <w:p w:rsidR="00F47ACE" w:rsidRPr="00472687" w:rsidRDefault="00C71855" w:rsidP="00472687">
      <w:pPr>
        <w:pStyle w:val="JuPara"/>
        <w:rPr>
          <w:b/>
          <w:bCs/>
        </w:rPr>
      </w:pPr>
      <w:fldSimple w:instr=" SEQ level0 \*arabic \* MERGEFORMAT ">
        <w:r w:rsidR="00472687" w:rsidRPr="00472687">
          <w:t>135</w:t>
        </w:r>
      </w:fldSimple>
      <w:r w:rsidR="00B71F73">
        <w:t>. Pentru Elveția, Anexa B la Protocolul de la Kyoto stabilește angajamentul de limitare cantitativă sau de reducere a emisiilor (procentaj din anul sau perioada de referință) la 92.</w:t>
      </w:r>
    </w:p>
    <w:p w:rsidR="00F47ACE" w:rsidRPr="00472687" w:rsidRDefault="0052083E" w:rsidP="00472687">
      <w:pPr>
        <w:pStyle w:val="JuHa0"/>
        <w:numPr>
          <w:ilvl w:val="4"/>
          <w:numId w:val="28"/>
        </w:numPr>
      </w:pPr>
      <w:bookmarkStart w:id="139" w:name="_Toc199273444"/>
      <w:r>
        <w:t>Acordul de la Paris</w:t>
      </w:r>
      <w:bookmarkEnd w:id="139"/>
    </w:p>
    <w:p w:rsidR="00F47ACE" w:rsidRPr="00472687" w:rsidRDefault="00C71855" w:rsidP="00472687">
      <w:pPr>
        <w:pStyle w:val="JuPara"/>
        <w:rPr>
          <w:b/>
          <w:bCs/>
        </w:rPr>
      </w:pPr>
      <w:fldSimple w:instr=" SEQ level0 \*arabic \* MERGEFORMAT ">
        <w:r w:rsidR="00472687" w:rsidRPr="00472687">
          <w:t>136</w:t>
        </w:r>
      </w:fldSimple>
      <w:r w:rsidR="00B71F73">
        <w:t>. Acordul de la Paris, adoptat în cadrul COP21, Conferința Națiunilor Unite privind schimbările climatice, care a avut loc la Paris la 12 decembrie 2015, este un tratat internațional care stabilește obiectivul general primordial de reducere a emisiilor de GES. Pasajele relevante ale acestui acord se citesc astfel:</w:t>
      </w:r>
    </w:p>
    <w:p w:rsidR="00F47ACE" w:rsidRPr="00472687" w:rsidRDefault="0052083E" w:rsidP="00472687">
      <w:pPr>
        <w:pStyle w:val="JuQuot"/>
      </w:pPr>
      <w:r>
        <w:t>„în vederea atingerii obiectivului convenției și fiind ghidate de principiile sale, inclusiv de principiul echității, al responsabilităților comune, dar diferențiate, și al capacităților aferente, în funcție de diferitele circumstanțe naționale,</w:t>
      </w:r>
    </w:p>
    <w:p w:rsidR="00F47ACE" w:rsidRPr="00472687" w:rsidRDefault="0052083E" w:rsidP="00472687">
      <w:pPr>
        <w:pStyle w:val="JuQuot"/>
      </w:pPr>
      <w:r>
        <w:t>recunoscând necesitatea unui răspuns eficace și progresiv la amenințarea urgentă reprezentată de schimbările climatice, pe baza celor mai bune cunoștințe științifice disponibile,</w:t>
      </w:r>
    </w:p>
    <w:p w:rsidR="00F47ACE" w:rsidRPr="00472687" w:rsidRDefault="0052083E" w:rsidP="00472687">
      <w:pPr>
        <w:pStyle w:val="JuQuot"/>
      </w:pPr>
      <w:r>
        <w:t>[...]</w:t>
      </w:r>
    </w:p>
    <w:p w:rsidR="00F47ACE" w:rsidRPr="00472687" w:rsidRDefault="0052083E" w:rsidP="00472687">
      <w:pPr>
        <w:pStyle w:val="JuQuot"/>
      </w:pPr>
      <w:r>
        <w:t>recunoscând că părțile pot fi afectate nu numai de schimbările climatice, dar și de efectele măsurilor luate ca răspuns la acestea,</w:t>
      </w:r>
    </w:p>
    <w:p w:rsidR="00F47ACE" w:rsidRPr="00472687" w:rsidRDefault="0052083E" w:rsidP="00472687">
      <w:pPr>
        <w:pStyle w:val="JuQuot"/>
      </w:pPr>
      <w:r>
        <w:t>[...]</w:t>
      </w:r>
    </w:p>
    <w:p w:rsidR="00F47ACE" w:rsidRPr="00472687" w:rsidRDefault="0052083E" w:rsidP="00472687">
      <w:pPr>
        <w:pStyle w:val="JuQuot"/>
      </w:pPr>
      <w:r>
        <w:t>recunoscând că schimbările climatice sunt o preocupare comună a omenirii, în momentul luării măsurilor de abordare a schimbărilor climatice, părțile ar trebui să respecte, să promoveze și să ia în considerare obligațiile care le revin privind drepturile omului, dreptul la sănătate, drepturile popoarelor indigene, ale comunităților locale, ale migranților, ale copiilor, ale persoanelor cu handicap și ale persoanelor în situații vulnerabile și dreptul la dezvoltare, precum și egalitatea de gen, emanciparea femeilor și egalitatea între generații,</w:t>
      </w:r>
    </w:p>
    <w:p w:rsidR="00F47ACE" w:rsidRPr="00472687" w:rsidRDefault="0052083E" w:rsidP="00472687">
      <w:pPr>
        <w:pStyle w:val="JuQuot"/>
      </w:pPr>
      <w:r>
        <w:t>[...] ”</w:t>
      </w:r>
    </w:p>
    <w:p w:rsidR="00F47ACE" w:rsidRPr="00472687" w:rsidRDefault="0052083E" w:rsidP="00472687">
      <w:pPr>
        <w:pStyle w:val="JuHArticle"/>
      </w:pPr>
      <w:r>
        <w:t>Articolul 2</w:t>
      </w:r>
    </w:p>
    <w:p w:rsidR="00F47ACE" w:rsidRPr="00472687" w:rsidRDefault="0052083E" w:rsidP="00472687">
      <w:pPr>
        <w:pStyle w:val="JuQuot"/>
      </w:pPr>
      <w:r>
        <w:t>„(1) Prezentul acord, contribuind la punerea în aplicare a convenției, inclusiv a obiectivului său, are ca scop consolidarea răspunsului global la amenințarea reprezentată de schimbările climatice, în contextul dezvoltării durabile și al eforturilor de eradicare a sărăciei, inclusiv prin:</w:t>
      </w:r>
    </w:p>
    <w:p w:rsidR="00F47ACE" w:rsidRPr="00472687" w:rsidRDefault="0052083E" w:rsidP="00472687">
      <w:pPr>
        <w:pStyle w:val="JuQuot"/>
        <w:ind w:left="567"/>
      </w:pPr>
      <w:r>
        <w:t>(a) menținerea creșterii temperaturii medii globale cu mult sub 2°C peste nivelurile preindustriale și continuarea eforturilor de limitare a creșterii temperaturii la 1,5°C peste nivelurile preindustriale, recunoscând că astfel s-ar reduce în mod semnificativ riscurile și efectele schimbărilor climatice;</w:t>
      </w:r>
    </w:p>
    <w:p w:rsidR="00F47ACE" w:rsidRPr="00472687" w:rsidRDefault="0052083E" w:rsidP="00472687">
      <w:pPr>
        <w:pStyle w:val="JuQuot"/>
        <w:ind w:left="567"/>
      </w:pPr>
      <w:r>
        <w:t xml:space="preserve">(b) creșterea capacității de adaptare la efectele negative ale schimbărilor climatice și de încurajare a rezistenței la schimbările climatice și a dezvoltării cu un nivel scăzut </w:t>
      </w:r>
      <w:r>
        <w:lastRenderedPageBreak/>
        <w:t>de emisii de gaze cu efect de seră, într-un mod care nu pune în pericol producția alimentară; și</w:t>
      </w:r>
    </w:p>
    <w:p w:rsidR="00F47ACE" w:rsidRPr="00472687" w:rsidRDefault="0052083E" w:rsidP="00472687">
      <w:pPr>
        <w:pStyle w:val="JuQuot"/>
        <w:ind w:left="567"/>
      </w:pPr>
      <w:r>
        <w:t>(c) întreprinderea măsurilor necesare pentru ca fluxurile financiare să corespundă unei evoluții către o dezvoltare cu un nivel scăzut de emisii de gaze cu efect de seră și rezistență la schimbările climatice.</w:t>
      </w:r>
    </w:p>
    <w:p w:rsidR="00F47ACE" w:rsidRPr="00472687" w:rsidRDefault="0052083E" w:rsidP="00472687">
      <w:pPr>
        <w:pStyle w:val="JuQuot"/>
      </w:pPr>
      <w:r>
        <w:t>(2) Prezentul acord va fi pus în aplicare pentru a reflecta echitatea și principiul responsabilităților comune, dar diferențiate, și al capacităților aferente, în funcție de diferitele circumstanțe naționale. ”</w:t>
      </w:r>
    </w:p>
    <w:p w:rsidR="00F47ACE" w:rsidRPr="00472687" w:rsidRDefault="0052083E" w:rsidP="00472687">
      <w:pPr>
        <w:pStyle w:val="JuHArticle"/>
      </w:pPr>
      <w:r>
        <w:t>Articolul 3</w:t>
      </w:r>
    </w:p>
    <w:p w:rsidR="00F47ACE" w:rsidRPr="00472687" w:rsidRDefault="0052083E" w:rsidP="00472687">
      <w:pPr>
        <w:pStyle w:val="JuQuot"/>
      </w:pPr>
      <w:r>
        <w:t>„În temeiul contribuțiilor determinate la nivel național la reacția globală la schimbările climatice, toate părțile trebuie să întreprindă și să comunice eforturile ambițioase [...] ”</w:t>
      </w:r>
    </w:p>
    <w:p w:rsidR="00F47ACE" w:rsidRPr="00472687" w:rsidRDefault="0052083E" w:rsidP="00472687">
      <w:pPr>
        <w:pStyle w:val="JuHArticle"/>
      </w:pPr>
      <w:r>
        <w:t>Articolul 4</w:t>
      </w:r>
    </w:p>
    <w:p w:rsidR="00F47ACE" w:rsidRPr="00472687" w:rsidRDefault="0052083E" w:rsidP="00472687">
      <w:pPr>
        <w:pStyle w:val="JuQuot"/>
      </w:pPr>
      <w:r>
        <w:t>„(1) În vederea atingerii obiectivului pe termen lung privind temperatura stabilit la articolul 2, părțile își propun să atingă cât mai repede posibil valoarea maximă globală a emisiilor de gaze cu efect de seră, recunoscând că atingerea valorii maxime va dura mai mult pentru părțile care sunt țări în curs de dezvoltare, și să ia apoi măsuri de reducere rapidă a acesteia în conformitate cu cele mai bune cunoștințe științifice disponibile pentru a obține un echilibru între emisiile antropice prin surse și absorbțiile prin absorbanți ale gazelor cu efect de seră în a doua jumătate a acestui secol, pe baza echității și în contextul dezvoltării durabile și al eforturilor de eradicare a sărăciei.</w:t>
      </w:r>
    </w:p>
    <w:p w:rsidR="00F47ACE" w:rsidRPr="00472687" w:rsidRDefault="0052083E" w:rsidP="00472687">
      <w:pPr>
        <w:pStyle w:val="JuQuot"/>
      </w:pPr>
      <w:r>
        <w:t>(2) Fiecare parte pregătește, comunică și menține contribuții succesive, determinate la nivel național, pe care intenționează să le atingă. Părțile continuă să ia măsuri naționale de reducere, cu scopul de a atinge obiectivele acestor contribuții. ”</w:t>
      </w:r>
    </w:p>
    <w:p w:rsidR="00F47ACE" w:rsidRPr="00472687" w:rsidRDefault="0052083E" w:rsidP="00472687">
      <w:pPr>
        <w:pStyle w:val="JuHa0"/>
        <w:numPr>
          <w:ilvl w:val="4"/>
          <w:numId w:val="28"/>
        </w:numPr>
      </w:pPr>
      <w:bookmarkStart w:id="140" w:name="_Toc199273445"/>
      <w:r>
        <w:t>COP26 și COP27</w:t>
      </w:r>
      <w:bookmarkEnd w:id="140"/>
    </w:p>
    <w:p w:rsidR="00F47ACE" w:rsidRPr="00472687" w:rsidRDefault="00C71855" w:rsidP="00472687">
      <w:pPr>
        <w:pStyle w:val="JuPara"/>
        <w:rPr>
          <w:rFonts w:ascii="Arial" w:hAnsi="Arial" w:cs="Arial"/>
          <w:color w:val="1A0DAB"/>
        </w:rPr>
      </w:pPr>
      <w:fldSimple w:instr=" SEQ level0 \*arabic \* MERGEFORMAT ">
        <w:r w:rsidR="00472687" w:rsidRPr="00472687">
          <w:t>137</w:t>
        </w:r>
      </w:fldSimple>
      <w:r w:rsidR="00B71F73">
        <w:t>. Pactul climatic de la Glasgow a fost adoptat în cadrul COP26, Conferința părților la UNFCCC, care a avut loc la Glasgow în perioada 31 octombrie-13 noiembrie 2021. Acesta prevede în special următoarele:</w:t>
      </w:r>
      <w:bookmarkStart w:id="141" w:name="lt_pId1087"/>
      <w:r w:rsidR="00B71F73">
        <w:t xml:space="preserve"> </w:t>
      </w:r>
      <w:r w:rsidR="0052083E" w:rsidRPr="00472687">
        <w:fldChar w:fldCharType="begin"/>
      </w:r>
      <w:r w:rsidR="0052083E" w:rsidRPr="00472687">
        <w:instrText xml:space="preserve"> HYPERLINK "https://unfccc.int/sites/default/files/resource/cma2021_10a01F.pdf" </w:instrText>
      </w:r>
      <w:r w:rsidR="0052083E" w:rsidRPr="00472687">
        <w:fldChar w:fldCharType="separate"/>
      </w:r>
    </w:p>
    <w:p w:rsidR="00C014F0" w:rsidRPr="00472687" w:rsidRDefault="0052083E" w:rsidP="00472687">
      <w:pPr>
        <w:pStyle w:val="JuQuot"/>
      </w:pPr>
      <w:r w:rsidRPr="00472687">
        <w:fldChar w:fldCharType="end"/>
      </w:r>
      <w:r>
        <w:t>„Conferința părților</w:t>
      </w:r>
    </w:p>
    <w:p w:rsidR="00F47ACE" w:rsidRPr="00472687" w:rsidRDefault="0052083E" w:rsidP="00472687">
      <w:pPr>
        <w:pStyle w:val="JuQuot"/>
      </w:pPr>
      <w:r>
        <w:t>[...]</w:t>
      </w:r>
    </w:p>
    <w:p w:rsidR="00F47ACE" w:rsidRPr="00472687" w:rsidRDefault="0052083E" w:rsidP="00472687">
      <w:pPr>
        <w:pStyle w:val="JuQuot"/>
      </w:pPr>
      <w:r>
        <w:t>Recunoscând, de asemenea, că schimbările climatice sunt o preocupare comună a omenirii, în momentul luării măsurilor de abordare a schimbărilor climatice, părțile ar trebui să respecte, să promoveze și să ia în considerare obligațiile care le revin privind drepturile omului, dreptul la sănătate, drepturile popoarelor indigene, ale comunităților locale, ale migranților, ale copiilor, ale persoanelor cu handicap și ale persoanelor în situații vulnerabile și dreptul la dezvoltare, precum și egalitatea de gen, emanciparea femeilor și egalitatea între generații,</w:t>
      </w:r>
    </w:p>
    <w:bookmarkEnd w:id="141"/>
    <w:p w:rsidR="00F47ACE" w:rsidRPr="00472687" w:rsidRDefault="0052083E" w:rsidP="00472687">
      <w:pPr>
        <w:pStyle w:val="JuQuot"/>
      </w:pPr>
      <w:r>
        <w:t>[...]</w:t>
      </w:r>
    </w:p>
    <w:p w:rsidR="00F47ACE" w:rsidRPr="00472687" w:rsidRDefault="0052083E" w:rsidP="00472687">
      <w:pPr>
        <w:pStyle w:val="JuQuot"/>
      </w:pPr>
      <w:bookmarkStart w:id="142" w:name="lt_pId1089"/>
      <w:r>
        <w:t>I</w:t>
      </w:r>
      <w:bookmarkEnd w:id="142"/>
      <w:r>
        <w:t xml:space="preserve"> Date științifice și urgența măsurilor</w:t>
      </w:r>
    </w:p>
    <w:p w:rsidR="00F47ACE" w:rsidRPr="00472687" w:rsidRDefault="0052083E" w:rsidP="00472687">
      <w:pPr>
        <w:pStyle w:val="JuQuot"/>
      </w:pPr>
      <w:r>
        <w:t>1. Consideră că este important să se dispună de cele mai bune date științifice pentru a eficientiza acțiunile climatice și elaborarea politicilor în domeniul climei;</w:t>
      </w:r>
    </w:p>
    <w:p w:rsidR="00F47ACE" w:rsidRPr="00472687" w:rsidRDefault="0052083E" w:rsidP="00472687">
      <w:pPr>
        <w:pStyle w:val="JuQuot"/>
      </w:pPr>
      <w:r>
        <w:t>[...]</w:t>
      </w:r>
    </w:p>
    <w:p w:rsidR="00F47ACE" w:rsidRPr="00472687" w:rsidRDefault="0052083E" w:rsidP="00472687">
      <w:pPr>
        <w:pStyle w:val="JuQuot"/>
      </w:pPr>
      <w:r>
        <w:lastRenderedPageBreak/>
        <w:t>3. Este extrem de îngrijorată de faptul că, până în prezent, activitățile umane au cauzat o încălzire de aproximativ 1,1</w:t>
      </w:r>
      <w:r>
        <w:rPr>
          <w:vertAlign w:val="superscript"/>
        </w:rPr>
        <w:t>o</w:t>
      </w:r>
      <w:r>
        <w:t>C, ale cărei efecte se resimt deja în toate regiunile, iar bugetele de carbon de la ora actuală, care permit atingerea obiectivului privind temperatura stabilit în Acordul de la Paris, sunt limitate și se epuizează rapid;</w:t>
      </w:r>
    </w:p>
    <w:p w:rsidR="00F47ACE" w:rsidRPr="00472687" w:rsidRDefault="0052083E" w:rsidP="00472687">
      <w:pPr>
        <w:pStyle w:val="JuQuot"/>
      </w:pPr>
      <w:r>
        <w:t>4. Reamintește articolul 2 alineatul (2) din Acordul de la Paris, care prevede că Acordul de la Paris va fi pus în aplicare pentru a reflecta echitatea și principiul responsabilităților comune, dar diferențiate, și al capacităților aferente, în funcție de diferitele circumstanțe naționale;</w:t>
      </w:r>
    </w:p>
    <w:p w:rsidR="00F47ACE" w:rsidRPr="00472687" w:rsidRDefault="0052083E" w:rsidP="00472687">
      <w:pPr>
        <w:pStyle w:val="JuQuot"/>
      </w:pPr>
      <w:r>
        <w:t>5. Subliniază urgența necesității de a consolida ambiția și acțiunile în materie de atenuare, adaptare și finanțare în acest deceniu crucial, pentru a aborda decalajele existente în ceea ce privește punerea în aplicare a obiectivelor Acordului de la Paris;</w:t>
      </w:r>
    </w:p>
    <w:p w:rsidR="00F47ACE" w:rsidRPr="00472687" w:rsidRDefault="0052083E" w:rsidP="00472687">
      <w:pPr>
        <w:pStyle w:val="JuQuot"/>
      </w:pPr>
      <w:r>
        <w:t>[...]</w:t>
      </w:r>
    </w:p>
    <w:p w:rsidR="00F47ACE" w:rsidRPr="00472687" w:rsidRDefault="0052083E" w:rsidP="00472687">
      <w:pPr>
        <w:pStyle w:val="JuQuot"/>
      </w:pPr>
      <w:r>
        <w:t>IV. Atenuare</w:t>
      </w:r>
    </w:p>
    <w:p w:rsidR="00F47ACE" w:rsidRPr="00472687" w:rsidRDefault="0052083E" w:rsidP="00472687">
      <w:pPr>
        <w:pStyle w:val="JuQuot"/>
      </w:pPr>
      <w:r>
        <w:t>20. Reafirmă obiectivul privind temperatura, stabilit în Acordul de la Paris, de a menține creșterea temperaturii medii globale cu mult sub 2</w:t>
      </w:r>
      <w:r>
        <w:rPr>
          <w:vertAlign w:val="superscript"/>
        </w:rPr>
        <w:t>o</w:t>
      </w:r>
      <w:r>
        <w:t>C peste nivelurile preindustriale și de a continua eforturile de limitare a creșterii temperaturii la 1,5</w:t>
      </w:r>
      <w:r>
        <w:rPr>
          <w:vertAlign w:val="superscript"/>
        </w:rPr>
        <w:t>o</w:t>
      </w:r>
      <w:r>
        <w:t>C peste nivelurile preindustriale;</w:t>
      </w:r>
    </w:p>
    <w:p w:rsidR="00F47ACE" w:rsidRPr="00472687" w:rsidRDefault="0052083E" w:rsidP="00472687">
      <w:pPr>
        <w:pStyle w:val="JuQuot"/>
      </w:pPr>
      <w:r>
        <w:t>21. Consideră că efectele schimbărilor climatice vor fi mult mai mici dacă temperatura crește cu 1,5</w:t>
      </w:r>
      <w:r>
        <w:rPr>
          <w:vertAlign w:val="superscript"/>
        </w:rPr>
        <w:t>o</w:t>
      </w:r>
      <w:r>
        <w:t>C și nu cu 2</w:t>
      </w:r>
      <w:r>
        <w:rPr>
          <w:vertAlign w:val="superscript"/>
        </w:rPr>
        <w:t>o</w:t>
      </w:r>
      <w:r>
        <w:t>C și decide să continue acțiunile de limitare a creșterii temperaturii la 1,5</w:t>
      </w:r>
      <w:r>
        <w:rPr>
          <w:vertAlign w:val="superscript"/>
        </w:rPr>
        <w:t>o</w:t>
      </w:r>
      <w:r>
        <w:t>C;</w:t>
      </w:r>
    </w:p>
    <w:p w:rsidR="00F47ACE" w:rsidRPr="00472687" w:rsidRDefault="0052083E" w:rsidP="00472687">
      <w:pPr>
        <w:pStyle w:val="JuQuot"/>
      </w:pPr>
      <w:r>
        <w:t>22. Consideră că, pentru a menține la 1,5</w:t>
      </w:r>
      <w:r>
        <w:rPr>
          <w:vertAlign w:val="superscript"/>
        </w:rPr>
        <w:t>o</w:t>
      </w:r>
      <w:r>
        <w:t>C încălzirea globală, sunt necesare reduceri rapide, semnificative și durabile ale emisiilor globale de [GES] cu 45% până în 2030, comparativ cu nivelurile din 2010, cu scopul de a obține zero emisii nete până la jumătatea secolului și de a reduce semnificativ emisiile de alte [GES];</w:t>
      </w:r>
    </w:p>
    <w:p w:rsidR="00F47ACE" w:rsidRPr="00472687" w:rsidRDefault="0052083E" w:rsidP="00472687">
      <w:pPr>
        <w:pStyle w:val="JuQuot"/>
      </w:pPr>
      <w:r>
        <w:t>23. De asemenea, consideră că este necesară, așadar, intensificarea eforturilor în acest deceniu crucial, pe baza celor mai bune cunoștințe științifice disponibile și în temeiul principiului echității și al responsabilităților comune, dar diferențiate, și ținând seama de capacitățile aferente și de diferitele circumstanțe naționale, în contextul dezvoltării durabile și al eforturilor de eradicare a sărăciei;</w:t>
      </w:r>
    </w:p>
    <w:p w:rsidR="00F47ACE" w:rsidRPr="00472687" w:rsidRDefault="0052083E" w:rsidP="00472687">
      <w:pPr>
        <w:pStyle w:val="JuQuot"/>
      </w:pPr>
      <w:r>
        <w:t>[...]</w:t>
      </w:r>
    </w:p>
    <w:p w:rsidR="00C014F0" w:rsidRPr="00472687" w:rsidRDefault="0052083E" w:rsidP="00472687">
      <w:pPr>
        <w:pStyle w:val="JuQuot"/>
      </w:pPr>
      <w:r>
        <w:t>26. Subliniază necesitatea urgentă ca părțile să își intensifice eforturile de reducere colectivă a emisiilor, prin accelerarea acțiunilor și a punerii în aplicare a măsurilor interne de reducere menționate la articolul 4 alineatul (2) din Acordul de la Paris;</w:t>
      </w:r>
    </w:p>
    <w:p w:rsidR="00F47ACE" w:rsidRPr="00472687" w:rsidRDefault="0052083E" w:rsidP="00472687">
      <w:pPr>
        <w:pStyle w:val="JuQuot"/>
      </w:pPr>
      <w:r>
        <w:t>[...] ”</w:t>
      </w:r>
    </w:p>
    <w:p w:rsidR="00C014F0" w:rsidRPr="00472687" w:rsidRDefault="00C71855" w:rsidP="00472687">
      <w:pPr>
        <w:pStyle w:val="JuPara"/>
        <w:rPr>
          <w:b/>
          <w:bCs/>
        </w:rPr>
      </w:pPr>
      <w:fldSimple w:instr=" SEQ level0 \*arabic \* MERGEFORMAT ">
        <w:r w:rsidR="00472687" w:rsidRPr="00472687">
          <w:t>138</w:t>
        </w:r>
      </w:fldSimple>
      <w:r w:rsidR="00B71F73">
        <w:t>. COP27, Conferința părților la UNFCCC, a avut loc la Sharm el-Sheikh în perioada 6-20 noiembrie 2022. Părțile relevante ale Planului de punere în aplicare de la Sharm el-Sheikh, adoptat cu această ocazie, prevăd următoarele:</w:t>
      </w:r>
    </w:p>
    <w:p w:rsidR="00C014F0" w:rsidRPr="00472687" w:rsidRDefault="0052083E" w:rsidP="00472687">
      <w:pPr>
        <w:pStyle w:val="JuQuot"/>
      </w:pPr>
      <w:r>
        <w:t>„Conferința părților,</w:t>
      </w:r>
    </w:p>
    <w:p w:rsidR="00F47ACE" w:rsidRPr="00472687" w:rsidRDefault="0052083E" w:rsidP="00472687">
      <w:pPr>
        <w:pStyle w:val="JuQuot"/>
      </w:pPr>
      <w:r>
        <w:t>[...]</w:t>
      </w:r>
    </w:p>
    <w:p w:rsidR="00C014F0" w:rsidRPr="00472687" w:rsidRDefault="0052083E" w:rsidP="00472687">
      <w:pPr>
        <w:pStyle w:val="JuQuot"/>
      </w:pPr>
      <w:r>
        <w:t xml:space="preserve">Recunoscând că schimbările climatice sunt o preocupare comună a omenirii, în momentul luării măsurilor de abordare a schimbărilor climatice, părțile ar trebui să respecte, să promoveze și să ia în considerare obligațiile care le revin privind drepturile omului, dreptul la un mediu curat, sănătos și durabil, dreptul la sănătate, drepturile </w:t>
      </w:r>
      <w:r>
        <w:lastRenderedPageBreak/>
        <w:t>popoarelor indigene, ale comunităților locale, ale migranților, ale copiilor, ale persoanelor cu handicap și ale persoanelor în situații vulnerabile, și dreptul la dezvoltare, precum și egalitatea de gen, emanciparea femeilor și egalitatea între generații,</w:t>
      </w:r>
    </w:p>
    <w:p w:rsidR="00F47ACE" w:rsidRPr="00472687" w:rsidRDefault="0052083E" w:rsidP="00472687">
      <w:pPr>
        <w:pStyle w:val="JuQuot"/>
      </w:pPr>
      <w:r>
        <w:t>[...]</w:t>
      </w:r>
    </w:p>
    <w:p w:rsidR="00C014F0" w:rsidRPr="00472687" w:rsidRDefault="0052083E" w:rsidP="00472687">
      <w:pPr>
        <w:pStyle w:val="JuQuot"/>
      </w:pPr>
      <w:r>
        <w:t>57. Încurajează părțile să se asigure că mai multe femei pot participa pe deplin și în condiții de egalitate la toate acțiunile climatice și că punerea în aplicare și mijloacele de punere în aplicare țin seama de dimensiunea de gen, inclusiv prin punerea deplină în aplicare a Programului de lucru de la Lima privind genul și a Planului de acțiune pentru egalitatea de gen aferent, pentru a crește nivelul de ambiție și pentru a atinge obiectivele climatice;</w:t>
      </w:r>
    </w:p>
    <w:p w:rsidR="00F47ACE" w:rsidRPr="00472687" w:rsidRDefault="0052083E" w:rsidP="00472687">
      <w:pPr>
        <w:pStyle w:val="JuQuot"/>
      </w:pPr>
      <w:r>
        <w:t>[...]</w:t>
      </w:r>
    </w:p>
    <w:p w:rsidR="00C014F0" w:rsidRPr="00472687" w:rsidRDefault="0052083E" w:rsidP="00472687">
      <w:pPr>
        <w:pStyle w:val="JuQuot"/>
      </w:pPr>
      <w:r>
        <w:t>59. Constată rolul pe care îl au copiii și tinerii, în calitate de agenți ai schimbării, în abordarea și combaterea schimbărilor climatice și încurajează părțile să includă copiii și tinerii în procesele lor de elaborare și punere în aplicare a politicilor și acțiunilor climatice și, după caz, să ia în considerare includerea, în delegațiile lor naționale, a unor reprezentanți și negociatori din rândul tinerilor, recunoscând importanța egalității între generații și menținând stabilitatea sistemului climatic pentru generațiile viitoare [...] ”</w:t>
      </w:r>
    </w:p>
    <w:p w:rsidR="00F47ACE" w:rsidRPr="00472687" w:rsidRDefault="0052083E" w:rsidP="00472687">
      <w:pPr>
        <w:pStyle w:val="JuHa0"/>
        <w:numPr>
          <w:ilvl w:val="4"/>
          <w:numId w:val="28"/>
        </w:numPr>
      </w:pPr>
      <w:bookmarkStart w:id="143" w:name="_Toc199273446"/>
      <w:r>
        <w:t>COP28</w:t>
      </w:r>
      <w:bookmarkEnd w:id="143"/>
    </w:p>
    <w:bookmarkStart w:id="144" w:name="paragraph00139"/>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139</w:t>
      </w:r>
      <w:r w:rsidRPr="00472687">
        <w:fldChar w:fldCharType="end"/>
      </w:r>
      <w:bookmarkEnd w:id="144"/>
      <w:r>
        <w:t>. În cadrul pregătirilor pentru COP28, Conferința părților la UNFCCC (desfășurată la Dubai între 30 noiembrie și 12 decembrie 2023), au fost formulate următoarele concluzii în raportul de sinteză privind dialogul tehnic din cadrul Primului bilanț la nivel mondial (First Global Stocktake) realizat în temeiul Acordului de la Paris</w:t>
      </w:r>
      <w:r>
        <w:rPr>
          <w:vertAlign w:val="superscript"/>
        </w:rPr>
        <w:footnoteReference w:id="92"/>
      </w:r>
      <w:r>
        <w:t>:</w:t>
      </w:r>
    </w:p>
    <w:p w:rsidR="00F47ACE" w:rsidRPr="00472687" w:rsidRDefault="0052083E" w:rsidP="00472687">
      <w:pPr>
        <w:pStyle w:val="JuQuot"/>
      </w:pPr>
      <w:r>
        <w:t>„Concluzia nr. 1: de la adoptarea sa, Acordul de la Paris a inițiat acțiuni climatice aproape universale, prin stabilirea de obiective și prin sensibilizarea comunității internaționale cu privire la urgența necesității de a răspunde la criza climatică. Cu toate acestea, mai sunt multe de făcut pe toate fronturile.</w:t>
      </w:r>
    </w:p>
    <w:p w:rsidR="00F47ACE" w:rsidRPr="00472687" w:rsidRDefault="0052083E" w:rsidP="00472687">
      <w:pPr>
        <w:pStyle w:val="JuQuot"/>
      </w:pPr>
      <w:r>
        <w:t>Concluzia nr. 2: pentru a consolida răspunsul global la amenințarea reprezentată de schimbările climatice, în contextul dezvoltării durabile și al eforturilor de eradicare a sărăciei, guvernele trebuie să sprijine transformările sistemelor care țin seama de reziliența la efectele schimbărilor climatice și de dezvoltarea cu un nivel scăzut de emisii de [GES]. Entitățile interesate care nu sunt părți la UNFCCC trebuie să ia măsuri credibile, responsabile și transparente pentru a accelera transformarea sistemelor.</w:t>
      </w:r>
    </w:p>
    <w:p w:rsidR="00C014F0" w:rsidRPr="00472687" w:rsidRDefault="0052083E" w:rsidP="00472687">
      <w:pPr>
        <w:pStyle w:val="JuQuot"/>
      </w:pPr>
      <w:r>
        <w:t>Concluzia nr. 3: transformarea sistemelor deschide numeroase posibilități, dar schimbările rapide pot avea efecte perturbatoare. Punându-se accent pe incluziune și echitate, este posibilă creșterea nivelului de ambiție al acțiunilor climatice și a sprijinului pentru punerea lor în aplicare.</w:t>
      </w:r>
    </w:p>
    <w:p w:rsidR="00F47ACE" w:rsidRPr="00472687" w:rsidRDefault="0052083E" w:rsidP="00472687">
      <w:pPr>
        <w:pStyle w:val="JuQuot"/>
      </w:pPr>
      <w:r>
        <w:t>Concluzia nr. 4: emisiile globale nu urmează traiectorii de atenuare modelate la nivel mondial, care să fie compatibile cu obiectivul privind temperatura stabilit în Acordul de la Paris, iar posibilitățile de creștere a nivelului de ambiție și de punere în aplicare a angajamentelor actuale de limitare a încălzirii globale la 1,5</w:t>
      </w:r>
      <w:r>
        <w:rPr>
          <w:vertAlign w:val="superscript"/>
        </w:rPr>
        <w:t>o</w:t>
      </w:r>
      <w:r>
        <w:t>C în raport cu nivelurile preindustriale scad rapid.</w:t>
      </w:r>
    </w:p>
    <w:p w:rsidR="00F47ACE" w:rsidRPr="00472687" w:rsidRDefault="0052083E" w:rsidP="00472687">
      <w:pPr>
        <w:pStyle w:val="JuQuot"/>
      </w:pPr>
      <w:r>
        <w:lastRenderedPageBreak/>
        <w:t>Concluzia nr. 5: este necesar să se intensifice acțiunile și sprijinul pentru punerea în aplicare a măsurilor naționale de atenuare și să se stabilească obiective mai ambițioase în cadrul CSN-urilor pentru a profita de oportunitățile existente și emergente în toate contextele, cu scopul de a reduce emisiile globale de GES cu 43% până în 2030 și cu 60% până în 2035, în raport cu nivelurile din 2019, și de a realiza la nivel mondial obiectivul de zero emisii nete de CO</w:t>
      </w:r>
      <w:r>
        <w:rPr>
          <w:vertAlign w:val="subscript"/>
        </w:rPr>
        <w:t>2</w:t>
      </w:r>
      <w:r>
        <w:t>, până în 2050.</w:t>
      </w:r>
    </w:p>
    <w:p w:rsidR="00F47ACE" w:rsidRPr="00472687" w:rsidRDefault="0052083E" w:rsidP="00472687">
      <w:pPr>
        <w:pStyle w:val="JuQuot"/>
      </w:pPr>
      <w:r>
        <w:t>Concluzia nr. 6: realizarea obiectivului de zero emisii nete de CO</w:t>
      </w:r>
      <w:r>
        <w:rPr>
          <w:vertAlign w:val="subscript"/>
        </w:rPr>
        <w:t>2</w:t>
      </w:r>
      <w:r>
        <w:t xml:space="preserve"> și GES impune transformarea sistemelor în toate sectoarele și contextele, inclusiv prin dezvoltarea surselor de energie regenerabilă, eliminând totodată, progresiv, toți combustibilii fosili fără tehnologii de reducere a emisiilor, stopând defrișările, reducând alte emisii decât cele de CO</w:t>
      </w:r>
      <w:r>
        <w:rPr>
          <w:vertAlign w:val="subscript"/>
        </w:rPr>
        <w:t>2</w:t>
      </w:r>
      <w:r>
        <w:t xml:space="preserve"> și aplicând măsuri axate atât pe ofertă, cât și pe cerere.</w:t>
      </w:r>
    </w:p>
    <w:p w:rsidR="00F47ACE" w:rsidRPr="00472687" w:rsidRDefault="0052083E" w:rsidP="00472687">
      <w:pPr>
        <w:pStyle w:val="JuQuot"/>
      </w:pPr>
      <w:r>
        <w:t>Concluzia nr. 7: tranzițiile juste pot contribui la obținerea unor rezultate mai bune și mai echitabile în materie de atenuare, prin aplicarea unor abordări adaptate la diferite contexte.</w:t>
      </w:r>
    </w:p>
    <w:p w:rsidR="00F47ACE" w:rsidRPr="00472687" w:rsidRDefault="0052083E" w:rsidP="00472687">
      <w:pPr>
        <w:pStyle w:val="JuQuot"/>
      </w:pPr>
      <w:r>
        <w:t>Concluzia nr. 8: diversificarea economică este o strategie esențială pentru abordarea efectelor măsurilor de răspuns, fiind disponibile mai multe opțiuni ce pot fi aplicate în contexte diferite.</w:t>
      </w:r>
    </w:p>
    <w:p w:rsidR="0048465F" w:rsidRPr="00472687" w:rsidRDefault="0052083E" w:rsidP="00472687">
      <w:pPr>
        <w:pStyle w:val="JuQuot"/>
      </w:pPr>
      <w:r>
        <w:br w:type="page"/>
      </w:r>
    </w:p>
    <w:p w:rsidR="00F47ACE" w:rsidRPr="00472687" w:rsidRDefault="0052083E" w:rsidP="00472687">
      <w:pPr>
        <w:pStyle w:val="JuQuot"/>
      </w:pPr>
      <w:r>
        <w:lastRenderedPageBreak/>
        <w:t>Concluzia nr. 9: având în vedere că schimbările climatice amenință toate țările, toate comunitățile și toți oamenii din întreaga lume, este urgent să se intensifice acțiunile de adaptare și eforturile de a preveni pierderile și prejudiciile, de a le reduce la minimum și de a le remedia, astfel încât să fie reduse efectele tot mai mari ale schimbărilor climatice și să se răspundă acestora, în special pentru persoanele care sunt cel mai puțin pregătite pentru aceste schimbări și cel mai puțin capabile să își revină de pe urma dezastrelor.</w:t>
      </w:r>
    </w:p>
    <w:p w:rsidR="00F47ACE" w:rsidRPr="00472687" w:rsidRDefault="0052083E" w:rsidP="00472687">
      <w:pPr>
        <w:pStyle w:val="JuQuot"/>
      </w:pPr>
      <w:r>
        <w:t>Concluzia nr. 10: la nivel colectiv, planurile și angajamentele în materie de adaptare și sprijin sunt din ce în ce mai ambițioase, dar majoritatea măsurilor de adaptare examinate sunt fragmentate, progresive, sectoriale și distribuite inegal între regiuni.</w:t>
      </w:r>
    </w:p>
    <w:p w:rsidR="00F47ACE" w:rsidRPr="00472687" w:rsidRDefault="0052083E" w:rsidP="00472687">
      <w:pPr>
        <w:pStyle w:val="JuQuot"/>
      </w:pPr>
      <w:r>
        <w:t>Concluzia nr. 11: atunci când măsurile de adaptare sunt judicioase și determinate de contextele, populațiile și prioritățile locale, se consolidează relevanța și eficacitatea acțiunilor și a sprijinului în materie de adaptare, ceea ce poate favoriza, de asemenea, o adaptare transformațională.</w:t>
      </w:r>
    </w:p>
    <w:p w:rsidR="00F47ACE" w:rsidRPr="00472687" w:rsidRDefault="0052083E" w:rsidP="00472687">
      <w:pPr>
        <w:pStyle w:val="JuQuot"/>
      </w:pPr>
      <w:r>
        <w:t>Concluzia nr. 12: pentru a preveni pierderile și prejudiciile, pentru a le reduce la minimum și pentru a le remedia, este urgent să se ia măsuri în cadrul politicilor climatice și de dezvoltare pentru a gestiona riscurile în mod global și pentru a ajuta comunitățile afectate.</w:t>
      </w:r>
    </w:p>
    <w:p w:rsidR="00F47ACE" w:rsidRPr="00472687" w:rsidRDefault="0052083E" w:rsidP="00472687">
      <w:pPr>
        <w:pStyle w:val="JuQuot"/>
      </w:pPr>
      <w:r>
        <w:t>Concluzia nr. 13: este necesar să se găsească rapid surse de finanțare inovatoare și mai consistente, cu scopul de a intensifica sprijinul pentru adaptare și de a dezvolta mecanisme de finanțare care să prevină, să reducă la minimum și să remedieze pierderile și prejudiciile. Fluxurile financiare trebuie să poată răspunde nevoilor urgente și din ce în ce mai mari ale unui mod de dezvoltare rezilient la efectele schimbărilor climatice.</w:t>
      </w:r>
    </w:p>
    <w:p w:rsidR="00F47ACE" w:rsidRPr="00472687" w:rsidRDefault="0052083E" w:rsidP="00472687">
      <w:pPr>
        <w:pStyle w:val="JuQuot"/>
      </w:pPr>
      <w:r>
        <w:t>Concluzia nr. 14: creșterea mobilizării fondurilor pentru acțiunile (de combatere a schimbărilor) climatice în țările în curs de dezvoltare necesită o redistribuire strategică a finanțelor publice internaționale, care rămâne un motor esențial al acțiunilor, precum și continuarea creșterii eficacității acțiunilor, inclusiv în ceea ce privește accesul, asumarea responsabilității și efectele.</w:t>
      </w:r>
    </w:p>
    <w:p w:rsidR="00F47ACE" w:rsidRPr="00472687" w:rsidRDefault="0052083E" w:rsidP="00472687">
      <w:pPr>
        <w:pStyle w:val="JuQuot"/>
      </w:pPr>
      <w:r>
        <w:t>Concluzia nr. 15: este necesar să fie deblocate fonduri de miliarde de dolari, iar investițiile trebuie să fie redirecționate către acțiuni climatice la diferite niveluri pentru a garanta că fluxurile financiare – internaționale și naționale, publice și private – sunt compatibile cu o traiectorie de evoluție către o dezvoltare cu un nivel scăzut de emisii de GES și rezilientă la efectele schimbărilor climatice.</w:t>
      </w:r>
    </w:p>
    <w:p w:rsidR="00F47ACE" w:rsidRPr="00472687" w:rsidRDefault="0052083E" w:rsidP="00472687">
      <w:pPr>
        <w:pStyle w:val="JuQuot"/>
      </w:pPr>
      <w:r>
        <w:t>Concluzia nr. 16: tehnologiile mai curate disponibile trebuie să fie implementate rapid, accelerând totodată inovarea, dezvoltarea și transferul de noi tehnologii, pentru a răspunde nevoilor țărilor în curs de dezvoltare.</w:t>
      </w:r>
    </w:p>
    <w:p w:rsidR="00F47ACE" w:rsidRPr="00472687" w:rsidRDefault="0052083E" w:rsidP="00472687">
      <w:pPr>
        <w:pStyle w:val="JuQuot"/>
      </w:pPr>
      <w:r>
        <w:t>Concluzia nr. 17: consolidarea capacităților este fundamentală pentru realizarea unor acțiuni climatice durabile și de mare anvergură și necesită o cooperare eficientă, coordonată la nivel de țară și bazată pe necesități, astfel încât capacitățile să fie consolidate și menținute în timp, la toate nivelurile. ”</w:t>
      </w:r>
    </w:p>
    <w:bookmarkStart w:id="145" w:name="paragraph00140"/>
    <w:p w:rsidR="00F47ACE"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140</w:t>
      </w:r>
      <w:r w:rsidRPr="00472687">
        <w:fldChar w:fldCharType="end"/>
      </w:r>
      <w:bookmarkEnd w:id="145"/>
      <w:r>
        <w:t>. Părțile relevante din rezultatele „Primului bilanț la nivel mondial”</w:t>
      </w:r>
      <w:r>
        <w:rPr>
          <w:rStyle w:val="FootnoteReference"/>
        </w:rPr>
        <w:footnoteReference w:id="93"/>
      </w:r>
      <w:r>
        <w:t>, prezentate în cadrul COP28, se citesc astfel:</w:t>
      </w:r>
    </w:p>
    <w:p w:rsidR="00F47ACE" w:rsidRPr="00472687" w:rsidRDefault="0052083E" w:rsidP="00472687">
      <w:pPr>
        <w:pStyle w:val="JuQuot"/>
      </w:pPr>
      <w:r>
        <w:t>„Conferința părților care servește drept reuniune a părților la Acordul de la Paris,</w:t>
      </w:r>
    </w:p>
    <w:p w:rsidR="00F47ACE" w:rsidRPr="00472687" w:rsidRDefault="0052083E" w:rsidP="00472687">
      <w:pPr>
        <w:pStyle w:val="JuQuot"/>
      </w:pPr>
      <w:r>
        <w:lastRenderedPageBreak/>
        <w:t>Reamintind articolul 2 alineatul (1) din Acordul de la Paris, care prevede că acordul, contribuind la punerea în aplicare a convenției, inclusiv a obiectivului său, are ca scop consolidarea răspunsului global la amenințarea reprezentată de schimbările climatice, în contextul dezvoltării durabile și al eforturilor de eradicare a sărăciei,</w:t>
      </w:r>
    </w:p>
    <w:p w:rsidR="00F47ACE" w:rsidRPr="00472687" w:rsidRDefault="0052083E" w:rsidP="00472687">
      <w:pPr>
        <w:pStyle w:val="JuQuot"/>
      </w:pPr>
      <w:r>
        <w:t>Reamintind, de asemenea, articolul 2 alineatul (2) din Acordul de la Paris, care prevede că acordul va fi pus în aplicare pentru a reflecta echitatea și principiul responsabilităților comune, dar diferențiate, și al capacităților aferente, în funcție de diferitele circumstanțe naționale,</w:t>
      </w:r>
    </w:p>
    <w:p w:rsidR="00F47ACE" w:rsidRPr="00472687" w:rsidRDefault="0052083E" w:rsidP="00472687">
      <w:pPr>
        <w:pStyle w:val="JuQuot"/>
      </w:pPr>
      <w:r>
        <w:t>[...]</w:t>
      </w:r>
    </w:p>
    <w:p w:rsidR="00F47ACE" w:rsidRPr="00472687" w:rsidRDefault="0052083E" w:rsidP="00472687">
      <w:pPr>
        <w:pStyle w:val="JuQuot"/>
      </w:pPr>
      <w:r>
        <w:t>Recunoscând că schimbările climatice sunt o preocupare comună a omenirii, în momentul luării măsurilor de abordare a schimbărilor climatice, părțile ar trebui să respecte, să promoveze și să ia în considerare obligațiile care le revin privind drepturile omului, dreptul la un mediu curat, sănătos și durabil, dreptul la sănătate, drepturile popoarelor indigene, ale comunităților locale, ale migranților, ale copiilor, ale persoanelor cu handicap și ale persoanelor în situații vulnerabile, și dreptul la dezvoltare, precum și egalitatea de gen, emanciparea femeilor și egalitatea între generații,</w:t>
      </w:r>
    </w:p>
    <w:p w:rsidR="00F47ACE" w:rsidRPr="00472687" w:rsidRDefault="0052083E" w:rsidP="00472687">
      <w:pPr>
        <w:pStyle w:val="JuQuot"/>
      </w:pPr>
      <w:r>
        <w:t>[...]</w:t>
      </w:r>
    </w:p>
    <w:p w:rsidR="00F47ACE" w:rsidRPr="00472687" w:rsidRDefault="0052083E" w:rsidP="00472687">
      <w:pPr>
        <w:pStyle w:val="JuQuot"/>
      </w:pPr>
      <w:r>
        <w:t>I. Context și considerații transversale</w:t>
      </w:r>
    </w:p>
    <w:p w:rsidR="00F47ACE" w:rsidRPr="00472687" w:rsidRDefault="0052083E" w:rsidP="00472687">
      <w:pPr>
        <w:pStyle w:val="JuQuot"/>
      </w:pPr>
      <w:r>
        <w:t>1. Salută faptul că Acordul de la Paris a inițiat acțiuni climatice aproape universale, prin stabilirea de obiective și prin sensibilizarea comunității internaționale cu privire la urgența necesității de a răspunde la criza climatică;</w:t>
      </w:r>
    </w:p>
    <w:p w:rsidR="00F47ACE" w:rsidRPr="00472687" w:rsidRDefault="0052083E" w:rsidP="00472687">
      <w:pPr>
        <w:pStyle w:val="JuQuot"/>
      </w:pPr>
      <w:r>
        <w:t>2. Subliniază că, în pofida progreselor generale înregistrate în ceea ce privește atenuarea, adaptarea și mijloacele de punere în aplicare și de sprijin, părțile, considerate în mod colectiv, nu sunt încă pe calea îndeplinirii scopului și obiectivelor pe termen lung ale Acordul de la Paris.</w:t>
      </w:r>
    </w:p>
    <w:p w:rsidR="00F47ACE" w:rsidRPr="00472687" w:rsidRDefault="0052083E" w:rsidP="00472687">
      <w:pPr>
        <w:pStyle w:val="JuQuot"/>
      </w:pPr>
      <w:r>
        <w:t>3. Reafirmă obiectivul enunțat în Acordul de la Paris, respectiv menținerea creșterii temperaturii medii globale cu mult sub 2°C peste nivelurile preindustriale și continuarea eforturilor de limitare a creșterii temperaturii la 1,5°C peste nivelurile preindustriale, având în vedere că astfel s-ar reduce în mod semnificativ riscurile inerente schimbărilor climatice și efectele acestora.</w:t>
      </w:r>
    </w:p>
    <w:p w:rsidR="00F47ACE" w:rsidRPr="00472687" w:rsidRDefault="0052083E" w:rsidP="00472687">
      <w:pPr>
        <w:pStyle w:val="JuQuot"/>
      </w:pPr>
      <w:r>
        <w:t>4. Subliniază că efectele schimbărilor climatice vor fi mult mai mici dacă temperatura crește cu 1,5</w:t>
      </w:r>
      <w:r>
        <w:rPr>
          <w:vertAlign w:val="superscript"/>
        </w:rPr>
        <w:t>o</w:t>
      </w:r>
      <w:r>
        <w:t>C, și nu cu 2</w:t>
      </w:r>
      <w:r>
        <w:rPr>
          <w:vertAlign w:val="superscript"/>
        </w:rPr>
        <w:t>o</w:t>
      </w:r>
      <w:r>
        <w:t>C, și decide să continue eforturile de limitare a creșterii temperaturii la 1,5</w:t>
      </w:r>
      <w:r>
        <w:rPr>
          <w:vertAlign w:val="superscript"/>
        </w:rPr>
        <w:t>o</w:t>
      </w:r>
      <w:r>
        <w:t>C;</w:t>
      </w:r>
    </w:p>
    <w:p w:rsidR="00F47ACE" w:rsidRPr="00472687" w:rsidRDefault="0052083E" w:rsidP="00472687">
      <w:pPr>
        <w:pStyle w:val="JuQuot"/>
      </w:pPr>
      <w:r>
        <w:t>5. Își exprimă profunda îngrijorare cu privire la faptul că s-a preconizat că 2023 va fi cel mai cald an înregistrat vreodată și că efectele schimbărilor climatice devin tot mai accentuate și subliniază necesitatea unui sprijin și unor acțiuni urgente pentru ca obiectivul de 1,5</w:t>
      </w:r>
      <w:r>
        <w:rPr>
          <w:vertAlign w:val="superscript"/>
        </w:rPr>
        <w:t>o</w:t>
      </w:r>
      <w:r>
        <w:t>C să rămână realizabil și pentru a aborda criza climatică în cursul acestui deceniu crucial;</w:t>
      </w:r>
    </w:p>
    <w:p w:rsidR="00F47ACE" w:rsidRPr="00472687" w:rsidRDefault="0052083E" w:rsidP="00472687">
      <w:pPr>
        <w:pStyle w:val="JuQuot"/>
      </w:pPr>
      <w:r>
        <w:t>6. Se angajează să intensifice eforturile în acest deceniu crucial, pe baza celor mai bune cunoștințe științifice disponibile și în temeiul principiului echității și al responsabilităților comune, dar diferențiate, și ținând seama de capacitățile aferente și de diferitele circumstanțe naționale, în contextul dezvoltării durabile și al eforturilor de eradicare a sărăciei;</w:t>
      </w:r>
    </w:p>
    <w:p w:rsidR="00F47ACE" w:rsidRPr="00472687" w:rsidRDefault="0052083E" w:rsidP="00472687">
      <w:pPr>
        <w:pStyle w:val="JuQuot"/>
      </w:pPr>
      <w:r>
        <w:t xml:space="preserve">7. Pune accent pe articolul 2 alineatul (2) din Acordul de la Paris, care prevede că acordul va fi pus în aplicare pentru a reflecta echitatea și principiul responsabilităților </w:t>
      </w:r>
      <w:r>
        <w:lastRenderedPageBreak/>
        <w:t>comune, dar diferențiate, și al capacităților aferente, în funcție de diferitele circumstanțe naționale;</w:t>
      </w:r>
    </w:p>
    <w:p w:rsidR="00F47ACE" w:rsidRPr="00472687" w:rsidRDefault="0052083E" w:rsidP="00472687">
      <w:pPr>
        <w:pStyle w:val="JuQuot"/>
      </w:pPr>
      <w:r>
        <w:t>[...]</w:t>
      </w:r>
    </w:p>
    <w:p w:rsidR="00F47ACE" w:rsidRPr="00472687" w:rsidRDefault="0052083E" w:rsidP="00472687">
      <w:pPr>
        <w:pStyle w:val="JuQuot"/>
      </w:pPr>
      <w:r>
        <w:t>15. Își exprimă profunda îngrijorare și preocupare cu privire la următoarele concluzii, prezentate în cel de-al șaselea Raport de evaluare al Grupului interguvernamental privind schimbările climatice:</w:t>
      </w:r>
    </w:p>
    <w:p w:rsidR="00F47ACE" w:rsidRPr="00472687" w:rsidRDefault="0052083E" w:rsidP="00472687">
      <w:pPr>
        <w:pStyle w:val="JuQuot"/>
        <w:ind w:left="567"/>
      </w:pPr>
      <w:r>
        <w:t>a) Activitățile umane au cauzat în mod incontestabil, în principal prin emisiile de [GES], o încălzire globală de aproximativ 1,1</w:t>
      </w:r>
      <w:r>
        <w:rPr>
          <w:vertAlign w:val="superscript"/>
        </w:rPr>
        <w:t>o</w:t>
      </w:r>
      <w:r>
        <w:t>C;</w:t>
      </w:r>
    </w:p>
    <w:p w:rsidR="00F47ACE" w:rsidRPr="00472687" w:rsidRDefault="0052083E" w:rsidP="00472687">
      <w:pPr>
        <w:pStyle w:val="JuQuot"/>
        <w:ind w:left="567"/>
      </w:pPr>
      <w:r>
        <w:t>b) Efectele schimbărilor climatice provocate de om se fac deja simțite în toate regiunile lumii, persoanele care contribuie cel mai puțin la aceste schimbări fiind cele mai vulnerabile la efectele lor, care, împreună cu pierderile și prejudiciile, se vor agrava odată cu creșterea temperaturii;</w:t>
      </w:r>
    </w:p>
    <w:p w:rsidR="00F47ACE" w:rsidRPr="00472687" w:rsidRDefault="0052083E" w:rsidP="00472687">
      <w:pPr>
        <w:pStyle w:val="JuQuot"/>
        <w:ind w:left="567"/>
      </w:pPr>
      <w:r>
        <w:t>c) Majoritatea măsurilor de adaptare analizate sunt fragmentate, progresive, sectoriale și distribuite inegal între regiuni și, în pofida progreselor înregistrate, persistă lacune semnificative în materie de adaptare între sectoare și regiuni, care vor continua să se adâncească având în vedere nivelurile actuale de punere în aplicare;</w:t>
      </w:r>
    </w:p>
    <w:p w:rsidR="00F47ACE" w:rsidRPr="00472687" w:rsidRDefault="0052083E" w:rsidP="00472687">
      <w:pPr>
        <w:pStyle w:val="JuQuot"/>
      </w:pPr>
      <w:r>
        <w:t>16. Ia act de următoarele concluzii, care sunt incluse, de asemenea, în cel de-al șaselea Raport de evaluare al Grupului interguvernamental privind schimbările climatice:</w:t>
      </w:r>
    </w:p>
    <w:p w:rsidR="00F47ACE" w:rsidRPr="00472687" w:rsidRDefault="0052083E" w:rsidP="00472687">
      <w:pPr>
        <w:pStyle w:val="JuQuot"/>
        <w:ind w:left="567"/>
      </w:pPr>
      <w:r>
        <w:t>a) Eforturile de atenuare integrate în contextul mai larg al dezvoltării pot spori ritmul, intensitatea și amploarea reducerilor emisiilor, iar strategiile care direcționează dezvoltarea spre durabilitate pot extinde toate opțiunile de atenuare și pot permite dezvoltarea unor sinergii cu obiectivele de dezvoltare;</w:t>
      </w:r>
    </w:p>
    <w:p w:rsidR="00F47ACE" w:rsidRPr="00472687" w:rsidRDefault="0052083E" w:rsidP="00472687">
      <w:pPr>
        <w:pStyle w:val="JuQuot"/>
        <w:ind w:left="567"/>
      </w:pPr>
      <w:r>
        <w:t>b) Cuantumul fondurilor alocate pentru adaptare și atenuare ar trebui să crească semnificativ și există suficient capital în lume pentru a acoperi deficitul de investiții la nivel mondial, dar există obstacole în calea redirecționării capitalului către acțiunile climatice, iar guvernele, grație fondurilor publice și semnalelor clare transmise investitorilor, sunt un factor-cheie pentru reducerea acestor obstacole, investitorii, băncile centrale și autoritățile de reglementare din domeniul financiar având, de asemenea, rolul lor;</w:t>
      </w:r>
    </w:p>
    <w:p w:rsidR="00F47ACE" w:rsidRPr="00472687" w:rsidRDefault="0052083E" w:rsidP="00472687">
      <w:pPr>
        <w:pStyle w:val="JuQuot"/>
        <w:ind w:left="567"/>
      </w:pPr>
      <w:r>
        <w:t>c) Soluții de atenuare fezabile, eficiente și la costuri reduse sunt deja disponibile în toate sectoarele și, prin intermediul unei cooperări adecvate în materie de tehnologie și sprijin, acestea vor putea contribui la asigurarea faptului că obiectivul de 1,5</w:t>
      </w:r>
      <w:r>
        <w:rPr>
          <w:vertAlign w:val="superscript"/>
        </w:rPr>
        <w:t>o</w:t>
      </w:r>
      <w:r>
        <w:t>C rămâne realizabil în cursul acestui deceniu critic;</w:t>
      </w:r>
    </w:p>
    <w:p w:rsidR="00F47ACE" w:rsidRPr="00472687" w:rsidRDefault="0052083E" w:rsidP="00472687">
      <w:pPr>
        <w:pStyle w:val="JuQuot"/>
      </w:pPr>
      <w:r>
        <w:t>17. Constată cu îngrijorare decalajul dintre nivelul de ambiție în materie de atenuare și acțiunile întreprinse efectiv înainte de 2020 de țările dezvoltate care sunt părți la acord, precum și faptul că, potrivit Grupului interguvernamental privind schimbările climatice, țările dezvoltate ar fi trebuit să își reducă emisiile cu 25-40% față de nivelurile din 1990 până în 2020;</w:t>
      </w:r>
    </w:p>
    <w:p w:rsidR="00F47ACE" w:rsidRPr="00472687" w:rsidRDefault="0052083E" w:rsidP="00472687">
      <w:pPr>
        <w:pStyle w:val="JuQuot"/>
      </w:pPr>
      <w:r>
        <w:t>II. Progresele colective înregistrate în ceea ce privește îndeplinirea scopului și obiectivelor pe termen lung ale Acordului de la Paris [...]</w:t>
      </w:r>
    </w:p>
    <w:p w:rsidR="00F47ACE" w:rsidRPr="00472687" w:rsidRDefault="0052083E" w:rsidP="00472687">
      <w:pPr>
        <w:pStyle w:val="JuQuot"/>
        <w:rPr>
          <w:b/>
          <w:bCs/>
        </w:rPr>
      </w:pPr>
      <w:r>
        <w:t>A. Atenuare</w:t>
      </w:r>
    </w:p>
    <w:p w:rsidR="00F47ACE" w:rsidRPr="00472687" w:rsidRDefault="0052083E" w:rsidP="00472687">
      <w:pPr>
        <w:pStyle w:val="JuQuot"/>
      </w:pPr>
      <w:r>
        <w:t>[...]</w:t>
      </w:r>
    </w:p>
    <w:p w:rsidR="00F47ACE" w:rsidRPr="00472687" w:rsidRDefault="0052083E" w:rsidP="00472687">
      <w:pPr>
        <w:pStyle w:val="JuQuot"/>
      </w:pPr>
      <w:r>
        <w:t xml:space="preserve">25. Își exprimă îngrijorarea cu privire la faptul că, în prezent, bugetul de carbon care permite atingerea obiectivului privind temperatura, stabilit în Acordul de la Paris, este redus și se epuizează rapid, și constată că volumul cumulat al emisiilor nete de dioxid </w:t>
      </w:r>
      <w:r>
        <w:lastRenderedPageBreak/>
        <w:t>de carbon din trecut reprezintă deja aproximativ patru cincimi din bugetul total de carbon, ceea ce corespunde unei probabilități de 50% de limitare a încălzirii la 1,5</w:t>
      </w:r>
      <w:r>
        <w:rPr>
          <w:vertAlign w:val="superscript"/>
        </w:rPr>
        <w:t>o</w:t>
      </w:r>
      <w:r>
        <w:t>C;</w:t>
      </w:r>
    </w:p>
    <w:p w:rsidR="00F47ACE" w:rsidRPr="00472687" w:rsidRDefault="0052083E" w:rsidP="00472687">
      <w:pPr>
        <w:pStyle w:val="JuQuot"/>
      </w:pPr>
      <w:r>
        <w:t>[...]</w:t>
      </w:r>
    </w:p>
    <w:p w:rsidR="00F47ACE" w:rsidRPr="00472687" w:rsidRDefault="0052083E" w:rsidP="00472687">
      <w:pPr>
        <w:pStyle w:val="JuQuot"/>
      </w:pPr>
      <w:r>
        <w:t>28. Subliniază, de asemenea, necesitatea de a reduce în mod semnificativ, rapid și durabil emisiile de [GES], în conformitate cu traiectoriile care conduc la o creștere a temperaturii de 1,5</w:t>
      </w:r>
      <w:r>
        <w:rPr>
          <w:vertAlign w:val="superscript"/>
        </w:rPr>
        <w:t>o</w:t>
      </w:r>
      <w:r>
        <w:t xml:space="preserve">C, și </w:t>
      </w:r>
      <w:r>
        <w:rPr>
          <w:i/>
          <w:iCs/>
        </w:rPr>
        <w:t>solicită</w:t>
      </w:r>
      <w:r>
        <w:t xml:space="preserve"> părților să contribuie la următoarele eforturi globale, în conformitate cu modalitățile stabilite la nivel național, ținând seama de Acordul de la Paris și de diferitele lor situații, traiectorii și abordări naționale:</w:t>
      </w:r>
    </w:p>
    <w:p w:rsidR="00F47ACE" w:rsidRPr="00472687" w:rsidRDefault="0052083E" w:rsidP="00472687">
      <w:pPr>
        <w:pStyle w:val="JuQuot"/>
        <w:ind w:left="567"/>
      </w:pPr>
      <w:r>
        <w:t>[...]</w:t>
      </w:r>
    </w:p>
    <w:p w:rsidR="00F47ACE" w:rsidRPr="00472687" w:rsidRDefault="0052083E" w:rsidP="00472687">
      <w:pPr>
        <w:pStyle w:val="JuQuot"/>
        <w:ind w:left="567"/>
      </w:pPr>
      <w:r>
        <w:t>d) să asigure o tranziție justă, ordonată și echitabilă către renunțarea la utilizarea combustibililor fosili în sistemele energetice, intensificând acțiunile întreprinse în acest deceniu critic, în vederea atingerii obiectivului zero emisii nete până în 2050, în conformitate cu datele științifice [...] ”</w:t>
      </w:r>
    </w:p>
    <w:p w:rsidR="00F47ACE" w:rsidRPr="00472687" w:rsidRDefault="0052083E" w:rsidP="00472687">
      <w:pPr>
        <w:pStyle w:val="JuH1"/>
        <w:numPr>
          <w:ilvl w:val="3"/>
          <w:numId w:val="28"/>
        </w:numPr>
      </w:pPr>
      <w:bookmarkStart w:id="146" w:name="_Toc199273447"/>
      <w:r>
        <w:t>Convenția de la Aarhus</w:t>
      </w:r>
      <w:bookmarkEnd w:id="146"/>
    </w:p>
    <w:bookmarkStart w:id="147" w:name="paragraph00141"/>
    <w:p w:rsidR="00C014F0"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141</w:t>
      </w:r>
      <w:r w:rsidRPr="00472687">
        <w:fldChar w:fldCharType="end"/>
      </w:r>
      <w:bookmarkEnd w:id="147"/>
      <w:r>
        <w:t>. Părțile relevante din Convenția de la Aarhus (1998) sunt redactate după cum urmează:</w:t>
      </w:r>
    </w:p>
    <w:p w:rsidR="00F47ACE" w:rsidRPr="00472687" w:rsidRDefault="0052083E" w:rsidP="00472687">
      <w:pPr>
        <w:pStyle w:val="JuQuot"/>
      </w:pPr>
      <w:r>
        <w:t>Părțile la prezenta convenție,</w:t>
      </w:r>
    </w:p>
    <w:p w:rsidR="00F47ACE" w:rsidRPr="00472687" w:rsidRDefault="0052083E" w:rsidP="00472687">
      <w:pPr>
        <w:pStyle w:val="JuQuot"/>
      </w:pPr>
      <w:r>
        <w:t>[...]</w:t>
      </w:r>
    </w:p>
    <w:p w:rsidR="00F47ACE" w:rsidRPr="00472687" w:rsidRDefault="0052083E" w:rsidP="00472687">
      <w:pPr>
        <w:pStyle w:val="JuQuot"/>
      </w:pPr>
      <w:r>
        <w:t>Recunoscând că protecția adecvată a mediului este esențială pentru bunăstarea umană și exercitarea drepturilor fundamentale ale omului, incluzând însuși dreptul la viață,</w:t>
      </w:r>
    </w:p>
    <w:p w:rsidR="00F47ACE" w:rsidRPr="00472687" w:rsidRDefault="0052083E" w:rsidP="00472687">
      <w:pPr>
        <w:pStyle w:val="JuQuot"/>
      </w:pPr>
      <w:r>
        <w:t>recunoscând, de asemenea, că orice persoană are dreptul sa trăiască într-un mediu adecvat sănătății și bunăstării sale și că are sarcina, atât la nivel individual, cât și în asociere cu alții, să protejeze și să îmbunătățească mediul în beneficiul generațiilor prezente și viitoare</w:t>
      </w:r>
    </w:p>
    <w:p w:rsidR="00F47ACE" w:rsidRPr="00472687" w:rsidRDefault="0052083E" w:rsidP="00472687">
      <w:pPr>
        <w:pStyle w:val="JuQuot"/>
      </w:pPr>
      <w:r>
        <w:t>[...]</w:t>
      </w:r>
    </w:p>
    <w:p w:rsidR="00F47ACE" w:rsidRPr="00472687" w:rsidRDefault="0052083E" w:rsidP="00472687">
      <w:pPr>
        <w:pStyle w:val="JuQuot"/>
      </w:pPr>
      <w:r>
        <w:t>au convenit următoarele: ”</w:t>
      </w:r>
    </w:p>
    <w:p w:rsidR="00F47ACE" w:rsidRPr="00472687" w:rsidRDefault="0052083E" w:rsidP="00472687">
      <w:pPr>
        <w:pStyle w:val="JuHArticle"/>
      </w:pPr>
      <w:r>
        <w:t>Articolul 2</w:t>
      </w:r>
    </w:p>
    <w:p w:rsidR="00F47ACE" w:rsidRPr="00472687" w:rsidRDefault="0052083E" w:rsidP="00472687">
      <w:pPr>
        <w:pStyle w:val="JuHArticle"/>
      </w:pPr>
      <w:r>
        <w:t>Definiții</w:t>
      </w:r>
    </w:p>
    <w:p w:rsidR="00F47ACE" w:rsidRPr="00472687" w:rsidRDefault="0052083E" w:rsidP="00472687">
      <w:pPr>
        <w:pStyle w:val="JuQuot"/>
      </w:pPr>
      <w:r>
        <w:t>„[...]</w:t>
      </w:r>
    </w:p>
    <w:p w:rsidR="00F47ACE" w:rsidRPr="00472687" w:rsidRDefault="0052083E" w:rsidP="00472687">
      <w:pPr>
        <w:pStyle w:val="JuQuot"/>
      </w:pPr>
      <w:r>
        <w:t>4. public înseamnă una sau mai multe persoane fizice sau juridice și, în concordanță cu legislația sau cu practica națională, asociațiile, organizațiile sau grupurile acestora;</w:t>
      </w:r>
    </w:p>
    <w:p w:rsidR="00F47ACE" w:rsidRPr="00472687" w:rsidRDefault="0052083E" w:rsidP="00472687">
      <w:pPr>
        <w:pStyle w:val="JuQuot"/>
      </w:pPr>
      <w:r>
        <w:t>5. public interesat înseamnă publicul afectat sau care poate fi afectat ori care are un interes în deciziile de mediu; în scopul acestei definiții, organizațiile neguvernamentale care promovează protecția mediului și îndeplinesc cerințele legii naționale vor fi considerate ca având un interes. ”</w:t>
      </w:r>
    </w:p>
    <w:p w:rsidR="00F47ACE" w:rsidRPr="00472687" w:rsidRDefault="0052083E" w:rsidP="00472687">
      <w:pPr>
        <w:pStyle w:val="JuHArticle"/>
      </w:pPr>
      <w:r>
        <w:t>Articolul 9</w:t>
      </w:r>
    </w:p>
    <w:p w:rsidR="00F47ACE" w:rsidRPr="00472687" w:rsidRDefault="0052083E" w:rsidP="00472687">
      <w:pPr>
        <w:pStyle w:val="JuHArticle"/>
      </w:pPr>
      <w:r>
        <w:t>Accesul la justiție</w:t>
      </w:r>
    </w:p>
    <w:p w:rsidR="00F47ACE" w:rsidRPr="00472687" w:rsidRDefault="0052083E" w:rsidP="00472687">
      <w:pPr>
        <w:pStyle w:val="JuQuot"/>
      </w:pPr>
      <w:r>
        <w:t>„[...]</w:t>
      </w:r>
    </w:p>
    <w:p w:rsidR="00F47ACE" w:rsidRPr="00472687" w:rsidRDefault="0052083E" w:rsidP="00472687">
      <w:pPr>
        <w:pStyle w:val="JuQuot"/>
      </w:pPr>
      <w:r>
        <w:t>2. Fiecare parte trebuie, în cadrul legislației naționale, să asigure membrilor publicului interesat:</w:t>
      </w:r>
    </w:p>
    <w:p w:rsidR="00C014F0" w:rsidRPr="00472687" w:rsidRDefault="0052083E" w:rsidP="00472687">
      <w:pPr>
        <w:pStyle w:val="JuQuot"/>
      </w:pPr>
      <w:r>
        <w:lastRenderedPageBreak/>
        <w:t>a) care au un interes suficient;</w:t>
      </w:r>
    </w:p>
    <w:p w:rsidR="00F47ACE" w:rsidRPr="00472687" w:rsidRDefault="0052083E" w:rsidP="00472687">
      <w:pPr>
        <w:pStyle w:val="JuQuot"/>
      </w:pPr>
      <w:r>
        <w:t>sau</w:t>
      </w:r>
    </w:p>
    <w:p w:rsidR="00F47ACE" w:rsidRPr="00472687" w:rsidRDefault="0052083E" w:rsidP="00472687">
      <w:pPr>
        <w:pStyle w:val="JuQuot"/>
      </w:pPr>
      <w:r>
        <w:t>b) cărora li se afectează un drept, în cazul în care procedurile administrative legale ale unei părți solicită aceasta ca o precondiție, accesul la o procedură de recurs în fața instanței și/sau a altui organism independent și imparțial stabilit prin lege, pentru a contesta, ca fond și ca procedură, legalitatea oricărei decizii, act sau omisiuni care face obiectul prevederilor art. 6, în cazul în care legislația națională prevede astfel și fără a prejudicia prevederile pct. 3 sau alte prevederi relevante ale acestei convenții.</w:t>
      </w:r>
    </w:p>
    <w:p w:rsidR="00F47ACE" w:rsidRPr="00472687" w:rsidRDefault="0052083E" w:rsidP="00472687">
      <w:pPr>
        <w:pStyle w:val="JuQuot"/>
      </w:pPr>
      <w:r>
        <w:t>Interesul suficient sau afectarea unui drept va fi determinată în concordanță cu prevederile legilor naționale și cu obiectivele de a asigura publicului interesat un acces larg la justiție, conform prevederilor prezentei convenții. La acest nivel interesul oricărei organizații neguvernamentale care îndeplinește cerințele specificate la art. 2 pct. 5 trebuie să fie considerat suficient pentru scopul subpunctului a) de mai sus. Astfel de organizații vor fi considerate ca având dreptul sau capacitatea de a fi afectate în concordanță cu prevederile subpunctului b) de mai sus.</w:t>
      </w:r>
    </w:p>
    <w:p w:rsidR="00F47ACE" w:rsidRPr="00472687" w:rsidRDefault="0052083E" w:rsidP="00472687">
      <w:pPr>
        <w:pStyle w:val="JuQuot"/>
      </w:pPr>
      <w:r>
        <w:t>[...]</w:t>
      </w:r>
    </w:p>
    <w:p w:rsidR="00F47ACE" w:rsidRPr="00472687" w:rsidRDefault="0052083E" w:rsidP="00472687">
      <w:pPr>
        <w:pStyle w:val="JuQuot"/>
      </w:pPr>
      <w:r>
        <w:t>3. În plus și fără a prejudicia procedurile la care se referă pct. 1 și 2, fiecare parte trebuie să asigure ca, în momentul în care toate criteriile sunt îndeplinite, dacă acestea sunt prevăzute de legislația națională, membrii publicului să aibă acces la procedurile administrative sau juridice pentru a contesta actele sau omisiunile persoanelor private și autorităților publice, care contravin prevederilor legislației naționale cu referire la mediu. ”</w:t>
      </w:r>
    </w:p>
    <w:p w:rsidR="00C014F0" w:rsidRPr="00472687" w:rsidRDefault="00C71855" w:rsidP="00472687">
      <w:pPr>
        <w:pStyle w:val="JuPara"/>
      </w:pPr>
      <w:fldSimple w:instr=" SEQ level0 \*arabic \* MERGEFORMAT ">
        <w:r w:rsidR="00472687" w:rsidRPr="00472687">
          <w:t>142</w:t>
        </w:r>
      </w:fldSimple>
      <w:r w:rsidR="00B71F73">
        <w:t>. Părțile relevante din Ghidul de aplicare a Convenției de la Aarhus</w:t>
      </w:r>
      <w:r w:rsidR="0052083E">
        <w:rPr>
          <w:rStyle w:val="FootnoteReference"/>
        </w:rPr>
        <w:footnoteReference w:id="94"/>
      </w:r>
      <w:r w:rsidR="00B71F73">
        <w:t xml:space="preserve"> se citesc după cum urmează (note de subsol omise):</w:t>
      </w:r>
    </w:p>
    <w:p w:rsidR="00F47ACE" w:rsidRPr="00472687" w:rsidRDefault="0052083E" w:rsidP="00472687">
      <w:pPr>
        <w:pStyle w:val="JuQuot"/>
      </w:pPr>
      <w:r>
        <w:t>„Deși expresia «public interesat» este mai strictă decât termenul «public», sfera sa de aplicare este totuși foarte largă. În ceea ce privește criteriul referitor la publicul «care este afectat», acesta este strâns legat de natura activității în cauză. Unele dintre activitățile prevăzute la articolul 6 din Convenție sunt susceptibile să afecteze un număr mare de persoane. De exemplu, în cazul conductelor pentru transportul gazelor, țițeiului sau al substanțelor chimice, în practică, publicul interesat se calculează, de obicei, în mii de persoane, în timp ce, în cazul centralelor nucleare, autoritățile competente pot estima că publicul interesat reprezintă până la câteva sute de mii de persoane din mai multe țări.</w:t>
      </w:r>
    </w:p>
    <w:p w:rsidR="00F47ACE" w:rsidRPr="00472687" w:rsidRDefault="0052083E" w:rsidP="00472687">
      <w:pPr>
        <w:pStyle w:val="JuQuot"/>
      </w:pPr>
      <w:r>
        <w:t>În ceea ce privește criteriul referitor la publicul care „are un interes în”, definiția pare să depășească cu mult tipul de formulare folosită de regulă în textele juridice referitoare la „interesul suficient” (a se vedea punctul următor). În special, această definiție ar trebui interpretată în sensul că nu include doar membrii publicului ale căror interese juridice sau drepturi garantate de lege riscă să fie lezate de activitatea propusă. Interesele potențial afectate pot include, de asemenea, drepturi sociale, cum ar fi dreptul de a fi protejat împotriva oricărui prejudiciu sau dreptul la un mediu sănătos. Totuși, această definiție se aplică și unei categorii a publicului care are un interes nespecificat în procesul decizional.</w:t>
      </w:r>
    </w:p>
    <w:p w:rsidR="00F47ACE" w:rsidRPr="00472687" w:rsidRDefault="0052083E" w:rsidP="00472687">
      <w:pPr>
        <w:pStyle w:val="JuQuot"/>
      </w:pPr>
      <w:r>
        <w:t xml:space="preserve">Este important de remarcat faptul că articolul 2 punctul 5 nu impune ca o persoană să aibă un interes juridic pentru a fi considerată membru al publicului interesat. Prin urmare, termenul „interes” include atât „interesul juridic”, cât și „interesul de fapt”, </w:t>
      </w:r>
      <w:r>
        <w:lastRenderedPageBreak/>
        <w:t>astfel cum sunt definite de sistemele juridice ale țărilor Europei continentale, cum ar fi Germania, Austria și Polonia. În conformitate cu dreptul național, persoanele care au doar un interes de fapt nu beneficiază, în mod normal, de întreaga gamă de drepturi procedurale acordate persoanelor care au un interes juridic. În schimb, Convenția (cel puțin în ceea ce privește articolul 6) acordă tuturor același statut, indiferent dacă interesul persoanei în cauză este juridic sau de fapt.</w:t>
      </w:r>
    </w:p>
    <w:p w:rsidR="00F47ACE" w:rsidRPr="00472687" w:rsidRDefault="0052083E" w:rsidP="00472687">
      <w:pPr>
        <w:pStyle w:val="JuQuot"/>
      </w:pPr>
      <w:r>
        <w:t>Articolul 2 punctul 5 include în mod explicit în categoria „publicului interesat” ONG-urile ale căror obiective statutare includ promovarea protecției mediului, în măsura în care acestea „îndeplinesc cerințele legii naționale”. În ceea ce privește aspectul dacă un ONG promovează protecția mediului, acesta poate fi stabilit prin diverse mijloace, în special pe baza cartei sale, a statutului său sau a activităților sale. „Protecția mediului” poate include orice scop conform cu definiția implicită a mediului de la articolul 2 punctul 3. Prin urmare, cerința privind „promovarea protecției mediului” ar fi îndeplinită în cazul ONG-urilor care se ocupă de orice aspect al definiției implicite a mediului de la articolul 2 punctul 3. De exemplu, în cazul în care un ONG depune eforturi pentru a promova interesele persoanelor care suferă de probleme de sănătate legate de bolile transmise prin apă, se va considera că acest ONG corespunde definiției de la articolul 2 punctul 5.</w:t>
      </w:r>
    </w:p>
    <w:p w:rsidR="00F47ACE" w:rsidRPr="00472687" w:rsidRDefault="0052083E" w:rsidP="00472687">
      <w:pPr>
        <w:pStyle w:val="JuQuot"/>
      </w:pPr>
      <w:r>
        <w:t>Referirea la organizațiile neguvernamentale care „îndeplinesc cerințele legii naționale” nu trebuie interpretată în sensul că definirea acestor condiții este lăsată în totalitate la discreția părților. Puterea discreționară a acestora ar trebui să fie apreciată în contextul rolului important pe care Convenția îl atribuie ONG-urilor în ceea ce privește punerea sa în aplicare, precum și al cerinței clare de la articolul 3 punctul 4, care impune fiecărei părți să asigure ONG-urilor „recunoașterea și susținerea” adecvate. În concluziile sale privind comunicarea ACCC/C/2004/05 (Turkmenistan), Comitetul pentru examinarea respectării dispozițiilor Convenției de la Aarhus a considerat că „organizațiile neguvernamentale, datorită expertizei și resurselor de care dispun, sunt, în general, mai în măsură decât fiecare dintre membrii publicului să își exercite efectiv drepturile prevăzute de Convenție”.</w:t>
      </w:r>
    </w:p>
    <w:p w:rsidR="00F47ACE" w:rsidRPr="00472687" w:rsidRDefault="0052083E" w:rsidP="00472687">
      <w:pPr>
        <w:pStyle w:val="JuQuot"/>
      </w:pPr>
      <w:r>
        <w:t>Deși părțile le pot impune ONG-urilor anumite cerințe în temeiul legislației naționale, ținând seama de rolul important pe care îl joacă ONG-urile în punerea în aplicare a Convenției, părțile trebuie să se asigure că aceste condiții nu sunt excesiv de împovărătoare sau motivate politic și că fiecare parte dispune de un cadru juridic ce încurajează constituirea de ONG-uri și participarea constructivă a acestora la afacerile publice. În plus, toate cerințele ar trebui să fie conforme cu principiile Convenției, cum ar fi nediscriminarea și eliminarea sau reducerea obstacolelor tehnice și financiare. În aceste limite, părțile pot impune anumite cerințe bazate pe criterii obiective, care să nu fie excesiv de restrictive.</w:t>
      </w:r>
    </w:p>
    <w:p w:rsidR="00F47ACE" w:rsidRPr="00472687" w:rsidRDefault="0052083E" w:rsidP="00472687">
      <w:pPr>
        <w:pStyle w:val="JuQuot"/>
      </w:pPr>
      <w:r>
        <w:t>De exemplu, este posibil ca o eventuală cerință potrivit căreia un ONG pentru protecția mediului trebuie să-și fi desfășurat activitatea în țara în cauză un anumit număr de ani să nu fie conformă cu dispozițiile Convenției de la Aarhus, în măsura în care această condiție poate contraveni clauzei de nediscriminare de la articolul 3 alineatul (9). În plus, cerința privind „desfășurarea activității” poate fi considerată, în sine, ca fiind excesiv de restrictivă pentru țările în care constituirea de ONG-uri a fost autorizată abia recent și în care, prin urmare, aceste organizații sunt încă relativ nedezvoltate.</w:t>
      </w:r>
    </w:p>
    <w:p w:rsidR="00F47ACE" w:rsidRPr="00472687" w:rsidRDefault="0052083E" w:rsidP="00472687">
      <w:pPr>
        <w:pStyle w:val="JuQuot"/>
      </w:pPr>
      <w:r>
        <w:t xml:space="preserve">De asemenea, uneori există cerințe care le impun ONG-urilor să aibă un număr de membri activi. Acesta a fost unul dintre aspectele examinate de Curtea Europeană de Justiție (CEJ) în cauza C-263/08 (Suedia). O astfel de cerință referitoare la numărul de membri va fi, de asemenea, considerată excesiv de restrictivă în sensul Convenției dacă pragul este stabilit la un nivel atât de ridicat încât doar câteva ONG-uri vor fi în măsură </w:t>
      </w:r>
      <w:r>
        <w:lastRenderedPageBreak/>
        <w:t>să îndeplinească această condiție într-o anumită țară. În 2009, Slovenia și-a modificat Legea privind protecția mediului pentru a elimina cerința care le impunea ONG-urilor care promovau protecția mediului să facă obiectul unui audit financiar al activităților lor pentru a se considera că intră în sfera de aplicare a definiției „publicului interesat” de la articolul 2 punctul 5.</w:t>
      </w:r>
    </w:p>
    <w:p w:rsidR="00F47ACE" w:rsidRPr="00472687" w:rsidRDefault="0052083E" w:rsidP="00472687">
      <w:pPr>
        <w:pStyle w:val="JuQuot"/>
      </w:pPr>
      <w:r>
        <w:t>În cazul în care un ONG îndeplinește condițiile menționate la articolul 2 punctul 5, acesta este considerat membru al „publicului interesat” în sensul articolului 6 și al articolului 9 punctul 2. În schimb, în cazul ONG-urilor care nu îndeplinesc aceste condiții de la început, precum și în cazul persoanelor particulare, Convenția nu stabilește în mod clar dacă simplul fapt de a lua parte la o procedură de participare publică, în temeiul articolului 6 punctul 7, conferă unei persoane calitatea de membru al „publicului interesat”. Cu toate acestea, întrucât punctul 2 al articolului 9 definește mecanismul de punere în aplicare a drepturilor conferite de articolul 6, se poate susține că orice persoană care participă, în calitate de membru al publicului, la o audiere sau la orice altă procedură de participare publică, în sensul articolului 6 punctul 7, trebuie să aibă posibilitatea de a se prevala de dispozițiile privind accesul la justiție, prevăzute la articolul 9 punctul 2. Într-un astfel de caz, persoana în cauză va intra sub incidența definiției „publicului interesat” [...]</w:t>
      </w:r>
    </w:p>
    <w:p w:rsidR="00F47ACE" w:rsidRPr="00472687" w:rsidRDefault="0052083E" w:rsidP="00472687">
      <w:pPr>
        <w:pStyle w:val="JuQuot"/>
      </w:pPr>
      <w:r>
        <w:t>Nicio dispoziție a Convenției nu împiedică părțile să atribuie oricărei persoane calitatea procesuală, fără nicio deosebire. Cu toate acestea, Convenția impune condiția minimă ca membrii „publicului interesat” care au un interes suficient sau cărora li s-a afectat un drept să aibă calitatea procesuală de a iniția o procedură de recurs pentru a contesta, ca fond și ca procedură, legalitatea oricărei decizii, oricărui act sau oricărei omisiuni care face obiectul prevederilor articolului 6 [...]</w:t>
      </w:r>
    </w:p>
    <w:p w:rsidR="00F47ACE" w:rsidRPr="00472687" w:rsidRDefault="0052083E" w:rsidP="00472687">
      <w:pPr>
        <w:pStyle w:val="JuQuot"/>
        <w:rPr>
          <w:strike/>
        </w:rPr>
      </w:pPr>
      <w:r>
        <w:t>În ceea ce privește ONG-urile, Convenția prevede în mod clar că ONG-urile care îndeplinesc cerințele specificate la articolul 2 punctul 5 sunt considerate ca având un „interes suficient” sau dreptul sau capacitatea de a fi afectate [...]</w:t>
      </w:r>
    </w:p>
    <w:p w:rsidR="00F47ACE" w:rsidRPr="00472687" w:rsidRDefault="0052083E" w:rsidP="00472687">
      <w:pPr>
        <w:pStyle w:val="JuQuot"/>
      </w:pPr>
      <w:r>
        <w:t>Punerea în aplicare corespunzătoare a Convenției și respectarea obligațiilor pe care le prevede aceasta impun menținerea obiectivului unui acces larg la justiție atunci când sunt stabilite persoanele – atât fizice, cât și juridice – care au calitate procesuală. Mai multe părți la Convenție aplică o anumită condiție pentru a stabili criteriile privind calitatea procesuală, care se referă, de multe ori, la un interes direct, suficient, personal sau juridic sau la un drept individual protejat prin lege. Deși este posibil ca unele dintre aceste criterii, cum ar fi limitarea calității procesuale active exclusiv la membrii publicului care au drepturi de proprietate, să fie contrare Convenției, admisibilitatea altor criterii va depinde de modul în care acestea sunt interpretate în practică de către organismul care examinează recursurile. Cu alte cuvinte, chiar și criterii precum existența unui interes suficient sau a unui drept afectat se pot dovedi a fi incompatibile cu dispozițiile Convenției dacă sunt interpretate prea restrictiv în cadrul jurisprudenței organismelor care soluționează recursurile.</w:t>
      </w:r>
    </w:p>
    <w:p w:rsidR="00C014F0" w:rsidRPr="00472687" w:rsidRDefault="0052083E" w:rsidP="00472687">
      <w:pPr>
        <w:pStyle w:val="JuQuot"/>
      </w:pPr>
      <w:r>
        <w:t xml:space="preserve">Astfel cum s-a indicat în concluziile cu privire la comunicarea ACCC/C/2005/11 (Belgia), formulate de Comitetul pentru examinarea respectării dispozițiilor Convenției de la Aarhus, pentru a îndeplini obiectivul Convenției de a oferi publicului interesat un acces larg la justiție, ar putea fi necesară o schimbare semnificativă a concepției asupra acestui aspect, în țările în care ONG-urile nu au avut anterior calitate procesuală în anumite cauze, deoarece s-a considerat că acestea nu aveau un interes suficient pentru a exercita o acțiune sau că nu li s-a afectat niciun drept. În comunicarea ACCC/C/2005/11, autoritățile judiciare belgiene au aplicat criteriul general impus de legislația belgiană pentru a stabili existența calității procesuale active a ONG-urilor, și anume obligația ONG-urilor reclamante de a demonstra existența unui interes direct, </w:t>
      </w:r>
      <w:r>
        <w:lastRenderedPageBreak/>
        <w:t>personal și legitim, precum și a „calității procesuale necesare”. Comitetul pentru examinarea respectării dispozițiilor Convenției de la Aarhus a concluzionat că, deși modul de formulare a legilor belgiene relevante nu implica nerespectarea dispozițiilor ca atare, jurisprudența instanțelor belgiene, astfel cum era dezvoltată înainte de intrarea în vigoare a Convenției în privința Belgiei, implica faptul că accesul la justiție era prea restrictiv pentru asociațiile de protecție a mediului și, prin urmare, nu respecta dispozițiile Convenției [...]</w:t>
      </w:r>
    </w:p>
    <w:p w:rsidR="00F47ACE" w:rsidRPr="00472687" w:rsidRDefault="0052083E" w:rsidP="00472687">
      <w:pPr>
        <w:pStyle w:val="JuQuot"/>
      </w:pPr>
      <w:r>
        <w:t>Criteriul suedez utilizat anterior pentru ONG-uri este un exemplu de criteriu național pentru stabilirea calității procesuale care nu ar mai fi deloc conform cu dispozițiile Convenției. Potrivit legislației suedeze anterioare, pentru a putea contesta o decizie privind o autorizație de mediu, era necesar ca asociațiile de protecție a mediului să-și fi desfășurat activitatea mai mult de trei ani și să aibă cel puțin 2000 de membri. CJUE a constatat că aceasta constituia o încălcare a legislației UE de punere în aplicare a Convenției de la Aarhus [...] ”</w:t>
      </w:r>
    </w:p>
    <w:p w:rsidR="00F47ACE" w:rsidRPr="00472687" w:rsidRDefault="00C71855" w:rsidP="00472687">
      <w:pPr>
        <w:pStyle w:val="JuPara"/>
        <w:rPr>
          <w:b/>
          <w:bCs/>
        </w:rPr>
      </w:pPr>
      <w:fldSimple w:instr=" SEQ level0 \*arabic \* MERGEFORMAT ">
        <w:r w:rsidR="00472687" w:rsidRPr="00472687">
          <w:t>143</w:t>
        </w:r>
      </w:fldSimple>
      <w:r w:rsidR="00B71F73">
        <w:t>. Partea relevantă a Recomandărilor de la Maastricht din 2015</w:t>
      </w:r>
      <w:r w:rsidR="0052083E">
        <w:rPr>
          <w:rStyle w:val="FootnoteReference"/>
        </w:rPr>
        <w:footnoteReference w:id="95"/>
      </w:r>
      <w:r w:rsidR="00B71F73">
        <w:t xml:space="preserve"> privind aplicarea Convenției de la Aarhus prevede următoarele:</w:t>
      </w:r>
    </w:p>
    <w:p w:rsidR="00F47ACE" w:rsidRPr="00472687" w:rsidRDefault="0052083E" w:rsidP="00472687">
      <w:pPr>
        <w:pStyle w:val="JuQuot"/>
      </w:pPr>
      <w:r>
        <w:t>„c. Termenul «public interesat» include, printre altele, organizațiile neguvernamentale (ONG-urile) care promovează protecția mediului și care îndeplinesc cerințele legii naționale. Pentru a asigura un cadru cât mai transparent, mai clar și mai coerent posibil pentru participarea publicului, următoarele aspecte pot fi specificate în mod clar în legislația națională:</w:t>
      </w:r>
    </w:p>
    <w:p w:rsidR="00F47ACE" w:rsidRPr="00472687" w:rsidRDefault="0052083E" w:rsidP="00472687">
      <w:pPr>
        <w:pStyle w:val="JuQuot"/>
      </w:pPr>
      <w:r>
        <w:t>i. ce anume înseamnă „a avea un interes în” deciziile de mediu;</w:t>
      </w:r>
    </w:p>
    <w:p w:rsidR="00C014F0" w:rsidRPr="00472687" w:rsidRDefault="0052083E" w:rsidP="00472687">
      <w:pPr>
        <w:pStyle w:val="JuQuot"/>
      </w:pPr>
      <w:r>
        <w:t>ii. condițiile, dacă este cazul, pe care ONG-urile care promovează protecția mediului trebuie să le îndeplinească pentru a se considera ca au un interes. Ceea ce constituie un interes suficient ar trebui să se determine în concordanță cu obiectivul de a asigura publicului interesat un acces larg la justiție. ”</w:t>
      </w:r>
    </w:p>
    <w:p w:rsidR="00F47ACE" w:rsidRPr="00472687" w:rsidRDefault="0052083E" w:rsidP="00472687">
      <w:pPr>
        <w:pStyle w:val="JuH1"/>
        <w:numPr>
          <w:ilvl w:val="3"/>
          <w:numId w:val="28"/>
        </w:numPr>
      </w:pPr>
      <w:bookmarkStart w:id="148" w:name="_Toc199273448"/>
      <w:r>
        <w:t>Adunarea Generală a Organizației Națiunilor Unite</w:t>
      </w:r>
      <w:bookmarkEnd w:id="148"/>
    </w:p>
    <w:p w:rsidR="00F47ACE" w:rsidRPr="00472687" w:rsidRDefault="0052083E" w:rsidP="00472687">
      <w:pPr>
        <w:pStyle w:val="JuHa0"/>
        <w:numPr>
          <w:ilvl w:val="4"/>
          <w:numId w:val="28"/>
        </w:numPr>
      </w:pPr>
      <w:bookmarkStart w:id="149" w:name="_Toc199273449"/>
      <w:r>
        <w:t>Rezoluția privind dreptul la un mediu curat, sănătos și durabil ca drept al omului</w:t>
      </w:r>
      <w:bookmarkEnd w:id="149"/>
    </w:p>
    <w:p w:rsidR="00F47ACE" w:rsidRPr="00472687" w:rsidRDefault="00C71855" w:rsidP="00472687">
      <w:pPr>
        <w:pStyle w:val="JuPara"/>
        <w:rPr>
          <w:b/>
          <w:bCs/>
        </w:rPr>
      </w:pPr>
      <w:fldSimple w:instr=" SEQ level0 \*arabic \* MERGEFORMAT ">
        <w:r w:rsidR="00472687" w:rsidRPr="00472687">
          <w:t>144</w:t>
        </w:r>
      </w:fldSimple>
      <w:r w:rsidR="00B71F73">
        <w:t>. La 28 iulie 2022, după ce a fost invitată prin Rezoluția 48/13 din 8 octombrie 2021 a Consiliului Drepturilor Omului, Adunarea Generală a ONU a adoptat Rezoluția 76/300 privind dreptul la un mediu curat, sănătos și durabil.</w:t>
      </w:r>
    </w:p>
    <w:p w:rsidR="00F47ACE" w:rsidRPr="00472687" w:rsidRDefault="00C71855" w:rsidP="00472687">
      <w:pPr>
        <w:pStyle w:val="JuPara"/>
      </w:pPr>
      <w:fldSimple w:instr=" SEQ level0 \*arabic \* MERGEFORMAT ">
        <w:r w:rsidR="00472687" w:rsidRPr="00472687">
          <w:t>145</w:t>
        </w:r>
      </w:fldSimple>
      <w:r w:rsidR="00B71F73">
        <w:t>. Această rezoluție a fost adoptată cu 161 de voturi „pentru” (din 169 de state membre reprezentate), 8 abțineri</w:t>
      </w:r>
      <w:r w:rsidR="0052083E">
        <w:rPr>
          <w:rStyle w:val="FootnoteReference"/>
        </w:rPr>
        <w:footnoteReference w:id="96"/>
      </w:r>
      <w:r w:rsidR="00B71F73">
        <w:t xml:space="preserve"> și niciun vot „împotrivă”</w:t>
      </w:r>
      <w:r w:rsidR="0052083E">
        <w:rPr>
          <w:rStyle w:val="FootnoteReference"/>
        </w:rPr>
        <w:footnoteReference w:id="97"/>
      </w:r>
      <w:r w:rsidR="00B71F73">
        <w:t>; 45 din 46 de state membre ale Consiliului Europei au votat în favoarea rezoluției.</w:t>
      </w:r>
      <w:r w:rsidR="0052083E">
        <w:rPr>
          <w:rStyle w:val="FootnoteReference"/>
        </w:rPr>
        <w:footnoteReference w:id="98"/>
      </w:r>
    </w:p>
    <w:p w:rsidR="00F47ACE" w:rsidRPr="00472687" w:rsidRDefault="00C71855" w:rsidP="00472687">
      <w:pPr>
        <w:pStyle w:val="JuPara"/>
      </w:pPr>
      <w:fldSimple w:instr=" SEQ level0 \*arabic \* MERGEFORMAT ">
        <w:r w:rsidR="00472687" w:rsidRPr="00472687">
          <w:t>146</w:t>
        </w:r>
      </w:fldSimple>
      <w:r w:rsidR="00B71F73">
        <w:t>. În preambulul acestei rezoluții, Adunarea Generală constată următoarele:</w:t>
      </w:r>
    </w:p>
    <w:p w:rsidR="00F47ACE" w:rsidRPr="00472687" w:rsidRDefault="0052083E" w:rsidP="00472687">
      <w:pPr>
        <w:pStyle w:val="JuQuot"/>
      </w:pPr>
      <w:r>
        <w:lastRenderedPageBreak/>
        <w:t>„[M]area majoritate a statelor au recunoscut, într-o formă sau alta, dreptul la un mediu curat, sănătos și durabil în acordurile internaționale sau în constituția, legislația, legile sau politicile lor [...] ”</w:t>
      </w:r>
    </w:p>
    <w:p w:rsidR="00F47ACE" w:rsidRPr="00472687" w:rsidRDefault="00C71855" w:rsidP="00472687">
      <w:pPr>
        <w:pStyle w:val="JuPara"/>
      </w:pPr>
      <w:fldSimple w:instr=" SEQ level0 \*arabic \* MERGEFORMAT ">
        <w:r w:rsidR="00472687" w:rsidRPr="00472687">
          <w:t>147</w:t>
        </w:r>
      </w:fldSimple>
      <w:r w:rsidR="00B71F73">
        <w:t>. Cele patru puncte care constituie dispozitivul acestei</w:t>
      </w:r>
      <w:r w:rsidR="00B71F73">
        <w:rPr>
          <w:b/>
        </w:rPr>
        <w:t xml:space="preserve"> </w:t>
      </w:r>
      <w:r w:rsidR="00B71F73">
        <w:t>rezoluții</w:t>
      </w:r>
      <w:r w:rsidR="00B71F73">
        <w:rPr>
          <w:b/>
        </w:rPr>
        <w:t xml:space="preserve"> </w:t>
      </w:r>
      <w:r w:rsidR="00B71F73">
        <w:t>au următorul cuprins:</w:t>
      </w:r>
    </w:p>
    <w:p w:rsidR="00F47ACE" w:rsidRPr="00472687" w:rsidRDefault="0052083E" w:rsidP="00472687">
      <w:pPr>
        <w:pStyle w:val="JuQuot"/>
      </w:pPr>
      <w:r>
        <w:t xml:space="preserve">„1. </w:t>
      </w:r>
      <w:r>
        <w:rPr>
          <w:i/>
        </w:rPr>
        <w:t>Consideră</w:t>
      </w:r>
      <w:r>
        <w:t xml:space="preserve"> că dreptul la un mediu curat, sănătos și durabil este un drept al omului;</w:t>
      </w:r>
    </w:p>
    <w:p w:rsidR="00F47ACE" w:rsidRPr="00472687" w:rsidRDefault="0052083E" w:rsidP="00472687">
      <w:pPr>
        <w:pStyle w:val="JuQuot"/>
      </w:pPr>
      <w:r>
        <w:t xml:space="preserve">2. </w:t>
      </w:r>
      <w:r>
        <w:rPr>
          <w:i/>
        </w:rPr>
        <w:t>Constată</w:t>
      </w:r>
      <w:r>
        <w:t xml:space="preserve"> că dreptul la un mediu curat, sănătos și durabil este legat de alte drepturi și de dreptul internațional existent;</w:t>
      </w:r>
    </w:p>
    <w:p w:rsidR="00F47ACE" w:rsidRPr="00472687" w:rsidRDefault="0052083E" w:rsidP="00472687">
      <w:pPr>
        <w:pStyle w:val="JuQuot"/>
      </w:pPr>
      <w:r>
        <w:t xml:space="preserve">3. </w:t>
      </w:r>
      <w:r>
        <w:rPr>
          <w:i/>
        </w:rPr>
        <w:t>Afirmă</w:t>
      </w:r>
      <w:r>
        <w:t xml:space="preserve"> că promovarea dreptului la un mediu curat, sănătos și durabil necesită punerea deplină în aplicare a acordurilor multilaterale de mediu, în conformitate cu principiile dreptului internațional al mediului;</w:t>
      </w:r>
    </w:p>
    <w:p w:rsidR="00F47ACE" w:rsidRPr="00472687" w:rsidRDefault="0052083E" w:rsidP="00472687">
      <w:pPr>
        <w:pStyle w:val="JuQuot"/>
      </w:pPr>
      <w:r>
        <w:t xml:space="preserve">4. </w:t>
      </w:r>
      <w:r>
        <w:rPr>
          <w:i/>
        </w:rPr>
        <w:t>Solicită</w:t>
      </w:r>
      <w:r>
        <w:t xml:space="preserve"> statelor, organizațiilor internaționale, întreprinderilor și altor actori relevanți să adopte politici, să consolideze cooperarea internațională și capacitățile și să continue să facă schimb de bune practici pentru a intensifica eforturile de asigurare a unui mediu curat, sănătos și durabil pentru toți. ”</w:t>
      </w:r>
    </w:p>
    <w:p w:rsidR="00F47ACE" w:rsidRPr="00472687" w:rsidRDefault="0052083E" w:rsidP="00472687">
      <w:pPr>
        <w:pStyle w:val="JuHa0"/>
        <w:numPr>
          <w:ilvl w:val="4"/>
          <w:numId w:val="28"/>
        </w:numPr>
      </w:pPr>
      <w:bookmarkStart w:id="150" w:name="_Toc199273450"/>
      <w:r>
        <w:t>Alte documente ale Adunării Generale</w:t>
      </w:r>
      <w:bookmarkEnd w:id="150"/>
    </w:p>
    <w:p w:rsidR="000459BC" w:rsidRPr="00472687" w:rsidRDefault="00C71855" w:rsidP="00472687">
      <w:pPr>
        <w:pStyle w:val="JuPara"/>
      </w:pPr>
      <w:fldSimple w:instr=" SEQ level0 \*arabic \* MERGEFORMAT ">
        <w:r w:rsidR="00472687" w:rsidRPr="00472687">
          <w:t>148</w:t>
        </w:r>
      </w:fldSimple>
      <w:r w:rsidR="00B71F73">
        <w:t>. Aproape în fiecare an de la prima sa rezoluție pe această temă, și anume Rezoluția nr. 43/53 asupra protecției climei mondiale pentru generațiile prezente și viitoare, adoptată la 6 decembrie 1988, Adunarea Generală a inclus pe agenda sa chestiunea protecției climei mondiale pentru generațiile viitoare, ceea ce a condus la adoptarea a numeroase rezoluții</w:t>
      </w:r>
      <w:r w:rsidR="00B71F73">
        <w:rPr>
          <w:rStyle w:val="FootnoteReference"/>
        </w:rPr>
        <w:footnoteReference w:id="99"/>
      </w:r>
      <w:r w:rsidR="00B71F73">
        <w:t xml:space="preserve">. </w:t>
      </w:r>
      <w:r w:rsidR="00B71F73">
        <w:br w:type="page"/>
      </w:r>
    </w:p>
    <w:p w:rsidR="00F47ACE" w:rsidRPr="00472687" w:rsidRDefault="00F47ACE" w:rsidP="00472687">
      <w:pPr>
        <w:pStyle w:val="JuPara"/>
        <w:ind w:firstLine="0"/>
      </w:pPr>
    </w:p>
    <w:p w:rsidR="00F47ACE" w:rsidRPr="00472687" w:rsidRDefault="00C71855" w:rsidP="00472687">
      <w:pPr>
        <w:pStyle w:val="JuPara"/>
      </w:pPr>
      <w:fldSimple w:instr=" SEQ level0 \*arabic \* MERGEFORMAT ">
        <w:r w:rsidR="00472687" w:rsidRPr="00472687">
          <w:t>149</w:t>
        </w:r>
      </w:fldSimple>
      <w:r w:rsidR="00B71F73">
        <w:t>. În Rezoluția 69/220, adoptată la 19 decembrie 2014, Adunarea Generală a menționat în mod explicit necesitatea de a menține sistemul climatic în beneficiul generațiilor prezente și viitoare, făcând referire la UNFCCC.</w:t>
      </w:r>
    </w:p>
    <w:p w:rsidR="00C014F0" w:rsidRPr="00472687" w:rsidRDefault="00C71855" w:rsidP="00472687">
      <w:pPr>
        <w:pStyle w:val="JuPara"/>
      </w:pPr>
      <w:fldSimple w:instr=" SEQ level0 \*arabic \* MERGEFORMAT ">
        <w:r w:rsidR="00472687" w:rsidRPr="00472687">
          <w:t>150</w:t>
        </w:r>
      </w:fldSimple>
      <w:r w:rsidR="00B71F73">
        <w:t>. În preambulul Rezoluției 72/219, adoptată la 20 decembrie 2017, Adunarea Generală a făcut o declarație pe care a reiterat-o de atunci în preambulul fiecărei rezoluții adoptate pe această temă</w:t>
      </w:r>
      <w:r w:rsidR="0052083E">
        <w:rPr>
          <w:rStyle w:val="FootnoteReference"/>
        </w:rPr>
        <w:footnoteReference w:id="100"/>
      </w:r>
      <w:r w:rsidR="00B71F73">
        <w:t>:</w:t>
      </w:r>
    </w:p>
    <w:p w:rsidR="00F47ACE" w:rsidRPr="00472687" w:rsidRDefault="0052083E" w:rsidP="00472687">
      <w:pPr>
        <w:pStyle w:val="JuQuot"/>
        <w:rPr>
          <w:b/>
          <w:bCs/>
        </w:rPr>
      </w:pPr>
      <w:r>
        <w:t>„Recunoscând că, în cadrul activităților sale, ONU trebuie să promoveze protecția climei mondiale pentru a asigura bunăstarea generațiilor prezente și viitoare [...] ”</w:t>
      </w:r>
    </w:p>
    <w:p w:rsidR="00F47ACE" w:rsidRPr="00472687" w:rsidRDefault="0052083E" w:rsidP="00472687">
      <w:pPr>
        <w:pStyle w:val="JuH1"/>
        <w:numPr>
          <w:ilvl w:val="3"/>
          <w:numId w:val="28"/>
        </w:numPr>
      </w:pPr>
      <w:bookmarkStart w:id="152" w:name="_Toc199273451"/>
      <w:r>
        <w:t>Secretarul General al Organizației Națiunilor Unite</w:t>
      </w:r>
      <w:bookmarkEnd w:id="152"/>
    </w:p>
    <w:p w:rsidR="00F47ACE" w:rsidRPr="00472687" w:rsidRDefault="00C71855" w:rsidP="00472687">
      <w:pPr>
        <w:pStyle w:val="JuPara"/>
      </w:pPr>
      <w:fldSimple w:instr=" SEQ level0 \*arabic \* MERGEFORMAT ">
        <w:r w:rsidR="00472687" w:rsidRPr="00472687">
          <w:t>151</w:t>
        </w:r>
      </w:fldSimple>
      <w:r w:rsidR="00B71F73">
        <w:t>. În 2009, Secretarul General al ONU a subliniat următoarele:</w:t>
      </w:r>
    </w:p>
    <w:p w:rsidR="00F47ACE" w:rsidRPr="00472687" w:rsidRDefault="0052083E" w:rsidP="00472687">
      <w:pPr>
        <w:pStyle w:val="JuQuot"/>
      </w:pPr>
      <w:r>
        <w:t>„Toate organele înființate în temeiul tratatelor Organizației Națiunilor Unite privind drepturile omului consideră că există o legătură intrinsecă între mediu și exercitarea mai multor drepturi fundamentale, inclusiv dreptul la viață, sănătate, hrană, apă și o locuință (a se vedea A/HRC/10/61). ”</w:t>
      </w:r>
      <w:r>
        <w:rPr>
          <w:rStyle w:val="FootnoteReference"/>
        </w:rPr>
        <w:footnoteReference w:id="101"/>
      </w:r>
    </w:p>
    <w:p w:rsidR="00F47ACE" w:rsidRPr="00472687" w:rsidRDefault="00C71855" w:rsidP="00472687">
      <w:pPr>
        <w:pStyle w:val="JuPara"/>
      </w:pPr>
      <w:fldSimple w:instr=" SEQ level0 \*arabic \* MERGEFORMAT ">
        <w:r w:rsidR="00472687" w:rsidRPr="00472687">
          <w:t>152</w:t>
        </w:r>
      </w:fldSimple>
      <w:r w:rsidR="00B71F73">
        <w:t>. În mai 2022, la solicitarea Consiliului Drepturilor Omului</w:t>
      </w:r>
      <w:r w:rsidR="0052083E">
        <w:rPr>
          <w:rStyle w:val="FootnoteReference"/>
        </w:rPr>
        <w:footnoteReference w:id="102"/>
      </w:r>
      <w:r w:rsidR="00B71F73">
        <w:t>, Secretarul General a publicat un raport privind „Efectele schimbărilor climatice asupra drepturilor omului în cazul persoanelor aflate în situații vulnerabile” (The impacts of climate change on the human rights of people in vulnerable situations)</w:t>
      </w:r>
      <w:r w:rsidR="0052083E">
        <w:rPr>
          <w:rStyle w:val="FootnoteReference"/>
        </w:rPr>
        <w:footnoteReference w:id="103"/>
      </w:r>
      <w:r w:rsidR="00B71F73">
        <w:t>, în care a prezentat cadrul juridic și de politici aplicabil acestor persoane în contextul schimbărilor climatice (note de subsol omise):</w:t>
      </w:r>
    </w:p>
    <w:p w:rsidR="00F47ACE" w:rsidRPr="00472687" w:rsidRDefault="0052083E" w:rsidP="00472687">
      <w:pPr>
        <w:pStyle w:val="JuQuot"/>
      </w:pPr>
      <w:r>
        <w:t>„Cele nouă tratate internaționale principale privind drepturile omului impun statelor părți obligații juridice, inclusiv unele referitoare la schimbările climatice. Pentru a îndeplini aceste obligații în contextul schimbărilor climatice, uneori, statele trebuie să ia măsuri pentru a proteja oamenii împotriva efectelor nocive ale schimbărilor climatice care afectează exercitarea drepturilor omului și pentru a pune în aplicare politici climatice favorabile incluziunii. Acțiunile climatice trebuie să permită autonomizarea persoanelor aflate în situații vulnerabile, asigurând participarea lor deplină și efectivă în calitate de titulari de drepturi. ”</w:t>
      </w:r>
    </w:p>
    <w:p w:rsidR="00F47ACE" w:rsidRPr="00472687" w:rsidRDefault="00C71855" w:rsidP="00472687">
      <w:pPr>
        <w:pStyle w:val="JuPara"/>
      </w:pPr>
      <w:fldSimple w:instr=" SEQ level0 \*arabic \* MERGEFORMAT ">
        <w:r w:rsidR="00472687" w:rsidRPr="00472687">
          <w:t>153</w:t>
        </w:r>
      </w:fldSimple>
      <w:r w:rsidR="00B71F73">
        <w:t>. În acest raport, Secretarul General a adresat statelor și altor părți interesate o serie de recomandări pentru combaterea efectelor schimbărilor climatice asupra drepturilor fundamentale ale persoanelor aflate în situații vulnerabile (punctele 48-58).</w:t>
      </w:r>
    </w:p>
    <w:p w:rsidR="00F47ACE" w:rsidRPr="00472687" w:rsidRDefault="0052083E" w:rsidP="00472687">
      <w:pPr>
        <w:pStyle w:val="JuH1"/>
        <w:numPr>
          <w:ilvl w:val="3"/>
          <w:numId w:val="28"/>
        </w:numPr>
      </w:pPr>
      <w:bookmarkStart w:id="155" w:name="_Toc199273452"/>
      <w:r>
        <w:lastRenderedPageBreak/>
        <w:t>Consiliul Drepturilor Omului</w:t>
      </w:r>
      <w:bookmarkEnd w:id="155"/>
    </w:p>
    <w:p w:rsidR="00F47ACE" w:rsidRPr="00472687" w:rsidRDefault="0052083E" w:rsidP="00472687">
      <w:pPr>
        <w:pStyle w:val="JuHa0"/>
        <w:numPr>
          <w:ilvl w:val="4"/>
          <w:numId w:val="28"/>
        </w:numPr>
      </w:pPr>
      <w:bookmarkStart w:id="156" w:name="_Toc199273453"/>
      <w:r>
        <w:t>Rezoluții</w:t>
      </w:r>
      <w:bookmarkEnd w:id="156"/>
    </w:p>
    <w:p w:rsidR="00F47ACE" w:rsidRPr="00472687" w:rsidRDefault="00C71855" w:rsidP="00472687">
      <w:pPr>
        <w:pStyle w:val="JuPara"/>
        <w:rPr>
          <w:rStyle w:val="Hyperlink"/>
        </w:rPr>
      </w:pPr>
      <w:fldSimple w:instr=" SEQ level0 \*arabic \* MERGEFORMAT ">
        <w:r w:rsidR="00472687" w:rsidRPr="00472687">
          <w:t>154</w:t>
        </w:r>
      </w:fldSimple>
      <w:r w:rsidR="00B71F73">
        <w:t>. În 2018, în Rezoluția 37/8, Consiliul Drepturilor Omului a constatat că „peste 100 de state [au] recunoscut, într-o anumită formă sau alta, dreptul la un mediu sănătos, în special în acordurile internaționale sau în constituția, legislația sau politicile lor”.</w:t>
      </w:r>
      <w:r w:rsidR="0052083E">
        <w:rPr>
          <w:rStyle w:val="FootnoteReference"/>
        </w:rPr>
        <w:footnoteReference w:id="104"/>
      </w:r>
    </w:p>
    <w:p w:rsidR="00F47ACE" w:rsidRPr="00472687" w:rsidRDefault="00C71855" w:rsidP="00472687">
      <w:pPr>
        <w:pStyle w:val="JuPara"/>
      </w:pPr>
      <w:fldSimple w:instr=" SEQ level0 \*arabic \* MERGEFORMAT ">
        <w:r w:rsidR="00472687" w:rsidRPr="00472687">
          <w:t>155</w:t>
        </w:r>
      </w:fldSimple>
      <w:r w:rsidR="00B71F73">
        <w:t>. În Rezoluția 46/7 privind</w:t>
      </w:r>
      <w:r w:rsidR="00B71F73">
        <w:rPr>
          <w:sz w:val="23"/>
        </w:rPr>
        <w:t xml:space="preserve"> drepturile omului și mediul</w:t>
      </w:r>
      <w:r w:rsidR="0052083E">
        <w:rPr>
          <w:rStyle w:val="FootnoteReference"/>
          <w:sz w:val="23"/>
          <w:szCs w:val="23"/>
        </w:rPr>
        <w:footnoteReference w:id="105"/>
      </w:r>
      <w:r w:rsidR="00B71F73">
        <w:t>, Consiliul Drepturilor Omului a subliniat următoarele:</w:t>
      </w:r>
    </w:p>
    <w:p w:rsidR="00F47ACE" w:rsidRPr="00472687" w:rsidRDefault="0052083E" w:rsidP="00472687">
      <w:pPr>
        <w:pStyle w:val="JuQuot"/>
      </w:pPr>
      <w:r>
        <w:t>Reamintind, de asemenea, Acordul de la Paris, adoptat la 12 decembrie 2015 de părțile la Convenția-cadru a Națiunilor Unite asupra schimbărilor climatice, în preambulul căruia părțile au recunoscut că, în momentul luării măsurilor de abordare a schimbărilor climatice, ar trebui să respecte, să promoveze și ia în considerare obligațiile care le revin privind drepturile omului, dreptul la sănătate, drepturile popoarelor indigene, ale comunităților locale, ale migranților, ale copiilor, ale persoanelor cu handicap și ale persoanelor în situații vulnerabile, și dreptul la dezvoltare, precum și egalitatea de gen, emanciparea femeilor și egalitatea între generații,</w:t>
      </w:r>
    </w:p>
    <w:p w:rsidR="00F47ACE" w:rsidRPr="00472687" w:rsidRDefault="0052083E" w:rsidP="00472687">
      <w:pPr>
        <w:pStyle w:val="JuQuot"/>
      </w:pPr>
      <w:r>
        <w:t>[...]</w:t>
      </w:r>
    </w:p>
    <w:p w:rsidR="00F47ACE" w:rsidRPr="00472687" w:rsidRDefault="0052083E" w:rsidP="00472687">
      <w:pPr>
        <w:pStyle w:val="JuQuot"/>
      </w:pPr>
      <w:r>
        <w:t>Luând act de rezultatele celei de a douăzeci și cincea sesiuni a Conferinței părților la Convenția-cadru a Națiunilor Unite asupra schimbărilor climatice și solicitând statelor să ia în considerare, printre alte aspecte, respectarea și promovarea drepturilor omului în cadrul celei de a douăzeci și șasea sesiuni, care urmează să aibă loc la Glasgow (Regatul Unit al Marii Britanii și Irlandei Nord) în perioada 1-12 noiembrie 2021 [...] ”</w:t>
      </w:r>
    </w:p>
    <w:p w:rsidR="00F47ACE" w:rsidRPr="00472687" w:rsidRDefault="00C71855" w:rsidP="00472687">
      <w:pPr>
        <w:pStyle w:val="JuPara"/>
      </w:pPr>
      <w:fldSimple w:instr=" SEQ level0 \*arabic \* MERGEFORMAT ">
        <w:r w:rsidR="00472687" w:rsidRPr="00472687">
          <w:t>156</w:t>
        </w:r>
      </w:fldSimple>
      <w:r w:rsidR="00B71F73">
        <w:t>. În Rezoluția 48/13 din 8 octombrie 2021, Consiliul Drepturilor Omului a recunoscut în mod oficial dreptul la un mediu curat, sănătos și durabil, ca parte integrantă a drepturilor omului, și a invitat Adunarea Generală să analizeze chestiunea (a se vedea Rezoluția 76/300 a Adunării Generale, citată anterior). Partea relevantă din această rezoluție se citește astfel:</w:t>
      </w:r>
    </w:p>
    <w:p w:rsidR="00F47ACE" w:rsidRPr="00472687" w:rsidRDefault="0052083E" w:rsidP="00472687">
      <w:pPr>
        <w:pStyle w:val="JuQuot"/>
      </w:pPr>
      <w:r>
        <w:t>„Reamintind, de asemenea, obligațiile și angajamentele asumate de state în temeiul instrumentelor și acordurilor multilaterale de mediu, inclusiv cele referitoare la schimbările climatice, precum și rezultatele Conferinței Organizației Națiunilor Unite privind dezvoltarea durabilă, care a avut loc la Rio de Janeiro (Brazilia) în iunie 2012, și documentul final intitulat „Viitorul pe care ni-l dorim” (The future we want), care reafirmă principiile Declarației de la Rio privind mediul și dezvoltarea,</w:t>
      </w:r>
    </w:p>
    <w:p w:rsidR="00F47ACE" w:rsidRPr="00472687" w:rsidRDefault="0052083E" w:rsidP="00472687">
      <w:pPr>
        <w:pStyle w:val="JuQuot"/>
      </w:pPr>
      <w:r>
        <w:t>Reamintind, de asemenea, toate rezoluțiile sale privind drepturile omului și mediul, dintre care cele mai recente sunt Rezoluțiile 45/17 din 6 octombrie 2020, 45/30 din 7 octombrie 2020 și 46/7 din 23 martie 2021, precum și rezoluțiile relevante ale Adunării Generale,</w:t>
      </w:r>
    </w:p>
    <w:p w:rsidR="00F47ACE" w:rsidRPr="00472687" w:rsidRDefault="0052083E" w:rsidP="00472687">
      <w:pPr>
        <w:pStyle w:val="JuQuot"/>
      </w:pPr>
      <w:r>
        <w:t xml:space="preserve">Întrucât dezvoltarea durabilă, în cele trei dimensiuni ale sale (economică, socială și de mediu), și protecția mediului - inclusiv a ecosistemelor - facilitează și promovează </w:t>
      </w:r>
      <w:r>
        <w:lastRenderedPageBreak/>
        <w:t>bunăstarea și realizarea drepturilor omului pentru generațiile prezente și viitoare, în special dreptul la viață, dreptul tuturor de a se bucura de cel mai înalt standard posibil de sănătate fizică și mintală și dreptul la un nivel de trai adecvat, dreptul la hrană adecvată, dreptul la o locuință, la apă potabilă și la salubritate, precum și dreptul de a participa la viața culturală,</w:t>
      </w:r>
    </w:p>
    <w:p w:rsidR="00F47ACE" w:rsidRPr="00472687" w:rsidRDefault="0052083E" w:rsidP="00472687">
      <w:pPr>
        <w:pStyle w:val="JuQuot"/>
      </w:pPr>
      <w:r>
        <w:t>Reafirmând importanța cooperării internaționale bazate pe respectul reciproc, în deplină concordanță cu scopurile și principiile Cartei, respectând cu strictețe suveranitatea statelor și ținând seama de prioritățile naționale,</w:t>
      </w:r>
    </w:p>
    <w:p w:rsidR="00F47ACE" w:rsidRPr="00472687" w:rsidRDefault="0052083E" w:rsidP="00472687">
      <w:pPr>
        <w:pStyle w:val="JuQuot"/>
      </w:pPr>
      <w:r>
        <w:t>Întrucât, în caz contrar, consecințele schimbărilor climatice, gestionarea și utilizarea nesustenabile ale resurselor naturale, poluarea aerului, a solului și a apei, gestionarea defectuoasă a substanțelor chimice și a deșeurilor, pierderea biodiversității cauzată de aceasta din urmă, precum și declinul serviciilor ecosistemice compromit posibilitatea de a beneficia de un mediu curat, sănătos și durabil, și întrucât daunele provocate mediului / daunele de mediu au efecte negative, directe și indirecte, asupra exercitării efective a tuturor drepturilor omului,</w:t>
      </w:r>
    </w:p>
    <w:p w:rsidR="00F47ACE" w:rsidRPr="00472687" w:rsidRDefault="0052083E" w:rsidP="00472687">
      <w:pPr>
        <w:pStyle w:val="JuQuot"/>
      </w:pPr>
      <w:r>
        <w:t>[...]</w:t>
      </w:r>
    </w:p>
    <w:p w:rsidR="00F47ACE" w:rsidRPr="00472687" w:rsidRDefault="0052083E" w:rsidP="00472687">
      <w:pPr>
        <w:pStyle w:val="JuQuot"/>
      </w:pPr>
      <w:r>
        <w:t>1. Consideră că exercitarea dreptului de a beneficia de un mediu curat, sănătos și durabil este un element important pentru exercitarea drepturilor omului;</w:t>
      </w:r>
    </w:p>
    <w:p w:rsidR="00F47ACE" w:rsidRPr="00472687" w:rsidRDefault="0052083E" w:rsidP="00472687">
      <w:pPr>
        <w:pStyle w:val="JuQuot"/>
      </w:pPr>
      <w:r>
        <w:t>2. Constată că dreptul la un mediu curat, sănătos și durabil este legat de alte drepturi și de dreptul internațional existent;</w:t>
      </w:r>
    </w:p>
    <w:p w:rsidR="00F47ACE" w:rsidRPr="00472687" w:rsidRDefault="0052083E" w:rsidP="00472687">
      <w:pPr>
        <w:pStyle w:val="JuQuot"/>
      </w:pPr>
      <w:r>
        <w:t>3. Afirmă că promovarea dreptului la un mediu curat, sănătos și durabil necesită punerea în aplicare deplină a acordurilor multilaterale de mediu, în conformitate cu principiile dreptului internațional al mediului [...] ”</w:t>
      </w:r>
    </w:p>
    <w:p w:rsidR="00F47ACE" w:rsidRPr="00472687" w:rsidRDefault="00C71855" w:rsidP="00472687">
      <w:pPr>
        <w:pStyle w:val="JuPara"/>
      </w:pPr>
      <w:fldSimple w:instr=" SEQ level0 \*arabic \* MERGEFORMAT ">
        <w:r w:rsidR="00472687" w:rsidRPr="00472687">
          <w:t>157</w:t>
        </w:r>
      </w:fldSimple>
      <w:r w:rsidR="00B71F73">
        <w:t>. La 7 iulie 2022, Consiliul Drepturilor Omului a adoptat Rezoluția 50/9 privind drepturile omului și schimbările climatice, în care a analizat îndeaproape consecințele schimbărilor climatice asupra realizării depline a dreptului la hrană și, în plus, a solicitat tuturor statelor să adopte</w:t>
      </w:r>
    </w:p>
    <w:p w:rsidR="00F47ACE" w:rsidRPr="00472687" w:rsidRDefault="0052083E" w:rsidP="00472687">
      <w:pPr>
        <w:pStyle w:val="JuQuot"/>
      </w:pPr>
      <w:r>
        <w:t>„o abordare cuprinzătoare și integrată a politicilor de adaptare la schimbările climatice și de atenuare a acestora, care să țină seama de aspectele legate de gen, vârstă și handicap, în conformitate cu Convenția-cadru a Națiunilor Unite asupra schimbărilor climatice și cu obiectivele și principiile stabilite în aceasta [...] ”</w:t>
      </w:r>
    </w:p>
    <w:p w:rsidR="00F47ACE" w:rsidRPr="00472687" w:rsidRDefault="00C71855" w:rsidP="00472687">
      <w:pPr>
        <w:pStyle w:val="JuPara"/>
        <w:rPr>
          <w:b/>
          <w:bCs/>
        </w:rPr>
      </w:pPr>
      <w:fldSimple w:instr=" SEQ level0 \*arabic \* MERGEFORMAT ">
        <w:r w:rsidR="00472687" w:rsidRPr="00472687">
          <w:t>158</w:t>
        </w:r>
      </w:fldSimple>
      <w:r w:rsidR="00B71F73">
        <w:t>. La 6 octombrie 2022, Consiliul Drepturilor Omului a adoptat Rezoluția 51/4 privind drepturile omului ale persoanelor în vârstă, în care a recunoscut contribuția esențială adusă de persoanele în vârstă la funcționarea societăților și la punerea în aplicare a Agendei 2030 pentru dezvoltare durabilă (a se vedea, de asemenea, Rezoluția 44/7 din 16 iulie 2020).</w:t>
      </w:r>
    </w:p>
    <w:p w:rsidR="00F47ACE" w:rsidRPr="00472687" w:rsidRDefault="0052083E" w:rsidP="00472687">
      <w:pPr>
        <w:pStyle w:val="JuHa0"/>
        <w:numPr>
          <w:ilvl w:val="4"/>
          <w:numId w:val="28"/>
        </w:numPr>
      </w:pPr>
      <w:bookmarkStart w:id="158" w:name="_Toc199273454"/>
      <w:r>
        <w:t>Procedurile speciale</w:t>
      </w:r>
      <w:bookmarkEnd w:id="158"/>
    </w:p>
    <w:p w:rsidR="00F47ACE" w:rsidRPr="00472687" w:rsidRDefault="0052083E" w:rsidP="00472687">
      <w:pPr>
        <w:pStyle w:val="JuHi"/>
        <w:numPr>
          <w:ilvl w:val="5"/>
          <w:numId w:val="28"/>
        </w:numPr>
        <w:tabs>
          <w:tab w:val="clear" w:pos="1077"/>
          <w:tab w:val="clear" w:pos="1134"/>
          <w:tab w:val="clear" w:pos="1191"/>
          <w:tab w:val="clear" w:pos="1247"/>
        </w:tabs>
        <w:ind w:left="1276" w:hanging="425"/>
      </w:pPr>
      <w:bookmarkStart w:id="159" w:name="_Toc130328256"/>
      <w:bookmarkStart w:id="160" w:name="_Toc131100081"/>
      <w:bookmarkStart w:id="161" w:name="_Toc137718427"/>
      <w:bookmarkStart w:id="162" w:name="_Toc139560045"/>
      <w:bookmarkStart w:id="163" w:name="_Toc139966706"/>
      <w:bookmarkStart w:id="164" w:name="_Toc139979457"/>
      <w:bookmarkStart w:id="165" w:name="_Toc145489865"/>
      <w:bookmarkStart w:id="166" w:name="_Toc199273455"/>
      <w:r>
        <w:t>Raportorul special pentru promovarea și protecția drepturilor omului în contextul schimbărilor climatice</w:t>
      </w:r>
      <w:bookmarkEnd w:id="159"/>
      <w:bookmarkEnd w:id="160"/>
      <w:bookmarkEnd w:id="161"/>
      <w:bookmarkEnd w:id="162"/>
      <w:bookmarkEnd w:id="163"/>
      <w:bookmarkEnd w:id="164"/>
      <w:bookmarkEnd w:id="165"/>
      <w:bookmarkEnd w:id="166"/>
    </w:p>
    <w:p w:rsidR="00F47ACE" w:rsidRPr="00472687" w:rsidRDefault="00C71855" w:rsidP="00472687">
      <w:pPr>
        <w:pStyle w:val="JuPara"/>
      </w:pPr>
      <w:fldSimple w:instr=" SEQ level0 \*arabic \* MERGEFORMAT ">
        <w:r w:rsidR="00472687" w:rsidRPr="00472687">
          <w:t>159</w:t>
        </w:r>
      </w:fldSimple>
      <w:r w:rsidR="00B71F73">
        <w:t>. Mandatul Raportorului special pentru promovarea și protecția drepturilor omului în contextul schimbărilor climatice a fost instituit de Consiliul Drepturilor Omului, în octombrie 2021.</w:t>
      </w:r>
    </w:p>
    <w:p w:rsidR="00F47ACE" w:rsidRPr="00472687" w:rsidRDefault="00C71855" w:rsidP="00472687">
      <w:pPr>
        <w:pStyle w:val="JuPara"/>
      </w:pPr>
      <w:fldSimple w:instr=" SEQ level0 \*arabic \* MERGEFORMAT ">
        <w:r w:rsidR="00472687" w:rsidRPr="00472687">
          <w:t>160</w:t>
        </w:r>
      </w:fldSimple>
      <w:r w:rsidR="00B71F73">
        <w:t>. În raportul tematic din iulie 2022, adresat Adunării Generale a ONU și intitulat „Promovarea și protejarea drepturilor omului în contextul atenuării schimbărilor climatice, pierderilor și daunelor și al participării” (Promotion and protection of human rights in the context of climate change mitigation, loss and damage and participation) (A/77/226), Raportorul special a formulat o serie de recomandări:</w:t>
      </w:r>
    </w:p>
    <w:p w:rsidR="00F47ACE" w:rsidRPr="00472687" w:rsidRDefault="0052083E" w:rsidP="00472687">
      <w:pPr>
        <w:pStyle w:val="JuQuot"/>
      </w:pPr>
      <w:r>
        <w:t>„Recomandări pentru reducerea decalajelor în materie de atenuare</w:t>
      </w:r>
    </w:p>
    <w:p w:rsidR="00F47ACE" w:rsidRPr="00472687" w:rsidRDefault="0052083E" w:rsidP="00472687">
      <w:pPr>
        <w:pStyle w:val="JuQuot"/>
      </w:pPr>
      <w:r>
        <w:t>89. Raportorul special susține că toate recomandările privind măsurile de atenuare formulate de Raportorul special privind chestiunea obligațiilor în materia drepturilor omului legate de asigurarea unui mediu sigur, curat, sănătos și durabil, în raportul său către Adunarea Generală din 2019, sunt relevante în continuare și ar trebui să fie considerate ca făcând parte din prezentul raport și să fie luate în considerare în plus față de recomandările formulate mai jos.</w:t>
      </w:r>
    </w:p>
    <w:p w:rsidR="00F47ACE" w:rsidRPr="00472687" w:rsidRDefault="0052083E" w:rsidP="00472687">
      <w:pPr>
        <w:pStyle w:val="JuQuot"/>
      </w:pPr>
      <w:r>
        <w:t>90. În ceea ce privește atenuarea schimbărilor climatice, Raportorul special pentru promovarea și protecția drepturilor omului în contextul schimbărilor climatice recomandă Adunării Generale să ia următoarele măsuri:</w:t>
      </w:r>
    </w:p>
    <w:p w:rsidR="00F47ACE" w:rsidRPr="00472687" w:rsidRDefault="0052083E" w:rsidP="00472687">
      <w:pPr>
        <w:pStyle w:val="JuQuot"/>
      </w:pPr>
      <w:r>
        <w:t>[...]</w:t>
      </w:r>
    </w:p>
    <w:p w:rsidR="00F47ACE" w:rsidRPr="00472687" w:rsidRDefault="0052083E" w:rsidP="00472687">
      <w:pPr>
        <w:pStyle w:val="JuQuot"/>
      </w:pPr>
      <w:r>
        <w:t>d) să instituie un tribunal internațional pentru drepturile omului, pentru ca guvernele, întreprinderile și instituțiile financiare care continuă să investească în combustibilii fosili și în industriile care generează emisii ridicate de dioxid de carbon să fie trase la răspundere pentru acțiunile lor și pentru consecințele acestor investiții asupra drepturilor omului;</w:t>
      </w:r>
    </w:p>
    <w:p w:rsidR="00F47ACE" w:rsidRPr="00472687" w:rsidRDefault="0052083E" w:rsidP="00472687">
      <w:pPr>
        <w:pStyle w:val="JuQuot"/>
      </w:pPr>
      <w:r>
        <w:t>[...]</w:t>
      </w:r>
    </w:p>
    <w:p w:rsidR="00F47ACE" w:rsidRPr="00472687" w:rsidRDefault="0052083E" w:rsidP="00472687">
      <w:pPr>
        <w:pStyle w:val="JuQuot"/>
      </w:pPr>
      <w:r>
        <w:t>97. Raportorul special recomandă, de asemenea, ca Adunarea Generală să încurajeze toate statele membre să includă în parlamentele naționale reprezentanți din rândul tinerilor, care să evidențieze preocupările lor legate de schimbările climatice.</w:t>
      </w:r>
    </w:p>
    <w:p w:rsidR="00F47ACE" w:rsidRPr="00472687" w:rsidRDefault="0052083E" w:rsidP="00472687">
      <w:pPr>
        <w:pStyle w:val="JuQuot"/>
      </w:pPr>
      <w:r>
        <w:t>98. În plus, Raportorul special recomandă ca Adunarea Generală să încurajeze toate statele să abiliteze copiii și tinerii, inclusiv copiii și tinerii indigeni, să participe la procedurile judiciare internaționale, naționale și subnaționale. ”</w:t>
      </w:r>
    </w:p>
    <w:p w:rsidR="00F47ACE" w:rsidRPr="00472687" w:rsidRDefault="0052083E" w:rsidP="00472687">
      <w:pPr>
        <w:pStyle w:val="JuHi"/>
        <w:numPr>
          <w:ilvl w:val="5"/>
          <w:numId w:val="28"/>
        </w:numPr>
        <w:tabs>
          <w:tab w:val="clear" w:pos="1077"/>
          <w:tab w:val="clear" w:pos="1134"/>
          <w:tab w:val="clear" w:pos="1191"/>
          <w:tab w:val="clear" w:pos="1247"/>
        </w:tabs>
        <w:ind w:left="1276" w:hanging="425"/>
      </w:pPr>
      <w:bookmarkStart w:id="167" w:name="_Toc199273456"/>
      <w:r>
        <w:t>Raportorul special privind chestiunea obligațiilor în materia drepturilor omului legate de asigurarea unui mediu sigur, curat, sănătos și durabil</w:t>
      </w:r>
      <w:bookmarkEnd w:id="167"/>
    </w:p>
    <w:bookmarkStart w:id="168" w:name="paragraph00161"/>
    <w:p w:rsidR="00F47ACE" w:rsidRPr="00472687" w:rsidRDefault="0052083E" w:rsidP="00472687">
      <w:pPr>
        <w:pStyle w:val="JuPara"/>
        <w:rPr>
          <w:rStyle w:val="Hyperlink"/>
          <w:sz w:val="16"/>
          <w:szCs w:val="16"/>
        </w:rPr>
      </w:pPr>
      <w:r w:rsidRPr="00472687">
        <w:fldChar w:fldCharType="begin"/>
      </w:r>
      <w:r w:rsidRPr="00472687">
        <w:instrText xml:space="preserve"> SEQ level0 \*arabic \* MERGEFORMAT </w:instrText>
      </w:r>
      <w:r w:rsidRPr="00472687">
        <w:fldChar w:fldCharType="separate"/>
      </w:r>
      <w:r w:rsidR="00472687" w:rsidRPr="00472687">
        <w:t>161</w:t>
      </w:r>
      <w:r w:rsidRPr="00472687">
        <w:fldChar w:fldCharType="end"/>
      </w:r>
      <w:bookmarkEnd w:id="168"/>
      <w:r>
        <w:t>. În 2018, raportorul special de la acea vreme a publicat un raport care rezumă principalele obligații în materia drepturilor omului legate de asigurarea unui mediu sigur, curat, sănătos și durabil, intitulat „Principiile-cadru referitoare la drepturile omului și mediu” (Framework principles on human rights and the environment)</w:t>
      </w:r>
      <w:r>
        <w:rPr>
          <w:rStyle w:val="FootnoteReference"/>
        </w:rPr>
        <w:footnoteReference w:id="106"/>
      </w:r>
      <w:r>
        <w:t>.</w:t>
      </w:r>
    </w:p>
    <w:p w:rsidR="00F47ACE" w:rsidRPr="00472687" w:rsidRDefault="00C71855" w:rsidP="00472687">
      <w:pPr>
        <w:pStyle w:val="JuPara"/>
      </w:pPr>
      <w:fldSimple w:instr=" SEQ level0 \*arabic \* MERGEFORMAT ">
        <w:r w:rsidR="00472687" w:rsidRPr="00472687">
          <w:t>162</w:t>
        </w:r>
      </w:fldSimple>
      <w:r w:rsidR="00B71F73">
        <w:t>. În 2019, noul raportor a publicat două rapoarte tematice (unul adresat Consiliului Drepturilor Omului și celălalt Adunării Generale).</w:t>
      </w:r>
    </w:p>
    <w:p w:rsidR="00F47ACE" w:rsidRPr="00472687" w:rsidRDefault="00C71855" w:rsidP="00472687">
      <w:pPr>
        <w:pStyle w:val="JuPara"/>
      </w:pPr>
      <w:fldSimple w:instr=" SEQ level0 \*arabic \* MERGEFORMAT ">
        <w:r w:rsidR="00472687" w:rsidRPr="00472687">
          <w:t>163</w:t>
        </w:r>
      </w:fldSimple>
      <w:r w:rsidR="00B71F73">
        <w:t xml:space="preserve">. În raportul său din 8 ianuarie 2019, adresat Consiliul Drepturilor Omului (A/HRC/40/55), Raportorul special a abordat dreptul de a respira aer </w:t>
      </w:r>
      <w:r w:rsidR="00B71F73">
        <w:lastRenderedPageBreak/>
        <w:t>curat ca o componentă a dreptului fundamental</w:t>
      </w:r>
      <w:r w:rsidR="00B71F73">
        <w:rPr>
          <w:b/>
        </w:rPr>
        <w:t xml:space="preserve"> </w:t>
      </w:r>
      <w:r w:rsidR="00B71F73">
        <w:t>la un mediu sigur, curat, sănătos și durabil. Acesta a clarificat domeniul de aplicare și conținutul obligațiilor în materia drepturilor omului legate de aerul curat, după cum urmează:</w:t>
      </w:r>
    </w:p>
    <w:p w:rsidR="00F47ACE" w:rsidRPr="00472687" w:rsidRDefault="0052083E" w:rsidP="00472687">
      <w:pPr>
        <w:pStyle w:val="JuQuot"/>
      </w:pPr>
      <w:r>
        <w:t>„IV. Obligațiile în materia drepturilor omului legate de aerul curat</w:t>
      </w:r>
    </w:p>
    <w:p w:rsidR="00F47ACE" w:rsidRPr="00472687" w:rsidRDefault="0052083E" w:rsidP="00472687">
      <w:pPr>
        <w:pStyle w:val="JuQuot"/>
      </w:pPr>
      <w:r>
        <w:t>57. După cum a indicat în mod clar titularul de mandat anterior, statele au obligația de a proteja exercitarea drepturilor omului împotriva daunelor aduse mediului (A/HRC/25/53). Având în vedere efectele nefaste previzibile ale calității scăzute a aerului asupra exercitării drepturilor omului, statele au obligații mai extinse de a lua măsuri imediate pentru a proteja populația împotriva acestor efecte. Într-o declarație comună publicată în 2017, un grup de experți al ONU a declarat că „o astfel de amenințare nu mai poate fi ignorată și statele sunt obligate să prevină și să controleze expunerea la poluarea atmosferică toxică și să protejeze populația împotriva efectelor nefaste ale acesteia asupra drepturilor omului”.</w:t>
      </w:r>
      <w:r>
        <w:rPr>
          <w:rStyle w:val="FootnoteReference"/>
        </w:rPr>
        <w:footnoteReference w:id="107"/>
      </w:r>
    </w:p>
    <w:p w:rsidR="00F47ACE" w:rsidRPr="00472687" w:rsidRDefault="0052083E" w:rsidP="00472687">
      <w:pPr>
        <w:pStyle w:val="JuQuot"/>
      </w:pPr>
      <w:r>
        <w:t>58. Principiile-cadru referitoare la drepturile omului și mediu menționează cele trei categorii de obligații ale statului: obligații procedurale, obligații materiale și obligații speciale față de persoanele aflate în situații vulnerabile. Prin urmare, aceste principii pot fi transpuse în termeni operaționali în contextul poluării aerului, în vederea respectării, protejării și realizării drepturilor omului.</w:t>
      </w:r>
    </w:p>
    <w:p w:rsidR="00F47ACE" w:rsidRPr="00472687" w:rsidRDefault="0052083E" w:rsidP="00472687">
      <w:pPr>
        <w:pStyle w:val="JuQuot"/>
      </w:pPr>
      <w:r>
        <w:t>59. Obligațiile procedurale ale statelor referitoare la dreptul de a respira un aer curat sunt însoțite de obligații în următoarele domenii: promovarea educației și sensibilizarea populației, asigurarea accesului la informații, garantarea libertății de exprimare, de asociere și de întrunire, facilitarea participării populației la evaluarea proiectelor propuse, a politicilor și deciziilor referitoare la mediu și asigurarea accesului la căi de atac la prețuri accesibile și în cel mai scurt timp.</w:t>
      </w:r>
    </w:p>
    <w:p w:rsidR="00F47ACE" w:rsidRPr="00472687" w:rsidRDefault="0052083E" w:rsidP="00472687">
      <w:pPr>
        <w:pStyle w:val="JuQuot"/>
      </w:pPr>
      <w:r>
        <w:t>60. În ceea ce privește obligațiile materiale, statele nu trebuie să aducă atingere dreptului de a respira un aer curat prin acțiunile lor; trebuie să protejeze acest drept împotriva oricărei încălcări comise de terți, în special de către întreprinderi; acestea trebuie să instituie, să pună în aplicare și să asigure respectarea unor legi, politici și programe care au ca scop realizarea acestui drept și trebuie să evite discriminarea și măsurile regresive.</w:t>
      </w:r>
    </w:p>
    <w:p w:rsidR="00F47ACE" w:rsidRPr="00472687" w:rsidRDefault="0052083E" w:rsidP="00472687">
      <w:pPr>
        <w:pStyle w:val="JuQuot"/>
      </w:pPr>
      <w:r>
        <w:t>61. Statele trebuie să adopte șapte măsuri-cheie pentru realizarea dreptului de a respira un aer curat: monitorizarea calității aerului și a efectelor sale asupra sănătății umane; analizarea surselor de poluare atmosferică; publicarea de informații, inclusiv de anunțuri oficiale privind sănătatea publică; instituirea de legi, reglementări, standarde și politici privind calitatea aerului; elaborarea unor planuri de acțiune privind calitatea aerului la nivel local și național și, după caz, la nivel regional; punerea în aplicare a unui plan de acțiune privind calitatea aerului și asigurarea respectării standardelor în materie; evaluarea progreselor realizate și, dacă este necesar, consolidarea planului de acțiune pentru a garanta respectarea standardelor.</w:t>
      </w:r>
    </w:p>
    <w:p w:rsidR="00F47ACE" w:rsidRPr="00472687" w:rsidRDefault="0052083E" w:rsidP="00472687">
      <w:pPr>
        <w:pStyle w:val="JuQuot"/>
      </w:pPr>
      <w:r>
        <w:t xml:space="preserve">62. Pentru fiecare dintre aceste măsuri, statele trebuie să se asigure că populația este informată pe deplin și are posibilitatea de a participa la procesele decizionale. Ar trebui să se depună întotdeauna eforturi suplimentare pentru a asigura informarea femeilor, copiilor și a altor persoane aflate în situații vulnerabile, ale căror voci sunt rareori auzite </w:t>
      </w:r>
      <w:r>
        <w:lastRenderedPageBreak/>
        <w:t>în procesele aferente politicilor de mediu. Statele ar trebui să acorde o atenție deosebită apărătorilor mediului care acționează în scopul protejării dreptului la un aer curat. ”</w:t>
      </w:r>
    </w:p>
    <w:p w:rsidR="00F47ACE" w:rsidRPr="00472687" w:rsidRDefault="00C71855" w:rsidP="00472687">
      <w:pPr>
        <w:pStyle w:val="JuPara"/>
        <w:rPr>
          <w:rStyle w:val="Hyperlink"/>
          <w:sz w:val="16"/>
          <w:szCs w:val="16"/>
        </w:rPr>
      </w:pPr>
      <w:fldSimple w:instr=" SEQ level0 \*arabic \* MERGEFORMAT ">
        <w:r w:rsidR="00472687" w:rsidRPr="00472687">
          <w:t>164</w:t>
        </w:r>
      </w:fldSimple>
      <w:r w:rsidR="00B71F73">
        <w:t>. În raportul său din 2019, adresat Adunării Generale (A/74/161), Raportorul special s-a întemeiat pe Principiile-cadru din 2018 referitoare la drepturile omului și mediu (menționate supra, pct. </w:t>
      </w:r>
      <w:r w:rsidR="0052083E" w:rsidRPr="00472687">
        <w:fldChar w:fldCharType="begin"/>
      </w:r>
      <w:r w:rsidR="0052083E" w:rsidRPr="00472687">
        <w:instrText xml:space="preserve">REF paragraph00161 \h \* CharFormat </w:instrText>
      </w:r>
      <w:r w:rsidR="0052083E" w:rsidRPr="00472687">
        <w:fldChar w:fldCharType="separate"/>
      </w:r>
      <w:r w:rsidR="00472687" w:rsidRPr="00472687">
        <w:t>161</w:t>
      </w:r>
      <w:r w:rsidR="0052083E" w:rsidRPr="00472687">
        <w:fldChar w:fldCharType="end"/>
      </w:r>
      <w:r w:rsidR="00B71F73">
        <w:t>) și a detaliat conținutul obligațiilor care revin statelor după cum urmează (note de subsol omise):</w:t>
      </w:r>
    </w:p>
    <w:p w:rsidR="00F47ACE" w:rsidRPr="00472687" w:rsidRDefault="0052083E" w:rsidP="00472687">
      <w:pPr>
        <w:pStyle w:val="JuQuot"/>
      </w:pPr>
      <w:r>
        <w:t>„63. Principiile-cadru referitoare la drepturile omului și mediu menționează trei categorii de obligații ce revin statului: obligații procedurale, obligații materiale și obligații speciale față de persoanele aflate în situații vulnerabile. Acestea pot fi aplicate în contextul schimbărilor climatice pentru a garanta respectarea, protecția și exercitarea drepturilor omului.</w:t>
      </w:r>
    </w:p>
    <w:p w:rsidR="00F47ACE" w:rsidRPr="00472687" w:rsidRDefault="0052083E" w:rsidP="00472687">
      <w:pPr>
        <w:pStyle w:val="JuQuot"/>
      </w:pPr>
      <w:r>
        <w:t>64. În conformitate cu dreptul internațional al drepturilor omului, statele au următoarele obligații procedurale:</w:t>
      </w:r>
    </w:p>
    <w:p w:rsidR="00F47ACE" w:rsidRPr="00472687" w:rsidRDefault="0052083E" w:rsidP="00472687">
      <w:pPr>
        <w:pStyle w:val="JuQuot"/>
        <w:ind w:left="567"/>
      </w:pPr>
      <w:r>
        <w:t>a) să furnizeze publicului informații ușor accesibile, disponibile la un preț rezonabil și ușor de înțeles cu privire la cauzele și consecințele crizei climatice mondiale (în special prin integrarea problemei schimbărilor climatice în programele de învățământ la toate nivelurile);</w:t>
      </w:r>
    </w:p>
    <w:p w:rsidR="00F47ACE" w:rsidRPr="00472687" w:rsidRDefault="0052083E" w:rsidP="00472687">
      <w:pPr>
        <w:pStyle w:val="JuQuot"/>
        <w:ind w:left="567"/>
      </w:pPr>
      <w:r>
        <w:t>b) să se asigure că toată lumea poate participa la acțiunile climatice într-un mod echitabil și care ține seama de diferențele de gen, cu un accent deosebit pe capacitarea celor mai afectate categorii de populație, și anume femeile, copiii, tinerii, popoarele indigene și locale, persoanele care trăiesc în sărăcie, persoanele cu handicap, persoanele în vârstă, migranții, persoanele strămutate și alte categorii de populație care ar putea fi vulnerabile;</w:t>
      </w:r>
    </w:p>
    <w:p w:rsidR="00F47ACE" w:rsidRPr="00472687" w:rsidRDefault="0052083E" w:rsidP="00472687">
      <w:pPr>
        <w:pStyle w:val="JuQuot"/>
        <w:ind w:left="567"/>
      </w:pPr>
      <w:r>
        <w:t>c) să asigure accesul tuturor la justiție și la căi de atac efective, în timp util și la prețuri accesibile, astfel încât statele și întreprinderile să își asume responsabilitatea îndeplinirii obligațiilor legate de schimbările climatice;</w:t>
      </w:r>
    </w:p>
    <w:p w:rsidR="00F47ACE" w:rsidRPr="00472687" w:rsidRDefault="0052083E" w:rsidP="00472687">
      <w:pPr>
        <w:pStyle w:val="JuQuot"/>
        <w:ind w:left="567"/>
      </w:pPr>
      <w:r>
        <w:t>d) să evalueze potențialele efecte ale oricărui plan și ale oricărei politici sau propuneri asupra schimbărilor climatice și a drepturilor omului, inclusiv efectele din amonte și din aval (adică emisiile rezultate din activitățile de producție și consum);</w:t>
      </w:r>
    </w:p>
    <w:p w:rsidR="00F47ACE" w:rsidRPr="00472687" w:rsidRDefault="0052083E" w:rsidP="00472687">
      <w:pPr>
        <w:pStyle w:val="JuQuot"/>
        <w:ind w:left="567"/>
      </w:pPr>
      <w:r>
        <w:t>e) să asigure egalitatea de gen în toate acțiunile climatice, permițându-le femeilor să joace un rol de conducere;</w:t>
      </w:r>
    </w:p>
    <w:p w:rsidR="00F47ACE" w:rsidRPr="00472687" w:rsidRDefault="0052083E" w:rsidP="00472687">
      <w:pPr>
        <w:pStyle w:val="JuQuot"/>
        <w:ind w:left="567"/>
      </w:pPr>
      <w:r>
        <w:t>f) să respecte drepturile popoarelor indigene în toate acțiunile climatice, în special dreptul acestora la consimțământ liber, prealabil și în cunoștință de cauză;</w:t>
      </w:r>
    </w:p>
    <w:p w:rsidR="00F47ACE" w:rsidRPr="00472687" w:rsidRDefault="0052083E" w:rsidP="00472687">
      <w:pPr>
        <w:pStyle w:val="JuQuot"/>
        <w:ind w:left="567"/>
      </w:pPr>
      <w:r>
        <w:t>g) să asigure o protecție eficientă tuturor apărătorilor mediului și ai drepturilor omului care se ocupă de probleme legate de climă (de exemplu, folosința terenurilor sau combustibilii fosili), în special să dea dovadă de vigilență pentru a-i proteja împotriva hărțuirii, intimidării și violenței.</w:t>
      </w:r>
    </w:p>
    <w:p w:rsidR="00F47ACE" w:rsidRPr="00472687" w:rsidRDefault="0052083E" w:rsidP="00472687">
      <w:pPr>
        <w:pStyle w:val="JuQuot"/>
      </w:pPr>
      <w:r>
        <w:t>65. În ceea ce privește obligațiile materiale, statele trebuie să se asigure că acțiunile lor nu încalcă dreptul la un climat propice vieții, să protejeze acest drept împotriva oricărei încălcări comise de terți, în special de către întreprinderi, și să elaboreze și să pună în aplicare legi, politici și programe menite să garanteze acest drept, precum și să asigure respectarea acestora. Statele trebuie, de asemenea, să evite discriminarea sau măsurile regresive. Aceste principii reglementează toate acțiunile climatice, inclusiv cele care decurg din obligațiile în materie de atenuare a efectelor schimbărilor climatice, de adaptare la aceste schimbări, de finanțare a eforturilor de combatere a schimbărilor climatice și de prevenire a pierderilor și daunelor.</w:t>
      </w:r>
    </w:p>
    <w:p w:rsidR="00F47ACE" w:rsidRPr="00472687" w:rsidRDefault="0052083E" w:rsidP="00472687">
      <w:pPr>
        <w:pStyle w:val="JuQuot"/>
      </w:pPr>
      <w:r>
        <w:lastRenderedPageBreak/>
        <w:t>66. Obligațiile privind drepturile omului sunt consolidate de dreptul internațional al mediului, statele fiind obligate să se asigure că activitățile poluante desfășurate în limitele jurisdicției lor sau sub controlul lor nu cauzează daune grave mediului sau populațiilor din alte state sau zone situate dincolo de limitele jurisdicției lor naționale. Întrucât se preconizează că efectele schimbărilor climatice se vor accentua, se poate concluziona că emisiile actuale de [GES] contravin principiului de a „nu face rău”, consacrat în dreptul internațional cutumiar. Într-adevăr, indiferent de locul în care sunt emise, aceste gaze contribuie, cumulativ, la producerea de efecte nefaste în alte state, inclusiv în statele insulare mici în curs de dezvoltare. Cauza Fundația Urgenda împotriva Țărilor de Jos este un precedent important, întrucât Curtea s-a întemeiat pe dreptul internațional al drepturilor omului pentru a obliga Guvernul Țărilor de Jos să respecte angajamente cu privire la care chiar acesta a afirmat că sunt necesare pentru prevenirea schimbărilor climatice periculoase.</w:t>
      </w:r>
    </w:p>
    <w:p w:rsidR="00F47ACE" w:rsidRPr="00472687" w:rsidRDefault="0052083E" w:rsidP="00472687">
      <w:pPr>
        <w:pStyle w:val="JuQuot"/>
      </w:pPr>
      <w:r>
        <w:t>[...]</w:t>
      </w:r>
    </w:p>
    <w:p w:rsidR="00F47ACE" w:rsidRPr="00472687" w:rsidRDefault="0052083E" w:rsidP="00472687">
      <w:pPr>
        <w:pStyle w:val="JuQuot"/>
      </w:pPr>
      <w:r>
        <w:t>68. Statele au obligația de a coopera pentru asigurarea unui viitor durabil, cu emisii reduse de carbon și rezistent la efectele schimbărilor climatice. Aceasta include comunicarea de informații; transferul, din statele bogate în statele mai puțin bogate, de tehnologii de înaltă eficiență energetică, fără emisii de dioxid de carbon sau cu emisii reduse de dioxid de carbon; activități de consolidare a capacităților; creșterea finanțării pentru cercetare și dezvoltare, pentru a asigura tranziția către o energie curată; respectarea angajamentelor internaționale; și asigurarea unor soluții echitabile, legale și durabile pentru migranți și persoanele strămutate. În conformitate cu principiul responsabilităților comune, dar diferențiate, statele bogate trebuie să suporte o parte echitabilă din cheltuielile efectuate în țările cu venituri reduse pentru a pune în aplicare măsuri de atenuare și adaptare. În țările cu venituri reduse, acțiunile climatice ar trebui să fie finanțate prin granturi, nu prin împrumuturi. Țările sărace nu pot fi obligate să suporte costurile aferente măsurilor necesare pentru combaterea schimbărilor climatice atunci când problema a fost cauzată de țările bogate. Acest lucru contravine principiilor fundamentale ale justiției.</w:t>
      </w:r>
    </w:p>
    <w:p w:rsidR="00F47ACE" w:rsidRPr="00472687" w:rsidRDefault="0052083E" w:rsidP="00472687">
      <w:pPr>
        <w:pStyle w:val="JuQuot"/>
      </w:pPr>
      <w:r>
        <w:t>69. Măsurile climatice, inclusiv cele adoptate în cadrul mecanismelor în curs de negociere în temeiul articolului 6 din Acordul de la Paris, trebuie să fie concepute și puse în aplicare astfel încât să nu amenințe sau să încalce drepturile omului. În trecut, politicile de sprijinire a producției de biocarburanți au contribuit la creșterea prețurilor alimentelor, la revolte și la o creștere semnificativă a numărului total de persoane care suferă de foame. Politicile de conservare a pădurilor ridică preocupări similare legate de drepturi, deoarece acestea pot limita accesul la terenurile utilizate pentru vânătoare, pescuit, recoltare, cultivare și alte activități culturale importante. Pentru a evita astfel de efecte nefaste, este esențial să se întreprindă acțiuni care să vizeze atât atingerea obiectivelor climatice, cât și a obiectivelor de dezvoltare durabilă, în cooperare cu populațiile afectate.</w:t>
      </w:r>
    </w:p>
    <w:p w:rsidR="00F47ACE" w:rsidRPr="00472687" w:rsidRDefault="0052083E" w:rsidP="00472687">
      <w:pPr>
        <w:pStyle w:val="JuQuot"/>
      </w:pPr>
      <w:r>
        <w:t>70. În 2018, Comitetul ONU pentru drepturile economice, sociale și culturale a avertizat statele cu privire la faptul că acestea și-ar încălca obligația de a respecta, proteja și pune în aplicare toate drepturile omului pentru toți în cazul în care nu ar asigura prevenirea încălcărilor previzibile ale drepturilor omului cauzate de schimbările climatice sau mobilizarea maximului de resurse disponibile pentru a preveni astfel de încălcări. Prin urmare, statele trebuie să aloce maximul de resurse financiare și materiale disponibile pentru a asigura tranziția către surse de energie regenerabilă, un transport curat și o agricultură ecologică, pentru a stopa și inversa procesul de despădurire și de degradare a terenurilor și pentru a îmbunătăți capacitatea de adaptare, în special cea a populațiilor vulnerabile și marginalizate [...]</w:t>
      </w:r>
    </w:p>
    <w:p w:rsidR="00F47ACE" w:rsidRPr="00472687" w:rsidRDefault="0052083E" w:rsidP="00472687">
      <w:pPr>
        <w:pStyle w:val="JuQuot"/>
      </w:pPr>
      <w:r>
        <w:lastRenderedPageBreak/>
        <w:t xml:space="preserve">74. Nerespectarea angajamentelor internaționale privind schimbările climatice constituie o încălcare </w:t>
      </w:r>
      <w:r>
        <w:rPr>
          <w:i/>
        </w:rPr>
        <w:t>prima facie</w:t>
      </w:r>
      <w:r>
        <w:t xml:space="preserve"> a obligației statelor de a proteja drepturile omului ale cetățenilor lor [...]</w:t>
      </w:r>
    </w:p>
    <w:p w:rsidR="00F47ACE" w:rsidRPr="00472687" w:rsidRDefault="0052083E" w:rsidP="00472687">
      <w:pPr>
        <w:pStyle w:val="JuQuot"/>
      </w:pPr>
      <w:r>
        <w:t>75. Desigur, este nevoie de o schimbare radicală a direcției. Pentru a-și îndeplini obligațiile privind drepturile omului, statele dezvoltate și alți mari generatori de emisii trebuie să își reducă emisiile în ritmul stabilit în angajamentele lor internaționale. Pentru a atinge obiectivul de la Paris de limitare a încălzirii la 1,5</w:t>
      </w:r>
      <w:r>
        <w:rPr>
          <w:vertAlign w:val="superscript"/>
        </w:rPr>
        <w:t>o</w:t>
      </w:r>
      <w:r>
        <w:t>C, statele trebuie să prezinte, până în 2020 cel târziu, contribuții ambițioase stabilite la nivel național, care își vor aduce aportul, până în 2030, la o reducere cu cel puțin 45% a emisiilor globale de [GES], astfel cum au fost calculate de Grupul interguvernamental privind schimbările climatice. Toate statele ar trebui să elaboreze un plan de decarbonizare bazat pe drepturi, menit să reducă la zero emisiile lor nete de carbon până în 2050 cel târziu, în conformitate cu articolul 4 alineatul (19) din Acordul de la Paris. Acestea trebuie să adopte următoarele patru măsuri principale: eliminarea dependenței societății de combustibilii fosili; accelerarea măsurilor suplimentare de atenuare; protejarea persoanelor vulnerabile împotriva efectelor schimbărilor climatice; acordarea unui sprijin financiar fără precedent țărilor cel mai puțin dezvoltate și statelor insulare mici în curs de dezvoltare. ”</w:t>
      </w:r>
    </w:p>
    <w:p w:rsidR="00F47ACE" w:rsidRPr="00472687" w:rsidRDefault="00C71855" w:rsidP="00472687">
      <w:pPr>
        <w:pStyle w:val="JuPara"/>
      </w:pPr>
      <w:fldSimple w:instr=" SEQ level0 \*arabic \* MERGEFORMAT ">
        <w:r w:rsidR="00472687" w:rsidRPr="00472687">
          <w:t>165</w:t>
        </w:r>
      </w:fldSimple>
      <w:r w:rsidR="00B71F73">
        <w:t>. În raportul său din 2020, adresat Consiliul Drepturilor Omului, „Right to a healthy environment: good practices” (Dreptul la un mediu sănătos: bune practici) (A/HRC/43/53), Raportorul special a rezumat bunele practici din peste 175 de state în ceea ce privește realizarea dreptului omului la un mediu sigur, curat, sănătos și durabil. Acesta a explicat că recunoașterea juridică a acestui drept ar putea fi considerată în sine o bună practică. Părțile relevante din acest raport se citesc astfel:</w:t>
      </w:r>
    </w:p>
    <w:p w:rsidR="00F47ACE" w:rsidRPr="00472687" w:rsidRDefault="0052083E" w:rsidP="00472687">
      <w:pPr>
        <w:pStyle w:val="JuQuot"/>
      </w:pPr>
      <w:r>
        <w:t>„III. Bune practici pentru punerea în aplicare a dreptului la un mediu sigur, curat, sănătos și durabil</w:t>
      </w:r>
    </w:p>
    <w:p w:rsidR="00F47ACE" w:rsidRPr="00472687" w:rsidRDefault="0052083E" w:rsidP="00472687">
      <w:pPr>
        <w:pStyle w:val="JuQuot"/>
      </w:pPr>
      <w:r>
        <w:t>A. Recunoașterea juridică</w:t>
      </w:r>
    </w:p>
    <w:p w:rsidR="00F47ACE" w:rsidRPr="00472687" w:rsidRDefault="0052083E" w:rsidP="00472687">
      <w:pPr>
        <w:pStyle w:val="JuQuot"/>
      </w:pPr>
      <w:r>
        <w:t>9. În prezentul raport, Raportorul special se concentrează asupra punerii în aplicare a dreptului la un mediu sigur, curat, sănătos și durabil. Recunoașterea juridică a acestui drept poate fi considerată în sine o bună practică, indiferent dacă ia forma unei protecții constituționale sau a ratificării unui tratat regional care include acest drept, sau dacă se realizează prin includerea acestui drept în legislația privind mediul.</w:t>
      </w:r>
    </w:p>
    <w:p w:rsidR="00F47ACE" w:rsidRPr="00472687" w:rsidRDefault="0052083E" w:rsidP="00472687">
      <w:pPr>
        <w:pStyle w:val="JuQuot"/>
      </w:pPr>
      <w:r>
        <w:t>10. În colaborare cu Vance Center for International Justice (Centrul Vance pentru Justiție Internațională), Raportorul special a întocmit o listă actualizată a statelor în care dreptul la un mediu sigur, curat, sănătos și durabil este recunoscut de lege (a se vedea anexa II). Acest drept beneficiază de protecție constituțională în 110 state. O astfel de protecție a drepturilor omului este esențială în măsura în care Constituția constituie legea supremă din cadrul oricărui sistem juridic intern. În plus, Constituția joacă un rol cultural important întrucât reflectă valorile și aspirațiile societății.</w:t>
      </w:r>
    </w:p>
    <w:p w:rsidR="00F47ACE" w:rsidRPr="00472687" w:rsidRDefault="0052083E" w:rsidP="00472687">
      <w:pPr>
        <w:pStyle w:val="JuQuot"/>
      </w:pPr>
      <w:r>
        <w:t xml:space="preserve">11. Un număr total de 126 de state au ratificat cel puțin unul dintre tratatele regionale în care se menționează în mod expres dreptul la un mediu sănătos, și anume Carta Africană a Drepturilor Omului și ale Popoarelor (52 de state părți), Convenția privind accesul la informație, participarea publicului la luarea deciziei și accesul la justiție în probleme de mediu (Convenția de la Aarhus) (45 de state părți), Protocolul adițional la Convenția americană privind drepturile omului în domeniul drepturilor economice, sociale și culturale (Protocolul de la San Salvador) (16 state părți) și Carta arabă a drepturilor omului (16 state părți). La 1 decembrie 2019, cinci state din America Latină </w:t>
      </w:r>
      <w:r>
        <w:lastRenderedPageBreak/>
        <w:t>și zona Caraibilor ratificaseră Acordul regional privind accesul la informații, participarea publicului și accesul la justiție în probleme de mediu (Acordul de la Escazú), dar sunt necesare 11 ratificări pentru ca acest instrument încă recent să intre în vigoare. Zece state au adoptat Declarația privind drepturile omului a Asociației Națiunilor din Asia de Sud-Est, care nu are caracter obligatoriu.</w:t>
      </w:r>
    </w:p>
    <w:p w:rsidR="00F47ACE" w:rsidRPr="00472687" w:rsidRDefault="0052083E" w:rsidP="00472687">
      <w:pPr>
        <w:pStyle w:val="JuQuot"/>
      </w:pPr>
      <w:r>
        <w:t>12. De asemenea, este important să fie adoptate și puse în aplicare legi menite să asigure respectarea, protecția și punerea în aplicare a dreptului la un mediu sigur, curat, sănătos și durabil. În total, 101 state au inclus acest drept în legislația lor națională. Bune practici deosebit de utile există în Africa de Sud, Argentina, Brazilia, Columbia, Costa Rica, Filipine, Franța și Portugalia, unde dreptul la un mediu sănătos este un principiu unificator, care se regăsește în textele de lege, reglementări și politici.</w:t>
      </w:r>
    </w:p>
    <w:p w:rsidR="00F47ACE" w:rsidRPr="00472687" w:rsidRDefault="0052083E" w:rsidP="00472687">
      <w:pPr>
        <w:pStyle w:val="JuQuot"/>
      </w:pPr>
      <w:r>
        <w:t>13. În total, peste 80% din statele membre ale Organizației Națiunilor Unite (156 din 193) recunosc din punct de vedere juridic dreptul la un mediu sigur, curat, sănătos și durabil. Raportorul special a colectat textele dispozițiilor constituționale și legislative prin care este consacrat acest drept. ”</w:t>
      </w:r>
    </w:p>
    <w:p w:rsidR="00C014F0" w:rsidRPr="00472687" w:rsidRDefault="00C71855" w:rsidP="00472687">
      <w:pPr>
        <w:pStyle w:val="JuPara"/>
        <w:rPr>
          <w:rStyle w:val="Hyperlink"/>
          <w:sz w:val="16"/>
          <w:szCs w:val="16"/>
        </w:rPr>
      </w:pPr>
      <w:fldSimple w:instr=" SEQ level0 \*arabic \* MERGEFORMAT ">
        <w:r w:rsidR="00472687" w:rsidRPr="00472687">
          <w:t>166</w:t>
        </w:r>
      </w:fldSimple>
      <w:r w:rsidR="00B71F73">
        <w:t>. Raportorul special a publicat, de asemenea, rapoarte tematice cu privire la următoarele aspecte: „Human rights and the global water crisis: water pollution, water scarcity and water-related disasters” (Drepturile omului și criza mondială a apei: poluarea apei, deficitul de apă și dezastrele legate de apă) (A/HRC/46/28, 2021); „Healthy and sustainable food: reducing the environmental impacts of food systems on human rights” (Alimentație sănătoasă și durabilă: reducerea efectelor sistemelor alimentare asupra mediului din perspectiva drepturilor omului”) (A/76/179, 2021); și „The right to a clean, healthy and sustainable environment: non-toxic environment” (Dreptul la un mediu curat, sănătos și durabil: un mediu netoxic) (A/HRC/49/53, 2022).</w:t>
      </w:r>
    </w:p>
    <w:p w:rsidR="00C014F0" w:rsidRPr="00472687" w:rsidRDefault="00C71855" w:rsidP="00472687">
      <w:pPr>
        <w:pStyle w:val="JuPara"/>
      </w:pPr>
      <w:fldSimple w:instr=" SEQ level0 \*arabic \* MERGEFORMAT ">
        <w:r w:rsidR="00472687" w:rsidRPr="00472687">
          <w:t>167</w:t>
        </w:r>
      </w:fldSimple>
      <w:r w:rsidR="00B71F73">
        <w:t>. În raportul tematic recent, intitulat „Dreptul omului la un mediu curat, sănătos și durabil: catalizator pentru accelerarea măsurilor de realizare a obiectivelor de dezvoltare durabilă” (A/77/284, 2022), Raportorul special a dorit „să pună sub semnul întrebării ideea preconcepută potrivit căreia obiectivele de dezvoltare durabilă sunt simple aspirații, evidențiind numeroasele obligații în materia drepturilor omului, pe care se bazează aceste obiective”. În acest sens, în raport sunt formulate următoarele recomandări:</w:t>
      </w:r>
    </w:p>
    <w:p w:rsidR="00DB7E5A" w:rsidRPr="00472687" w:rsidRDefault="0052083E" w:rsidP="00472687">
      <w:pPr>
        <w:pStyle w:val="JuQuot"/>
      </w:pPr>
      <w:r>
        <w:t>„a) Integrarea dreptului la un mediu curat, sănătos și durabil la toate nivelurile (global, regional și național), inclusiv în cadrul unui instrument universal obligatoriu din punct de vedere juridic, în Declarația universală a drepturilor omului, în Cadrul global post-2020 pentru biodiversitate, în Convenția europeană a drepturilor omului și în constituțiile, legile și politicile naționale ale acestora;</w:t>
      </w:r>
    </w:p>
    <w:p w:rsidR="00DB7E5A" w:rsidRPr="00472687" w:rsidRDefault="0052083E" w:rsidP="00472687">
      <w:pPr>
        <w:pStyle w:val="JuQuot"/>
        <w:rPr>
          <w:b/>
          <w:bCs/>
        </w:rPr>
      </w:pPr>
      <w:r>
        <w:t>b) Recunoașterea faptului că obiectivele se întemeiază pe o bază solidă de drepturi ale omului, care stabilește obligații constrângătoare din punct de vedere juridic [...] ”</w:t>
      </w:r>
    </w:p>
    <w:p w:rsidR="00C014F0" w:rsidRPr="00472687" w:rsidRDefault="0052083E" w:rsidP="00472687">
      <w:pPr>
        <w:pStyle w:val="JuHi"/>
        <w:numPr>
          <w:ilvl w:val="5"/>
          <w:numId w:val="28"/>
        </w:numPr>
        <w:tabs>
          <w:tab w:val="clear" w:pos="1077"/>
          <w:tab w:val="clear" w:pos="1134"/>
          <w:tab w:val="clear" w:pos="1191"/>
          <w:tab w:val="clear" w:pos="1247"/>
        </w:tabs>
        <w:ind w:left="1276" w:hanging="425"/>
      </w:pPr>
      <w:bookmarkStart w:id="169" w:name="_Toc199273457"/>
      <w:r>
        <w:t>Expertul independent privind drepturile omului și solidaritatea internațională</w:t>
      </w:r>
      <w:bookmarkEnd w:id="169"/>
    </w:p>
    <w:p w:rsidR="00DB7E5A" w:rsidRPr="00472687" w:rsidRDefault="00C71855" w:rsidP="00472687">
      <w:pPr>
        <w:pStyle w:val="JuPara"/>
      </w:pPr>
      <w:fldSimple w:instr=" SEQ level0 \*arabic \* MERGEFORMAT ">
        <w:r w:rsidR="00472687" w:rsidRPr="00472687">
          <w:t>168</w:t>
        </w:r>
      </w:fldSimple>
      <w:r w:rsidR="00B71F73">
        <w:t xml:space="preserve">. Într-un raport din 2020 adresat Consiliului Drepturilor Omului, intitulat „International solidarity and climate change” (Solidaritatea </w:t>
      </w:r>
      <w:r w:rsidR="00B71F73">
        <w:lastRenderedPageBreak/>
        <w:t>internațională și schimbările climatice) (A/HRC/44/44), Expertul independent privind drepturile omului și solidaritatea internațională a formulat o serie de recomandări pentru o reformă bazată pe drepturile omului, în legătură cu amenințările reprezentate de schimbările climatice. Printre aceste recomandări se numără, printre altele, următoarele:</w:t>
      </w:r>
    </w:p>
    <w:p w:rsidR="00DB7E5A" w:rsidRPr="00472687" w:rsidRDefault="0052083E" w:rsidP="00472687">
      <w:pPr>
        <w:pStyle w:val="JuQuot"/>
      </w:pPr>
      <w:r>
        <w:t>„a) Toate statele, întreprinderile și organizațiile internaționale ar trebui să adopte, separat și împreună, toate măsurile necesare pentru a atinge obiectivul zero emisii nete până în 2050, în conformitate cu cel mai ridicat nivel de ambiție al acestora în materie de reducere a emisiilor și cu obiectivul comun, stabilit în Acordul de la Paris, de a limita creșterea temperaturii globale sub 1,5°C;</w:t>
      </w:r>
    </w:p>
    <w:p w:rsidR="00DB7E5A" w:rsidRPr="00472687" w:rsidRDefault="0052083E" w:rsidP="00472687">
      <w:pPr>
        <w:pStyle w:val="JuQuot"/>
      </w:pPr>
      <w:r>
        <w:t>b) în acest scop, statele, întreprinderile și instituțiile financiare, în special statele care generează cele mai multe emisii, de mult sau de puțin timp, ar trebui să ia în considerare încetarea activităților de explorare a combustibililor fosili și să nu facă investiții noi în acest domeniu, în numele solidarității internaționale bazate pe drepturile omului, având în vedere că bugetul global de carbon va fi depășit dacă vor fi puse în aplicare proiectele de producție a combustibililor fosili care au fost deja inițiate și propuse;</w:t>
      </w:r>
    </w:p>
    <w:p w:rsidR="00DB7E5A" w:rsidRPr="00472687" w:rsidRDefault="0052083E" w:rsidP="00472687">
      <w:pPr>
        <w:pStyle w:val="JuQuot"/>
      </w:pPr>
      <w:r>
        <w:t>c) Statele, întreprinderile și instituțiile financiare ar trebui să coopereze pentru a se asigura că orice transformare (imperativă) a economiei bazate pe combustibili fosili nu perpetuează dezechilibrele dintre statele și popoarele bogate și sărace. Pe măsură ce țările își reduc sau își elimină treptat activitățile legate de combustibilii fosili, țările bogate ar trebui să ofere sprijin țărilor sărace a căror adaptare la tranziție este mai dificilă, pe baza dreptului la dezvoltare al celor mai sărace țări și a drepturilor sociale și economice ale membrilor populației lor care depind de sistemele energetice;</w:t>
      </w:r>
    </w:p>
    <w:p w:rsidR="00DB7E5A" w:rsidRPr="00472687" w:rsidRDefault="0052083E" w:rsidP="00472687">
      <w:pPr>
        <w:pStyle w:val="JuQuot"/>
      </w:pPr>
      <w:r>
        <w:t>[...]</w:t>
      </w:r>
    </w:p>
    <w:p w:rsidR="00DB7E5A" w:rsidRPr="00472687" w:rsidRDefault="0052083E" w:rsidP="00472687">
      <w:pPr>
        <w:pStyle w:val="JuQuot"/>
      </w:pPr>
      <w:r>
        <w:t>g) Statele ar trebui să coopereze în cadrul regimului internațional în domeniul climei și prin intermediul comunității internaționale pentru apărarea drepturilor omului, inclusiv prin OIM, pentru a asigura accesul la justiție în contextul schimbărilor climatice, în ceea ce privește:</w:t>
      </w:r>
    </w:p>
    <w:p w:rsidR="00DB7E5A" w:rsidRPr="00472687" w:rsidRDefault="0052083E" w:rsidP="00472687">
      <w:pPr>
        <w:pStyle w:val="JuQuot"/>
        <w:ind w:left="709"/>
      </w:pPr>
      <w:r>
        <w:t>i) compensarea pierderilor și a prejudiciilor cauzate de inegalitățile pe care le perpetuează schimbările climatice, inclusiv acordând acestui aspect același nivel de prioritate ca și atenuării și adaptării, precum și prin acordarea unui sprijin financiar suficient țărilor și populațiilor afectate;</w:t>
      </w:r>
    </w:p>
    <w:p w:rsidR="00DB7E5A" w:rsidRPr="00472687" w:rsidRDefault="0052083E" w:rsidP="00472687">
      <w:pPr>
        <w:pStyle w:val="JuQuot"/>
        <w:ind w:left="709"/>
      </w:pPr>
      <w:r>
        <w:t>ii) garantarea exercitării drepturilor omului, astfel cum sunt consacrate în dreptul internațional, de către popoarele indigene și comunitățile locale care sunt afectate de proiecte legate de schimbările climatice, inclusiv prin protejarea apărătorilor mediului împotriva urmăririi penale;</w:t>
      </w:r>
    </w:p>
    <w:p w:rsidR="00DB7E5A" w:rsidRPr="00472687" w:rsidRDefault="0052083E" w:rsidP="00472687">
      <w:pPr>
        <w:pStyle w:val="JuQuot"/>
        <w:ind w:left="709"/>
      </w:pPr>
      <w:r>
        <w:t>iii) elaborarea și punerea în aplicare a unor planuri concrete, de la nivel mondial la nivel local, pentru a asigura o tranziție echitabilă către economii durabile, în care dreptul la muncă decentă este garantat pentru toți;</w:t>
      </w:r>
    </w:p>
    <w:p w:rsidR="00DB7E5A" w:rsidRPr="00472687" w:rsidRDefault="0052083E" w:rsidP="00472687">
      <w:pPr>
        <w:pStyle w:val="JuQuot"/>
        <w:ind w:left="709"/>
      </w:pPr>
      <w:r>
        <w:t>iv) cooperarea pentru a-și îndeplini obligațiile internaționale în materia drepturilor omului ale grupurilor marginalizate care sunt afectate în mod deosebit de schimbările climatice, inclusiv popoarele indigene, persoanele în vârstă, copiii, persoanele cu handicap, persoanele care trăiesc în sărăcie și femeile. ”</w:t>
      </w:r>
    </w:p>
    <w:p w:rsidR="00DB7E5A" w:rsidRPr="00472687" w:rsidRDefault="0052083E" w:rsidP="00472687">
      <w:pPr>
        <w:pStyle w:val="JuHi"/>
        <w:numPr>
          <w:ilvl w:val="5"/>
          <w:numId w:val="28"/>
        </w:numPr>
        <w:tabs>
          <w:tab w:val="clear" w:pos="1077"/>
          <w:tab w:val="clear" w:pos="1134"/>
          <w:tab w:val="clear" w:pos="1191"/>
          <w:tab w:val="clear" w:pos="1247"/>
        </w:tabs>
        <w:ind w:left="1276" w:hanging="425"/>
      </w:pPr>
      <w:bookmarkStart w:id="170" w:name="_Toc199273458"/>
      <w:r>
        <w:lastRenderedPageBreak/>
        <w:t>Experta independentă privind promovarea exercitării tuturor drepturilor omului de către persoanele în vârstă</w:t>
      </w:r>
      <w:bookmarkEnd w:id="170"/>
    </w:p>
    <w:p w:rsidR="00DB7E5A" w:rsidRPr="00472687" w:rsidRDefault="00C71855" w:rsidP="00472687">
      <w:pPr>
        <w:pStyle w:val="JuPara"/>
      </w:pPr>
      <w:fldSimple w:instr=" SEQ level0 \*arabic \* MERGEFORMAT ">
        <w:r w:rsidR="00472687" w:rsidRPr="00472687">
          <w:t>169</w:t>
        </w:r>
      </w:fldSimple>
      <w:r w:rsidR="00B71F73">
        <w:t>. În raportul său din 2019 (A/HRC/42/43), Experta independentă menționează următoarele consecințe negative ale schimbărilor climatice asupra persoanelor în vârstă:</w:t>
      </w:r>
    </w:p>
    <w:p w:rsidR="00DB7E5A" w:rsidRPr="00472687" w:rsidRDefault="0052083E" w:rsidP="00472687">
      <w:pPr>
        <w:pStyle w:val="JuQuot"/>
      </w:pPr>
      <w:r>
        <w:t>„101. Experta independentă își reiterează convingerea că lipsa unui instrument juridic internațional cuprinzător și integrat, menit să asigure promovarea și protecția drepturilor și demnității persoanelor în vârstă, are consecințe practice importante pentru aceste persoane, în special în situațiile de urgență. Aceasta subliniază, în special, că instrumentele actuale nu abordează în mod specific problemele legate de îmbătrânire sau nu le conferă suficientă vizibilitate, ceea ce împiedică persoanele în vârstă să își exercite pe deplin drepturile fundamentale, în special în situațiile de urgență. ”</w:t>
      </w:r>
    </w:p>
    <w:p w:rsidR="00DB7E5A" w:rsidRPr="00472687" w:rsidRDefault="00C71855" w:rsidP="00472687">
      <w:pPr>
        <w:pStyle w:val="JuPara"/>
      </w:pPr>
      <w:fldSimple w:instr=" SEQ level0 \*arabic \* MERGEFORMAT ">
        <w:r w:rsidR="00472687" w:rsidRPr="00472687">
          <w:t>170</w:t>
        </w:r>
      </w:fldSimple>
      <w:r w:rsidR="00B71F73">
        <w:t>. În raportul său din 2021, intitulat „Human rights of older women: the intersection between ageing and gender” (Drepturile fundamentale ale femeilor în vârstă: intersecția dintre îmbătrânire și gen) (A/76/157), Experta independentă a adăugat că „în situațiile de urgență cauzate de efectele schimbărilor climatice [...] femeile în vârstă pot fi percepute ca fiind o povară și, prin urmare, pot fi expuse abuzurilor și neglijenței [...] Cu toate acestea, riscurile pe care le implică situațiile de urgență pentru femeile în vârstă și efectele acestor situații asupra lor sunt, în general, invizibile. ”</w:t>
      </w:r>
    </w:p>
    <w:p w:rsidR="00DB7E5A" w:rsidRPr="00472687" w:rsidRDefault="0052083E" w:rsidP="00472687">
      <w:pPr>
        <w:pStyle w:val="JuH1"/>
        <w:numPr>
          <w:ilvl w:val="3"/>
          <w:numId w:val="28"/>
        </w:numPr>
      </w:pPr>
      <w:bookmarkStart w:id="171" w:name="_Toc199273459"/>
      <w:r>
        <w:t>Comitetul Drepturilor Omului</w:t>
      </w:r>
      <w:bookmarkEnd w:id="171"/>
    </w:p>
    <w:p w:rsidR="00DB7E5A" w:rsidRPr="00472687" w:rsidRDefault="00C71855" w:rsidP="00472687">
      <w:pPr>
        <w:pStyle w:val="JuPara"/>
      </w:pPr>
      <w:fldSimple w:instr=" SEQ level0 \*arabic \* MERGEFORMAT ">
        <w:r w:rsidR="00472687" w:rsidRPr="00472687">
          <w:t>171</w:t>
        </w:r>
      </w:fldSimple>
      <w:r w:rsidR="00B71F73">
        <w:t>. În Pactul internațional cu privire la drepturile civile și politice („PIDCP”)</w:t>
      </w:r>
      <w:r w:rsidR="0052083E">
        <w:rPr>
          <w:rStyle w:val="FootnoteReference"/>
        </w:rPr>
        <w:footnoteReference w:id="108"/>
      </w:r>
      <w:r w:rsidR="00B71F73">
        <w:t xml:space="preserve"> nu există nicio dispoziție care menționează în mod expres protecția mediului. Cu toate acestea, Comitetul Drepturilor Omului („CDO”) deduce din dreptul la viață (articolul 6) și din dreptul la respectarea vieții private și de familie (articolul 17) existența unor obligații specifice legate de protecția mediului.</w:t>
      </w:r>
    </w:p>
    <w:p w:rsidR="00DB7E5A" w:rsidRPr="00472687" w:rsidRDefault="00C71855" w:rsidP="00472687">
      <w:pPr>
        <w:pStyle w:val="JuPara"/>
      </w:pPr>
      <w:fldSimple w:instr=" SEQ level0 \*arabic \* MERGEFORMAT ">
        <w:r w:rsidR="00472687" w:rsidRPr="00472687">
          <w:t>172</w:t>
        </w:r>
      </w:fldSimple>
      <w:r w:rsidR="00B71F73">
        <w:t>. În Comentariul general nr. 36 privind dreptul la viață, adoptat în 2019</w:t>
      </w:r>
      <w:r w:rsidR="0052083E">
        <w:rPr>
          <w:rStyle w:val="FootnoteReference"/>
        </w:rPr>
        <w:footnoteReference w:id="109"/>
      </w:r>
      <w:r w:rsidR="00B71F73">
        <w:t>, CDO a reamintit că există o legătură între protecția mediului și obligația de a proteja viața (legătură stabilită deja de CDO într-o comunicare din 2001):</w:t>
      </w:r>
    </w:p>
    <w:p w:rsidR="00DB7E5A" w:rsidRPr="00472687" w:rsidRDefault="0052083E" w:rsidP="00472687">
      <w:pPr>
        <w:pStyle w:val="JuQuot"/>
      </w:pPr>
      <w:r>
        <w:t>„26. Obligația de a proteja viața implică, de asemenea, faptul că statele părți ar trebui să ia măsuri adecvate pentru a îmbunătăți acele condiții din societate care ar putea crea amenințări directe la adresa vieții sau ar putea împiedica oamenii să își exercite dreptul la o viață demnă. Aceste condiții pot include [...] degradarea mediului [...] ”</w:t>
      </w:r>
    </w:p>
    <w:bookmarkStart w:id="172" w:name="paragraph00173"/>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173</w:t>
      </w:r>
      <w:r w:rsidRPr="00472687">
        <w:fldChar w:fldCharType="end"/>
      </w:r>
      <w:bookmarkEnd w:id="172"/>
      <w:r>
        <w:t xml:space="preserve">. Făcând referire la instrumente internaționale precum Acordul de la Paris, CDO a furnizat următoarele clarificări cu privire la legătura dintre </w:t>
      </w:r>
      <w:r>
        <w:lastRenderedPageBreak/>
        <w:t>obligațiile statelor referitoare la dreptul la viață și cele legate de conservarea mediului (notă de subsol omisă):</w:t>
      </w:r>
    </w:p>
    <w:p w:rsidR="00DB7E5A" w:rsidRPr="00472687" w:rsidRDefault="0052083E" w:rsidP="00472687">
      <w:pPr>
        <w:pStyle w:val="JuQuot"/>
      </w:pPr>
      <w:r>
        <w:t>„62. Degradarea mediului, schimbările climatice și dezvoltarea lipsită de sustenabilitate se numără printre cele mai urgente și grave amenințări la adresa capacității generațiilor prezente și viitoare de a-și exercita dreptul la viață. Prin urmare, ar trebui ca obligațiile ce revin statelor părți în temeiul dreptului internațional al mediului să se regăsească în conținutul articolului 6 din Pact, iar obligația statelor părți de a respecta și de a garanta dreptul la viață ar trebui să stea la baza obligațiilor relevante care le revin acestora în temeiul dreptului internațional al mediului. Punerea în aplicare a obligației de a respecta și de a garanta dreptul la viață, în special dreptul la o viață demnă, depinde, printre altele, de măsurile luate de statele părți pentru a conserva mediul și pentru a-l proteja împotriva daunelor, poluării și schimbărilor climatice care rezultă din activitățile actorilor publici și privați. Prin urmare, statele părți ar trebui să asigure o utilizare durabilă a resurselor naturale, să elaboreze standarde materiale de mediu și să asigure aplicarea lor, să efectueze evaluări ale impactului asupra mediului și să se consulte cu statele în cauză cu privire la activitățile care ar putea avea consecințe semnificative asupra mediului, să notifice alte state interesate cu privire la dezastrele naturale și situațiile de urgență și să coopereze cu acestea, să asigure un acces adecvat la informații privind riscurile de mediu și să țină seama în mod corespunzător de principiul precauției. ”</w:t>
      </w:r>
    </w:p>
    <w:p w:rsidR="00DB7E5A" w:rsidRPr="00472687" w:rsidRDefault="00C71855" w:rsidP="00472687">
      <w:pPr>
        <w:pStyle w:val="JuPara"/>
      </w:pPr>
      <w:fldSimple w:instr=" SEQ level0 \*arabic \* MERGEFORMAT ">
        <w:r w:rsidR="00472687" w:rsidRPr="00472687">
          <w:t>174</w:t>
        </w:r>
      </w:fldSimple>
      <w:r w:rsidR="00B71F73">
        <w:t xml:space="preserve">. În cauza </w:t>
      </w:r>
      <w:r w:rsidR="00B71F73">
        <w:rPr>
          <w:i/>
        </w:rPr>
        <w:t>Portillo Cáceres împotriva Paraguayului</w:t>
      </w:r>
      <w:r w:rsidR="0052083E">
        <w:rPr>
          <w:rStyle w:val="FootnoteReference"/>
        </w:rPr>
        <w:footnoteReference w:id="110"/>
      </w:r>
      <w:r w:rsidR="00B71F73">
        <w:t>, CDO a declarat următoarele:</w:t>
      </w:r>
    </w:p>
    <w:p w:rsidR="00DB7E5A" w:rsidRPr="00472687" w:rsidRDefault="0052083E" w:rsidP="00472687">
      <w:pPr>
        <w:pStyle w:val="JuQuot"/>
      </w:pPr>
      <w:r>
        <w:t>„6.3 Comitetul ia notă de argumentele statului parte cu privire la inadmisibilitatea ratione materiae a comunicării, potrivit cărora drepturile de mediu nu sunt prevăzute de Pact. Cu toate acestea, Comitetul ia notă de argumentul autorilor conform căruia aceștia nu invocă o încălcare a dreptului la un mediu sănătos, ci o încălcare a drepturilor lor la viață, la integritate fizică, la respectarea vieții private și de familie și la o cale de atac efectivă, întrucât statul parte nu și-a îndeplinit obligația pozitivă de a proteja aceste drepturi, ceea ce, în situația lor particulară, presupunea controlul respectării standardelor de mediu. Prin urmare, Comitetul apreciază că articolul 3 din Protocolul opțional nu constituie un obstacol în calea admisibilității comunicării.</w:t>
      </w:r>
    </w:p>
    <w:p w:rsidR="00DB7E5A" w:rsidRPr="00472687" w:rsidRDefault="0052083E" w:rsidP="00472687">
      <w:pPr>
        <w:pStyle w:val="JuQuot"/>
      </w:pPr>
      <w:r>
        <w:t>[...]</w:t>
      </w:r>
    </w:p>
    <w:p w:rsidR="00DB7E5A" w:rsidRPr="00472687" w:rsidRDefault="0052083E" w:rsidP="00472687">
      <w:pPr>
        <w:pStyle w:val="JuQuot"/>
      </w:pPr>
      <w:r>
        <w:t>7.4 Comitetul remarcă, de asemenea, evoluțiile în materie din cadrul altor instanțe internaționale, care au recunoscut că există o legătură incontestabilă între protecția mediului și realizarea drepturilor omului și că degradarea mediului are consecințe asupra exercitării efective a dreptului la viață. Într-adevăr, s-a constatat deja că o degradare gravă a mediului constituie o încălcare a dreptului la viață.</w:t>
      </w:r>
    </w:p>
    <w:p w:rsidR="00DB7E5A" w:rsidRPr="00472687" w:rsidRDefault="0052083E" w:rsidP="00472687">
      <w:pPr>
        <w:pStyle w:val="JuQuot"/>
      </w:pPr>
      <w:r>
        <w:t xml:space="preserve">7.5 În prezenta cauză, Comitetul consideră că fumigațiile masive cu produse toxice de uz fitosanitar, care au fost raportate frecvent în zona în discuție, constituie o amenințare la adresa vieții autorilor, pe care statul parte o putea prevedea în mod rezonabil, având în vedere că aceste fumigații masive au contaminat râurile în care pescuiesc autorii, fântânile din care aceștia beau apă și pomii fructiferi, culturile și animalele cu care aceștia se hrănesc [...] În consecință, având în vedere intoxicația acută suferită de autori, a cărei realitate a fost recunoscută prin decizia din 2011 pronunțată în cadrul recursului amparo [...], și decesul domnului Portillo Cáceres, cu privire la care statul parte nu a oferit nicio explicație, Comitetul concluzionează că faptele cu care a </w:t>
      </w:r>
      <w:r>
        <w:lastRenderedPageBreak/>
        <w:t>fost sesizat relevă o încălcare a articolului 6 din Pact, în detrimentul domnului Portillo Cáceres și al autorilor comunicării.</w:t>
      </w:r>
    </w:p>
    <w:p w:rsidR="00DB7E5A" w:rsidRPr="00472687" w:rsidRDefault="0052083E" w:rsidP="00472687">
      <w:pPr>
        <w:pStyle w:val="JuQuot"/>
      </w:pPr>
      <w:r>
        <w:t>[...]</w:t>
      </w:r>
    </w:p>
    <w:p w:rsidR="00DB7E5A" w:rsidRPr="00472687" w:rsidRDefault="0052083E" w:rsidP="00472687">
      <w:pPr>
        <w:pStyle w:val="JuQuot"/>
      </w:pPr>
      <w:r>
        <w:t>7.8 [...] În cazul în care poluarea are consecințe directe asupra dreptului la respectarea vieții private și de familie, precum și a domiciliului, iar consecințele negative ale poluării au un anumit grad de gravitate, ținând seama de intensitatea sau de durata poluării și de efectele fizice sau psihologice ale acesteia, degradarea mediului poate să afecteze bunăstarea oamenilor și poate duce la încălcarea dreptului la respectarea vieții private și de familie și a domiciliului. Comitetul constată că aceste elemente sunt prezente în speță. În consecință, având în vedere faptele cu care este sesizat, Comitetul concluzionează că faptele din prezenta cauză relevă o încălcare a articolului 17 din Pact. ”</w:t>
      </w:r>
    </w:p>
    <w:p w:rsidR="00DB7E5A" w:rsidRPr="00472687" w:rsidRDefault="00C71855" w:rsidP="00472687">
      <w:pPr>
        <w:pStyle w:val="JuPara"/>
      </w:pPr>
      <w:fldSimple w:instr=" SEQ level0 \*arabic \* MERGEFORMAT ">
        <w:r w:rsidR="00472687" w:rsidRPr="00472687">
          <w:t>175</w:t>
        </w:r>
      </w:fldSimple>
      <w:r w:rsidR="00B71F73">
        <w:t xml:space="preserve">. În cauza </w:t>
      </w:r>
      <w:r w:rsidR="00B71F73">
        <w:rPr>
          <w:i/>
        </w:rPr>
        <w:t>Teitiota împotriva Noii Zeelande</w:t>
      </w:r>
      <w:r w:rsidR="0052083E">
        <w:rPr>
          <w:rStyle w:val="FootnoteReference"/>
        </w:rPr>
        <w:footnoteReference w:id="111"/>
      </w:r>
      <w:r w:rsidR="00B71F73">
        <w:t>, CDO s-a pronunțat după cum urmează:</w:t>
      </w:r>
    </w:p>
    <w:p w:rsidR="00DB7E5A" w:rsidRPr="00472687" w:rsidRDefault="0052083E" w:rsidP="00472687">
      <w:pPr>
        <w:pStyle w:val="JuQuot"/>
      </w:pPr>
      <w:r>
        <w:t>„9.4 Comitetul reamintește că dreptul la viață nu poate fi înțeles corect dacă este interpretat în mod restrictiv și că protecția acestuia impune statelor părți adoptarea de măsuri pozitive. Acesta reamintește, de asemenea, Comentariul general nr. 36 (2018) privind dreptul la viață, în care se afirmă că dreptul la viață include și dreptul oamenilor la o viață demnă și de a nu fi victime ale unor acte sau omisiuni ce ar putea cauza decesul lor nenatural sau prematur (pct. 3). De asemenea, reamintește că obligația statelor părți de a respecta și de a garanta dreptul la viață se aplică, de asemenea, în cazul amenințărilor și al altor situații previzibile în mod rezonabil în care este pusă în pericol viața unei persoane și că poate exista o încălcare a articolului 6 de către statele părți, chiar dacă astfel de amenințări sau situații nu cauzează efectiv decesul unei persoane. În plus, Comitetul reamintește că degradarea mediului, schimbările climatice și dezvoltarea nesustenabilă se numără printre cele mai urgente și grave amenințări la adresa capacității generațiilor prezente și viitoare de a-și exercita dreptul la viață.</w:t>
      </w:r>
    </w:p>
    <w:p w:rsidR="00DB7E5A" w:rsidRPr="00472687" w:rsidRDefault="0052083E" w:rsidP="00472687">
      <w:pPr>
        <w:pStyle w:val="JuQuot"/>
      </w:pPr>
      <w:r>
        <w:t>9.5 Comitetul observă, de asemenea, că atât acesta, cât și unele instanțe regionale pentru drepturile omului, au stabilit că degradarea mediului poate submina exercitarea efectivă a dreptului la viață și că degradarea gravă a mediului poate avea consecințe asupra bunăstării oamenilor și poate duce la încălcarea dreptului la viață.</w:t>
      </w:r>
    </w:p>
    <w:p w:rsidR="00DB7E5A" w:rsidRPr="00472687" w:rsidRDefault="0052083E" w:rsidP="00472687">
      <w:pPr>
        <w:pStyle w:val="JuQuot"/>
      </w:pPr>
      <w:r>
        <w:t>[...]</w:t>
      </w:r>
    </w:p>
    <w:p w:rsidR="00DB7E5A" w:rsidRPr="00472687" w:rsidRDefault="0052083E" w:rsidP="00472687">
      <w:pPr>
        <w:pStyle w:val="JuQuot"/>
      </w:pPr>
      <w:r>
        <w:t>9.7 [În ceea ce privește plângerea autorului referitoare la existența unui risc de violențe în contextul litigiilor funciare, Comitetul subliniază] că o situație generală de violență este suficient de gravă pentru a da naștere unui risc real de producere a unui prejudiciu ireparabil, în sensul articolelor 6 sau 7 din Pact, doar în cele mai extreme cazuri, atunci când simplul fapt că o persoană ar fi expusă unei astfel de violențe în cazul returnării sale (în țara de origine) ar reprezenta pentru aceasta un risc real de a suferi un prejudiciu sau atunci când persoana în cauză se află într-o situație deosebit de vulnerabilă [...] [Autorul] nu a demonstrat că autoritățile naționale au procedat la o apreciere arbitrară sau vădit eronată a aspectului dacă acesta ar fi expus unui risc real, personal și previzibil în mod rezonabil de a suferi o încălcare a dreptului său la viață ca urmare a violențelor comise în Kiribati din cauza supraaglomerării sau a litigiilor funciare.</w:t>
      </w:r>
    </w:p>
    <w:p w:rsidR="00DB7E5A" w:rsidRPr="00472687" w:rsidRDefault="0052083E" w:rsidP="00472687">
      <w:pPr>
        <w:pStyle w:val="JuQuot"/>
      </w:pPr>
      <w:r>
        <w:lastRenderedPageBreak/>
        <w:t>9.8 [...] Deși este conștient de posibilele dificultăți care ar putea fi cauzate de raționalizarea apei, Comitetul constată că informațiile furnizate de autor nu sunt suficiente pentru a demonstra că apa potabilă disponibilă este atât de inaccesibilă, insuficientă sau insalubră încât sănătatea autorului este expusă unei amenințări previzibile în mod rezonabil, de natură să aducă atingere dreptului acestuia la o viață demnă sau să îi cauzeze decesul prematur sau nenatural.</w:t>
      </w:r>
    </w:p>
    <w:p w:rsidR="00DB7E5A" w:rsidRPr="00472687" w:rsidRDefault="0052083E" w:rsidP="00472687">
      <w:pPr>
        <w:pStyle w:val="JuQuot"/>
      </w:pPr>
      <w:r>
        <w:t>9.9 [...] Comitetul este conștient de faptul că, în unele locuri, lipsa unor mijloace alternative de subzistență îi poate pune pe oameni într-o situație de vulnerabilitate sporită în fața efectelor nefaste ale schimbărilor climatice [...] Informațiile aduse în atenția sa nu demonstrează că, la momentul returnării sale, autorul era expus unui risc real și previzibil în mod rezonabil de a trăi în sărăcie, de a fi privat de hrană sau de a se afla într-o situație de precaritate extremă, de natură să îi afecteze dreptul la viață, inclusiv dreptul la o viață demnă [...]</w:t>
      </w:r>
    </w:p>
    <w:p w:rsidR="00C014F0" w:rsidRPr="00472687" w:rsidRDefault="0052083E" w:rsidP="00472687">
      <w:pPr>
        <w:pStyle w:val="JuQuot"/>
      </w:pPr>
      <w:r>
        <w:t>9.11 [...] Comitetul consideră că, dacă nu sunt adoptate măsuri ferme la nivel național și internațional, efectele schimbărilor climatice din țările de destinație îi pot expune pe solicitanții de azil la o încălcare a drepturilor acestora garantate de articolele 6 sau 7 din Pact, ceea ce ar obliga statele care intenționează să procedeze la returnarea lor să aplice principiul nereturnării. În plus, riscul ca o țară întreagă să dispară sub apă constituie un risc atât de grav încât condițiile de viață din țara în cauză ar putea deveni incompatibile cu dreptul la o viață demnă chiar înainte de producerea catastrofei.</w:t>
      </w:r>
    </w:p>
    <w:p w:rsidR="00DB7E5A" w:rsidRPr="00472687" w:rsidRDefault="0052083E" w:rsidP="00472687">
      <w:pPr>
        <w:pStyle w:val="JuQuot"/>
      </w:pPr>
      <w:r>
        <w:t>9.12 În speță, Comitetul admite argumentul autorului potrivit căruia este probabil ca, din cauza creșterii nivelului mării, Kiribati să devină nelocuibilă. Cu toate acestea, Comitetul observă că perioada de 10-15 ani menționată de autor ar putea permite intervenția guvernului, cu sprijinul comunității internaționale, prin adoptarea unor măsuri concrete de protejare a populației și, dacă este necesar, de relocare a acesteia. Comitetul subliniază că autoritățile statului parte au examinat cu atenție acest aspect și au constatat că Kiribati lua măsuri de adaptare pentru a reduce vulnerabilitățile existente și pentru a consolida reziliența în fața daunelor provocate de schimbările climatice. Pe baza informațiilor de care dispune, Comitetul nu poate concluziona că, atunci când au considerat că măsurile luate de Kiribati ar fi suficiente pentru a proteja dreptul la viață al autorului, garantat de articolul 6 din Pact, autoritățile naționale au efectuat o apreciere arbitrară, vădit eronată sau care constituia o denegare de dreptate. ”</w:t>
      </w:r>
    </w:p>
    <w:bookmarkStart w:id="175" w:name="paragraph00176"/>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176</w:t>
      </w:r>
      <w:r w:rsidRPr="00472687">
        <w:fldChar w:fldCharType="end"/>
      </w:r>
      <w:bookmarkEnd w:id="175"/>
      <w:r>
        <w:t>. În opiniile adoptate la 21 iulie 2022 cu privire la Comunicarea nr. 3624/2019 [</w:t>
      </w:r>
      <w:r>
        <w:rPr>
          <w:i/>
        </w:rPr>
        <w:t>Daniel Billy și alții împotriva Australiei</w:t>
      </w:r>
      <w:r>
        <w:t>, cauza „Torres Strait Islanders” (locuitorii insulelor din Strâmtoarea Torres)], deși a constatat neîncălcarea articolului 6 în această cauză, CDO a considerat că efectele negative ale schimbărilor climatice puteau fi considerate o amenințare la adresa vieții care putea fi prevăzută în mod rezonabil. Acesta a declarat următoarele (traducerea grefei):</w:t>
      </w:r>
    </w:p>
    <w:p w:rsidR="00DB7E5A" w:rsidRPr="00472687" w:rsidRDefault="0052083E" w:rsidP="00472687">
      <w:pPr>
        <w:pStyle w:val="JuQuot"/>
      </w:pPr>
      <w:r>
        <w:t>„Articolul 6</w:t>
      </w:r>
    </w:p>
    <w:p w:rsidR="00DB7E5A" w:rsidRPr="00472687" w:rsidRDefault="0052083E" w:rsidP="00472687">
      <w:pPr>
        <w:pStyle w:val="JuQuot"/>
      </w:pPr>
      <w:r>
        <w:t xml:space="preserve">8.3 Comitetul ia notă de susținerea autorilor potrivit căreia faptele cauzei constituie o încălcare, prin acțiuni și omisiuni, a dreptului lor la o viață demnă, prevăzut de articolul 6 din Pact[ul internațional cu privire la drepturile civile și politice], ca urmare a nerespectării de către statul parte a obligației sale de a lua măsuri de adaptare și atenuare pentru a face față efectelor schimbărilor climatice, care au repercusiuni negative asupra vieții lor, în special asupra modului lor de viață. În ceea ce privește poziția statului parte, potrivit căreia articolul 6 alineatul 1 din Pact nu impune statului parte obligația de a preveni pierderile previzibile de vieți omenești cauzate de schimbările climatice, </w:t>
      </w:r>
      <w:r>
        <w:lastRenderedPageBreak/>
        <w:t>Comitetul reamintește că dreptul la viață nu poate fi înțeles corect dacă este interpretat în mod restrictiv și că protecția acestuia impune statelor părți adoptarea de măsuri pozitive.</w:t>
      </w:r>
      <w:r>
        <w:rPr>
          <w:rStyle w:val="FootnoteReference"/>
          <w:szCs w:val="20"/>
        </w:rPr>
        <w:footnoteReference w:id="112"/>
      </w:r>
      <w:r>
        <w:t xml:space="preserve"> Comitetul reamintește, de asemenea, Comentariul general nr. 36 (2018) privind dreptul la viață, în care acesta afirmă că dreptul la viață include și dreptul oamenilor la o viață demnă și de a nu fi victime ale unor acte sau omisiuni ce ar putea cauza decesul lor nenatural sau prematur (pct. 3).</w:t>
      </w:r>
      <w:r>
        <w:rPr>
          <w:rStyle w:val="FootnoteReference"/>
          <w:szCs w:val="20"/>
        </w:rPr>
        <w:footnoteReference w:id="113"/>
      </w:r>
      <w:r>
        <w:t xml:space="preserve"> Comitetul reamintește, de asemenea, că obligația statelor părți de a respecta și de a garanta dreptul la viață se aplică și în cazul amenințărilor și situațiilor care pun în pericol viața și care pot fi prevăzute în mod rezonabil.</w:t>
      </w:r>
      <w:r>
        <w:rPr>
          <w:rStyle w:val="FootnoteReference"/>
          <w:szCs w:val="20"/>
        </w:rPr>
        <w:footnoteReference w:id="114"/>
      </w:r>
      <w:r>
        <w:t xml:space="preserve"> Poate exista o încălcare a articolului 6 din Pact de către statele părți, chiar dacă o astfel de amenințare sau situație nu duce la pierderea de vieți omenești. Comitetul consideră că astfel de amenințări pot include efectele negative ale schimbărilor climatice și reamintește că degradarea mediului, schimbările climatice și dezvoltarea nesustenabilă se numără printre cele mai urgente și grave amenințări la adresa capacității generațiilor prezente și viitoare de a-și exercita dreptul la viață. Acesta reiterează faptul că statele părți ar trebui să ia toate măsurile adecvate pentru a îmbunătăți acele condiții din societate care ar putea crea amenințări directe la adresa vieții sau ar putea împiedica oamenii să își exercite dreptul la o viață demnă.</w:t>
      </w:r>
    </w:p>
    <w:p w:rsidR="00DB7E5A" w:rsidRPr="00472687" w:rsidRDefault="0052083E" w:rsidP="00472687">
      <w:pPr>
        <w:pStyle w:val="JuQuot"/>
      </w:pPr>
      <w:r>
        <w:t>8.4 Comitetul ia notă de poziția statului parte potrivit căreia extinderea articolului 6 punctul 1 din Pact la dreptul la o viață demnă, prin Comentariul general nr. 36, nu este susținută de regulile de interpretare a tratatelor, în special de articolul 31 din Convenția de la Viena din 1969 cu privire la dreptul tratatelor. Cu toate acestea, Comitetul apreciază că formularea în cauză este compatibilă cu această din urmă dispoziție, potrivit căreia un „tratat trebuie să fie interpretat cu bună-credință, potrivit sensului obișnuit ce urmează a fi atribuit termenilor tratatului în contextul lor și în lumina obiectului și scopului său”. În această privință, Comitetul subliniază că, în temeiul art. 31 din Convenția de la Viena, contextul în care se înscrie interpretarea unui tratat cuprinde, în primul rând, textul acestui tratat, inclusiv preambulul și anexele sale. Preambulul Pactului prevede, de la bun început, că recunoașterea demnității inerente tuturor membrilor familiei umane și a drepturilor lor egale și inalienabile constituie fundamentul libertății, dreptății și păcii în lume; de asemenea, recunoaște că aceste drepturi decurg din demnitatea inerentă persoanei umane. În timp ce statul parte observă că drepturile socio-economice sunt protejate printr-un Pact separat, Comitetul observă că preambulul Pactului [internațional cu privire la drepturile civile și politice] recunoaște că idealul ființei umane libere, eliberată de teamă și mizerie, nu poate fi realizat decât dacă se creează condiții care permit fiecărui om să se bucure de drepturile sale civile și politice, precum și de drepturile sale economice, sociale și culturale.</w:t>
      </w:r>
    </w:p>
    <w:p w:rsidR="00DB7E5A" w:rsidRPr="00472687" w:rsidRDefault="0052083E" w:rsidP="00472687">
      <w:pPr>
        <w:pStyle w:val="JuQuot"/>
      </w:pPr>
      <w:r>
        <w:t>8.5 Comitetul observă că atât acesta, cât și unele instanțe regionale pentru drepturile omului au stabilit că degradarea mediului poate submina exercitarea efectivă a dreptului la viață și că degradarea gravă a mediului poate avea consecințe asupra bunăstării oamenilor și poate duce la încălcarea dreptului la viață. ”</w:t>
      </w:r>
    </w:p>
    <w:p w:rsidR="00DB7E5A" w:rsidRPr="00472687" w:rsidRDefault="0052083E" w:rsidP="00472687">
      <w:pPr>
        <w:pStyle w:val="JuH1"/>
        <w:numPr>
          <w:ilvl w:val="3"/>
          <w:numId w:val="28"/>
        </w:numPr>
      </w:pPr>
      <w:bookmarkStart w:id="176" w:name="_Toc199273460"/>
      <w:r>
        <w:lastRenderedPageBreak/>
        <w:t>Comitetul pentru eliminarea discriminării împotriva femeilor</w:t>
      </w:r>
      <w:bookmarkEnd w:id="176"/>
    </w:p>
    <w:p w:rsidR="00DB7E5A" w:rsidRPr="00472687" w:rsidRDefault="00C71855" w:rsidP="00472687">
      <w:pPr>
        <w:pStyle w:val="JuPara"/>
      </w:pPr>
      <w:fldSimple w:instr=" SEQ level0 \*arabic \* MERGEFORMAT ">
        <w:r w:rsidR="00472687" w:rsidRPr="00472687">
          <w:t>177</w:t>
        </w:r>
      </w:fldSimple>
      <w:r w:rsidR="00B71F73">
        <w:t>. Convenția asupra eliminării tuturor formelor de discriminare față de femei nu menționează în mod expres drepturile de mediu. Cu toate acestea, în Recomandarea generală nr. 37 (2018) privind aspectele de gen ale reducerii riscurilor de dezastre în contextul schimbărilor climatice, publicată în 2018</w:t>
      </w:r>
      <w:r w:rsidR="0052083E">
        <w:rPr>
          <w:rStyle w:val="FootnoteReference"/>
        </w:rPr>
        <w:footnoteReference w:id="115"/>
      </w:r>
      <w:r w:rsidR="0052083E" w:rsidRPr="00472687">
        <w:rPr>
          <w:rStyle w:val="FootnoteReference"/>
          <w:vertAlign w:val="baseline"/>
        </w:rPr>
        <w:t>,</w:t>
      </w:r>
      <w:r w:rsidR="00B71F73">
        <w:rPr>
          <w:rStyle w:val="FootnoteReference"/>
          <w:vertAlign w:val="baseline"/>
        </w:rPr>
        <w:t>,</w:t>
      </w:r>
      <w:r w:rsidR="00B71F73">
        <w:t>, Comitetul a identificat principiile generale (pct. 25-38) și principiile specifice (pct. 39-54) din această Convenție care se aplică reducerii riscului de dezastre și adaptării la schimbările climatice.</w:t>
      </w:r>
    </w:p>
    <w:p w:rsidR="00DB7E5A" w:rsidRPr="00472687" w:rsidRDefault="0052083E" w:rsidP="00472687">
      <w:pPr>
        <w:pStyle w:val="JuH1"/>
      </w:pPr>
      <w:bookmarkStart w:id="179" w:name="_Toc199273461"/>
      <w:r>
        <w:t>Comitetul pentru drepturile copilului</w:t>
      </w:r>
      <w:bookmarkEnd w:id="179"/>
    </w:p>
    <w:p w:rsidR="00DB7E5A" w:rsidRPr="00472687" w:rsidRDefault="00C71855" w:rsidP="00472687">
      <w:pPr>
        <w:pStyle w:val="JuPara"/>
      </w:pPr>
      <w:fldSimple w:instr=" SEQ level0 \*arabic \* MERGEFORMAT ">
        <w:r w:rsidR="00472687" w:rsidRPr="00472687">
          <w:t>178</w:t>
        </w:r>
      </w:fldSimple>
      <w:r w:rsidR="00B71F73">
        <w:t>. Comitetul pentru drepturile copilului (Committee on the Rights of the Child, „CRC”) a abordat problema consecințelor schimbărilor climatice asupra copiilor în Comentariul general nr. 26 privind drepturile copiilor și mediul, cu accent special pe schimbările climatice.</w:t>
      </w:r>
      <w:r w:rsidR="0052083E">
        <w:rPr>
          <w:rStyle w:val="FootnoteReference"/>
        </w:rPr>
        <w:footnoteReference w:id="116"/>
      </w:r>
    </w:p>
    <w:p w:rsidR="00DB7E5A" w:rsidRPr="00472687" w:rsidRDefault="00C71855" w:rsidP="00472687">
      <w:pPr>
        <w:pStyle w:val="JuPara"/>
      </w:pPr>
      <w:fldSimple w:instr=" SEQ level0 \*arabic \* MERGEFORMAT ">
        <w:r w:rsidR="00472687" w:rsidRPr="00472687">
          <w:t>179</w:t>
        </w:r>
      </w:fldSimple>
      <w:r w:rsidR="00B71F73">
        <w:t xml:space="preserve">. În cauza </w:t>
      </w:r>
      <w:r w:rsidR="00B71F73">
        <w:rPr>
          <w:i/>
        </w:rPr>
        <w:t>Sacchi și alții împotriva Argentinei</w:t>
      </w:r>
      <w:r w:rsidR="00B71F73">
        <w:t xml:space="preserve"> (CRC/C/88/D/104/2019, 22 septembrie 2021), le CRC a examinat</w:t>
      </w:r>
      <w:r w:rsidR="0052083E">
        <w:rPr>
          <w:rStyle w:val="FootnoteReference"/>
        </w:rPr>
        <w:footnoteReference w:id="117"/>
      </w:r>
      <w:r w:rsidR="00B71F73">
        <w:t xml:space="preserve"> o plângere pe care i-au adresat-o 16 copii de diferite naționalități și care era îndreptată împotriva Argentinei (aceeași plângere a fost depusă și împotriva Braziliei, Franței, Germaniei și Turciei). Autorii acestei plângeri au susținut că sunt victime ale schimbărilor climatice și că statele pârâte sunt responsabile a) pentru neîndeplinirea obligației lor de a preveni încălcările previzibile ale drepturilor omului care pot fi cauzate de schimbările climatice, prin reducerea emisiilor lor în conformitate cu „cel mai ridicat nivel de ambiție posibilă” și b) pentru întârzierea reducerilor semnificative ale emisiilor de carbon, care erau necesare pentru a proteja viața și bunăstarea copiilor, atât pe teritoriul național, cât și în străinătate. Deși fusese stabilită jurisdicția statelor pârâte, CRC a declarat cauza inadmisibilă pentru neepuizarea căilor de atac interne. Pentru mai multe detalii, a se vedea </w:t>
      </w:r>
      <w:r w:rsidR="00B71F73">
        <w:rPr>
          <w:i/>
        </w:rPr>
        <w:t>Duarte Agostinho și alții împotriva Portugaliei și a altor 32 de state (dec.) [(MC), nr 39371/20, pct. 58-60, 9 aprilie 2024].</w:t>
      </w:r>
    </w:p>
    <w:p w:rsidR="00DB7E5A" w:rsidRPr="00472687" w:rsidRDefault="0052083E" w:rsidP="00472687">
      <w:pPr>
        <w:pStyle w:val="JuH1"/>
        <w:numPr>
          <w:ilvl w:val="3"/>
          <w:numId w:val="39"/>
        </w:numPr>
      </w:pPr>
      <w:bookmarkStart w:id="180" w:name="_Toc199273462"/>
      <w:r>
        <w:t>Comitetul pentru drepturile economice, sociale și culturale</w:t>
      </w:r>
      <w:bookmarkEnd w:id="180"/>
    </w:p>
    <w:p w:rsidR="00DB7E5A" w:rsidRPr="00472687" w:rsidRDefault="00C71855" w:rsidP="00472687">
      <w:pPr>
        <w:pStyle w:val="JuPara"/>
      </w:pPr>
      <w:fldSimple w:instr=" SEQ level0 \*arabic \* MERGEFORMAT ">
        <w:r w:rsidR="00472687" w:rsidRPr="00472687">
          <w:t>180</w:t>
        </w:r>
      </w:fldSimple>
      <w:r w:rsidR="00B71F73">
        <w:t>. În declarația sa din 8 octombrie 2018 privind schimbările climatice și Pactul</w:t>
      </w:r>
      <w:r w:rsidR="0052083E">
        <w:rPr>
          <w:rStyle w:val="FootnoteReference"/>
        </w:rPr>
        <w:footnoteReference w:id="118"/>
      </w:r>
      <w:r w:rsidR="00B71F73">
        <w:t>, Comitetul pentru drepturile economice, sociale și culturale a afirmat:</w:t>
      </w:r>
    </w:p>
    <w:p w:rsidR="00DB7E5A" w:rsidRPr="00472687" w:rsidRDefault="0052083E" w:rsidP="00472687">
      <w:pPr>
        <w:pStyle w:val="JuQuot"/>
      </w:pPr>
      <w:r>
        <w:lastRenderedPageBreak/>
        <w:t>„3. Comitetul salută angajamentele deja asumate. Cu toate acestea, independent de angajamentele voluntare asumate în cadrul regimului privind schimbările climatice, toate statele au obligații în materia drepturilor omului care ar trebui să le ghideze în elaborarea și punerea în aplicare a măsurilor de combatere a schimbărilor climatice.</w:t>
      </w:r>
    </w:p>
    <w:p w:rsidR="00DB7E5A" w:rsidRPr="00472687" w:rsidRDefault="0052083E" w:rsidP="00472687">
      <w:pPr>
        <w:pStyle w:val="JuQuot"/>
      </w:pPr>
      <w:r>
        <w:t>[...]</w:t>
      </w:r>
    </w:p>
    <w:p w:rsidR="00DB7E5A" w:rsidRPr="00472687" w:rsidRDefault="0052083E" w:rsidP="00472687">
      <w:pPr>
        <w:pStyle w:val="JuQuot"/>
      </w:pPr>
      <w:r>
        <w:t>5. În conformitate cu Pactul internațional cu privire la drepturile economice, sociale și culturale, statele sunt obligate să respecte, să protejeze și să pună în aplicare toate drepturile omului pentru toți. Această obligație a statelor nu se referă doar la propria populație, având și un caracter extrateritorial, în conformitate cu articolele 55 și 56 din Carta Națiunilor Unite. Pentru a o îndeplini, statele ar trebui să acționeze în conformitate cu Pactul, pe baza celor mai bune cunoștințe științifice disponibile.</w:t>
      </w:r>
    </w:p>
    <w:p w:rsidR="00C014F0" w:rsidRPr="00472687" w:rsidRDefault="0052083E" w:rsidP="00472687">
      <w:pPr>
        <w:pStyle w:val="JuQuot"/>
      </w:pPr>
      <w:r>
        <w:t>6. Comitetul a subliniat deja că statele și-ar încălca această obligație în cazul în care nu ar asigura prevenirea încălcărilor previzibile ale drepturilor omului cauzate de schimbările climatice sau mobilizarea maximului de resurse disponibile pentru a preveni astfel de încălcări.</w:t>
      </w:r>
    </w:p>
    <w:p w:rsidR="00DB7E5A" w:rsidRPr="00472687" w:rsidRDefault="0052083E" w:rsidP="00472687">
      <w:pPr>
        <w:pStyle w:val="JuQuot"/>
      </w:pPr>
      <w:r>
        <w:t>Contribuțiile stabilite la nivel național (CSN) care au fost anunțate până în prezent sunt insuficiente în comparație cu ceea ce oamenii de știință consideră necesar pentru a evita cele mai grave efecte ale schimbărilor climatice. Pentru a acționa în conformitate cu obligațiile lor în materia drepturilor omului, statele ar trebui să revizuiască aceste CSN-uri astfel încât să corespundă într-o măsură mai mare «celui mai ridicat nivel de ambiție posibilă» menționat în Acordul de la Paris [articolul 4 alineatul (3)]. În viitoarele orientări pentru punerea în aplicare a Acordului, ar trebui să li se impună statelor ca, la elaborarea CSN-urilor, să țină seama de obligațiile care le revin în materia drepturilor omului, de aspectele de gen și de principiile participării, transparenței și asumării responsabilității, valorificând cunoștințele locale și tradiționale.</w:t>
      </w:r>
    </w:p>
    <w:p w:rsidR="00C014F0" w:rsidRPr="00472687" w:rsidRDefault="0052083E" w:rsidP="00472687">
      <w:pPr>
        <w:pStyle w:val="JuQuot"/>
      </w:pPr>
      <w:r>
        <w:t>Statele părți ar trebui, de asemenea, să adopte măsuri de adaptare la efectele nefaste ale schimbărilor climatice și să integreze aceste măsuri în politicile lor sociale, de mediu și bugetare de la nivel național. În cele din urmă, în cadrul obligațiilor lor în materie de asistență și cooperare internațională în vederea realizării drepturilor omului, statele cu venituri mari ar trebui, de asemenea, să sprijine eforturile de adaptare, în special în țările în curs de dezvoltare, prin facilitarea transferului de tehnologii ecologice și prin contribuția la Fondul verde pentru climă. Acest lucru ar fi conform cu obligația statelor părți la Pact de a garanta «[dreptul fiecăruia] [...] de a beneficia de progresul științific» și cu recunoașterea de către Pact a «urmărilor binefăcătoare care trebuie să rezulte din încurajarea și dezvoltarea cooperării și contactelor internaționale în domeniul științei [...]»</w:t>
      </w:r>
    </w:p>
    <w:p w:rsidR="00DB7E5A" w:rsidRPr="00472687" w:rsidRDefault="0052083E" w:rsidP="00472687">
      <w:pPr>
        <w:pStyle w:val="JuQuot"/>
      </w:pPr>
      <w:r>
        <w:t>[...]</w:t>
      </w:r>
    </w:p>
    <w:p w:rsidR="00DB7E5A" w:rsidRPr="00472687" w:rsidRDefault="0052083E" w:rsidP="00472687">
      <w:pPr>
        <w:pStyle w:val="JuQuot"/>
      </w:pPr>
      <w:r>
        <w:t xml:space="preserve">8. [...] (...) Mecanismele pentru drepturile omului joacă un rol esențial în protecția drepturilor omului, asigurându-se că statele nu iau măsuri care pot accelera schimbările climatice și că acestea mobilizează cât mai multe resurse disponibile pentru a adopta măsuri care să permită atenuarea acestor schimbări, în special accelerarea tranziției către surse de energie regenerabilă, cum ar fi energia eoliană sau solară, încetinirea defrișărilor și optarea pentru agricultura ecologică, astfel încât solurile să poată juca rolul de absorbanți de carbon, îmbunătățirea izolării clădirilor și investirea în transportul public. Există o nevoie urgentă la nivel mondial de a înlocui hidrocarburile cu surse de </w:t>
      </w:r>
      <w:r>
        <w:lastRenderedPageBreak/>
        <w:t>energie regenerabilă, pentru a evita interferențele antropice periculoase cu sistemul climatic și încălcările grave ale drepturilor omului pe care le-ar cauza astfel de interferențe.</w:t>
      </w:r>
    </w:p>
    <w:p w:rsidR="00DB7E5A" w:rsidRPr="00472687" w:rsidRDefault="0052083E" w:rsidP="00472687">
      <w:pPr>
        <w:pStyle w:val="JuQuot"/>
      </w:pPr>
      <w:r>
        <w:t>9. Atât statele, cât și actorii nestatali au datoria de a-și respecta obligațiile în materia drepturilor omului în contextul schimbărilor climatice. În acest scop, aceștia trebuie să respecte drepturile omului, prin abținerea de la adoptarea de măsuri care ar putea agrava schimbările climatice, să protejeze drepturile omului, prin reglementarea eficientă a activităților actorilor privați, pentru a se asigura că acestea nu agravează schimbările climatice, și să pună în aplicare drepturile omului, prin adoptarea de politici care să permită asigurarea unor modele de producție și de consum mai durabile din punct de vedere ecologic.</w:t>
      </w:r>
    </w:p>
    <w:p w:rsidR="00DB7E5A" w:rsidRPr="00472687" w:rsidRDefault="0052083E" w:rsidP="00472687">
      <w:pPr>
        <w:pStyle w:val="JuQuot"/>
      </w:pPr>
      <w:r>
        <w:t>Rolul Comitetului pentru drepturile economice, sociale și culturale</w:t>
      </w:r>
    </w:p>
    <w:p w:rsidR="00DB7E5A" w:rsidRPr="00472687" w:rsidRDefault="0052083E" w:rsidP="00472687">
      <w:pPr>
        <w:pStyle w:val="JuQuot"/>
      </w:pPr>
      <w:r>
        <w:t>10. În cadrul activităților sale viitoare, Comitetul va continua să monitorizeze efectele schimbărilor climatice asupra drepturilor economice, sociale și culturale și să ofere statelor orientări cu privire la modul în care își pot îndeplini obligațiile care le revin în temeiul Pactului internațional cu privire la drepturile economice, sociale și culturale, în contextul atenuării schimbărilor climatice și al adaptării la efectele inevitabile ale acestora. ”</w:t>
      </w:r>
    </w:p>
    <w:p w:rsidR="00DB7E5A" w:rsidRPr="00472687" w:rsidRDefault="00C71855" w:rsidP="00472687">
      <w:pPr>
        <w:pStyle w:val="JuPara"/>
      </w:pPr>
      <w:fldSimple w:instr=" SEQ level0 \*arabic \* MERGEFORMAT ">
        <w:r w:rsidR="00472687" w:rsidRPr="00472687">
          <w:t>181</w:t>
        </w:r>
      </w:fldSimple>
      <w:r w:rsidR="00B71F73">
        <w:t>. În părțile relevante ale Comentariului general nr. 25 (2020) cu privire la știință și drepturile economice, sociale și culturale</w:t>
      </w:r>
      <w:r w:rsidR="0052083E">
        <w:rPr>
          <w:rStyle w:val="FootnoteReference"/>
        </w:rPr>
        <w:footnoteReference w:id="119"/>
      </w:r>
      <w:r w:rsidR="00B71F73">
        <w:t>, Comitetul pentru drepturile economice, sociale și culturale a afirmat următoarele:</w:t>
      </w:r>
    </w:p>
    <w:p w:rsidR="00DB7E5A" w:rsidRPr="00472687" w:rsidRDefault="0052083E" w:rsidP="00472687">
      <w:pPr>
        <w:pStyle w:val="JuQuot"/>
      </w:pPr>
      <w:r>
        <w:t>„B. Participarea și principiul precauției</w:t>
      </w:r>
    </w:p>
    <w:p w:rsidR="00DB7E5A" w:rsidRPr="00472687" w:rsidRDefault="0052083E" w:rsidP="00472687">
      <w:pPr>
        <w:pStyle w:val="JuQuot"/>
      </w:pPr>
      <w:r>
        <w:t>56. Participarea include, de asemenea, dreptul la informare și participarea la controlul riscurilor asociate cu anumite procese științifice și aplicațiile acestora. În acest context, principiul precauției joacă un rol important. Acest principiu impune ca, în absența unei certitudini științifice complete, în cazul în care există riscul ca o anumită măsură sau politică să aducă un prejudiciu inacceptabil publicului sau mediului, să fie adoptate măsuri pentru prevenirea sau atenuarea acestui prejudiciu. Un prejudiciu este considerat inacceptabil pentru oameni sau pentru mediu atunci când: a) amenință viața sau sănătatea umană; b) este grav și efectiv ireversibil; c) este nedrept față de generațiile prezente sau viitoare; sau d) este impus fără să se țină seama în mod corespunzător de drepturile fundamentale ale persoanelor afectate. Studiile privind impactul tehnologiilor și evaluările impactului asupra drepturilor omului pot contribui la identificarea potențialelor riscuri în fazele timpurii ale procesului și de îndată ce încep să fie utilizate aplicațiile științifice.</w:t>
      </w:r>
    </w:p>
    <w:p w:rsidR="00DB7E5A" w:rsidRPr="00472687" w:rsidRDefault="0052083E" w:rsidP="00472687">
      <w:pPr>
        <w:pStyle w:val="JuQuot"/>
      </w:pPr>
      <w:r>
        <w:t>[...]</w:t>
      </w:r>
    </w:p>
    <w:p w:rsidR="00DB7E5A" w:rsidRPr="00472687" w:rsidRDefault="0052083E" w:rsidP="00472687">
      <w:pPr>
        <w:pStyle w:val="JuQuot"/>
      </w:pPr>
      <w:r>
        <w:t>Cooperarea internațională</w:t>
      </w:r>
    </w:p>
    <w:p w:rsidR="00DB7E5A" w:rsidRPr="00472687" w:rsidRDefault="0052083E" w:rsidP="00472687">
      <w:pPr>
        <w:pStyle w:val="JuQuot"/>
      </w:pPr>
      <w:r>
        <w:t>[...]</w:t>
      </w:r>
    </w:p>
    <w:p w:rsidR="00DB7E5A" w:rsidRPr="00472687" w:rsidRDefault="0052083E" w:rsidP="00472687">
      <w:pPr>
        <w:pStyle w:val="JuQuot"/>
      </w:pPr>
      <w:r>
        <w:t xml:space="preserve">81. În al patrulea rând, cooperarea internațională este esențială întrucât cele mai grave riscuri globale care sunt asociate științei și tehnologiei - cum ar fi schimbările climatice, declinul rapid al biodiversității, dezvoltarea de tehnologii periculoase, inclusiv armele autonome, bazate pe inteligența artificială, sau amenințarea cu arme de distrugere în masă, în special arme nucleare - sunt transnaționale și pot fi abordate eficient doar </w:t>
      </w:r>
      <w:r>
        <w:lastRenderedPageBreak/>
        <w:t>printr-o cooperare internațională solidă. Statele ar trebui să promoveze încheierea de acorduri multilaterale pentru a preveni materializarea acestor riscuri sau pentru a atenua efectele acestora [...]” ”</w:t>
      </w:r>
    </w:p>
    <w:p w:rsidR="00DB7E5A" w:rsidRPr="00472687" w:rsidRDefault="00C71855" w:rsidP="00472687">
      <w:pPr>
        <w:pStyle w:val="JuPara"/>
      </w:pPr>
      <w:fldSimple w:instr=" SEQ level0 \*arabic \* MERGEFORMAT ">
        <w:r w:rsidR="00472687" w:rsidRPr="00472687">
          <w:t>182</w:t>
        </w:r>
      </w:fldSimple>
      <w:r w:rsidR="00B71F73">
        <w:t>. Părțile relevante din Comentariul general nr. 14 (2020) privind dreptul la sănătate</w:t>
      </w:r>
      <w:r w:rsidR="0052083E">
        <w:rPr>
          <w:rStyle w:val="FootnoteReference"/>
        </w:rPr>
        <w:footnoteReference w:id="120"/>
      </w:r>
      <w:r w:rsidR="00B71F73">
        <w:t xml:space="preserve"> se citesc după cum urmează (note de subsol omise):</w:t>
      </w:r>
    </w:p>
    <w:p w:rsidR="00DB7E5A" w:rsidRPr="00472687" w:rsidRDefault="0052083E" w:rsidP="00472687">
      <w:pPr>
        <w:pStyle w:val="JuQuot"/>
      </w:pPr>
      <w:r>
        <w:t>„11. Comitetul interpretează dreptul la sănătate, astfel cum este definit la articolul 12 alineatul 1, ca fiind un drept global, care include nu doar furnizarea de îngrijiri medicale adecvate în timp util, ci și factorii determinanți fundamentali ai sănătății, cum ar fi accesul la apă potabilă sigură și instalații sanitare și condiții de salubritate adecvate, accesul la o cantitate suficientă de alimente sănătoase, hrană și o locuință, igiena muncii și a mediului, precum și accesul la educație și informații în materie de sănătate, inclusiv cu privire la sănătatea sexuală și reproductivă. Un alt aspect important este participarea populației la luarea tuturor deciziilor legate de sănătate la nivel comunitar, național și internațional.</w:t>
      </w:r>
    </w:p>
    <w:p w:rsidR="00DB7E5A" w:rsidRPr="00472687" w:rsidRDefault="0052083E" w:rsidP="00472687">
      <w:pPr>
        <w:pStyle w:val="JuQuot"/>
      </w:pPr>
      <w:r>
        <w:t>[...]</w:t>
      </w:r>
    </w:p>
    <w:p w:rsidR="00DB7E5A" w:rsidRPr="00472687" w:rsidRDefault="0052083E" w:rsidP="00472687">
      <w:pPr>
        <w:pStyle w:val="JuQuot"/>
      </w:pPr>
      <w:r>
        <w:t>15. Măsurile menite să asigure «îmbunătățirea tuturor aspectelor igienei mediului și ale igienei industriale» [articolul 12 alineatul 2 litera b)] includ în special măsuri de prevenire a accidentelor de muncă și a bolilor profesionale, măsuri de asigurare a unei aprovizionări suficiente cu apă potabilă sigură și condiții de igienă elementare, precum și măsuri de prevenire și reducere a expunerii populației la anumite pericole, cum ar fi radiațiile sau substanțele chimice toxice și alți factori de mediu nocivi, care afectează în mod direct sau indirect sănătatea oamenilor [...]</w:t>
      </w:r>
    </w:p>
    <w:p w:rsidR="00DB7E5A" w:rsidRPr="00472687" w:rsidRDefault="0052083E" w:rsidP="00472687">
      <w:pPr>
        <w:pStyle w:val="JuQuot"/>
      </w:pPr>
      <w:r>
        <w:t>36. Obligația de realizare a dreptului la sănătate impune statelor părți, printre altele, să asigure o recunoaștere suficientă a acestui drept în sistemul politic și juridic național (de preferat prin adoptarea unor texte de lege). Statele sunt, de asemenea, obligate să adopte măsuri împotriva pericolelor pentru igiena mediului și a muncii și a oricărei alte amenințări evidențiate de datele epidemiologice. În acest scop, acestea ar trebui să elaboreze și să pună în aplicare politici naționale de reducere și eliminare a poluării aerului, apei și solului, inclusiv a poluării cu metale grele, cum ar fi plumbul din benzină [...] ”</w:t>
      </w:r>
    </w:p>
    <w:p w:rsidR="00DB7E5A" w:rsidRPr="00472687" w:rsidRDefault="00C71855" w:rsidP="00472687">
      <w:pPr>
        <w:pStyle w:val="JuPara"/>
      </w:pPr>
      <w:fldSimple w:instr=" SEQ level0 \*arabic \* MERGEFORMAT ">
        <w:r w:rsidR="00472687" w:rsidRPr="00472687">
          <w:t>183</w:t>
        </w:r>
      </w:fldSimple>
      <w:r w:rsidR="00B71F73">
        <w:t>. Partea relevantă din Comentariul general nr. 26 (2022) privind terenurile și drepturile economice, sociale și culturale</w:t>
      </w:r>
      <w:r w:rsidR="0052083E">
        <w:rPr>
          <w:rStyle w:val="FootnoteReference"/>
        </w:rPr>
        <w:footnoteReference w:id="121"/>
      </w:r>
      <w:r w:rsidR="00B71F73">
        <w:t xml:space="preserve"> are următorul cuprins:</w:t>
      </w:r>
    </w:p>
    <w:p w:rsidR="00DB7E5A" w:rsidRPr="00472687" w:rsidRDefault="0052083E" w:rsidP="00472687">
      <w:pPr>
        <w:pStyle w:val="JuQuot"/>
      </w:pPr>
      <w:r>
        <w:t>„Schimbările climatice</w:t>
      </w:r>
    </w:p>
    <w:p w:rsidR="00DB7E5A" w:rsidRPr="00472687" w:rsidRDefault="0052083E" w:rsidP="00472687">
      <w:pPr>
        <w:pStyle w:val="JuQuot"/>
      </w:pPr>
      <w:r>
        <w:t xml:space="preserve">56. În multe țări, schimbările climatice au un impact grav asupra accesului la terenuri, ceea ce are repercusiuni asupra drepturilor utilizatorilor. În zonele de coastă, creșterea nivelului mării are efecte asupra locuințelor, agriculturii și accesului la zonele de pescuit. Schimbările climatice conduc, de asemenea, la degradarea terenurilor și la deșertificare. Creșterea temperaturilor, schimbarea regimurilor de precipitații și frecvența tot mai mare a fenomenelor meteorologice extreme, cum ar fi secetele și inundațiile, afectează din ce în ce mai mult accesul la terenuri. Statele trebuie să </w:t>
      </w:r>
      <w:r>
        <w:lastRenderedPageBreak/>
        <w:t>coopereze la nivel internațional și să își îndeplinească obligația de atenuare a emisiilor și angajamentele asumate în temeiul Acordului de la Paris. De asemenea, acestea trebuie să respecte aceste obligații în temeiul legislației privind drepturile omului, astfel cum a subliniat deja Comitetul. În plus, statele trebuie să evite adoptarea de politici de atenuare a schimbărilor climatice, cum ar fi sechestrarea carbonului prin reîmpăduriri masive sau protejarea pădurilor existente, care conduc la diferite forme de acaparare a terenurilor, în special atunci când acestea afectează terenurile și teritoriile populațiilor aflate în situații vulnerabile, cum ar fi țăranii sau popoarele indigene. Politicile de atenuare ar trebui să conducă la reduceri absolute ale emisiilor, prin eliminarea treptată a producției și a utilizării combustibililor fosili.</w:t>
      </w:r>
    </w:p>
    <w:p w:rsidR="00DB7E5A" w:rsidRPr="00472687" w:rsidRDefault="0052083E" w:rsidP="00472687">
      <w:pPr>
        <w:pStyle w:val="JuQuot"/>
      </w:pPr>
      <w:r>
        <w:t>57. Statele au obligația de a elabora, la nivel național, politici de adaptare la schimbările climatice care țin seama de toate formele de schimbare a folosinței terenurilor provocate de schimbările climatice, să înregistreze toate persoanele afectate și să utilizeze la maximum resursele de care dispun pentru a combate efectele schimbărilor climatice, în special impactul acestora asupra grupurilor defavorizate.</w:t>
      </w:r>
    </w:p>
    <w:p w:rsidR="00DB7E5A" w:rsidRPr="00472687" w:rsidRDefault="0052083E" w:rsidP="00472687">
      <w:pPr>
        <w:pStyle w:val="JuQuot"/>
      </w:pPr>
      <w:r>
        <w:t>58. Schimbările climatice afectează toate țările, inclusiv pe cele care au contribuit cel mai puțin la acestea. De exemplu, țările care, de-a lungul istoriei, au contribuit cel mai mult la aceste schimbări și cele care, în prezent, sunt principalii factor) generatori ai acestora trebuie să ajute țările care suferă cel mai mult din cauza efectelor acestora, dar sunt cel mai puțin capabile să le facă față, inclusiv prin sprijinirea și finanțarea măsurilor de adaptare legate de terenuri. Mecanismele de cooperare pentru măsurile de atenuare a schimbărilor climatice și de adaptare la acestea trebuie să prevadă un set de garanții sociale și de mediu solide pentru a garanta că niciun proiect nu afectează negativ drepturile omului și mediul, precum și accesul la informații și organizarea de consultări veritabile cu persoanele afectate de astfel de proiecte. Acestea trebuie, de asemenea, să respecte consimțământul liber, prealabil și în cunoștință de cauză - al popoarelor indigene. ”</w:t>
      </w:r>
    </w:p>
    <w:p w:rsidR="00DB7E5A" w:rsidRPr="00472687" w:rsidRDefault="0052083E" w:rsidP="00472687">
      <w:pPr>
        <w:pStyle w:val="JuH1"/>
        <w:numPr>
          <w:ilvl w:val="3"/>
          <w:numId w:val="39"/>
        </w:numPr>
      </w:pPr>
      <w:bookmarkStart w:id="185" w:name="_Toc199273463"/>
      <w:r>
        <w:t>Oficiul Înaltului Comisar al Națiunilor Unite pentru Drepturile Omului</w:t>
      </w:r>
      <w:bookmarkEnd w:id="185"/>
    </w:p>
    <w:p w:rsidR="00DB7E5A" w:rsidRPr="00472687" w:rsidRDefault="00C71855" w:rsidP="00472687">
      <w:pPr>
        <w:pStyle w:val="JuPara"/>
      </w:pPr>
      <w:fldSimple w:instr=" SEQ level0 \*arabic \* MERGEFORMAT ">
        <w:r w:rsidR="00472687" w:rsidRPr="00472687">
          <w:t>184</w:t>
        </w:r>
      </w:fldSimple>
      <w:r w:rsidR="00B71F73">
        <w:t>. În 2009, Oficiul Înaltului Comisar pentru Drepturile Omului a prezentat Consiliului Drepturilor Omului un raport general privind legăturile dintre schimbările climatice și drepturile omului. Ulterior, acesta a prezentat aceluiași organism diverse rapoarte privind consecințele schimbărilor climatice asupra exercitării drepturilor omului de către anumite categorii de persoane, și anume persoanele cu dizabilități</w:t>
      </w:r>
      <w:r w:rsidR="0052083E">
        <w:rPr>
          <w:rStyle w:val="FootnoteReference"/>
        </w:rPr>
        <w:footnoteReference w:id="122"/>
      </w:r>
      <w:r w:rsidR="00B71F73">
        <w:t>, femeile</w:t>
      </w:r>
      <w:r w:rsidR="0052083E">
        <w:rPr>
          <w:rStyle w:val="FootnoteReference"/>
        </w:rPr>
        <w:footnoteReference w:id="123"/>
      </w:r>
      <w:r w:rsidR="00B71F73">
        <w:t xml:space="preserve">, migranții și </w:t>
      </w:r>
      <w:r w:rsidR="00B71F73">
        <w:lastRenderedPageBreak/>
        <w:t>persoanele strămutate</w:t>
      </w:r>
      <w:r w:rsidR="0052083E">
        <w:rPr>
          <w:rStyle w:val="FootnoteReference"/>
        </w:rPr>
        <w:footnoteReference w:id="124"/>
      </w:r>
      <w:r w:rsidR="00B71F73">
        <w:t>, copiii</w:t>
      </w:r>
      <w:r w:rsidR="0052083E">
        <w:rPr>
          <w:rStyle w:val="FootnoteReference"/>
        </w:rPr>
        <w:footnoteReference w:id="125"/>
      </w:r>
      <w:r w:rsidR="00B71F73">
        <w:t xml:space="preserve"> și persoanele care suferă de probleme de sănătate mintală</w:t>
      </w:r>
      <w:r w:rsidR="0052083E">
        <w:rPr>
          <w:rStyle w:val="FootnoteReference"/>
        </w:rPr>
        <w:footnoteReference w:id="126"/>
      </w:r>
      <w:r w:rsidR="00B71F73">
        <w:t>.</w:t>
      </w:r>
    </w:p>
    <w:p w:rsidR="00DB7E5A" w:rsidRPr="00472687" w:rsidRDefault="00C71855" w:rsidP="00472687">
      <w:pPr>
        <w:pStyle w:val="JuPara"/>
      </w:pPr>
      <w:fldSimple w:instr=" SEQ level0 \*arabic \* MERGEFORMAT ">
        <w:r w:rsidR="00472687" w:rsidRPr="00472687">
          <w:t>185</w:t>
        </w:r>
      </w:fldSimple>
      <w:r w:rsidR="00B71F73">
        <w:t>. În studiul său analitic privind promovarea și protecția drepturilor persoanelor în vârstă în contextul schimbărilor climatice (A/HRC/47/46), publicat în 2021, Oficiul Înaltului Comisar pentru Drepturile Omului a abordat formele multiple și intersectate de discriminare legate de schimbările climatice. Partea relevantă a acestui studiu se citește după cum urmează (notă de subsol omisă):</w:t>
      </w:r>
    </w:p>
    <w:p w:rsidR="00DB7E5A" w:rsidRPr="00472687" w:rsidRDefault="0052083E" w:rsidP="00472687">
      <w:pPr>
        <w:pStyle w:val="JuQuot"/>
      </w:pPr>
      <w:r>
        <w:t>„34. Atât îmbătrânirea, cât și schimbările climatice au efecte diferențiate în funcție de gen. Având în vedere că femeile trăiesc mai mult decât bărbații, femeile vârstnice sunt mai numeroase decât bărbații vârstnici și, de obicei, femeile care au parteneri heterosexuali trăiesc mai mult decât aceștia. Prin urmare, femeile în vârstă care trăiesc singure sunt mai numeroase. Din cauza diferențelor fizice și fiziologice, a normelor și rolurilor sociale, a discriminării bazate pe gen și a inegalităților în ceea ce privește accesul la resurse și la putere, femeile vârstnice sunt mai vulnerabile în fața efectelor schimbărilor climatice.</w:t>
      </w:r>
    </w:p>
    <w:p w:rsidR="00DB7E5A" w:rsidRPr="00472687" w:rsidRDefault="0052083E" w:rsidP="00472687">
      <w:pPr>
        <w:pStyle w:val="JuQuot"/>
      </w:pPr>
      <w:r>
        <w:t>35. În rândul femeilor vârstnice există o rată mai ridicată a sărăciei decât în rândul bărbaților în vârstă și, în plus, acestea se confruntă cu alte dificultăți economice care sunt accentuate de schimbările climatice. Ele sunt, de asemenea, mai expuse riscurilor pentru sănătate, inclusiv riscului de a dezvolta boli cronice și efectelor nefaste ale poluării atmosferice, iar rata mortalității lor și alte riscuri de a dezvolta complicații cauzate de episoadele caniculare sunt mai ridicate decât în cazul oricărei alte categorii de populație. În schimb, s-a constatat că, în timpul taifunurilor, bărbații vârstnici sunt expuși unui risc mai mare de a-și pierde viața.</w:t>
      </w:r>
    </w:p>
    <w:p w:rsidR="00DB7E5A" w:rsidRPr="00472687" w:rsidRDefault="0052083E" w:rsidP="00472687">
      <w:pPr>
        <w:pStyle w:val="JuQuot"/>
      </w:pPr>
      <w:r>
        <w:t xml:space="preserve">36. Rolurile sociale și așteptările bazate pe gen au efecte complexe asupra riscurilor climatice la care sunt expuse persoanele în vârstă. În unele societăți, bărbații în vârstă sunt mai izolați din punct de vedere social și, prin urmare, le este mai greu să aibă acces la servicii de asistență care îi pot ajuta să facă față efectelor negative ale schimbărilor climatice. Cu toate acestea, în situațiile de urgență sau în cazul în care resursele familiale sunt limitate din cauza efectelor schimbărilor climatice, femeile în vârstă sunt mai susceptibile să fie percepute ca fiind o povară și să fie neglijate sau supuse la rele tratamente. În unele țări, fenomenele meteorologice extreme sunt imputate femeilor în vârstă, care sunt acuzate de vrăjitorie și, prin urmare, riscă să fie victime ale unor acte de violență și ale excluziunii. Transformarea mijloacelor de subzistență tradiționale și a practicilor culturale și sociale produce, de asemenea, efecte diferite în funcție de gen, ca urmare a rolurilor sociale diferite ale bărbaților și femeilor. Normele sociale și identitatea de gen pot exacerba, de asemenea, efectele negative ale schimbărilor </w:t>
      </w:r>
      <w:r>
        <w:lastRenderedPageBreak/>
        <w:t>climatice asupra drepturilor omului ale persoanelor în vârstă lesbiene, homosexuale, bisexuale, transgen și intersexuale. ”</w:t>
      </w:r>
    </w:p>
    <w:p w:rsidR="00DB7E5A" w:rsidRPr="00472687" w:rsidRDefault="0052083E" w:rsidP="00472687">
      <w:pPr>
        <w:pStyle w:val="JuH1"/>
        <w:numPr>
          <w:ilvl w:val="3"/>
          <w:numId w:val="41"/>
        </w:numPr>
      </w:pPr>
      <w:bookmarkStart w:id="196" w:name="_Toc199273464"/>
      <w:r>
        <w:t>Alte elemente</w:t>
      </w:r>
      <w:bookmarkEnd w:id="196"/>
    </w:p>
    <w:p w:rsidR="00C014F0" w:rsidRPr="00472687" w:rsidRDefault="00C71855" w:rsidP="00472687">
      <w:pPr>
        <w:pStyle w:val="JuPara"/>
      </w:pPr>
      <w:fldSimple w:instr=" SEQ level0 \*arabic \* MERGEFORMAT ">
        <w:r w:rsidR="00472687" w:rsidRPr="00472687">
          <w:t>186</w:t>
        </w:r>
      </w:fldSimple>
      <w:r w:rsidR="00B71F73">
        <w:t>. În 2019, organismele de monitorizare a tratatelor ONU (Comitetul pentru eliminarea discriminării împotriva femeilor, Comitetul pentru drepturile economice, sociale și culturale, Comitetul pentru protecția drepturilor tuturor lucrătorilor migranți și ale membrilor familiilor acestora, Comitetul pentru drepturile copilului și Comitetul pentru drepturile persoanelor cu dizabilități) au publicat o declarație comună privind drepturile omului și schimbările climatice</w:t>
      </w:r>
      <w:r w:rsidR="0052083E">
        <w:rPr>
          <w:rStyle w:val="FootnoteReference"/>
        </w:rPr>
        <w:footnoteReference w:id="127"/>
      </w:r>
      <w:r w:rsidR="00B71F73">
        <w:t>, ale cărei părți relevante se citesc astfel (traducerea grefei, note de subsol omise):</w:t>
      </w:r>
    </w:p>
    <w:p w:rsidR="00C014F0" w:rsidRPr="00472687" w:rsidRDefault="0052083E" w:rsidP="00472687">
      <w:pPr>
        <w:pStyle w:val="JuQuot"/>
      </w:pPr>
      <w:r>
        <w:t>„3. Raportul [pe care IPCC l-a publicat în 2018 cu privire la încălzirea globală cu 1,5</w:t>
      </w:r>
      <w:r>
        <w:rPr>
          <w:vertAlign w:val="superscript"/>
        </w:rPr>
        <w:t>o</w:t>
      </w:r>
      <w:r>
        <w:t>C peste nivelurile preindustriale] confirmă faptul că există riscul ca schimbările climatice să compromită în mod grav exercitarea drepturilor omului protejate de Convenția internațională asupra eliminării tuturor formelor de discriminare față de femei, Pactul internațional cu privire la drepturile economice, sociale și culturale, Convenția internațională privind protecția drepturilor tuturor lucrătorilor migranți și ale membrilor familiilor acestora, Convenția cu privire la drepturile copilului și Convenția internațională privind drepturile persoanelor cu dizabilități. Efectele nefaste identificate în raport amenință, printre altele, dreptul la viață, dreptul la o alimentație adecvată, dreptul la o locuință adecvată, dreptul la sănătate, dreptul la apă și drepturile culturale. Aceste efecte negative se reflectă, de asemenea, în prejudiciile cauzate ecosistemelor, care, la rândul lor, subminează exercitarea drepturilor omului. Riscul producerii de prejudicii este deosebit de ridicat în cazul categoriilor de populație precum femeile, copiii, persoanele cu dizabilități, popoarele indigene și persoanele care trăiesc în zone rurale, care sunt deja marginalizate, se află în situații vulnerabile sau care, din cauza discriminării și a inegalităților preexistente, au un acces redus la procesul decizional și la resurse. Copiii sunt expuși unui risc deosebit de ridicat în ceea ce privește sănătatea lor din cauza dezvoltării incomplete a sistemelor biologice ale acestora.</w:t>
      </w:r>
    </w:p>
    <w:p w:rsidR="00DB7E5A" w:rsidRPr="00472687" w:rsidRDefault="0052083E" w:rsidP="00472687">
      <w:pPr>
        <w:pStyle w:val="JuQuot"/>
      </w:pPr>
      <w:r>
        <w:t>[...]</w:t>
      </w:r>
    </w:p>
    <w:p w:rsidR="00DB7E5A" w:rsidRPr="00472687" w:rsidRDefault="0052083E" w:rsidP="00472687">
      <w:pPr>
        <w:pStyle w:val="JuQuot"/>
      </w:pPr>
      <w:r>
        <w:t>Obligațiile statelor în materia drepturilor omului</w:t>
      </w:r>
    </w:p>
    <w:p w:rsidR="00DB7E5A" w:rsidRPr="00472687" w:rsidRDefault="0052083E" w:rsidP="00472687">
      <w:pPr>
        <w:pStyle w:val="JuQuot"/>
      </w:pPr>
      <w:r>
        <w:t>10. În temeiul Convenției asupra eliminării tuturor formelor de discriminare față de femei, al Pactului internațional cu privire la drepturile economice, sociale și culturale, al Convenției internaționale privind protecția drepturilor tuturor lucrătorilor migranți și ale membrilor familiilor acestora, al Convenției internaționale cu privire la drepturile copilului și al Convenției internaționale privind drepturile persoanelor cu dizabilități, statele părți au obligația, inclusiv la nivel extrateritorial, să respecte, să protejeze și să pună în aplicare toate drepturile omului pentru toți. Statele ar încălca această obligație în cazul în care nu ar asigura prevenirea încălcărilor previzibile ale drepturilor omului cauzate de schimbările climatice sau reglementarea activităților care contribuie la astfel de încălcări.</w:t>
      </w:r>
    </w:p>
    <w:p w:rsidR="00DB7E5A" w:rsidRPr="00472687" w:rsidRDefault="0052083E" w:rsidP="00472687">
      <w:pPr>
        <w:pStyle w:val="JuQuot"/>
      </w:pPr>
      <w:r>
        <w:t xml:space="preserve">11. Pentru a-și îndeplini obligațiile privind drepturile omului și pentru a atinge obiectivele Acordului de la Paris, acestea trebuie să adopte și să pună în aplicare politici de reducere a emisiilor. Aceste politici trebuie să corespundă celui mai ridicat nivel de </w:t>
      </w:r>
      <w:r>
        <w:lastRenderedPageBreak/>
        <w:t>ambiție posibilă, să promoveze reziliența la schimbările climatice și să garanteze că investițiile publice și private sunt compatibile cu o traiectorie de evoluție către o dezvoltare cu un nivel scăzut de emisii de [GES] și rezilientă la efectele schimbărilor climatice.</w:t>
      </w:r>
    </w:p>
    <w:p w:rsidR="00DB7E5A" w:rsidRPr="00472687" w:rsidRDefault="0052083E" w:rsidP="00472687">
      <w:pPr>
        <w:pStyle w:val="JuQuot"/>
      </w:pPr>
      <w:r>
        <w:t>12. În cadrul eforturilor lor de reducere a emisiilor, statele părți ar trebui să contribuie în mod eficient la eliminarea progresivă a combustibililor fosili, la promovarea surselor de energie regenerabilă și la reducerea emisiilor din sectorul exploatării terenurilor, inclusiv prin combaterea defrișărilor. În plus, statele trebuie să reglementeze activitățile actorilor privați, inclusiv să îi tragă la răspundere pentru daunele pe care le provoacă în interiorul și în afara granițelor lor. Acestea ar trebui, de asemenea, să elimine stimulentele financiare și să pună capăt investițiilor, realizate de actori publici sau privați, în activități și infrastructuri care nu sunt compatibile cu o traiectorie de evoluție către o dezvoltare cu un nivel scăzut de emisii de [GES], ca măsură de atenuare pentru a evita prejudiciile și riscurile suplimentare.</w:t>
      </w:r>
    </w:p>
    <w:p w:rsidR="00DB7E5A" w:rsidRPr="00472687" w:rsidRDefault="0052083E" w:rsidP="00472687">
      <w:pPr>
        <w:pStyle w:val="JuQuot"/>
      </w:pPr>
      <w:r>
        <w:t>13. În cadrul reducerii emisiilor și adaptării la efectele schimbărilor climatice, statele trebuie să depună eforturi pentru a combate toate formele de discriminare și inegalitate, inclusiv prin promovarea unei egalități reale între bărbați și femei, protejarea drepturilor popoarelor indigene și ale persoanelor cu dizabilități și ținând seama de interesul superior al copilului.</w:t>
      </w:r>
    </w:p>
    <w:p w:rsidR="00DB7E5A" w:rsidRPr="00472687" w:rsidRDefault="0052083E" w:rsidP="00472687">
      <w:pPr>
        <w:pStyle w:val="JuQuot"/>
      </w:pPr>
      <w:r>
        <w:t>[...]</w:t>
      </w:r>
    </w:p>
    <w:p w:rsidR="00DB7E5A" w:rsidRPr="00472687" w:rsidRDefault="0052083E" w:rsidP="00472687">
      <w:pPr>
        <w:pStyle w:val="JuQuot"/>
      </w:pPr>
      <w:r>
        <w:t>Rolul Comitetelor</w:t>
      </w:r>
    </w:p>
    <w:p w:rsidR="00DB7E5A" w:rsidRPr="00472687" w:rsidRDefault="0052083E" w:rsidP="00472687">
      <w:pPr>
        <w:pStyle w:val="JuQuot"/>
      </w:pPr>
      <w:r>
        <w:t>18. În cadrul lucrărilor lor viitoare, Comitetele vor continua să analizeze efectele schimbărilor climatice și dezastrelor provocate de schimbările climatice asupra titularilor de drepturi protejate de instrumentele lor respective. De asemenea, acestea vor continua să ofere statelor părți orientări cu privire la modalitățile în care își pot îndeplini obligațiile care decurg din aceste instrumente în ceea ce privește atenuarea schimbărilor climatice și adaptarea la acestea. ”</w:t>
      </w:r>
    </w:p>
    <w:p w:rsidR="00DB7E5A" w:rsidRPr="00472687" w:rsidRDefault="00C71855" w:rsidP="00472687">
      <w:pPr>
        <w:pStyle w:val="JuPara"/>
      </w:pPr>
      <w:fldSimple w:instr=" SEQ level0 \*arabic \* MERGEFORMAT ">
        <w:r w:rsidR="00472687" w:rsidRPr="00472687">
          <w:t>187</w:t>
        </w:r>
      </w:fldSimple>
      <w:r w:rsidR="00B71F73">
        <w:t>. La 12 decembrie 2022, Tribunalul Internațional pentru Dreptul Mării a fost sesizat de Comisia statelor insulare mici pentru schimbările climatice și dreptul internațional cu o cerere de aviz consultativ cu privire la sfera de aplicare și conținutul „obligațiilor specifice ale statelor părți la Convenția Națiunilor Unite asupra dreptului mării («CNUDM»), în special în temeiul Părții XII [din această convenție]”.</w:t>
      </w:r>
      <w:r w:rsidR="0052083E">
        <w:rPr>
          <w:rStyle w:val="FootnoteReference"/>
        </w:rPr>
        <w:footnoteReference w:id="128"/>
      </w:r>
      <w:r w:rsidR="00B71F73">
        <w:t xml:space="preserve"> Cererea conținea următoarele întrebări:</w:t>
      </w:r>
    </w:p>
    <w:p w:rsidR="00DB7E5A" w:rsidRPr="00472687" w:rsidRDefault="0052083E" w:rsidP="00472687">
      <w:pPr>
        <w:pStyle w:val="JuQuot"/>
      </w:pPr>
      <w:r>
        <w:t>„Care sunt obligațiile specifice ale statelor părți la Convenția Națiunilor Unite asupra dreptului mării («CNUDM»), în special în temeiul părții XII:</w:t>
      </w:r>
    </w:p>
    <w:p w:rsidR="00DB7E5A" w:rsidRPr="00472687" w:rsidRDefault="0052083E" w:rsidP="00472687">
      <w:pPr>
        <w:pStyle w:val="JuQuot"/>
      </w:pPr>
      <w:r>
        <w:t>a) prevenirea, reducerea și controlul poluării mediului marin, având în vedere efectele vătămătoare pe care le au sau le pot avea schimbările climatice, în special ca urmare a încălzirii oceanelor și a creșterii nivelului mării și a acidificării oceanelor, care sunt cauzate de emisiile antropice de [GES] în atmosferă?</w:t>
      </w:r>
    </w:p>
    <w:p w:rsidR="00C014F0" w:rsidRPr="00472687" w:rsidRDefault="0052083E" w:rsidP="00472687">
      <w:pPr>
        <w:pStyle w:val="JuQuot"/>
      </w:pPr>
      <w:r>
        <w:t>b) protejarea și conservarea mediului marin, având în vedere efectele schimbărilor climatice, inclusiv încălzirea oceanelor și creșterea nivelului mării, precum și acidificarea oceanelor? ”</w:t>
      </w:r>
    </w:p>
    <w:p w:rsidR="00DB7E5A" w:rsidRPr="00472687" w:rsidRDefault="00C71855" w:rsidP="00472687">
      <w:pPr>
        <w:pStyle w:val="JuPara"/>
      </w:pPr>
      <w:fldSimple w:instr=" SEQ level0 \*arabic \* MERGEFORMAT ">
        <w:r w:rsidR="00472687" w:rsidRPr="00472687">
          <w:t>188</w:t>
        </w:r>
      </w:fldSimple>
      <w:r w:rsidR="00B71F73">
        <w:t>. La 29 martie 2023, în temeiul articolului 96 din Carta Națiunilor Unite, Adunarea Generală a ONU a adoptat o rezoluție</w:t>
      </w:r>
      <w:r w:rsidR="0052083E">
        <w:rPr>
          <w:rStyle w:val="FootnoteReference"/>
        </w:rPr>
        <w:footnoteReference w:id="129"/>
      </w:r>
      <w:r w:rsidR="0052083E" w:rsidRPr="00472687">
        <w:rPr>
          <w:rStyle w:val="FootnoteReference"/>
        </w:rPr>
        <w:t xml:space="preserve"> </w:t>
      </w:r>
      <w:r w:rsidR="00B71F73">
        <w:rPr>
          <w:rStyle w:val="FootnoteReference"/>
        </w:rPr>
        <w:t xml:space="preserve"> </w:t>
      </w:r>
      <w:r w:rsidR="00B71F73">
        <w:t xml:space="preserve"> în care a solicitat Curții Internaționale de Justiție să emită un aviz consultativ cu privire la obligațiile statelor în legătură cu schimbările climatice. Întrebările adresate instanței internaționale sunt următoarele:</w:t>
      </w:r>
    </w:p>
    <w:p w:rsidR="00C014F0" w:rsidRPr="00472687" w:rsidRDefault="0052083E" w:rsidP="00472687">
      <w:pPr>
        <w:pStyle w:val="JuQuot"/>
      </w:pPr>
      <w:r>
        <w:t>„Având în vedere în special Carta Națiunilor Unite, Pactul internațional cu privire la drepturile civile și politice, Pactul internațional cu privire la drepturile economice, sociale și culturale, Convenția-cadru a Națiunilor Unite asupra schimbărilor climatice, Acordul de la Paris, Convenția Națiunilor Unite asupra dreptului mării, obligația diligenței necesare, drepturile recunoscute în Declarația universală a drepturilor omului, principiul prevenirii daunelor semnificative aduse mediului și obligația de protejare și conservare a mediului marin:</w:t>
      </w:r>
    </w:p>
    <w:p w:rsidR="00C014F0" w:rsidRPr="00472687" w:rsidRDefault="0052083E" w:rsidP="00472687">
      <w:pPr>
        <w:pStyle w:val="JuQuot"/>
      </w:pPr>
      <w:r>
        <w:t>a) Care sunt obligațiile ce revin statelor în temeiul dreptului internațional în ceea ce privește protecția sistemului climatic și a altor componente ale mediului împotriva emisiilor antropice de [GES] pentru state și pentru generațiile prezente și viitoare?</w:t>
      </w:r>
    </w:p>
    <w:p w:rsidR="00C014F0" w:rsidRPr="00472687" w:rsidRDefault="0052083E" w:rsidP="00472687">
      <w:pPr>
        <w:pStyle w:val="JuQuot"/>
      </w:pPr>
      <w:r>
        <w:t>b) Care sunt, în lumina acestor obligații, consecințele juridice pentru statele care, prin acțiunile sau omisiunile lor, au cauzat daune semnificative sistemului climatic și altor componente ale mediului, în ceea ce privește:</w:t>
      </w:r>
    </w:p>
    <w:p w:rsidR="00C014F0" w:rsidRPr="00472687" w:rsidRDefault="0052083E" w:rsidP="00472687">
      <w:pPr>
        <w:pStyle w:val="JuQuot"/>
      </w:pPr>
      <w:r>
        <w:t>i) Statele, inclusiv, în special statele insulare mici în curs de dezvoltare, care, ca urmare a circumstanțelor lor geografice și a nivelului lor de dezvoltare, sunt prejudiciate sau afectate în mod special de efectele nefaste ale schimbărilor climatice sau sunt deosebit de vulnerabile în fața acestora?</w:t>
      </w:r>
    </w:p>
    <w:p w:rsidR="00DB7E5A" w:rsidRPr="00472687" w:rsidRDefault="0052083E" w:rsidP="00472687">
      <w:pPr>
        <w:pStyle w:val="JuQuot"/>
      </w:pPr>
      <w:r>
        <w:t>ii) Popoarele și persoanele din generațiile prezente și viitoare afectate de efectele nefaste ale schimbărilor climatice? ”</w:t>
      </w:r>
    </w:p>
    <w:p w:rsidR="00DB7E5A" w:rsidRPr="00472687" w:rsidRDefault="0052083E" w:rsidP="00472687">
      <w:pPr>
        <w:pStyle w:val="JuHA"/>
      </w:pPr>
      <w:bookmarkStart w:id="199" w:name="_Toc149127517"/>
      <w:bookmarkStart w:id="200" w:name="_Toc158019695"/>
      <w:bookmarkStart w:id="201" w:name="_Toc199273465"/>
      <w:r>
        <w:t>Consiliul Europei</w:t>
      </w:r>
      <w:bookmarkEnd w:id="199"/>
      <w:bookmarkEnd w:id="200"/>
      <w:bookmarkEnd w:id="201"/>
    </w:p>
    <w:p w:rsidR="00DB7E5A" w:rsidRPr="00472687" w:rsidRDefault="0052083E" w:rsidP="00472687">
      <w:pPr>
        <w:pStyle w:val="JuH1"/>
        <w:numPr>
          <w:ilvl w:val="3"/>
          <w:numId w:val="42"/>
        </w:numPr>
      </w:pPr>
      <w:bookmarkStart w:id="202" w:name="_Toc199273466"/>
      <w:r>
        <w:t>Adunarea Parlamentară a Consiliului Europei</w:t>
      </w:r>
      <w:bookmarkEnd w:id="202"/>
    </w:p>
    <w:p w:rsidR="00DB7E5A" w:rsidRPr="00472687" w:rsidRDefault="00C71855" w:rsidP="00472687">
      <w:pPr>
        <w:pStyle w:val="JuPara"/>
      </w:pPr>
      <w:fldSimple w:instr=" SEQ level0 \*arabic \* MERGEFORMAT ">
        <w:r w:rsidR="00472687" w:rsidRPr="00472687">
          <w:t>189</w:t>
        </w:r>
      </w:fldSimple>
      <w:r w:rsidR="00B71F73">
        <w:t>. În cadrul unei recomandări adoptate la 29 septembrie 2021, intitulată „Anchoring the right to a healthy environment: need for enhanced action by the Council of Europe” (Consolidarea dreptului la un mediu sănătos: necesitatea unor acțiuni ferme din partea Consiliului Europei)</w:t>
      </w:r>
      <w:r w:rsidR="0052083E">
        <w:rPr>
          <w:rStyle w:val="FootnoteReference"/>
        </w:rPr>
        <w:footnoteReference w:id="130"/>
      </w:r>
      <w:r w:rsidR="00B71F73">
        <w:t>, Adunarea Parlamentară a Consiliului Europei (APCE) a recomandat Comitetului de Miniștri să elaboreze un protocol adițional la Convenția europeană a drepturilor omului și un protocol adițional la Carta socială europeană, referitoare la dreptul la un mediu sigur, curat, sănătos și durabil, pe baza terminologiei utilizate de Organizația Națiunilor Unite.</w:t>
      </w:r>
    </w:p>
    <w:p w:rsidR="00DB7E5A" w:rsidRPr="00472687" w:rsidRDefault="00C71855" w:rsidP="00472687">
      <w:pPr>
        <w:pStyle w:val="JuPara"/>
      </w:pPr>
      <w:fldSimple w:instr=" SEQ level0 \*arabic \* MERGEFORMAT ">
        <w:r w:rsidR="00472687" w:rsidRPr="00472687">
          <w:t>190</w:t>
        </w:r>
      </w:fldSimple>
      <w:r w:rsidR="00B71F73">
        <w:t xml:space="preserve">. Mai general, într-o rezoluție cu același titlu, APCE a recomandat statelor membre ale Consiliului Europei să instituie și să consolideze un cadru juridic – la nivel național și european – pentru consolidarea dreptului la un </w:t>
      </w:r>
      <w:r w:rsidR="00B71F73">
        <w:lastRenderedPageBreak/>
        <w:t>mediu sigur, curat, sănătos și durabil, pe baza orientărilor ONU în materie.</w:t>
      </w:r>
      <w:r w:rsidR="0052083E">
        <w:rPr>
          <w:rStyle w:val="FootnoteReference"/>
        </w:rPr>
        <w:footnoteReference w:id="131"/>
      </w:r>
      <w:r w:rsidR="00B71F73">
        <w:t xml:space="preserve"> Partea relevantă din această rezoluție se citește astfel:</w:t>
      </w:r>
    </w:p>
    <w:p w:rsidR="00DB7E5A" w:rsidRPr="00472687" w:rsidRDefault="0052083E" w:rsidP="00472687">
      <w:pPr>
        <w:pStyle w:val="JuQuot"/>
      </w:pPr>
      <w:r>
        <w:t>„3. Adunarea Parlamentară ia act de faptul că Declarația de la Stockholm, adoptată în urma Conferinței Națiunilor Unite privind mediul înconjurător, a stabilit în mod explicit, încă din 1972, existența unei legături între protecția mediului și prima generație de drepturi ale omului, făcând referire indirect la dreptul la un mediu sănătos. De atunci, aproape jumătate din țările lumii au consacrat dreptul la un mediu sănătos în Constituția lor, inclusiv 32 de state membre ale Consiliului Europei. Dreptul la un mediu sănătos este, de asemenea, recunoscut la nivel mondial prin diferite acorduri și înțelegeri regionale – cu excepția regiunii europene.</w:t>
      </w:r>
    </w:p>
    <w:p w:rsidR="00DB7E5A" w:rsidRPr="00472687" w:rsidRDefault="0052083E" w:rsidP="00472687">
      <w:pPr>
        <w:pStyle w:val="JuQuot"/>
      </w:pPr>
      <w:r>
        <w:t>4. Adunarea consideră că viziunea europeană contemporană asupra protecției drepturilor omului ar putea totuși să devină un cadru de referință pentru drepturile ecologice ale omului în secolul al XXI-lea, cu condiția să se ia măsuri imediat. Până în prezent, această viziune s-a limitat la drepturile civile și politice consacrate în Convenția europeană a drepturilor omului (Seria de tratate europene STE nr. 5, denumită în continuare «Convenția») și în protocoalele sale, precum și la drepturile economice și sociale recunoscute de Carta socială europeană (STE nr. 35 și 163, denumită în continuare «Carta»).</w:t>
      </w:r>
    </w:p>
    <w:p w:rsidR="00DB7E5A" w:rsidRPr="00472687" w:rsidRDefault="0052083E" w:rsidP="00472687">
      <w:pPr>
        <w:pStyle w:val="JuQuot"/>
      </w:pPr>
      <w:r>
        <w:t>5. Adunarea observă că în Convenție nu se face nicio referire expresă la protecția mediului și că, prin urmare, Curtea Europeană a Drepturilor Omului (denumită în continuare «Curtea») nu poate pronunța o hotărâre suficient de eficientă cu privire la acest drept al omului de nouă generație. Din păcate, apelul Adunării la acțiune, în special cel din Recomandarea 1885 (2009), intitulată «Elaborarea unui protocol adițional la Convenția europeană a drepturilor omului referitor la dreptul la un mediu sănătos», nu a fost ascultat de Comitetul de Miniștri.</w:t>
      </w:r>
    </w:p>
    <w:p w:rsidR="00DB7E5A" w:rsidRPr="00472687" w:rsidRDefault="0052083E" w:rsidP="00472687">
      <w:pPr>
        <w:pStyle w:val="JuQuot"/>
      </w:pPr>
      <w:r>
        <w:t>6. Jurisprudența Curții consacră o protecție indirectă a dreptului la un mediu sănătos, sancționând doar acele daune provocate mediului care implică totodată o încălcare a altor drepturi ale omului care sunt deja recunoscute în Convenție. Prin urmare, Curtea favorizează o abordare antropocentrică și utilitară a mediului, care împiedică asigurarea oricărei protecții per se componentelor mediului înconjurător. Adunarea încurajează Consiliul Europei să recunoască, în timp, valoarea intrinsecă a naturii și a ecosistemelor, în numele interdependenței dintre societățile umane și natură.</w:t>
      </w:r>
    </w:p>
    <w:p w:rsidR="00DB7E5A" w:rsidRPr="00472687" w:rsidRDefault="0052083E" w:rsidP="00472687">
      <w:pPr>
        <w:pStyle w:val="JuQuot"/>
      </w:pPr>
      <w:r>
        <w:t>7. Adunarea este convinsă de faptul că, fiind principala organizație a continentului european pentru apărarea drepturilor omului și a statului de drept, Consiliul Europei ar trebui să rămână proactiv în ceea ce privește evoluția drepturilor omului și să își adapteze cadrul juridic în consecință. Un instrument obligatoriu din punct de vedere juridic și executoriu, cum ar fi un protocol adițional la Convenție, ar oferi Curții, în cele din urmă, o bază incontestabilă pentru ca aceasta să se poată pronunța cu privire la încălcările drepturilor omului care decurg din efectele nefaste asupra mediului în ceea ce privește sănătatea, demnitatea și viața oamenilor.</w:t>
      </w:r>
    </w:p>
    <w:p w:rsidR="00DB7E5A" w:rsidRPr="00472687" w:rsidRDefault="0052083E" w:rsidP="00472687">
      <w:pPr>
        <w:pStyle w:val="JuQuot"/>
      </w:pPr>
      <w:r>
        <w:t>8. Adunarea consideră că recunoașterea explicită a dreptului la un mediu sănătos și durabil ar deschide calea pentru adoptarea, la nivel național, a unei legislații mai stricte în domeniul mediului și ar încuraja Curtea să adopte o abordare axată mai mult pe protecția acestui drept. Recunoașterea acestui drept ar facilita formularea de către victimele încălcărilor a unor cereri pentru acordarea de despăgubiri, acționând totodată ca un mecanism preventiv, complementar jurisprudenței Curții, care are ca scop mai degrabă repararea încălcărilor.</w:t>
      </w:r>
    </w:p>
    <w:p w:rsidR="00DB7E5A" w:rsidRPr="00472687" w:rsidRDefault="0052083E" w:rsidP="00472687">
      <w:pPr>
        <w:pStyle w:val="JuQuot"/>
      </w:pPr>
      <w:r>
        <w:lastRenderedPageBreak/>
        <w:t>9. Recunoașterea unui drept autonom la un mediu sănătos ar avea avantajul de a permite constatarea unei încălcări, indiferent dacă a fost sau nu încălcat și un alt drept, ceea ce ar asigura un loc mai important acestui drept. În acest context, Adunarea observă că, în studiile și rezoluțiile sale privind drepturile omului și mediul, Organizația Națiunilor Unite face referire, în esență, la obligațiile în materia drepturilor omului referitoare la exercitarea dreptului la un «mediu sigur, curat, sănătos și durabil». Consiliul Europei ar trebui încurajat să utilizeze această terminologie în propriile sale instrumente juridice, fără ca acest lucru să îl împiedice să meargă mai departe și să garanteze dreptul la un mediu «decent» sau «viabil din punct de vedere ecologic».</w:t>
      </w:r>
    </w:p>
    <w:bookmarkStart w:id="205" w:name="paragraph00191"/>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191</w:t>
      </w:r>
      <w:r w:rsidRPr="00472687">
        <w:fldChar w:fldCharType="end"/>
      </w:r>
      <w:bookmarkEnd w:id="205"/>
      <w:r>
        <w:t>. În Recomandarea 2211 (2021)</w:t>
      </w:r>
      <w:r>
        <w:rPr>
          <w:rStyle w:val="FootnoteReference"/>
        </w:rPr>
        <w:footnoteReference w:id="132"/>
      </w:r>
      <w:r>
        <w:t>, APCE a recomandat Comitetului de Miniștri să elaboreze un protocol adițional la Convenția europeană a drepturilor omului referitor la dreptul la un mediu sigur, curat, sănătos și durabil. Partea relevantă din această recomandare este redactată după cum urmează:</w:t>
      </w:r>
    </w:p>
    <w:p w:rsidR="00DB7E5A" w:rsidRPr="00472687" w:rsidRDefault="0052083E" w:rsidP="00472687">
      <w:pPr>
        <w:pStyle w:val="JuQuot"/>
      </w:pPr>
      <w:r>
        <w:t>„1. Adunarea Parlamentară face trimitere la Rezoluția 2396 (2021), «Anchoring the right to a healthy environment: need for enhanced action by the Council of Europe», și reafirmă necesitatea modernizării de către Consiliul Europei a activității sale normative, astfel încât să includă noua generație de drepturi ale omului. Adunarea este profund îngrijorată de viteza și amploarea degradării mediului, de pierderea biodiversității și de criza climatică ce afectează în mod direct sănătatea, demnitatea și viața oamenilor. Aceasta consideră că este timpul ca Consiliul Europei să dea dovadă de ambiție și viziune strategică pentru viitor, răspunzând acestei provocări majore care aduce cu sine schimbări în ceea ce privește drepturile omului și asigurând consolidarea protecției acestor drepturi într-o perioadă în care riscurile sistemice legate de mediu afectează generațiile actuale și viitoare.</w:t>
      </w:r>
    </w:p>
    <w:p w:rsidR="00DB7E5A" w:rsidRPr="00472687" w:rsidRDefault="0052083E" w:rsidP="00472687">
      <w:pPr>
        <w:pStyle w:val="JuQuot"/>
      </w:pPr>
      <w:r>
        <w:t>2. Adunarea constată că daunele aduse mediului împiedică din ce în ce mai mult realizarea drepturilor omului de primă generație și de a doua generație, atât la nivel individual, cât și la nivelul societății în ansamblu, subminând astfel valorile comune pe care Consiliul Europei este responsabil să le apere. Aceste prejudicii sunt recunoscute în cadrul litigiilor la nivel național în materie de mediu, atât în Europa, cât și în afara acesteia. Acestea constituie un motiv imperios pentru consolidarea și actualizarea arsenalului juridic al Consiliului Europei și pentru corelarea acțiunilor de la nivel național cu angajamentele asumate în temeiul tratatelor internaționale relevante, cum ar fi Convenția-cadru a Națiunilor Unite asupra schimbărilor climatice (UNFCCC) și Acordul de la Paris.</w:t>
      </w:r>
    </w:p>
    <w:p w:rsidR="00DB7E5A" w:rsidRPr="00472687" w:rsidRDefault="0052083E" w:rsidP="00472687">
      <w:pPr>
        <w:pStyle w:val="JuQuot"/>
      </w:pPr>
      <w:r>
        <w:t>3. În acest scop, Adunarea adresează Comitetului de Miniștri următoarele recomandări:</w:t>
      </w:r>
    </w:p>
    <w:p w:rsidR="00DB7E5A" w:rsidRPr="00472687" w:rsidRDefault="0052083E" w:rsidP="00472687">
      <w:pPr>
        <w:pStyle w:val="JuQuot"/>
      </w:pPr>
      <w:r>
        <w:t>3.1 să elaboreze un protocol adițional la Convenția europeană a drepturilor omului (Seria de tratate europene STE nr. 5, denumită în continuare «Convenția»), referitor la dreptul la un mediu sigur, curat, sănătos și durabil, bazat pe terminologia utilizată de Organizația Națiunilor Unite și pe textul reprodus mai jos, care face parte integrantă din prezenta recomandare; includerea acestui drept în Convenție ar stabili în mod clar faptul că statele membre au responsabilitatea de a menține mediul într-o stare care să le permită oamenilor să trăiască o viață demnă și să aibă o stare bună de sănătate și să își exercite pe deplin celelalte drepturi fundamentale; de asemenea, aceasta ar promova o protecție mult mai eficientă a dreptului la un mediu sigur, curat, sănătos și durabil la nivel național, inclusiv pentru generațiile viitoare;</w:t>
      </w:r>
    </w:p>
    <w:p w:rsidR="00DB7E5A" w:rsidRPr="00472687" w:rsidRDefault="0052083E" w:rsidP="00472687">
      <w:pPr>
        <w:pStyle w:val="JuQuot"/>
      </w:pPr>
      <w:r>
        <w:lastRenderedPageBreak/>
        <w:t>3.2 să elaboreze un protocol adițional la Carta socială europeană (Seria de tratate europene STE nr. 35 și 163, denumită în continuare «Carta»), referitor la dreptul la un mediu sigur, curat, sănătos și durabil; includerea acestui drept în Cartă ar permite recunoașterea interdependenței dintre protecția drepturilor sociale și protecția mediului; de asemenea, ar permite organizațiilor neguvernamentale să formuleze reclamații colective referitoare la probleme de mediu;</w:t>
      </w:r>
    </w:p>
    <w:p w:rsidR="00DB7E5A" w:rsidRPr="00472687" w:rsidRDefault="0052083E" w:rsidP="00472687">
      <w:pPr>
        <w:pStyle w:val="JuQuot"/>
      </w:pPr>
      <w:r>
        <w:t>3.3 să înceapă lucrările pregătitoare pentru un studiu de fezabilitate pentru o convenție de tip «cinci P» privind riscurile de mediu și riscurile tehnologice pentru sănătatea, demnitatea și viața oamenilor; elaborarea unei astfel de convenții ar permite includerea principiilor prevenirii, precauției și menținerii nivelului de protecție, necesare pentru a asigura protecția efectivă a dreptului umanității la un mediu sănătos; convenția ar putea să includă și un mecanism supranațional de monitorizare, după modelul comitetelor de experți independenți, cum ar fi Grupul de experți pentru lupta împotriva traficului de ființe umane (GRETA) și Grupul de experți în intervenția contra violenței împotriva femeilor și a violenței domestice (GREVIO);</w:t>
      </w:r>
    </w:p>
    <w:p w:rsidR="00DB7E5A" w:rsidRPr="00472687" w:rsidRDefault="0052083E" w:rsidP="00472687">
      <w:pPr>
        <w:pStyle w:val="JuQuot"/>
      </w:pPr>
      <w:r>
        <w:t>3.4 să revizuiască Recomandarea CM/Rec(2016)3 privind drepturile omului și întreprinderile, cu scopul de a consolida responsabilitatea întreprinderilor față de mediu, pentru a proteja în mod adecvat dreptul omului la un mediu sigur, curat, sănătos și durabil. ”</w:t>
      </w:r>
    </w:p>
    <w:p w:rsidR="00DB7E5A" w:rsidRPr="00472687" w:rsidRDefault="00C71855" w:rsidP="00472687">
      <w:pPr>
        <w:pStyle w:val="JuPara"/>
      </w:pPr>
      <w:fldSimple w:instr=" SEQ level0 \*arabic \* MERGEFORMAT ">
        <w:r w:rsidR="00472687" w:rsidRPr="00472687">
          <w:t>192</w:t>
        </w:r>
      </w:fldSimple>
      <w:r w:rsidR="00B71F73">
        <w:t>. APCE a adoptat, de asemenea, o recomandare</w:t>
      </w:r>
      <w:r w:rsidR="0052083E">
        <w:rPr>
          <w:rStyle w:val="FootnoteReference"/>
        </w:rPr>
        <w:footnoteReference w:id="133"/>
      </w:r>
      <w:r w:rsidR="00B71F73">
        <w:t xml:space="preserve"> și o rezoluție</w:t>
      </w:r>
      <w:r w:rsidR="0052083E">
        <w:rPr>
          <w:rStyle w:val="FootnoteReference"/>
        </w:rPr>
        <w:footnoteReference w:id="134"/>
      </w:r>
      <w:r w:rsidR="00B71F73">
        <w:t>, intitulate „The climate crisis and the rule of law” (Criza climatică și statul de drept). Rezoluția face referire la jurisprudența Curții privind prejudiciile aduse mediului. În special, aceasta îndeamnă statele membre</w:t>
      </w:r>
    </w:p>
    <w:p w:rsidR="00C014F0" w:rsidRPr="00472687" w:rsidRDefault="0052083E" w:rsidP="00472687">
      <w:pPr>
        <w:pStyle w:val="JuQuot"/>
      </w:pPr>
      <w:r>
        <w:t>„5.1 să promoveze statul de drept și să utilizeze un proces legislativ transparent, responsabil și democratic, pentru punerea în aplicare a obiectivului «zero emisii nete» pe baza unor planuri clare și credibile de îndeplinire a angajamentelor de menținere a creșterii temperaturii globale în conformitate cu principalul obiectiv al Acordului de la Paris, ceea ce reprezintă o creștere de 1,5°C a temperaturilor medii;”</w:t>
      </w:r>
    </w:p>
    <w:p w:rsidR="00DB7E5A" w:rsidRPr="00472687" w:rsidRDefault="0052083E" w:rsidP="00472687">
      <w:pPr>
        <w:pStyle w:val="JuH1"/>
        <w:numPr>
          <w:ilvl w:val="3"/>
          <w:numId w:val="43"/>
        </w:numPr>
      </w:pPr>
      <w:bookmarkStart w:id="209" w:name="_Toc199273467"/>
      <w:r>
        <w:t>Comitetul de Miniștri</w:t>
      </w:r>
      <w:bookmarkEnd w:id="209"/>
    </w:p>
    <w:bookmarkStart w:id="210" w:name="paragraph00193"/>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193</w:t>
      </w:r>
      <w:r w:rsidRPr="00472687">
        <w:fldChar w:fldCharType="end"/>
      </w:r>
      <w:bookmarkEnd w:id="210"/>
      <w:r>
        <w:t>. Comitetul de Miniștri a publicat răspunsurile acestuia la recomandările sus-menționate ale Adunării Parlamentare. În ceea ce privește recomandarea referitoare la adoptarea unui nou protocol la Convenția europeană a drepturilor omului, acesta a răspuns, la 4 octombrie 2022, că a însărcinat Comitetul director pentru drepturile omului (CDDH) să întreprindă alte activități posibile, inclusiv elaborarea unui studiu privind necesitatea și fezabilitatea unuia sau mai multor noi instrumente cu privire la drepturile omului și mediul</w:t>
      </w:r>
      <w:r>
        <w:rPr>
          <w:rStyle w:val="FootnoteReference"/>
        </w:rPr>
        <w:footnoteReference w:id="135"/>
      </w:r>
      <w:r>
        <w:t>.</w:t>
      </w:r>
    </w:p>
    <w:p w:rsidR="00DB7E5A" w:rsidRPr="00472687" w:rsidRDefault="00C71855" w:rsidP="00472687">
      <w:pPr>
        <w:pStyle w:val="JuPara"/>
      </w:pPr>
      <w:fldSimple w:instr=" SEQ level0 \*arabic \* MERGEFORMAT ">
        <w:r w:rsidR="00472687" w:rsidRPr="00472687">
          <w:t>194</w:t>
        </w:r>
      </w:fldSimple>
      <w:r w:rsidR="00B71F73">
        <w:t xml:space="preserve">. La 27 septembrie 2022, Comitetul de Miniștri a adoptat Recomandarea CM/Rec(2022)20 adresată statelor membre cu privire la </w:t>
      </w:r>
      <w:r w:rsidR="00B71F73">
        <w:lastRenderedPageBreak/>
        <w:t>drepturile omului și protecția mediului. În preambulul acestui text, Comitetul de Miniștri a subliniat</w:t>
      </w:r>
    </w:p>
    <w:p w:rsidR="00DB7E5A" w:rsidRPr="00472687" w:rsidRDefault="0052083E" w:rsidP="00472687">
      <w:pPr>
        <w:pStyle w:val="JuQuot"/>
      </w:pPr>
      <w:r>
        <w:t>„recunoașterea pe scară largă a dreptului la un mediu curat, sănătos și durabil, sub o formă sau alta, în special în cadrul instrumentelor internaționale, inclusiv al instrumentelor regionale privind drepturile omului, precum și în constituțiile, legile și politicile naționale;”</w:t>
      </w:r>
    </w:p>
    <w:p w:rsidR="00DB7E5A" w:rsidRPr="00472687" w:rsidRDefault="00C71855" w:rsidP="00472687">
      <w:pPr>
        <w:pStyle w:val="JuPara"/>
      </w:pPr>
      <w:fldSimple w:instr=" SEQ level0 \*arabic \* MERGEFORMAT ">
        <w:r w:rsidR="00472687" w:rsidRPr="00472687">
          <w:t>195</w:t>
        </w:r>
      </w:fldSimple>
      <w:r w:rsidR="00B71F73">
        <w:t>. În continuare, Comitetul de Miniștri a recomandat statelor membre</w:t>
      </w:r>
    </w:p>
    <w:p w:rsidR="00DB7E5A" w:rsidRPr="00472687" w:rsidRDefault="0052083E" w:rsidP="00472687">
      <w:pPr>
        <w:pStyle w:val="JuQuot"/>
      </w:pPr>
      <w:r>
        <w:t>„1. să reflecteze asupra naturii, conținutului și implicațiilor dreptului la un mediu curat, sănătos și durabil și, pe această bază, să ia în considerare în mod activ recunoașterea acestui drept la nivel național ca fiind un drept al omului care este important pentru exercitarea drepturilor omului și care este legat de alte drepturi și de dreptul internațional existent;</w:t>
      </w:r>
    </w:p>
    <w:p w:rsidR="00C014F0" w:rsidRPr="00472687" w:rsidRDefault="0052083E" w:rsidP="00472687">
      <w:pPr>
        <w:pStyle w:val="JuQuot"/>
      </w:pPr>
      <w:r>
        <w:t>2. să își revizuiască legislația și practicile naționale pentru a se asigura că acestea respectă recomandările, principiile și orientările enunțate în anexa la prezenta recomandare;</w:t>
      </w:r>
    </w:p>
    <w:p w:rsidR="00DB7E5A" w:rsidRPr="00472687" w:rsidRDefault="0052083E" w:rsidP="00472687">
      <w:pPr>
        <w:pStyle w:val="JuQuot"/>
      </w:pPr>
      <w:r>
        <w:t>[...] ”</w:t>
      </w:r>
    </w:p>
    <w:p w:rsidR="00DB7E5A" w:rsidRPr="00472687" w:rsidRDefault="00C71855" w:rsidP="00472687">
      <w:pPr>
        <w:pStyle w:val="JuPara"/>
      </w:pPr>
      <w:fldSimple w:instr=" SEQ level0 \*arabic \* MERGEFORMAT ">
        <w:r w:rsidR="00472687" w:rsidRPr="00472687">
          <w:t>196</w:t>
        </w:r>
      </w:fldSimple>
      <w:r w:rsidR="00B71F73">
        <w:t>. Anexa la această recomandare, care conține șase puncte, are următorul cuprins:</w:t>
      </w:r>
    </w:p>
    <w:p w:rsidR="00DB7E5A" w:rsidRPr="00472687" w:rsidRDefault="0052083E" w:rsidP="00472687">
      <w:pPr>
        <w:pStyle w:val="JuQuot"/>
      </w:pPr>
      <w:r>
        <w:t>„1. La punerea în aplicare a prezentei recomandări, statele membre ar trebui să asigure respectarea principiilor generale ale dreptului internațional al mediului, cum ar fi principiul de a «nu face rău», principiul prevenirii, principiul precauției și principiul «poluatorul plătește», și să țină seama de necesitatea egalității între generații.</w:t>
      </w:r>
    </w:p>
    <w:p w:rsidR="00DB7E5A" w:rsidRPr="00472687" w:rsidRDefault="0052083E" w:rsidP="00472687">
      <w:pPr>
        <w:pStyle w:val="JuQuot"/>
      </w:pPr>
      <w:r>
        <w:t>2. Statele membre ar trebui să asigure, fără discriminare, exercitarea efectivă a drepturilor și libertăților prevăzute în Convenția pentru apărarea drepturilor omului și a libertăților fundamentale și, după caz, în Carta socială europeană și în Carta socială europeană revizuită, inclusiv în domeniul mediului.</w:t>
      </w:r>
    </w:p>
    <w:p w:rsidR="00DB7E5A" w:rsidRPr="00472687" w:rsidRDefault="0052083E" w:rsidP="00472687">
      <w:pPr>
        <w:pStyle w:val="JuQuot"/>
      </w:pPr>
      <w:r>
        <w:t>3. Statele membre ar trebui să ia măsuri adecvate pentru a proteja drepturile persoanelor care sunt cele mai vulnerabile în fața prejudiciilor aduse mediului sau sunt în mod special amenințate de acestea, ținând seama de nevoile și capacitățile acestora, precum și de riscurile la care sunt expuse.</w:t>
      </w:r>
    </w:p>
    <w:p w:rsidR="00DB7E5A" w:rsidRPr="00472687" w:rsidRDefault="0052083E" w:rsidP="00472687">
      <w:pPr>
        <w:pStyle w:val="JuQuot"/>
      </w:pPr>
      <w:r>
        <w:t>4. Statele membre ar trebui să garanteze accesul, fără discriminare, printre altele, la informații cu privire la mediu și la justiție în probleme de mediu, la participarea la luarea deciziilor în probleme de mediu și la educația cu privire la mediu. Statele membre ar trebui să se asigure că drepturile omului sunt luate în considerare în toate etapele procesului de luare a deciziilor în probleme de mediu.</w:t>
      </w:r>
    </w:p>
    <w:p w:rsidR="00DB7E5A" w:rsidRPr="00472687" w:rsidRDefault="0052083E" w:rsidP="00472687">
      <w:pPr>
        <w:pStyle w:val="JuQuot"/>
      </w:pPr>
      <w:r>
        <w:t>5. Ținând seama de rolul lor esențial în ceea ce privește protecția mediului, statele membre ar trebui să consulte entitățile subnaționale, societatea civilă, instituțiile naționale pentru drepturile omului, instituțiile regionale pentru protecția și promovarea drepturilor omului, apărătorii drepturilor omului în materie de mediu, actorii economici, popoarele indigene și comunitățile locale, orașele și regiunile, precum și să coopereze cu acestea pentru punerea în aplicare a prezentei recomandări.</w:t>
      </w:r>
    </w:p>
    <w:p w:rsidR="00DB7E5A" w:rsidRPr="00472687" w:rsidRDefault="0052083E" w:rsidP="00472687">
      <w:pPr>
        <w:pStyle w:val="JuQuot"/>
      </w:pPr>
      <w:r>
        <w:t>6. Statele membre ar trebui să încurajeze întreprinderile sau, după caz, să le solicite să acționeze în conformitate cu responsabilitățile lor legate de drepturile omului în materie de mediu, inclusiv prin aplicarea combinații adecvate de măsuri – naționale și internaționale, atât obligatorii, cât și voluntare. ”</w:t>
      </w:r>
    </w:p>
    <w:p w:rsidR="00DB7E5A" w:rsidRPr="00472687" w:rsidRDefault="00C71855" w:rsidP="00472687">
      <w:pPr>
        <w:pStyle w:val="JuPara"/>
      </w:pPr>
      <w:fldSimple w:instr=" SEQ level0 \*arabic \* MERGEFORMAT ">
        <w:r w:rsidR="00472687" w:rsidRPr="00472687">
          <w:t>197</w:t>
        </w:r>
      </w:fldSimple>
      <w:r w:rsidR="00B71F73">
        <w:t>. În expunerea de motive a acestei recomandări</w:t>
      </w:r>
      <w:r w:rsidR="0052083E">
        <w:rPr>
          <w:vertAlign w:val="superscript"/>
        </w:rPr>
        <w:footnoteReference w:id="136"/>
      </w:r>
      <w:r w:rsidR="00B71F73">
        <w:t>, CDDH a indicat că aceasta nu avea niciun efect asupra naturii juridice a instrumentelor pe care s-a întemeiat sau asupra întinderii obligațiilor juridice existente ale statelor și nici nu urmărea să stabilească noi standarde sau obligații.</w:t>
      </w:r>
    </w:p>
    <w:p w:rsidR="00DB7E5A" w:rsidRPr="00472687" w:rsidRDefault="0052083E" w:rsidP="00472687">
      <w:pPr>
        <w:pStyle w:val="JuH1"/>
        <w:numPr>
          <w:ilvl w:val="3"/>
          <w:numId w:val="44"/>
        </w:numPr>
      </w:pPr>
      <w:bookmarkStart w:id="212" w:name="_Toc199273468"/>
      <w:r>
        <w:t>Comisarul pentru Drepturile Omului al Consiliului Europei</w:t>
      </w:r>
      <w:bookmarkEnd w:id="212"/>
    </w:p>
    <w:p w:rsidR="00DB7E5A" w:rsidRPr="00472687" w:rsidRDefault="00472687" w:rsidP="00472687">
      <w:pPr>
        <w:pStyle w:val="JuPara"/>
      </w:pPr>
      <w:r w:rsidRPr="00472687">
        <w:fldChar w:fldCharType="begin"/>
      </w:r>
      <w:r w:rsidR="0052083E">
        <w:instrText xml:space="preserve"> SEQ level0 \*arabic \* MERGEFORMAT </w:instrText>
      </w:r>
      <w:r w:rsidRPr="00472687">
        <w:fldChar w:fldCharType="separate"/>
      </w:r>
      <w:r w:rsidRPr="00472687">
        <w:t>198</w:t>
      </w:r>
      <w:r w:rsidRPr="00472687">
        <w:fldChar w:fldCharType="end"/>
      </w:r>
      <w:r>
        <w:t>. În Comentariul privind drepturile omului, intitulat „Living in a clean environment: a neglected human rights concern for all of us” (Viața într-un mediu sănătos, un drept neglijat, care ne privește pe toți)</w:t>
      </w:r>
      <w:r w:rsidR="0052083E">
        <w:rPr>
          <w:vertAlign w:val="superscript"/>
        </w:rPr>
        <w:footnoteReference w:id="137"/>
      </w:r>
      <w:r>
        <w:t>, Comisarul a declarat următoarele:</w:t>
      </w:r>
    </w:p>
    <w:p w:rsidR="00DB7E5A" w:rsidRPr="00472687" w:rsidRDefault="0052083E" w:rsidP="00472687">
      <w:pPr>
        <w:pStyle w:val="JuQuot"/>
      </w:pPr>
      <w:r>
        <w:t>Organismele Consiliului Europei care monitorizează punerea în aplicare a Convenției europene a drepturilor omului și a Cartei sociale europene au elaborat o vastă jurisprudență, care definește obligațiile statelor părți în materie de mediu. Mediul nu este menționat în mod expres în Convenție, dar Curtea Europeană a Drepturilor Omului (Curtea) a stabilit clar că anumite forme de degradare a mediului pot duce la încălcări ale drepturilor precum dreptul la viață, dreptul la respectarea vieții private și de familie, interzicerea tratamentelor inumane sau degradante și dreptul de folosință netulburată a locuinței. În plus, Comitetul European pentru Drepturi Sociale a considerat, în interpretarea sa a dreptului la sănătate garantat de Cartă, că acesta include dreptul la un mediu sănătos.</w:t>
      </w:r>
    </w:p>
    <w:p w:rsidR="00DB7E5A" w:rsidRPr="00472687" w:rsidRDefault="0052083E" w:rsidP="00472687">
      <w:pPr>
        <w:pStyle w:val="JuQuot"/>
      </w:pPr>
      <w:r>
        <w:t>[...]</w:t>
      </w:r>
    </w:p>
    <w:p w:rsidR="00DB7E5A" w:rsidRPr="00472687" w:rsidRDefault="0052083E" w:rsidP="00472687">
      <w:pPr>
        <w:pStyle w:val="JuQuot"/>
      </w:pPr>
      <w:r>
        <w:t>Statele trebuie să adopte – și să pună în aplicare – politici și măsuri ambițioase pentru conservarea mediului și a biodiversității, combaterea poluării aerului, a apei și a solului, atenuarea schimbărilor climatice și gestionarea corectă a deșeurilor. În acest context, acestea ar trebui să acorde o atenție deosebită protecției drepturilor persoanelor celor mai vulnerabile, în special ale copiilor și ale grupurilor defavorizate din punct de vedere economic sau marginalizate, care tind să fie mai afectate de degradarea mediului. Se impune o nouă abordare: nu o abordare de la caz la caz, care să răspundă doar plângerilor individuale, ci o abordare preventivă, la nivel național și local, bazată pe standardele Consiliului Europei în domeniul drepturilor omului. Acest lucru implică, de asemenea, asigurarea faptului că politicile de mediu sunt însoțite de măsuri de protecție a drepturilor persoanelor pe care aceste politici le-ar putea afecta negativ, inclusiv drepturile la muncă și la condiții de trai decente ale persoanelor care lucrează în industria minieră sau în industria grea, de exemplu. Este extrem de important ca guvernele să se concentreze pe sensibilizarea și educarea cetățenilor de la o vârstă fragedă cu privire la necesitatea conservării mediului. Acestea trebuie, de asemenea, să se asigure că cetățenii își pot exercita drepturile la informare, participare și reparații, și să își asume angajamentul în acest sens, prin ratificarea Convenției de la Aarhus. ”</w:t>
      </w:r>
    </w:p>
    <w:p w:rsidR="00DB7E5A" w:rsidRPr="00472687" w:rsidRDefault="0052083E" w:rsidP="00472687">
      <w:pPr>
        <w:pStyle w:val="JuH1"/>
        <w:numPr>
          <w:ilvl w:val="3"/>
          <w:numId w:val="45"/>
        </w:numPr>
      </w:pPr>
      <w:bookmarkStart w:id="213" w:name="_Toc199273469"/>
      <w:r>
        <w:t>Alte documente</w:t>
      </w:r>
      <w:bookmarkEnd w:id="213"/>
    </w:p>
    <w:p w:rsidR="00DB7E5A" w:rsidRPr="00472687" w:rsidRDefault="00C71855" w:rsidP="00472687">
      <w:pPr>
        <w:pStyle w:val="JuPara"/>
      </w:pPr>
      <w:fldSimple w:instr=" SEQ level0 \*arabic \* MERGEFORMAT ">
        <w:r w:rsidR="00472687" w:rsidRPr="00472687">
          <w:t>199</w:t>
        </w:r>
      </w:fldSimple>
      <w:r w:rsidR="00B71F73">
        <w:t>. În 2020, Comisia Europeană pentru Democrație prin Drept („Comisia de la Veneția”) a declarat următoarele cu privire la chestiunea controlului jurisdicțional în domeniul protecției mediului:</w:t>
      </w:r>
    </w:p>
    <w:p w:rsidR="00DB7E5A" w:rsidRPr="00472687" w:rsidRDefault="0052083E" w:rsidP="00472687">
      <w:pPr>
        <w:pStyle w:val="JuQuot"/>
      </w:pPr>
      <w:r>
        <w:lastRenderedPageBreak/>
        <w:t>„114. Comisia de la Veneția este conștientă de problemele legate de controlul judiciar în domeniul protecției mediului. Criticii sau scepticii vor spune că acest domeniu nu se pretează controlului judiciar, deoarece va implica instanțele în discuții sofisticate despre științele naturii. Aceștia ar putea susține, de asemenea, că, întrucât protecția mediului este un domeniu care ține de puterea discreționară și de compromisurile politice, puterea judecătorească nu ar trebui să intervină în cazul în care un parlament sau un guvern face un compromis politic cu privire la protecția mediului. Cu toate acestea, un argument important pentru a contracara o astfel de concluzie este acela că protecția mediului nu este asemenea conflictului tradițional din domeniul drepturilor omului, în cazul căruia minoritatea are nevoie de protecție împotriva majorității. În domeniul protecției mediului, există o dimensiune complet nouă: protecția drepturilor generațiilor viitoare. Întrucât generațiile viitoare nu participă la democrația de astăzi și nu votează la alegerile actuale, puterea judecătorească pare să fie cea mai în măsură să protejeze generațiile viitoare împotriva deciziilor politicienilor actuali. ”</w:t>
      </w:r>
      <w:r>
        <w:rPr>
          <w:vertAlign w:val="superscript"/>
        </w:rPr>
        <w:footnoteReference w:id="138"/>
      </w:r>
    </w:p>
    <w:p w:rsidR="00DB7E5A" w:rsidRPr="00472687" w:rsidRDefault="00C71855" w:rsidP="00472687">
      <w:pPr>
        <w:pStyle w:val="JuPara"/>
      </w:pPr>
      <w:fldSimple w:instr=" SEQ level0 \*arabic \* MERGEFORMAT ">
        <w:r w:rsidR="00472687" w:rsidRPr="00472687">
          <w:t>200</w:t>
        </w:r>
      </w:fldSimple>
      <w:r w:rsidR="00B71F73">
        <w:t>. Anexa V la Declarația de la Reykjavík</w:t>
      </w:r>
      <w:r w:rsidR="0052083E">
        <w:rPr>
          <w:vertAlign w:val="superscript"/>
        </w:rPr>
        <w:footnoteReference w:id="139"/>
      </w:r>
      <w:r w:rsidR="00B71F73">
        <w:t xml:space="preserve"> prevede următoarele:</w:t>
      </w:r>
    </w:p>
    <w:p w:rsidR="00DB7E5A" w:rsidRPr="00472687" w:rsidRDefault="0052083E" w:rsidP="00472687">
      <w:pPr>
        <w:pStyle w:val="JuQuot"/>
      </w:pPr>
      <w:r>
        <w:t>„Noi, șefii de stat și de guvern, subliniem necesitatea urgentă de a lua măsuri coordonate pentru a proteja mediul prin soluționarea triplei crize planetare a poluării, a schimbărilor climatice și a pierderii biodiversității. Afirmăm că drepturile omului și mediul sunt strâns legate între ele și că un mediu curat, sănătos și durabil este esențial pentru exercitarea deplină a drepturilor omului de către generațiile prezente și viitoare.</w:t>
      </w:r>
    </w:p>
    <w:p w:rsidR="00DB7E5A" w:rsidRPr="00472687" w:rsidRDefault="0052083E" w:rsidP="00472687">
      <w:pPr>
        <w:pStyle w:val="JuQuot"/>
      </w:pPr>
      <w:r>
        <w:t>[...]</w:t>
      </w:r>
    </w:p>
    <w:p w:rsidR="00DB7E5A" w:rsidRPr="00472687" w:rsidRDefault="0052083E" w:rsidP="00472687">
      <w:pPr>
        <w:pStyle w:val="JuQuot"/>
      </w:pPr>
      <w:r>
        <w:t>Observăm că dreptul la un mediu sănătos este consacrat în diferite moduri în mai multe constituții ale statelor membre ale Consiliului Europei și că dreptul la un mediu curat, sănătos și durabil beneficiază de o recunoaștere tot mai mare, inclusiv în cadrul instrumentelor internaționale și al instrumentelor regionale privind drepturile omului, precum și în constituțiile, legile și politicile naționale.</w:t>
      </w:r>
    </w:p>
    <w:p w:rsidR="00DB7E5A" w:rsidRPr="00472687" w:rsidRDefault="0052083E" w:rsidP="00472687">
      <w:pPr>
        <w:pStyle w:val="JuQuot"/>
      </w:pPr>
      <w:r>
        <w:t>Reamintim vasta jurisprudență și practică în materie de mediu și drepturile omului dezvoltată de Curtea Europeană a Drepturilor Omului și de Comitetul European pentru Drepturi Sociale. Salutăm activitatea în curs a Comitetului de Miniștri, a Adunării Parlamentare, a Congresului Autorităților Locale și Regionale, precum și a Comisarului pentru Drepturile Omului, a sectorului tineretului și a altor organisme ale Consiliului Europei în vederea consolidării protecției drepturilor omului legată de protecția mediului.</w:t>
      </w:r>
    </w:p>
    <w:p w:rsidR="00DB7E5A" w:rsidRPr="00472687" w:rsidRDefault="0052083E" w:rsidP="00472687">
      <w:pPr>
        <w:pStyle w:val="JuQuot"/>
      </w:pPr>
      <w:r>
        <w:t>[...]</w:t>
      </w:r>
    </w:p>
    <w:p w:rsidR="00DB7E5A" w:rsidRPr="00472687" w:rsidRDefault="0052083E" w:rsidP="00472687">
      <w:pPr>
        <w:pStyle w:val="JuQuot"/>
      </w:pPr>
      <w:r>
        <w:t>Împreună, ne angajăm:</w:t>
      </w:r>
    </w:p>
    <w:p w:rsidR="00DB7E5A" w:rsidRPr="00472687" w:rsidRDefault="0052083E" w:rsidP="00472687">
      <w:pPr>
        <w:pStyle w:val="JuQuot"/>
      </w:pPr>
      <w:r>
        <w:t xml:space="preserve">i. să consolidăm activitatea noastră din cadrul Consiliului Europei cu privire la aspectele de mediu legate de drepturile omului, pe baza recunoașterii politice a dreptului la un mediu curat, sănătos și durabil ca drept al omului, în conformitate cu Rezoluția 76/300 a Adunării Generale a Organizației Națiunilor Unite privind dreptul la un mediu curat, sănătos și durabil și prin continuarea punerii în aplicare a Recomandării </w:t>
      </w:r>
      <w:r>
        <w:lastRenderedPageBreak/>
        <w:t>CM/Rec(2022)20 a Comitetului de Miniștri cu privire la drepturile omului și protecția mediului;</w:t>
      </w:r>
    </w:p>
    <w:p w:rsidR="00DB7E5A" w:rsidRPr="00472687" w:rsidRDefault="0052083E" w:rsidP="00472687">
      <w:pPr>
        <w:pStyle w:val="JuQuot"/>
      </w:pPr>
      <w:r>
        <w:t>[...]</w:t>
      </w:r>
    </w:p>
    <w:p w:rsidR="00DB7E5A" w:rsidRPr="00472687" w:rsidRDefault="0052083E" w:rsidP="00472687">
      <w:pPr>
        <w:pStyle w:val="JuQuot"/>
      </w:pPr>
      <w:r>
        <w:t>v. să inițiem «procesul de la Reykjavík» pentru consolidarea activității Consiliului Europei în acest domeniu, astfel încât mediul să devină o prioritate vizibilă pentru Organizație. Procesul va concentra și eficientiza activitățile Organizației, în vederea promovării cooperării între statele membre. Vom identifica provocările în privința drepturilor omului generate de tripla criză planetară a poluării, a schimbărilor climatice și a pierderii biodiversității și vom contribui la elaborarea unor răspunsuri comune, facilitând totodată participarea tinerilor la aceste discuții. Vom realiza acest lucru în special prin consolidarea și coordonarea activităților existente ale Consiliului Europei în domeniul mediului și încurajăm înființarea unui nou Comitet interguvernamental pentru mediu și drepturile omului («Comitetul de la Reykjavík»). ”</w:t>
      </w:r>
    </w:p>
    <w:p w:rsidR="00DB7E5A" w:rsidRPr="00472687" w:rsidRDefault="0052083E" w:rsidP="00472687">
      <w:pPr>
        <w:pStyle w:val="JuHA"/>
      </w:pPr>
      <w:bookmarkStart w:id="215" w:name="_Toc149127518"/>
      <w:bookmarkStart w:id="216" w:name="_Toc158019696"/>
      <w:bookmarkStart w:id="217" w:name="_Toc199273470"/>
      <w:r>
        <w:t>Uniunea Europeană</w:t>
      </w:r>
      <w:bookmarkEnd w:id="215"/>
      <w:bookmarkEnd w:id="216"/>
      <w:bookmarkEnd w:id="217"/>
    </w:p>
    <w:p w:rsidR="00DB7E5A" w:rsidRPr="00472687" w:rsidRDefault="0052083E" w:rsidP="00472687">
      <w:pPr>
        <w:pStyle w:val="JuH1"/>
        <w:numPr>
          <w:ilvl w:val="3"/>
          <w:numId w:val="46"/>
        </w:numPr>
      </w:pPr>
      <w:bookmarkStart w:id="218" w:name="_Toc199273471"/>
      <w:r>
        <w:t>Legislația primară</w:t>
      </w:r>
      <w:bookmarkEnd w:id="218"/>
    </w:p>
    <w:p w:rsidR="00DB7E5A" w:rsidRPr="00472687" w:rsidRDefault="00C71855" w:rsidP="00472687">
      <w:pPr>
        <w:pStyle w:val="JuPara"/>
      </w:pPr>
      <w:fldSimple w:instr=" SEQ level0 \*arabic \* MERGEFORMAT ">
        <w:r w:rsidR="00472687" w:rsidRPr="00472687">
          <w:t>201</w:t>
        </w:r>
      </w:fldSimple>
      <w:r w:rsidR="00B71F73">
        <w:t>. Articolul relevant din Tratatul privind Uniunea Europeană (JO 2012/C 326, p. 13-390) se citește astfel:</w:t>
      </w:r>
    </w:p>
    <w:p w:rsidR="00DB7E5A" w:rsidRPr="00472687" w:rsidRDefault="0052083E" w:rsidP="00472687">
      <w:pPr>
        <w:pStyle w:val="JuHArticle"/>
      </w:pPr>
      <w:r>
        <w:t>Articolul 3 alineatul (3)</w:t>
      </w:r>
    </w:p>
    <w:p w:rsidR="00DB7E5A" w:rsidRPr="00472687" w:rsidRDefault="0052083E" w:rsidP="00472687">
      <w:pPr>
        <w:pStyle w:val="JuQuot"/>
      </w:pPr>
      <w:r>
        <w:t>„Uniunea [...] acționează pentru dezvoltarea durabilă a Europei [...], care tinde spre [...] un nivel înalt de protecție și de îmbunătățire a calității mediului [...] ”</w:t>
      </w:r>
    </w:p>
    <w:p w:rsidR="00DB7E5A" w:rsidRPr="00472687" w:rsidRDefault="00C71855" w:rsidP="00472687">
      <w:pPr>
        <w:pStyle w:val="JuPara"/>
      </w:pPr>
      <w:fldSimple w:instr=" SEQ level0 \*arabic \* MERGEFORMAT ">
        <w:r w:rsidR="00472687" w:rsidRPr="00472687">
          <w:t>202</w:t>
        </w:r>
      </w:fldSimple>
      <w:r w:rsidR="00B71F73">
        <w:t>. Articolele relevante din Tratatul privind funcționarea Uniunii Europene (JO 2012/C 326, p. 47–390) se citesc astfel:</w:t>
      </w:r>
    </w:p>
    <w:p w:rsidR="00DB7E5A" w:rsidRPr="00472687" w:rsidRDefault="0052083E" w:rsidP="00472687">
      <w:pPr>
        <w:pStyle w:val="JuHArticle"/>
      </w:pPr>
      <w:r>
        <w:t>Articolul 11</w:t>
      </w:r>
    </w:p>
    <w:p w:rsidR="00DB7E5A" w:rsidRPr="00472687" w:rsidRDefault="0052083E" w:rsidP="00472687">
      <w:pPr>
        <w:pStyle w:val="JuQuot"/>
      </w:pPr>
      <w:r>
        <w:t>„Cerințele de protecție a mediului trebuie integrate în definirea și punerea în aplicare a politicilor și acțiunilor Uniunii, în special pentru promovarea dezvoltării durabile. ”</w:t>
      </w:r>
    </w:p>
    <w:p w:rsidR="00DB7E5A" w:rsidRPr="00472687" w:rsidRDefault="0052083E" w:rsidP="00472687">
      <w:pPr>
        <w:pStyle w:val="JuHArticle"/>
      </w:pPr>
      <w:r>
        <w:t>Articolul 191</w:t>
      </w:r>
    </w:p>
    <w:p w:rsidR="00DB7E5A" w:rsidRPr="00472687" w:rsidRDefault="0052083E" w:rsidP="00472687">
      <w:pPr>
        <w:pStyle w:val="JuQuot"/>
      </w:pPr>
      <w:r>
        <w:t>„(1) Politica Uniunii în domeniul mediului contribuie la următoarele obiective:</w:t>
      </w:r>
    </w:p>
    <w:p w:rsidR="00DB7E5A" w:rsidRPr="00472687" w:rsidRDefault="0052083E" w:rsidP="00472687">
      <w:pPr>
        <w:pStyle w:val="JuQuot"/>
      </w:pPr>
      <w:r>
        <w:t>— conservarea, protecția și îmbunătățirea calității mediului;</w:t>
      </w:r>
    </w:p>
    <w:p w:rsidR="00DB7E5A" w:rsidRPr="00472687" w:rsidRDefault="0052083E" w:rsidP="00472687">
      <w:pPr>
        <w:pStyle w:val="JuQuot"/>
      </w:pPr>
      <w:r>
        <w:t>— ocrotirea sănătății persoanelor;</w:t>
      </w:r>
    </w:p>
    <w:p w:rsidR="00DB7E5A" w:rsidRPr="00472687" w:rsidRDefault="0052083E" w:rsidP="00472687">
      <w:pPr>
        <w:pStyle w:val="JuQuot"/>
      </w:pPr>
      <w:r>
        <w:t>— utilizarea prudentă și rațională a resurselor naturale;</w:t>
      </w:r>
    </w:p>
    <w:p w:rsidR="00DB7E5A" w:rsidRPr="00472687" w:rsidRDefault="0052083E" w:rsidP="00472687">
      <w:pPr>
        <w:pStyle w:val="JuQuot"/>
      </w:pPr>
      <w:r>
        <w:t>— promovarea pe plan internațional a unor măsuri destinate să contracareze problemele de mediu la scară regională sau mondială și în special lupta împotriva schimbărilor climatice.</w:t>
      </w:r>
    </w:p>
    <w:p w:rsidR="00DB7E5A" w:rsidRPr="00472687" w:rsidRDefault="0052083E" w:rsidP="00472687">
      <w:pPr>
        <w:pStyle w:val="JuQuot"/>
      </w:pPr>
      <w:r>
        <w:t>(2) Politica Uniunii în domeniul mediului urmărește un nivel ridicat de protecție, ținând seama de diversitatea situațiilor din diferitele regiuni ale Uniunii. Aceasta se bazează pe principiile precauției și acțiunii preventive, pe principiul remedierii, cu prioritate la sursă, a daunelor provocate mediului și pe principiul «poluatorul plătește».</w:t>
      </w:r>
    </w:p>
    <w:p w:rsidR="00DB7E5A" w:rsidRPr="00472687" w:rsidRDefault="0052083E" w:rsidP="00472687">
      <w:pPr>
        <w:pStyle w:val="JuQuot"/>
      </w:pPr>
      <w:r>
        <w:t xml:space="preserve">În acest context, măsurile de armonizare care răspund cerințelor în domeniul protecției mediului presupun, în cazurile adecvate, o clauză de salvgardare care </w:t>
      </w:r>
      <w:r>
        <w:lastRenderedPageBreak/>
        <w:t>autorizează statele membre să ia, din motive de protecție a mediului fără caracter economic, măsuri provizorii supuse unei proceduri de control din partea Uniunii.</w:t>
      </w:r>
    </w:p>
    <w:p w:rsidR="00DB7E5A" w:rsidRPr="00472687" w:rsidRDefault="0052083E" w:rsidP="00472687">
      <w:pPr>
        <w:pStyle w:val="JuQuot"/>
      </w:pPr>
      <w:r>
        <w:t>(3) În elaborarea politicii sale în domeniul mediului, Uniunea ține seama de:</w:t>
      </w:r>
    </w:p>
    <w:p w:rsidR="00DB7E5A" w:rsidRPr="00472687" w:rsidRDefault="0052083E" w:rsidP="00472687">
      <w:pPr>
        <w:pStyle w:val="JuQuot"/>
      </w:pPr>
      <w:r>
        <w:t>— datele științifice și tehnice disponibile;</w:t>
      </w:r>
    </w:p>
    <w:p w:rsidR="00DB7E5A" w:rsidRPr="00472687" w:rsidRDefault="0052083E" w:rsidP="00472687">
      <w:pPr>
        <w:pStyle w:val="JuQuot"/>
      </w:pPr>
      <w:r>
        <w:t>— condițiile de mediu din diferitele regiuni ale Uniunii;</w:t>
      </w:r>
    </w:p>
    <w:p w:rsidR="00DB7E5A" w:rsidRPr="00472687" w:rsidRDefault="0052083E" w:rsidP="00472687">
      <w:pPr>
        <w:pStyle w:val="JuQuot"/>
      </w:pPr>
      <w:r>
        <w:t>— avantajele și costurile care pot rezulta din acțiune sau din inacțiune;</w:t>
      </w:r>
    </w:p>
    <w:p w:rsidR="00DB7E5A" w:rsidRPr="00472687" w:rsidRDefault="0052083E" w:rsidP="00472687">
      <w:pPr>
        <w:pStyle w:val="JuQuot"/>
      </w:pPr>
      <w:r>
        <w:t>— dezvoltarea economică și socială a Uniunii în ansamblul său și de dezvoltarea echilibrată a regiunilor sale.</w:t>
      </w:r>
    </w:p>
    <w:p w:rsidR="00DB7E5A" w:rsidRPr="00472687" w:rsidRDefault="0052083E" w:rsidP="00472687">
      <w:pPr>
        <w:pStyle w:val="JuQuot"/>
      </w:pPr>
      <w:r>
        <w:t>[...] ”</w:t>
      </w:r>
    </w:p>
    <w:p w:rsidR="00DB7E5A" w:rsidRPr="00472687" w:rsidRDefault="0052083E" w:rsidP="00472687">
      <w:pPr>
        <w:pStyle w:val="JuHArticle"/>
      </w:pPr>
      <w:r>
        <w:t>Articolul 263</w:t>
      </w:r>
    </w:p>
    <w:p w:rsidR="00DB7E5A" w:rsidRPr="00472687" w:rsidRDefault="0052083E" w:rsidP="00472687">
      <w:pPr>
        <w:pStyle w:val="JuQuot"/>
      </w:pPr>
      <w:r>
        <w:t>„Curtea de Justiție a Uniunii Europene controlează legalitatea actelor legislative, a actelor Consiliului, ale Comisiei și ale Băncii Centrale Europene, altele decât recomandările și avizele, și a actelor Parlamentului European și ale Consiliului European menite să producă efecte juridice față de terți. Aceasta controlează, de asemenea, legalitatea actelor organelor, oficiilor sau agențiilor Uniunii destinate să producă efecte juridice față de terți.</w:t>
      </w:r>
    </w:p>
    <w:p w:rsidR="00DB7E5A" w:rsidRPr="00472687" w:rsidRDefault="0052083E" w:rsidP="00472687">
      <w:pPr>
        <w:pStyle w:val="JuQuot"/>
      </w:pPr>
      <w:r>
        <w:t>În acest scop, Curtea are competența să se pronunțe cu privire la acțiunile formulate de un stat membru, de Parlamentul European, de Consiliu sau de Comisie, pentru motive de necompetență, de încălcare a unor norme fundamentale de procedură, de încălcare a tratatelor sau a oricărei norme de drept privind aplicarea acestuia ori de abuz de putere.</w:t>
      </w:r>
    </w:p>
    <w:p w:rsidR="00DB7E5A" w:rsidRPr="00472687" w:rsidRDefault="0052083E" w:rsidP="00472687">
      <w:pPr>
        <w:pStyle w:val="JuQuot"/>
      </w:pPr>
      <w:r>
        <w:t>[...]</w:t>
      </w:r>
    </w:p>
    <w:p w:rsidR="00DB7E5A" w:rsidRPr="00472687" w:rsidRDefault="0052083E" w:rsidP="00472687">
      <w:pPr>
        <w:pStyle w:val="JuQuot"/>
      </w:pPr>
      <w:r>
        <w:t>Orice persoană fizică sau juridică poate formula, în condițiile prevăzute la primul și al doilea paragraf, o acțiune împotriva actelor al căror destinatar este sau care o privesc direct și individual, precum și împotriva actelor normative care o privesc direct și care nu presupun măsuri de executare.</w:t>
      </w:r>
    </w:p>
    <w:p w:rsidR="00DB7E5A" w:rsidRPr="00472687" w:rsidRDefault="0052083E" w:rsidP="00472687">
      <w:pPr>
        <w:pStyle w:val="JuQuot"/>
      </w:pPr>
      <w:r>
        <w:t>[...] ”</w:t>
      </w:r>
    </w:p>
    <w:p w:rsidR="00DB7E5A" w:rsidRPr="00472687" w:rsidRDefault="00C71855" w:rsidP="00472687">
      <w:pPr>
        <w:pStyle w:val="JuPara"/>
      </w:pPr>
      <w:fldSimple w:instr=" SEQ level0 \*arabic \* MERGEFORMAT ">
        <w:r w:rsidR="00472687" w:rsidRPr="00472687">
          <w:t>203</w:t>
        </w:r>
      </w:fldSimple>
      <w:r w:rsidR="00B71F73">
        <w:t>. Articolul 37 din Carta drepturilor fundamentale a Uniunii Europene (JO 2012/C 326, pp. 391-407)</w:t>
      </w:r>
    </w:p>
    <w:p w:rsidR="00DB7E5A" w:rsidRPr="00472687" w:rsidRDefault="0052083E" w:rsidP="00472687">
      <w:pPr>
        <w:pStyle w:val="JuHArticle"/>
      </w:pPr>
      <w:r>
        <w:t>Articolul 37</w:t>
      </w:r>
    </w:p>
    <w:p w:rsidR="00DB7E5A" w:rsidRPr="00472687" w:rsidRDefault="0052083E" w:rsidP="00472687">
      <w:pPr>
        <w:pStyle w:val="JuHArticle"/>
      </w:pPr>
      <w:r>
        <w:t>Protecția mediului</w:t>
      </w:r>
    </w:p>
    <w:p w:rsidR="00DB7E5A" w:rsidRPr="00472687" w:rsidRDefault="0052083E" w:rsidP="00472687">
      <w:pPr>
        <w:pStyle w:val="JuQuot"/>
      </w:pPr>
      <w:r>
        <w:t>„Politicile Uniunii trebuie să prevadă un nivel ridicat de protecție a mediului și de îmbunătățire a calității acestuia, care să fie asigurat în conformitate cu principiul dezvoltării durabile. ”</w:t>
      </w:r>
    </w:p>
    <w:p w:rsidR="00DB7E5A" w:rsidRPr="00472687" w:rsidRDefault="0052083E" w:rsidP="00472687">
      <w:pPr>
        <w:pStyle w:val="JuH1"/>
        <w:numPr>
          <w:ilvl w:val="3"/>
          <w:numId w:val="46"/>
        </w:numPr>
      </w:pPr>
      <w:bookmarkStart w:id="219" w:name="_Toc199273472"/>
      <w:r>
        <w:t>Acte legislative</w:t>
      </w:r>
      <w:bookmarkEnd w:id="219"/>
    </w:p>
    <w:p w:rsidR="00DB7E5A" w:rsidRPr="00472687" w:rsidRDefault="0052083E" w:rsidP="00472687">
      <w:pPr>
        <w:pStyle w:val="JuHa0"/>
      </w:pPr>
      <w:bookmarkStart w:id="220" w:name="_Toc199273473"/>
      <w:r>
        <w:t>Acte referitoare la emisiile de GES</w:t>
      </w:r>
      <w:bookmarkEnd w:id="220"/>
    </w:p>
    <w:bookmarkStart w:id="221" w:name="paragraph00204"/>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204</w:t>
      </w:r>
      <w:r w:rsidRPr="00472687">
        <w:fldChar w:fldCharType="end"/>
      </w:r>
      <w:bookmarkEnd w:id="221"/>
      <w:r>
        <w:t xml:space="preserve">. Prin Decizia nr. 94/69/CE a Consiliului din 15 decembrie 1993 privind încheierea Convenției-cadru a Organizației Națiunilor Unite privind </w:t>
      </w:r>
      <w:r>
        <w:lastRenderedPageBreak/>
        <w:t>schimbările climatice (JO 2009/L 140, p. 136-148), Consiliul a aprobat UNFCCC în numele Comunității Europene (în prezent Uniunea Europeană).</w:t>
      </w:r>
    </w:p>
    <w:bookmarkStart w:id="222" w:name="paragraph00205"/>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205</w:t>
      </w:r>
      <w:r w:rsidRPr="00472687">
        <w:fldChar w:fldCharType="end"/>
      </w:r>
      <w:bookmarkEnd w:id="222"/>
      <w:r>
        <w:t>. Decizia nr. 406/2009/CE a Parlamentului European și a Consiliului din 23 aprilie 2009 privind efortul statelor membre de a reduce emisiile de gaze cu efect de seră astfel încât să respecte angajamentele Comunității de reducere a emisiilor de gaze cu efect de seră până în 2020 (JO 2009/L 140, p. 136-148) prevede că fiecare stat membru își limitează emisiile de GES, respectând procentul stabilit pentru statul membru respectiv (articolul 3). În anexa II la această decizie sunt detaliate procentele stabilite pentru fiecare stat membru.</w:t>
      </w:r>
    </w:p>
    <w:p w:rsidR="00DB7E5A" w:rsidRPr="00472687" w:rsidRDefault="00C71855" w:rsidP="00472687">
      <w:pPr>
        <w:pStyle w:val="JuPara"/>
      </w:pPr>
      <w:fldSimple w:instr=" SEQ level0 \*arabic \* MERGEFORMAT ">
        <w:r w:rsidR="00472687" w:rsidRPr="00472687">
          <w:t>206</w:t>
        </w:r>
      </w:fldSimple>
      <w:r w:rsidR="00B71F73">
        <w:t>. Directiva 2009/28/CE a Parlamentului European și a Consiliului din 23 aprilie 2009 privind promovarea utilizării energiei din surse regenerabile, de modificare și ulterior de abrogare a Directivelor 2001/77/CE și 2003/30/CE (JO 2009/L 140, p. 16-62) stabilește un cadru comun pentru promovarea energiei din surse regenerabile (articolul 1) și stabilește obiective naționale globale obligatorii privind utilizarea energiei din surse regenerabile (articolul 3 și anexa I).</w:t>
      </w:r>
    </w:p>
    <w:bookmarkStart w:id="223" w:name="paragraph00207"/>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207</w:t>
      </w:r>
      <w:r w:rsidRPr="00472687">
        <w:fldChar w:fldCharType="end"/>
      </w:r>
      <w:bookmarkEnd w:id="223"/>
      <w:r>
        <w:t>. Directiva 2012/27/UE a Parlamentului European și a Consiliului din 25 octombrie 2012 privind eficiența energetică, de modificare a Directivelor 2009/125/CE și 2010/30/UE și de abrogare a Directivelor 2004/8/CE și 2006/32/CE (JO 2012/L 315, p. 1-56) prevede un cadru comun de măsuri pentru promovarea eficienței energetice pe teritoriul Uniunii cu scopul de a se asigura atingerea obiectivului principal al Uniunii de 20 % în materie de eficiență energetică până în 2020 (articolul 1).</w:t>
      </w:r>
    </w:p>
    <w:bookmarkStart w:id="224" w:name="paragraph00208"/>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208</w:t>
      </w:r>
      <w:r w:rsidRPr="00472687">
        <w:fldChar w:fldCharType="end"/>
      </w:r>
      <w:bookmarkEnd w:id="224"/>
      <w:r>
        <w:t>. Regulamentul (UE) 2018/842 al Parlamentului European și al Consiliului din 30 mai 2018 privind reducerea anuală obligatorie a emisiilor de gaze cu efect de seră de către statele membre în perioada 2021-2030 în vederea unei contribuții la acțiunile climatice de respectare a angajamentelor asumate în temeiul Acordului de la Paris și de modificare a Regulamentului (UE) nr. 525/2013 (JO 2018/L 156, p. 26-42) stabilește obligațiile statelor membre în ceea ce privește contribuțiile lor minime pentru perioada 2021-2030, în vederea îndeplinirii obiectivului Uniunii de reducere, până în 2030, a emisiilor sale de GES cu 30% față de nivelurile din 2005 în anumite sectoare. Acesta prevede că fiecare stat membru va trebui să își limiteze, până în 2030, emisiile de GES, cel puțin cu procentul stabilit pentru statul membru respectiv în raport cu nivelul emisiilor sale de GES din 2005 [articolul 4 alineatul (1); anexa 1].</w:t>
      </w:r>
    </w:p>
    <w:p w:rsidR="00DB7E5A" w:rsidRPr="00472687" w:rsidRDefault="00C71855" w:rsidP="00472687">
      <w:pPr>
        <w:pStyle w:val="JuPara"/>
      </w:pPr>
      <w:fldSimple w:instr=" SEQ level0 \*arabic \* MERGEFORMAT ">
        <w:r w:rsidR="00472687" w:rsidRPr="00472687">
          <w:t>209</w:t>
        </w:r>
      </w:fldSimple>
      <w:r w:rsidR="00B71F73">
        <w:t xml:space="preserve">. Prin Regulamentul (UE) 2018/1999 al Parlamentului European și al Consiliului din 11 decembrie 2018 privind guvernanța uniunii energetice și a acțiunilor climatice („Regulamentul privind guvernanța”, JO 2018/L 328, p. 1-77), Uniunea Europeană a stabilit un mecanism de guvernanță, bazat pe strategii pe termen lung, pentru a pune în aplicare strategii și măsuri coerente cu Acordul de la Paris, concepute pentru a îndeplini obiectivele [generale și </w:t>
      </w:r>
      <w:r w:rsidR="00B71F73">
        <w:lastRenderedPageBreak/>
        <w:t>specifice ale] uniunii energetice și angajamentele pe termen lung asumate de Uniune în legătură cu emisiile de GES (articolul 1).</w:t>
      </w:r>
    </w:p>
    <w:p w:rsidR="00DB7E5A" w:rsidRPr="00472687" w:rsidRDefault="00C71855" w:rsidP="00472687">
      <w:pPr>
        <w:pStyle w:val="JuPara"/>
      </w:pPr>
      <w:fldSimple w:instr=" SEQ level0 \*arabic \* MERGEFORMAT ">
        <w:r w:rsidR="00472687" w:rsidRPr="00472687">
          <w:t>210</w:t>
        </w:r>
      </w:fldSimple>
      <w:r w:rsidR="00B71F73">
        <w:t>. Prin adoptarea Deciziei (UE) 2022/591 din 6 aprilie 2022 privind un Program general al Uniunii de acțiune pentru mediu până în 2030 (JO 2022/L 114, p. 22-36), Parlamentul European și Consiliul au instituit un program general de acțiune pentru mediu pentru perioada de până la 31 decembrie 2030 («al optulea program de acțiune pentru mediu» sau «PAM 8»).</w:t>
      </w:r>
    </w:p>
    <w:bookmarkStart w:id="225" w:name="paragraph00211"/>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211</w:t>
      </w:r>
      <w:r w:rsidRPr="00472687">
        <w:fldChar w:fldCharType="end"/>
      </w:r>
      <w:bookmarkEnd w:id="225"/>
      <w:r>
        <w:t>. Regulamentul (UE) 2021/1119 al Parlamentului European și al Consiliului din 30 iunie 2021 de instituire a cadrului pentru realizarea neutralității climatice și de modificare a Regulamentelor (CE) nr. 401/2009 și (UE) 2018/1999 („Legea europeană a climei”) (JO 2021/L 243, p. 1-17) a stabilit  un cadru pentru reducerea ireversibilă și progresivă a emisiilor antropice de GES de către surse și pentru sporirea absorbțiilor de către absorbanți reglementate în dreptul Uniunii. Regulamentul stabilește un obiectiv obligatoriu de realizare a neutralității climatice în Uniune până în 2050, în vederea îndeplinirii obiectivului pe termen lung privind temperatura prevăzut la articolul 2 alineatul (1) litera (a) din Acordul de la Paris, precum și un obiectiv obligatoriu al Uniunii privind reducerea internă netă a emisiilor de GES până în 2030. Regulamentul impune, de asemenea, stabilirea bugetului orientativ estimat al Uniunii privind GES, care trebuie să se bazeze pe cele mai bune cunoștințe științifice disponibile.</w:t>
      </w:r>
    </w:p>
    <w:p w:rsidR="00DB7E5A" w:rsidRPr="00472687" w:rsidRDefault="0052083E" w:rsidP="00472687">
      <w:pPr>
        <w:pStyle w:val="JuHa0"/>
      </w:pPr>
      <w:bookmarkStart w:id="226" w:name="_Toc199273474"/>
      <w:r>
        <w:t>Acte referitoare la accesul la informație, participarea publicului și accesul la justiție în domeniul mediului</w:t>
      </w:r>
      <w:bookmarkEnd w:id="226"/>
    </w:p>
    <w:bookmarkStart w:id="227" w:name="paragraph00212"/>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212</w:t>
      </w:r>
      <w:r w:rsidRPr="00472687">
        <w:fldChar w:fldCharType="end"/>
      </w:r>
      <w:bookmarkEnd w:id="227"/>
      <w:r>
        <w:t>. Prin Regulamentul (CE) nr. 1367/2006 al Parlamentului European și al Consiliului din 6 septembrie 2006 privind aplicarea, pentru instituțiile și organismele comunitare, a dispozițiilor Convenției de la Aarhus privind accesul la informație, participarea publicului la luarea deciziilor și accesul la justiție în domeniul mediului (JO 2006/L 264, p. 13-19), Comunitatea Europeană a garantat dreptul de acces al publicului la informațiile privind mediul primite sau elaborate de instituțiile sau organismele comunitare (articolul 1).</w:t>
      </w:r>
    </w:p>
    <w:p w:rsidR="00DB7E5A" w:rsidRPr="00472687" w:rsidRDefault="00C71855" w:rsidP="00472687">
      <w:pPr>
        <w:pStyle w:val="JuPara"/>
        <w:rPr>
          <w:b/>
          <w:bCs/>
        </w:rPr>
      </w:pPr>
      <w:fldSimple w:instr=" SEQ level0 \*arabic \* MERGEFORMAT ">
        <w:r w:rsidR="00472687" w:rsidRPr="00472687">
          <w:t>213</w:t>
        </w:r>
      </w:fldSimple>
      <w:r w:rsidR="00B71F73">
        <w:t>. Acest regulament a fost modificat recent, ca urmare a</w:t>
      </w:r>
      <w:r w:rsidR="00B71F73">
        <w:rPr>
          <w:b/>
        </w:rPr>
        <w:t xml:space="preserve"> </w:t>
      </w:r>
      <w:r w:rsidR="00B71F73">
        <w:t>concluziilor și recomandărilor formulate în 2017 de Comitetul pentru examinarea respectării dispozițiilor Convenției de la Aarhus în ceea ce privește o comunicare care i-a fost adresată de un ONG cu privire la respectarea de către Uniunea Europeană a Convenției de la Aarhus [în special a articolului 3 alineatul (1) și a articolului 9 alineatele (2), (3), (4) și (5)].</w:t>
      </w:r>
      <w:r w:rsidR="0052083E">
        <w:rPr>
          <w:rStyle w:val="FootnoteReference"/>
        </w:rPr>
        <w:footnoteReference w:id="140"/>
      </w:r>
    </w:p>
    <w:bookmarkStart w:id="228" w:name="paragraph00214"/>
    <w:p w:rsidR="00DB7E5A" w:rsidRPr="00472687" w:rsidRDefault="0052083E" w:rsidP="00472687">
      <w:pPr>
        <w:pStyle w:val="JuPara"/>
      </w:pPr>
      <w:r w:rsidRPr="00472687">
        <w:lastRenderedPageBreak/>
        <w:fldChar w:fldCharType="begin"/>
      </w:r>
      <w:r w:rsidRPr="00472687">
        <w:instrText xml:space="preserve"> SEQ level0 \*arabic \* MERGEFORMAT </w:instrText>
      </w:r>
      <w:r w:rsidRPr="00472687">
        <w:fldChar w:fldCharType="separate"/>
      </w:r>
      <w:r w:rsidR="00472687" w:rsidRPr="00472687">
        <w:t>214</w:t>
      </w:r>
      <w:r w:rsidRPr="00472687">
        <w:fldChar w:fldCharType="end"/>
      </w:r>
      <w:bookmarkEnd w:id="228"/>
      <w:r>
        <w:t>. În consecință, Regulamentul (UE) 2021/1767 din 6 octombrie 2021 de modificare a Regulamentului (CE) nr. 1367/2006 privind aplicarea, pentru instituțiile și organismele comunitare, a dispozițiilor Convenției de la Aarhus privind accesul la informație, participarea publicului la luarea deciziilor și accesul la justiție în domeniul mediului a extins domeniul de aplicare al actelor care pot face obiectul unei cereri de reexaminare internă și categoriile de persoane care sunt îndreptățite să introducă o astfel de cerere de reexaminare. Dispozițiile relevante din Regulamentul (CE) nr. 1367/2006 (versiunea consolidată) au următorul cuprins:</w:t>
      </w:r>
    </w:p>
    <w:p w:rsidR="00DB7E5A" w:rsidRPr="00472687" w:rsidRDefault="0052083E" w:rsidP="00472687">
      <w:pPr>
        <w:pStyle w:val="JuHArticle"/>
      </w:pPr>
      <w:r>
        <w:t>Articolul 2</w:t>
      </w:r>
    </w:p>
    <w:p w:rsidR="00DB7E5A" w:rsidRPr="00472687" w:rsidRDefault="0052083E" w:rsidP="00472687">
      <w:pPr>
        <w:pStyle w:val="JuHArticle"/>
      </w:pPr>
      <w:r>
        <w:t>Definiții</w:t>
      </w:r>
    </w:p>
    <w:p w:rsidR="00DB7E5A" w:rsidRPr="00472687" w:rsidRDefault="0052083E" w:rsidP="00472687">
      <w:pPr>
        <w:pStyle w:val="JuQuot"/>
      </w:pPr>
      <w:r>
        <w:t>„[...]</w:t>
      </w:r>
    </w:p>
    <w:p w:rsidR="00C014F0" w:rsidRPr="00472687" w:rsidRDefault="0052083E" w:rsidP="00472687">
      <w:pPr>
        <w:pStyle w:val="JuQuot"/>
        <w:ind w:left="567"/>
      </w:pPr>
      <w:r>
        <w:t>(g) «act administrativ» înseamnă orice act fără caracter legislativ adoptat de o instituție sau de un organ al Uniunii, care are efecte juridice externe și care conține dispoziții care ar putea să contravină dreptului mediului în înțelesul articolului 2 alineatul (1) litera (f);</w:t>
      </w:r>
    </w:p>
    <w:p w:rsidR="00DB7E5A" w:rsidRPr="00472687" w:rsidRDefault="0052083E" w:rsidP="00472687">
      <w:pPr>
        <w:pStyle w:val="JuQuot"/>
        <w:ind w:left="567"/>
      </w:pPr>
      <w:r>
        <w:t>(h) «omisiune administrativă» înseamnă neadoptarea de către o instituție sau de către un organ al Uniunii a unui act fără caracter legislativ cu efecte juridice externe, în cazul în care această neadoptare ar putea să contravină dreptului mediului în înțelesul articolului 2 alineatul (1) litera (f). ”</w:t>
      </w:r>
    </w:p>
    <w:p w:rsidR="00DB7E5A" w:rsidRPr="00472687" w:rsidRDefault="0052083E" w:rsidP="00472687">
      <w:pPr>
        <w:pStyle w:val="JuHArticle"/>
      </w:pPr>
      <w:r>
        <w:t>Articolul 10</w:t>
      </w:r>
    </w:p>
    <w:p w:rsidR="00DB7E5A" w:rsidRPr="00472687" w:rsidRDefault="0052083E" w:rsidP="00472687">
      <w:pPr>
        <w:pStyle w:val="JuHArticle"/>
      </w:pPr>
      <w:r>
        <w:t>Cererea de reexaminare internă a actelor administrative</w:t>
      </w:r>
    </w:p>
    <w:p w:rsidR="00DB7E5A" w:rsidRPr="00472687" w:rsidRDefault="0052083E" w:rsidP="00472687">
      <w:pPr>
        <w:pStyle w:val="JuQuot"/>
      </w:pPr>
      <w:r>
        <w:t>„(1) Orice organizație neguvernamentală sau alți membri ai publicului care îndeplinesc criteriile stabilite la articolul 11 sunt îndreptățiți să introducă o cerere de reexaminare internă la instituția sau organul Uniunii care a adoptat un act administrativ sau care, în cazul unei pretinse omisiuni administrative, ar fi trebuit să adopte un astfel de act, pe motiv că actul sau omisiunea respectivă contravine dreptului mediului în înțelesul articolului 2 alineatul (1) litera (f).</w:t>
      </w:r>
    </w:p>
    <w:p w:rsidR="00DB7E5A" w:rsidRPr="00472687" w:rsidRDefault="0052083E" w:rsidP="00472687">
      <w:pPr>
        <w:pStyle w:val="JuQuot"/>
      </w:pPr>
      <w:r>
        <w:t>[...] ”</w:t>
      </w:r>
    </w:p>
    <w:p w:rsidR="00DB7E5A" w:rsidRPr="00472687" w:rsidRDefault="0052083E" w:rsidP="00472687">
      <w:pPr>
        <w:pStyle w:val="JuHArticle"/>
      </w:pPr>
      <w:r>
        <w:t>Articolul 11</w:t>
      </w:r>
    </w:p>
    <w:p w:rsidR="00DB7E5A" w:rsidRPr="00472687" w:rsidRDefault="0052083E" w:rsidP="00472687">
      <w:pPr>
        <w:pStyle w:val="JuHArticle"/>
      </w:pPr>
      <w:r>
        <w:t>Criterii de legitimare la nivel de Uniune</w:t>
      </w:r>
    </w:p>
    <w:p w:rsidR="00C014F0" w:rsidRPr="00472687" w:rsidRDefault="0052083E" w:rsidP="00472687">
      <w:pPr>
        <w:pStyle w:val="JuQuot"/>
      </w:pPr>
      <w:r>
        <w:t>„(1) Orice organizație non-guvernamentală este îndreptățită să introducă o cerere de reexaminare internă în conformitate cu articolul 10, cu condiția:</w:t>
      </w:r>
    </w:p>
    <w:p w:rsidR="00364D91" w:rsidRPr="00472687" w:rsidRDefault="0052083E" w:rsidP="00472687">
      <w:pPr>
        <w:pStyle w:val="JuQuot"/>
        <w:ind w:left="567"/>
      </w:pPr>
      <w:r>
        <w:t>(a) să fie o persoană juridică independentă și fără scop lucrativ în temeiul legislației sau practicii interne a unui stat membru;</w:t>
      </w:r>
    </w:p>
    <w:p w:rsidR="00C014F0" w:rsidRPr="00472687" w:rsidRDefault="0052083E" w:rsidP="00472687">
      <w:pPr>
        <w:pStyle w:val="JuQuot"/>
        <w:ind w:left="567"/>
      </w:pPr>
      <w:r>
        <w:t>(b) să aibă ca obiectiv principal declarat promovarea protecției mediului în cadrul dreptului mediului;</w:t>
      </w:r>
    </w:p>
    <w:p w:rsidR="00C014F0" w:rsidRPr="00472687" w:rsidRDefault="0052083E" w:rsidP="00472687">
      <w:pPr>
        <w:pStyle w:val="JuQuot"/>
        <w:ind w:left="567"/>
      </w:pPr>
      <w:r>
        <w:t>(c) să fie constituită de mai mult de doi ani și să urmărească în mod activ obiectivul menționat la litera (b);</w:t>
      </w:r>
    </w:p>
    <w:p w:rsidR="00DB7E5A" w:rsidRPr="00472687" w:rsidRDefault="0052083E" w:rsidP="00472687">
      <w:pPr>
        <w:pStyle w:val="JuQuot"/>
        <w:ind w:left="567"/>
      </w:pPr>
      <w:r>
        <w:t>(d) ca obiectul cererii de reexaminare internă să fie inclus în obiectivul și activitățile organizației.</w:t>
      </w:r>
    </w:p>
    <w:p w:rsidR="00C014F0" w:rsidRPr="00472687" w:rsidRDefault="0052083E" w:rsidP="00472687">
      <w:pPr>
        <w:pStyle w:val="JuQuot"/>
      </w:pPr>
      <w:r>
        <w:lastRenderedPageBreak/>
        <w:t>(1a) O cerere de reexaminare internă poate fi introdusă, de asemenea, de alți membri ai publicului, sub rezerva următoarelor condiții:</w:t>
      </w:r>
    </w:p>
    <w:p w:rsidR="00C014F0" w:rsidRPr="00472687" w:rsidRDefault="0052083E" w:rsidP="00472687">
      <w:pPr>
        <w:pStyle w:val="JuQuot"/>
        <w:ind w:left="567"/>
      </w:pPr>
      <w:r>
        <w:t>(a) aceștia demonstrează că presupusa încălcare a dreptului Uniunii în domeniul mediului aduce o atingere drepturilor lor și că, în comparație cu publicul larg, aceștia sunt afectați în mod direct de o astfel de încălcare; sau</w:t>
      </w:r>
    </w:p>
    <w:p w:rsidR="00C014F0" w:rsidRPr="00472687" w:rsidRDefault="0052083E" w:rsidP="00472687">
      <w:pPr>
        <w:pStyle w:val="JuQuot"/>
        <w:ind w:left="567"/>
      </w:pPr>
      <w:r>
        <w:t>(b) aceștia demonstrează că există un interes public suficient și că cererea este susținută de cel puțin 4 000 de membri ai publicului care își au reședința sau sunt stabiliți în cel puțin cinci state membre, cel puțin 250 de membri ai publicului venind din fiecare dintre statele membre respective.</w:t>
      </w:r>
    </w:p>
    <w:p w:rsidR="00DB7E5A" w:rsidRPr="00472687" w:rsidRDefault="0052083E" w:rsidP="00472687">
      <w:pPr>
        <w:pStyle w:val="JuQuot"/>
        <w:ind w:left="567"/>
      </w:pPr>
      <w:r>
        <w:t>În cazurile menționate la primul paragraf, membrii publicului sunt reprezentați de o organizație neguvernamentală care îndeplinește criteriile prevăzute la alineatul (1) sau de un avocat cu drept de exercitare a profesiei în fața unei instanțe a unui stat membru. Organizația neguvernamentală sau avocatul respectiv cooperează cu instituția sau organul Uniunii în cauză pentru a stabili dacă sunt îndeplinite condițiile cantitative prevăzute la primul paragraf litera (b), după caz, și, la cerere, prezintă dovezi suplimentare în acest sens. ”</w:t>
      </w:r>
    </w:p>
    <w:p w:rsidR="00DB7E5A" w:rsidRPr="00472687" w:rsidRDefault="0052083E" w:rsidP="00472687">
      <w:pPr>
        <w:pStyle w:val="JuH1"/>
        <w:numPr>
          <w:ilvl w:val="3"/>
          <w:numId w:val="46"/>
        </w:numPr>
      </w:pPr>
      <w:bookmarkStart w:id="229" w:name="_Toc199273475"/>
      <w:r>
        <w:t>Jurisprudența Curții de Justiție și a Tribunalului Uniunii Europene</w:t>
      </w:r>
      <w:bookmarkEnd w:id="229"/>
    </w:p>
    <w:p w:rsidR="00DB7E5A" w:rsidRPr="00472687" w:rsidRDefault="00C71855" w:rsidP="00472687">
      <w:pPr>
        <w:pStyle w:val="JuPara"/>
      </w:pPr>
      <w:fldSimple w:instr=" SEQ level0 \*arabic \* MERGEFORMAT ">
        <w:r w:rsidR="00472687" w:rsidRPr="00472687">
          <w:t>215</w:t>
        </w:r>
      </w:fldSimple>
      <w:r w:rsidR="00B71F73">
        <w:t xml:space="preserve">. În 1991, Comisia Europeană a decis să acorde Spaniei asistență financiară din Fondul European de Dezvoltare Regională pentru construirea a două centrale electrice în Insulele Canare. În 1993, Greenpeace a introdus în fața Tribunalului de Primă Instanță („TPI”, în prezent Tribunalul Uniunii Europene) o acțiune în anularea deciziei Comisiei de a plăti aceste fonduri Spaniei, precum și a unei alte decizii – adoptată ulterior de Comisie, potrivit Greenpeace – de a rambursa cheltuielile suplimentare ocazionate de construirea centralelor electrice în cauză. În 1995, TPI a respins acțiunea în anulare a asociației reclamante pentru motivul că aceasta nu avea calitate procesuală. În recursul formulat de asociația reclamantă, aceasta a susținut, pe de o parte, că, prin aplicarea jurisprudenței referitoare la calitatea procesuală, dezvoltată de Curtea de Justiție a Uniunii Europene (CJUE) în privința chestiunilor economice, TPI nu a ținut seama de natura și de caracterul specific ale intereselor legate de mediu care au stau la baza acțiunii asociației și, pe de altă parte, că „abordarea adoptată de [TPI] a creat un vid juridic în ceea ce privește controlul respectării legislației comunitare cu privire la mediu, în măsura în care, în acest domeniu, interesele [erau], prin însăși natura lor, comune și împărtășite, și măsura în care [era] probabil ca drepturile legate de interesele respective să fie deținute de un număr potențial ridicat de persoane, astfel încât nu [putea] exista niciodată un cerc închis de recurenți care ar putea îndeplini criteriile reținute de [TPI] [hotărâre pronunțată de CJUE la 2 aprilie 1998 în cauza </w:t>
      </w:r>
      <w:r w:rsidR="00B71F73">
        <w:rPr>
          <w:i/>
        </w:rPr>
        <w:t>Stichting Greenpeace Council</w:t>
      </w:r>
      <w:r w:rsidR="00B71F73">
        <w:t xml:space="preserve"> </w:t>
      </w:r>
      <w:r w:rsidR="00B71F73">
        <w:rPr>
          <w:i/>
        </w:rPr>
        <w:t>(Greenpeace International) și alții împotriva Comisiei</w:t>
      </w:r>
      <w:r w:rsidR="00B71F73">
        <w:t>, C</w:t>
      </w:r>
      <w:r w:rsidR="00B71F73">
        <w:noBreakHyphen/>
        <w:t>321/95 P, EU:C:1998:153, punctele 17-18]. În răspunsul său, CJUE a declarat următoarele (</w:t>
      </w:r>
      <w:r w:rsidR="00B71F73">
        <w:rPr>
          <w:i/>
        </w:rPr>
        <w:t>ibidem</w:t>
      </w:r>
      <w:r w:rsidR="00B71F73">
        <w:t>, punctele 27-30 și 33):</w:t>
      </w:r>
    </w:p>
    <w:p w:rsidR="00DB7E5A" w:rsidRPr="00472687" w:rsidRDefault="0052083E" w:rsidP="00472687">
      <w:pPr>
        <w:pStyle w:val="JuQuot"/>
      </w:pPr>
      <w:r>
        <w:lastRenderedPageBreak/>
        <w:t>„Interpretarea articolului 173 al patrulea paragraf din Tratat [actualul articol 263 TFUE], reținută de [TPI] pentru a constata lipsa calității procesuale a recurenților, este conformă cu jurisprudența constantă a Curții [de Justiție].</w:t>
      </w:r>
    </w:p>
    <w:p w:rsidR="00DB7E5A" w:rsidRPr="00472687" w:rsidRDefault="0052083E" w:rsidP="00472687">
      <w:pPr>
        <w:pStyle w:val="JuQuot"/>
      </w:pPr>
      <w:r>
        <w:t>În ceea ce privește persoanele fizice, din jurisprudență [...] rezultă că, în cazul în care, precum în speță, situația particulară a recurentului nu a fost luată în considerare la momentul adoptării actului, care îl privește în mod general și abstract și, în fapt, la fel ca orice altă persoană aflată în aceeași situație, acest recurent nu este vizat în mod individual de actul respectiv.</w:t>
      </w:r>
    </w:p>
    <w:p w:rsidR="00DB7E5A" w:rsidRPr="00472687" w:rsidRDefault="0052083E" w:rsidP="00472687">
      <w:pPr>
        <w:pStyle w:val="JuQuot"/>
      </w:pPr>
      <w:r>
        <w:t>Același lucru este valabil și în cazul asociațiilor care își întemeiază calitatea procesuală pe faptul că persoanele pe care acestea le reprezintă sunt vizate în mod individual de decizia atacată. Având în vedere motivele indicate la punctul anterior, acest lucru nu este valabil în speță.</w:t>
      </w:r>
    </w:p>
    <w:p w:rsidR="00DB7E5A" w:rsidRPr="00472687" w:rsidRDefault="0052083E" w:rsidP="00472687">
      <w:pPr>
        <w:pStyle w:val="JuQuot"/>
      </w:pPr>
      <w:r>
        <w:t>Pentru a aprecia argumentele recurenților, prin care se urmărește să se demonstreze că jurisprudența Curții [de Justiție], astfel cum este aplicată de [TPI], nu ține seama de natura și de caracterul specific ale intereselor de mediu care stau la baza acțiunii lor, trebuie să se sublinieze că însăși decizia de a construi cele două centrale în cauză este de natură să aducă atingere drepturilor în materie de mediu invocate de recurenți, drepturi care rezultă din Directiva 85/337.</w:t>
      </w:r>
    </w:p>
    <w:p w:rsidR="00DB7E5A" w:rsidRPr="00472687" w:rsidRDefault="0052083E" w:rsidP="00472687">
      <w:pPr>
        <w:pStyle w:val="JuQuot"/>
      </w:pPr>
      <w:r>
        <w:t>[...] [...] aceste drepturi sunt, în speță, pe deplin protejate de instanțele naționale, care, dacă este cazul, pot sesiza Curtea [de Justiție] cu o întrebare preliminară în temeiul articolului 177 din Tratat [actualul articol 267 TFUE]. ”</w:t>
      </w:r>
    </w:p>
    <w:p w:rsidR="00DB7E5A" w:rsidRPr="00472687" w:rsidRDefault="00C71855" w:rsidP="00472687">
      <w:pPr>
        <w:pStyle w:val="JuPara"/>
      </w:pPr>
      <w:fldSimple w:instr=" SEQ level0 \*arabic \* MERGEFORMAT ">
        <w:r w:rsidR="00472687" w:rsidRPr="00472687">
          <w:t>216</w:t>
        </w:r>
      </w:fldSimple>
      <w:r w:rsidR="00B71F73">
        <w:t xml:space="preserve">. În hotărârea pronunțată la 25 iulie 2002 în cauza </w:t>
      </w:r>
      <w:r w:rsidR="00B71F73">
        <w:rPr>
          <w:i/>
        </w:rPr>
        <w:t>Unión de Pequeños Agricultores împotriva Consiliului Uniunii Europene</w:t>
      </w:r>
      <w:r w:rsidR="00B71F73">
        <w:t xml:space="preserve"> (C-50/00 P, EU:C:2002:462, punctele 40-41), CJUE a confirmat, după cum urmează, acest raționament privind condițiile stricte pe care trebuie să le îndeplinească persoanele fizice sau juridice pentru a avea calitate procesuală pentru a introduce o acțiune în anulare:</w:t>
      </w:r>
    </w:p>
    <w:p w:rsidR="00DB7E5A" w:rsidRPr="00472687" w:rsidRDefault="0052083E" w:rsidP="00472687">
      <w:pPr>
        <w:pStyle w:val="JuQuot"/>
      </w:pPr>
      <w:r>
        <w:t xml:space="preserve">„[T]ratatul, prin articolele 173 și 184 [actualele articole 263 și 277 TFUE], pe de o parte, și prin articolul 177 [actualul articol 267 TFUE], pe de altă parte, a instituit un sistem complet de căi de atac și de proceduri, destinat să asigure controlul legalității actelor instituțiilor, încredințându-l instanței comunitare (a se vedea, în acest sens, Hotărârea din 23 aprilie 1986, </w:t>
      </w:r>
      <w:r>
        <w:rPr>
          <w:i/>
          <w:iCs/>
        </w:rPr>
        <w:t>Les Verts/Parlamentul</w:t>
      </w:r>
      <w:r>
        <w:t xml:space="preserve">, 294/83, 294/83, Rec. p. 1339, punctul 23). În cadrul acestui sistem, persoanele fizice sau juridice care, din cauza condițiilor de admisibilitate prevăzute la articolul 173 [actualul articol 263 TFUE] al patrulea paragraf din tratat, nu pot să conteste în mod direct acte comunitare cu aplicabilitate generală, au posibilitatea, după caz, să invoce lipsa de validitate a unor astfel de acte, fie indirect, în temeiul articolului 184 din Tratat [actualul articol 277 TFUE], în fața instanței comunitare, fie în fața instanțelor naționale - care nu au competența de a constata (ele însele) lipsa de validitate a actelor menționate (a se vedea Hotărârea din 22 octombrie 1987, 314/85, </w:t>
      </w:r>
      <w:r>
        <w:rPr>
          <w:i/>
          <w:iCs/>
        </w:rPr>
        <w:t>Foto-Frost</w:t>
      </w:r>
      <w:r>
        <w:t>, Rec. p. 4199, punctul 20) - și să le solicite acestora să sesizeze Curtea cu o cerere de pronunțare a unei hotărâri preliminare cu privire la validitate.</w:t>
      </w:r>
    </w:p>
    <w:p w:rsidR="00DB7E5A" w:rsidRPr="00472687" w:rsidRDefault="0052083E" w:rsidP="00472687">
      <w:pPr>
        <w:pStyle w:val="JuQuot"/>
      </w:pPr>
      <w:r>
        <w:t>Astfel, statelor membre le revine sarcina de a institui un sistem de căi de atac și de proceduri care să permită asigurarea respectării dreptului la o protecție jurisdicțională efectivă. ”</w:t>
      </w:r>
    </w:p>
    <w:p w:rsidR="00DB7E5A" w:rsidRPr="00472687" w:rsidRDefault="00C71855" w:rsidP="00472687">
      <w:pPr>
        <w:pStyle w:val="JuPara"/>
      </w:pPr>
      <w:fldSimple w:instr=" SEQ level0 \*arabic \* MERGEFORMAT ">
        <w:r w:rsidR="00472687" w:rsidRPr="00472687">
          <w:t>217</w:t>
        </w:r>
      </w:fldSimple>
      <w:r w:rsidR="00B71F73">
        <w:t xml:space="preserve">. În 2021, CJUE a respins două acțiuni în anulare în cauze având ca obiect schimbările climatice. Într-una din cauze, recurenții au solicitat </w:t>
      </w:r>
      <w:r w:rsidR="00B71F73">
        <w:lastRenderedPageBreak/>
        <w:t>anularea pachetului legislativ privind emisiile de GES (</w:t>
      </w:r>
      <w:r w:rsidR="00B71F73">
        <w:rPr>
          <w:i/>
        </w:rPr>
        <w:t>Armando Carvalho și alții</w:t>
      </w:r>
      <w:r w:rsidR="0052083E">
        <w:rPr>
          <w:rStyle w:val="FootnoteReference"/>
        </w:rPr>
        <w:footnoteReference w:id="141"/>
      </w:r>
      <w:r w:rsidR="00B71F73">
        <w:t>); în cealaltă cauză, recurenții au solicitat anularea parțială a Directivei (UE) 2018/2001 din 11 decembrie 2018 privind promovarea utilizării energiei din surse regenerabile (</w:t>
      </w:r>
      <w:r w:rsidR="00B71F73">
        <w:rPr>
          <w:i/>
        </w:rPr>
        <w:t xml:space="preserve">Peter Sabo </w:t>
      </w:r>
      <w:r w:rsidR="00B71F73">
        <w:rPr>
          <w:i/>
          <w:iCs/>
        </w:rPr>
        <w:t>și alții</w:t>
      </w:r>
      <w:r w:rsidR="0052083E">
        <w:rPr>
          <w:rStyle w:val="FootnoteReference"/>
        </w:rPr>
        <w:footnoteReference w:id="142"/>
      </w:r>
      <w:r w:rsidR="00B71F73">
        <w:t>). Întemeindu-se pe jurisprudența sa constantă referitoare la articolul 263 al patrulea paragraf din Tratatul privind funcționarea Uniunii Europene (TFUE) (JO 2016/C 202/01, p. 47), pe calitatea procesuală a persoanelor fizice sau juridice pentru a introduce</w:t>
      </w:r>
      <w:r w:rsidR="00B71F73">
        <w:rPr>
          <w:b/>
        </w:rPr>
        <w:t xml:space="preserve"> </w:t>
      </w:r>
      <w:r w:rsidR="00B71F73">
        <w:t>o acțiune în anulare, CJUE a confirmat că autorii unei astfel de acțiuni trebuiau să fie în măsură să demonstreze că erau vizați în mod individual de actele în litigiu, condiție care nu era îndeplinită de recurenții din niciuna dintre cele două cauze în discuție.</w:t>
      </w:r>
    </w:p>
    <w:bookmarkStart w:id="232" w:name="paragraph00218"/>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218</w:t>
      </w:r>
      <w:r w:rsidRPr="00472687">
        <w:fldChar w:fldCharType="end"/>
      </w:r>
      <w:bookmarkEnd w:id="232"/>
      <w:r>
        <w:t xml:space="preserve">. Părțile relevante din hotărârea pronunțată de CJUE în cauza </w:t>
      </w:r>
      <w:r>
        <w:rPr>
          <w:i/>
        </w:rPr>
        <w:t>Armando</w:t>
      </w:r>
      <w:r>
        <w:t xml:space="preserve"> </w:t>
      </w:r>
      <w:r>
        <w:rPr>
          <w:i/>
        </w:rPr>
        <w:t>Carvalho</w:t>
      </w:r>
      <w:r>
        <w:t xml:space="preserve"> </w:t>
      </w:r>
      <w:r>
        <w:rPr>
          <w:i/>
        </w:rPr>
        <w:t>și alții</w:t>
      </w:r>
      <w:r>
        <w:t>, care a fost soluționată de o cameră întrunită în complet de trei judecători, se citesc astfel:</w:t>
      </w:r>
    </w:p>
    <w:p w:rsidR="00C014F0" w:rsidRPr="00472687" w:rsidRDefault="0052083E" w:rsidP="00472687">
      <w:pPr>
        <w:pStyle w:val="JuQuot"/>
      </w:pPr>
      <w:r>
        <w:t>„40. [T]ribunalul a statuat, în esență, că faptul că efectele schimbărilor climatice pot fi diferite de la o persoană la alta și că acestea depind de circumstanțele personale specifice fiecărei persoane nu înseamnă că fiecare dintre recurenți este vizat în mod individual în actele în litigiu. Cu alte cuvinte, faptul că, ținând seama de circumstanțele invocate, recurenții sunt afectați în mod diferit de schimbările climatice nu este suficient în sine pentru a constata calitatea procesuală a acestor recurenți pentru a introduce o acțiune în anularea unei măsuri cu aplicabilitate generală, precum actele în litigiu.</w:t>
      </w:r>
    </w:p>
    <w:p w:rsidR="00DB7E5A" w:rsidRPr="00472687" w:rsidRDefault="0052083E" w:rsidP="00472687">
      <w:pPr>
        <w:pStyle w:val="JuQuot"/>
      </w:pPr>
      <w:r>
        <w:t>41. Prin urmare, Tribunalul a statuat, la punctul 50 din ordonanța atacată, că interpretarea dată de către recurenți circumstanțelor invocate de aceștia ca dovadă a afectării lor individuale ar goli de substanță cerințele de la articolul 263 al patrulea paragraf TFUE și le-ar conferi tuturor calitatea procesuală, fără să fi fost îndeplinit criteriul afectării individuale, în sensul hotărârii Plaumann.</w:t>
      </w:r>
    </w:p>
    <w:p w:rsidR="00DB7E5A" w:rsidRPr="00472687" w:rsidRDefault="0052083E" w:rsidP="00472687">
      <w:pPr>
        <w:pStyle w:val="JuQuot"/>
      </w:pPr>
      <w:r>
        <w:t>42. În consecință, recurenții nu pot susține că Tribunalul nu a luat în considerare, în ordonanța atacată, caracteristicile lor specifice pentru a determina afectarea lor individuală.</w:t>
      </w:r>
    </w:p>
    <w:p w:rsidR="00DB7E5A" w:rsidRPr="00472687" w:rsidRDefault="0052083E" w:rsidP="00472687">
      <w:pPr>
        <w:pStyle w:val="JuQuot"/>
      </w:pPr>
      <w:r>
        <w:t>43. În plus, argumentul recurenților, potrivit căruia Tribunalul nu a făcut, în ordonanța atacată, nicio referire la probe care să demonstreze că recurenții au fost afectați în moduri diferite de schimbările climatice este, având în vedere cele de mai sus, inoperant.</w:t>
      </w:r>
    </w:p>
    <w:p w:rsidR="00DB7E5A" w:rsidRPr="00472687" w:rsidRDefault="0052083E" w:rsidP="00472687">
      <w:pPr>
        <w:pStyle w:val="JuQuot"/>
      </w:pPr>
      <w:r>
        <w:t>[...]</w:t>
      </w:r>
    </w:p>
    <w:p w:rsidR="00DB7E5A" w:rsidRPr="00472687" w:rsidRDefault="0052083E" w:rsidP="00472687">
      <w:pPr>
        <w:pStyle w:val="JuQuot"/>
      </w:pPr>
      <w:r>
        <w:t xml:space="preserve">46. Potrivit jurisprudenței constante, care nu a fost modificată de Tratatul de la Lisabona, persoanele fizice sau juridice îndeplinesc condiția referitoare la afectarea individuală doar în cazul în care actul atacat le aduce atingere ca urmare a anumitor atribute care le sunt specifice sau al unei situații de fapt care le diferențiază în raport cu orice altă persoană și, prin urmare, le individualizează într‑un mod analog unui destinatar (Hotărârea din 3 octombrie 2013, </w:t>
      </w:r>
      <w:r>
        <w:rPr>
          <w:i/>
          <w:iCs/>
        </w:rPr>
        <w:t xml:space="preserve">Inuit Tapiriit Kanatami și alții/Parlamentul </w:t>
      </w:r>
      <w:r>
        <w:rPr>
          <w:i/>
          <w:iCs/>
        </w:rPr>
        <w:lastRenderedPageBreak/>
        <w:t>și Consiliul</w:t>
      </w:r>
      <w:r>
        <w:t>, C‑583/11 P, EU:C:2013:625, punctele 71 și 72, precum și jurisprudența citată).</w:t>
      </w:r>
    </w:p>
    <w:p w:rsidR="00DB7E5A" w:rsidRPr="00472687" w:rsidRDefault="0052083E" w:rsidP="00472687">
      <w:pPr>
        <w:pStyle w:val="JuQuot"/>
      </w:pPr>
      <w:r>
        <w:t>47. În această privință, astfel cum subliniază Parlamentul, raționamentul recurenților, pe lângă formularea sa generică, permite să se considere că orice reclamant are dreptul să introducă o acțiune, întrucât un drept fundamental poate fi întotdeauna afectat într-un fel sau altul de acte cu aplicabilitate generală, precum cele contestate în speță.</w:t>
      </w:r>
    </w:p>
    <w:p w:rsidR="00DB7E5A" w:rsidRPr="00472687" w:rsidRDefault="0052083E" w:rsidP="00472687">
      <w:pPr>
        <w:pStyle w:val="JuQuot"/>
      </w:pPr>
      <w:r>
        <w:t xml:space="preserve">48. Astfel cum a reamintit Tribunalul, la punctul 48 din ordonanța atacată, susținerea potrivit căreia actele în litigiu încalcă drepturile fundamentale nu este suficientă în sine pentru a declara admisibilă acțiunea unei persoane particulare, existând riscul ca, în caz contrar, cerințele articolului 263 al patrulea paragraf TFUE să fie golite de sens (a se vedea, în acest sens, ordonanța din 10 mai 2001, </w:t>
      </w:r>
      <w:r>
        <w:rPr>
          <w:i/>
          <w:iCs/>
        </w:rPr>
        <w:t>FNAB și alții/Consiliul</w:t>
      </w:r>
      <w:r>
        <w:t xml:space="preserve">, C‑345/00 P, EU:C:2001:270, punctul 40, precum și ordonanța din 14 ianuarie 2021, </w:t>
      </w:r>
      <w:r>
        <w:rPr>
          <w:i/>
          <w:iCs/>
        </w:rPr>
        <w:t>Sabo</w:t>
      </w:r>
      <w:r>
        <w:t xml:space="preserve"> </w:t>
      </w:r>
      <w:r>
        <w:rPr>
          <w:i/>
          <w:iCs/>
        </w:rPr>
        <w:t>și alții/Parlamentul și Consiliul</w:t>
      </w:r>
      <w:r>
        <w:t>, C‑297/20 P, nepublicată, EU:C:2021:24, punctul 29, precum și jurisprudența citată).</w:t>
      </w:r>
    </w:p>
    <w:p w:rsidR="00DB7E5A" w:rsidRPr="00472687" w:rsidRDefault="0052083E" w:rsidP="00472687">
      <w:pPr>
        <w:pStyle w:val="JuQuot"/>
      </w:pPr>
      <w:r>
        <w:t>49. Or, întrucât, astfel cum reiese din cuprinsul punctului 46 din ordonanța atacată, recurenții s-au limitat la a invoca, în fața Tribunalului, o încălcare a drepturilor lor fundamentale, deducând din această încălcare existența unei afectări individuale, pentru motivul că efectele schimbărilor climatice și, prin urmare, încălcarea drepturilor fundamentale sunt unice și diferite pentru fiecare persoană în parte, trebuie să se constate că actele în litigiu nu pot fi considerate ca afectând recurenții ca urmare a anumitor atribute care le sunt specifice sau a unei situații de fapt care îi diferențiază în raport cu orice altă persoană și, prin urmare, îi individualizează într‑un mod analog unui destinatar.</w:t>
      </w:r>
    </w:p>
    <w:p w:rsidR="00DB7E5A" w:rsidRPr="00472687" w:rsidRDefault="0052083E" w:rsidP="00472687">
      <w:pPr>
        <w:pStyle w:val="JuQuot"/>
      </w:pPr>
      <w:r>
        <w:t>50. Prin urmare, Tribunalul a putut să constate în mod întemeiat, la punctul 49 din ordonanța atacată, că recurenții nu au stabilit că dispozițiile atacate din actele în litigiu erau de natură să îi individualizeze, într-un mod analog unui destinatar al dispozițiilor în cauză, în raport cu orice altă persoană fizică sau juridică vizată de aceste dispoziții. ”</w:t>
      </w:r>
    </w:p>
    <w:p w:rsidR="00DB7E5A" w:rsidRPr="00472687" w:rsidRDefault="00C71855" w:rsidP="00472687">
      <w:pPr>
        <w:pStyle w:val="JuPara"/>
      </w:pPr>
      <w:fldSimple w:instr=" SEQ level0 \*arabic \* MERGEFORMAT ">
        <w:r w:rsidR="00472687" w:rsidRPr="00472687">
          <w:t>219</w:t>
        </w:r>
      </w:fldSimple>
      <w:r w:rsidR="00B71F73">
        <w:t>. Făcând referire la faptul că, în temeiul dreptului Uniunii, acțiunile în anulare introduse de asociații au fost declarate admisibile, în special în situația în care asociația reprezenta interesele membrilor săi, care aveau ei înșiși dreptul să introducă o acțiune, CJUE a statuat următoarele (</w:t>
      </w:r>
      <w:r w:rsidR="00B71F73">
        <w:rPr>
          <w:i/>
        </w:rPr>
        <w:t>ibidem</w:t>
      </w:r>
      <w:r w:rsidR="00B71F73">
        <w:t>):</w:t>
      </w:r>
    </w:p>
    <w:p w:rsidR="00DB7E5A" w:rsidRPr="00472687" w:rsidRDefault="0052083E" w:rsidP="00472687">
      <w:pPr>
        <w:pStyle w:val="JuQuot"/>
      </w:pPr>
      <w:r>
        <w:t>„89. Într-adevăr, în măsura în care s-a considerat că recurenții, în calitate de persoane fizice, nu au fost afectați în mod individual, în sensul articolului 263 al patrulea paragraf TFUE, se impune aceeași apreciere și în cazul membrilor asociației menționate. Prin urmare, aceștia din urmă nu pot pretinde că posedă atribute care îi individualizează în raport cu ceilalți potențiali destinatari ai actelor în litigiu.</w:t>
      </w:r>
    </w:p>
    <w:p w:rsidR="00DB7E5A" w:rsidRPr="00472687" w:rsidRDefault="0052083E" w:rsidP="00472687">
      <w:pPr>
        <w:pStyle w:val="JuQuot"/>
      </w:pPr>
      <w:r>
        <w:t xml:space="preserve">90. Cu privire la prima condiție, trebuie reamintit faptul că asociațiile au dreptul de a introduce o acțiune împotriva unui act al Uniunii în cazul în care dispozițiile dreptului Uniunii le conferă în mod specific acestor asociații drepturi procedurale (a se vedea, în acest sens, Hotărârea din 4 octombrie 1983, </w:t>
      </w:r>
      <w:r>
        <w:rPr>
          <w:i/>
          <w:iCs/>
        </w:rPr>
        <w:t>Fediol/Comisia</w:t>
      </w:r>
      <w:r>
        <w:t>, 191/82, EU:C:1983:259, punctul 28). Or, asociația Sáminuorra nu a invocat existența unor astfel de dispoziții în favoarea sa.</w:t>
      </w:r>
    </w:p>
    <w:p w:rsidR="00DB7E5A" w:rsidRPr="00472687" w:rsidRDefault="0052083E" w:rsidP="00472687">
      <w:pPr>
        <w:pStyle w:val="JuQuot"/>
      </w:pPr>
      <w:r>
        <w:t>91. În ceea ce privește argumentul potrivit căruia Tribunalul ar fi trebuit să recunoască existența unei alte situații în care asociațiile ar avea dreptul să introducă o acțiune, și anume «acțiunea colectivă în apărarea unui bun colectiv», acest argument nu a fost invocat în primă instanță și, prin urmare, în temeiul articolului 170 alineatul (1) din Regulamentul de procedură al Curții de Justiție, trebuie să fie respins ca inadmisibil în cadrul prezentului recurs.</w:t>
      </w:r>
    </w:p>
    <w:p w:rsidR="00DB7E5A" w:rsidRPr="00472687" w:rsidRDefault="0052083E" w:rsidP="00472687">
      <w:pPr>
        <w:pStyle w:val="JuQuot"/>
      </w:pPr>
      <w:r>
        <w:lastRenderedPageBreak/>
        <w:t>92. Or, a-i permite unui recurent să invoce, pentru prima dată în fața Curții, argumente pe care nu le‑a susținut în fața Tribunalului ar însemna să i se permită sesizarea Curții, a cărei competență în materie de recurs este limitată, cu un litigiu mai extins decât cel pe care l‑a judecat Tribunalul. În cadrul unui recurs, competența Curții este, așadar, limitată la aprecierea soluției legale care a fost dată motivelor și argumentelor dezbătute în primă instanță (a se vedea, în acest sens, Hotărârea din 17 iunie 2010, Lafarge/Comisia, C‑413/08 P, EU:C:2010:346, punctul 52). ”</w:t>
      </w:r>
    </w:p>
    <w:bookmarkStart w:id="233" w:name="paragraph00220"/>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220</w:t>
      </w:r>
      <w:r w:rsidRPr="00472687">
        <w:fldChar w:fldCharType="end"/>
      </w:r>
      <w:bookmarkEnd w:id="233"/>
      <w:r>
        <w:t>. În plus, în cauza</w:t>
      </w:r>
      <w:r>
        <w:rPr>
          <w:i/>
        </w:rPr>
        <w:t xml:space="preserve"> Peter Sabo și alții</w:t>
      </w:r>
      <w:r>
        <w:t>, CJUE a statuat următoarele:</w:t>
      </w:r>
    </w:p>
    <w:p w:rsidR="00DB7E5A" w:rsidRPr="00472687" w:rsidRDefault="0052083E" w:rsidP="00472687">
      <w:pPr>
        <w:pStyle w:val="JuQuot"/>
        <w:rPr>
          <w:b/>
          <w:bCs/>
        </w:rPr>
      </w:pPr>
      <w:r>
        <w:t>„29.</w:t>
      </w:r>
      <w:r>
        <w:rPr>
          <w:b/>
        </w:rPr>
        <w:t xml:space="preserve"> </w:t>
      </w:r>
      <w:r>
        <w:t>[...] (...) Argumentul potrivit căruia un act încalcă drepturile fundamentale nu este suficient în sine pentru ca acțiunea unei persoane particulare să fie declarată admisibilă, existând riscul ca, în caz contrar, cerințele articolului 263 al patrulea paragraf TFUE să fie golite de substanță. Într-adevăr, din jurisprudența constantă a Curții reiese că importanța pretinsei atingeri aduse respectării drepturilor fundamentale ale reclamanților nu poate, în orice caz, să înlăture aplicarea criteriilor de admisibilitate prevăzute în mod expres la articolul 263 al patrulea paragraf TFUE [...] ”</w:t>
      </w:r>
    </w:p>
    <w:p w:rsidR="00DB7E5A" w:rsidRPr="00472687" w:rsidRDefault="00C71855" w:rsidP="00472687">
      <w:pPr>
        <w:pStyle w:val="JuPara"/>
      </w:pPr>
      <w:fldSimple w:instr=" SEQ level0 \*arabic \* MERGEFORMAT ">
        <w:r w:rsidR="00472687" w:rsidRPr="00472687">
          <w:t>221</w:t>
        </w:r>
      </w:fldSimple>
      <w:r w:rsidR="00B71F73">
        <w:t xml:space="preserve">. CJUE are, de asemenea, o jurisprudență extinsă privind Convenția de la Aarhus, pe care UE a ratificat-o în 2005, înainte de a adopta diverse alte texte juridice, inclusiv „Regulamentul de la Aarhus” din 2006 [Regulamentul (CE) nr. 1367/2006]. Mai recent, în cadrul unei cereri de decizie preliminară în temeiul articolului 267 TFUE, sfera de aplicare și conținutul obligațiilor care decurg din articolul 9 alineatul (3) din Convenția de la Aarhus (accesul la justiție) în raport cu normele UE privind emisiile autovehiculelor au fost examinate în hotărârea pronunțată de CJUE (Marea Cameră) la 8 noiembrie 2022, în cauza </w:t>
      </w:r>
      <w:r w:rsidR="00B71F73">
        <w:rPr>
          <w:i/>
        </w:rPr>
        <w:t>Deutsche Umwelthilfe eV împotriva Bundesrepublik Deutschland.</w:t>
      </w:r>
      <w:r w:rsidR="0052083E">
        <w:rPr>
          <w:rStyle w:val="FootnoteReference"/>
        </w:rPr>
        <w:footnoteReference w:id="143"/>
      </w:r>
    </w:p>
    <w:p w:rsidR="00DB7E5A" w:rsidRPr="00472687" w:rsidRDefault="00C71855" w:rsidP="00472687">
      <w:pPr>
        <w:pStyle w:val="JuPara"/>
      </w:pPr>
      <w:fldSimple w:instr=" SEQ level0 \*arabic \* MERGEFORMAT ">
        <w:r w:rsidR="00472687" w:rsidRPr="00472687">
          <w:t>222</w:t>
        </w:r>
      </w:fldSimple>
      <w:r w:rsidR="00B71F73">
        <w:t>. Părțile relevante ale acestei hotărâri se citesc astfel:</w:t>
      </w:r>
    </w:p>
    <w:p w:rsidR="00DB7E5A" w:rsidRPr="00472687" w:rsidRDefault="0052083E" w:rsidP="00472687">
      <w:pPr>
        <w:pStyle w:val="JuQuot"/>
      </w:pPr>
      <w:r>
        <w:t>„1. Articolul 9 alineatul (3) din Convenția privind accesul la informații, participarea publicului la luarea deciziilor și accesul la justiție în probleme de mediu, semnată la Aarhus la 25 iunie 1998 și aprobată în numele Comunității Europene prin Decizia 2005/370/CE a Consiliului din 17 februarie 2005, coroborat cu articolul 47 din Carta drepturilor fundamentale a Uniunii Europene, trebuie interpretat în sensul că se opune ca o asociație de protecție a mediului, care are capacitatea de a sta în judecată în conformitate cu dreptul național, să nu poată contesta în fața unei instanțe naționale o decizie administrativă de acordare sau de modificare a unei omologări CE de tip care poate fi contrară articolului 5 alineatul (2) din Regulamentul (CE) nr. 715/2007 al Parlamentului European și al Consiliului din 20 iunie 2007 privind omologarea de tip a autovehiculelor în ceea ce privește emisiile provenind de la vehiculele ușoare pentru pasageri și de la vehiculele ușoare comerciale (Euro 5 și Euro 6) și privind accesul la informațiile referitoare la repararea și întreținerea vehiculelor.</w:t>
      </w:r>
    </w:p>
    <w:p w:rsidR="00DB7E5A" w:rsidRPr="00472687" w:rsidRDefault="0052083E" w:rsidP="00472687">
      <w:pPr>
        <w:pStyle w:val="JuQuot"/>
      </w:pPr>
      <w:r>
        <w:t>[...]</w:t>
      </w:r>
    </w:p>
    <w:p w:rsidR="00DB7E5A" w:rsidRPr="00472687" w:rsidRDefault="0052083E" w:rsidP="00472687">
      <w:pPr>
        <w:pStyle w:val="JuQuot"/>
      </w:pPr>
      <w:r>
        <w:t xml:space="preserve">65. Secundo, în cazul în care un stat membru stabilește norme de drept procedural aplicabile căilor de atac prevăzute la articolul 9 alineatul (3) din Convenția de la Aarhus, având ca obiect exercitarea drepturilor pe care articolul 5 alineatul (2) din Regulamentul nr. 715/2007 le conferă unei asociații de protecție a mediului, pentru ca decizii ale autorităților naționale competente să fie supuse unui control din punctul de vedere al </w:t>
      </w:r>
      <w:r>
        <w:lastRenderedPageBreak/>
        <w:t xml:space="preserve">obligațiilor care le revin în temeiul respectivului articol, acest stat membru pune în aplicare dreptul Uniunii, în sensul articolului 51 alineatul (1) din cartă, și trebuie astfel să garanteze în special respectarea dreptului la o cale de atac efectivă, consacrat la articolul 47 din aceasta (a se vedea în acest sens Hotărârea din 20 decembrie 2017, </w:t>
      </w:r>
      <w:r>
        <w:rPr>
          <w:i/>
          <w:iCs/>
        </w:rPr>
        <w:t>Protect Natur-, Arten- und Landschaftsschutz Umweltorganisation</w:t>
      </w:r>
      <w:r>
        <w:t>, C‑664/15, EU:C:2017:987, punctele 44 și 87, precum și jurisprudența citată).</w:t>
      </w:r>
    </w:p>
    <w:p w:rsidR="00DB7E5A" w:rsidRPr="00472687" w:rsidRDefault="0052083E" w:rsidP="00472687">
      <w:pPr>
        <w:pStyle w:val="JuQuot"/>
      </w:pPr>
      <w:r>
        <w:t xml:space="preserve">66. Prin urmare, deși este adevărat că articolul 9 alineatul (3) din Convenția de la Aarhus nu are efect direct în temeiul dreptului Uniunii și nu poate fi, așadar, invocat ca atare în cadrul unui litigiu care intră sub incidența dreptului Uniunii pentru a înlătura aplicarea unei dispoziții de drept național care ar fi contrară acestuia, nu este mai puțin adevărat că, pe de o parte, supremația acordurilor internaționale încheiate de Uniune impune, în cea mai mare măsură posibilă, ca dreptului național să i se dea o interpretare conformă cerințelor acestora și, pe de altă parte, că respectiva dispoziție, coroborată cu articolul 47 din cartă, impune statelor membre obligația de a asigura o protecție jurisdicțională efectivă a drepturilor conferite de dreptul Uniunii, în special de dispozițiile din dreptul mediului (Hotărârea din 20 decembrie 2017, </w:t>
      </w:r>
      <w:r>
        <w:rPr>
          <w:i/>
          <w:iCs/>
        </w:rPr>
        <w:t>Protect Natur-, Arten- und Landschaftsschutz Umweltorganisation</w:t>
      </w:r>
      <w:r>
        <w:t>, C‑664/15, EU:C:2017:987, punctul 45).</w:t>
      </w:r>
    </w:p>
    <w:p w:rsidR="00DB7E5A" w:rsidRPr="00472687" w:rsidRDefault="0052083E" w:rsidP="00472687">
      <w:pPr>
        <w:pStyle w:val="JuQuot"/>
      </w:pPr>
      <w:r>
        <w:t xml:space="preserve">67. Or, dreptul la o cale de atac prevăzut la articolul 9 alineatul (3) din Convenția de la Aarhus, care are ca obiectiv să permită asigurarea unei protecții efective a mediului (Hotărârea din 8 martie 2011, </w:t>
      </w:r>
      <w:r>
        <w:rPr>
          <w:i/>
          <w:iCs/>
        </w:rPr>
        <w:t>Lesoochranárske zoskupenie</w:t>
      </w:r>
      <w:r>
        <w:t xml:space="preserve">, C‑240/09, EU:C:2011:125, punctul 46), ar fi golit de orice efect util, chiar de însăși substanța sa, dacă s‑ar admite că, prin impunerea unor criterii prevăzute de dreptul intern, anumitor categorii de «membri ai publicului», a fortiori, «membri ai publicului interesat», precum asociațiile de protecție a mediului care îndeplinesc cerințele impuse la articolul 2 punctul 5 din Convenția de la Aarhus, li s‑ar nega orice drept de la o cale de atac împotriva unor acte sau omisiuni ale persoanelor fizice sau ale autorităților publice care contravin anumitor categorii de dispoziții ale legislației interne proprii privind mediul (a se vedea în acest sens Hotărârea din 20 decembrie 2017, </w:t>
      </w:r>
      <w:r>
        <w:rPr>
          <w:i/>
          <w:iCs/>
        </w:rPr>
        <w:t>Protect Natur-, Arten- und Landschaftsschutz Umweltorganisation</w:t>
      </w:r>
      <w:r>
        <w:t>, C‑664/15, EU:C:2017:987, punctul 46).</w:t>
      </w:r>
    </w:p>
    <w:p w:rsidR="00DB7E5A" w:rsidRPr="00472687" w:rsidRDefault="0052083E" w:rsidP="00472687">
      <w:pPr>
        <w:pStyle w:val="JuQuot"/>
      </w:pPr>
      <w:r>
        <w:t xml:space="preserve">68. Impunerea acestor criterii nu ar putea în special să priveze asociațiile de protecție a mediului de posibilitatea de a solicita controlarea respectării normelor provenite din dreptul Uniunii în materie de mediu, având în vedere și faptul că astfel de norme sunt cel mai adesea orientate către interesul general, iar nu numai către protecția intereselor particularilor priviți individual, și că aceste asociații au ca scop apărarea interesului general (Hotărârea din 20 decembrie 2017, </w:t>
      </w:r>
      <w:r>
        <w:rPr>
          <w:i/>
          <w:iCs/>
        </w:rPr>
        <w:t>Protect Natur-, Arten- und Landschaftsschutz Umweltorganisation</w:t>
      </w:r>
      <w:r>
        <w:t>, C‑664/15, EU:C:2017:987, punctul 47, precum și jurisprudența citată). ”</w:t>
      </w:r>
    </w:p>
    <w:p w:rsidR="00DB7E5A" w:rsidRPr="00472687" w:rsidRDefault="0052083E" w:rsidP="00472687">
      <w:pPr>
        <w:pStyle w:val="JuHA"/>
        <w:numPr>
          <w:ilvl w:val="2"/>
          <w:numId w:val="47"/>
        </w:numPr>
      </w:pPr>
      <w:bookmarkStart w:id="234" w:name="_Toc149127519"/>
      <w:bookmarkStart w:id="235" w:name="_Toc158019697"/>
      <w:bookmarkStart w:id="236" w:name="_Toc199273476"/>
      <w:r>
        <w:t>Texte adoptate în cadrul altor mecanisme regionale de protecție a drepturilor omului</w:t>
      </w:r>
      <w:bookmarkEnd w:id="234"/>
      <w:bookmarkEnd w:id="235"/>
      <w:bookmarkEnd w:id="236"/>
    </w:p>
    <w:p w:rsidR="00DB7E5A" w:rsidRPr="00472687" w:rsidRDefault="0052083E" w:rsidP="00472687">
      <w:pPr>
        <w:pStyle w:val="JuH1"/>
        <w:numPr>
          <w:ilvl w:val="3"/>
          <w:numId w:val="48"/>
        </w:numPr>
      </w:pPr>
      <w:bookmarkStart w:id="237" w:name="_Toc199273477"/>
      <w:r>
        <w:t>Sistemul interamerican</w:t>
      </w:r>
      <w:bookmarkEnd w:id="237"/>
    </w:p>
    <w:p w:rsidR="00DB7E5A" w:rsidRPr="00472687" w:rsidRDefault="0052083E" w:rsidP="00472687">
      <w:pPr>
        <w:pStyle w:val="JuHa0"/>
        <w:numPr>
          <w:ilvl w:val="4"/>
          <w:numId w:val="48"/>
        </w:numPr>
        <w:ind w:hanging="284"/>
      </w:pPr>
      <w:bookmarkStart w:id="238" w:name="_Toc199273478"/>
      <w:r>
        <w:t>Instrumentele relevante</w:t>
      </w:r>
      <w:bookmarkEnd w:id="238"/>
    </w:p>
    <w:p w:rsidR="00DB7E5A" w:rsidRPr="00472687" w:rsidRDefault="00C71855" w:rsidP="00472687">
      <w:pPr>
        <w:pStyle w:val="JuPara"/>
      </w:pPr>
      <w:fldSimple w:instr=" SEQ level0 \*arabic \* MERGEFORMAT ">
        <w:r w:rsidR="00472687" w:rsidRPr="00472687">
          <w:t>223</w:t>
        </w:r>
      </w:fldSimple>
      <w:r w:rsidR="0052083E">
        <w:t>. Convenția americană privind drepturile omului</w:t>
      </w:r>
      <w:r w:rsidR="0052083E">
        <w:rPr>
          <w:rStyle w:val="FootnoteReference"/>
          <w:lang w:bidi="en-US"/>
        </w:rPr>
        <w:footnoteReference w:id="144"/>
      </w:r>
      <w:r w:rsidR="0052083E">
        <w:t xml:space="preserve"> nu conține nicio dispoziție specifică referitoare la protecția unui drept fundamental la un </w:t>
      </w:r>
      <w:r w:rsidR="0052083E">
        <w:lastRenderedPageBreak/>
        <w:t>mediu sănătos. Cu toate acestea, Protocolul adițional la Convenția americană privind drepturile omului în domeniul drepturilor economice, sociale și culturale</w:t>
      </w:r>
      <w:r w:rsidR="0052083E">
        <w:rPr>
          <w:rStyle w:val="FootnoteReference"/>
          <w:lang w:bidi="en-US"/>
        </w:rPr>
        <w:footnoteReference w:id="145"/>
      </w:r>
      <w:r w:rsidR="0052083E">
        <w:t xml:space="preserve"> conține următoarea dispoziție:</w:t>
      </w:r>
    </w:p>
    <w:p w:rsidR="00DB7E5A" w:rsidRPr="00472687" w:rsidRDefault="0052083E" w:rsidP="00472687">
      <w:pPr>
        <w:pStyle w:val="JuHArticle"/>
      </w:pPr>
      <w:r>
        <w:t>Articolul 11</w:t>
      </w:r>
    </w:p>
    <w:p w:rsidR="00DB7E5A" w:rsidRPr="00472687" w:rsidRDefault="0052083E" w:rsidP="00472687">
      <w:pPr>
        <w:pStyle w:val="JuHArticle"/>
      </w:pPr>
      <w:r>
        <w:t>Dreptul la un mediu sănătos</w:t>
      </w:r>
    </w:p>
    <w:p w:rsidR="00DB7E5A" w:rsidRPr="00472687" w:rsidRDefault="0052083E" w:rsidP="00472687">
      <w:pPr>
        <w:pStyle w:val="JuQuot"/>
      </w:pPr>
      <w:r>
        <w:t>„1. Orice persoană are dreptul să trăiască într-un mediu sigur și să aibă acces la servicii publice esențiale.</w:t>
      </w:r>
    </w:p>
    <w:p w:rsidR="00DB7E5A" w:rsidRPr="00472687" w:rsidRDefault="0052083E" w:rsidP="00472687">
      <w:pPr>
        <w:pStyle w:val="JuQuot"/>
      </w:pPr>
      <w:r>
        <w:t>2. Statele părți promovează protecția, conservarea și îmbunătățirea mediului. ”</w:t>
      </w:r>
    </w:p>
    <w:p w:rsidR="00DB7E5A" w:rsidRPr="00472687" w:rsidRDefault="00C71855" w:rsidP="00472687">
      <w:pPr>
        <w:pStyle w:val="JuPara"/>
      </w:pPr>
      <w:fldSimple w:instr=" SEQ level0 \*arabic \* MERGEFORMAT ">
        <w:r w:rsidR="00472687" w:rsidRPr="00472687">
          <w:t>224</w:t>
        </w:r>
      </w:fldSimple>
      <w:r w:rsidR="0052083E">
        <w:t>. Convenția interamericană privind protecția drepturilor omului ale persoanelor în vârstă</w:t>
      </w:r>
      <w:r w:rsidR="0052083E">
        <w:rPr>
          <w:rStyle w:val="FootnoteReference"/>
          <w:lang w:bidi="en-US"/>
        </w:rPr>
        <w:footnoteReference w:id="146"/>
      </w:r>
      <w:r w:rsidR="0052083E">
        <w:t xml:space="preserve"> prevede:</w:t>
      </w:r>
    </w:p>
    <w:p w:rsidR="00DB7E5A" w:rsidRPr="00472687" w:rsidRDefault="0052083E" w:rsidP="00472687">
      <w:pPr>
        <w:pStyle w:val="JuHArticle"/>
      </w:pPr>
      <w:r>
        <w:t>Articolul 25</w:t>
      </w:r>
    </w:p>
    <w:p w:rsidR="00DB7E5A" w:rsidRPr="00472687" w:rsidRDefault="0052083E" w:rsidP="00472687">
      <w:pPr>
        <w:pStyle w:val="JuHArticle"/>
      </w:pPr>
      <w:r>
        <w:t>Dreptul la un mediu sănătos</w:t>
      </w:r>
    </w:p>
    <w:p w:rsidR="00C014F0" w:rsidRPr="00472687" w:rsidRDefault="0052083E" w:rsidP="00472687">
      <w:pPr>
        <w:pStyle w:val="JuQuot"/>
      </w:pPr>
      <w:r>
        <w:t>„Persoanele în vârstă au dreptul să trăiască într-un mediu sănătos și să aibă acces la servicii publice esențiale. În acest scop, statele părți adoptă măsurile relevante pentru a proteja și promova exercitarea acestui drept, inclusiv următoarele măsuri:</w:t>
      </w:r>
    </w:p>
    <w:p w:rsidR="00DB7E5A" w:rsidRPr="00472687" w:rsidRDefault="0052083E" w:rsidP="00472687">
      <w:pPr>
        <w:pStyle w:val="JuQuot"/>
        <w:ind w:left="567"/>
      </w:pPr>
      <w:r>
        <w:t>a. Încurajarea dezvoltării depline a persoanelor în vârstă, în armonie cu natura.</w:t>
      </w:r>
    </w:p>
    <w:p w:rsidR="00DB7E5A" w:rsidRPr="00472687" w:rsidRDefault="0052083E" w:rsidP="00472687">
      <w:pPr>
        <w:pStyle w:val="JuQuot"/>
        <w:ind w:left="567"/>
      </w:pPr>
      <w:r>
        <w:t>b.</w:t>
      </w:r>
      <w:r>
        <w:rPr>
          <w:b/>
        </w:rPr>
        <w:t xml:space="preserve"> </w:t>
      </w:r>
      <w:r>
        <w:t>Asigurarea accesului persoanelor în vârstă, în condiții de egalitate cu alte grupuri, la serviciile publice esențiale de alimentare cu apă potabilă și de salubritate, printre altele. ”</w:t>
      </w:r>
    </w:p>
    <w:p w:rsidR="00DB7E5A" w:rsidRPr="00472687" w:rsidRDefault="0052083E" w:rsidP="00472687">
      <w:pPr>
        <w:pStyle w:val="JuHa0"/>
        <w:numPr>
          <w:ilvl w:val="4"/>
          <w:numId w:val="48"/>
        </w:numPr>
        <w:ind w:hanging="284"/>
      </w:pPr>
      <w:bookmarkStart w:id="242" w:name="_Toc199273479"/>
      <w:r>
        <w:t>Curtea Interamericană a Drepturilor Omului</w:t>
      </w:r>
      <w:bookmarkEnd w:id="242"/>
    </w:p>
    <w:bookmarkStart w:id="243" w:name="paragraph00225"/>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225</w:t>
      </w:r>
      <w:r w:rsidRPr="00472687">
        <w:fldChar w:fldCharType="end"/>
      </w:r>
      <w:bookmarkEnd w:id="243"/>
      <w:r>
        <w:t>. La 15 noiembrie 2017, Curtea Interamericană a Drepturilor Omului a emis un aviz consultativ privind mediul și drepturile omului</w:t>
      </w:r>
      <w:r>
        <w:rPr>
          <w:rStyle w:val="FootnoteReference"/>
          <w:lang w:bidi="en-US"/>
        </w:rPr>
        <w:footnoteReference w:id="147"/>
      </w:r>
      <w:r>
        <w:t>, în care aceasta deduce, din articolul 26 din Convenția americană (în domeniul drepturilor economice, sociale și culturale), dreptul la un mediu sănătos. Partea relevantă a concluziilor avizului consultativ se citește după cum urmează (traducerea grefei):</w:t>
      </w:r>
    </w:p>
    <w:p w:rsidR="00DB7E5A" w:rsidRPr="00472687" w:rsidRDefault="0052083E" w:rsidP="00472687">
      <w:pPr>
        <w:pStyle w:val="JuQuot"/>
      </w:pPr>
      <w:r>
        <w:t>„Concluzii [...]</w:t>
      </w:r>
    </w:p>
    <w:p w:rsidR="00DB7E5A" w:rsidRPr="00472687" w:rsidRDefault="0052083E" w:rsidP="00472687">
      <w:pPr>
        <w:pStyle w:val="JuQuot"/>
      </w:pPr>
      <w:r>
        <w:lastRenderedPageBreak/>
        <w:t>242. Având în vedere cele de mai sus și ca răspuns la cea de a doua și cea de a treia întrebare adresate de statul solicitant, Curtea consideră că, pentru a respecta și a garanta dreptul la viață și dreptul la integritate personală:</w:t>
      </w:r>
    </w:p>
    <w:p w:rsidR="00DB7E5A" w:rsidRPr="00472687" w:rsidRDefault="0052083E" w:rsidP="00472687">
      <w:pPr>
        <w:pStyle w:val="JuQuot"/>
        <w:ind w:left="567"/>
      </w:pPr>
      <w:r>
        <w:t>a. Statele au obligația de a preveni orice daune majore cauzate mediului pe teritoriul lor sau în afara acestuia (punctele 127-174 din prezentul aviz).</w:t>
      </w:r>
    </w:p>
    <w:p w:rsidR="00DB7E5A" w:rsidRPr="00472687" w:rsidRDefault="0052083E" w:rsidP="00472687">
      <w:pPr>
        <w:pStyle w:val="JuQuot"/>
        <w:ind w:left="567"/>
      </w:pPr>
      <w:r>
        <w:t>b. Pentru a-și îndeplini obligația de prevenire, statele trebuie să reglementeze, să supravegheze și să controleze activitățile aflate sub jurisdicția lor care pot provoca daune majore mediului, să efectueze evaluări ale impactului asupra mediului atunci când există riscul producerii unor daune majore asupra mediului, să elaboreze un plan de urgență cu scopul de a stabili măsuri și proceduri de siguranță pentru a reduce la minimum riscul producerii de accidente ecologice majore și să atenueze orice daune majore care ar fi putut fi cauzate mediului, chiar dacă acestea s-au produs în pofida acțiunilor preventive ale statului (punctele 141-174 din prezentul aviz).</w:t>
      </w:r>
    </w:p>
    <w:p w:rsidR="00DB7E5A" w:rsidRPr="00472687" w:rsidRDefault="0052083E" w:rsidP="00472687">
      <w:pPr>
        <w:pStyle w:val="JuQuot"/>
        <w:ind w:left="567"/>
      </w:pPr>
      <w:r>
        <w:t>c. Statele trebuie să acționeze în conformitate cu principiul precauției pentru a proteja dreptul la viață și dreptul la integritate personală în cazul unor potențiale daune grave sau ireversibile cauzate mediului, chiar și în lipsa certitudinii științifice (punctul 180 din prezentul aviz).</w:t>
      </w:r>
    </w:p>
    <w:p w:rsidR="00DB7E5A" w:rsidRPr="00472687" w:rsidRDefault="0052083E" w:rsidP="00472687">
      <w:pPr>
        <w:pStyle w:val="JuQuot"/>
        <w:ind w:left="567"/>
      </w:pPr>
      <w:r>
        <w:t>d. Statele au obligația de a coopera cu bună-credință pentru a preveni daunele aduse mediului (punctele 181-210 din prezentul aviz).</w:t>
      </w:r>
    </w:p>
    <w:p w:rsidR="00DB7E5A" w:rsidRPr="00472687" w:rsidRDefault="0052083E" w:rsidP="00472687">
      <w:pPr>
        <w:pStyle w:val="JuQuot"/>
        <w:ind w:left="567"/>
      </w:pPr>
      <w:r>
        <w:t>e. Pentru a respecta obligația de cooperare, atunci când își dau seama că o activitate planificată, care ține de jurisdicția lor, ar putea reprezenta o amenințare de producere a unor daune transfrontaliere semnificative, precum și în situații de urgență ecologică, statele trebuie să informeze celelalte state potențial afectate; de asemenea, acestea trebuie să se consulte și să negocieze cu bună-credință cu statele potențial afectate de daunele transfrontaliere semnificative (punctele 187-210 din prezentul aviz).</w:t>
      </w:r>
    </w:p>
    <w:p w:rsidR="00DB7E5A" w:rsidRPr="00472687" w:rsidRDefault="0052083E" w:rsidP="00472687">
      <w:pPr>
        <w:pStyle w:val="JuQuot"/>
        <w:ind w:left="567"/>
      </w:pPr>
      <w:r>
        <w:t>f. Statele au obligația de a garanta dreptul de acces la informații, prevăzut la articolul 13 din Convenția americană, cu privire la posibilele efecte asupra mediului (punctele 213-225 din prezentul aviz).</w:t>
      </w:r>
    </w:p>
    <w:p w:rsidR="00DB7E5A" w:rsidRPr="00472687" w:rsidRDefault="0052083E" w:rsidP="00472687">
      <w:pPr>
        <w:pStyle w:val="JuQuot"/>
        <w:ind w:left="567"/>
      </w:pPr>
      <w:r>
        <w:t>g. Statele au obligația de a le garanta persoanelor aflate sub jurisdicția lor dreptul publicului de a participa – astfel cum se prevede la articolul 23 alineatul 1 litera a) din Convenția Americană – la procesul de elaborare a politicilor și de luare a deciziilor care pot să afecteze mediul (punctele 226-232 din prezentul aviz).</w:t>
      </w:r>
    </w:p>
    <w:p w:rsidR="00DB7E5A" w:rsidRPr="00472687" w:rsidRDefault="0052083E" w:rsidP="00472687">
      <w:pPr>
        <w:pStyle w:val="JuQuot"/>
        <w:ind w:left="567"/>
      </w:pPr>
      <w:r>
        <w:t>h. Statele sunt obligate să asigure accesul la justiție în legătură cu obligațiile statului în materie de protecție a mediului, prevăzute în prezentul aviz (punctele 233-240).</w:t>
      </w:r>
    </w:p>
    <w:p w:rsidR="00DB7E5A" w:rsidRPr="00472687" w:rsidRDefault="0052083E" w:rsidP="00472687">
      <w:pPr>
        <w:pStyle w:val="JuQuot"/>
      </w:pPr>
      <w:r>
        <w:t>243. Obligațiile descrise mai sus au fost definite în raport cu cerințele generale de respectare și garantare a dreptului la viață și a dreptului la integritate personală, acestea fiind drepturile la care statul a făcut referire în cererea sa (supra, pct. 37, 38, 46 și 69). Totuși, aceasta nu înseamnă că obligațiile respective nu există în raport cu celelalte drepturi menționate în prezentul aviz ca fiind deosebit de vulnerabile</w:t>
      </w:r>
      <w:r>
        <w:rPr>
          <w:b/>
        </w:rPr>
        <w:t xml:space="preserve"> </w:t>
      </w:r>
      <w:r>
        <w:t>în cazul degradării mediului (supra, pct. 56-69). ”</w:t>
      </w:r>
    </w:p>
    <w:bookmarkStart w:id="245" w:name="paragraph00226"/>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226</w:t>
      </w:r>
      <w:r w:rsidRPr="00472687">
        <w:fldChar w:fldCharType="end"/>
      </w:r>
      <w:bookmarkEnd w:id="245"/>
      <w:r>
        <w:t xml:space="preserve">. În cauza </w:t>
      </w:r>
      <w:r>
        <w:rPr>
          <w:i/>
          <w:iCs/>
        </w:rPr>
        <w:t>Indigenous communities of the Lhaka Honhat Association (Our Land) împotriva Argentinei [Comunitățile indigene membre ale Asociației Lhaka Honhat (Pământul nostru)]</w:t>
      </w:r>
      <w:r>
        <w:rPr>
          <w:rStyle w:val="FootnoteReference"/>
          <w:lang w:bidi="en-US"/>
        </w:rPr>
        <w:footnoteReference w:id="148"/>
      </w:r>
      <w:r>
        <w:t xml:space="preserve">, hotărârea pronunțată în 2020, Curtea Interamericană a Drepturilor Omului a considerat că Argentina </w:t>
      </w:r>
      <w:r>
        <w:lastRenderedPageBreak/>
        <w:t>era responsabilă pentru încălcarea drepturilor fundamentale ale comunităților indigene din cauza nerecunoașterii și neprotejării terenurilor acestora. În această cauză, Curtea Interamericană a examinat separat dreptul la un mediu sănătos, dreptul la o alimentație adecvată, dreptul la apă și dreptul la identitate culturală.</w:t>
      </w:r>
    </w:p>
    <w:p w:rsidR="00DB7E5A" w:rsidRPr="00472687" w:rsidRDefault="00C71855" w:rsidP="00472687">
      <w:pPr>
        <w:pStyle w:val="JuPara"/>
      </w:pPr>
      <w:fldSimple w:instr=" SEQ level0 \*arabic \* MERGEFORMAT ">
        <w:r w:rsidR="00472687" w:rsidRPr="00472687">
          <w:t>227</w:t>
        </w:r>
      </w:fldSimple>
      <w:r w:rsidR="0052083E">
        <w:t>. În ianuarie 2023, Columbia și Chile au sesizat Curtea Interamericană cu o nouă cerere</w:t>
      </w:r>
      <w:r w:rsidR="0052083E">
        <w:rPr>
          <w:rStyle w:val="FootnoteReference"/>
          <w:lang w:bidi="en-US"/>
        </w:rPr>
        <w:footnoteReference w:id="149"/>
      </w:r>
      <w:r w:rsidR="0052083E">
        <w:t xml:space="preserve"> de aviz consultativ, solicitându-i acesteia să clarifice domeniul de aplicare al obligațiilor ce revin statelor - în ceea ce privește atât dimensiunea individuală, cât și cea colectivă a acestora - pentru a răspunde situației de urgență climatică în cadrul dreptului internațional al drepturilor omului, acordând o atenție deosebită efectelor diferențiate ale acestei situații de urgență asupra persoanelor din diferite regiuni și categorii de populație, precum și asupra naturii și a supraviețuirii speciei umane pe planetă.</w:t>
      </w:r>
    </w:p>
    <w:p w:rsidR="00DB7E5A" w:rsidRPr="00472687" w:rsidRDefault="0052083E" w:rsidP="00472687">
      <w:pPr>
        <w:pStyle w:val="JuHa0"/>
        <w:numPr>
          <w:ilvl w:val="4"/>
          <w:numId w:val="48"/>
        </w:numPr>
        <w:ind w:hanging="284"/>
      </w:pPr>
      <w:bookmarkStart w:id="248" w:name="_Toc199273480"/>
      <w:r>
        <w:t>Comisia Interamericană pentru Drepturile Omului</w:t>
      </w:r>
      <w:bookmarkEnd w:id="248"/>
    </w:p>
    <w:p w:rsidR="00DB7E5A" w:rsidRPr="00472687" w:rsidRDefault="00C71855" w:rsidP="00472687">
      <w:pPr>
        <w:pStyle w:val="JuPara"/>
      </w:pPr>
      <w:fldSimple w:instr=" SEQ level0 \*arabic \* MERGEFORMAT ">
        <w:r w:rsidR="00472687" w:rsidRPr="00472687">
          <w:t>228</w:t>
        </w:r>
      </w:fldSimple>
      <w:r w:rsidR="0052083E">
        <w:t>. În martie 2022, Comisia Interamericană pentru Drepturile Omului și Biroul Raportorului special privind drepturile economice, sociale, culturale și de mediu a publicat o rezoluție prin care a recunoscut că schimbările climatice reprezintă o situație de urgență în domeniul drepturilor omului</w:t>
      </w:r>
      <w:r w:rsidR="0052083E">
        <w:rPr>
          <w:rStyle w:val="FootnoteReference"/>
          <w:lang w:bidi="en-US"/>
        </w:rPr>
        <w:footnoteReference w:id="150"/>
      </w:r>
      <w:r w:rsidR="0052083E">
        <w:t>.</w:t>
      </w:r>
    </w:p>
    <w:p w:rsidR="00DB7E5A" w:rsidRPr="00472687" w:rsidRDefault="0052083E" w:rsidP="00472687">
      <w:pPr>
        <w:pStyle w:val="JuH1"/>
        <w:numPr>
          <w:ilvl w:val="3"/>
          <w:numId w:val="48"/>
        </w:numPr>
      </w:pPr>
      <w:bookmarkStart w:id="250" w:name="_Toc199273481"/>
      <w:r>
        <w:t>Sistemul african</w:t>
      </w:r>
      <w:bookmarkEnd w:id="250"/>
    </w:p>
    <w:p w:rsidR="00DB7E5A" w:rsidRPr="00472687" w:rsidRDefault="00C71855" w:rsidP="00472687">
      <w:pPr>
        <w:pStyle w:val="JuPara"/>
        <w:rPr>
          <w:b/>
          <w:bCs/>
        </w:rPr>
      </w:pPr>
      <w:fldSimple w:instr=" SEQ level0 \*arabic \* MERGEFORMAT ">
        <w:r w:rsidR="00472687" w:rsidRPr="00472687">
          <w:t>229</w:t>
        </w:r>
      </w:fldSimple>
      <w:r w:rsidR="00B71F73">
        <w:t>. Dispoziția relevantă din Carta Africană a Drepturilor Omului și ale Popoarelor</w:t>
      </w:r>
      <w:r w:rsidR="0052083E">
        <w:rPr>
          <w:rStyle w:val="FootnoteReference"/>
        </w:rPr>
        <w:footnoteReference w:id="151"/>
      </w:r>
      <w:r w:rsidR="00B71F73">
        <w:t xml:space="preserve"> se citește astfel:</w:t>
      </w:r>
    </w:p>
    <w:p w:rsidR="00DB7E5A" w:rsidRPr="00472687" w:rsidRDefault="0052083E" w:rsidP="00472687">
      <w:pPr>
        <w:pStyle w:val="JuHArticle"/>
      </w:pPr>
      <w:r>
        <w:t>Articolul 24</w:t>
      </w:r>
    </w:p>
    <w:p w:rsidR="00DB7E5A" w:rsidRPr="00472687" w:rsidRDefault="0052083E" w:rsidP="00472687">
      <w:pPr>
        <w:pStyle w:val="JuQuot"/>
      </w:pPr>
      <w:r>
        <w:t>„Toate popoarele au dreptul la un mediu general satisfăcător, favorabil dezvoltării lor.” ”</w:t>
      </w:r>
    </w:p>
    <w:p w:rsidR="00DB7E5A" w:rsidRPr="00472687" w:rsidRDefault="00C71855" w:rsidP="00472687">
      <w:pPr>
        <w:pStyle w:val="JuPara"/>
      </w:pPr>
      <w:fldSimple w:instr=" SEQ level0 \*arabic \* MERGEFORMAT ">
        <w:r w:rsidR="00472687" w:rsidRPr="00472687">
          <w:t>230</w:t>
        </w:r>
      </w:fldSimple>
      <w:r w:rsidR="00B71F73">
        <w:t>. La 14 mai 2019, Comisia Africană pentru Drepturile Omului și ale Popoarelor a adoptat o Rezoluție cu privire la efectele asupra drepturilor omului ale condițiilor climatice extreme din Africa de Est și Africa de Sud cauzate de schimbările climatice</w:t>
      </w:r>
      <w:r w:rsidR="0052083E">
        <w:rPr>
          <w:rStyle w:val="FootnoteReference"/>
        </w:rPr>
        <w:footnoteReference w:id="152"/>
      </w:r>
      <w:r w:rsidR="00B71F73">
        <w:t>, în care Comisia abordează consecințele acestui fenomen asupra drepturilor omului.</w:t>
      </w:r>
    </w:p>
    <w:p w:rsidR="00DB7E5A" w:rsidRPr="00472687" w:rsidRDefault="00C71855" w:rsidP="00472687">
      <w:pPr>
        <w:pStyle w:val="JuPara"/>
        <w:rPr>
          <w:b/>
          <w:bCs/>
        </w:rPr>
      </w:pPr>
      <w:fldSimple w:instr=" SEQ level0 \*arabic \* MERGEFORMAT ">
        <w:r w:rsidR="00472687" w:rsidRPr="00472687">
          <w:t>231</w:t>
        </w:r>
      </w:fldSimple>
      <w:r w:rsidR="00B71F73">
        <w:t xml:space="preserve">. În cauza </w:t>
      </w:r>
      <w:r w:rsidR="00B71F73">
        <w:rPr>
          <w:i/>
        </w:rPr>
        <w:t>Social and Economic Action Rights Centre împotriva </w:t>
      </w:r>
      <w:r w:rsidR="00B71F73">
        <w:rPr>
          <w:i/>
          <w:iCs/>
        </w:rPr>
        <w:t>Nigeriei</w:t>
      </w:r>
      <w:r w:rsidR="0052083E">
        <w:rPr>
          <w:rStyle w:val="FootnoteReference"/>
        </w:rPr>
        <w:footnoteReference w:id="153"/>
      </w:r>
      <w:r w:rsidR="00B71F73">
        <w:t>, Comisia Africană s-a pronunțat după cum urmează (traducerea grefei, note de subsol omise):</w:t>
      </w:r>
    </w:p>
    <w:p w:rsidR="00DB7E5A" w:rsidRPr="00472687" w:rsidRDefault="0052083E" w:rsidP="00472687">
      <w:pPr>
        <w:pStyle w:val="JuQuot"/>
      </w:pPr>
      <w:r>
        <w:t>„50. Reclamanții susțin că guvernul nigerian a încălcat dreptul la sănătate și dreptul la un mediu curat, recunoscute la articolele 16 și 24 din Carta africană [...].</w:t>
      </w:r>
    </w:p>
    <w:p w:rsidR="00DB7E5A" w:rsidRPr="00472687" w:rsidRDefault="0052083E" w:rsidP="00472687">
      <w:pPr>
        <w:pStyle w:val="JuQuot"/>
      </w:pPr>
      <w:r>
        <w:t>51. Aceste drepturi recunosc importanța unui mediu curat și sigur, aspect care este</w:t>
      </w:r>
      <w:r>
        <w:rPr>
          <w:b/>
        </w:rPr>
        <w:t xml:space="preserve"> </w:t>
      </w:r>
      <w:r>
        <w:t>strâns legat de drepturile economice și sociale, în măsura în care mediul afectează calitatea vieții și siguranța individului. După cum a subliniat în mod întemeiat Alexander Kiss, «un mediu degradat de poluare și deteriorat prin distrugerea oricărei frumuseți și varietăți dăunează la fel de mult condițiilor de viață satisfăcătoare și dezvoltării precum ruperea echilibrului</w:t>
      </w:r>
      <w:r>
        <w:rPr>
          <w:b/>
        </w:rPr>
        <w:t xml:space="preserve"> </w:t>
      </w:r>
      <w:r>
        <w:t>ecologic fundamental dăunează sănătății fizice și morale».</w:t>
      </w:r>
    </w:p>
    <w:p w:rsidR="00DB7E5A" w:rsidRPr="00472687" w:rsidRDefault="0052083E" w:rsidP="00472687">
      <w:pPr>
        <w:pStyle w:val="JuQuot"/>
      </w:pPr>
      <w:r>
        <w:t>52. Dreptul la un mediu general satisfăcător, garantat la articolul 24 din Carta africană, sau dreptul la un mediu sănătos, așa cum este denumit în mod obișnuit, impune așadar obligații clare unui guvern. Acesta impune statului să ia măsuri rezonabile și alte inițiative pentru a preveni poluarea și degradarea mediului, pentru a promova conservarea mediului și pentru a asigura dezvoltarea și utilizarea unor resurse naturale durabile din punct de vedere ecologic. Articolul 12 din Pactul internațional cu privire la drepturile economice, sociale și culturale (ICESCR) [International Covenant on Economic, Social and Cultural Rights], la care Nigeria este parte, impune guvernelor să adopte măsurile</w:t>
      </w:r>
      <w:r>
        <w:rPr>
          <w:b/>
        </w:rPr>
        <w:t xml:space="preserve"> </w:t>
      </w:r>
      <w:r>
        <w:t>necesare pentru a asigura îmbunătățirea tuturor aspectelor igienei mediului și ale igienei industriale.</w:t>
      </w:r>
      <w:r>
        <w:rPr>
          <w:rFonts w:ascii="Segoe UI" w:hAnsi="Segoe UI"/>
          <w:color w:val="000000"/>
        </w:rPr>
        <w:t xml:space="preserve"> </w:t>
      </w:r>
      <w:r>
        <w:t>Dreptul [fiecărei persoane] de a se bucura de cea mai bună stare posibilă de sănătate fizică și mintală, astfel cum este prevăzut la articolul 16 punctul 1 din Carta africană, precum și dreptul la un mediu general satisfăcător, favorabil dezvoltării (articolul [24]), obligă guvernele să se abțină de la amenințarea directă a sănătății și a mediului cetățenilor lor. Statul este obligat să respecte drepturile sus-menționate, ceea ce implică adoptarea unui comportament în esență neintervenționist: de exemplu, trebuie să se abțină de la aplicarea, susținerea sau tolerarea oricărei practici, politici sau măsuri juridice care aduce atingere integrității persoanei.</w:t>
      </w:r>
    </w:p>
    <w:p w:rsidR="00DB7E5A" w:rsidRPr="00472687" w:rsidRDefault="0052083E" w:rsidP="00472687">
      <w:pPr>
        <w:pStyle w:val="JuQuot"/>
      </w:pPr>
      <w:r>
        <w:t>53. Respectarea de către guvern a spiritului articolelor 16 și 24 din Carta africană trebuie să includă, de asemenea, acțiuni constând în</w:t>
      </w:r>
      <w:r>
        <w:rPr>
          <w:b/>
        </w:rPr>
        <w:t xml:space="preserve"> </w:t>
      </w:r>
      <w:r>
        <w:t>solicitarea sau, cel puțin, autorizarea monitorizării științifice independente a mediilor amenințate, solicitarea și publicarea unor studii privind impactul social și impactul asupra mediului, înainte de implementarea oricărui proiect major de dezvoltare industrială, asigurarea unei monitorizări adecvate și furnizarea de informații comunităților expuse la materiale și activități periculoase, precum și punerea la dispoziția persoanelor particulare a unor posibilități satisfăcătoare de a fi ascultate și de a participa la luarea deciziilor privind dezvoltarea, care le afectează comunitatea.</w:t>
      </w:r>
    </w:p>
    <w:p w:rsidR="00DB7E5A" w:rsidRPr="00472687" w:rsidRDefault="0052083E" w:rsidP="00472687">
      <w:pPr>
        <w:pStyle w:val="JuQuot"/>
      </w:pPr>
      <w:r>
        <w:t>[...]</w:t>
      </w:r>
    </w:p>
    <w:p w:rsidR="00DB7E5A" w:rsidRPr="00472687" w:rsidRDefault="0052083E" w:rsidP="00472687">
      <w:pPr>
        <w:pStyle w:val="JuQuot"/>
      </w:pPr>
      <w:r>
        <w:t>68. Natura unică a situației din Africa și particularitățile Cartei Africane a Drepturilor Omului și ale Popoarelor impun o misiune importantă Comisiei africane.</w:t>
      </w:r>
      <w:r>
        <w:rPr>
          <w:rFonts w:ascii="Segoe UI" w:hAnsi="Segoe UI"/>
          <w:color w:val="000000"/>
        </w:rPr>
        <w:t xml:space="preserve"> </w:t>
      </w:r>
      <w:r>
        <w:t>Dreptul internațional și drepturile omului trebuie să țină seama de contextul african.</w:t>
      </w:r>
      <w:r>
        <w:rPr>
          <w:rFonts w:ascii="Segoe UI" w:hAnsi="Segoe UI"/>
          <w:color w:val="000000"/>
        </w:rPr>
        <w:t xml:space="preserve"> </w:t>
      </w:r>
      <w:r>
        <w:t>Este evident că drepturile colective, drepturile în materie de mediu și drepturile economice și sociale sunt elemente esențiale ale drepturilor omului în Africa.</w:t>
      </w:r>
      <w:r>
        <w:rPr>
          <w:rFonts w:ascii="Segoe UI" w:hAnsi="Segoe UI"/>
          <w:color w:val="000000"/>
        </w:rPr>
        <w:t xml:space="preserve"> </w:t>
      </w:r>
      <w:r>
        <w:t xml:space="preserve">Comisia africană </w:t>
      </w:r>
      <w:r>
        <w:lastRenderedPageBreak/>
        <w:t>asigură aplicarea fiecăruia dintre diferitele drepturi protejate de Carta africană.</w:t>
      </w:r>
      <w:r>
        <w:rPr>
          <w:rFonts w:ascii="Segoe UI" w:hAnsi="Segoe UI"/>
          <w:color w:val="000000"/>
        </w:rPr>
        <w:t xml:space="preserve"> </w:t>
      </w:r>
      <w:r>
        <w:t>Profită de această ocazie pentru a clarifica faptul că, în Carta africană, nu există niciun drept care să nu poată fi pus în aplicare. Cu toate acestea, așa cum s-a menționat în paragrafele anterioare, guvernul nigerian nu</w:t>
      </w:r>
      <w:r>
        <w:rPr>
          <w:b/>
        </w:rPr>
        <w:t xml:space="preserve"> </w:t>
      </w:r>
      <w:r>
        <w:t>a reușit să se ridice la înălțimea așteptărilor minime ale Cartei africane. ”</w:t>
      </w:r>
    </w:p>
    <w:p w:rsidR="00DB7E5A" w:rsidRPr="00472687" w:rsidRDefault="0052083E" w:rsidP="00E72A1B">
      <w:pPr>
        <w:pStyle w:val="JuHIRoman"/>
        <w:numPr>
          <w:ilvl w:val="1"/>
          <w:numId w:val="50"/>
        </w:numPr>
      </w:pPr>
      <w:bookmarkStart w:id="254" w:name="_Toc149127520"/>
      <w:bookmarkStart w:id="255" w:name="_Toc158019698"/>
      <w:bookmarkStart w:id="256" w:name="_Toc199273482"/>
      <w:r>
        <w:rPr>
          <w:caps w:val="0"/>
        </w:rPr>
        <w:t>DREPT COMPARAT</w:t>
      </w:r>
      <w:bookmarkEnd w:id="254"/>
      <w:bookmarkEnd w:id="255"/>
      <w:bookmarkEnd w:id="256"/>
    </w:p>
    <w:p w:rsidR="00DB7E5A" w:rsidRPr="00472687" w:rsidRDefault="0052083E" w:rsidP="00E72A1B">
      <w:pPr>
        <w:pStyle w:val="JuHA"/>
        <w:numPr>
          <w:ilvl w:val="2"/>
          <w:numId w:val="50"/>
        </w:numPr>
      </w:pPr>
      <w:bookmarkStart w:id="257" w:name="_Toc149127521"/>
      <w:bookmarkStart w:id="258" w:name="_Toc158019699"/>
      <w:bookmarkStart w:id="259" w:name="_Toc199273483"/>
      <w:r>
        <w:t>Elemente de drept comparat privind Convenția de la Aarhus</w:t>
      </w:r>
      <w:bookmarkEnd w:id="257"/>
      <w:bookmarkEnd w:id="258"/>
      <w:bookmarkEnd w:id="259"/>
    </w:p>
    <w:bookmarkStart w:id="260" w:name="paragraph00232"/>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232</w:t>
      </w:r>
      <w:r w:rsidRPr="00472687">
        <w:fldChar w:fldCharType="end"/>
      </w:r>
      <w:bookmarkEnd w:id="260"/>
      <w:r>
        <w:t>. Dintre cele patruzeci și șase de state membre ale Consiliului Europei, doar cinci nu au ratificat Convenția de la Aarhus</w:t>
      </w:r>
      <w:r>
        <w:rPr>
          <w:rStyle w:val="FootnoteReference"/>
        </w:rPr>
        <w:footnoteReference w:id="154"/>
      </w:r>
      <w:r>
        <w:t>.</w:t>
      </w:r>
      <w:r>
        <w:rPr>
          <w:rFonts w:ascii="Segoe UI" w:hAnsi="Segoe UI"/>
          <w:color w:val="000000"/>
        </w:rPr>
        <w:t xml:space="preserve"> </w:t>
      </w:r>
      <w:r>
        <w:t>În marea majoritate a celor 38 de state membre studiate de Curte</w:t>
      </w:r>
      <w:r>
        <w:rPr>
          <w:rStyle w:val="FootnoteReference"/>
        </w:rPr>
        <w:footnoteReference w:id="155"/>
      </w:r>
      <w:r>
        <w:t xml:space="preserve"> (în cel puțin 34 de state membre), asociațiile neguvernamentale pentru protecția mediului sunt autorizate să introducă acțiuni în justiție în interesul protecției mediului și/sau în interesul persoanelor particulare care ar putea fi afectate de riscuri de mediu</w:t>
      </w:r>
      <w:r>
        <w:rPr>
          <w:b/>
        </w:rPr>
        <w:t xml:space="preserve"> </w:t>
      </w:r>
      <w:r>
        <w:t>sau proiecte industriale specifice.</w:t>
      </w:r>
    </w:p>
    <w:bookmarkStart w:id="261" w:name="paragraph00233"/>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233</w:t>
      </w:r>
      <w:r w:rsidRPr="00472687">
        <w:fldChar w:fldCharType="end"/>
      </w:r>
      <w:bookmarkEnd w:id="261"/>
      <w:r>
        <w:t>. Cu toate acestea, asociația neguvernamentală în cauză trebuie să îndeplinească anumite criterii.</w:t>
      </w:r>
      <w:r>
        <w:rPr>
          <w:rFonts w:ascii="Segoe UI" w:hAnsi="Segoe UI"/>
          <w:color w:val="000000"/>
        </w:rPr>
        <w:t xml:space="preserve"> </w:t>
      </w:r>
      <w:r>
        <w:t>În aproape toate statele membre studiate, este necesar să existe o legătură între obiectivele asociației în conformitate cu statutul său și interesele pe care urmărește să le protejeze.</w:t>
      </w:r>
      <w:r>
        <w:rPr>
          <w:rFonts w:ascii="Segoe UI" w:hAnsi="Segoe UI"/>
          <w:color w:val="000000"/>
        </w:rPr>
        <w:t xml:space="preserve"> </w:t>
      </w:r>
      <w:r>
        <w:t>În 11 state membre, asociațiile de acest tip trebuie să fi existat sau să fi fost implicate activ în protecția mediului o anumită perioadă înainte de a putea introduce o acțiune în justiție; în opt state membre, asociația care introduce acțiunea trebuie să își desfășoare activitatea într-o anumită zonă geografică.</w:t>
      </w:r>
      <w:r>
        <w:rPr>
          <w:rFonts w:ascii="Segoe UI" w:hAnsi="Segoe UI"/>
          <w:color w:val="000000"/>
        </w:rPr>
        <w:t xml:space="preserve"> </w:t>
      </w:r>
      <w:r>
        <w:t>Unele state membre condiționează recunoașterea calității procesuale a unei asociații de îndeplinirea unor criterii suplimentare, care sunt însă mai puțin frecvente, și anume: mărimea asociației, participarea anterioară a asociației la procesul decizional, organizarea internă a asociației, interdicția impusă asociației sau conducerii sale de a participa la activități cu scop lucrativ, precum și cerința generală privind legalitatea activităților asociației.</w:t>
      </w:r>
      <w:r>
        <w:rPr>
          <w:rFonts w:ascii="Segoe UI" w:hAnsi="Segoe UI"/>
          <w:color w:val="000000"/>
        </w:rPr>
        <w:t xml:space="preserve"> </w:t>
      </w:r>
      <w:r>
        <w:t>În plus, în unele sisteme, calitatea procesuală a asociației poate depinde de cea a persoanelor fizice care ar putea fi afectate în mod direct de riscurile pentru mediu.</w:t>
      </w:r>
      <w:r>
        <w:rPr>
          <w:rFonts w:ascii="Segoe UI" w:hAnsi="Segoe UI"/>
          <w:color w:val="000000"/>
        </w:rPr>
        <w:t xml:space="preserve"> </w:t>
      </w:r>
      <w:r>
        <w:t>Calitatea procesuală a asociației poate fi stabilită direct de către instanță sau, așa cum este cazul în șase state membre, prin intermediul unui mecanism care prevede eliberarea unei acreditări prealabile de către o autoritate administrativă.</w:t>
      </w:r>
    </w:p>
    <w:bookmarkStart w:id="262" w:name="paragraph00234"/>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234</w:t>
      </w:r>
      <w:r w:rsidRPr="00472687">
        <w:fldChar w:fldCharType="end"/>
      </w:r>
      <w:bookmarkEnd w:id="262"/>
      <w:r>
        <w:t xml:space="preserve">. În ceea ce privește cauzele având ca obiect schimbările climatice, studiul arată că, în majoritatea statelor membre, există posibilitatea, teoretic, sau nu poate fi exclus ca o asociație de protecție a mediului să introducă o </w:t>
      </w:r>
      <w:r>
        <w:lastRenderedPageBreak/>
        <w:t>acțiune în acest domeniu; cu toate acestea, nu există o jurisprudență concludentă cu privire la acest aspect, sau chiar niciun fel de jurisprudență.</w:t>
      </w:r>
      <w:r>
        <w:rPr>
          <w:rFonts w:ascii="Segoe UI" w:hAnsi="Segoe UI"/>
          <w:color w:val="000000"/>
        </w:rPr>
        <w:t xml:space="preserve"> </w:t>
      </w:r>
      <w:r>
        <w:t>În șapte state membre, este probabil ca o astfel de acțiune introdusă de o asociație de protecție a mediului să nu fie admisă în ordinea juridică națională. În alte cinci state membre (Belgia, Franța, Germania, Irlanda și Țările de Jos), instanțele naționale au examinat posibilitatea ca o astfel de asociație să introducă în instanță o acțiune având ca obiect schimbările climatice, în anumite condiții (plângerea trebuie să poată da naștere unei acțiuni în justiție).</w:t>
      </w:r>
    </w:p>
    <w:p w:rsidR="00DB7E5A" w:rsidRPr="00472687" w:rsidRDefault="0052083E" w:rsidP="00E72A1B">
      <w:pPr>
        <w:pStyle w:val="JuHA"/>
        <w:numPr>
          <w:ilvl w:val="2"/>
          <w:numId w:val="50"/>
        </w:numPr>
      </w:pPr>
      <w:bookmarkStart w:id="263" w:name="_Toc149127522"/>
      <w:bookmarkStart w:id="264" w:name="_Toc158019700"/>
      <w:bookmarkStart w:id="265" w:name="_Toc199273484"/>
      <w:r>
        <w:t>Elemente din jurisprudența internă referitoare la schimbările climatice</w:t>
      </w:r>
      <w:bookmarkEnd w:id="263"/>
      <w:bookmarkEnd w:id="264"/>
      <w:bookmarkEnd w:id="265"/>
    </w:p>
    <w:p w:rsidR="00DB7E5A" w:rsidRPr="00472687" w:rsidRDefault="00C71855" w:rsidP="00472687">
      <w:pPr>
        <w:pStyle w:val="JuPara"/>
      </w:pPr>
      <w:fldSimple w:instr=" SEQ level0 \*arabic \* MERGEFORMAT ">
        <w:r w:rsidR="00472687" w:rsidRPr="00472687">
          <w:t>235</w:t>
        </w:r>
      </w:fldSimple>
      <w:r w:rsidR="00B71F73">
        <w:t>. În continuare sunt prezentate extrase din deciziile pronunțate de instanțele naționale ale statelor membre ale Consiliului Europei în cauze referitoare la schimbările climatice.</w:t>
      </w:r>
    </w:p>
    <w:p w:rsidR="00DB7E5A" w:rsidRPr="00472687" w:rsidRDefault="0052083E" w:rsidP="00E72A1B">
      <w:pPr>
        <w:pStyle w:val="JuH1"/>
        <w:numPr>
          <w:ilvl w:val="3"/>
          <w:numId w:val="50"/>
        </w:numPr>
      </w:pPr>
      <w:bookmarkStart w:id="266" w:name="_Toc199273485"/>
      <w:r>
        <w:t>Franța</w:t>
      </w:r>
      <w:bookmarkEnd w:id="266"/>
    </w:p>
    <w:p w:rsidR="00DB7E5A" w:rsidRPr="00472687" w:rsidRDefault="0052083E" w:rsidP="00E72A1B">
      <w:pPr>
        <w:pStyle w:val="JuHa0"/>
        <w:numPr>
          <w:ilvl w:val="4"/>
          <w:numId w:val="50"/>
        </w:numPr>
      </w:pPr>
      <w:bookmarkStart w:id="267" w:name="_Toc199273486"/>
      <w:r>
        <w:t xml:space="preserve">Cauza </w:t>
      </w:r>
      <w:r>
        <w:rPr>
          <w:i/>
        </w:rPr>
        <w:t>Commune de</w:t>
      </w:r>
      <w:r>
        <w:t xml:space="preserve"> </w:t>
      </w:r>
      <w:r>
        <w:rPr>
          <w:i/>
        </w:rPr>
        <w:t>Grande-Synthe (comuna Grande-Synthe)</w:t>
      </w:r>
      <w:bookmarkEnd w:id="267"/>
    </w:p>
    <w:bookmarkStart w:id="268" w:name="paragraph00236"/>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236</w:t>
      </w:r>
      <w:r w:rsidRPr="00472687">
        <w:fldChar w:fldCharType="end"/>
      </w:r>
      <w:bookmarkEnd w:id="268"/>
      <w:r>
        <w:t xml:space="preserve">. Circumstanțele detaliate ale cauzei </w:t>
      </w:r>
      <w:r>
        <w:rPr>
          <w:i/>
        </w:rPr>
        <w:t>Commune de Grande</w:t>
      </w:r>
      <w:r>
        <w:rPr>
          <w:i/>
        </w:rPr>
        <w:noBreakHyphen/>
        <w:t>Synthe</w:t>
      </w:r>
      <w:r>
        <w:t xml:space="preserve">, care a fost examinată de Consiliul de Stat (Conseil d’État), sunt prezentate în decizia pronunțată în cauza </w:t>
      </w:r>
      <w:r>
        <w:rPr>
          <w:i/>
        </w:rPr>
        <w:t>Carême împotriva Franței</w:t>
      </w:r>
      <w:r>
        <w:t xml:space="preserve"> [(MC), nr. 7189/21, 9 aprilie 2024]. În această cauză, în urma unei acțiuni introduse de domnul Carême, acționând în nume propriu și în calitate de primar al comunei Grande-Synthe, în numele și pe seama acesteia, Consiliul de Stat a declarat acțiunea formulată de comună admisibilă și acțiunea formulată de domnul Carême inadmisibilă. Acesta a considerat că măsurile luate de autorități pentru a aborda schimbările climatice nu au fost suficiente și a impus autorităților să ia măsuri suplimentare înainte de 31 martie 2022 pentru atingerea obiectivelor de reducere a emisiilor de GES stabilite în legislația națională și în Anexa I la Regulamentul (UE) 2018/842.</w:t>
      </w:r>
    </w:p>
    <w:p w:rsidR="00DB7E5A" w:rsidRPr="00472687" w:rsidRDefault="0052083E" w:rsidP="00E72A1B">
      <w:pPr>
        <w:pStyle w:val="JuHa0"/>
        <w:numPr>
          <w:ilvl w:val="4"/>
          <w:numId w:val="50"/>
        </w:numPr>
      </w:pPr>
      <w:bookmarkStart w:id="269" w:name="_Toc199273487"/>
      <w:r>
        <w:t>Acțiunile pentru exces de putere având ca obiect asigurarea respectării valorilor-limită pentru concentrațiile de pulberi în suspensie și de dioxid de azot</w:t>
      </w:r>
      <w:bookmarkEnd w:id="269"/>
    </w:p>
    <w:p w:rsidR="00DB7E5A" w:rsidRPr="00472687" w:rsidRDefault="00C71855" w:rsidP="00472687">
      <w:pPr>
        <w:pStyle w:val="JuPara"/>
      </w:pPr>
      <w:fldSimple w:instr=" SEQ level0 \*arabic \* MERGEFORMAT ">
        <w:r w:rsidR="00472687" w:rsidRPr="00472687">
          <w:t>237</w:t>
        </w:r>
      </w:fldSimple>
      <w:r w:rsidR="00B71F73">
        <w:t xml:space="preserve">. Printr-o decizie din 12 iulie 2017, Consiliul de Stat, care a fost sesizat cu o acțiune pentru exces de putere, a anulat deciziile implicite de refuz ale președintelui Republicii, prim-ministrului și miniștrilor Mediului și Sănătății și a dispus ca prim-ministrul și ministrul Mediului să ia toate măsurile adecvate înainte de 31 martie 2018 și să elaboreze planuri în conformitate cu articolul 23 din Directiva 2008/50/CE din 21 mai 2008, pentru a permite reducerea, pe întreg teritoriul național, a concentrațiilor de pulberi în suspensie și de dioxid de azot (a se vedea Conseil d’État, Assemblée, 10 iulie 2020, </w:t>
      </w:r>
      <w:r w:rsidR="00B71F73">
        <w:rPr>
          <w:i/>
        </w:rPr>
        <w:t>Association Les Amis de la Terre France et autres</w:t>
      </w:r>
      <w:r w:rsidR="00B71F73">
        <w:t>, nr. 428409).</w:t>
      </w:r>
    </w:p>
    <w:p w:rsidR="00DB7E5A" w:rsidRPr="00472687" w:rsidRDefault="00C71855" w:rsidP="00472687">
      <w:pPr>
        <w:pStyle w:val="JuPara"/>
      </w:pPr>
      <w:fldSimple w:instr=" SEQ level0 \*arabic \* MERGEFORMAT ">
        <w:r w:rsidR="00472687" w:rsidRPr="00472687">
          <w:t>238</w:t>
        </w:r>
      </w:fldSimple>
      <w:r w:rsidR="00B71F73">
        <w:t>. Făcând referire în special la valorile-limită pentru concentrațiile de pulberi în suspensie și de dioxid de azot, prevăzute de Directiva Parlamentului European și a Consiliului din 21 mai 2008 privind calitatea aerului înconjurător și un aer mai curat pentru Europa</w:t>
      </w:r>
      <w:r w:rsidR="0052083E">
        <w:rPr>
          <w:rStyle w:val="FootnoteReference"/>
        </w:rPr>
        <w:footnoteReference w:id="156"/>
      </w:r>
      <w:r w:rsidR="00B71F73">
        <w:t>, precum și la depășirea acestor valori în anumite zone de pe teritoriul francez, în fiecare an între 2012 și 2014, Consiliul de Stat a apreciat că autoritatea de reglementare nu și-a îndeplinit obligațiile întrucât a refuzat să elaboreze, pentru zonele în cauză, planuri privind calitatea aerului în conformitate cu dispozițiile directivei respective și cu dispozițiile care o transpun în dreptul național.</w:t>
      </w:r>
    </w:p>
    <w:p w:rsidR="00C014F0" w:rsidRPr="00472687" w:rsidRDefault="00C71855" w:rsidP="00472687">
      <w:pPr>
        <w:pStyle w:val="JuPara"/>
      </w:pPr>
      <w:fldSimple w:instr=" SEQ level0 \*arabic \* MERGEFORMAT ">
        <w:r w:rsidR="00472687" w:rsidRPr="00472687">
          <w:t>239</w:t>
        </w:r>
      </w:fldSimple>
      <w:r w:rsidR="00B71F73">
        <w:t>. În această hotărâre, Consiliul de Stat a precizat că anularea deciziilor implicite de refuz implica în mod necesar luarea tuturor măsurilor necesare pentru a asigura elaborarea și punerea în aplicare a planurilor privind o calitate adecvată a aerului.</w:t>
      </w:r>
    </w:p>
    <w:p w:rsidR="00DB7E5A" w:rsidRPr="00472687" w:rsidRDefault="0052083E" w:rsidP="00E72A1B">
      <w:pPr>
        <w:pStyle w:val="JuHa0"/>
        <w:numPr>
          <w:ilvl w:val="4"/>
          <w:numId w:val="50"/>
        </w:numPr>
      </w:pPr>
      <w:bookmarkStart w:id="270" w:name="_Toc199273488"/>
      <w:r>
        <w:t>Acțiunile de plin contencios având ca obiect asigurarea respectării obiectivului de reducere a emisiilor de GES</w:t>
      </w:r>
      <w:bookmarkEnd w:id="270"/>
    </w:p>
    <w:p w:rsidR="00DB7E5A" w:rsidRPr="00472687" w:rsidRDefault="00C71855" w:rsidP="00472687">
      <w:pPr>
        <w:pStyle w:val="JuPara"/>
      </w:pPr>
      <w:fldSimple w:instr=" SEQ level0 \*arabic \* MERGEFORMAT ">
        <w:r w:rsidR="00472687" w:rsidRPr="00472687">
          <w:t>240</w:t>
        </w:r>
      </w:fldSimple>
      <w:r w:rsidR="00B71F73">
        <w:t>. Într-o altă cauză mai recentă, cunoscută sub numele de „Cauza secolului” (</w:t>
      </w:r>
      <w:r w:rsidR="00B71F73">
        <w:rPr>
          <w:i/>
        </w:rPr>
        <w:t>Affaire du siècle</w:t>
      </w:r>
      <w:r w:rsidR="00B71F73">
        <w:t>), care privea obiectivul de reducere a emisiilor de GES, de această dată în contextul unei acțiuni de plin contencios, Tribunalul administrativ din Paris (tribunal administratif de Paris)</w:t>
      </w:r>
      <w:r w:rsidR="00B71F73">
        <w:rPr>
          <w:i/>
        </w:rPr>
        <w:t xml:space="preserve">, </w:t>
      </w:r>
      <w:r w:rsidR="00B71F73">
        <w:t xml:space="preserve">bazându-se pe cauza </w:t>
      </w:r>
      <w:r w:rsidR="00B71F73">
        <w:rPr>
          <w:i/>
        </w:rPr>
        <w:t>Commune de Grande-Synthe</w:t>
      </w:r>
      <w:r w:rsidR="00B71F73">
        <w:t>, a recunoscut, printr-o hotărâre din 3 februarie 2021, că asociațiile de protecție a mediului erau „îndreptățite să susțină că, în măsura în care [statul] și-a asumat angajamente pe care nu le-a respectat, în cadrul primului buget de carbon, [acesta trebuia] să fie considerat responsabil pentru o parte din daunele ecologice [constatate], în sensul [...] articolului 1246 din Codul civil”. Acest articol, astfel cum a fost modificat prin Legea nr. 2016</w:t>
      </w:r>
      <w:r w:rsidR="00B71F73">
        <w:noBreakHyphen/>
        <w:t xml:space="preserve">1087 din 8 august 2016 privind recuperarea biodiversității, a naturii și a peisajelor, prevede că „orice persoană răspunzătoare pentru producerea unor daune ecologice este obligată să le repare” (tribunal administratif de Paris, 3 februarie 2021, </w:t>
      </w:r>
      <w:r w:rsidR="00B71F73">
        <w:rPr>
          <w:i/>
        </w:rPr>
        <w:t>Oxfam France et autres</w:t>
      </w:r>
      <w:r w:rsidR="00B71F73">
        <w:t>, nr. 1904967).</w:t>
      </w:r>
    </w:p>
    <w:p w:rsidR="00DB7E5A" w:rsidRPr="00472687" w:rsidRDefault="00C71855" w:rsidP="00472687">
      <w:pPr>
        <w:pStyle w:val="JuPara"/>
      </w:pPr>
      <w:fldSimple w:instr=" SEQ level0 \*arabic \* MERGEFORMAT ">
        <w:r w:rsidR="00472687" w:rsidRPr="00472687">
          <w:t>241</w:t>
        </w:r>
      </w:fldSimple>
      <w:r w:rsidR="00B71F73">
        <w:t xml:space="preserve">. În ceea ce privește angajamentele asumate de statul francez și obligația generală de combatere a schimbărilor climatice, Tribunalul administrativ din Paris s-a întemeiat pe aceleași texte precum cele invocate în cauza </w:t>
      </w:r>
      <w:r w:rsidR="00B71F73">
        <w:rPr>
          <w:i/>
        </w:rPr>
        <w:t>Commune de</w:t>
      </w:r>
      <w:r w:rsidR="00B71F73">
        <w:t xml:space="preserve"> </w:t>
      </w:r>
      <w:r w:rsidR="00B71F73">
        <w:rPr>
          <w:i/>
        </w:rPr>
        <w:t>Grande-Synthe</w:t>
      </w:r>
      <w:r w:rsidR="00B71F73">
        <w:t xml:space="preserve">, și anume: pe de o parte, angajamentele Franței în conformitate cu UNFCCC, Acordul de la Paris, Decizia nr. 406/2009/CE din 23 aprilie 2009 privind efortul statelor membre de a reduce emisiile de gaze cu efect de seră și Regulamentul (UE) 2018/842 din 30 mai 2018 privind reducerea anuală obligatorie a emisiilor de gaze cu efect de seră; pe de altă parte, articolul L. 100-4 din Codul energiei (code de l’énergie) și articolul L. 222-1 B din Codul mediului (code de </w:t>
      </w:r>
      <w:r w:rsidR="00B71F73">
        <w:lastRenderedPageBreak/>
        <w:t>l’environnement). Tribunalul administrativ s-a întemeiat, de asemenea, pe articolul 3 din Carta mediului, în care se reamintește existența principiului prevenirii, deja consacrat de lege, și prevede că „[o]rice persoană trebuie, în condițiile prevăzute de lege, să evite cauzarea de potențiale prejudicii mediului sau, în caz contrar, să limiteze consecințele acestora”. Tribunalul Administrativ a dedus că din toate aceste texte rezulta că statul francez „[a recunoscut] existența unei «nevoi urgente» de combatere a perturbărilor climatice în curs, [și-a recunoscut] de asemenea capacitatea de a acționa în mod eficient pentru combaterea acestui fenomen, astfel încât să îi limiteze cauzele și să atenueze consecințele negative ale acestuia” și „[a ales] [...] să își exercite competența de reglementare, în special prin adoptarea unei politici publice de reducere a emisiilor de [GES] generate pe teritoriul național, prin care s‑a angajat să atingă, la termene precise și succesive, o serie de obiective în acest domeniu”.</w:t>
      </w:r>
    </w:p>
    <w:p w:rsidR="00DB7E5A" w:rsidRPr="00472687" w:rsidRDefault="00C71855" w:rsidP="00472687">
      <w:pPr>
        <w:pStyle w:val="JuPara"/>
      </w:pPr>
      <w:fldSimple w:instr=" SEQ level0 \*arabic \* MERGEFORMAT ">
        <w:r w:rsidR="00472687" w:rsidRPr="00472687">
          <w:t>242</w:t>
        </w:r>
      </w:fldSimple>
      <w:r w:rsidR="00B71F73">
        <w:t xml:space="preserve">. Referitor la punerea în aplicare a acestor angajamente asumate de stat în ceea ce privește obiectivul de reducere a emisiilor de GES, tribunalul administrativ a concluzionat că „[trebuia] să se considere că statul nu a respectat primul buget de carbon și [nu a] realizat acțiunile pe care însuși acesta le-a recunoscut ca fiind susceptibile să reducă emisiile de [GES]”. Pentru a ajunge la această concluzie, tribunalul administrativ s-a întemeiat în special pe aceleași rapoarte ale Înaltului Consiliu pentru Climă care au fost citate de Consiliul de Stat în decizia sa cu privire la cauza </w:t>
      </w:r>
      <w:r w:rsidR="00B71F73">
        <w:rPr>
          <w:i/>
        </w:rPr>
        <w:t>Commune de</w:t>
      </w:r>
      <w:r w:rsidR="00B71F73">
        <w:t xml:space="preserve"> </w:t>
      </w:r>
      <w:r w:rsidR="00B71F73">
        <w:rPr>
          <w:i/>
        </w:rPr>
        <w:t>Grande-Synthe</w:t>
      </w:r>
      <w:r w:rsidR="00B71F73">
        <w:t>.</w:t>
      </w:r>
    </w:p>
    <w:p w:rsidR="00DB7E5A" w:rsidRPr="00472687" w:rsidRDefault="00C71855" w:rsidP="00472687">
      <w:pPr>
        <w:pStyle w:val="JuPara"/>
      </w:pPr>
      <w:fldSimple w:instr=" SEQ level0 \*arabic \* MERGEFORMAT ">
        <w:r w:rsidR="00472687" w:rsidRPr="00472687">
          <w:t>243</w:t>
        </w:r>
      </w:fldSimple>
      <w:r w:rsidR="00B71F73">
        <w:t>. Reamintind că „statul nu [putea] fi considerat responsabil pentru daunele ecologice invocate [...] decât în măsura în care nerespectarea primului buget de carbon [a contribuit] la agravarea emisiilor de [GES]”, tribunalul administrativ a dispus, prin încheiere interlocutorie, realizarea unor cercetări suplimentare. Acesta a considerat că probele obținute în urma cercetărilor nu îi permiteau să stabilească măsurile specifice care trebuiau dispuse pentru a permite statului să atingă obiectivele stabilite Franța în ceea ce privește reducerea emisiilor de GES.</w:t>
      </w:r>
    </w:p>
    <w:p w:rsidR="00DB7E5A" w:rsidRPr="00472687" w:rsidRDefault="00C71855" w:rsidP="00472687">
      <w:pPr>
        <w:pStyle w:val="JuPara"/>
      </w:pPr>
      <w:fldSimple w:instr=" SEQ level0 \*arabic \* MERGEFORMAT ">
        <w:r w:rsidR="00472687" w:rsidRPr="00472687">
          <w:t>244</w:t>
        </w:r>
      </w:fldSimple>
      <w:r w:rsidR="00B71F73">
        <w:t>. În urma acestei măsuri de investigare, într-o hotărâre ulterioară din 14 octombrie 2021, tribunalul administrativ a dispus ca prim-ministrul și miniștrii competenți să ia, până la 31 decembrie 2022 cel târziu, toate măsurile adecvate pentru a repara prejudiciul ecologic și pentru a preveni agravarea prejudiciului, proporțional cu partea necompensată din emisiile de GES din cadrul primului buget de carbon, și anume 15 Mt echivalent CO</w:t>
      </w:r>
      <w:r w:rsidR="00B71F73">
        <w:rPr>
          <w:vertAlign w:val="subscript"/>
        </w:rPr>
        <w:t>2</w:t>
      </w:r>
      <w:r w:rsidR="00B71F73">
        <w:t>, și sub rezerva unei ajustări care să țină seama de estimările CITEPA (</w:t>
      </w:r>
      <w:r w:rsidR="00B71F73">
        <w:rPr>
          <w:i/>
          <w:iCs/>
        </w:rPr>
        <w:t>Centre interprofessionnel technique d’études de la pollution atmosphérique</w:t>
      </w:r>
      <w:r w:rsidR="00B71F73">
        <w:t xml:space="preserve">, Centrul tehnic interprofesional pentru studii privind poluarea atmosferică) de la 31 ianuarie 2022. Tribunalul administrativ a considerat că aceste măsuri concrete erau de natură să permită repararea prejudiciului invocat (tribunal administratif de Paris, 14 octombrie 2021, </w:t>
      </w:r>
      <w:r w:rsidR="00B71F73">
        <w:rPr>
          <w:i/>
        </w:rPr>
        <w:t>Oxfam France et autres</w:t>
      </w:r>
      <w:r w:rsidR="00B71F73">
        <w:t xml:space="preserve">, </w:t>
      </w:r>
      <w:r w:rsidR="00B71F73">
        <w:lastRenderedPageBreak/>
        <w:t>n</w:t>
      </w:r>
      <w:r w:rsidR="00B71F73">
        <w:rPr>
          <w:vertAlign w:val="superscript"/>
        </w:rPr>
        <w:t>o</w:t>
      </w:r>
      <w:r w:rsidR="00B71F73">
        <w:t> 1904967). În această etapă,  tribunalul administrativ nu a dispus plata de penalități cu titlu cominatoriu.</w:t>
      </w:r>
    </w:p>
    <w:p w:rsidR="00DB7E5A" w:rsidRPr="00472687" w:rsidRDefault="00C71855" w:rsidP="00472687">
      <w:pPr>
        <w:pStyle w:val="JuPara"/>
      </w:pPr>
      <w:fldSimple w:instr=" SEQ level0 \*arabic \* MERGEFORMAT ">
        <w:r w:rsidR="00472687" w:rsidRPr="00472687">
          <w:t>245</w:t>
        </w:r>
      </w:fldSimple>
      <w:r w:rsidR="00B71F73">
        <w:t xml:space="preserve">. În concluziile sale referitoare la cea de-a doua decizie, din 1 iulie 2021, pronunțată de Consiliul de Stat în cauza </w:t>
      </w:r>
      <w:r w:rsidR="00B71F73">
        <w:rPr>
          <w:i/>
        </w:rPr>
        <w:t>Commune de</w:t>
      </w:r>
      <w:r w:rsidR="00B71F73">
        <w:t xml:space="preserve"> </w:t>
      </w:r>
      <w:r w:rsidR="00B71F73">
        <w:rPr>
          <w:i/>
        </w:rPr>
        <w:t>Grande-Synthe</w:t>
      </w:r>
      <w:r w:rsidR="00B71F73">
        <w:t>, raportorul public a formulat următoarele considerații în legătură cu natura specifică a cauzelor privind schimbările climatice examinate în Franța, în comparație cu cele din alte state europene:</w:t>
      </w:r>
    </w:p>
    <w:p w:rsidR="00DB7E5A" w:rsidRPr="00472687" w:rsidRDefault="0052083E" w:rsidP="00472687">
      <w:pPr>
        <w:pStyle w:val="JuQuot"/>
      </w:pPr>
      <w:r>
        <w:t xml:space="preserve">„Prezenta cauză aparține [...] [categoriei de acțiuni îndreptate împotriva politicii climatice a statelor], și anume o acțiune pentru exces de putere, în cadrul căreia contenciosul climatic îmbracă, la rândul lui, diferite forme”. Una dintre distincțiile majore dintre aceste litigii este norma invocată pentru a solicita anularea deciziei: cererea se poate întemeia pe încălcarea unor drepturi ale omului, acesta fiind principala situație reținută de Curtea Supremă a Țărilor de Jos în cauza </w:t>
      </w:r>
      <w:r>
        <w:rPr>
          <w:i/>
        </w:rPr>
        <w:t>Urgenda,</w:t>
      </w:r>
      <w:r>
        <w:t xml:space="preserve"> sau pe standarde specifice privind emisia de [GES], care au caracter obligatoriu pentru state sau guverne; aceste standarde pot fi derivate fie din dreptul internațional, caz în care se pot formula pretenții în fața instanței naționale, fie în temeiul dreptului constituțional, precum în cauza înaintată [Curții Constituționale a Germaniei] [...], fie în temeiul legislației, precum în prezenta cauză sau în cauza </w:t>
      </w:r>
      <w:r>
        <w:rPr>
          <w:i/>
        </w:rPr>
        <w:t>Friends of the Irish Environment</w:t>
      </w:r>
      <w:r>
        <w:t>.</w:t>
      </w:r>
    </w:p>
    <w:p w:rsidR="00DB7E5A" w:rsidRPr="00472687" w:rsidRDefault="0052083E" w:rsidP="00472687">
      <w:pPr>
        <w:pStyle w:val="JuQuot"/>
      </w:pPr>
      <w:r>
        <w:t>Ultimul aspect care trebuie abordat pentru soluționarea litigiului de față este fără îndoială cel mai delicat: tot acest contencios are ca scop criticarea deficiențelor unei politici climatice. ”</w:t>
      </w:r>
    </w:p>
    <w:p w:rsidR="00DB7E5A" w:rsidRPr="00472687" w:rsidRDefault="00C71855" w:rsidP="00472687">
      <w:pPr>
        <w:pStyle w:val="JuPara"/>
      </w:pPr>
      <w:fldSimple w:instr=" SEQ level0 \*arabic \* MERGEFORMAT ">
        <w:r w:rsidR="00472687" w:rsidRPr="00472687">
          <w:t>246</w:t>
        </w:r>
      </w:fldSimple>
      <w:r w:rsidR="00B71F73">
        <w:t>. Cu ocazia discursului ținut la 21 mai 2021 în fața Curții de Casație pe tema „L’environnement : les citoyens, le droit, les juges” (Mediul: cetățeni, lege, judecători)</w:t>
      </w:r>
      <w:r w:rsidR="0052083E">
        <w:rPr>
          <w:rStyle w:val="FootnoteReference"/>
        </w:rPr>
        <w:footnoteReference w:id="157"/>
      </w:r>
      <w:r w:rsidR="00B71F73">
        <w:t xml:space="preserve">, vicepreședintele Consiliului de Stat, Bruno Lasserre, s-a exprimat după cum urmează cu privire la primele decizii pronunțate de instanțele administrative (cea pronunțată de Consiliul de Stat la 19 noiembrie 2020 în cauza </w:t>
      </w:r>
      <w:r w:rsidR="00B71F73">
        <w:rPr>
          <w:i/>
        </w:rPr>
        <w:t>Commune de Grande-Synthe</w:t>
      </w:r>
      <w:r w:rsidR="00B71F73">
        <w:t xml:space="preserve">, cea pronunțată de Plenul Consiliului de Stat, la 10 iulie 2020, cu privire la cererea introdusă de </w:t>
      </w:r>
      <w:r w:rsidR="00B71F73">
        <w:rPr>
          <w:i/>
        </w:rPr>
        <w:t>Association Les Amis de la Terre France</w:t>
      </w:r>
      <w:r w:rsidR="00B71F73">
        <w:t>, și cea pronunțată la 3 februarie 2021 de Tribunalul administrativ din Paris în „Cauza secolului”):</w:t>
      </w:r>
    </w:p>
    <w:p w:rsidR="00DB7E5A" w:rsidRPr="00472687" w:rsidRDefault="0052083E" w:rsidP="00472687">
      <w:pPr>
        <w:pStyle w:val="JuQuot"/>
      </w:pPr>
      <w:r>
        <w:t xml:space="preserve">„[...] [una dintre inovațiile acestei linii jurisprudențiale] privește domeniul de aplicare juridic conferit, pe de o parte, Acordului de la Paris - a cărui valoare interpretativă a fost recunoscută pentru prima dată de Consiliul de Stat, urmat de Tribunalul administrativ din Paris - și, pe de altă parte, obiectivelor de reducere a emisiilor de [GES] prevăzute de dreptul Uniunii și de dreptul național, întrucât instanța administrativă a făcut un pas decisiv constatând că aceste obiective au un caracter obligatoriu, și nu doar programatic. Astfel, Consiliul de Stat a deschis o nouă cale pentru contenciosul climatic, cu care au fost sesizate până atunci instanțele [naționale] în principal din perspectiva drepturilor fundamentale, cel puțin în deciziile lor cele mai emblematice. Astfel, de exemplu, deciziile în cauza </w:t>
      </w:r>
      <w:r>
        <w:rPr>
          <w:i/>
        </w:rPr>
        <w:t>Urgenda</w:t>
      </w:r>
      <w:r>
        <w:t xml:space="preserve">, întemeiate pe art. 2 și 8 din Convenția europeană a drepturilor omului, și decizia recentă a Curții Constituționale din Karlsruhe, care se întemeiază pe o dispoziție a Legii fundamentale ce protejează «fundamentele naturale ale vieții». Cu toate acestea, abordarea instanțelor variază semnificativ în funcție de aspectele examinate, și anume dacă statul a respectat angajamente precise și detaliate sau dacă acțiunile statului au respectat principii </w:t>
      </w:r>
      <w:r>
        <w:lastRenderedPageBreak/>
        <w:t>generale precum dreptul la viață sau dreptul la respectarea vieții private. Două standarde care influențează așadar metoda aplicată de instanță și, mai important, poziția adoptată de aceasta [...]</w:t>
      </w:r>
    </w:p>
    <w:p w:rsidR="00DB7E5A" w:rsidRPr="00472687" w:rsidRDefault="0052083E" w:rsidP="00472687">
      <w:pPr>
        <w:pStyle w:val="JuQuot"/>
      </w:pPr>
      <w:r>
        <w:t>În cele din urmă, Consiliul de Stat s-a adaptat la eforturile de combatere a schimbărilor climatice, inaugurând un nou tip de control, care poate fi numit «controlul traiectoriei». Într-adevăr, obiectivele prevăzute de lege pot fi realizate într-un orizont îndepărtat – 2030, 2040 sau chiar 2050 – dar, dacă instanțele ar aștepta zece, douăzeci sau treizeci de ani pentru a verifica dacă aceste obiective au fost atinse, ar însemna ca acestea să nege urgența acțiunilor care trebuie întreprinse în prezent, și să priveze controlul lor, încă de la început, de orice efect util, având în vedere inerția foarte mare a sistemului climatic. Astfel, controlul traiectoriei este asemenea unui control anticipat al conformității, fiind necesar ca instanța să se asigure, la momentul la care se pronunță, că obiectivele în cauză pot fi atinse, că acestea sunt în curs de realizare și că se înscriu într-o traiectorie credibilă și verificabilă, și nu că acestea au fost realizate”.</w:t>
      </w:r>
    </w:p>
    <w:p w:rsidR="00DB7E5A" w:rsidRPr="00472687" w:rsidRDefault="0052083E" w:rsidP="00E72A1B">
      <w:pPr>
        <w:pStyle w:val="JuHa0"/>
        <w:numPr>
          <w:ilvl w:val="4"/>
          <w:numId w:val="50"/>
        </w:numPr>
      </w:pPr>
      <w:bookmarkStart w:id="272" w:name="_Toc199273489"/>
      <w:r>
        <w:t>Exemple de ordine și de penalități cu titlu cominatoriu pronunțate în materia contenciosului climatic</w:t>
      </w:r>
      <w:bookmarkEnd w:id="272"/>
    </w:p>
    <w:p w:rsidR="00DB7E5A" w:rsidRPr="00472687" w:rsidRDefault="00C71855" w:rsidP="00472687">
      <w:pPr>
        <w:pStyle w:val="JuPara"/>
      </w:pPr>
      <w:fldSimple w:instr=" SEQ level0 \*arabic \* MERGEFORMAT ">
        <w:r w:rsidR="00472687" w:rsidRPr="00472687">
          <w:t>247</w:t>
        </w:r>
      </w:fldSimple>
      <w:r w:rsidR="00B71F73">
        <w:t xml:space="preserve">. Pronunțându-se în cauza </w:t>
      </w:r>
      <w:r w:rsidR="00B71F73">
        <w:rPr>
          <w:i/>
        </w:rPr>
        <w:t>Association Les Amis de la Terre France et autres</w:t>
      </w:r>
      <w:r w:rsidR="00B71F73">
        <w:t>, cu privire la o acțiune pentru exces de putere, la 10 iulie 2020, Consiliul de Stat,</w:t>
      </w:r>
      <w:r w:rsidR="00B71F73">
        <w:rPr>
          <w:b/>
        </w:rPr>
        <w:t xml:space="preserve"> </w:t>
      </w:r>
      <w:r w:rsidR="00B71F73">
        <w:t xml:space="preserve">după ce a dispus ca prim-ministrul și ministrul Mediului să ia toate măsurile necesare până la 31 martie 2018 cel târziu, a dispus și plata unei penalități cu titlu cominatoriu de către stat, în cazul în care acesta nu putea să demonstreze, în termen de șase luni de la notificarea acestei decizii, că a executat decizia din 12 iulie 2017 pentru fiecare dintre zonele în cauză, cuantumul acestei penalități cu titlu cominatoriu fiind stabilit la 10 milioane de euro (EUR) pe semestru, până la data executării deciziei (Conseil d’État, 10 iulie 2020, </w:t>
      </w:r>
      <w:r w:rsidR="00B71F73">
        <w:rPr>
          <w:i/>
        </w:rPr>
        <w:t>Association Les Amis de la Terre France et autres</w:t>
      </w:r>
      <w:r w:rsidR="00B71F73">
        <w:t>, n</w:t>
      </w:r>
      <w:r w:rsidR="00B71F73">
        <w:rPr>
          <w:vertAlign w:val="superscript"/>
        </w:rPr>
        <w:t>o</w:t>
      </w:r>
      <w:r w:rsidR="00B71F73">
        <w:t> 428409).</w:t>
      </w:r>
    </w:p>
    <w:p w:rsidR="00DB7E5A" w:rsidRPr="00472687" w:rsidRDefault="00C71855" w:rsidP="00472687">
      <w:pPr>
        <w:pStyle w:val="JuPara"/>
      </w:pPr>
      <w:fldSimple w:instr=" SEQ level0 \*arabic \* MERGEFORMAT ">
        <w:r w:rsidR="00472687" w:rsidRPr="00472687">
          <w:t>248</w:t>
        </w:r>
      </w:fldSimple>
      <w:r w:rsidR="00B71F73">
        <w:t>. Consiliul de Stat a stabilit ulterior cuantumul provizoriu al penalității cu titlu cominatoriu.</w:t>
      </w:r>
    </w:p>
    <w:p w:rsidR="00DB7E5A" w:rsidRPr="00472687" w:rsidRDefault="00C71855" w:rsidP="00472687">
      <w:pPr>
        <w:pStyle w:val="JuPara"/>
      </w:pPr>
      <w:fldSimple w:instr=" SEQ level0 \*arabic \* MERGEFORMAT ">
        <w:r w:rsidR="00472687" w:rsidRPr="00472687">
          <w:t>249</w:t>
        </w:r>
      </w:fldSimple>
      <w:r w:rsidR="00B71F73">
        <w:t>. Printr-o decizie din 4 august 2021, acesta a obligat statul la plata sumei de 10 milioane EUR pentru perioada de șase luni cuprinsă între 11 ianuarie și 11 iulie 2021.</w:t>
      </w:r>
    </w:p>
    <w:p w:rsidR="00DB7E5A" w:rsidRPr="00472687" w:rsidRDefault="00C71855" w:rsidP="00472687">
      <w:pPr>
        <w:pStyle w:val="JuPara"/>
      </w:pPr>
      <w:fldSimple w:instr=" SEQ level0 \*arabic \* MERGEFORMAT ">
        <w:r w:rsidR="00472687" w:rsidRPr="00472687">
          <w:t>250</w:t>
        </w:r>
      </w:fldSimple>
      <w:r w:rsidR="00B71F73">
        <w:t>. În concluziile sale cu privire la această cauză, raportorul public a formulat următoarele observații cu privire la problema stabilirii destinatarilor sumelor datorate de stat ca penalități cu titlu cominatoriu în materia contenciosului climatic:</w:t>
      </w:r>
    </w:p>
    <w:p w:rsidR="00DB7E5A" w:rsidRPr="00472687" w:rsidRDefault="0052083E" w:rsidP="00472687">
      <w:pPr>
        <w:pStyle w:val="JuQuot"/>
      </w:pPr>
      <w:r>
        <w:t xml:space="preserve">„4. [...] (...) Aici intervine raționamentul inovativ al hotărârii pronunțate de adunarea plenară, întrucât norma aplicabilă este cea de la al doilea paragraf al articolului L. 911-8, care prevede că partea neplătită reclamantului se varsă la bugetul de stat. Cu toate acestea, întrucât scopul penalității cu titlu cominatoriu este de a obliga persoana juridică de drept public [...] să își îndeplinească obligațiile care i-au fost impuse printr-o hotărâre judecătorească, aceste dispoziții nu se aplică în cazul în care statul este debitorul penalității cu titlu cominatoriu în cauză. În acest din urmă caz, atunci când pare necesar pentru executarea efectivă a hotărârii judecătorești, instanța poate, chiar și din oficiu, după ce a primit observațiile cu privire la acest aspect ale părților și ale persoanei sau persoanelor juridice în cauză, să decidă să aloce fracțiunea respectivă unei persoane juridice de drept public care dispune de suficientă autonomie față de stat și ale cărei </w:t>
      </w:r>
      <w:r>
        <w:lastRenderedPageBreak/>
        <w:t>activități au legătură cu obiectul litigiului, sau unei persoane juridice de drept privat, fără scop lucrativ, care, în conformitate cu statutul său, desfășoară acțiuni de interes general care au legătură cu obiectul litigiului. Acesta este textul hotărârii pronunțate de adunarea plenară.</w:t>
      </w:r>
    </w:p>
    <w:p w:rsidR="00DB7E5A" w:rsidRPr="00472687" w:rsidRDefault="0052083E" w:rsidP="00472687">
      <w:pPr>
        <w:pStyle w:val="JuQuot"/>
      </w:pPr>
      <w:r>
        <w:t>4.1. Pentru a stabili ce alte persoane în afară de stat pot beneficia de plata integrală sau parțială a penalității cu titlu cominatoriu, [...] Ni se pare important să se țină seama de scopul penalității cu titlu cominatoriu, acela de a obliga statul să execute o hotărâre judecătorească, obligație ce îi revine într-un stat de drept. ”</w:t>
      </w:r>
    </w:p>
    <w:p w:rsidR="00DB7E5A" w:rsidRPr="00472687" w:rsidRDefault="00C71855" w:rsidP="00472687">
      <w:pPr>
        <w:pStyle w:val="JuPara"/>
      </w:pPr>
      <w:fldSimple w:instr=" SEQ level0 \*arabic \* MERGEFORMAT ">
        <w:r w:rsidR="00472687" w:rsidRPr="00472687">
          <w:t>251</w:t>
        </w:r>
      </w:fldSimple>
      <w:r w:rsidR="00B71F73">
        <w:t xml:space="preserve">. În conformitate cu aceste concluzii, Consiliul de Stat a dispus, așadar, ca un cuantum de 8 800 000 EUR din suma de 10 milioane EUR să fie plătit în principal către patru instituții publice ale căror activități au legătură cu protecția mediului: </w:t>
      </w:r>
      <w:r w:rsidR="00B71F73">
        <w:rPr>
          <w:i/>
          <w:iCs/>
        </w:rPr>
        <w:t>Agence de l’environnement et de la maîtrise de l’énergie</w:t>
      </w:r>
      <w:r w:rsidR="00B71F73">
        <w:t xml:space="preserve"> (Agenția pentru Mediu și Managementul Energiei) (ADEME), </w:t>
      </w:r>
      <w:r w:rsidR="00B71F73">
        <w:rPr>
          <w:i/>
          <w:iCs/>
        </w:rPr>
        <w:t>Centre d’études et d’expertise sur les risques, l’environnement, la mobilité et l’aménagement</w:t>
      </w:r>
      <w:r w:rsidR="00B71F73">
        <w:t xml:space="preserve"> (Centrul de Studii și Expertiză privind Riscurile, Mediul, Mobilitatea și Amenajarea Teritoriului) (CEREMA),</w:t>
      </w:r>
      <w:r w:rsidR="00B71F73">
        <w:rPr>
          <w:i/>
          <w:iCs/>
        </w:rPr>
        <w:t xml:space="preserve"> Agence nationale de sécurité sanitaire de l’alimentation, de l’environnement et du travail</w:t>
      </w:r>
      <w:r w:rsidR="00B71F73">
        <w:t xml:space="preserve"> (Agenția Națională pentru Siguranța Sanitară a Alimentației, a Mediului și a Muncii) (ANSES) și </w:t>
      </w:r>
      <w:r w:rsidR="00B71F73">
        <w:rPr>
          <w:i/>
          <w:iCs/>
        </w:rPr>
        <w:t>Institut national de l’environnement industriel et des risques</w:t>
      </w:r>
      <w:r w:rsidR="00B71F73">
        <w:t xml:space="preserve"> (Institutul Național pentru Mediul Industrial și Riscuri) (INERIS). Suma rămasă urma să fie plătită asociațiilor de monitorizare a calității aerului din regiunile cele mai afectate.</w:t>
      </w:r>
    </w:p>
    <w:p w:rsidR="00DB7E5A" w:rsidRPr="00472687" w:rsidRDefault="00C71855" w:rsidP="00472687">
      <w:pPr>
        <w:pStyle w:val="JuPara"/>
      </w:pPr>
      <w:fldSimple w:instr=" SEQ level0 \*arabic \* MERGEFORMAT ">
        <w:r w:rsidR="00472687" w:rsidRPr="00472687">
          <w:t>252</w:t>
        </w:r>
      </w:fldSimple>
      <w:r w:rsidR="00B71F73">
        <w:t xml:space="preserve">. Printr-o decizie din 17 octombrie 2022, Consiliul de Stat a stabilit din nou cuantumul provizoriu al penalității cu titlu cominatoriu pentru perioada cuprinsă între 12 iulie 2021 și 12 iulie 2022, care acoperea două semestre, și a obligat statul la plata sumei de 20 de milioane EUR, din care suma de 16 950 000 EUR urmând a fi plătită în principal acelorași instituții publice. Printr-o nouă decizie din 24 noiembrie 2023, Consiliul de Stat a constatat că decizia din 12 iulie 2017 fusese pusă parțial în executare și a obligat statul să plătească suma de 10 milioane EUR instituțiilor publice și asociațiilor sus-menționate, precum și Asociației </w:t>
      </w:r>
      <w:r w:rsidR="00B71F73">
        <w:rPr>
          <w:i/>
        </w:rPr>
        <w:t>Les Amis de la Terre France</w:t>
      </w:r>
      <w:r w:rsidR="00B71F73">
        <w:t>.</w:t>
      </w:r>
    </w:p>
    <w:bookmarkStart w:id="273" w:name="paragraph00253"/>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253</w:t>
      </w:r>
      <w:r w:rsidRPr="00472687">
        <w:fldChar w:fldCharType="end"/>
      </w:r>
      <w:bookmarkEnd w:id="273"/>
      <w:r>
        <w:t xml:space="preserve">. În sfârșit, aceeași cauză a avut ca rezultat pronunțarea de către CJUE a unei hotărâri de constatare a neîndeplinirii obligațiilor, având în vedere nerespectarea de către Franța a valorilor-limită pentru concentrațiile de dioxid de azot și de pulberi în suspensie definite de Directiva 2008/50/CE (Hotărârea din 24 octombrie 2019 în cauza </w:t>
      </w:r>
      <w:r>
        <w:rPr>
          <w:i/>
          <w:iCs/>
        </w:rPr>
        <w:t>Comisia/Franța</w:t>
      </w:r>
      <w:r>
        <w:t>, C-636/18, EU:C:2019:900, punctele 44 și 45).</w:t>
      </w:r>
    </w:p>
    <w:p w:rsidR="00DB7E5A" w:rsidRPr="00472687" w:rsidRDefault="0052083E" w:rsidP="00E72A1B">
      <w:pPr>
        <w:pStyle w:val="JuH1"/>
        <w:numPr>
          <w:ilvl w:val="3"/>
          <w:numId w:val="50"/>
        </w:numPr>
      </w:pPr>
      <w:bookmarkStart w:id="274" w:name="_Toc199273490"/>
      <w:r>
        <w:t>Germania</w:t>
      </w:r>
      <w:bookmarkEnd w:id="274"/>
    </w:p>
    <w:p w:rsidR="00DB7E5A" w:rsidRPr="00472687" w:rsidRDefault="00C71855" w:rsidP="00472687">
      <w:pPr>
        <w:pStyle w:val="JuPara"/>
      </w:pPr>
      <w:fldSimple w:instr=" SEQ level0 \*arabic \* MERGEFORMAT ">
        <w:bookmarkStart w:id="275" w:name="paragraph00254"/>
        <w:r w:rsidR="00472687" w:rsidRPr="00472687">
          <w:t>254</w:t>
        </w:r>
        <w:bookmarkEnd w:id="275"/>
      </w:fldSimple>
      <w:r w:rsidR="00B71F73">
        <w:t xml:space="preserve">. În cauza </w:t>
      </w:r>
      <w:r w:rsidR="00B71F73">
        <w:rPr>
          <w:i/>
        </w:rPr>
        <w:t>Neubauer și alții împotriva Republicii Federale Germania</w:t>
      </w:r>
      <w:r w:rsidR="0052083E">
        <w:rPr>
          <w:rStyle w:val="FootnoteReference"/>
        </w:rPr>
        <w:footnoteReference w:id="158"/>
      </w:r>
      <w:r w:rsidR="00B71F73">
        <w:t xml:space="preserve">, Curtea Constituțională Federală a Germaniei („CCFG”) a </w:t>
      </w:r>
      <w:r w:rsidR="00B71F73">
        <w:lastRenderedPageBreak/>
        <w:t>examinat patru plângeri de neconstituționalitate referitoare la anumite dispoziții ale Legii federale din 12 decembrie 2019 privind schimbările climatice (</w:t>
      </w:r>
      <w:r w:rsidR="00B71F73">
        <w:rPr>
          <w:i/>
        </w:rPr>
        <w:t>Bundes</w:t>
      </w:r>
      <w:r w:rsidR="00B71F73">
        <w:rPr>
          <w:i/>
        </w:rPr>
        <w:noBreakHyphen/>
        <w:t>Klimaschutzgesetz</w:t>
      </w:r>
      <w:r w:rsidR="00B71F73">
        <w:t>), precum și alegația potrivit căreia statul nu și-a îndeplinit obligația de a lua măsuri suplimentare pentru reducerea emisiilor de GES.</w:t>
      </w:r>
    </w:p>
    <w:p w:rsidR="00DB7E5A" w:rsidRPr="00472687" w:rsidRDefault="00C71855" w:rsidP="00472687">
      <w:pPr>
        <w:pStyle w:val="JuPara"/>
      </w:pPr>
      <w:fldSimple w:instr=" SEQ level0 \*arabic \* MERGEFORMAT ">
        <w:r w:rsidR="00472687" w:rsidRPr="00472687">
          <w:t>255</w:t>
        </w:r>
      </w:fldSimple>
      <w:r w:rsidR="00B71F73">
        <w:t>. În susținerea pretențiilor lor, reclamanții au invocat dreptul la viață și la integritate fizică (articolul 2 § 2 prima teză din Legea fundamentală), dreptul de proprietate și dreptul de moștenire (articolul 14 § 1 din Legea fundamentală), precum și dreptul fundamental la un viitor compatibil cu demnitatea umană și dreptul fundamental la un nivel de trai care să asigure standarde minime în materie de ecologie, în temeiul articolului 2 § 1 coroborat cu articolul 20a din Legea fundamentală și al articolului 2 § 1 coroborat cu articolul 1 § 1 prima teză din aceeași Lege.</w:t>
      </w:r>
    </w:p>
    <w:p w:rsidR="00DB7E5A" w:rsidRPr="00472687" w:rsidRDefault="00C71855" w:rsidP="00472687">
      <w:pPr>
        <w:pStyle w:val="JuPara"/>
      </w:pPr>
      <w:fldSimple w:instr=" SEQ level0 \*arabic \* MERGEFORMAT ">
        <w:r w:rsidR="00472687" w:rsidRPr="00472687">
          <w:t>256</w:t>
        </w:r>
      </w:fldSimple>
      <w:r w:rsidR="00B71F73">
        <w:t>. CCFG a considerat că dispozițiile Legii federale privind schimbările climatice erau incompatibile cu drepturile fundamentale, întrucât nu conțineau indicații suficient de precise cu privire la reducerea emisiilor începând cu 2031. Aceasta a respins plângerile de neconstituționalitate în ceea ce privește toate celelalte aspecte. Potrivit aprecierii CCFG, nu se putea stabili că, prin adoptarea acestor dispoziții, legiuitorul nu își îndeplinise datoria constituțională de a-i proteja pe reclamanți împotriva riscurilor legate de schimbările climatice sau nu își respectase obligația de a acționa pentru combaterea schimbărilor climatice, care decurge din articolul 20a din Legea fundamentală. Cu toate acestea, a constatat că, într-adevăr, dispozițiile contestate aduceau atingere libertăților reclamanților, unii dintre aceștia fiind încă foarte tineri, întrucât transferau, în mod irevocabil, o parte semnificativă a eforturilor de reducere a emisiilor pentru perioada de după 2030. Aceasta a precizat că necesitatea de a reduce emisiile de GES decurgea din Legea fundamentală, în special din obiectivul constituțional privind clima care decurge din articolul 20a din aceasta. A adăugat că aceste viitoare obligații de reducere a emisiilor afectau practic orice tip de libertate, având în vedere că aproape toate aspectele vieții umane implicau, în continuare, producerea de emisii de GES și, astfel, puteau fi amenințate de restricții drastice după 2030. Aceasta a concluzionat că legiuitorul ar fi trebuit să adopte măsuri de prevenire care să diminueze eforturile considerabile care trebuie depuse, pentru a proteja libertățile fundamentale.</w:t>
      </w:r>
    </w:p>
    <w:bookmarkStart w:id="277" w:name="paragraph00257"/>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257</w:t>
      </w:r>
      <w:r w:rsidRPr="00472687">
        <w:fldChar w:fldCharType="end"/>
      </w:r>
      <w:bookmarkEnd w:id="277"/>
      <w:r>
        <w:t>. În rezumatul oficial al hotărârii sunt prezentate concluziile Curții Constituționale (traducerea grefei) după cum urmează:</w:t>
      </w:r>
    </w:p>
    <w:p w:rsidR="00DB7E5A" w:rsidRPr="00472687" w:rsidRDefault="0052083E" w:rsidP="00472687">
      <w:pPr>
        <w:pStyle w:val="JuQuot"/>
      </w:pPr>
      <w:r>
        <w:t>„1. Protecția vieții și a integrității fizice, garantată de articolul 2 paragraful al doilea prima teză din Legea fundamentală, include protecția împotriva atingerilor aduse intereselor garantate de Constituție, care rezultă din poluarea mediului, indiferent cine sunt cei responsabili pentru poluare și cauzele acesteia. Obligația de protecție, impusă statului la articolul 2 paragraful al doilea prima teză din Legea fundamentală, include și obligația de a proteja viața și sănătatea împotriva riscurilor legate de schimbările climatice. De asemenea, aceasta poate da naștere unei obligații obiective de protejare a generațiilor viitoare.</w:t>
      </w:r>
    </w:p>
    <w:p w:rsidR="00DB7E5A" w:rsidRPr="00472687" w:rsidRDefault="0052083E" w:rsidP="00472687">
      <w:pPr>
        <w:pStyle w:val="JuQuot"/>
      </w:pPr>
      <w:r>
        <w:lastRenderedPageBreak/>
        <w:t>2. Articolul 20a din Legea fundamentală obligă statul să protejeze clima, ceea ce include realizarea neutralității climatice.</w:t>
      </w:r>
    </w:p>
    <w:p w:rsidR="00DB7E5A" w:rsidRPr="00472687" w:rsidRDefault="0052083E" w:rsidP="00472687">
      <w:pPr>
        <w:pStyle w:val="JuQuot"/>
      </w:pPr>
      <w:r>
        <w:t>a. Articolul 20a din Legea fundamentală nu se bucură de întâietate absolută asupra altor interese, drepturi și principii constituționale și, în caz de conflict, trebuie să fie conciliat cu acestea. În cadrul acestui exercițiu de punere în balanță, obligația de a proteja clima devine cu atât mai importantă cu cât schimbările climatice se intensifică.</w:t>
      </w:r>
    </w:p>
    <w:p w:rsidR="00C014F0" w:rsidRPr="00472687" w:rsidRDefault="0052083E" w:rsidP="00472687">
      <w:pPr>
        <w:pStyle w:val="JuQuot"/>
      </w:pPr>
      <w:r>
        <w:t>b. În cazul unei incertitudini științifice în privința legăturilor de cauzalitate care există în materie de mediu, obligația specială de diligență impusă legiuitorului de articolul 20a din Legea fundamentală, în beneficiul generațiilor actuale și viitoare, presupune ca legiuitorul să țină seama de informații suficient de fiabile, care să ateste existența unor riscuri de producere a unor daune grave sau ireversibile asupra mediului.</w:t>
      </w:r>
    </w:p>
    <w:p w:rsidR="00C014F0" w:rsidRPr="00472687" w:rsidRDefault="0052083E" w:rsidP="00472687">
      <w:pPr>
        <w:pStyle w:val="JuQuot"/>
      </w:pPr>
      <w:r>
        <w:t>c. Articolul 20a din Legea fundamentală are o dimensiune internațională, în măsura în care consacră o obligație de protecție a climei. Obligația statului de protejare a climei nu este pusă sub semnul întrebării din cauza faptului că problemele cauzate de schimbările climatice nu pot fi rezolvate prin acțiunile unui singur stat, având în vedere dimensiunea mondială a climei și a încălzirii globale. Această obligație impune statului să întreprindă acțiuni la scară internațională, pentru a asigura protecția climei la nivel global, și să urmărească acest obiectiv în cadrul cooperării internaționale. Statul nu se poate sustrage de la responsabilitatea care îi revine invocând emisiile de [GES] produse în alte state.</w:t>
      </w:r>
    </w:p>
    <w:p w:rsidR="00DB7E5A" w:rsidRPr="00472687" w:rsidRDefault="0052083E" w:rsidP="00472687">
      <w:pPr>
        <w:pStyle w:val="JuQuot"/>
      </w:pPr>
      <w:r>
        <w:t>d. Legiuitorul, în îndeplinirea sarcinii sale și în exercitarea prerogativelor sale de punere în aplicare a legii, a definit obiectivul de protecție a climei, prevăzut la articolul 20a din Legea fundamentală, prevăzând obligația, conformă cu Constituția, de a menține creșterea temperaturii medii globale cu mult sub 2°C peste nivelurile preindustriale și, de preferat, sub 1,5</w:t>
      </w:r>
      <w:r>
        <w:rPr>
          <w:vertAlign w:val="superscript"/>
        </w:rPr>
        <w:t>o</w:t>
      </w:r>
      <w:r>
        <w:t>C.</w:t>
      </w:r>
    </w:p>
    <w:p w:rsidR="00DB7E5A" w:rsidRPr="00472687" w:rsidRDefault="0052083E" w:rsidP="00472687">
      <w:pPr>
        <w:pStyle w:val="JuQuot"/>
      </w:pPr>
      <w:r>
        <w:t>e. Articolul 20a din Legea fundamentală conține un standard juridic care poate fi invocat în instanță și al cărui scop este să impună luarea în considerare, în procesul politic, a intereselor ecologice, în special cele ale generațiilor viitoare.</w:t>
      </w:r>
    </w:p>
    <w:p w:rsidR="00DB7E5A" w:rsidRPr="00472687" w:rsidRDefault="0052083E" w:rsidP="00472687">
      <w:pPr>
        <w:pStyle w:val="JuQuot"/>
      </w:pPr>
      <w:r>
        <w:t>3. Justificarea din perspectiva Constituției a ingerințelor statului în exercitarea drepturilor fundamentale presupune ca acestea să fie compatibile cu articolul 20a din Legea fundamentală.</w:t>
      </w:r>
    </w:p>
    <w:p w:rsidR="00DB7E5A" w:rsidRPr="00472687" w:rsidRDefault="0052083E" w:rsidP="00472687">
      <w:pPr>
        <w:pStyle w:val="JuQuot"/>
      </w:pPr>
      <w:r>
        <w:t>4. În anumite condiții, Legea fundamentală impune ca libertățile garantate de Constituție să fie protejate în timp și ca șansele de exercitare a acestor libertăți să fie distribuite proporțional între generații. În dimensiunea lor subiectivă, drepturile fundamentale – ca garanții ale libertăților de-a lungul timpului – oferă protecție împotriva amânării unilaterale pentru viitor a sarcinii de reducere a emisiilor [GES], impusă de articolul 20a din Legea fundamentală.</w:t>
      </w:r>
      <w:r>
        <w:rPr>
          <w:b/>
        </w:rPr>
        <w:t> </w:t>
      </w:r>
      <w:r>
        <w:t>Obligația de protecție, prevăzută la articolul 20a din Legea fundamentală, implică de asemenea, în dimensiunea sa obiectivă, necesitatea de a aborda cu suficientă grijă fundamentele naturale ale vieții și de a le păstra într-o stare suficient de bună, astfel încât generațiile viitoare care doresc să le conserve în continuare să nu fie nevoite să ia măsuri radicale de austeritate.</w:t>
      </w:r>
    </w:p>
    <w:p w:rsidR="00DB7E5A" w:rsidRPr="00472687" w:rsidRDefault="0052083E" w:rsidP="00472687">
      <w:pPr>
        <w:pStyle w:val="JuQuot"/>
      </w:pPr>
      <w:r>
        <w:t>Protecția viitoarei libertăți impune, de asemenea, inițierea în timp util a procesului de tranziție către neutralitatea climatică. Concret, este indispensabil să fie formulate, în timp util, indicații transparente referitoare la parcursul care trebuie urmat în direcția reducerii emisiilor de [GES], care ar trebui să servească drept cadru orientativ pentru procesele necesare de concepere și punere în aplicare și care să constituie totodată un stimulent suficient pentru dezvoltarea acestor procese și să asigure certitudinea necesară pentru planificarea acestora.</w:t>
      </w:r>
    </w:p>
    <w:p w:rsidR="00DB7E5A" w:rsidRPr="00472687" w:rsidRDefault="0052083E" w:rsidP="00472687">
      <w:pPr>
        <w:pStyle w:val="JuQuot"/>
      </w:pPr>
      <w:r>
        <w:lastRenderedPageBreak/>
        <w:t>5. Legiuitorul este obligat să stabilească dispozițiile necesare care prevăd cantitățile totale de emisii permise pentru o anumită perioadă de timp. În ceea ce privește modalitatea de adoptare a cadrului juridic referitor la cantitățile de emisii autorizate, procedura legislativă nu poate fi înlocuită cu o formă limitată de participare a Parlamentului, care presupune simpla aprobare de către Bundestag a decretelor adoptate de guvernul federal, întrucât tocmai caracterul public specific acestei proceduri impune, în acest caz, adoptarea unei legislații pe cale parlamentară. Este adevărat că, în domeniile dreptului aflate în continuă dezvoltare și caracterizate printr-o evoluție permanentă a cunoștințelor, adoptarea unei legislații pe cale parlamentară poate aduce atingere protecției drepturilor fundamentale. Cu toate acestea, ideea fundamentală din acest domeniu, și anume noțiunea de protecție dinamică a drepturilor fundamentale (a se vedea decizia de principiu din culegerea BVerfGE 49, 89 &lt;137&gt;), nu poate fi opusă cerinței privind adoptarea legislației pe cale parlamentară. Provocarea nu constă în a asigura protecția drepturilor fundamentale prin adaptarea cadrului juridic la noile evoluții și cunoștințe, ci în instituirea unui regim care să permită viitoare evoluții în domeniul protecției drepturilor fundamentale. ”</w:t>
      </w:r>
    </w:p>
    <w:p w:rsidR="00DB7E5A" w:rsidRPr="00472687" w:rsidRDefault="0052083E" w:rsidP="00E72A1B">
      <w:pPr>
        <w:pStyle w:val="JuH1"/>
        <w:numPr>
          <w:ilvl w:val="3"/>
          <w:numId w:val="50"/>
        </w:numPr>
      </w:pPr>
      <w:bookmarkStart w:id="278" w:name="_Toc199273491"/>
      <w:r>
        <w:t>Irlanda</w:t>
      </w:r>
      <w:bookmarkEnd w:id="278"/>
    </w:p>
    <w:bookmarkStart w:id="279" w:name="paragraph00258"/>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258</w:t>
      </w:r>
      <w:r w:rsidRPr="00472687">
        <w:fldChar w:fldCharType="end"/>
      </w:r>
      <w:bookmarkEnd w:id="279"/>
      <w:r>
        <w:rPr>
          <w:rFonts w:ascii="Times New Roman" w:hAnsi="Times New Roman"/>
        </w:rPr>
        <w:t xml:space="preserve">În cauza </w:t>
      </w:r>
      <w:r>
        <w:rPr>
          <w:rFonts w:ascii="Times New Roman" w:hAnsi="Times New Roman"/>
          <w:i/>
        </w:rPr>
        <w:t>Friends of the Irish Environment CLG v. the Government of Ireland, Ireland and the Attorney General</w:t>
      </w:r>
      <w:r>
        <w:rPr>
          <w:rFonts w:ascii="Times New Roman" w:eastAsia="Times New Roman" w:hAnsi="Times New Roman" w:cs="Times New Roman"/>
          <w:vertAlign w:val="superscript"/>
        </w:rPr>
        <w:footnoteReference w:id="159"/>
      </w:r>
      <w:r>
        <w:rPr>
          <w:rFonts w:ascii="Times New Roman" w:hAnsi="Times New Roman"/>
        </w:rPr>
        <w:t>, Curții Supreme a Irlandei i s-a solicitat să verifice caracterul adecvat al măsurilor adoptate la nivel național pentru abordarea schimbărilor climatice, în lumina dispozițiilor legale adoptate în 2015, și să examineze argumentele referitoare la drepturi – dreptul la viață și dreptul la integritate fizică – care au fost formulate în temeiul Constituției și al Convenției.</w:t>
      </w:r>
    </w:p>
    <w:p w:rsidR="00DB7E5A" w:rsidRPr="00472687" w:rsidRDefault="00C71855" w:rsidP="00472687">
      <w:pPr>
        <w:pStyle w:val="JuPara"/>
      </w:pPr>
      <w:fldSimple w:instr=" SEQ level0 \*arabic \* MERGEFORMAT ">
        <w:r w:rsidR="00472687" w:rsidRPr="00472687">
          <w:t>259</w:t>
        </w:r>
      </w:fldSimple>
      <w:r w:rsidR="00B71F73">
        <w:t xml:space="preserve">. În partea sa relevantă, concluzia hotărârii pronunțate de </w:t>
      </w:r>
      <w:r w:rsidR="00B71F73">
        <w:rPr>
          <w:i/>
        </w:rPr>
        <w:t>Chief Justice</w:t>
      </w:r>
      <w:r w:rsidR="00B71F73">
        <w:t xml:space="preserve"> (președintele Curții Supreme)</w:t>
      </w:r>
      <w:r w:rsidR="00B71F73">
        <w:rPr>
          <w:i/>
        </w:rPr>
        <w:t xml:space="preserve"> </w:t>
      </w:r>
      <w:r w:rsidR="00B71F73">
        <w:t>de la acel moment are următorul cuprins (traducerea grefei):</w:t>
      </w:r>
    </w:p>
    <w:p w:rsidR="00DB7E5A" w:rsidRPr="00472687" w:rsidRDefault="0052083E" w:rsidP="00472687">
      <w:pPr>
        <w:pStyle w:val="JuQuot"/>
        <w:rPr>
          <w:rFonts w:eastAsia="Times New Roman"/>
        </w:rPr>
      </w:pPr>
      <w:r>
        <w:t>„9.1 În prezenta hotărâre, voi examina mai întâi argumentul invocat de [Friends of the Irish Environment, FIE], potrivit căruia Planul nu este conform cu misiunea sa definită de Legea din 2015 și, prin urmare, constituie un exces de putere. Trebuie subliniat faptul că, în cadrul ședinței, nu s-a ridicat nicio întrebare cu privire la calitatea procesuală a FIE de a invoca argumente în acest sens. Pentru motivele expuse în prezenta hotărâre, concluzionez că, contrar celor susținute în numele Guvernului, FIE are dreptul de a invoca cele mai ample argumente în materie, expuse în observațiile sale scrise. De asemenea, concluzionez că aceste chestiuni pot fi supuse controlului instanțelor și că acest control nu constituie o imixtiune nepermisă a instanțelor în domenii care țin de puterea politică. Ca urmare a adoptării Legii din 2015, aspecte care anterior puteau fi considerate ca ținând de domeniul politicii au devenit chestiuni de drept.</w:t>
      </w:r>
    </w:p>
    <w:p w:rsidR="00DB7E5A" w:rsidRPr="00472687" w:rsidRDefault="0052083E" w:rsidP="00472687">
      <w:pPr>
        <w:pStyle w:val="JuQuot"/>
        <w:rPr>
          <w:rFonts w:eastAsia="Times New Roman"/>
        </w:rPr>
      </w:pPr>
      <w:r>
        <w:t xml:space="preserve">9.2 De asemenea, concluzionez că Legea din 2015, în special articolul 4, impune elaborarea unui plan conform care să definească măsurile necesare pentru atingerea Obiectivului național de tranziție (ONT) până în 2050 într-o manieră suficient de precisă pentru a-i permite unei persoane rezonabile și interesate să își formeze o opinie atât cu privire la caracterul realist al planului în cauză, cât și cu privire la conformitatea acestor măsuri cu opțiunile politice adoptate pentru realizarea ONT, astfel cum sunt specificate în planul respectiv. În ansamblul său, Legea din 2015 presupune nu numai </w:t>
      </w:r>
      <w:r>
        <w:lastRenderedPageBreak/>
        <w:t>participarea publicului la procesul de adoptare a unui plan, ci și transparență în ceea ce privește politica oficială care este aleasă de Guvern pentru realizarea ONT până în 2050 și care, odată adoptată în conformitate cu o procedură definită astfel prin lege, va deveni cadrul juridic pentru atingerea acestui obiectiv. Un plan conform nu este un plan cincinal, ci unul care acoperă întreaga perioadă rămasă până în 2050. Deși poate fi de înțeles că informațiile cu privire la ceea ce este avut în vedere pentru un viitor îndepărtat pot fi mai puțin detaliate, pentru a fi conform, un plan trebuie să conțină suficiente detalii privind politica de urmat pentru perioada de până în 2050.</w:t>
      </w:r>
    </w:p>
    <w:p w:rsidR="00DB7E5A" w:rsidRPr="00472687" w:rsidRDefault="0052083E" w:rsidP="00472687">
      <w:pPr>
        <w:pStyle w:val="JuQuot"/>
        <w:rPr>
          <w:rFonts w:eastAsia="Times New Roman"/>
        </w:rPr>
      </w:pPr>
      <w:r>
        <w:t>9.3 Pentru motivele expuse și în prezenta hotărâre, am concluzionat că Planul are un grad de precizie cu mult sub cel necesar pentru a asigura transparența și pentru a fi conform cu dispozițiile Legii din 2015. Prin urmare, propun anularea acestui Plan.</w:t>
      </w:r>
    </w:p>
    <w:p w:rsidR="00DB7E5A" w:rsidRPr="00472687" w:rsidRDefault="0052083E" w:rsidP="00472687">
      <w:pPr>
        <w:pStyle w:val="JuQuot"/>
        <w:rPr>
          <w:rFonts w:eastAsia="Times New Roman"/>
        </w:rPr>
      </w:pPr>
      <w:r>
        <w:t>9.4 În prezenta hotărâre, am analizat de asemenea aspectul dacă este oportun să se continue examinarea celorlalte probleme ridicate, având în vedere că propun anularea Planului și că, prin urmare, nu va putea fi elaborat un plan identic pe viitor. Totuși, voi răspunde la problemele legate de calitatea procesuală, care sunt în discuție în cadrul prezentului recurs, întrucât este foarte posibil ca acestea să fie ridicate în cadrul unei contestații privind un viitor plan. Pentru motivele expuse în prezenta hotărâre, concluzionez că FIE, în calitate de persoană juridică ce nu beneficiază ea însăși de dreptul la viață sau de dreptul la integritate fizică, nu are calitatea procesuală pentru a invoca argumentele referitoare la aceste drepturi, pe care intenționează să le susțină în temeiul Constituției sau al Convenției europene a drepturilor omului. Concluzionez, de asemenea, că nu s-a demonstrat că era necesară recunoașterea calității procesuale a FIE în temeiul excepției aplicabile cazurilor în care refuzul de a recunoaște această calitate ar face imposibilă sau excesiv de dificilă exercitarea unor drepturi importante.</w:t>
      </w:r>
    </w:p>
    <w:p w:rsidR="00DB7E5A" w:rsidRPr="00472687" w:rsidRDefault="0052083E" w:rsidP="00472687">
      <w:pPr>
        <w:pStyle w:val="JuQuot"/>
      </w:pPr>
      <w:r>
        <w:rPr>
          <w:rFonts w:ascii="Times New Roman" w:hAnsi="Times New Roman"/>
        </w:rPr>
        <w:t>9.5 Pentru motivele menționate anterior, am considerat că nu este oportun să răspund argumentelor formulate în temeiul [dreptului la viață și al dreptului la integritate fizică]. În schimb, mă pronunț cu privire la problema existenței unui drept constituțional implicit sau, așa cum prefer să spun, a unui drept constituțional derivat la un mediu sănătos. Deși nu exclud faptul că drepturile și obligațiile constituționale pot fi aplicabile în anumite cauze referitoare la mediu, consider că dreptul la un mediu sănătos, care a fost revendicat, este fie superfluu (dacă nu se extinde dincolo de dreptul la viață și dreptul la integritate fizică), fie excesiv de vag și definit necorespunzător (dacă se extinde dincolo de aceste drepturi). În aceste condiții, apreciez că un astfel de drept nu poate fi derivat din Constituție. Cu toate acestea, amân pronunțarea privind problema dacă, și în ce formă, drepturile constituționale și obligațiile statului pot fi relevante pentru litigiile în materie de mediu, într-o cauză în care aceste aspecte se dovedesc a fi decisive. ”</w:t>
      </w:r>
    </w:p>
    <w:p w:rsidR="00DB7E5A" w:rsidRPr="00472687" w:rsidRDefault="0052083E" w:rsidP="00E72A1B">
      <w:pPr>
        <w:pStyle w:val="JuH1"/>
        <w:numPr>
          <w:ilvl w:val="3"/>
          <w:numId w:val="50"/>
        </w:numPr>
      </w:pPr>
      <w:bookmarkStart w:id="280" w:name="_Toc199273492"/>
      <w:r>
        <w:t>Țările de Jos</w:t>
      </w:r>
      <w:bookmarkEnd w:id="280"/>
    </w:p>
    <w:bookmarkStart w:id="281" w:name="paragraph00260"/>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260</w:t>
      </w:r>
      <w:r w:rsidRPr="00472687">
        <w:fldChar w:fldCharType="end"/>
      </w:r>
      <w:bookmarkEnd w:id="281"/>
      <w:r>
        <w:t xml:space="preserve">. În hotărârea </w:t>
      </w:r>
      <w:r>
        <w:rPr>
          <w:i/>
        </w:rPr>
        <w:t>Statul neerlandez împotriva Fundației Urgenda (</w:t>
      </w:r>
      <w:r>
        <w:t xml:space="preserve"> 20 decembrie 2019, NL:HR:2019:2007), Curtea Supremă a Țărilor de Jos a confirmat decizia prin care instanțele inferioare au dispus ca, până la sfârșitul anului 2020, statul să reducă emisiile de GES cu cel puțin 25% față de 1990.</w:t>
      </w:r>
    </w:p>
    <w:p w:rsidR="00DB7E5A" w:rsidRPr="00472687" w:rsidRDefault="00C71855" w:rsidP="00472687">
      <w:pPr>
        <w:pStyle w:val="JuPara"/>
      </w:pPr>
      <w:fldSimple w:instr=" SEQ level0 \*arabic \* MERGEFORMAT ">
        <w:r w:rsidR="00472687" w:rsidRPr="00472687">
          <w:t>261</w:t>
        </w:r>
      </w:fldSimple>
      <w:r w:rsidR="00B71F73">
        <w:t>. Rezumatul oficial al acestei hotărâri are următorul cuprins (traducerea grefei):</w:t>
      </w:r>
    </w:p>
    <w:p w:rsidR="00DB7E5A" w:rsidRPr="00472687" w:rsidRDefault="0052083E" w:rsidP="00472687">
      <w:pPr>
        <w:pStyle w:val="JuQuot"/>
        <w:rPr>
          <w:rFonts w:eastAsia="Times New Roman"/>
        </w:rPr>
      </w:pPr>
      <w:r>
        <w:t>„În speță, se ridică problema dacă statul neerlandez este obligat să reducă, până la sfârșitul anului 2020, cu cel puțin 25% față de 1990, emisiile de [GES] produse pe teritoriul neerlandez și dacă instanțele pot dispune ca statul să facă acest lucru.</w:t>
      </w:r>
    </w:p>
    <w:p w:rsidR="00DB7E5A" w:rsidRPr="00472687" w:rsidRDefault="0052083E" w:rsidP="00472687">
      <w:pPr>
        <w:pStyle w:val="JuQuot"/>
      </w:pPr>
      <w:r>
        <w:lastRenderedPageBreak/>
        <w:t>Cererea formulată de Fundația Urgenda și deciziile tribunalului districtual și curții de apel</w:t>
      </w:r>
    </w:p>
    <w:p w:rsidR="00DB7E5A" w:rsidRPr="00472687" w:rsidRDefault="0052083E" w:rsidP="00472687">
      <w:pPr>
        <w:pStyle w:val="JuQuot"/>
      </w:pPr>
      <w:r>
        <w:t>Fundația Urgenda a solicitat instanțelor să dispună ca statul să reducă emisiile de [GES] astfel încât, până la sfârșitul anului 2020, aceste emisii să fie reduse cu 40%, sau cu cel puțin 25%, față de 1990.</w:t>
      </w:r>
    </w:p>
    <w:p w:rsidR="00C014F0" w:rsidRPr="00472687" w:rsidRDefault="0052083E" w:rsidP="00472687">
      <w:pPr>
        <w:pStyle w:val="JuQuot"/>
      </w:pPr>
      <w:r>
        <w:t>În 2015, tribunalul districtual a admis cererea Fundației Urgenda în măsura în care a dispus ca statul să reducă emisiile cu cel puțin 25% față de 1990, până la sfârșitul anului 2020.</w:t>
      </w:r>
    </w:p>
    <w:p w:rsidR="00DB7E5A" w:rsidRPr="00472687" w:rsidRDefault="0052083E" w:rsidP="00472687">
      <w:pPr>
        <w:pStyle w:val="JuQuot"/>
      </w:pPr>
      <w:r>
        <w:t>În 2018, curtea de apel a confirmat hotărârea tribunalului districtual.</w:t>
      </w:r>
    </w:p>
    <w:p w:rsidR="00DB7E5A" w:rsidRPr="00472687" w:rsidRDefault="0052083E" w:rsidP="00472687">
      <w:pPr>
        <w:pStyle w:val="JuQuot"/>
      </w:pPr>
      <w:r>
        <w:t>Recursul în casație</w:t>
      </w:r>
    </w:p>
    <w:p w:rsidR="00DB7E5A" w:rsidRPr="00472687" w:rsidRDefault="0052083E" w:rsidP="00472687">
      <w:pPr>
        <w:pStyle w:val="JuQuot"/>
      </w:pPr>
      <w:r>
        <w:t>Statul a formulat recurs în casație împotriva decizie curții de apel și a invocat numeroase motive de recurs.</w:t>
      </w:r>
    </w:p>
    <w:p w:rsidR="00DB7E5A" w:rsidRPr="00472687" w:rsidRDefault="0052083E" w:rsidP="00472687">
      <w:pPr>
        <w:pStyle w:val="JuQuot"/>
      </w:pPr>
      <w:r>
        <w:t>Procurorul general adjunct și avocatul general au solicitat Curții Supreme să respingă recursul formulat de stat și să confirme decizia curții de apel.</w:t>
      </w:r>
    </w:p>
    <w:p w:rsidR="00DB7E5A" w:rsidRPr="00472687" w:rsidRDefault="0052083E" w:rsidP="00472687">
      <w:pPr>
        <w:pStyle w:val="JuQuot"/>
      </w:pPr>
      <w:r>
        <w:t>Decizia Curții Supreme</w:t>
      </w:r>
    </w:p>
    <w:p w:rsidR="00DB7E5A" w:rsidRPr="00472687" w:rsidRDefault="0052083E" w:rsidP="00472687">
      <w:pPr>
        <w:pStyle w:val="JuQuot"/>
      </w:pPr>
      <w:r>
        <w:t>Curtea Supremă a decis să respingă recursul în casație formulat de stat. Prin urmare, obligația impusă statului de către tribunalul districtual și confirmată de curtea de apel, de a reduce emisiile de [GES] cu cel puțin 25% față de 1990, până la sfârșitul anului 2020, a rămas definitivă.</w:t>
      </w:r>
    </w:p>
    <w:p w:rsidR="00DB7E5A" w:rsidRPr="00472687" w:rsidRDefault="0052083E" w:rsidP="00472687">
      <w:pPr>
        <w:pStyle w:val="JuQuot"/>
      </w:pPr>
      <w:r>
        <w:t>Curtea Supremă și-a întemeiat decizia pe faptele și principiile care au fost stabilite de curtea de apel și pe care nici statul, nici Fundația Urgenda nu le-au contestat în cadrul recursului în casație. În calitate de instanță de recurs, aceasta stabilește dacă instanța de apel a aplicat corect legea și dacă, pe baza faptelor care pot fi reținute, decizia curții de apel este inteligibilă și suficient motivată. Motivele deciziei sale sunt rezumate în paragrafele următoare (punctele 4-8 din hotărâre). Acest rezumat nu înlocuiește motivarea prezentei decizii și nu reflectă în totalitate decizia Curții Supreme.</w:t>
      </w:r>
    </w:p>
    <w:p w:rsidR="00DB7E5A" w:rsidRPr="00472687" w:rsidRDefault="0052083E" w:rsidP="00472687">
      <w:pPr>
        <w:pStyle w:val="JuQuot"/>
      </w:pPr>
      <w:r>
        <w:t>Schimbări climatice periculoase (punctele 4.1-4.8 de mai jos)</w:t>
      </w:r>
    </w:p>
    <w:p w:rsidR="00DB7E5A" w:rsidRPr="00472687" w:rsidRDefault="0052083E" w:rsidP="00472687">
      <w:pPr>
        <w:pStyle w:val="JuQuot"/>
      </w:pPr>
      <w:r>
        <w:t>Atât Fundația Urgenda, cât și statul împărtășesc constatările climatologiei potrivit căreia există un risc real de producere a unor schimbări climatice periculoase în deceniile următoare. În rândul climatologilor și în cadrul comunității internaționale există un larg consens cu privire la realitatea unei astfel de amenințări. Aceste elemente pot fi rezumate după cum urmează.</w:t>
      </w:r>
    </w:p>
    <w:p w:rsidR="00DB7E5A" w:rsidRPr="00472687" w:rsidRDefault="0052083E" w:rsidP="00472687">
      <w:pPr>
        <w:pStyle w:val="JuQuot"/>
      </w:pPr>
      <w:r>
        <w:t>Emisiile de [GES], inclusiv CO</w:t>
      </w:r>
      <w:r>
        <w:rPr>
          <w:vertAlign w:val="subscript"/>
        </w:rPr>
        <w:t>2</w:t>
      </w:r>
      <w:r>
        <w:t>, determină o creștere a concentrației acestor gaze în atmosferă. Acestea rețin căldura degajată de Pământ. Din cauza faptului că, de la începutul revoluției industriale, timp de un secol și jumătate, a fost emisă o cantitate din ce în ce mai mare de [GES], Pământul se încălzește din ce în ce mai mult. În ultimii 150 de ani, Pământul s-a încălzit cu aproximativ 1,1</w:t>
      </w:r>
      <w:r>
        <w:rPr>
          <w:vertAlign w:val="superscript"/>
        </w:rPr>
        <w:t>o</w:t>
      </w:r>
      <w:r>
        <w:t>C, iar cea mai mare parte a acestei încălziri (0,7</w:t>
      </w:r>
      <w:r>
        <w:rPr>
          <w:vertAlign w:val="superscript"/>
        </w:rPr>
        <w:t>o</w:t>
      </w:r>
      <w:r>
        <w:t>C) a avut loc în ultimii patruzeci de ani. Climatologii și comunitatea internațională sunt de acord, în mare măsură, că încălzirea globală nu ar trebui să depășească 2</w:t>
      </w:r>
      <w:r>
        <w:rPr>
          <w:vertAlign w:val="superscript"/>
        </w:rPr>
        <w:t>o</w:t>
      </w:r>
      <w:r>
        <w:t>C sau, potrivit unor opinii mai recente, 1,5</w:t>
      </w:r>
      <w:r>
        <w:rPr>
          <w:vertAlign w:val="superscript"/>
        </w:rPr>
        <w:t>o</w:t>
      </w:r>
      <w:r>
        <w:t xml:space="preserve">C. O încălzire peste această limită ar putea avea consecințe dramatice, cum ar fi temperaturi, secetă sau precipitații extreme, perturbarea ecosistemelor, care ar putea pune în pericol îndeosebi producția de alimente, și creșterea nivelului mării ca urmare a topirii ghețarilor și a calotei glaciare. Această încălzire poate duce, de asemenea, la depășirea unor „puncte de basculare” ceea ce poate avea ca rezultat producerea unor schimbări bruște și globale, la scară planetară sau în anumite regiuni ale lumii. Toate aceste fenomene vor pune în </w:t>
      </w:r>
      <w:r>
        <w:lastRenderedPageBreak/>
        <w:t>pericol viața, bunăstarea și mediul multor oameni din întreaga lume, inclusiv din Țările de Jos. Unele dintre aceste consecințe au început deja să se producă.</w:t>
      </w:r>
    </w:p>
    <w:p w:rsidR="00DB7E5A" w:rsidRPr="00472687" w:rsidRDefault="0052083E" w:rsidP="00472687">
      <w:pPr>
        <w:pStyle w:val="JuQuot"/>
      </w:pPr>
      <w:r>
        <w:t>Protecția drepturilor omului bazată pe Convenția europeană a drepturilor omului (punctele 5.2.1-5.5.3 de mai jos)</w:t>
      </w:r>
    </w:p>
    <w:p w:rsidR="00DB7E5A" w:rsidRPr="00472687" w:rsidRDefault="0052083E" w:rsidP="00472687">
      <w:pPr>
        <w:pStyle w:val="JuQuot"/>
      </w:pPr>
      <w:r>
        <w:t>Convenția europeană pentru apărarea drepturilor omului și a libertăților fundamentale (Convenția) impune statelor care sunt părți la aceasta să protejeze drepturile și libertățile pe care le recunoaște locuitorilor lor. Art. 2 protejează dreptul la viață, iar art. 8 protejează dreptul la respectarea vieții private și de familie. Potrivit jurisprudenței Curții Europene a Drepturilor Omului („CEDO”), aceste dispoziții impun statelor contractante să ia măsuri adecvate atunci când există un risc real și imediat pentru viața sau bunăstarea persoanelor, iar acestea sunt conștiente de risc.</w:t>
      </w:r>
    </w:p>
    <w:p w:rsidR="00DB7E5A" w:rsidRPr="00472687" w:rsidRDefault="0052083E" w:rsidP="00472687">
      <w:pPr>
        <w:pStyle w:val="JuQuot"/>
      </w:pPr>
      <w:r>
        <w:t>Această obligație de a lua măsuri adecvate se aplică, de asemenea, riscurilor de mediu care amenință grupuri mari de persoane sau întreaga populație, chiar dacă aceste riscuri se pot concretiza pe parcursul unei perioade lungi de timp. Deși art. 2 și 8 din Convenție nu pot avea ca efect stabilirea unei sarcini insuportabile sau excesive asupra statului, dispozițiile respective îi impun acestuia să ia măsuri adecvate pentru a preveni pericolul iminent, în măsura în care este posibil în mod rezonabil. În temeiul art. 13 din Convenție, dreptul intern trebuie să prevadă o cale de atac efectivă, care să permită formularea unei plângeri cu privire la o încălcare sau o încălcare iminentă a drepturilor garantate de Convenție. Aceasta înseamnă că instanțele naționale trebuie să fie în măsură să ofere o protecție juridică efectivă.</w:t>
      </w:r>
    </w:p>
    <w:p w:rsidR="00DB7E5A" w:rsidRPr="00472687" w:rsidRDefault="0052083E" w:rsidP="00472687">
      <w:pPr>
        <w:pStyle w:val="JuQuot"/>
      </w:pPr>
      <w:r>
        <w:t>Problema globală și responsabilitatea națională (a se vedea punctele 5.6.1-5.8 de mai jos)</w:t>
      </w:r>
    </w:p>
    <w:p w:rsidR="00DB7E5A" w:rsidRPr="00472687" w:rsidRDefault="0052083E" w:rsidP="00472687">
      <w:pPr>
        <w:pStyle w:val="JuQuot"/>
      </w:pPr>
      <w:r>
        <w:t>Riscul producerii unor schimbări climatice periculoase este, prin natura sa, o problemă globală: [GES] nu sunt emise doar pe teritoriul neerlandez, ci în toată lumea. Consecințele acestor emisii sunt resimțite în întreaga lume.</w:t>
      </w:r>
    </w:p>
    <w:p w:rsidR="00DB7E5A" w:rsidRPr="00472687" w:rsidRDefault="0052083E" w:rsidP="00472687">
      <w:pPr>
        <w:pStyle w:val="JuQuot"/>
      </w:pPr>
      <w:r>
        <w:t>Țările de Jos sunt parte la Convenția-cadru a Națiunilor Unite asupra schimbărilor climatice (UNFCCC). Scopul acestei convenții este de a asigura menținerea concentrației de [GES] din atmosferă la un nivel care să permită evitarea perturbării sistemului climatic de către activitățile umane. UNFCCC se bazează pe principiul conform căruia toate statele părți sunt obligate, în proporții diferite, în funcție de responsabilitățile și posibilitățile lor respective, să ia măsuri de combatere a schimbărilor climatice.</w:t>
      </w:r>
    </w:p>
    <w:p w:rsidR="00DB7E5A" w:rsidRPr="00472687" w:rsidRDefault="0052083E" w:rsidP="00472687">
      <w:pPr>
        <w:pStyle w:val="JuQuot"/>
      </w:pPr>
      <w:r>
        <w:t>Prin urmare, fiecare țară are partea sa de responsabilitate. Aceasta înseamnă că o țară nu se poate sustrage de la propria responsabilitate de a acționa sub pretextul că, în comparație cu restul lumii, propriile emisii sunt relativ limitate și că reducerea lor ar avea un impact minor la nivel mondial. Prin urmare, fiecare stat este obligat să reducă emisiile de [GES] produse pe teritoriul său proporțional cu partea sa de responsabilitate. Această obligație a statului de a-și îndeplini „partea” decurge din art. 2 și 8 din Convenție, întrucât există un risc serios de producere a unor schimbări climatice periculoase, care vor pune în pericol viața și bunăstarea a numeroase persoane din Țările de Jos.</w:t>
      </w:r>
    </w:p>
    <w:p w:rsidR="00DB7E5A" w:rsidRPr="00472687" w:rsidRDefault="0052083E" w:rsidP="00472687">
      <w:pPr>
        <w:pStyle w:val="JuQuot"/>
      </w:pPr>
      <w:r>
        <w:t>Ce presupune, concret, obligația statului de a-și îndeplini „partea”? (punctele 6.1-7.3.6 de mai jos)</w:t>
      </w:r>
    </w:p>
    <w:p w:rsidR="00DB7E5A" w:rsidRPr="00472687" w:rsidRDefault="0052083E" w:rsidP="00472687">
      <w:pPr>
        <w:pStyle w:val="JuQuot"/>
      </w:pPr>
      <w:r>
        <w:t xml:space="preserve">Conținutul obligațiilor pozitive ce revin statului în temeiul art. 2 și 8 din Convenție trebuie definit ținând seama de constatările științifice acceptate pe scară largă și de standardele recunoscute la nivel internațional. Printre altele, rapoartele IPCC sunt importante în această privință. IPCC este o organizație interguvernamentală formată din </w:t>
      </w:r>
      <w:r>
        <w:lastRenderedPageBreak/>
        <w:t>oameni de știință, care a fost înființată în cadrul Organizației Națiunilor Unite pentru a desfășura activități de cercetare privind clima și evoluția sa. Raportul IPCC din 2007 a prezentat un scenariu potrivit căruia se putea aștepta în mod rezonabil ca încălzirea Pământului să fie limitată la maximum 2</w:t>
      </w:r>
      <w:r>
        <w:rPr>
          <w:vertAlign w:val="superscript"/>
        </w:rPr>
        <w:t>o</w:t>
      </w:r>
      <w:r>
        <w:t>C. Pentru a atinge acest obiectiv, țările din anexa I (și anume țările dezvoltate, inclusiv Țările de Jos) trebuiau să își reducă emisiile cu 25-40% în 2020 și cu 80-95% în 2050, comparativ cu 1990.</w:t>
      </w:r>
    </w:p>
    <w:p w:rsidR="00DB7E5A" w:rsidRPr="00472687" w:rsidRDefault="0052083E" w:rsidP="00472687">
      <w:pPr>
        <w:pStyle w:val="JuQuot"/>
      </w:pPr>
      <w:r>
        <w:t>Cu ocazia conferințelor anuale privind schimbările climatice, desfășurate în cadrul UNFCCC începând din 2007, aproape toate țările au subliniat în mod constant necesitatea de a acționa în conformitate cu scenariul IPCC și de a obține o reducere cu 25-40% a emisiilor de [GES] în 2020. În mai multe rânduri, UE și statele membre ale UE au reiterat necesitatea, stabilită de știință, de a reduce emisiile cu 30% în 2020 față de 1990.</w:t>
      </w:r>
    </w:p>
    <w:p w:rsidR="00DB7E5A" w:rsidRPr="00472687" w:rsidRDefault="0052083E" w:rsidP="00472687">
      <w:pPr>
        <w:pStyle w:val="JuQuot"/>
      </w:pPr>
      <w:r>
        <w:t>În plus, începând din 2007, a prevalat opinia potrivit căreia, pentru a nu avea consecințe periculoase, încălzirea Pământului trebuie să rămână limitată mai degrabă la 1,5</w:t>
      </w:r>
      <w:r>
        <w:rPr>
          <w:vertAlign w:val="superscript"/>
        </w:rPr>
        <w:t>o</w:t>
      </w:r>
      <w:r>
        <w:t>C decât la 2</w:t>
      </w:r>
      <w:r>
        <w:rPr>
          <w:vertAlign w:val="superscript"/>
        </w:rPr>
        <w:t>o</w:t>
      </w:r>
      <w:r>
        <w:t>C. Prin urmare, Acordul de la Paris din 2015 prevede în mod expres că statele trebuie să depună eforturi pentru a limita încălzirea la 1,5</w:t>
      </w:r>
      <w:r>
        <w:rPr>
          <w:vertAlign w:val="superscript"/>
        </w:rPr>
        <w:t>o</w:t>
      </w:r>
      <w:r>
        <w:t>C. Așadar, va fi necesar ca emisiile să fie reduse și mai mult în comparație cu estimările anterioare.</w:t>
      </w:r>
    </w:p>
    <w:p w:rsidR="00DB7E5A" w:rsidRPr="00472687" w:rsidRDefault="0052083E" w:rsidP="00472687">
      <w:pPr>
        <w:pStyle w:val="JuQuot"/>
      </w:pPr>
      <w:r>
        <w:t>Pe scurt, există un consens larg cu privire la necesitatea urgentă ca țările din anexa I să reducă emisiile [GES] cu cel puțin 25-40% în 2020. Art. 2 și 8 din Convenție trebuie interpretate și aplicate ținând seama de consensul cu privire la acest obiectiv. În cazul Țărilor de Jos, necesitatea urgentă a unei reduceri cu 25-40% în 2020 se aplică, de asemenea, la nivel național.</w:t>
      </w:r>
    </w:p>
    <w:p w:rsidR="00DB7E5A" w:rsidRPr="00472687" w:rsidRDefault="0052083E" w:rsidP="00472687">
      <w:pPr>
        <w:pStyle w:val="JuQuot"/>
      </w:pPr>
      <w:r>
        <w:t>Politica statului (punctele 7.4.1-7.5.3 de mai jos)</w:t>
      </w:r>
    </w:p>
    <w:p w:rsidR="00DB7E5A" w:rsidRPr="00472687" w:rsidRDefault="0052083E" w:rsidP="00472687">
      <w:pPr>
        <w:pStyle w:val="JuQuot"/>
      </w:pPr>
      <w:r>
        <w:t>Atât statul, cât și Fundația Urgenda consideră că este necesară limitarea concentrației de [GES] din atmosferă pentru a atinge oricare din cele două obiective, cel de 2 C, sau cel de 1,5</w:t>
      </w:r>
      <w:r>
        <w:rPr>
          <w:vertAlign w:val="superscript"/>
        </w:rPr>
        <w:t>o</w:t>
      </w:r>
      <w:r>
        <w:t>C. Cu toate acestea, opiniile lor diferă în ceea ce privește celeritatea necesară pentru adoptarea măsurilor de reducere a emisiilor de [GES].</w:t>
      </w:r>
    </w:p>
    <w:p w:rsidR="00DB7E5A" w:rsidRPr="00472687" w:rsidRDefault="0052083E" w:rsidP="00472687">
      <w:pPr>
        <w:pStyle w:val="JuQuot"/>
      </w:pPr>
      <w:r>
        <w:t>Până în 2011, politica de stat viza obținerea unei reduceri de 30% în 2020 față de 1990. Potrivit statului, o astfel de reducere era necesară pentru a rămâne pe o traiectorie care să permită ca obiectivul de 2</w:t>
      </w:r>
      <w:r>
        <w:rPr>
          <w:vertAlign w:val="superscript"/>
        </w:rPr>
        <w:t>o</w:t>
      </w:r>
      <w:r>
        <w:t>C să rămână realizabil în mod realist.</w:t>
      </w:r>
    </w:p>
    <w:p w:rsidR="00DB7E5A" w:rsidRPr="00472687" w:rsidRDefault="0052083E" w:rsidP="00472687">
      <w:pPr>
        <w:pStyle w:val="JuQuot"/>
      </w:pPr>
      <w:r>
        <w:t>Cu toate acestea, după 2011, statul, în cadrul stabilit de UE, a scăzut de la 30% la 20% obiectivul de reducere a emisiilor din Țările de Jos pentru 2020. După atingerea obiectivului de 20% în 2020, statul a prevăzut accelerarea reducerii la 49% în 2030 și la 95% în 2050. Aceste obiective pentru 2030 și 2050 au fost stabilite de Legea neerlandeză privind clima. Totuși, statul nu a explicat motivele pentru care o reducere de numai 20% în 2020 ar putea fi considerată responsabilă în cadrul UE (mai degrabă decât o reducere de 25-40% în 2020, care este considerată necesară în mare măsură, la nivel internațional).</w:t>
      </w:r>
    </w:p>
    <w:p w:rsidR="00DB7E5A" w:rsidRPr="00472687" w:rsidRDefault="0052083E" w:rsidP="00472687">
      <w:pPr>
        <w:pStyle w:val="JuQuot"/>
      </w:pPr>
      <w:r>
        <w:t>Climatologii și comunitatea internațională sunt de acord, în mare parte, cu ideea potrivit căreia cu cât sunt amânate mai mult măsurile de reducere în vederea atingerii obiectivului final preconizat, cu atât vor fi mai costisitoare și vor trebui să fie mai cuprinzătoare. În plus, amânarea acestor măsuri crește riscul producerii de schimbări climatice bruște, ca urmare a depășirii unui punct de basculare. Având în vedere consensul larg cu privire la acest aspect, statului îi revenea obligația de a demonstra că accelerarea propusă a reducerii post-2020 era fezabilă și suficient de eficientă pentru a permite atingerea obiectivelor stabilite pentru 2030 și 2050, garantând astfel că obiectivele de limitare a încălzirii la 2</w:t>
      </w:r>
      <w:r>
        <w:rPr>
          <w:vertAlign w:val="superscript"/>
        </w:rPr>
        <w:t>o</w:t>
      </w:r>
      <w:r>
        <w:t>C și 1,5</w:t>
      </w:r>
      <w:r>
        <w:rPr>
          <w:vertAlign w:val="superscript"/>
        </w:rPr>
        <w:t>o</w:t>
      </w:r>
      <w:r>
        <w:t xml:space="preserve">C rămân realizabile. Cu toate acestea, statul nu a furnizat explicații în acest sens. Prin urmare, curtea de apel a hotărât în mod </w:t>
      </w:r>
      <w:r>
        <w:lastRenderedPageBreak/>
        <w:t>întemeiat că statul era obligat să respecte obiectivul, considerat necesar de comunitatea internațională, de reducere cu cel puțin 25% în 2020.</w:t>
      </w:r>
    </w:p>
    <w:p w:rsidR="00C014F0" w:rsidRPr="00472687" w:rsidRDefault="0052083E" w:rsidP="00472687">
      <w:pPr>
        <w:pStyle w:val="JuQuot"/>
      </w:pPr>
      <w:r>
        <w:t>Instanțele și domeniul politic (punctele 8.1-8.3.5 de mai jos)</w:t>
      </w:r>
    </w:p>
    <w:p w:rsidR="00DB7E5A" w:rsidRPr="00472687" w:rsidRDefault="0052083E" w:rsidP="00472687">
      <w:pPr>
        <w:pStyle w:val="JuQuot"/>
      </w:pPr>
      <w:r>
        <w:t>Statul susține că nu este de competența instanțelor să facă aprecierile politice necesare pentru luarea deciziilor privind reducerea emisiilor de [GES].</w:t>
      </w:r>
    </w:p>
    <w:p w:rsidR="00DB7E5A" w:rsidRPr="00472687" w:rsidRDefault="0052083E" w:rsidP="00472687">
      <w:pPr>
        <w:pStyle w:val="JuQuot"/>
      </w:pPr>
      <w:r>
        <w:t>În cadrul regimului politic neerlandez, deciziile privind emisiile de [GES] intră în sfera de competență a guvernului și a parlamentului. Ambele dispun de o largă putere de apreciere pentru luarea deciziilor politice necesare în materie. Instanțele sunt cele care au sarcina de a hotărî dacă guvernul și parlamentul au luat deciziile lor respectând limitele cadrului juridic ce li se aplică. Aceste limite decurg în special din Convenție. Constituția Țărilor de Jos le impune instanțelor neerlandeze să aplice dispozițiile acestei convenții în conformitate cu interpretarea dată de CEDO. Această sarcină, ce revine instanțelor judecătorești, de a oferi protecție juridică, chiar și împotriva guvernului, este o componentă esențială a unui stat democratic, guvernat de principiile statului de drept.</w:t>
      </w:r>
    </w:p>
    <w:p w:rsidR="00DB7E5A" w:rsidRPr="00472687" w:rsidRDefault="0052083E" w:rsidP="00472687">
      <w:pPr>
        <w:pStyle w:val="JuQuot"/>
      </w:pPr>
      <w:r>
        <w:t>Decizia curții de apel este conformă cu cele ce precedă, întrucât aceasta a statuat că, în mod evident, politica statului în ceea ce privește reducerea [GES] nu îndeplinește cerințele care decurg din art. 2 și 8 din Convenție și care impun luarea unor măsuri adecvate pentru protejarea persoanelor care locuiesc pe teritoriul Țărilor de Jos împotriva pericolelor schimbărilor climatice. În plus, curtea de apel s-a limitat să oblige statul să respecte pragul inferior (25%) al reducerii minime necesare de 25-40% pentru 2020, care este aprobată la nivel internațional.</w:t>
      </w:r>
    </w:p>
    <w:p w:rsidR="00DB7E5A" w:rsidRPr="00472687" w:rsidRDefault="0052083E" w:rsidP="00472687">
      <w:pPr>
        <w:pStyle w:val="JuQuot"/>
      </w:pPr>
      <w:r>
        <w:t>Ordinul lasă la latitudinea statului stabilirea măsurilor specifice pe care intenționează să le adopte pentru a se conforma acestuia. În cazul în care sunt necesare măsuri legislative în acest scop, este de competența statului să stabilească ce legislație specifică este oportună și necesară.</w:t>
      </w:r>
    </w:p>
    <w:p w:rsidR="00DB7E5A" w:rsidRPr="00472687" w:rsidRDefault="0052083E" w:rsidP="00472687">
      <w:pPr>
        <w:pStyle w:val="JuQuot"/>
      </w:pPr>
      <w:r>
        <w:t>Concluzie</w:t>
      </w:r>
    </w:p>
    <w:p w:rsidR="00DB7E5A" w:rsidRPr="00472687" w:rsidRDefault="0052083E" w:rsidP="00472687">
      <w:pPr>
        <w:pStyle w:val="JuQuot"/>
      </w:pPr>
      <w:r>
        <w:t>Pe scurt, aspectul esențial al deciziei Curții Supreme este acela că ordinul pronunțat de tribunalul districtual și confirmat ulterior de curtea de apel, care impunea statului să reducă emisiile de [GES] până la sfârșitul anului 2020 cu cel puțin 25% față de 1990, a fost menținut. Curtea de apel are dreptul și competența de a concluziona, în temeiul art. 2 și 8 din Convenție, că statul este obligat să realizeze această reducere, având în vedere riscul producerii unor schimbări climatice periculoase, care ar putea avea un efect grav asupra vieții și bunăstării locuitorilor Țărilor de Jos. ”</w:t>
      </w:r>
    </w:p>
    <w:p w:rsidR="00DB7E5A" w:rsidRPr="00472687" w:rsidRDefault="0052083E" w:rsidP="00E72A1B">
      <w:pPr>
        <w:pStyle w:val="JuH1"/>
        <w:numPr>
          <w:ilvl w:val="3"/>
          <w:numId w:val="50"/>
        </w:numPr>
      </w:pPr>
      <w:bookmarkStart w:id="282" w:name="_Toc199273493"/>
      <w:r>
        <w:t>Norvegia</w:t>
      </w:r>
      <w:bookmarkEnd w:id="282"/>
    </w:p>
    <w:bookmarkStart w:id="283" w:name="paragraph00262"/>
    <w:p w:rsidR="00DB7E5A" w:rsidRPr="00472687" w:rsidRDefault="0052083E" w:rsidP="00472687">
      <w:pPr>
        <w:pStyle w:val="JuPara"/>
      </w:pPr>
      <w:r w:rsidRPr="00472687">
        <w:fldChar w:fldCharType="begin"/>
      </w:r>
      <w:r w:rsidRPr="00472687">
        <w:instrText xml:space="preserve"> SEQ level0 \*arabic \* MERGEFORMAT </w:instrText>
      </w:r>
      <w:r w:rsidRPr="00472687">
        <w:fldChar w:fldCharType="separate"/>
      </w:r>
      <w:r w:rsidR="00472687" w:rsidRPr="00472687">
        <w:t>262</w:t>
      </w:r>
      <w:r w:rsidRPr="00472687">
        <w:fldChar w:fldCharType="end"/>
      </w:r>
      <w:bookmarkEnd w:id="283"/>
      <w:r>
        <w:t>. Într-o hotărâre din 22 decembrie 2020</w:t>
      </w:r>
      <w:r>
        <w:rPr>
          <w:vertAlign w:val="superscript"/>
        </w:rPr>
        <w:footnoteReference w:id="160"/>
      </w:r>
      <w:r>
        <w:t xml:space="preserve">, Curtea Supremă a Norvegiei s-a pronunțat cu privire la respectarea dreptului la un mediu sănătos (articolul 112 din Constituție) de către un decret regal din 10 iunie 2016 privind acordarea unor licențe de extracție a petrolului pentru sectoare situate pe platforma continentală norvegiană din zonele marine (denumite „sudul Mării Barents de Sud” și „sud-estul Mării Barents”). În această cauză, s-a ridicat de asemenea problema stabilirii dacă decizia de acordare a licențelor de extracție respecta articolul 93 din Constituție, referitor la dreptul </w:t>
      </w:r>
      <w:r>
        <w:lastRenderedPageBreak/>
        <w:t>la viață, și articolul 102 din aceasta, referitor la dreptul la respectarea vieții private și de familie, precum și dispozițiile corespondente din Convenție, și anume art. 2 și 8. Curtea Supremă a concluzionat că decizia în cauză nu a încălcat nici art. 2, nici art. 8 din Convenție. De asemenea, a constatat neîncălcarea articolului 112 din Constituție. Această cauză este în prezent pe rolul Curții (</w:t>
      </w:r>
      <w:r>
        <w:rPr>
          <w:i/>
        </w:rPr>
        <w:t>Greenpeace Nordic și alții împotriva Norvegiei</w:t>
      </w:r>
      <w:r>
        <w:t>, cererea nr. 34068/21).</w:t>
      </w:r>
    </w:p>
    <w:p w:rsidR="00DB7E5A" w:rsidRPr="00472687" w:rsidRDefault="00C71855" w:rsidP="00472687">
      <w:pPr>
        <w:pStyle w:val="JuPara"/>
      </w:pPr>
      <w:fldSimple w:instr=" SEQ level0 \*arabic \* MERGEFORMAT ">
        <w:r w:rsidR="00472687" w:rsidRPr="00472687">
          <w:t>263</w:t>
        </w:r>
      </w:fldSimple>
      <w:r w:rsidR="00B71F73">
        <w:t>. Părțile relevante din această hotărâre se citesc astfel (traducerea grefei:</w:t>
      </w:r>
    </w:p>
    <w:p w:rsidR="00DB7E5A" w:rsidRPr="00472687" w:rsidRDefault="0052083E" w:rsidP="00472687">
      <w:pPr>
        <w:pStyle w:val="JuQuot"/>
      </w:pPr>
      <w:r>
        <w:t>„Obiect</w:t>
      </w:r>
    </w:p>
    <w:p w:rsidR="00DB7E5A" w:rsidRPr="00472687" w:rsidRDefault="0052083E" w:rsidP="00472687">
      <w:pPr>
        <w:pStyle w:val="JuQuot"/>
      </w:pPr>
      <w:r>
        <w:t>2) Prezenta cauză privește validitatea unui decret regal din 10 iunie 2016. Decretul (denumit în continuare „decizia”) privește zece licențe de extracție a petrolului, acordate, în cadrul celei de-a 23-a runde de acordare a licențelor, pentru un total de 40 de sectoare sau subsectoare ale platformei continentale norvegiene din zonele marine denumite „sudul Mării Barents de Sud” și „sud-estul Mării Barents”.</w:t>
      </w:r>
    </w:p>
    <w:p w:rsidR="00DB7E5A" w:rsidRPr="00472687" w:rsidRDefault="0052083E" w:rsidP="00472687">
      <w:pPr>
        <w:pStyle w:val="JuQuot"/>
      </w:pPr>
      <w:r>
        <w:t>3) Baza legală a deciziei este articolul 3-3 din Legea privind petrolul. Principala întrebare care se pune privește conformitatea acestei decizii cu articolul 112 din Constituție referitor la dreptul la un mediu sănătos. În această cauză se ridică, de asemenea, problema dacă decizia menționată respectă articolul 93 din Constituție, referitor la dreptul la viață, și articolul 102, referitor la dreptul la respectarea vieții private și de familie, precum și dispozițiile corespondente din Convenția europeană a drepturilor omului (CEDO), și anume art. 2 și 8. În cele din urmă, cauza privește regularitatea procedurală a acestei decizii. Aspectul crucial este interpretarea articolului 112 din Constituție și măsura în care acest articol conferă persoanelor particulare drepturi materiale care pot fi invocate în fața instanțelor.</w:t>
      </w:r>
    </w:p>
    <w:p w:rsidR="00C014F0" w:rsidRPr="00472687" w:rsidRDefault="0052083E" w:rsidP="00472687">
      <w:pPr>
        <w:pStyle w:val="JuQuot"/>
      </w:pPr>
      <w:r>
        <w:t>4) Părțile sunt de acord, în primul rând, că ne confruntăm cu provocări majore din cauza schimbărilor climatice, în al doilea rând, că cel puțin o parte considerabilă a creșterii temperaturii la nivel planetar, constatată în ultimul secol, se datorează emisiilor de [GES] și, în al treilea rând, că aceste emisii trebuie să fie reduse pentru a stopa această tendință și, sperăm, pentru a putea fi inversată.</w:t>
      </w:r>
    </w:p>
    <w:p w:rsidR="00DB7E5A" w:rsidRPr="00472687" w:rsidRDefault="0052083E" w:rsidP="00472687">
      <w:pPr>
        <w:pStyle w:val="JuQuot"/>
      </w:pPr>
      <w:r>
        <w:t>(5) În temeiul dreptului constituțional, problema generală care se ridică este cea privind rolul pe care instanțele trebuie să îl joace în domeniul climei. Cauza abordează principiul separării puterilor, care se bazează pe sistemul tripartit al separației puterilor legislativă, executivă și judecătorească.</w:t>
      </w:r>
    </w:p>
    <w:p w:rsidR="00DB7E5A" w:rsidRPr="00472687" w:rsidRDefault="0052083E" w:rsidP="00472687">
      <w:pPr>
        <w:pStyle w:val="JuQuot"/>
      </w:pPr>
      <w:r>
        <w:t>[...]</w:t>
      </w:r>
    </w:p>
    <w:p w:rsidR="00DB7E5A" w:rsidRPr="00472687" w:rsidRDefault="0052083E" w:rsidP="00472687">
      <w:pPr>
        <w:pStyle w:val="JuQuot"/>
      </w:pPr>
      <w:r>
        <w:t>Este decizia incompatibilă cu art. 2 sau cu art. 8 din Convenția, sau cu articolul 93 sau articolul 102 din Constituție?</w:t>
      </w:r>
    </w:p>
    <w:p w:rsidR="00DB7E5A" w:rsidRPr="00472687" w:rsidRDefault="0052083E" w:rsidP="00472687">
      <w:pPr>
        <w:pStyle w:val="JuQuot"/>
      </w:pPr>
      <w:r>
        <w:t>167) Nu există nicio îndoială că efectele pe care le au schimbările climatice în Norvegia pot duce la pierderi de vieți omenești, de exemplu ca urmare a inundațiilor sau a alunecărilor de teren. Cu toate acestea, rămâne să se stabilească dacă există o legătură adecvată între eliberarea licențelor de extracție - în cadrul celei de-a 23-a runde de acordare a licențelor - și o posibilă pierdere de vieți omenești, legătură care îndeplinește cerința privind existența unui risc «real și imediat».</w:t>
      </w:r>
    </w:p>
    <w:p w:rsidR="00DB7E5A" w:rsidRPr="00472687" w:rsidRDefault="0052083E" w:rsidP="00472687">
      <w:pPr>
        <w:pStyle w:val="JuQuot"/>
      </w:pPr>
      <w:r>
        <w:t xml:space="preserve">168) În opinia mea, răspunsul este negativ. În primul rând, nu se știe sigur dacă sau în ce măsură decizia în cauză va conduce efectiv la producerea de emisii [GES]. În al doilea rând, eventualele efecte asupra climei vor fi resimțite doar pe termen lung. Chiar </w:t>
      </w:r>
      <w:r>
        <w:lastRenderedPageBreak/>
        <w:t>dacă amenințarea climatică este reală, decizia nu implică un risc „real și imediat”, în sensul Convenției, de pierdere de vieți omenești în Norvegia. Prin urmare, nu se poate constata încălcarea art. 2 din Convenție.</w:t>
      </w:r>
    </w:p>
    <w:p w:rsidR="00DB7E5A" w:rsidRPr="00472687" w:rsidRDefault="0052083E" w:rsidP="00472687">
      <w:pPr>
        <w:pStyle w:val="JuQuot"/>
      </w:pPr>
      <w:r>
        <w:t>[...]</w:t>
      </w:r>
    </w:p>
    <w:p w:rsidR="00C014F0" w:rsidRPr="00472687" w:rsidRDefault="0052083E" w:rsidP="00472687">
      <w:pPr>
        <w:pStyle w:val="JuQuot"/>
      </w:pPr>
      <w:r>
        <w:t>171) Până în prezent, Curtea Europeană a Drepturilor Omului nu s-a pronunțat cu privire la cereri având ca obiect clima. Cu toate acestea, Curtea a comunicat recent o cerere îndreptată de șase tineri împotriva Norvegiei și a altor 32 de țări. În această cauză, care privește neîndeplinirea obligației de reducere a emisiilor, reclamanții fac referire în special la incendiile de pădure și la valurile de căldură cu care s-a confruntat Portugalia în anii 2017 și 2018. Cu toate acestea, jurisprudența actuală nu conține niciun element care să sugereze că obiectul cauzelor referitoare la schimbările climatice va fi diferit de cel al cauzelor referitoare la daune aduse mediului în general. Având în vedere importanța pe care Curtea a atribuit-o până în prezent sintagmei „direct și imediat”, mi se pare evident că efectele emisiilor care ar putea fi cauzate pe viitor de licențele de extracție acordate în cadrul celei de-a 23-a runde de acordare a licențelor nu intră sub incidența art. 8 din Convenție.</w:t>
      </w:r>
    </w:p>
    <w:p w:rsidR="00DB7E5A" w:rsidRPr="00472687" w:rsidRDefault="0052083E" w:rsidP="00472687">
      <w:pPr>
        <w:pStyle w:val="JuQuot"/>
      </w:pPr>
      <w:r>
        <w:t xml:space="preserve">172) În cadrul ședinței de apel, s-a acordat o atenție deosebită cauzei neerlandeze </w:t>
      </w:r>
      <w:r>
        <w:rPr>
          <w:i/>
          <w:iCs/>
        </w:rPr>
        <w:t>Urgenda</w:t>
      </w:r>
      <w:r>
        <w:t>. În această speță, Urgenda, o organizație ecologistă neerlandeză, a solicitat o ordonanță președințială împotriva statului neerlandez. Urgenda a solicitat instanțelor să declare că statul neerlandez avea obligația ca, în anul 2020, să reducă emisiile de [GES] cu 40%, sau cu cel puțin 25%, comparativ cu 1990. Printr-o hotărâre din 20 decembrie 2019 (ECLI:NL:HR:2019:2007, traducere neoficială în limba engleză), Curtea Supremă a Țărilor de Jos (</w:t>
      </w:r>
      <w:r>
        <w:rPr>
          <w:i/>
        </w:rPr>
        <w:t>Hoge Raad</w:t>
      </w:r>
      <w:r>
        <w:t>) a confirmat deciziile instanțelor inferioare prin care statul neerlandez fusese obligat să reducă emisiile de [GES] din anul 2020 cu 25% față de 1990. Aceasta a făcut referire în special la art. 2 și 8 din Convenție.</w:t>
      </w:r>
    </w:p>
    <w:p w:rsidR="00DB7E5A" w:rsidRPr="00472687" w:rsidRDefault="0052083E" w:rsidP="00472687">
      <w:pPr>
        <w:pStyle w:val="JuQuot"/>
      </w:pPr>
      <w:r>
        <w:t xml:space="preserve">173) Această hotărâre neerlandeză este dificil de transpus în cauza în discuție. În primul rând, în cauza </w:t>
      </w:r>
      <w:r>
        <w:rPr>
          <w:i/>
          <w:iCs/>
        </w:rPr>
        <w:t>Urgenda</w:t>
      </w:r>
      <w:r>
        <w:t>, a fost necesar să se stabilească dacă guvernul neerlandez putea să reducă obiectivele globale privind emisiile, pe care le stabilise deja; așadar, nu era vorba de interzicerea unei anumite măsuri sau de prevenirea unor posibile emisii viitoare. În al doilea rând, dezbaterea nu a avut ca obiect validitatea unei decizii administrative.</w:t>
      </w:r>
    </w:p>
    <w:p w:rsidR="00DB7E5A" w:rsidRPr="00472687" w:rsidRDefault="0052083E" w:rsidP="00472687">
      <w:pPr>
        <w:pStyle w:val="JuQuot"/>
      </w:pPr>
      <w:r>
        <w:t xml:space="preserve">174) În sfârșit, organizațiile ecologiste afirmă că, atunci când stabilește conținutul drepturilor [protejate de Convenție], Curtea Europeană a Drepturilor Omului poate să țină seama de acordurile internaționale care corespund unui punct de vedere comun împărtășit de toate statele membre (a se vedea hotărârea Marii Camere din 12 noiembrie 2008, </w:t>
      </w:r>
      <w:r>
        <w:rPr>
          <w:i/>
        </w:rPr>
        <w:t>Demir și Baykara împotriva Turciei</w:t>
      </w:r>
      <w:r>
        <w:t>, pct. 85 și 86). Un astfel de principiu este foarte dificil de aplicat în cazul problemelor de mediu, întrucât Convenția nu conține dispoziții specifice privind mediul. În orice caz, nu s-a demonstrat că licențele de extracție au încălcat obligațiile noastre internaționale.</w:t>
      </w:r>
    </w:p>
    <w:p w:rsidR="00DB7E5A" w:rsidRPr="00472687" w:rsidRDefault="0052083E" w:rsidP="00472687">
      <w:pPr>
        <w:pStyle w:val="JuQuot"/>
      </w:pPr>
      <w:r>
        <w:t>175) Doresc să adaug că majoritatea documentelor justificative care au fost prezentate și depuse la dosar, în conformitate cu articolul 15-8 din Legea privind litigiile, se referă în general la obligațiile internaționale care decurg din Convenție și din dreptul internațional în general. Nimic din aceste documente nu este de natură să mă determine să revin asupra analizei mele.</w:t>
      </w:r>
    </w:p>
    <w:p w:rsidR="00DB7E5A" w:rsidRPr="00472687" w:rsidRDefault="0052083E" w:rsidP="00472687">
      <w:pPr>
        <w:pStyle w:val="JuQuot"/>
      </w:pPr>
      <w:r>
        <w:t>176) În aceste condiții, decizia în cauză nu a încălcat nici art. 2, nici art. 8 din Convenție. ”</w:t>
      </w:r>
    </w:p>
    <w:p w:rsidR="00DB7E5A" w:rsidRPr="00472687" w:rsidRDefault="0052083E" w:rsidP="00E72A1B">
      <w:pPr>
        <w:pStyle w:val="JuH1"/>
        <w:numPr>
          <w:ilvl w:val="3"/>
          <w:numId w:val="50"/>
        </w:numPr>
      </w:pPr>
      <w:bookmarkStart w:id="284" w:name="_Toc199273494"/>
      <w:r>
        <w:lastRenderedPageBreak/>
        <w:t>Spania</w:t>
      </w:r>
      <w:bookmarkEnd w:id="284"/>
    </w:p>
    <w:p w:rsidR="00DB7E5A" w:rsidRPr="00472687" w:rsidRDefault="00C71855" w:rsidP="00472687">
      <w:pPr>
        <w:pStyle w:val="JuPara"/>
      </w:pPr>
      <w:fldSimple w:instr=" SEQ level0 \*arabic \* MERGEFORMAT ">
        <w:r w:rsidR="00472687" w:rsidRPr="00472687">
          <w:t>264</w:t>
        </w:r>
      </w:fldSimple>
      <w:r w:rsidR="00B71F73">
        <w:t xml:space="preserve">. În </w:t>
      </w:r>
      <w:r w:rsidR="00B71F73">
        <w:rPr>
          <w:i/>
        </w:rPr>
        <w:t>cauza Greenpeace Spania și alții împotriva Spaniei,</w:t>
      </w:r>
      <w:r w:rsidR="00B71F73">
        <w:t xml:space="preserve"> mai multe asociații și cinci persoane fizice au contestat planul național privind energia și clima, susținând că obiectivul acestuia de reducere a emisiilor de GES (cu 23% până în 2030, față de nivelurile din 1990) nu era conform cu Acordul de la Paris. Acestea au solicitat instanțelor să modifice acest plan prin impunerea unui obiectiv de reducere cu 55% a emisiilor de GES până în 2023, comparativ cu nivelurile din 1990.</w:t>
      </w:r>
    </w:p>
    <w:p w:rsidR="00DB7E5A" w:rsidRPr="00472687" w:rsidRDefault="00C71855" w:rsidP="00472687">
      <w:pPr>
        <w:pStyle w:val="JuPara"/>
      </w:pPr>
      <w:fldSimple w:instr=" SEQ level0 \*arabic \* MERGEFORMAT ">
        <w:r w:rsidR="00472687" w:rsidRPr="00472687">
          <w:t>265</w:t>
        </w:r>
      </w:fldSimple>
      <w:r w:rsidR="00B71F73">
        <w:t>. La 24 iulie 2023, Tribunalul Suprem (STS 3556/2023) a respins cererea recurenților, considerând că, în temeiul dreptului intern relevant, instanțele puteau impune guvernului o măsură precum cea solicitată în speță doar în cazul în care exista, între anumite reglementări și o normă superioară, un conflict vădit care nu lăsa executivului nicio marjă de apreciere, ceea ce, potrivit înaltei instanțe, nu era cazul în respectiva speță. Tribunalul Suprem a observat că obiectivele de reducere a emisiilor de GES aveau un impact enorm asupra economiei naționale și asupra politicilor socioeconomice ale guvernului. A precizat că revizuirea acestor obiective în sensul creșterii lor ar însemna impunerea unor sacrificii semnificative generațiilor actuale și că admiterea cererii în cauză ar echivala cu o încălcare excesivă a prerogativelor guvernului. A constatat, de asemenea, că planul era conform cu dreptul UE, care revela depunerea unor eforturi ambițioase în lupta împotriva schimbărilor climatice. A adăugat că obiectivele UE de reducere a emisiilor de GES erau în curs de actualizare și că Spania va trebui să își coordoneze acțiunile în conformitate cu dreptul UE.</w:t>
      </w:r>
    </w:p>
    <w:p w:rsidR="00DB7E5A" w:rsidRPr="00472687" w:rsidRDefault="0052083E" w:rsidP="00E72A1B">
      <w:pPr>
        <w:pStyle w:val="JuH1"/>
        <w:numPr>
          <w:ilvl w:val="3"/>
          <w:numId w:val="50"/>
        </w:numPr>
      </w:pPr>
      <w:bookmarkStart w:id="285" w:name="_Toc199273495"/>
      <w:r>
        <w:t>Regatul Unit</w:t>
      </w:r>
      <w:bookmarkEnd w:id="285"/>
    </w:p>
    <w:p w:rsidR="00DB7E5A" w:rsidRPr="00472687" w:rsidRDefault="00C71855" w:rsidP="00472687">
      <w:pPr>
        <w:pStyle w:val="JuPara"/>
      </w:pPr>
      <w:fldSimple w:instr=" SEQ level0 \*arabic \* MERGEFORMAT ">
        <w:bookmarkStart w:id="286" w:name="paragraph00266"/>
        <w:r w:rsidR="00472687" w:rsidRPr="00472687">
          <w:t>266</w:t>
        </w:r>
        <w:bookmarkEnd w:id="286"/>
      </w:fldSimple>
      <w:r w:rsidR="00B71F73">
        <w:t xml:space="preserve">. În cauza </w:t>
      </w:r>
      <w:r w:rsidR="00B71F73">
        <w:rPr>
          <w:i/>
        </w:rPr>
        <w:t>Plan B Earth and four other citizens v. Prime Minister (Organizația Plan B Earth și alte patru persoane împotriva Primului Ministru)</w:t>
      </w:r>
      <w:r w:rsidR="0052083E">
        <w:rPr>
          <w:rFonts w:ascii="Times New Roman" w:hAnsi="Times New Roman" w:cs="Times New Roman"/>
          <w:vertAlign w:val="superscript"/>
        </w:rPr>
        <w:footnoteReference w:id="161"/>
      </w:r>
      <w:r w:rsidR="00B71F73">
        <w:t>, cu care a fost sesizată Curtea Supremă a Regatului Unit (</w:t>
      </w:r>
      <w:r w:rsidR="00B71F73">
        <w:rPr>
          <w:i/>
        </w:rPr>
        <w:t>High Court of Justice</w:t>
      </w:r>
      <w:r w:rsidR="00B71F73">
        <w:t>), recurenții au contestat, fără succes, legalitatea politicilor guvernului britanic privind schimbările climatice. Aceștia au invocat o încălcare a articolului 6 din Legea din 1998 privind drepturile omului, din cauza unei încălcări a art. 2 și/sau a art. 8 din Convenție.</w:t>
      </w:r>
    </w:p>
    <w:bookmarkStart w:id="287" w:name="paragraph00267"/>
    <w:p w:rsidR="00C014F0" w:rsidRPr="00472687" w:rsidRDefault="0052083E" w:rsidP="00472687">
      <w:pPr>
        <w:pStyle w:val="JuPara"/>
        <w:rPr>
          <w:rFonts w:ascii="Times New Roman" w:hAnsi="Times New Roman" w:cs="Times New Roman"/>
        </w:rPr>
      </w:pPr>
      <w:r w:rsidRPr="00472687">
        <w:rPr>
          <w:rFonts w:ascii="Times New Roman" w:hAnsi="Times New Roman" w:cs="Times New Roman"/>
        </w:rPr>
        <w:fldChar w:fldCharType="begin"/>
      </w:r>
      <w:r w:rsidRPr="00472687">
        <w:rPr>
          <w:rFonts w:ascii="Times New Roman" w:hAnsi="Times New Roman" w:cs="Times New Roman"/>
        </w:rPr>
        <w:instrText xml:space="preserve"> SEQ level0 \*arabic \* MERGEFORMAT </w:instrText>
      </w:r>
      <w:r w:rsidRPr="00472687">
        <w:rPr>
          <w:rFonts w:ascii="Times New Roman" w:hAnsi="Times New Roman" w:cs="Times New Roman"/>
        </w:rPr>
        <w:fldChar w:fldCharType="separate"/>
      </w:r>
      <w:r w:rsidR="00472687" w:rsidRPr="00472687">
        <w:rPr>
          <w:rFonts w:ascii="Times New Roman" w:hAnsi="Times New Roman" w:cs="Times New Roman"/>
        </w:rPr>
        <w:t>267</w:t>
      </w:r>
      <w:r w:rsidRPr="00472687">
        <w:rPr>
          <w:rFonts w:ascii="Times New Roman" w:hAnsi="Times New Roman" w:cs="Times New Roman"/>
        </w:rPr>
        <w:fldChar w:fldCharType="end"/>
      </w:r>
      <w:bookmarkEnd w:id="287"/>
      <w:r>
        <w:rPr>
          <w:rFonts w:ascii="Times New Roman" w:hAnsi="Times New Roman"/>
        </w:rPr>
        <w:t xml:space="preserve">. </w:t>
      </w:r>
      <w:r>
        <w:t>Examinând aceste plângeri, domnul Bourne, judecător la Curtea Supremă, a declarat în special următoarele (traducerea grefei)</w:t>
      </w:r>
      <w:r>
        <w:rPr>
          <w:rFonts w:ascii="Times New Roman" w:hAnsi="Times New Roman"/>
        </w:rPr>
        <w:t>:</w:t>
      </w:r>
    </w:p>
    <w:p w:rsidR="00DB7E5A" w:rsidRPr="00472687" w:rsidRDefault="0052083E" w:rsidP="00472687">
      <w:pPr>
        <w:pStyle w:val="JuQuot"/>
      </w:pPr>
      <w:r>
        <w:t>„Problema insurmontabilă ridicată de capătul de cerere formulat în temeiul art. 2 (precum și de orice capăt de cerere formulat în temeiul art. 8 și bazat pe efectele fizice sau psihologice ale schimbărilor climatice asupra reclamanților) este aceea că există un cadru administrativ pentru combaterea amenințărilor reprezentate de schimbările climatice, în cazul de față Legea din 2008 și toate politicile și măsurile adoptate în baza acestei legi.</w:t>
      </w:r>
    </w:p>
    <w:p w:rsidR="00C014F0" w:rsidRPr="00472687" w:rsidRDefault="0052083E" w:rsidP="00472687">
      <w:pPr>
        <w:pStyle w:val="JuQuot"/>
      </w:pPr>
      <w:r>
        <w:lastRenderedPageBreak/>
        <w:t>49. Acest cadru, aflat în continuă evoluție, prevede și definește rolul pe care îl joacă CCC [Climate Change Committee, Comitetul pentru schimbări climatice] în ceea ce privește consilierea privind aceste politici și măsuri, precum și în ceea ce privește evaluarea lor.</w:t>
      </w:r>
    </w:p>
    <w:p w:rsidR="00DB7E5A" w:rsidRPr="00472687" w:rsidRDefault="0052083E" w:rsidP="00472687">
      <w:pPr>
        <w:pStyle w:val="JuQuot"/>
      </w:pPr>
      <w:r>
        <w:t>[...]</w:t>
      </w:r>
    </w:p>
    <w:p w:rsidR="00DB7E5A" w:rsidRPr="00472687" w:rsidRDefault="0052083E" w:rsidP="00472687">
      <w:pPr>
        <w:pStyle w:val="JuQuot"/>
      </w:pPr>
      <w:r>
        <w:t>51. [...] [</w:t>
      </w:r>
      <w:r>
        <w:rPr>
          <w:i/>
        </w:rPr>
        <w:t>High Court of Justice</w:t>
      </w:r>
      <w:r>
        <w:t>] nu dispune de mijloacele adecvate pentru a-și forma propria opinie cu privire la chestiunile în discuție. Mi se solicită validarea unor poziții exprimate în citate parțiale extrase din activitatea CCC și a altor organisme. Când vorbesc despre «citate parțiale», nu pun la îndoială buna credință a niciuneia dintre părți. Mai degrabă, subliniez faptul că [</w:t>
      </w:r>
      <w:r>
        <w:rPr>
          <w:i/>
        </w:rPr>
        <w:t>High Court of Justice</w:t>
      </w:r>
      <w:r>
        <w:t>] nu are și nu poate dobândi expertiză în acest domeniu complex și că va depinde întotdeauna de elemente contradictorii extrase dintr-o dezbatere generală. Chiar dacă aș putea trece peste problema citatelor parțiale, nu aș fi în măsură să apreciez corectitudinea elementelor citate. ”</w:t>
      </w:r>
    </w:p>
    <w:p w:rsidR="00DB7E5A" w:rsidRPr="00472687" w:rsidRDefault="00C71855" w:rsidP="00472687">
      <w:pPr>
        <w:pStyle w:val="JuPara"/>
      </w:pPr>
      <w:fldSimple w:instr=" SEQ level0 \*arabic \* MERGEFORMAT ">
        <w:r w:rsidR="00472687" w:rsidRPr="00472687">
          <w:t>268</w:t>
        </w:r>
      </w:fldSimple>
      <w:r w:rsidR="00B71F73">
        <w:t xml:space="preserve">. Atunci când aceeași cauză a fost înaintată curții de apel, </w:t>
      </w:r>
      <w:r w:rsidR="00B71F73">
        <w:rPr>
          <w:i/>
        </w:rPr>
        <w:t>Lord Justice</w:t>
      </w:r>
      <w:r w:rsidR="00B71F73">
        <w:t xml:space="preserve"> Singh a respins cererea de încuviințare a introducerii unui apel împotriva refuzului </w:t>
      </w:r>
      <w:r w:rsidR="00B71F73">
        <w:rPr>
          <w:i/>
        </w:rPr>
        <w:t>High Court of Justice</w:t>
      </w:r>
      <w:r w:rsidR="00B71F73">
        <w:t xml:space="preserve"> de a încuviința introducerea unei cereri de control jurisdicțional</w:t>
      </w:r>
      <w:r w:rsidR="0052083E">
        <w:rPr>
          <w:rStyle w:val="FootnoteReference"/>
        </w:rPr>
        <w:footnoteReference w:id="162"/>
      </w:r>
      <w:r w:rsidR="00B71F73">
        <w:t xml:space="preserve"> și s-a exprimat astfel:</w:t>
      </w:r>
    </w:p>
    <w:p w:rsidR="00DB7E5A" w:rsidRPr="00472687" w:rsidRDefault="0052083E" w:rsidP="00472687">
      <w:pPr>
        <w:pStyle w:val="JuQuot"/>
      </w:pPr>
      <w:r>
        <w:t>„5. [...] (...) Dificultatea esențială cu care se confruntă reclamanții este aceea că nu se pot prevala de nicio jurisprudență a Curții Europene a Drepturilor Omului care citează Acordul de la Paris ca fiind relevant pentru interpretarea art. 2 și 8 din Convenție. Aceștia invocă decizii pronunțate de cele mai înalte instanțe ale altor părți la Convenție, în special Curtea Supremă a Țărilor de Jos; cu toate acestea, așa cum a observat judecătorul în prezenta cauză, nu cunoaștem contextul constituțional în care se înscriu aceste decizii. Articolul 2 din [Legea din 1998 privind drepturile omului] impune instanțelor din această țară să țină seama de hotărârile relevante ale Curții Europene a Drepturilor Omului; în general, respectăm aceste hotărâri. ”</w:t>
      </w:r>
    </w:p>
    <w:p w:rsidR="00DB7E5A" w:rsidRPr="00472687" w:rsidRDefault="0052083E" w:rsidP="00E72A1B">
      <w:pPr>
        <w:pStyle w:val="JuH1"/>
        <w:numPr>
          <w:ilvl w:val="3"/>
          <w:numId w:val="50"/>
        </w:numPr>
      </w:pPr>
      <w:bookmarkStart w:id="288" w:name="_Toc199273496"/>
      <w:r>
        <w:t>Belgia</w:t>
      </w:r>
      <w:bookmarkEnd w:id="288"/>
    </w:p>
    <w:p w:rsidR="00C014F0" w:rsidRPr="00472687" w:rsidRDefault="00C71855" w:rsidP="00472687">
      <w:pPr>
        <w:pStyle w:val="JuPara"/>
      </w:pPr>
      <w:fldSimple w:instr=" SEQ level0 \*arabic \* MERGEFORMAT ">
        <w:r w:rsidR="00472687" w:rsidRPr="00472687">
          <w:t>269</w:t>
        </w:r>
      </w:fldSimple>
      <w:r w:rsidR="00B71F73">
        <w:t xml:space="preserve">. În cauza </w:t>
      </w:r>
      <w:r w:rsidR="00B71F73">
        <w:rPr>
          <w:i/>
          <w:iCs/>
        </w:rPr>
        <w:t xml:space="preserve">VZW Klimaatzaak împotriva </w:t>
      </w:r>
      <w:r w:rsidR="00B71F73">
        <w:rPr>
          <w:i/>
        </w:rPr>
        <w:t>Regatului Belgiei și a altora (VZW Klimaatzaak v. the Kingdom of Belgium and Others),</w:t>
      </w:r>
      <w:r w:rsidR="00B71F73">
        <w:t xml:space="preserve"> o asociație și 58 000 de cetățeni au formulat o acțiune împotriva Guvernului federal, a Regiunii Valone, a Regiunii Flamande și a Regiunii Bruxelles-Capitală, susținând că pârâții nu au respectat obiectivele relevante de reducere a emisiilor de GES și solicitând instanței să dispună măsurile necesare în această privință.</w:t>
      </w:r>
    </w:p>
    <w:p w:rsidR="00C014F0" w:rsidRPr="00472687" w:rsidRDefault="00C71855" w:rsidP="00472687">
      <w:pPr>
        <w:pStyle w:val="JuPara"/>
      </w:pPr>
      <w:fldSimple w:instr=" SEQ level0 \*arabic \* MERGEFORMAT ">
        <w:r w:rsidR="00472687" w:rsidRPr="00472687">
          <w:t>270</w:t>
        </w:r>
      </w:fldSimple>
      <w:r w:rsidR="00B71F73">
        <w:t>. La 17 iunie 2021, Tribunalul</w:t>
      </w:r>
      <w:r w:rsidR="00B71F73">
        <w:rPr>
          <w:b/>
        </w:rPr>
        <w:t xml:space="preserve"> </w:t>
      </w:r>
      <w:r w:rsidR="00B71F73">
        <w:t>de Primă Instanță din Bruxelles (tribunal de première instance</w:t>
      </w:r>
      <w:r w:rsidR="00B71F73">
        <w:rPr>
          <w:b/>
        </w:rPr>
        <w:t xml:space="preserve"> </w:t>
      </w:r>
      <w:r w:rsidR="00B71F73">
        <w:t>de Bruxelles), recunoscând calitatea procesuală a asociației și a cetățenilor în cauză, a hotărât că pârâții nu și-au îndeplinit obligația de diligență, care decurgea din dreptul intern relevant, și obligația de prevenire, ce rezultă din art. 2 și 8 din Convenție, întrucât nu au luat măsurile necesare pentru a combate efectele nefaste ale schimbărilor climatice. Tribunalul a refuzat să stabilească obiective specifice de reducere, din cauza principiului separării puterilor.</w:t>
      </w:r>
    </w:p>
    <w:p w:rsidR="00C014F0" w:rsidRPr="00472687" w:rsidRDefault="00C71855" w:rsidP="00472687">
      <w:pPr>
        <w:pStyle w:val="JuPara"/>
      </w:pPr>
      <w:fldSimple w:instr=" SEQ level0 \*arabic \* MERGEFORMAT ">
        <w:r w:rsidR="00472687" w:rsidRPr="00472687">
          <w:t>271</w:t>
        </w:r>
      </w:fldSimple>
      <w:r w:rsidR="00B71F73">
        <w:t>. La 30 noiembrie 2023, Curtea de Apel din Bruxelles (cour d’appel de Bruxelles) a confirmat constatarea încălcării dreptului intern și a art. 2 și 8 din Convenție de către pârâți, cu excepția Regiunii Valone. Considerând, în special, că instanțele nu încalcă principiul separării puterilor atât timp cât judecătorul se abține să se substituie autorităților în ceea ce privește alegerea mijloacelor de remediere a deficiențelor constatate, această instanță a obligat pârâții să reducă emisiile de GES cu cel puțin 55% până în 2030, în raport cu nivelurile din 1990.</w:t>
      </w:r>
    </w:p>
    <w:p w:rsidR="00DB7E5A" w:rsidRDefault="00C71855" w:rsidP="00472687">
      <w:pPr>
        <w:pStyle w:val="JuPara"/>
      </w:pPr>
      <w:fldSimple w:instr=" SEQ level0 \*arabic \* MERGEFORMAT ">
        <w:r w:rsidR="00472687" w:rsidRPr="00472687">
          <w:t>272</w:t>
        </w:r>
      </w:fldSimple>
      <w:r w:rsidR="00B71F73">
        <w:t xml:space="preserve">. Spre deosebire de deciziile instanțelor naționale menționate la punctele </w:t>
      </w:r>
      <w:r w:rsidR="0052083E" w:rsidRPr="00472687">
        <w:fldChar w:fldCharType="begin"/>
      </w:r>
      <w:r w:rsidR="0052083E" w:rsidRPr="00472687">
        <w:instrText xml:space="preserve">REF paragraph00236 \h \* CharFormat  \* MERGEFORMAT </w:instrText>
      </w:r>
      <w:r w:rsidR="0052083E" w:rsidRPr="00472687">
        <w:fldChar w:fldCharType="separate"/>
      </w:r>
      <w:r w:rsidR="00472687" w:rsidRPr="00472687">
        <w:t>236</w:t>
      </w:r>
      <w:r w:rsidR="0052083E" w:rsidRPr="00472687">
        <w:fldChar w:fldCharType="end"/>
      </w:r>
      <w:r w:rsidR="00B71F73">
        <w:t>-</w:t>
      </w:r>
      <w:r w:rsidR="0052083E" w:rsidRPr="00472687">
        <w:fldChar w:fldCharType="begin"/>
      </w:r>
      <w:r w:rsidR="0052083E" w:rsidRPr="00472687">
        <w:instrText xml:space="preserve"> REF paragraph00266 \h  \* CharFormat  \* MERGEFORMAT </w:instrText>
      </w:r>
      <w:r w:rsidR="0052083E" w:rsidRPr="00472687">
        <w:fldChar w:fldCharType="separate"/>
      </w:r>
      <w:r w:rsidR="00472687" w:rsidRPr="00472687">
        <w:t>266</w:t>
      </w:r>
      <w:r w:rsidR="0052083E" w:rsidRPr="00472687">
        <w:fldChar w:fldCharType="end"/>
      </w:r>
      <w:r w:rsidR="00B71F73">
        <w:t xml:space="preserve"> de mai sus, în prezent, hotărârea Curții de Apel din Bruxelles poate fi atacată cu recurs în fața Curții de Casație (Cour de cassation).</w:t>
      </w:r>
    </w:p>
    <w:p w:rsidR="00F524A5" w:rsidRPr="00472687" w:rsidRDefault="00F524A5" w:rsidP="00E72A1B">
      <w:pPr>
        <w:pStyle w:val="JuHHead"/>
        <w:numPr>
          <w:ilvl w:val="0"/>
          <w:numId w:val="50"/>
        </w:numPr>
      </w:pPr>
      <w:bookmarkStart w:id="289" w:name="_Toc149127523"/>
      <w:bookmarkStart w:id="290" w:name="_Toc158019701"/>
      <w:bookmarkStart w:id="291" w:name="_Toc199273497"/>
      <w:r>
        <w:t>ÎN DREPT</w:t>
      </w:r>
      <w:bookmarkEnd w:id="289"/>
      <w:bookmarkEnd w:id="290"/>
      <w:bookmarkEnd w:id="291"/>
    </w:p>
    <w:p w:rsidR="00F524A5" w:rsidRPr="00472687" w:rsidRDefault="00F524A5" w:rsidP="00E72A1B">
      <w:pPr>
        <w:pStyle w:val="JuHIRoman"/>
        <w:numPr>
          <w:ilvl w:val="1"/>
          <w:numId w:val="51"/>
        </w:numPr>
        <w:tabs>
          <w:tab w:val="clear" w:pos="454"/>
          <w:tab w:val="clear" w:pos="539"/>
          <w:tab w:val="clear" w:pos="624"/>
          <w:tab w:val="clear" w:pos="709"/>
          <w:tab w:val="clear" w:pos="794"/>
        </w:tabs>
      </w:pPr>
      <w:bookmarkStart w:id="292" w:name="_Toc149127524"/>
      <w:bookmarkStart w:id="293" w:name="_Toc158019702"/>
      <w:bookmarkStart w:id="294" w:name="_Toc199273498"/>
      <w:r>
        <w:t>ASPECTE PRELIMINARE</w:t>
      </w:r>
      <w:bookmarkEnd w:id="292"/>
      <w:bookmarkEnd w:id="293"/>
      <w:bookmarkEnd w:id="294"/>
    </w:p>
    <w:p w:rsidR="00F524A5" w:rsidRPr="00472687" w:rsidRDefault="00F524A5" w:rsidP="00E72A1B">
      <w:pPr>
        <w:pStyle w:val="JuHA"/>
        <w:numPr>
          <w:ilvl w:val="2"/>
          <w:numId w:val="51"/>
        </w:numPr>
      </w:pPr>
      <w:bookmarkStart w:id="295" w:name="_Toc149127525"/>
      <w:bookmarkStart w:id="296" w:name="_Toc158019703"/>
      <w:bookmarkStart w:id="297" w:name="_Toc199273499"/>
      <w:r>
        <w:t>Cu privire la cea de-a doua reclamantă</w:t>
      </w:r>
      <w:bookmarkEnd w:id="295"/>
      <w:bookmarkEnd w:id="296"/>
      <w:bookmarkEnd w:id="297"/>
    </w:p>
    <w:bookmarkStart w:id="298" w:name="paragraph00273"/>
    <w:bookmarkStart w:id="299" w:name="_Toc14912752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273</w:t>
      </w:r>
      <w:r w:rsidRPr="00472687">
        <w:fldChar w:fldCharType="end"/>
      </w:r>
      <w:bookmarkEnd w:id="298"/>
      <w:r>
        <w:t>. Cea de-a doua reclamantă a decedat în cursul procedurii desfășurate în fața Curții.</w:t>
      </w:r>
      <w:r>
        <w:rPr>
          <w:rFonts w:ascii="Segoe UI" w:hAnsi="Segoe UI"/>
          <w:color w:val="000000"/>
        </w:rPr>
        <w:t xml:space="preserve"> </w:t>
      </w:r>
      <w:r>
        <w:t>Prin scrisorile din 12 august și din 8 septembrie 2021, reprezentantul acesteia a informat Curtea că fiul și moștenitorul său, domnul André Seidenberg, dorește să continue procedura în numele mamei sale. Guvernul pârât nu s-a opus.</w:t>
      </w:r>
      <w:r>
        <w:rPr>
          <w:rFonts w:ascii="Segoe UI" w:hAnsi="Segoe UI"/>
          <w:color w:val="000000"/>
        </w:rPr>
        <w:t xml:space="preserve"> </w:t>
      </w:r>
      <w:r>
        <w:t>În aceste condiții, având în vedere jurisprudența sa constantă, Curtea apreciază că fiul doamnei Schaub are un interes legitim și calitatea necesară pentru a continua procedura (</w:t>
      </w:r>
      <w:r>
        <w:rPr>
          <w:i/>
        </w:rPr>
        <w:t xml:space="preserve">Taşkın </w:t>
      </w:r>
      <w:r>
        <w:rPr>
          <w:i/>
          <w:iCs/>
        </w:rPr>
        <w:t>și alții împotriva</w:t>
      </w:r>
      <w:r>
        <w:t> </w:t>
      </w:r>
      <w:r>
        <w:rPr>
          <w:i/>
        </w:rPr>
        <w:t>Turciei</w:t>
      </w:r>
      <w:r>
        <w:t xml:space="preserve">, nr. 46117/99, pct. 102, CEDO 2004-X, </w:t>
      </w:r>
      <w:bookmarkStart w:id="300" w:name="_cl41393"/>
      <w:r>
        <w:rPr>
          <w:i/>
        </w:rPr>
        <w:t>Jivan împotriva României</w:t>
      </w:r>
      <w:bookmarkEnd w:id="300"/>
      <w:r>
        <w:t xml:space="preserve">, nr. 62250/19, pct. 25-26, 8 februarie 2022, și </w:t>
      </w:r>
      <w:r>
        <w:rPr>
          <w:i/>
        </w:rPr>
        <w:t>Pavlov și alții împotriva Rusiei</w:t>
      </w:r>
      <w:r>
        <w:t>, nr. 31612/09, pct. 51, 11 octombrie 2022).</w:t>
      </w:r>
      <w:r>
        <w:rPr>
          <w:rFonts w:ascii="Segoe UI" w:hAnsi="Segoe UI"/>
          <w:color w:val="000000"/>
        </w:rPr>
        <w:t xml:space="preserve"> </w:t>
      </w:r>
      <w:r>
        <w:t xml:space="preserve">Într-adevăr, având în vedere faptul că, pe de o parte, cea de-a doua reclamantă era o doamnă în vârstă și, pe de altă parte, plângerea sa privea efectele schimbărilor climatice asupra categoriei de populație din care făcea parte, se poate considera că ar fi contrar misiunii Curții ca aceasta să se abțină să se pronunțe cu privire la capetele de cerere formulate de reclamanta recent decedată, doar pentru că, din cauza vârstei sale înaintate, aceasta nu a avut puterea să trăiască suficient de mult pentru a cunoaște modul de soluționare a procedurii în fața Curții [a se vedea, </w:t>
      </w:r>
      <w:r>
        <w:rPr>
          <w:i/>
        </w:rPr>
        <w:t>mutatis mutandis</w:t>
      </w:r>
      <w:r>
        <w:t xml:space="preserve">, </w:t>
      </w:r>
      <w:r>
        <w:rPr>
          <w:i/>
        </w:rPr>
        <w:t>Hristozov și alții împotriva Bulgariei</w:t>
      </w:r>
      <w:r>
        <w:t>, nr. 47039/11 și 358/12, pct. 73, CEDO 2012 (extrase)].</w:t>
      </w:r>
    </w:p>
    <w:p w:rsidR="00F524A5" w:rsidRPr="00472687" w:rsidRDefault="00C71855" w:rsidP="00F524A5">
      <w:pPr>
        <w:pStyle w:val="JuPara"/>
        <w:rPr>
          <w:rFonts w:ascii="Segoe UI" w:eastAsia="Times New Roman" w:hAnsi="Segoe UI" w:cs="Segoe UI"/>
          <w:color w:val="000000"/>
        </w:rPr>
      </w:pPr>
      <w:fldSimple w:instr=" SEQ level0 \*arabic \* MERGEFORMAT ">
        <w:r w:rsidR="00F524A5" w:rsidRPr="00472687">
          <w:t>274</w:t>
        </w:r>
      </w:fldSimple>
      <w:r w:rsidR="00F524A5">
        <w:t>. Din motive practice, în prezenta hotărâre, Curtea va continua să o considere pe doamna Schaub ca fiind cea de-a doua reclamantă.</w:t>
      </w:r>
    </w:p>
    <w:p w:rsidR="00F524A5" w:rsidRPr="00472687" w:rsidRDefault="00F524A5" w:rsidP="00E72A1B">
      <w:pPr>
        <w:pStyle w:val="JuHA"/>
        <w:numPr>
          <w:ilvl w:val="2"/>
          <w:numId w:val="51"/>
        </w:numPr>
      </w:pPr>
      <w:bookmarkStart w:id="301" w:name="_Toc158019704"/>
      <w:bookmarkStart w:id="302" w:name="_Toc199273500"/>
      <w:r>
        <w:lastRenderedPageBreak/>
        <w:t xml:space="preserve">Cu privire la obiectul </w:t>
      </w:r>
      <w:bookmarkEnd w:id="299"/>
      <w:bookmarkEnd w:id="301"/>
      <w:r>
        <w:t>cererii</w:t>
      </w:r>
      <w:bookmarkEnd w:id="302"/>
    </w:p>
    <w:p w:rsidR="00F524A5" w:rsidRPr="00472687" w:rsidRDefault="00C71855" w:rsidP="00F524A5">
      <w:pPr>
        <w:pStyle w:val="JuPara"/>
      </w:pPr>
      <w:fldSimple w:instr=" SEQ level0 \*arabic \* MERGEFORMAT ">
        <w:r w:rsidR="00F524A5" w:rsidRPr="00472687">
          <w:t>275</w:t>
        </w:r>
      </w:fldSimple>
      <w:r w:rsidR="00F524A5">
        <w:t>. În observațiile suplimentare din 13 octombrie 2021, comunicate de reclamante Curții în cadrul procedurii desfășurate în fața Camerei, ele au dezvoltat în mod expres un argument cu privire la problema emisiilor de GES care sunt generate în străinătate și care, în opinia lor, erau imputabile Elveției din cauza importului de bunuri de uz casnic, motiv pentru care aceste emisii ar intra în categoria „emisiilor încorporate” ale Elveției. Totuși, s-a ridicat problema dacă acest capăt de cerere era unul dintre cele înaintate Curții de către reclamante („cererile” lor) în acțiunea lor inițială. În cursul procedurii în fața Marii Camere, această întrebare a fost adresată în mod expres părților, care au oferit răspunsuri diferite cu privire la acest aspect.</w:t>
      </w:r>
    </w:p>
    <w:p w:rsidR="00F524A5" w:rsidRPr="00472687" w:rsidRDefault="00F524A5" w:rsidP="00E72A1B">
      <w:pPr>
        <w:pStyle w:val="JuH1"/>
        <w:numPr>
          <w:ilvl w:val="3"/>
          <w:numId w:val="51"/>
        </w:numPr>
      </w:pPr>
      <w:bookmarkStart w:id="303" w:name="_Toc199273501"/>
      <w:r>
        <w:t>Argumentele părților</w:t>
      </w:r>
      <w:bookmarkEnd w:id="303"/>
    </w:p>
    <w:p w:rsidR="00F524A5" w:rsidRPr="00472687" w:rsidRDefault="00C71855" w:rsidP="00F524A5">
      <w:pPr>
        <w:pStyle w:val="JuPara"/>
      </w:pPr>
      <w:fldSimple w:instr=" SEQ level0 \*arabic \* MERGEFORMAT ">
        <w:r w:rsidR="00F524A5" w:rsidRPr="00472687">
          <w:t>276</w:t>
        </w:r>
      </w:fldSimple>
      <w:r w:rsidR="00F524A5">
        <w:t>. Guvernul susține că problema emisiilor de GES produse în străinătate și imputabile Elveției nu face parte din capetele de cerere sau „cererile” formulate de reclamante în cererea lor inițială adresată Curții.</w:t>
      </w:r>
      <w:r w:rsidR="00F524A5">
        <w:rPr>
          <w:rFonts w:ascii="Segoe UI" w:hAnsi="Segoe UI"/>
          <w:color w:val="000000"/>
        </w:rPr>
        <w:t xml:space="preserve"> </w:t>
      </w:r>
      <w:r w:rsidR="00F524A5">
        <w:t>Acesta afirmă că persoanele interesate au ridicat această problemă doar în cadrul observațiilor lor suplimentare din 13 octombrie 2021, adresate Camerei, și că, în orice caz, nu au invocat-o în fața instanțelor naționale, cărora, dimpotrivă, acestea le-au solicitat în mod expres să oblige Elveția să își reducă emisiile de GES de pe propriul teritoriu.</w:t>
      </w:r>
      <w:r w:rsidR="00F524A5">
        <w:rPr>
          <w:rFonts w:ascii="Segoe UI" w:hAnsi="Segoe UI"/>
          <w:color w:val="000000"/>
        </w:rPr>
        <w:t xml:space="preserve"> </w:t>
      </w:r>
      <w:r w:rsidR="00F524A5">
        <w:t>Acesta afirmă de asemenea că o mare parte a argumentelor formulate de reclamante în fața Curții se întemeiază pe angajamentele asumate de stat în temeiul Acordului de la Paris, precizând că acest acord privește contribuțiile la nivel național și măsurile interne care trebuie adoptate. Prin urmare, acesta apreciază că problema emisiilor de GES produse în străinătate fie nu face obiectul prezentului litigiu, fie este inadmisibilă pentru neepuizarea căilor de atac interne ori pentru nerespectarea termenului de șase luni.</w:t>
      </w:r>
    </w:p>
    <w:p w:rsidR="00F524A5" w:rsidRPr="00472687" w:rsidRDefault="00C71855" w:rsidP="00F524A5">
      <w:pPr>
        <w:pStyle w:val="JuPara"/>
      </w:pPr>
      <w:fldSimple w:instr=" SEQ level0 \*arabic \* MERGEFORMAT ">
        <w:r w:rsidR="00F524A5" w:rsidRPr="00472687">
          <w:t>277</w:t>
        </w:r>
      </w:fldSimple>
      <w:r w:rsidR="00F524A5">
        <w:t>. Reclamantele arată că argumentele pe care le-au invocat în observațiile lor adresate Camerei, referitoare la emisiile de GES produse în străinătate și imputate statului pârât, fac parte din capetele de cerere sau „cererile” formulate de acestea în acțiunea lor inițială adresată Curții.</w:t>
      </w:r>
      <w:r w:rsidR="00F524A5">
        <w:rPr>
          <w:rFonts w:ascii="Segoe UI" w:hAnsi="Segoe UI"/>
          <w:color w:val="000000"/>
        </w:rPr>
        <w:t xml:space="preserve"> </w:t>
      </w:r>
      <w:r w:rsidR="00F524A5">
        <w:t>Precizează în special că, în observațiile lor, au explicat că eforturile pe care statul este obligat să le depună trebuie să fie stabilite nu doar în raport cu emisiile produse pe teritoriul său, ci și cu emisiile externe, produse în afara teritoriului său.</w:t>
      </w:r>
      <w:r w:rsidR="00F524A5">
        <w:rPr>
          <w:rFonts w:ascii="Segoe UI" w:hAnsi="Segoe UI"/>
          <w:color w:val="000000"/>
        </w:rPr>
        <w:t xml:space="preserve"> </w:t>
      </w:r>
      <w:r w:rsidR="00F524A5">
        <w:t>Reclamantele menționează că este vorba despre o dezvoltare a capătului de cerere formulat inițial de acestea în formularul de cerere, potrivit căruia statul nu luase măsuri preventive pentru reducerea emisiilor într-un mod compatibil cu limita de 1,5</w:t>
      </w:r>
      <w:r w:rsidR="00F524A5">
        <w:rPr>
          <w:vertAlign w:val="superscript"/>
        </w:rPr>
        <w:t>o</w:t>
      </w:r>
      <w:r w:rsidR="00F524A5">
        <w:t>C. Adaugă că, de asemenea, Curtea ar putea să încerce din oficiu să clarifice capătul de cerere formulat inițial de acestea, ținând seama de problema emisiilor externe.</w:t>
      </w:r>
    </w:p>
    <w:p w:rsidR="00F524A5" w:rsidRPr="00472687" w:rsidRDefault="00F524A5" w:rsidP="00E72A1B">
      <w:pPr>
        <w:pStyle w:val="JuH1"/>
        <w:numPr>
          <w:ilvl w:val="3"/>
          <w:numId w:val="51"/>
        </w:numPr>
      </w:pPr>
      <w:bookmarkStart w:id="304" w:name="_Toc199273502"/>
      <w:r>
        <w:lastRenderedPageBreak/>
        <w:t>Motivarea Curții</w:t>
      </w:r>
      <w:bookmarkEnd w:id="304"/>
    </w:p>
    <w:p w:rsidR="00F524A5" w:rsidRPr="00472687" w:rsidRDefault="00C71855" w:rsidP="00F524A5">
      <w:pPr>
        <w:pStyle w:val="JuPara"/>
      </w:pPr>
      <w:fldSimple w:instr=" SEQ level0 \*arabic \* MERGEFORMAT ">
        <w:r w:rsidR="00F524A5" w:rsidRPr="00472687">
          <w:t>278</w:t>
        </w:r>
      </w:fldSimple>
      <w:r w:rsidR="00F524A5">
        <w:t>. Principiile relevante ale jurisprudenței Curții referitoare la obiectul cauzei cu care este</w:t>
      </w:r>
      <w:r w:rsidR="00F524A5">
        <w:rPr>
          <w:b/>
        </w:rPr>
        <w:t xml:space="preserve"> </w:t>
      </w:r>
      <w:r w:rsidR="00F524A5">
        <w:t xml:space="preserve">sesizată pot fi rezumate după cum urmează [a se vedea, de exemplu, </w:t>
      </w:r>
      <w:r w:rsidR="00F524A5">
        <w:rPr>
          <w:i/>
        </w:rPr>
        <w:t>Radomilja și alții împotriva Croației</w:t>
      </w:r>
      <w:r w:rsidR="00F524A5">
        <w:t xml:space="preserve"> (MC), nr. 37685/10 și 22768/12, pct. 126, 20 martie 2018; a se vedea, pentru un exemplu foarte recent, </w:t>
      </w:r>
      <w:bookmarkStart w:id="305" w:name="_cl42559"/>
      <w:r w:rsidR="00F524A5">
        <w:rPr>
          <w:i/>
        </w:rPr>
        <w:t>Grosam împotriva Republicii Cehe</w:t>
      </w:r>
      <w:bookmarkEnd w:id="305"/>
      <w:r w:rsidR="00F524A5">
        <w:t xml:space="preserve"> (MC), nr. 19750/13, pct. 88, 1 iunie 2023]:</w:t>
      </w:r>
    </w:p>
    <w:p w:rsidR="00F524A5" w:rsidRPr="00472687" w:rsidRDefault="00F524A5" w:rsidP="00F524A5">
      <w:pPr>
        <w:pStyle w:val="JuQuot"/>
      </w:pPr>
      <w:r>
        <w:t xml:space="preserve">„126. [O]biectul unei cauze cu care este «sesizată» Curtea, în exercitarea dreptului de a introduce o cerere individuală, se limitează la capătul de cerere formulat de reclamant. Un capăt de cerere presupune două elemente: susținerile de fapt și argumentele juridice. În temeiul principiului </w:t>
      </w:r>
      <w:r>
        <w:rPr>
          <w:i/>
          <w:iCs/>
        </w:rPr>
        <w:t>jura novit curia</w:t>
      </w:r>
      <w:r>
        <w:t>, Curtea nu este ținută de motivele de drept invocate de reclamant în temeiul Convenției și a protocoalelor sale și poate să stabilească încadrarea juridică a faptelor aferente unui capăt de cerere prin examinarea acestuia din perspectiva altor articole sau dispoziții din Convenție decât cele invocate de reclamant. Cu toate acestea, nu se poate pronunța pe baza unor fapte care nu intră în sfera (obiectului) capătului de cerere, deoarece ar însemna să se pronunțe în afara obiectului cauzei sau, cu alte cuvinte, să abordeze probleme cu care nu a fost «sesizată» în sensul art. 32 din Convenție. ”</w:t>
      </w:r>
    </w:p>
    <w:p w:rsidR="00F524A5" w:rsidRPr="00472687" w:rsidRDefault="00C71855" w:rsidP="00F524A5">
      <w:pPr>
        <w:pStyle w:val="JuPara"/>
      </w:pPr>
      <w:fldSimple w:instr=" SEQ level0 \*arabic \* MERGEFORMAT ">
        <w:r w:rsidR="00F524A5" w:rsidRPr="00472687">
          <w:t>279</w:t>
        </w:r>
      </w:fldSimple>
      <w:r w:rsidR="00F524A5">
        <w:t>. În speță, este important de subliniat faptul că, în rapoartele întocmite de autoritățile elvețiene competente</w:t>
      </w:r>
      <w:r w:rsidR="00F524A5">
        <w:rPr>
          <w:vertAlign w:val="superscript"/>
        </w:rPr>
        <w:footnoteReference w:id="163"/>
      </w:r>
      <w:r w:rsidR="00F524A5">
        <w:t>, precum și în alte surse</w:t>
      </w:r>
      <w:r w:rsidR="00F524A5">
        <w:rPr>
          <w:vertAlign w:val="superscript"/>
        </w:rPr>
        <w:footnoteReference w:id="164"/>
      </w:r>
      <w:r w:rsidR="00F524A5">
        <w:t>, s-a admis că emisiile de GES care pot fi imputate Elveției ca urmare a importului de bunuri și produse de consum constituie o parte semnificativă (estimată la 70% pentru 2015)</w:t>
      </w:r>
      <w:r w:rsidR="00F524A5">
        <w:rPr>
          <w:vertAlign w:val="superscript"/>
        </w:rPr>
        <w:footnoteReference w:id="165"/>
      </w:r>
      <w:r w:rsidR="00F524A5">
        <w:t xml:space="preserve"> din amprenta totală de GES a Elveției. Astfel, FOEN a constatat următoarele: „În cadrul unei economii globalizate, trebuie să se țină seama, pe de o parte, de [GES] emise în Elveția și, pe de altă parte, de cele emise în străinătate ca urmare a cererii finale din Elveția (cheltuielile totale pentru consumul final ale gospodăriilor și din sectorul public). O mare parte din amprenta Elveției este creată în străinătate, deoarece importurile reprezintă o proporție semnificativă din consumul total al țării.”</w:t>
      </w:r>
      <w:r w:rsidR="00F524A5">
        <w:rPr>
          <w:vertAlign w:val="superscript"/>
        </w:rPr>
        <w:footnoteReference w:id="166"/>
      </w:r>
    </w:p>
    <w:bookmarkStart w:id="307" w:name="paragraph0028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280</w:t>
      </w:r>
      <w:r w:rsidRPr="00472687">
        <w:fldChar w:fldCharType="end"/>
      </w:r>
      <w:bookmarkEnd w:id="307"/>
      <w:r>
        <w:t xml:space="preserve">. Prin urmare, ar fi dificil, dacă nu chiar imposibil, să se examineze responsabilitatea Elveției pentru efectele emisiilor sale de GES asupra drepturilor reclamantelor fără a lua în considerare emisiile generate de importul de bunuri și produse de consum, și anume, potrivit sintagmei folosite de reclamante, „emisiile încorporate”. Astfel cum a subliniat FOEN, aceste emisii „trebuie” să fie luate în considerare la aprecierea globală a emisiilor de GES ale Elveției. Rezultă că, având în vedere principiile jurisprudenței Curții, reamintite mai sus, Curtea trebuie să clarifice aceste elemente, chiar din oficiu, dacă este necesar, pentru a examina capătul de cerere – mai degrabă general – care a fost formulat inițial și în cadrul căruia reclamantele se plâng </w:t>
      </w:r>
      <w:r>
        <w:lastRenderedPageBreak/>
        <w:t>de faptul că Elveția nu și-a redus emisiile de GES pentru a atinge limita stabilită de 1,5°C.</w:t>
      </w:r>
    </w:p>
    <w:p w:rsidR="00F524A5" w:rsidRPr="00472687" w:rsidRDefault="00C71855" w:rsidP="00F524A5">
      <w:pPr>
        <w:pStyle w:val="JuPara"/>
      </w:pPr>
      <w:fldSimple w:instr=" SEQ level0 \*arabic \* MERGEFORMAT ">
        <w:r w:rsidR="00F524A5" w:rsidRPr="00472687">
          <w:t>281</w:t>
        </w:r>
      </w:fldSimple>
      <w:r w:rsidR="00F524A5">
        <w:t xml:space="preserve">. În plus, este important de subliniat faptul că, într-o anexă care a însoțit formularul de cerere, reclamantele au prezentat capetele de cerere, susținând că „statul pârât trebuie să facă tot ce îi stă în putere pentru a îndeplini partea care îi revine în ceea ce privește contribuția la prevenirea unei </w:t>
      </w:r>
      <w:r w:rsidR="00F524A5">
        <w:rPr>
          <w:i/>
        </w:rPr>
        <w:t>creșteri a temperaturii globale</w:t>
      </w:r>
      <w:r w:rsidR="00F524A5">
        <w:t xml:space="preserve"> cu mai mult de 1,5</w:t>
      </w:r>
      <w:r w:rsidR="00F524A5">
        <w:rPr>
          <w:vertAlign w:val="superscript"/>
        </w:rPr>
        <w:t>o</w:t>
      </w:r>
      <w:r w:rsidR="00F524A5">
        <w:t>C peste nivelurile preindustriale” (sublinierea noastră). În cadrul prezentei examinări, această afirmație arată că, într-adevăr, reclamantele intenționau să includă în capetele lor de cerere contribuția totală a Elveției la efectele globale ale schimbărilor climatice. Prin urmare, în lumina jurisprudenței Curții, se poate admite că acestea au încercat să completeze și să clarifice capetele lor de cerere ulterior, în cadrul procedurii scrise, în special prin dezvoltarea explicațiilor referitoare la problema „emisiilor încorporate”.</w:t>
      </w:r>
    </w:p>
    <w:p w:rsidR="00F524A5" w:rsidRPr="00472687" w:rsidRDefault="00C71855" w:rsidP="00F524A5">
      <w:pPr>
        <w:pStyle w:val="JuPara"/>
      </w:pPr>
      <w:fldSimple w:instr=" SEQ level0 \*arabic \* MERGEFORMAT ">
        <w:r w:rsidR="00F524A5" w:rsidRPr="00472687">
          <w:t>282</w:t>
        </w:r>
      </w:fldSimple>
      <w:r w:rsidR="00F524A5">
        <w:t>. Guvernul susține că reclamantele nu au ridicat această problemă la nivel intern. În această privință, Curtea observă că, în demersurile lor pentru exercitarea unei căi de atac, au invocat același aspect precum cel pe care l-au dezvoltat în fața Curții, referitor la contribuția globală a Elveției la creșterea temperaturii globale (a se vedea supra, pct. </w:t>
      </w:r>
      <w:r w:rsidR="00F524A5" w:rsidRPr="00472687">
        <w:fldChar w:fldCharType="begin"/>
      </w:r>
      <w:r w:rsidR="00F524A5" w:rsidRPr="00472687">
        <w:instrText xml:space="preserve">REF paragraph00022 \h \* CharFormat </w:instrText>
      </w:r>
      <w:r w:rsidR="00F524A5" w:rsidRPr="00472687">
        <w:fldChar w:fldCharType="separate"/>
      </w:r>
      <w:r w:rsidR="00F524A5" w:rsidRPr="00472687">
        <w:t>22</w:t>
      </w:r>
      <w:r w:rsidR="00F524A5" w:rsidRPr="00472687">
        <w:fldChar w:fldCharType="end"/>
      </w:r>
      <w:r w:rsidR="00F524A5">
        <w:t>). Evident că nu este posibil să se tragă nicio concluzie cu privire la poziția instanțelor naționale în ceea ce privește acest aspect (în special în privința „emisiilor încorporate”), întrucât acestea nu au examinat fondul acțiunii în justiție introduse de reclamante, dar trebuie să se observe că DETEC a respins această acțiune pentru motivul că scopul general al cererii lor era acela de a obține o reducere a emisiilor de CO</w:t>
      </w:r>
      <w:r w:rsidR="00F524A5">
        <w:rPr>
          <w:vertAlign w:val="subscript"/>
        </w:rPr>
        <w:t>2</w:t>
      </w:r>
      <w:r w:rsidR="00F524A5">
        <w:t xml:space="preserve"> la nivel mondial, și nu doar în mediul imediat înconjurător (a se vedea supra, pct. </w:t>
      </w:r>
      <w:r w:rsidR="00F524A5" w:rsidRPr="00472687">
        <w:fldChar w:fldCharType="begin"/>
      </w:r>
      <w:r w:rsidR="00F524A5" w:rsidRPr="00472687">
        <w:instrText xml:space="preserve">REF paragraph00030 \h \* CharFormat </w:instrText>
      </w:r>
      <w:r w:rsidR="00F524A5" w:rsidRPr="00472687">
        <w:fldChar w:fldCharType="separate"/>
      </w:r>
      <w:r w:rsidR="00F524A5" w:rsidRPr="00472687">
        <w:t>30</w:t>
      </w:r>
      <w:r w:rsidR="00F524A5" w:rsidRPr="00472687">
        <w:fldChar w:fldCharType="end"/>
      </w:r>
      <w:r w:rsidR="00F524A5">
        <w:t>).</w:t>
      </w:r>
    </w:p>
    <w:p w:rsidR="00F524A5" w:rsidRPr="00472687" w:rsidRDefault="00C71855" w:rsidP="00F524A5">
      <w:pPr>
        <w:pStyle w:val="JuPara"/>
      </w:pPr>
      <w:fldSimple w:instr=" SEQ level0 \*arabic \* MERGEFORMAT ">
        <w:r w:rsidR="00F524A5" w:rsidRPr="00472687">
          <w:t>283</w:t>
        </w:r>
      </w:fldSimple>
      <w:r w:rsidR="00F524A5">
        <w:t>. Așadar, rezultă că respectivul capăt de cerere formulat de reclamante cu privire la „emisiile încorporate” intră sub incidența obiectului cauzei și că orice obiecție ridicată de Guvernul pârât în această privință trebuie să fie respinsă. Desigur, această concluzie nu aduce atingere examinării problemei efectelor reale ale „emisiilor încorporate” (și anume emisiile rezultate din importul de bunuri de uz casnic în Elveția) asupra responsabilității statului în temeiul Convenției.</w:t>
      </w:r>
    </w:p>
    <w:p w:rsidR="00F524A5" w:rsidRPr="00472687" w:rsidRDefault="00F524A5" w:rsidP="00E72A1B">
      <w:pPr>
        <w:pStyle w:val="JuHA"/>
        <w:numPr>
          <w:ilvl w:val="2"/>
          <w:numId w:val="51"/>
        </w:numPr>
      </w:pPr>
      <w:bookmarkStart w:id="308" w:name="_Toc149127527"/>
      <w:bookmarkStart w:id="309" w:name="_Toc158019705"/>
      <w:bookmarkStart w:id="310" w:name="_Toc199273503"/>
      <w:r>
        <w:t>Cu privire la jurisdicție</w:t>
      </w:r>
      <w:bookmarkEnd w:id="308"/>
      <w:bookmarkEnd w:id="309"/>
      <w:bookmarkEnd w:id="310"/>
    </w:p>
    <w:p w:rsidR="00F524A5" w:rsidRPr="00472687" w:rsidRDefault="00F524A5" w:rsidP="00E72A1B">
      <w:pPr>
        <w:pStyle w:val="JuH1"/>
        <w:numPr>
          <w:ilvl w:val="3"/>
          <w:numId w:val="51"/>
        </w:numPr>
      </w:pPr>
      <w:bookmarkStart w:id="311" w:name="_Toc199273504"/>
      <w:r>
        <w:t>Argumentele părților</w:t>
      </w:r>
      <w:bookmarkEnd w:id="311"/>
    </w:p>
    <w:p w:rsidR="00F524A5" w:rsidRPr="00472687" w:rsidRDefault="00C71855" w:rsidP="00F524A5">
      <w:pPr>
        <w:pStyle w:val="JuPara"/>
      </w:pPr>
      <w:fldSimple w:instr=" SEQ level0 \*arabic \* MERGEFORMAT ">
        <w:r w:rsidR="00F524A5" w:rsidRPr="00472687">
          <w:t>284</w:t>
        </w:r>
      </w:fldSimple>
      <w:r w:rsidR="00F524A5">
        <w:t xml:space="preserve">. Guvernul nu contestă faptul că reclamantele se află sub jurisdicția Elveției în ceea ce privește capătul lor de cerere referitor la emisiile naționale de GES și la efectele acestora asupra schimbărilor climatice. Cu toate acestea, în ceea ce privește emisiile de GES produse în străinătate, Guvernul, întemeindu-se pe jurisprudența constantă a Curții [acesta face referire în special la decizia în cauza </w:t>
      </w:r>
      <w:r w:rsidR="00F524A5">
        <w:rPr>
          <w:i/>
        </w:rPr>
        <w:t>M.N. și alții împotriva Belgiei</w:t>
      </w:r>
      <w:r w:rsidR="00F524A5">
        <w:t xml:space="preserve"> (MC), nr. 3599/18, 5 mai 2020], consideră că această chestiune nu intră sub incidența niciunuia </w:t>
      </w:r>
      <w:r w:rsidR="00F524A5">
        <w:lastRenderedPageBreak/>
        <w:t>dintre criteriile pe baza cărora poate fi stabilită în mod excepțional jurisdicția extrateritorială a statului.</w:t>
      </w:r>
    </w:p>
    <w:p w:rsidR="00F524A5" w:rsidRPr="00472687" w:rsidRDefault="00C71855" w:rsidP="00F524A5">
      <w:pPr>
        <w:pStyle w:val="JuPara"/>
      </w:pPr>
      <w:fldSimple w:instr=" SEQ level0 \*arabic \* MERGEFORMAT ">
        <w:r w:rsidR="00F524A5" w:rsidRPr="00472687">
          <w:t>285</w:t>
        </w:r>
      </w:fldSimple>
      <w:r w:rsidR="00F524A5">
        <w:t>. Guvernul apreciază că singura problemă care ar putea fi ridicată are legătură cu competența Curții de a examina dacă Elveția și-a respectat obligațiile, pe care le-ar putea avea, de a lua măsuri, în cadrul propriei jurisdicții și propriilor competențe, pentru a reduce emisiile de GES produse în străinătate.</w:t>
      </w:r>
      <w:r w:rsidR="00F524A5">
        <w:rPr>
          <w:rFonts w:ascii="Segoe UI" w:hAnsi="Segoe UI"/>
          <w:color w:val="000000"/>
        </w:rPr>
        <w:t xml:space="preserve"> </w:t>
      </w:r>
      <w:r w:rsidR="00F524A5">
        <w:t xml:space="preserve">Totuși, acesta reamintește în special că jurisprudența Curții nu acceptă concepția de tip „cauză-efect” a noțiunii de jurisdicție și că simpla capacitate a unui stat de a acționa nu este suficientă pentru a stabili jurisdicția sa [acesta citează în special </w:t>
      </w:r>
      <w:r w:rsidR="00F524A5">
        <w:rPr>
          <w:i/>
        </w:rPr>
        <w:t>H.F. și alții împotriva Franței</w:t>
      </w:r>
      <w:r w:rsidR="00F524A5">
        <w:t xml:space="preserve"> (MC), nr. 24384/19 și 44234/20, pct. 199, 14 septembrie 2022]. Prin urmare, Guvernul susține că nu se poate considera că emisiile de GES produse în străinătate angajează responsabilitatea Elveției întrucât nu se poate stabili o legătură directă între aceste emisii și orice pretinse omisiuni din partea sa, iar autoritățile acestui stat nu au un control direct asupra surselor acestor emisii.</w:t>
      </w:r>
      <w:r w:rsidR="00F524A5">
        <w:rPr>
          <w:rFonts w:ascii="Segoe UI" w:hAnsi="Segoe UI"/>
          <w:color w:val="000000"/>
        </w:rPr>
        <w:t xml:space="preserve"> </w:t>
      </w:r>
      <w:r w:rsidR="00F524A5">
        <w:t>În plus, potrivit Guvernului, întregul regim instituit prin UNFCCC, Protocolul de la Kyoto și Acordul de la Paris se întemeiază pe principiul teritorialității și pe responsabilitatea statelor pentru emisiile produse pe teritoriul lor.</w:t>
      </w:r>
      <w:r w:rsidR="00F524A5">
        <w:rPr>
          <w:rFonts w:ascii="Segoe UI" w:hAnsi="Segoe UI"/>
          <w:color w:val="000000"/>
        </w:rPr>
        <w:t xml:space="preserve"> </w:t>
      </w:r>
      <w:r w:rsidR="00F524A5">
        <w:t xml:space="preserve">În această privință, Guvernul susține de asemenea că principiul potrivit căruia Convenția trebuie interpretată în calitate de instrument viu nu se aplică în ceea ce privește problema jurisdicției în sensul art. 1 din Convenție [acesta face referire la decizia în cauza </w:t>
      </w:r>
      <w:r w:rsidR="00F524A5">
        <w:rPr>
          <w:i/>
        </w:rPr>
        <w:t>Banković și alții împotriva Belgiei și a altor state</w:t>
      </w:r>
      <w:r w:rsidR="00F524A5">
        <w:t> (MC), nr. 52207/99, pct. 63</w:t>
      </w:r>
      <w:r w:rsidR="00F524A5">
        <w:noBreakHyphen/>
        <w:t>66, CEDO 2001</w:t>
      </w:r>
      <w:r w:rsidR="00F524A5">
        <w:noBreakHyphen/>
        <w:t>XII].</w:t>
      </w:r>
      <w:r w:rsidR="00F524A5">
        <w:rPr>
          <w:rFonts w:ascii="Segoe UI" w:hAnsi="Segoe UI"/>
          <w:color w:val="000000"/>
        </w:rPr>
        <w:t xml:space="preserve"> </w:t>
      </w:r>
      <w:r w:rsidR="00F524A5">
        <w:t>Astfel, în opinia Guvernului, stabilirea jurisdicției în ceea ce privește emisiile de GES produse în străinătate ar merge prea departe și ar contraveni înseși naturii noțiunii de jurisdicție în sensul Convenției.</w:t>
      </w:r>
    </w:p>
    <w:p w:rsidR="00F524A5" w:rsidRPr="00472687" w:rsidRDefault="00C71855" w:rsidP="00F524A5">
      <w:pPr>
        <w:pStyle w:val="JuPara"/>
      </w:pPr>
      <w:fldSimple w:instr=" SEQ level0 \*arabic \* MERGEFORMAT ">
        <w:r w:rsidR="00F524A5" w:rsidRPr="00472687">
          <w:t>286</w:t>
        </w:r>
      </w:fldSimple>
      <w:r w:rsidR="00F524A5">
        <w:t>. Reclamantele susțin că nu se pune nicio problemă în ceea ce privește jurisdicția în sensul art. 1 din Convenție.</w:t>
      </w:r>
      <w:r w:rsidR="00F524A5">
        <w:rPr>
          <w:rFonts w:ascii="Segoe UI" w:hAnsi="Segoe UI"/>
          <w:color w:val="000000"/>
        </w:rPr>
        <w:t xml:space="preserve"> </w:t>
      </w:r>
      <w:r w:rsidR="00F524A5">
        <w:t>Precizează că capetele de cerere pe care le-au formulat se referă la faptul că statul pârât nu a luat măsurile necesare pentru a reduce emisiile de GES care țin de jurisdicția sa teritorială.</w:t>
      </w:r>
      <w:r w:rsidR="00F524A5">
        <w:rPr>
          <w:rFonts w:ascii="Segoe UI" w:hAnsi="Segoe UI"/>
          <w:color w:val="000000"/>
        </w:rPr>
        <w:t xml:space="preserve"> </w:t>
      </w:r>
      <w:r w:rsidR="00F524A5">
        <w:t>Acestea afirmă că nu pretind că statul trebuie sau ar fi trebuit să ia măsuri în afara teritoriului său, că încalcă drepturile persoanelor aflate în afara teritoriului său sau că trebuie să își exercite jurisdicția asupra persoanelor din afara teritoriului său.</w:t>
      </w:r>
    </w:p>
    <w:p w:rsidR="00F524A5" w:rsidRPr="00472687" w:rsidRDefault="00F524A5" w:rsidP="00E72A1B">
      <w:pPr>
        <w:pStyle w:val="JuH1"/>
        <w:numPr>
          <w:ilvl w:val="3"/>
          <w:numId w:val="51"/>
        </w:numPr>
      </w:pPr>
      <w:bookmarkStart w:id="312" w:name="_Toc199273505"/>
      <w:r>
        <w:t>Motivarea Curții</w:t>
      </w:r>
      <w:bookmarkEnd w:id="312"/>
    </w:p>
    <w:p w:rsidR="00F524A5" w:rsidRPr="00472687" w:rsidRDefault="00C71855" w:rsidP="00F524A5">
      <w:pPr>
        <w:pStyle w:val="JuPara"/>
      </w:pPr>
      <w:fldSimple w:instr=" SEQ level0 \*arabic \* MERGEFORMAT ">
        <w:r w:rsidR="00F524A5" w:rsidRPr="00472687">
          <w:t>287</w:t>
        </w:r>
      </w:fldSimple>
      <w:r w:rsidR="00F524A5">
        <w:t>. Curtea consideră că nu este vorba despre o problemă reală de jurisdicție, în sensul art. 1 din Convenție, în ceea ce privește capătul de cerere referitor la „emisiile încorporate”. Aceasta observă</w:t>
      </w:r>
      <w:r w:rsidR="00F524A5">
        <w:rPr>
          <w:b/>
        </w:rPr>
        <w:t xml:space="preserve"> </w:t>
      </w:r>
      <w:r w:rsidR="00F524A5">
        <w:t>în special că toate reclamantele locuiesc în Elveția și, prin urmare, se află sub jurisdicția teritorială a acestui stat, care trebuie așadar, în temeiul art. 1 din Convenție, să răspundă pentru orice încălcare a drepturilor și a libertăților protejate de Convenție în privința persoanelor în cauză, atunci când încălcarea în discuție îi este imputabilă (</w:t>
      </w:r>
      <w:r w:rsidR="00F524A5">
        <w:rPr>
          <w:i/>
        </w:rPr>
        <w:t xml:space="preserve">Duarte Agostinho </w:t>
      </w:r>
      <w:r w:rsidR="00F524A5">
        <w:rPr>
          <w:i/>
          <w:iCs/>
        </w:rPr>
        <w:t>și alții</w:t>
      </w:r>
      <w:r w:rsidR="00F524A5">
        <w:t xml:space="preserve">, decizie citată anterior, pct. 178). </w:t>
      </w:r>
      <w:r w:rsidR="00F524A5">
        <w:lastRenderedPageBreak/>
        <w:t>Astfel, chiar dacă implică un aspect extrateritorial, capătul de cerere formulat de reclamante cu privire la „emisiile încorporate” nu ridică nicio problemă legată de jurisdicția Elveției față de reclamante. Problema care se pune este cea a responsabilității Elveției pentru pretinsele efecte ale „emisiilor încorporate” asupra exercitării de către reclamante a drepturilor lor protejate de Convenție. Problema responsabilității este un aspect distinct, care trebuie analizat, dacă este necesar, în cadrul examinării pe fond a capătului de cerere (</w:t>
      </w:r>
      <w:r w:rsidR="00F524A5">
        <w:rPr>
          <w:i/>
        </w:rPr>
        <w:t>ibidem</w:t>
      </w:r>
      <w:r w:rsidR="00F524A5">
        <w:t>).</w:t>
      </w:r>
    </w:p>
    <w:p w:rsidR="00F524A5" w:rsidRPr="00472687" w:rsidRDefault="00C71855" w:rsidP="00F524A5">
      <w:pPr>
        <w:pStyle w:val="JuPara"/>
      </w:pPr>
      <w:fldSimple w:instr=" SEQ level0 \*arabic \* MERGEFORMAT ">
        <w:r w:rsidR="00F524A5" w:rsidRPr="00472687">
          <w:t>288</w:t>
        </w:r>
      </w:fldSimple>
      <w:r w:rsidR="00F524A5">
        <w:t>. Având în vedere cele de mai sus, Curtea respinge excepția lipsei de competență formulată de Guvern.</w:t>
      </w:r>
    </w:p>
    <w:p w:rsidR="00F524A5" w:rsidRPr="00472687" w:rsidRDefault="00F524A5" w:rsidP="00E72A1B">
      <w:pPr>
        <w:pStyle w:val="JuHA"/>
        <w:numPr>
          <w:ilvl w:val="2"/>
          <w:numId w:val="51"/>
        </w:numPr>
      </w:pPr>
      <w:bookmarkStart w:id="313" w:name="_Toc149127528"/>
      <w:bookmarkStart w:id="314" w:name="_Toc158019706"/>
      <w:bookmarkStart w:id="315" w:name="_Toc199273506"/>
      <w:r>
        <w:t>Cu privire la respectarea termenului de șase luni</w:t>
      </w:r>
      <w:bookmarkEnd w:id="313"/>
      <w:bookmarkEnd w:id="314"/>
      <w:bookmarkEnd w:id="315"/>
    </w:p>
    <w:p w:rsidR="00F524A5" w:rsidRPr="00472687" w:rsidRDefault="00C71855" w:rsidP="00F524A5">
      <w:pPr>
        <w:pStyle w:val="JuPara"/>
      </w:pPr>
      <w:fldSimple w:instr=" SEQ level0 \*arabic \* MERGEFORMAT ">
        <w:r w:rsidR="00F524A5" w:rsidRPr="00472687">
          <w:t>289</w:t>
        </w:r>
      </w:fldSimple>
      <w:r w:rsidR="00F524A5">
        <w:t>. Guvernul reamintește că cererea a fost introdusă în fața Curții la 26 noiembrie 2020 și că decizia definitivă a instanțelor interne a fost pronunțată la 5 mai 2020, și anume cu mai mult de șase luni înainte. Deși admite că, la momentul respectiv, Curtea a publicat un comunicat de presă în care a anunțat că termenul pentru introducerea cererilor individuale fusese prelungit ca urmare a circumstanțelor excepționale legate de pandemia de COVID-19, totuși apreciază că termenul de șase luni prevăzut la art. 35 § 1 din Convenție nu poate fi prelungit în acest mod. În orice caz, consideră că reclamantele nu s-au confruntat cu o situație de forță majoră în perioada în cauză și că ar fi putut să sesizeze Curtea în termenul de șase luni.</w:t>
      </w:r>
    </w:p>
    <w:p w:rsidR="00F524A5" w:rsidRPr="00472687" w:rsidRDefault="00C71855" w:rsidP="00F524A5">
      <w:pPr>
        <w:pStyle w:val="JuPara"/>
      </w:pPr>
      <w:fldSimple w:instr=" SEQ level0 \*arabic \* MERGEFORMAT ">
        <w:r w:rsidR="00F524A5" w:rsidRPr="00472687">
          <w:t>290</w:t>
        </w:r>
      </w:fldSimple>
      <w:r w:rsidR="00F524A5">
        <w:t>. Curtea observă că aceasta a clarificat deja în jurisprudența sa problema ridicată de Guvern în speță în ceea ce privește prelungirea termenului pentru introducerea cererilor individuale în contextul situației excepționale legate de pandemia de COVID-19 [</w:t>
      </w:r>
      <w:r w:rsidR="00F524A5">
        <w:rPr>
          <w:i/>
        </w:rPr>
        <w:t xml:space="preserve">Saakashvili împotriva Georgiei </w:t>
      </w:r>
      <w:r w:rsidR="00F524A5">
        <w:t>(dec.), nr. 6232/20 și 22394/20, pct. 57</w:t>
      </w:r>
      <w:r w:rsidR="00F524A5">
        <w:noBreakHyphen/>
        <w:t xml:space="preserve">58, 1 martie 2022, </w:t>
      </w:r>
      <w:r w:rsidR="00F524A5">
        <w:rPr>
          <w:i/>
        </w:rPr>
        <w:t>Makarashvili și alții împotriva Georgiei</w:t>
      </w:r>
      <w:r w:rsidR="00F524A5">
        <w:t>, nr. 23158/20 și alte 2 cereri, pct. 47</w:t>
      </w:r>
      <w:r w:rsidR="00F524A5">
        <w:noBreakHyphen/>
        <w:t>48, 1 septembrie 2022,</w:t>
      </w:r>
      <w:bookmarkStart w:id="316" w:name="_cl42498"/>
      <w:r w:rsidR="00F524A5">
        <w:t xml:space="preserve"> </w:t>
      </w:r>
      <w:r w:rsidR="00F524A5">
        <w:rPr>
          <w:i/>
        </w:rPr>
        <w:t>Kitanovska și Barbulovski împotriva Macedoniei de Nord</w:t>
      </w:r>
      <w:bookmarkEnd w:id="316"/>
      <w:r w:rsidR="00F524A5">
        <w:t xml:space="preserve">, nr. 53030/19, pct. 40, 9 mai 2023, și </w:t>
      </w:r>
      <w:r w:rsidR="00F524A5">
        <w:rPr>
          <w:i/>
        </w:rPr>
        <w:t>X și alții împotriva Irlandei</w:t>
      </w:r>
      <w:r w:rsidR="00F524A5">
        <w:t>, nr. 23851/20 și 24360/20, pct. 58, 22 iunie 2023]. Curtea apreciază că nu există niciun motiv pentru a reveni asupra acestei jurisprudențe.</w:t>
      </w:r>
      <w:r w:rsidR="00F524A5">
        <w:rPr>
          <w:rFonts w:ascii="Segoe UI" w:hAnsi="Segoe UI"/>
          <w:color w:val="000000"/>
        </w:rPr>
        <w:t xml:space="preserve"> </w:t>
      </w:r>
      <w:r w:rsidR="00F524A5">
        <w:t>Prin urmare, excepția ridicată de Guvern cu privire la acest aspect trebuie respinsă.</w:t>
      </w:r>
    </w:p>
    <w:p w:rsidR="00F524A5" w:rsidRPr="00472687" w:rsidRDefault="00F524A5" w:rsidP="00E72A1B">
      <w:pPr>
        <w:pStyle w:val="JuHIRoman"/>
        <w:numPr>
          <w:ilvl w:val="1"/>
          <w:numId w:val="51"/>
        </w:numPr>
      </w:pPr>
      <w:bookmarkStart w:id="317" w:name="_Toc149127529"/>
      <w:bookmarkStart w:id="318" w:name="_Toc158019707"/>
      <w:bookmarkStart w:id="319" w:name="_Toc199273507"/>
      <w:r>
        <w:t>OBSERVAȚII INTRODUCTIVE CU PRIVIRE LA CAPETELE DE CERERE FORMULATE ÎN PREZENTA CAUZĂ</w:t>
      </w:r>
      <w:bookmarkEnd w:id="317"/>
      <w:bookmarkEnd w:id="318"/>
      <w:bookmarkEnd w:id="319"/>
    </w:p>
    <w:p w:rsidR="00F524A5" w:rsidRPr="00472687" w:rsidRDefault="00C71855" w:rsidP="00F524A5">
      <w:pPr>
        <w:pStyle w:val="JuPara"/>
      </w:pPr>
      <w:fldSimple w:instr=" SEQ level0 \*arabic \* MERGEFORMAT ">
        <w:r w:rsidR="00F524A5" w:rsidRPr="00472687">
          <w:t>291</w:t>
        </w:r>
      </w:fldSimple>
      <w:r w:rsidR="00F524A5">
        <w:t>. Invocând art. 2, 6, 8 și 13 din Convenție, reclamantele susțin că autoritățile elvețiene nu iau măsuri în scopul atenuării schimbărilor climatice, îndeosebi a efectelor încălzirii globale, și, în această privință, se plâng în special de lipsa posibilității de acces la o instanță.</w:t>
      </w:r>
    </w:p>
    <w:p w:rsidR="00F524A5" w:rsidRPr="00472687" w:rsidRDefault="00C71855" w:rsidP="00F524A5">
      <w:pPr>
        <w:pStyle w:val="JuPara"/>
      </w:pPr>
      <w:fldSimple w:instr=" SEQ level0 \*arabic \* MERGEFORMAT ">
        <w:bookmarkStart w:id="320" w:name="paragraph00292"/>
        <w:r w:rsidR="00F524A5" w:rsidRPr="00472687">
          <w:t>292</w:t>
        </w:r>
        <w:bookmarkEnd w:id="320"/>
      </w:fldSimple>
      <w:r w:rsidR="00F524A5">
        <w:t>. Curtea observă că există o legătură strânsă între obligațiile materiale care decurg din diferitele dispoziții ale Convenției care sunt în joc în contextul în cauză. Acest lucru se datorează faptului că Convenția trebuie interpretată astfel încât să fie promovate coerența internă și armonia între diferitele sale dispoziții (a se vedea infra, pct. </w:t>
      </w:r>
      <w:r w:rsidR="00F524A5" w:rsidRPr="00472687">
        <w:fldChar w:fldCharType="begin"/>
      </w:r>
      <w:r w:rsidR="00F524A5" w:rsidRPr="00472687">
        <w:instrText xml:space="preserve"> REF paragraph00455 \h  \* CharFormat </w:instrText>
      </w:r>
      <w:r w:rsidR="00F524A5" w:rsidRPr="00472687">
        <w:fldChar w:fldCharType="separate"/>
      </w:r>
      <w:r w:rsidR="00F524A5" w:rsidRPr="00472687">
        <w:t>455</w:t>
      </w:r>
      <w:r w:rsidR="00F524A5" w:rsidRPr="00472687">
        <w:fldChar w:fldCharType="end"/>
      </w:r>
      <w:r w:rsidR="00F524A5">
        <w:t>) și faptului că obligațiile pozitive în materie de mediu, ce revin statului în temeiul art. 2 și 8 se pot suprapune într-o mare măsură (</w:t>
      </w:r>
      <w:r w:rsidR="00F524A5">
        <w:rPr>
          <w:i/>
        </w:rPr>
        <w:t>Brincat și alții împotriva Maltei</w:t>
      </w:r>
      <w:r w:rsidR="00F524A5">
        <w:t>, nr. 60908/11 și alte 4 cereri, pct. 85-102, 24 iulie 2014).</w:t>
      </w:r>
    </w:p>
    <w:p w:rsidR="00F524A5" w:rsidRPr="00472687" w:rsidRDefault="00C71855" w:rsidP="00F524A5">
      <w:pPr>
        <w:pStyle w:val="JuPara"/>
      </w:pPr>
      <w:fldSimple w:instr=" SEQ level0 \*arabic \* MERGEFORMAT ">
        <w:r w:rsidR="00F524A5" w:rsidRPr="00472687">
          <w:t>293</w:t>
        </w:r>
      </w:fldSimple>
      <w:r w:rsidR="00F524A5">
        <w:t>. De asemenea, art. 6 prevede o garanție procedurală, și anume „dreptul la o instanță” pentru a obține soluționarea unei contestații referitoare la „drepturile și obligațiile cu caracter civil”, în timp ce art. 8 servește obiectivului mai general de a asigura respectarea echitabilă a vieții private, printre altele.</w:t>
      </w:r>
      <w:r w:rsidR="00F524A5">
        <w:rPr>
          <w:rFonts w:ascii="Segoe UI" w:hAnsi="Segoe UI"/>
          <w:color w:val="000000"/>
        </w:rPr>
        <w:t xml:space="preserve"> </w:t>
      </w:r>
      <w:r w:rsidR="00F524A5">
        <w:t xml:space="preserve">Procesul decizional care conduce la măsuri de ingerință trebuie să fie echitabil și să respecte în mod corespunzător interesele protejate de art. 8 (a se vedea, de exemplu, </w:t>
      </w:r>
      <w:r w:rsidR="00F524A5">
        <w:rPr>
          <w:i/>
        </w:rPr>
        <w:t>Zammit Maempel împotriva Maltei</w:t>
      </w:r>
      <w:r w:rsidR="00F524A5">
        <w:t>, nr. 24202/10, pct. 32, 22 noiembrie 2011, cu trimiterile suplimentare).</w:t>
      </w:r>
      <w:r w:rsidR="00F524A5">
        <w:rPr>
          <w:rFonts w:ascii="Segoe UI" w:hAnsi="Segoe UI"/>
          <w:color w:val="000000"/>
        </w:rPr>
        <w:t xml:space="preserve"> </w:t>
      </w:r>
      <w:r w:rsidR="00F524A5">
        <w:t>Prin urmare, în anumite cazuri, poate fi suficient să se examineze cauza, inclusiv aspecte legate de garanțiile procedurale necesare, din perspectiva art. 8 (</w:t>
      </w:r>
      <w:r w:rsidR="00F524A5">
        <w:rPr>
          <w:i/>
        </w:rPr>
        <w:t>ibidem</w:t>
      </w:r>
      <w:r w:rsidR="00F524A5">
        <w:t xml:space="preserve">, pct. 33), în timp ce, în alte cazuri, Curtea poate decide să examineze cele două dispoziții separat (a se vedea, de exemplu, </w:t>
      </w:r>
      <w:r w:rsidR="00F524A5">
        <w:rPr>
          <w:i/>
        </w:rPr>
        <w:t>Taşkın și alții</w:t>
      </w:r>
      <w:r w:rsidR="00F524A5">
        <w:t>, citată anterior, pct. 118-125 și 135-138).</w:t>
      </w:r>
      <w:r w:rsidR="00F524A5">
        <w:rPr>
          <w:rFonts w:ascii="Segoe UI" w:hAnsi="Segoe UI"/>
          <w:color w:val="000000"/>
        </w:rPr>
        <w:t xml:space="preserve"> </w:t>
      </w:r>
      <w:r w:rsidR="00F524A5">
        <w:t>Aceasta este o chestiune care poate fi soluționată doar pe baza circumstanțelor unei anumite cauze.</w:t>
      </w:r>
    </w:p>
    <w:p w:rsidR="00F524A5" w:rsidRPr="00472687" w:rsidRDefault="00C71855" w:rsidP="00F524A5">
      <w:pPr>
        <w:pStyle w:val="JuPara"/>
      </w:pPr>
      <w:fldSimple w:instr=" SEQ level0 \*arabic \* MERGEFORMAT ">
        <w:r w:rsidR="00F524A5" w:rsidRPr="00472687">
          <w:t>294</w:t>
        </w:r>
      </w:fldSimple>
      <w:r w:rsidR="00F524A5">
        <w:t xml:space="preserve">. Aceeași abordare se aplică în privința garanțiilor procedurale care decurg din art. 13 din Convenție: Curtea poate considera fie că este necesar, fie că nu este necesar să le examineze, în plus față de aprecierea întemeiată pe dispoziția materială relevantă (a se vedea, de exemplu, </w:t>
      </w:r>
      <w:bookmarkStart w:id="321" w:name="_cl9426"/>
      <w:r w:rsidR="00F524A5">
        <w:rPr>
          <w:i/>
        </w:rPr>
        <w:t>Koliadenko și alții împotriva Rusiei</w:t>
      </w:r>
      <w:r w:rsidR="00F524A5">
        <w:t>, nr. 17423/05 și alte 5</w:t>
      </w:r>
      <w:bookmarkEnd w:id="321"/>
      <w:r w:rsidR="00F524A5">
        <w:t xml:space="preserve">, pct. 227-228, 28 februarie 2012, și </w:t>
      </w:r>
      <w:r w:rsidR="00F524A5">
        <w:rPr>
          <w:i/>
        </w:rPr>
        <w:t>Cordella și alții împotriva Italiei</w:t>
      </w:r>
      <w:r w:rsidR="00F524A5">
        <w:t>, nr. 54414/13 și 54264/15, pct. 175-176).</w:t>
      </w:r>
      <w:r w:rsidR="00F524A5">
        <w:rPr>
          <w:rFonts w:ascii="Segoe UI" w:hAnsi="Segoe UI"/>
          <w:color w:val="000000"/>
        </w:rPr>
        <w:t xml:space="preserve"> </w:t>
      </w:r>
      <w:r w:rsidR="00F524A5">
        <w:t>În orice caz și în ceea ce privește relația dintre art. 6 și 13 din Convenție, din jurisprudența constantă a Curții reiese că cerințele celei de-a doua dispoziții sunt mai puțin stricte decât cele ale primei dispoziții.</w:t>
      </w:r>
      <w:r w:rsidR="00F524A5">
        <w:rPr>
          <w:rFonts w:ascii="Segoe UI" w:hAnsi="Segoe UI"/>
          <w:color w:val="000000"/>
        </w:rPr>
        <w:t xml:space="preserve"> </w:t>
      </w:r>
      <w:r w:rsidR="00F524A5">
        <w:t xml:space="preserve">Astfel, Curtea consideră deseori că cerințele art. 13 sunt absorbite de cele ale art. 6 [a se vedea, de exemplu, </w:t>
      </w:r>
      <w:bookmarkStart w:id="322" w:name="_cl42560"/>
      <w:r w:rsidR="00F524A5">
        <w:rPr>
          <w:i/>
        </w:rPr>
        <w:t>Fu Quan, s.r.o. împotriva Republicii Cehe</w:t>
      </w:r>
      <w:bookmarkEnd w:id="322"/>
      <w:r w:rsidR="00F524A5">
        <w:t xml:space="preserve"> (MC), nr. 24827/14, pct. 85, 1 iunie 2023; a se vedea și </w:t>
      </w:r>
      <w:bookmarkStart w:id="323" w:name="_cl40798"/>
      <w:r w:rsidR="00F524A5">
        <w:rPr>
          <w:i/>
        </w:rPr>
        <w:t>Asociația Burestop 55 și altele împotriva Franței</w:t>
      </w:r>
      <w:bookmarkEnd w:id="323"/>
      <w:r w:rsidR="00F524A5">
        <w:t>, nr. 56176/18 și alte 5, pct. 64, 1 iulie 2021].</w:t>
      </w:r>
    </w:p>
    <w:p w:rsidR="00F524A5" w:rsidRPr="00472687" w:rsidRDefault="00C71855" w:rsidP="00F524A5">
      <w:pPr>
        <w:pStyle w:val="JuPara"/>
      </w:pPr>
      <w:fldSimple w:instr=" SEQ level0 \*arabic \* MERGEFORMAT ">
        <w:r w:rsidR="00F524A5" w:rsidRPr="00472687">
          <w:t>295</w:t>
        </w:r>
      </w:fldSimple>
      <w:r w:rsidR="00F524A5">
        <w:t>. În lumina acestor considerații, Curtea va începe prin a defini conținutul obligațiilor ce revin statelor în temeiul dispozițiilor materiale ale Convenției, și anume art. 2 și 8. Aceasta va examina separat capetele de cerere invocate în temeiul art. 6 și 13.</w:t>
      </w:r>
    </w:p>
    <w:p w:rsidR="00F524A5" w:rsidRPr="00472687" w:rsidRDefault="00F524A5" w:rsidP="00E72A1B">
      <w:pPr>
        <w:pStyle w:val="JuHIRoman"/>
        <w:numPr>
          <w:ilvl w:val="1"/>
          <w:numId w:val="51"/>
        </w:numPr>
      </w:pPr>
      <w:bookmarkStart w:id="324" w:name="_Toc149127530"/>
      <w:bookmarkStart w:id="325" w:name="_Toc158019708"/>
      <w:bookmarkStart w:id="326" w:name="_Toc199273508"/>
      <w:r>
        <w:lastRenderedPageBreak/>
        <w:t>CU PRIVIRE LA PRETINSA ÎNCĂLCARE A ART. 2 ȘI 8 DIN CONVENȚIE</w:t>
      </w:r>
      <w:bookmarkEnd w:id="324"/>
      <w:bookmarkEnd w:id="325"/>
      <w:bookmarkEnd w:id="326"/>
    </w:p>
    <w:bookmarkStart w:id="327" w:name="paragraph0029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296</w:t>
      </w:r>
      <w:r w:rsidRPr="00472687">
        <w:fldChar w:fldCharType="end"/>
      </w:r>
      <w:bookmarkEnd w:id="327"/>
      <w:r>
        <w:t>. Reclamantele se plâng de neîndeplinirea de către autoritățile elvețiene a mai multor obligații legate de atenuarea schimbărilor climatice – și în special a efectelor încălzirii globale – care, potrivit acestora, au</w:t>
      </w:r>
      <w:r>
        <w:rPr>
          <w:b/>
        </w:rPr>
        <w:t xml:space="preserve"> </w:t>
      </w:r>
      <w:r>
        <w:t>consecințe negative asupra vieții, condițiilor de viață și sănătății reclamantelor individuale și a membrilor asociației reclamante. Acestea invocă art. 2 și 8 din Convenție.</w:t>
      </w:r>
    </w:p>
    <w:p w:rsidR="00F524A5" w:rsidRPr="00472687" w:rsidRDefault="00C71855" w:rsidP="00F524A5">
      <w:pPr>
        <w:pStyle w:val="JuPara"/>
      </w:pPr>
      <w:fldSimple w:instr=" SEQ level0 \*arabic \* MERGEFORMAT ">
        <w:r w:rsidR="00F524A5" w:rsidRPr="00472687">
          <w:t>297</w:t>
        </w:r>
      </w:fldSimple>
      <w:r w:rsidR="00F524A5">
        <w:t>. Pasajul relevant din art. 2 are următorul cuprins:</w:t>
      </w:r>
    </w:p>
    <w:p w:rsidR="00F524A5" w:rsidRPr="00472687" w:rsidRDefault="00F524A5" w:rsidP="00F524A5">
      <w:pPr>
        <w:pStyle w:val="JuQuot"/>
      </w:pPr>
      <w:r>
        <w:t>„1. Dreptul la viață al oricărei persoane este protejat prin lege. ”</w:t>
      </w:r>
    </w:p>
    <w:p w:rsidR="00F524A5" w:rsidRPr="00472687" w:rsidRDefault="00C71855" w:rsidP="00F524A5">
      <w:pPr>
        <w:pStyle w:val="JuPara"/>
      </w:pPr>
      <w:fldSimple w:instr=" SEQ level0 \*arabic \* MERGEFORMAT ">
        <w:r w:rsidR="00F524A5" w:rsidRPr="00472687">
          <w:t>298</w:t>
        </w:r>
      </w:fldSimple>
      <w:r w:rsidR="00F524A5">
        <w:t>. Pasajul relevant din art. 8 are următorul cuprins:</w:t>
      </w:r>
    </w:p>
    <w:p w:rsidR="00F524A5" w:rsidRPr="00472687" w:rsidRDefault="00F524A5" w:rsidP="00F524A5">
      <w:pPr>
        <w:pStyle w:val="JuQuot"/>
      </w:pPr>
      <w:r>
        <w:t>„1. Orice persoană are dreptul la respectarea vieții sale private și de familie, a domiciliului său [...] ”</w:t>
      </w:r>
    </w:p>
    <w:p w:rsidR="00F524A5" w:rsidRPr="00472687" w:rsidRDefault="00F524A5" w:rsidP="00E72A1B">
      <w:pPr>
        <w:pStyle w:val="JuHA"/>
        <w:numPr>
          <w:ilvl w:val="2"/>
          <w:numId w:val="51"/>
        </w:numPr>
      </w:pPr>
      <w:bookmarkStart w:id="328" w:name="_Toc149127531"/>
      <w:bookmarkStart w:id="329" w:name="_Toc158019709"/>
      <w:bookmarkStart w:id="330" w:name="_Toc199273509"/>
      <w:r>
        <w:t>Argumentele părților</w:t>
      </w:r>
      <w:bookmarkEnd w:id="328"/>
      <w:bookmarkEnd w:id="329"/>
      <w:bookmarkEnd w:id="330"/>
    </w:p>
    <w:p w:rsidR="00F524A5" w:rsidRPr="00472687" w:rsidRDefault="00F524A5" w:rsidP="00E72A1B">
      <w:pPr>
        <w:pStyle w:val="JuH1"/>
        <w:numPr>
          <w:ilvl w:val="3"/>
          <w:numId w:val="51"/>
        </w:numPr>
      </w:pPr>
      <w:bookmarkStart w:id="331" w:name="_Toc199273510"/>
      <w:r>
        <w:t>Reclamantele</w:t>
      </w:r>
      <w:bookmarkEnd w:id="331"/>
    </w:p>
    <w:p w:rsidR="00F524A5" w:rsidRPr="00472687" w:rsidRDefault="00F524A5" w:rsidP="00E72A1B">
      <w:pPr>
        <w:pStyle w:val="JuHa0"/>
        <w:numPr>
          <w:ilvl w:val="4"/>
          <w:numId w:val="51"/>
        </w:numPr>
      </w:pPr>
      <w:bookmarkStart w:id="332" w:name="_Toc199273511"/>
      <w:r>
        <w:t>Observații preliminare</w:t>
      </w:r>
      <w:bookmarkEnd w:id="332"/>
    </w:p>
    <w:p w:rsidR="00F524A5" w:rsidRPr="00472687" w:rsidRDefault="00C71855" w:rsidP="00F524A5">
      <w:pPr>
        <w:pStyle w:val="JuPara"/>
      </w:pPr>
      <w:fldSimple w:instr=" SEQ level0 \*arabic \* MERGEFORMAT ">
        <w:r w:rsidR="00F524A5" w:rsidRPr="00472687">
          <w:t>299</w:t>
        </w:r>
      </w:fldSimple>
      <w:r w:rsidR="00F524A5">
        <w:t>. Reclamantele afirmă că nu au nicio îndoială că valurile de caniculă provocate de schimbările climatice au cauzat, cauzează și vor cauza noi decese și boli în rândul persoanelor în vârstă, în special al femeilor.</w:t>
      </w:r>
      <w:r w:rsidR="00F524A5">
        <w:rPr>
          <w:rFonts w:ascii="Segoe UI" w:hAnsi="Segoe UI"/>
          <w:color w:val="000000"/>
        </w:rPr>
        <w:t xml:space="preserve"> </w:t>
      </w:r>
      <w:r w:rsidR="00F524A5">
        <w:t>În plus, susțin că, de altfel, acest mesaj face parte din comunicarea adresată de statul pârât cetățenilor săi cu privire la efectele schimbărilor climatice asupra sănătății publice.</w:t>
      </w:r>
    </w:p>
    <w:p w:rsidR="00F524A5" w:rsidRPr="00472687" w:rsidRDefault="00C71855" w:rsidP="00F524A5">
      <w:pPr>
        <w:pStyle w:val="JuPara"/>
      </w:pPr>
      <w:fldSimple w:instr=" SEQ level0 \*arabic \* MERGEFORMAT ">
        <w:r w:rsidR="00F524A5" w:rsidRPr="00472687">
          <w:t>300</w:t>
        </w:r>
      </w:fldSimple>
      <w:r w:rsidR="00F524A5">
        <w:t>. Reclamantele individuale susțin că, având în vedere vârsta și sexul lor, aparțin unei categorii vulnerabile și precizează în special că numeroase membre ale asociației au explicat în ce fel sunt afectate de schimbările climatice. Potrivit reclamantelor, cea de-a doua dintre ele a avut probleme cardiovasculare, cea de-a treia încă avea astfel de probleme, iar cea de-a patra și cea de-a cincea reclamantă suferă de boli respiratorii. În opinia acestora, riscul relevant pentru cea de-a doua, cea de-a treia și cea de-a patra reclamantă s-a materializat deja, astfel cum atestă certificatele medicale furnizate de acestea. În plus, în cadrul unor declarații individuale, reclamantele nr. 2-5 au descris efectele valurilor de caniculă asupra sănătății și a bunăstării lor.</w:t>
      </w:r>
    </w:p>
    <w:p w:rsidR="00F524A5" w:rsidRPr="00472687" w:rsidRDefault="00F524A5" w:rsidP="00F524A5">
      <w:pPr>
        <w:pStyle w:val="JuPara"/>
      </w:pPr>
      <w:r w:rsidRPr="00472687">
        <w:fldChar w:fldCharType="begin"/>
      </w:r>
      <w:r>
        <w:instrText xml:space="preserve"> SEQ level0 \*arabic \* MERGEFORMAT </w:instrText>
      </w:r>
      <w:r w:rsidRPr="00472687">
        <w:fldChar w:fldCharType="separate"/>
      </w:r>
      <w:r w:rsidRPr="00472687">
        <w:t>301</w:t>
      </w:r>
      <w:r w:rsidRPr="00472687">
        <w:fldChar w:fldCharType="end"/>
      </w:r>
      <w:r>
        <w:t>. Reclamantele afirmă că autoritățile elvețiene sunt pe deplin conștiente de riscurile asociate schimbărilor climatice și de necesitatea combaterii acestora și că au recunoscut aceste riscuri în comunicarea lor</w:t>
      </w:r>
      <w:r>
        <w:rPr>
          <w:b/>
        </w:rPr>
        <w:t xml:space="preserve"> </w:t>
      </w:r>
      <w:r>
        <w:t>publică, aprobând concluziile IPCC și devenind părți</w:t>
      </w:r>
      <w:r>
        <w:rPr>
          <w:b/>
        </w:rPr>
        <w:t xml:space="preserve"> </w:t>
      </w:r>
      <w:r>
        <w:t>la UNFCCC și la Acordul de la Paris. Reclamantele consideră însă că autoritățile nu au stabilit obiective climatice obligatorii pentru 2030 și 2050, că strategia lor climatică nu este conformă cu obiectivul de limitare a încălzirii la 1,5</w:t>
      </w:r>
      <w:r>
        <w:rPr>
          <w:vertAlign w:val="superscript"/>
        </w:rPr>
        <w:t>o</w:t>
      </w:r>
      <w:r>
        <w:t xml:space="preserve">C și că, în plus, acestea nu și-au atins propriile obiective climatice, care nu erau adecvate. Or, </w:t>
      </w:r>
      <w:r>
        <w:lastRenderedPageBreak/>
        <w:t>în opinia reclamantelor,</w:t>
      </w:r>
      <w:r>
        <w:rPr>
          <w:b/>
        </w:rPr>
        <w:t xml:space="preserve"> </w:t>
      </w:r>
      <w:r>
        <w:t>Elveția este în măsură să își îndeplinească partea sa de obligații, și anume să reducă riscul de mortalitate excesivă și de morbiditate excesivă, cauzate de căldură.</w:t>
      </w:r>
    </w:p>
    <w:p w:rsidR="00F524A5" w:rsidRPr="00472687" w:rsidRDefault="00F524A5" w:rsidP="00F524A5">
      <w:pPr>
        <w:pStyle w:val="JuPara"/>
      </w:pPr>
      <w:r w:rsidRPr="00472687">
        <w:fldChar w:fldCharType="begin"/>
      </w:r>
      <w:r>
        <w:instrText xml:space="preserve"> SEQ level0 \*arabic \* MERGEFORMAT </w:instrText>
      </w:r>
      <w:r w:rsidRPr="00472687">
        <w:fldChar w:fldCharType="separate"/>
      </w:r>
      <w:r w:rsidRPr="00472687">
        <w:t>302</w:t>
      </w:r>
      <w:r w:rsidRPr="00472687">
        <w:fldChar w:fldCharType="end"/>
      </w:r>
      <w:r>
        <w:t>. În această privință, reclamantele susțin că obiectivul climatic stabilit de Elveția pentru 2020 trebuia să respecte limita (în prezent depășită) de 2</w:t>
      </w:r>
      <w:r>
        <w:rPr>
          <w:vertAlign w:val="superscript"/>
        </w:rPr>
        <w:t>o</w:t>
      </w:r>
      <w:r>
        <w:t>C. Acestea afirmă că, după ce Elveția și-a asumat angajamentul de a respecta limita de 1,5</w:t>
      </w:r>
      <w:r>
        <w:rPr>
          <w:vertAlign w:val="superscript"/>
        </w:rPr>
        <w:t>o</w:t>
      </w:r>
      <w:r>
        <w:t>C, obiectivul stabilit de aceasta pentru 2030 a făcut obiectul unei actualizări superficiale. Acestea explică faptul că reducerile prevăzute erau total neadecvate și că această deficiență a fost agravată și mai mult de o reducere a ambițiilor naționale. Potrivit reclamantelor, nici obiectivul pe termen lung, de limitare a creșterii temperaturii la 1,5</w:t>
      </w:r>
      <w:r>
        <w:rPr>
          <w:vertAlign w:val="superscript"/>
        </w:rPr>
        <w:t>o</w:t>
      </w:r>
      <w:r>
        <w:t>C, nici obiectivele de reducere a emisiilor compatibile cu această limită nu au fost incluse în dreptul național sau nu se intenționa acest lucru. Capătul de cerere  formulat de reclamante privește așadar situația climatică actuală din Elveția și caracterul neadecvat, în opinia lor, al</w:t>
      </w:r>
      <w:r>
        <w:rPr>
          <w:b/>
        </w:rPr>
        <w:t xml:space="preserve"> </w:t>
      </w:r>
      <w:r>
        <w:t>obiectivelor stabilite pentru anii 2030 și 2050.</w:t>
      </w:r>
    </w:p>
    <w:p w:rsidR="00F524A5" w:rsidRPr="00472687" w:rsidRDefault="00C71855" w:rsidP="00F524A5">
      <w:pPr>
        <w:pStyle w:val="JuPara"/>
      </w:pPr>
      <w:fldSimple w:instr=" SEQ level0 \*arabic \* MERGEFORMAT ">
        <w:r w:rsidR="00F524A5" w:rsidRPr="00472687">
          <w:t>303</w:t>
        </w:r>
      </w:fldSimple>
      <w:r w:rsidR="00F524A5">
        <w:t>. Reclamantele declară că, în conformitate cu strategia sa climatică actuală, Elveția prevede producerea mai multor emisii decât i-ar permite o metodă de cuantificare bazată pe criteriul „emisii egale pe cap de locuitor”. Acestea consideră că, în orice caz, o metodă de partajare a eforturilor bazată pe criteriul „emisii egale pe cap de locuitor” nu este o abordare valabilă pentru a stabili „cotele echitabile” naționale aferente efortului de reducere a emisiilor de GES.</w:t>
      </w:r>
      <w:r w:rsidR="00F524A5">
        <w:rPr>
          <w:rFonts w:ascii="Segoe UI" w:hAnsi="Segoe UI"/>
          <w:color w:val="000000"/>
        </w:rPr>
        <w:t xml:space="preserve"> </w:t>
      </w:r>
      <w:r w:rsidR="00F524A5">
        <w:t>Acestea afirmă că ideea generală, consacrată în Acordul de la Paris și în Declarația de la Rio</w:t>
      </w:r>
      <w:r w:rsidR="00F524A5">
        <w:rPr>
          <w:rStyle w:val="FootnoteReference"/>
        </w:rPr>
        <w:footnoteReference w:id="167"/>
      </w:r>
      <w:r w:rsidR="00F524A5">
        <w:t>, este că un nivel echitabil al contribuției reflectă „cel mai ridicat nivel de ambiție posibilă” și „[responsabilitățile] comune, dar diferențiate și [capacitățile] aferente, în funcție de diferitele circumstanțe naționale”.</w:t>
      </w:r>
    </w:p>
    <w:bookmarkStart w:id="334" w:name="paragraph0030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304</w:t>
      </w:r>
      <w:r w:rsidRPr="00472687">
        <w:fldChar w:fldCharType="end"/>
      </w:r>
      <w:bookmarkEnd w:id="334"/>
      <w:r>
        <w:t>. Reclamantele susțin că strategia climatică actuală a Elveției este departe de a asigura o contribuție „echitabilă” la realizarea obiectivului global de</w:t>
      </w:r>
      <w:r>
        <w:rPr>
          <w:b/>
        </w:rPr>
        <w:t xml:space="preserve"> </w:t>
      </w:r>
      <w:r>
        <w:t>atenuare 1,5</w:t>
      </w:r>
      <w:r>
        <w:rPr>
          <w:vertAlign w:val="superscript"/>
        </w:rPr>
        <w:t>o</w:t>
      </w:r>
      <w:r>
        <w:t>C. Acestea afirmă că, pentru a aduce o contribuție echitabilă, Elveția ar trebui să își intensifice reducerea emisiilor naționale și – prin finanțarea reducerii emisiilor în străinătate – să obțină emisii nete negative de GES în 2030, cu reduceri cuprinse între 160% și 200% față de nivelurile de emisii din 1990, pentru o probabilitate de 50% de respectare a limitei de 1,5</w:t>
      </w:r>
      <w:r>
        <w:rPr>
          <w:vertAlign w:val="superscript"/>
        </w:rPr>
        <w:t>o</w:t>
      </w:r>
      <w:r>
        <w:t>C. În ceea ce privește consolidarea angajamentelor de reducere a emisiilor naționale, în temeiul criteriului</w:t>
      </w:r>
      <w:r>
        <w:rPr>
          <w:b/>
        </w:rPr>
        <w:t xml:space="preserve"> </w:t>
      </w:r>
      <w:r>
        <w:t>„cotei echitabile”, acestea consideră că Elveția ar trebui să asigure, până în 2030, o reducere a emisiilor</w:t>
      </w:r>
      <w:r>
        <w:rPr>
          <w:b/>
        </w:rPr>
        <w:t xml:space="preserve"> </w:t>
      </w:r>
      <w:r>
        <w:t>de GES cu peste 60% față de nivelurile din 1990. Cu toate acestea, apreciază că este nerealist să se creadă că va putea realiza acest lucru prin măsurile prevăzute în prezent de legislația internă.</w:t>
      </w:r>
    </w:p>
    <w:p w:rsidR="00F524A5" w:rsidRPr="00472687" w:rsidRDefault="00F524A5" w:rsidP="00E72A1B">
      <w:pPr>
        <w:pStyle w:val="JuHa0"/>
        <w:numPr>
          <w:ilvl w:val="4"/>
          <w:numId w:val="51"/>
        </w:numPr>
      </w:pPr>
      <w:bookmarkStart w:id="335" w:name="_Toc199273512"/>
      <w:r>
        <w:lastRenderedPageBreak/>
        <w:t>Cu privire la calitatea de victimă</w:t>
      </w:r>
      <w:bookmarkEnd w:id="335"/>
    </w:p>
    <w:p w:rsidR="00F524A5" w:rsidRPr="00472687" w:rsidRDefault="00C71855" w:rsidP="00F524A5">
      <w:pPr>
        <w:pStyle w:val="JuPara"/>
      </w:pPr>
      <w:fldSimple w:instr=" SEQ level0 \*arabic \* MERGEFORMAT ">
        <w:r w:rsidR="00F524A5" w:rsidRPr="00472687">
          <w:t>305</w:t>
        </w:r>
      </w:fldSimple>
      <w:r w:rsidR="00F524A5">
        <w:t>. Toate reclamantele (asociația și reclamantele nr. 2-5) se consideră victimele, în sensul autonom atribuit acestei noțiuni din perspectiva art. 34 din Convenție, ale unei încălcări a art. 2 și 8 din Convenție, ca urmare a încălcării persistente de către statul pârât a obligației sale de a le asigura o protecție efectivă împotriva efectelor încălzirii globale. În special, acestea se consideră victime deoarece, în opinia lor, sunt afectate în mod direct de măsurile în litigiu. Subliniază că termenul „victimă” este o noțiune autonomă, care trebuie să facă obiectul unei interpretări evolutive și nu să fie aplicată în mod rigid, mecanic sau inflexibil. În opinia acestora, este suficient ca o încălcare să fie posibilă, iar aspectul dacă această încălcare s-a concretizat trebuie soluționat pe fond.</w:t>
      </w:r>
    </w:p>
    <w:p w:rsidR="00F524A5" w:rsidRPr="00472687" w:rsidRDefault="00F524A5" w:rsidP="00E72A1B">
      <w:pPr>
        <w:pStyle w:val="JuHi"/>
        <w:numPr>
          <w:ilvl w:val="5"/>
          <w:numId w:val="51"/>
        </w:numPr>
        <w:tabs>
          <w:tab w:val="clear" w:pos="1077"/>
          <w:tab w:val="clear" w:pos="1134"/>
          <w:tab w:val="clear" w:pos="1191"/>
          <w:tab w:val="clear" w:pos="1247"/>
        </w:tabs>
        <w:ind w:left="1276" w:hanging="425"/>
      </w:pPr>
      <w:bookmarkStart w:id="336" w:name="_Toc130216073"/>
      <w:bookmarkStart w:id="337" w:name="_Toc199273513"/>
      <w:r>
        <w:t>Asociația reclamantă</w:t>
      </w:r>
      <w:bookmarkEnd w:id="336"/>
      <w:bookmarkEnd w:id="337"/>
    </w:p>
    <w:bookmarkStart w:id="338" w:name="paragraph0030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306</w:t>
      </w:r>
      <w:r w:rsidRPr="00472687">
        <w:fldChar w:fldCharType="end"/>
      </w:r>
      <w:bookmarkEnd w:id="338"/>
      <w:r>
        <w:t xml:space="preserve">. În special în ceea ce privește calitatea de victimă a asociației reclamante, părțile în cauză observă că, deși are personalitate juridică, asociația trebuie să fie percepută pur și simplu ca fiind un grup de persoane, fiecare dintre acestea fiind direct afectate de neîndeplinirea obligațiilor de către statul pârât, la fel ca și reclamantele nr. 2-5 (de asemenea membre ale asociației reclamante). Prin urmare, cererea lor nu este o </w:t>
      </w:r>
      <w:r>
        <w:rPr>
          <w:i/>
        </w:rPr>
        <w:t>actio popularis.</w:t>
      </w:r>
      <w:r>
        <w:t xml:space="preserve"> Acestea explică faptul că asociația reclamantă nu inițiază o acțiune de interes general sau public (chiar dacă interesele membrelor sale coincid cu cele ale întregii populații), având în vedere că, în opinia lor, de măsurile de atenuare a schimbărilor climatice nu vor putea beneficia niciodată exclusiv anumite categorii ale populației. Precizează că asociația reclamantă trebuie considerată mai degrabă ca fiind un mijloc prin care persoanele fizice au posibilitatea de a înainta Curții plângerile acestora. În opinia lor, împiedicarea asociației reclamante să depună o cerere în temeiul art. 2 și 8 pe motiv că este persoană juridică ar însemna să nu se țină seama de realitate și ar contraveni principiului conform căruia drepturile garantate de Convenție trebuie să fie concrete și efective. În plus, potrivit reclamantelor, Curtea trebuie să se asigure că semnificația atribuită de aceasta noțiunii de „calitate de victimă” este conformă cu Convenția de la Aarhus, care</w:t>
      </w:r>
      <w:r>
        <w:rPr>
          <w:b/>
        </w:rPr>
        <w:t xml:space="preserve"> </w:t>
      </w:r>
      <w:r>
        <w:t>prevede, în esență,</w:t>
      </w:r>
      <w:r>
        <w:rPr>
          <w:b/>
        </w:rPr>
        <w:t xml:space="preserve"> </w:t>
      </w:r>
      <w:r>
        <w:t>posibilitatea ca asociațiile să înlocuiască persoanele particulare în exercitarea acțiunilor lor privind probleme de mediu.</w:t>
      </w:r>
    </w:p>
    <w:bookmarkStart w:id="339" w:name="paragraph0030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307</w:t>
      </w:r>
      <w:r w:rsidRPr="00472687">
        <w:fldChar w:fldCharType="end"/>
      </w:r>
      <w:bookmarkEnd w:id="339"/>
      <w:r>
        <w:t xml:space="preserve">. Făcând referire la hotărârea </w:t>
      </w:r>
      <w:bookmarkStart w:id="340" w:name="_cl6755"/>
      <w:r>
        <w:rPr>
          <w:i/>
        </w:rPr>
        <w:t>Gorraiz Lizarraga și alții împotriva Spaniei</w:t>
      </w:r>
      <w:bookmarkEnd w:id="340"/>
      <w:r>
        <w:t xml:space="preserve"> (nr. 62543/00, CEDO 2004-III), reclamantele subliniază că, la fel ca asociația în discuție în această cauză, asociația reclamantă din prezenta speță a fost înființată cu scopul specific de a apăra interesele membrilor săi în fața instanțelor. Acestea explică faptul că membrele asociației din prezenta cauză aparțin unui grup deosebit de vulnerabil, că sunt afectate direct de neîndeplinirea de către statul pârât a obligațiilor sale în materie de protecție a climei și că asociația reclamantă are rolul de a se </w:t>
      </w:r>
      <w:r>
        <w:lastRenderedPageBreak/>
        <w:t>asigura că acestea au posibilitatea de a sesiza Curtea. Astfel, acestea consideră că faptul de a permite asociației reclamante să invoce calitatea de victimă în privința membrelor sale individuale echivalează cu a garanta membrelor acestui grup specific posibilitatea de a-și exercita drepturile pe termen lung. În opinia lor, acest lucru este cu atât mai adevărat cu cât introducerea unei cauze individuale de o asemenea amploare în fața instanțelor elvețiene, înainte de sesizarea Curții, ar fi implicat costuri prohibitive pentru majoritatea oamenilor. Apreciază că, având în vedere complexitatea și costul unei acțiuni privind probleme de mediu, nu este surprinzător faptul că, în ultimii ani, asociațiile au jucat un rol tot mai important în acest tip de cauze și că, în acest fel, au avut mai mult succes decât reclamanții individuali.</w:t>
      </w:r>
    </w:p>
    <w:p w:rsidR="00F524A5" w:rsidRPr="00472687" w:rsidRDefault="00F524A5" w:rsidP="00E72A1B">
      <w:pPr>
        <w:pStyle w:val="JuHi"/>
        <w:numPr>
          <w:ilvl w:val="5"/>
          <w:numId w:val="51"/>
        </w:numPr>
        <w:tabs>
          <w:tab w:val="clear" w:pos="1077"/>
          <w:tab w:val="clear" w:pos="1134"/>
          <w:tab w:val="clear" w:pos="1191"/>
          <w:tab w:val="clear" w:pos="1247"/>
        </w:tabs>
        <w:ind w:left="1276" w:hanging="425"/>
      </w:pPr>
      <w:bookmarkStart w:id="341" w:name="_Toc199273514"/>
      <w:r>
        <w:t>Reclamantele nr. 2-5</w:t>
      </w:r>
      <w:bookmarkEnd w:id="341"/>
    </w:p>
    <w:p w:rsidR="00F524A5" w:rsidRPr="00472687" w:rsidRDefault="00C71855" w:rsidP="00F524A5">
      <w:pPr>
        <w:pStyle w:val="JuPara"/>
      </w:pPr>
      <w:fldSimple w:instr=" SEQ level0 \*arabic \* MERGEFORMAT ">
        <w:r w:rsidR="00F524A5" w:rsidRPr="00472687">
          <w:t>308</w:t>
        </w:r>
      </w:fldSimple>
      <w:r w:rsidR="00F524A5">
        <w:t>. Reclamantele nr. 2-5 au suferit și continuă să sufere, în mod direct și personal, de afecțiuni legate de căldură. În timpul fiecărui val de caniculă, acestea au fost și continuă să fie expuse unui risc real și grav de mortalitate și morbiditate, care este mai ridicat pentru ele decât pentru populația generală, pentru simplul fapt că sunt femei de peste 75 de ani. Din cauza afecțiunilor respiratorii și cardiovasculare de care sufereau, acestea erau expuse unui risc chiar mai mare decât alte femei în vârstă. Ele sunt, de asemenea, victime directe ale efectului cumulativ al tuturor consecințelor pe care le-au suferit deja și pe care le vor suferi în viitor. Astfel, capătul lor de cerere este specific și nu se referă la o degradare generală a mediului.</w:t>
      </w:r>
    </w:p>
    <w:p w:rsidR="00F524A5" w:rsidRPr="00472687" w:rsidRDefault="00C71855" w:rsidP="00F524A5">
      <w:pPr>
        <w:pStyle w:val="JuPara"/>
      </w:pPr>
      <w:fldSimple w:instr=" SEQ level0 \*arabic \* MERGEFORMAT ">
        <w:r w:rsidR="00F524A5" w:rsidRPr="00472687">
          <w:t>309</w:t>
        </w:r>
      </w:fldSimple>
      <w:r w:rsidR="00F524A5">
        <w:t>. Acestea susțin că s-a stabilit, dincolo de orice îndoială rezonabilă, că riscurile pe care le prezintă valurile de caniculă cauzate de schimbările climatice pentru categoria deosebit de vulnerabilă a femeilor în vârstă se vor materializa, inevitabil, în cazul anumitor persoane. Prin urmare, statului îi revine sarcina de a dovedi că problemele lor de sănătate nu au fost cauzate de căldura excesivă, contrar informațiilor din documentele medicale furnizate de reclamante.</w:t>
      </w:r>
    </w:p>
    <w:p w:rsidR="00F524A5" w:rsidRPr="00472687" w:rsidRDefault="00C71855" w:rsidP="00F524A5">
      <w:pPr>
        <w:pStyle w:val="JuPara"/>
      </w:pPr>
      <w:fldSimple w:instr=" SEQ level0 \*arabic \* MERGEFORMAT ">
        <w:r w:rsidR="00F524A5" w:rsidRPr="00472687">
          <w:t>310</w:t>
        </w:r>
      </w:fldSimple>
      <w:r w:rsidR="00F524A5">
        <w:t>. În plus, reclamantele nr. 2-5 sunt potențiale victime întrucât încălcarea persistentă de către statul pârât a obligației sale de a lua măsurile necesare pentru reducerea emisiilor, astfel încât să asigure respectarea limitei de 1,5</w:t>
      </w:r>
      <w:r w:rsidR="00F524A5">
        <w:rPr>
          <w:vertAlign w:val="superscript"/>
        </w:rPr>
        <w:t>o</w:t>
      </w:r>
      <w:r w:rsidR="00F524A5">
        <w:t>C, este de natură să crească semnificativ riscul ca acestea să fie afectate de mortalitatea și morbiditatea legate de căldură. Nu există nicio îndoială că valurile de caniculă generate de schimbările climatice vor cauza un număr tot mai mare de boli și decese în rândul femeilor în vârstă cu boli cronice, grup din care fac parte și reclamantele în cauză. Afirmă că au stabilit acest lucru făcând trimitere la probe solide și detaliate (date epidemiologice și alte date științifice) menite să demonstreze probabilitatea reală a unor noi încălcări ale drepturilor lor.</w:t>
      </w:r>
      <w:r w:rsidR="00F524A5">
        <w:rPr>
          <w:rFonts w:ascii="Segoe UI" w:hAnsi="Segoe UI"/>
          <w:color w:val="000000"/>
        </w:rPr>
        <w:t xml:space="preserve"> </w:t>
      </w:r>
      <w:r w:rsidR="00F524A5">
        <w:t>IPCC a constatat că, în conformitate cu traiectoriile actuale, limita de încălzire de 1,5</w:t>
      </w:r>
      <w:r w:rsidR="00F524A5">
        <w:rPr>
          <w:vertAlign w:val="superscript"/>
        </w:rPr>
        <w:t>o</w:t>
      </w:r>
      <w:r w:rsidR="00F524A5">
        <w:t xml:space="preserve">C va fi atinsă până în prima jumătate a anilor 2030 </w:t>
      </w:r>
      <w:r w:rsidR="00F524A5">
        <w:lastRenderedPageBreak/>
        <w:t>sau chiar până la sfârșitul anilor 2020.</w:t>
      </w:r>
      <w:r w:rsidR="00F524A5">
        <w:rPr>
          <w:rStyle w:val="FootnoteReference"/>
        </w:rPr>
        <w:footnoteReference w:id="168"/>
      </w:r>
      <w:r w:rsidR="00F524A5">
        <w:t xml:space="preserve"> Reclamantele declară că se așteaptă și speră să fie în viață la acel moment.</w:t>
      </w:r>
    </w:p>
    <w:p w:rsidR="00F524A5" w:rsidRPr="00472687" w:rsidRDefault="00C71855" w:rsidP="00F524A5">
      <w:pPr>
        <w:pStyle w:val="JuPara"/>
      </w:pPr>
      <w:fldSimple w:instr=" SEQ level0 \*arabic \* MERGEFORMAT ">
        <w:r w:rsidR="00F524A5" w:rsidRPr="00472687">
          <w:t>311</w:t>
        </w:r>
      </w:fldSimple>
      <w:r w:rsidR="00F524A5">
        <w:t>. Reclamantele subliniază că fac parte dintr-o categorie deosebit de vulnerabilă. Potrivit acestora, decesele cauzate de căldură nu au loc aleatoriu în rândul populației generale, ci survin în special în rândul femeilor în vârstă. Atât membrele asociației reclamante în general, cât și reclamantele nr. 2-5 aparțin acestui segment specific al populației, ai cărui membri sunt afectați în mod deosebit de schimbările climatice, din cauza vârstei și a genului lor. Reclamantele nr. 2-5 sunt și mai vulnerabile din cauza bolilor cronice de care suferă. Atât la nivel personal, cât și în calitate de membre ale grupului deosebit de vulnerabil de femei cu vârsta de peste 75 de ani, acestea sunt – în comparație cu populația generală – afectate în mod deosebit de efectele creșterii temperaturilor.</w:t>
      </w:r>
    </w:p>
    <w:p w:rsidR="00F524A5" w:rsidRPr="00472687" w:rsidRDefault="00F524A5" w:rsidP="00E72A1B">
      <w:pPr>
        <w:pStyle w:val="JuHa0"/>
        <w:numPr>
          <w:ilvl w:val="4"/>
          <w:numId w:val="51"/>
        </w:numPr>
      </w:pPr>
      <w:bookmarkStart w:id="342" w:name="_Toc199273515"/>
      <w:r>
        <w:t>Cu privire la aplicabilitatea dispozițiilor relevante ale Convenției</w:t>
      </w:r>
      <w:bookmarkEnd w:id="342"/>
    </w:p>
    <w:p w:rsidR="00F524A5" w:rsidRPr="00472687" w:rsidRDefault="00F524A5" w:rsidP="00E72A1B">
      <w:pPr>
        <w:pStyle w:val="JuHi"/>
        <w:numPr>
          <w:ilvl w:val="5"/>
          <w:numId w:val="51"/>
        </w:numPr>
        <w:tabs>
          <w:tab w:val="clear" w:pos="1077"/>
          <w:tab w:val="clear" w:pos="1134"/>
          <w:tab w:val="clear" w:pos="1191"/>
          <w:tab w:val="clear" w:pos="1247"/>
        </w:tabs>
        <w:ind w:left="1276" w:hanging="425"/>
      </w:pPr>
      <w:bookmarkStart w:id="343" w:name="_Toc199273516"/>
      <w:r>
        <w:t>Art. 2 din Convenție</w:t>
      </w:r>
      <w:bookmarkEnd w:id="343"/>
    </w:p>
    <w:bookmarkStart w:id="344" w:name="lt_pId2599"/>
    <w:bookmarkStart w:id="345" w:name="paragraph00312"/>
    <w:bookmarkEnd w:id="34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312</w:t>
      </w:r>
      <w:r w:rsidRPr="00472687">
        <w:fldChar w:fldCharType="end"/>
      </w:r>
      <w:bookmarkEnd w:id="345"/>
      <w:r>
        <w:t>. Potrivit reclamantelor, art. 2 este aplicabil în speță întrucât statul pârât nu a luat măsurile necesare pentru a reduce emisiile astfel încât să asigure respectarea limitei de 1,5</w:t>
      </w:r>
      <w:r>
        <w:rPr>
          <w:vertAlign w:val="superscript"/>
        </w:rPr>
        <w:t>o</w:t>
      </w:r>
      <w:r>
        <w:t xml:space="preserve">C și, astfel, să atenueze efectul creșterii temperaturilor. </w:t>
      </w:r>
      <w:bookmarkStart w:id="346" w:name="lt_pId2601"/>
      <w:r>
        <w:t>Din cauza creșterii temperaturilor, viețile reclamantelor nr. 2-5 și ale membrelor asociației reclamante sunt expuse unui risc real și grav.</w:t>
      </w:r>
      <w:bookmarkEnd w:id="346"/>
      <w:r>
        <w:t xml:space="preserve"> </w:t>
      </w:r>
      <w:bookmarkStart w:id="347" w:name="lt_pId2603"/>
      <w:r>
        <w:t>Valurile de caniculă recurente au dus deja la o mortalitate și o morbiditate excesive, cauzate de căldură, în rândul femeilor în vârstă; există dovezi, pe de o parte, cu privire la gravitatea riscului pe care îl prezintă pentru reclamante schimbările climatice în curs și, pe de altă parte, cu privire la faptul că reclamantele, din cauza bolilor lor cronice, au suferit deja un prejudiciu și sunt expuse în continuare unui risc deosebit de ridicat.</w:t>
      </w:r>
      <w:bookmarkEnd w:id="347"/>
    </w:p>
    <w:p w:rsidR="00F524A5" w:rsidRPr="00472687" w:rsidRDefault="00C71855" w:rsidP="00F524A5">
      <w:pPr>
        <w:pStyle w:val="JuPara"/>
      </w:pPr>
      <w:fldSimple w:instr=" SEQ level0 \*arabic \* MERGEFORMAT ">
        <w:r w:rsidR="00F524A5" w:rsidRPr="00472687">
          <w:t>313</w:t>
        </w:r>
      </w:fldSimple>
      <w:r w:rsidR="00F524A5">
        <w:t xml:space="preserve">. </w:t>
      </w:r>
      <w:bookmarkStart w:id="348" w:name="lt_pId2604"/>
      <w:bookmarkStart w:id="349" w:name="lt_pId2605"/>
      <w:bookmarkEnd w:id="348"/>
      <w:r w:rsidR="00F524A5">
        <w:t>Reclamantele precizează că, în aceste condiții, art. 2 impune statului să ia măsurile necesare pentru a proteja viața reclamantelor nr. 2-5 și a membrelor asociației reclamante.</w:t>
      </w:r>
      <w:bookmarkEnd w:id="349"/>
      <w:r w:rsidR="00F524A5">
        <w:t xml:space="preserve"> </w:t>
      </w:r>
      <w:bookmarkStart w:id="350" w:name="lt_pId2607"/>
      <w:r w:rsidR="00F524A5">
        <w:t>Acestea precizează că se referă în special la obligația pozitivă a statului de a institui un cadru legislativ și administrativ disuasiv, menit să prevină în mod eficient orice amenințare la adresa dreptului la viață.</w:t>
      </w:r>
      <w:bookmarkEnd w:id="350"/>
      <w:r w:rsidR="00F524A5">
        <w:t xml:space="preserve"> </w:t>
      </w:r>
      <w:bookmarkStart w:id="351" w:name="lt_pId2608"/>
      <w:r w:rsidR="00F524A5">
        <w:t>Apreciază că această obligație apare atunci când există un risc cunoscut și grav la adresa vieții.</w:t>
      </w:r>
      <w:bookmarkEnd w:id="351"/>
      <w:r w:rsidR="00F524A5">
        <w:t xml:space="preserve"> Totuși, consideră că, pentru ca această obligație să intre în joc, nu este necesar să se demonstreze existența unui risc iminent sau imediat la adresa vieții, ceea ce, în opinia lor, este relevant doar atunci când există o obligație de a acționa în mod concret, obligație care, după cum apreciază acestea, nu este în discuție în speță.</w:t>
      </w:r>
    </w:p>
    <w:p w:rsidR="00F524A5" w:rsidRPr="00472687" w:rsidRDefault="00C71855" w:rsidP="00F524A5">
      <w:pPr>
        <w:pStyle w:val="JuPara"/>
      </w:pPr>
      <w:fldSimple w:instr=" SEQ level0 \*arabic \* MERGEFORMAT ">
        <w:r w:rsidR="00F524A5" w:rsidRPr="00472687">
          <w:t>314</w:t>
        </w:r>
      </w:fldSimple>
      <w:r w:rsidR="00F524A5">
        <w:t xml:space="preserve">. </w:t>
      </w:r>
      <w:bookmarkStart w:id="352" w:name="lt_pId2610"/>
      <w:bookmarkEnd w:id="352"/>
      <w:r w:rsidR="00F524A5">
        <w:t>Reclamantele susțin că, în orice caz</w:t>
      </w:r>
      <w:bookmarkStart w:id="353" w:name="lt_pId2611"/>
      <w:r w:rsidR="00F524A5">
        <w:t>, schimbările climatice prezintă un risc imediat legat de evenimentele adverse pe care le cauzează și că această constatare este susținută de suficiente date științifice.</w:t>
      </w:r>
      <w:bookmarkEnd w:id="353"/>
      <w:r w:rsidR="00F524A5">
        <w:t xml:space="preserve"> </w:t>
      </w:r>
      <w:bookmarkStart w:id="354" w:name="lt_pId2612"/>
      <w:r w:rsidR="00F524A5">
        <w:t xml:space="preserve">Invocând principiul </w:t>
      </w:r>
      <w:r w:rsidR="00F524A5">
        <w:lastRenderedPageBreak/>
        <w:t>potrivit căruia Convenția nu poate fi interpretată într-un vid, acestea argumentează că, și presupunând că ar exista incertitudini cu privire la efectele schimbărilor climatice, ar trebui să fie aplicat principiul precauției, astfel încât să fie înglobate noțiunile de efect direct, inevitabilitate și ireversibilitate.</w:t>
      </w:r>
      <w:bookmarkEnd w:id="354"/>
    </w:p>
    <w:p w:rsidR="00F524A5" w:rsidRPr="00472687" w:rsidRDefault="00C71855" w:rsidP="00F524A5">
      <w:pPr>
        <w:pStyle w:val="JuPara"/>
      </w:pPr>
      <w:fldSimple w:instr=" SEQ level0 \*arabic \* MERGEFORMAT ">
        <w:r w:rsidR="00F524A5" w:rsidRPr="00472687">
          <w:t>315</w:t>
        </w:r>
      </w:fldSimple>
      <w:r w:rsidR="00F524A5">
        <w:t xml:space="preserve">. </w:t>
      </w:r>
      <w:bookmarkStart w:id="355" w:name="lt_pId2614"/>
      <w:r w:rsidR="00F524A5">
        <w:t>Reclamantele consideră că au furnizat suficiente elemente de probă pentru a stabili faptele referitoare la existența unei legături de cauzalitate între pretinsa încălcare de către statul pârât a obligației de combatere a schimbărilor climatice și efectele fizice și psihologice pe care acestea susțin că le au asupra lor.</w:t>
      </w:r>
      <w:bookmarkEnd w:id="355"/>
      <w:r w:rsidR="00F524A5">
        <w:t xml:space="preserve"> </w:t>
      </w:r>
      <w:bookmarkStart w:id="356" w:name="lt_pId2615"/>
      <w:r w:rsidR="00F524A5">
        <w:t>În ceea ce privește criteriul privind legătura de cauzalitate, acestea subliniază că faptul că o multitudine de state sunt responsabile pentru emisiile de GES nu exonerează statul pârât de propria responsabilitate.</w:t>
      </w:r>
      <w:bookmarkEnd w:id="356"/>
      <w:r w:rsidR="00F524A5">
        <w:t xml:space="preserve"> </w:t>
      </w:r>
      <w:bookmarkStart w:id="357" w:name="lt_pId2616"/>
      <w:r w:rsidR="00F524A5">
        <w:t>Acestea susțin că respectivul criteriu privind legătura de cauzalitate, care trebuie aplicat în contextul schimbărilor climatice, constă în a stabili dacă există o responsabilitate individuală, parțială sau comună de a contribui la combaterea pericolelor schimbărilor climatice (ceea ce, potrivit reclamantelor, este în conformitate cu articolul 47 din Proiectul de articole privind răspunderea statelor pentru fapte internaționale ilicite</w:t>
      </w:r>
      <w:r w:rsidR="00F524A5">
        <w:rPr>
          <w:rStyle w:val="FootnoteReference"/>
        </w:rPr>
        <w:footnoteReference w:id="169"/>
      </w:r>
      <w:bookmarkEnd w:id="357"/>
      <w:r w:rsidR="00F524A5">
        <w:t xml:space="preserve">). </w:t>
      </w:r>
      <w:bookmarkStart w:id="359" w:name="lt_pId2617"/>
      <w:r w:rsidR="00F524A5">
        <w:t>Reclamantele susțin că, în aceste condiții, responsabilitatea parțială rezultă dintr-o legătură de cauzalitate parțială, chiar dacă un stat nu poate împiedica, de unul singur, un anumit rezultat.</w:t>
      </w:r>
      <w:bookmarkEnd w:id="359"/>
      <w:r w:rsidR="00F524A5">
        <w:t xml:space="preserve"> </w:t>
      </w:r>
      <w:bookmarkStart w:id="360" w:name="lt_pId2618"/>
      <w:r w:rsidR="00F524A5">
        <w:t>În opinia lor, această abordare este în concordanță cu abordarea Curții privind legătura de cauzalitate în contextul respingerii analizei criteriului „dacă nu ar fi existat” [o încălcare] („n’eût été” în fr., „but for test” în engl.)</w:t>
      </w:r>
      <w:r w:rsidR="00F524A5">
        <w:rPr>
          <w:i/>
        </w:rPr>
        <w:t xml:space="preserve"> </w:t>
      </w:r>
      <w:r w:rsidR="00F524A5">
        <w:t xml:space="preserve">[reclamantele fac referire în special la hotărârea </w:t>
      </w:r>
      <w:r w:rsidR="00F524A5">
        <w:rPr>
          <w:i/>
        </w:rPr>
        <w:t>O’Keeffe împotriva Irlandei</w:t>
      </w:r>
      <w:r w:rsidR="00F524A5">
        <w:t xml:space="preserve"> (MC), nr. 35810/09, pct. 149, CEDO 2014 (extrase)], precum și cu abordarea adoptată la nivelul instanțelor naționale, în contextul</w:t>
      </w:r>
      <w:r w:rsidR="00F524A5">
        <w:rPr>
          <w:b/>
        </w:rPr>
        <w:t xml:space="preserve"> </w:t>
      </w:r>
      <w:r w:rsidR="00F524A5">
        <w:t>litigiilor privind schimbările climatice.</w:t>
      </w:r>
      <w:bookmarkEnd w:id="360"/>
      <w:r w:rsidR="00F524A5">
        <w:t xml:space="preserve"> </w:t>
      </w:r>
      <w:bookmarkStart w:id="361" w:name="lt_pId2620"/>
      <w:r w:rsidR="00F524A5">
        <w:t>În acest din urmă context, a fost respins și argumentul statelor potrivit căruia emisiile lor contribuie doar într-o mică măsură la schimbările climatice [așa-numitul argument al „picăturii de apă într-un ocean”].</w:t>
      </w:r>
      <w:bookmarkEnd w:id="361"/>
      <w:r w:rsidR="00F524A5">
        <w:t xml:space="preserve"> </w:t>
      </w:r>
      <w:bookmarkStart w:id="362" w:name="lt_pId2621"/>
      <w:r w:rsidR="00F524A5">
        <w:t>Reclamantele susțin că acest argument nu poate exonera statul de responsabilitatea sa.</w:t>
      </w:r>
      <w:bookmarkEnd w:id="362"/>
      <w:r w:rsidR="00F524A5">
        <w:t xml:space="preserve"> </w:t>
      </w:r>
      <w:bookmarkStart w:id="363" w:name="lt_pId2622"/>
      <w:r w:rsidR="00F524A5">
        <w:t>Acțiunile întreprinse individual de un stat pentru combaterea schimbărilor climatice contribuie semnificativ la crearea încrederii reciproce, care, în opinia lor, este necesară pentru a determina alte state să acționeze.</w:t>
      </w:r>
      <w:bookmarkEnd w:id="363"/>
    </w:p>
    <w:p w:rsidR="00F524A5" w:rsidRPr="00472687" w:rsidRDefault="00F524A5" w:rsidP="00E72A1B">
      <w:pPr>
        <w:pStyle w:val="JuHi"/>
        <w:numPr>
          <w:ilvl w:val="5"/>
          <w:numId w:val="51"/>
        </w:numPr>
        <w:tabs>
          <w:tab w:val="clear" w:pos="1077"/>
          <w:tab w:val="clear" w:pos="1134"/>
          <w:tab w:val="clear" w:pos="1191"/>
          <w:tab w:val="clear" w:pos="1247"/>
        </w:tabs>
        <w:ind w:left="1276" w:hanging="425"/>
      </w:pPr>
      <w:bookmarkStart w:id="364" w:name="lt_pId2623"/>
      <w:bookmarkStart w:id="365" w:name="_Toc199273517"/>
      <w:r>
        <w:t>Art. 8 din Convenție</w:t>
      </w:r>
      <w:bookmarkEnd w:id="364"/>
      <w:bookmarkEnd w:id="365"/>
    </w:p>
    <w:p w:rsidR="00F524A5" w:rsidRPr="00472687" w:rsidRDefault="00C71855" w:rsidP="00F524A5">
      <w:pPr>
        <w:pStyle w:val="JuPara"/>
      </w:pPr>
      <w:fldSimple w:instr=" SEQ level0 \*arabic \* MERGEFORMAT ">
        <w:r w:rsidR="00F524A5" w:rsidRPr="00472687">
          <w:t>316</w:t>
        </w:r>
      </w:fldSimple>
      <w:r w:rsidR="00F524A5">
        <w:t xml:space="preserve">. </w:t>
      </w:r>
      <w:bookmarkStart w:id="366" w:name="lt_pId2624"/>
      <w:bookmarkStart w:id="367" w:name="lt_pId2625"/>
      <w:bookmarkEnd w:id="366"/>
      <w:r w:rsidR="00F524A5">
        <w:t xml:space="preserve">Reclamantele susțin că amenințarea gravă pe care o reprezintă schimbările climatice pentru sănătatea, bunăstarea și calitatea vieții lor este suficientă pentru a da naștere unor obligații pozitive în temeiul art. 8. Reclamantele consideră că această constatare ar fi fost valabilă și în cazul în </w:t>
      </w:r>
      <w:r w:rsidR="00F524A5">
        <w:lastRenderedPageBreak/>
        <w:t>care starea lor de sănătate nu s-ar fi deteriorat sau nu ar fi fost serios pusă în pericol.</w:t>
      </w:r>
      <w:bookmarkEnd w:id="367"/>
      <w:r w:rsidR="00F524A5">
        <w:t xml:space="preserve"> </w:t>
      </w:r>
      <w:bookmarkStart w:id="368" w:name="lt_pId2626"/>
      <w:r w:rsidR="00F524A5">
        <w:t>Potrivit acestora, din art. 8 decurg dreptul la autonomie personală și dreptul la o bătrânețe demnă.</w:t>
      </w:r>
      <w:bookmarkEnd w:id="368"/>
    </w:p>
    <w:p w:rsidR="00F524A5" w:rsidRPr="00472687" w:rsidRDefault="00C71855" w:rsidP="00F524A5">
      <w:pPr>
        <w:pStyle w:val="JuPara"/>
      </w:pPr>
      <w:fldSimple w:instr=" SEQ level0 \*arabic \* MERGEFORMAT ">
        <w:r w:rsidR="00F524A5" w:rsidRPr="00472687">
          <w:t>317</w:t>
        </w:r>
      </w:fldSimple>
      <w:r w:rsidR="00F524A5">
        <w:t xml:space="preserve">. </w:t>
      </w:r>
      <w:bookmarkStart w:id="369" w:name="lt_pId2627"/>
      <w:bookmarkStart w:id="370" w:name="lt_pId2628"/>
      <w:bookmarkEnd w:id="369"/>
      <w:r w:rsidR="00F524A5">
        <w:t>Reclamantele susțin că, pentru a stabili dacă art. 8 este aplicabil, Curtea trebuie să țină seama de faptul că, în opinia lor, circumstanțele și datele relevante arată că valurile de caniculă cauzate de schimbările climatice reprezintă un risc real și grav pentru sănătatea și bunăstarea lor.</w:t>
      </w:r>
      <w:bookmarkEnd w:id="370"/>
      <w:r w:rsidR="00F524A5">
        <w:t xml:space="preserve"> </w:t>
      </w:r>
      <w:bookmarkStart w:id="371" w:name="lt_pId2629"/>
      <w:r w:rsidR="00F524A5">
        <w:t>Statul pârât este conștient de riscul real și grav de a suferi prejudicii, la care sunt expuse persoanele în cauză.</w:t>
      </w:r>
      <w:bookmarkEnd w:id="371"/>
      <w:r w:rsidR="00F524A5">
        <w:t xml:space="preserve"> </w:t>
      </w:r>
      <w:bookmarkStart w:id="372" w:name="lt_pId2630"/>
      <w:r w:rsidR="00F524A5">
        <w:t>Reclamantele ar fi stabilit existența unei legături directe de cauzalitate între omisiunile statului pârât, care au contribuit la schimbările climatice, și efectele nefaste ale schimbărilor climatice asupra reclamantelor.</w:t>
      </w:r>
      <w:bookmarkEnd w:id="372"/>
      <w:r w:rsidR="00F524A5">
        <w:t xml:space="preserve"> </w:t>
      </w:r>
      <w:bookmarkStart w:id="373" w:name="lt_pId2631"/>
      <w:r w:rsidR="00F524A5">
        <w:t xml:space="preserve">În orice caz, dovedirea existenței unei legături directe de cauzalitate nu este o condiție prealabilă necesară pentru ca art. 8 să devină aplicabil (cu privire la acest aspect, reclamantele fac referire la hotărârea </w:t>
      </w:r>
      <w:r w:rsidR="00F524A5">
        <w:rPr>
          <w:i/>
        </w:rPr>
        <w:t>Tătar împotriva României</w:t>
      </w:r>
      <w:r w:rsidR="00F524A5">
        <w:t>, nr. 67021/01, pct. 107, 27 ianuarie 2009).</w:t>
      </w:r>
      <w:bookmarkEnd w:id="373"/>
    </w:p>
    <w:p w:rsidR="00F524A5" w:rsidRPr="00472687" w:rsidRDefault="00C71855" w:rsidP="00F524A5">
      <w:pPr>
        <w:pStyle w:val="JuPara"/>
      </w:pPr>
      <w:fldSimple w:instr=" SEQ level0 \*arabic \* MERGEFORMAT ">
        <w:r w:rsidR="00F524A5" w:rsidRPr="00472687">
          <w:t>318</w:t>
        </w:r>
      </w:fldSimple>
      <w:r w:rsidR="00F524A5">
        <w:t xml:space="preserve">. </w:t>
      </w:r>
      <w:bookmarkStart w:id="374" w:name="lt_pId2633"/>
      <w:bookmarkStart w:id="375" w:name="lt_pId2634"/>
      <w:bookmarkEnd w:id="374"/>
      <w:r w:rsidR="00F524A5">
        <w:t>Potrivit reclamantelor, statul pârât nu poate considera că această creștere a temperaturilor ca urmare a schimbărilor climatice trebuie tratată ca și cum ar fi un aspect normal al vieții cotidiene.</w:t>
      </w:r>
      <w:bookmarkEnd w:id="375"/>
      <w:r w:rsidR="00F524A5">
        <w:t xml:space="preserve"> </w:t>
      </w:r>
      <w:bookmarkStart w:id="376" w:name="lt_pId2635"/>
      <w:r w:rsidR="00F524A5">
        <w:t>Consecințele extreme ale schimbărilor climatice și faptul că Elveția s-a angajat, în temeiul dreptului internațional, să ia măsuri pentru a atenua efectele lor arată că acestea nu constituie, în niciun caz, un aspect al „vieții normale”.</w:t>
      </w:r>
      <w:bookmarkEnd w:id="376"/>
      <w:r w:rsidR="00F524A5">
        <w:t xml:space="preserve"> </w:t>
      </w:r>
      <w:bookmarkStart w:id="377" w:name="lt_pId2636"/>
      <w:r w:rsidR="00F524A5">
        <w:t>Făcând referire la observațiile formulate de acestea cu privire la art. 2, reclamantele susțin că efectele cumulative ale tuturor consecințelor pe care le-au suferit deja și pe care le vor suferi indică faptul că a fost atins pragul necesar pentru ca art. 8 să devină de aplicabil.</w:t>
      </w:r>
      <w:bookmarkEnd w:id="377"/>
    </w:p>
    <w:p w:rsidR="00F524A5" w:rsidRPr="00472687" w:rsidRDefault="00F524A5" w:rsidP="00E72A1B">
      <w:pPr>
        <w:pStyle w:val="JuHa0"/>
        <w:numPr>
          <w:ilvl w:val="4"/>
          <w:numId w:val="51"/>
        </w:numPr>
      </w:pPr>
      <w:bookmarkStart w:id="378" w:name="_Toc199273518"/>
      <w:r>
        <w:t>Cu privire la fond</w:t>
      </w:r>
      <w:bookmarkEnd w:id="378"/>
    </w:p>
    <w:p w:rsidR="00F524A5" w:rsidRPr="00472687" w:rsidRDefault="00C71855" w:rsidP="00F524A5">
      <w:pPr>
        <w:pStyle w:val="JuPara"/>
      </w:pPr>
      <w:fldSimple w:instr=" SEQ level0 \*arabic \* MERGEFORMAT ">
        <w:r w:rsidR="00F524A5" w:rsidRPr="00472687">
          <w:t>319</w:t>
        </w:r>
      </w:fldSimple>
      <w:r w:rsidR="00F524A5">
        <w:t xml:space="preserve">. </w:t>
      </w:r>
      <w:bookmarkStart w:id="379" w:name="lt_pId2639"/>
      <w:r w:rsidR="00F524A5">
        <w:t xml:space="preserve">Reclamantele susțin că, în temeiul art. 2 din Convenție, Curtea trebuie să stabilească dacă, în circumstanțele cauzei, statul a luat toate măsurile necesare pentru a preveni punerea în pericol inutilă a vieții lor (acestea fac referire la hotărârea </w:t>
      </w:r>
      <w:r w:rsidR="00F524A5">
        <w:rPr>
          <w:i/>
        </w:rPr>
        <w:t>L.C.B. împotriva Regatului Unit</w:t>
      </w:r>
      <w:r w:rsidR="00F524A5">
        <w:t xml:space="preserve">, 9 iunie 1998, pct. 36, </w:t>
      </w:r>
      <w:r w:rsidR="00F524A5">
        <w:rPr>
          <w:i/>
        </w:rPr>
        <w:t>Culegere de hotărâri și decizii</w:t>
      </w:r>
      <w:r w:rsidR="00F524A5">
        <w:t xml:space="preserve"> 1998-III).</w:t>
      </w:r>
      <w:bookmarkEnd w:id="379"/>
      <w:r w:rsidR="00F524A5">
        <w:t xml:space="preserve"> </w:t>
      </w:r>
      <w:bookmarkStart w:id="380" w:name="lt_pId2640"/>
      <w:r w:rsidR="00F524A5">
        <w:t>Acestea arată că riscurile pe care schimbările climatice le prezintă pentru viața reclamantelor nr. 2-5 și a celorlalte membre ale asociației reclamante sunt comparabile și potențial mai mari decât cele pe care Curtea a trebuit să le examineze până în prezent.</w:t>
      </w:r>
      <w:bookmarkEnd w:id="380"/>
      <w:r w:rsidR="00F524A5">
        <w:t xml:space="preserve"> </w:t>
      </w:r>
      <w:bookmarkStart w:id="381" w:name="lt_pId2642"/>
      <w:r w:rsidR="00F524A5">
        <w:t>În special, consideră că, având în vedere amploarea riscurilor prezentate de schimbările climatice, claritatea datelor științifice, urgența situației și obiectivul final și clar al UNFCCC, statul are obligația pozitivă de a lua toate măsurile posibile sau care nu constituie o sarcină economică disproporționată, cu scopul de a reduce emisiile de GES la un nivel sigur.</w:t>
      </w:r>
      <w:bookmarkEnd w:id="381"/>
      <w:r w:rsidR="00F524A5">
        <w:t xml:space="preserve"> </w:t>
      </w:r>
      <w:bookmarkStart w:id="382" w:name="lt_pId2643"/>
      <w:r w:rsidR="00F524A5">
        <w:t>Acestea susțin că situația impune statului să facă tot ce îi stă în putere pentru a le proteja.</w:t>
      </w:r>
      <w:bookmarkEnd w:id="382"/>
    </w:p>
    <w:p w:rsidR="00F524A5" w:rsidRPr="00472687" w:rsidRDefault="00C71855" w:rsidP="00F524A5">
      <w:pPr>
        <w:pStyle w:val="JuPara"/>
      </w:pPr>
      <w:fldSimple w:instr=" SEQ level0 \*arabic \* MERGEFORMAT ">
        <w:r w:rsidR="00F524A5" w:rsidRPr="00472687">
          <w:t>320</w:t>
        </w:r>
      </w:fldSimple>
      <w:r w:rsidR="00F524A5">
        <w:t xml:space="preserve">. </w:t>
      </w:r>
      <w:bookmarkStart w:id="383" w:name="lt_pId2644"/>
      <w:bookmarkStart w:id="384" w:name="lt_pId2645"/>
      <w:bookmarkEnd w:id="383"/>
      <w:r w:rsidR="00F524A5">
        <w:t xml:space="preserve">Reclamantele arată că întinderea obligației de protecție ce revine statului pârât decurge în special din regulile și principiile relevante ale dreptului internațional, din evoluția normelor dreptului național și </w:t>
      </w:r>
      <w:r w:rsidR="00F524A5">
        <w:lastRenderedPageBreak/>
        <w:t>internațional, precum și din consensul care rezultă din instrumentele internaționale specializate și din practica statelor contractante.</w:t>
      </w:r>
      <w:bookmarkEnd w:id="384"/>
      <w:r w:rsidR="00F524A5">
        <w:t xml:space="preserve"> </w:t>
      </w:r>
      <w:bookmarkStart w:id="385" w:name="lt_pId2646"/>
      <w:r w:rsidR="00F524A5">
        <w:t>Acestea apreciază, ținând seama de imperativul unei interpretări armonioase a Convenției și de aceste considerente, că, pentru a-și îndeplini obligația pozitivă de a le proteja în mod efectiv, statul trebuie să facă tot ce îi stă în putere pentru a-și aduce aportul la eforturile de prevenire a unei creșteri a temperaturii globale cu mai mult de 1,5</w:t>
      </w:r>
      <w:r w:rsidR="00F524A5">
        <w:rPr>
          <w:vertAlign w:val="superscript"/>
        </w:rPr>
        <w:t>o</w:t>
      </w:r>
      <w:r w:rsidR="00F524A5">
        <w:t>C în raport cu nivelurile preindustriale.</w:t>
      </w:r>
      <w:bookmarkEnd w:id="385"/>
      <w:r w:rsidR="00F524A5">
        <w:t xml:space="preserve"> </w:t>
      </w:r>
      <w:bookmarkStart w:id="386" w:name="lt_pId2647"/>
      <w:r w:rsidR="00F524A5">
        <w:t>Adaugă că acest lucru impune în mod necesar instituirea unui cadru legislativ și administrativ care să permită realizarea acestui obiectiv.</w:t>
      </w:r>
      <w:bookmarkEnd w:id="386"/>
      <w:r w:rsidR="00F524A5">
        <w:t xml:space="preserve"> </w:t>
      </w:r>
      <w:bookmarkStart w:id="387" w:name="lt_pId2648"/>
      <w:r w:rsidR="00F524A5">
        <w:t>Potrivit reclamantelor, principiul interpretării armonioase contribuie, de asemenea, la clarificarea ambiguității legate de „cota echitabilă” exactă care îi revine statului pârât în ceea ce privește eforturile de atenuare necesare la nivel global, precum și la clarificarea aspectului dacă domeniul de aplicare al obligației de protecție se extinde la emisiile produse în străinătate.</w:t>
      </w:r>
      <w:bookmarkEnd w:id="387"/>
      <w:r w:rsidR="00F524A5">
        <w:t xml:space="preserve"> </w:t>
      </w:r>
      <w:bookmarkStart w:id="388" w:name="lt_pId2649"/>
      <w:r w:rsidR="00F524A5">
        <w:t>În această privință, angajamentele asumate de stat în temeiul UNFCCC și al Acordului de la Paris prezintă o importanță deosebită, întrucât, coroborate cu constatările IPCC, acestea demonstrează că statul este conștient de riscul real și grav pe care îl prezintă pentru reclamante schimbările climatice, inclusiv valurile de căldură extremă.</w:t>
      </w:r>
      <w:bookmarkEnd w:id="388"/>
      <w:r w:rsidR="00F524A5">
        <w:t xml:space="preserve"> </w:t>
      </w:r>
      <w:bookmarkStart w:id="389" w:name="lt_pId2650"/>
      <w:r w:rsidR="00F524A5">
        <w:t>Acestea din urmă consideră, de asemenea, că studiile științifice relevante și normele stabilite</w:t>
      </w:r>
      <w:r w:rsidR="00F524A5">
        <w:rPr>
          <w:vertAlign w:val="superscript"/>
        </w:rPr>
        <w:footnoteReference w:id="170"/>
      </w:r>
      <w:r w:rsidR="00F524A5">
        <w:t xml:space="preserve"> trebuie să servească la clarificarea domeniului de aplicare al obligațiilor statului.</w:t>
      </w:r>
      <w:bookmarkEnd w:id="389"/>
    </w:p>
    <w:p w:rsidR="00F524A5" w:rsidRPr="00472687" w:rsidRDefault="00C71855" w:rsidP="00F524A5">
      <w:pPr>
        <w:pStyle w:val="JuPara"/>
      </w:pPr>
      <w:fldSimple w:instr=" SEQ level0 \*arabic \* MERGEFORMAT ">
        <w:r w:rsidR="00F524A5" w:rsidRPr="00472687">
          <w:t>321</w:t>
        </w:r>
      </w:fldSimple>
      <w:r w:rsidR="00F524A5">
        <w:t xml:space="preserve">. </w:t>
      </w:r>
      <w:bookmarkStart w:id="391" w:name="lt_pId2651"/>
      <w:bookmarkStart w:id="392" w:name="lt_pId2652"/>
      <w:bookmarkEnd w:id="391"/>
      <w:r w:rsidR="00F524A5">
        <w:t>Având în vedere aceste considerente, reclamantele susțin că statul pârât nu a luat măsurile necesare pentru a atenua prejudiciile cauzate lor de schimbările climatice și riscurile pe care le prezintă schimbările climatice pentru ele.</w:t>
      </w:r>
      <w:bookmarkEnd w:id="392"/>
      <w:r w:rsidR="00F524A5">
        <w:t xml:space="preserve"> </w:t>
      </w:r>
      <w:bookmarkStart w:id="393" w:name="lt_pId2653"/>
      <w:r w:rsidR="00F524A5">
        <w:t>Mai precis, consideră că a avut o contribuție mult mai mică decât partea care îi revine pentru a preveni o creștere a temperaturii globale cu peste 1,5</w:t>
      </w:r>
      <w:r w:rsidR="00F524A5">
        <w:rPr>
          <w:vertAlign w:val="superscript"/>
        </w:rPr>
        <w:t>o</w:t>
      </w:r>
      <w:r w:rsidR="00F524A5">
        <w:t>C. Acestea susțin că, contrar a ceea ce i se impune, Elveția are o strategie climatică care nu se încadrează în limita de 1,5</w:t>
      </w:r>
      <w:r w:rsidR="00F524A5">
        <w:rPr>
          <w:vertAlign w:val="superscript"/>
        </w:rPr>
        <w:t>o</w:t>
      </w:r>
      <w:r w:rsidR="00F524A5">
        <w:t>C și că această țară se confruntă de mult timp cu deficiențe în materie de acțiuni climatice.</w:t>
      </w:r>
      <w:bookmarkEnd w:id="393"/>
      <w:r w:rsidR="00F524A5">
        <w:t xml:space="preserve"> </w:t>
      </w:r>
      <w:bookmarkStart w:id="394" w:name="lt_pId2655"/>
      <w:r w:rsidR="00F524A5">
        <w:t>Acestea adaugă că statul nu a stabilit obiective climatice obligatorii la nivel național pentru 2030 și 2050 și nici nu și-a îndeplinit obiectivul climatic pentru 2020 (care, în opinia lor, era neadecvat).</w:t>
      </w:r>
      <w:bookmarkEnd w:id="394"/>
      <w:r w:rsidR="00F524A5">
        <w:t xml:space="preserve"> </w:t>
      </w:r>
      <w:bookmarkStart w:id="395" w:name="lt_pId2656"/>
      <w:r w:rsidR="00F524A5">
        <w:t>Acestea consideră că, în Elveția, potențialul de atenuare a rămas în mare parte neexploatat, parțial fără nicio justificare, parțial sub pretextul unor costuri ridicate, motiv care, în opinia lor, nu este nici justificat, nici pertinent – în ceea ce privește Elveția.</w:t>
      </w:r>
      <w:bookmarkEnd w:id="395"/>
      <w:r w:rsidR="00F524A5">
        <w:t xml:space="preserve"> </w:t>
      </w:r>
      <w:bookmarkStart w:id="396" w:name="lt_pId2657"/>
      <w:r w:rsidR="00F524A5">
        <w:t>Acestea argumentează că sarcina probei revine Guvernului, care, pe baza unor date precise și riguroase, trebuie să demonstreze că statul a luat măsurile necesare.</w:t>
      </w:r>
      <w:bookmarkEnd w:id="396"/>
      <w:r w:rsidR="00F524A5">
        <w:t xml:space="preserve"> </w:t>
      </w:r>
      <w:bookmarkStart w:id="397" w:name="lt_pId2658"/>
      <w:r w:rsidR="00F524A5">
        <w:t>Totuși, susțin că, în Elveția, deciziile nu se bazează pe studii științifice și că statul a decis, în fapt, să renunțe la organul său consultativ privind schimbările climatice, care, potrivit acestora, încă din 2012, subliniase că obiectivele stabilite în acest domeniu erau neadecvate.</w:t>
      </w:r>
      <w:bookmarkEnd w:id="397"/>
    </w:p>
    <w:p w:rsidR="00F524A5" w:rsidRPr="00472687" w:rsidRDefault="00C71855" w:rsidP="00F524A5">
      <w:pPr>
        <w:pStyle w:val="JuPara"/>
      </w:pPr>
      <w:fldSimple w:instr=" SEQ level0 \*arabic \* MERGEFORMAT ">
        <w:r w:rsidR="00F524A5" w:rsidRPr="00472687">
          <w:t>322</w:t>
        </w:r>
      </w:fldSimple>
      <w:r w:rsidR="00F524A5">
        <w:t>. În ceea ce privește motivele invocate de Guvern pentru a explica de ce Elveția nu a stabilit un buget național de carbon – și, prin urmare, nu și-a definit politica privind clima pe baza unei evaluări cantitative (a se vedea infra, pct. </w:t>
      </w:r>
      <w:r w:rsidR="00F524A5" w:rsidRPr="00472687">
        <w:fldChar w:fldCharType="begin"/>
      </w:r>
      <w:r w:rsidR="00F524A5" w:rsidRPr="00472687">
        <w:instrText xml:space="preserve">REF paragraph00360 \h \* CharFormat </w:instrText>
      </w:r>
      <w:r w:rsidR="00F524A5" w:rsidRPr="00472687">
        <w:fldChar w:fldCharType="separate"/>
      </w:r>
      <w:r w:rsidR="00F524A5" w:rsidRPr="00472687">
        <w:t>360</w:t>
      </w:r>
      <w:r w:rsidR="00F524A5" w:rsidRPr="00472687">
        <w:fldChar w:fldCharType="end"/>
      </w:r>
      <w:r w:rsidR="00F524A5">
        <w:t>) –, reclamantele consideră că abordarea statului se bazează pe idei fundamental eronate.</w:t>
      </w:r>
    </w:p>
    <w:bookmarkStart w:id="398" w:name="paragraph00323"/>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323</w:t>
      </w:r>
      <w:r w:rsidRPr="00472687">
        <w:fldChar w:fldCharType="end"/>
      </w:r>
      <w:bookmarkEnd w:id="398"/>
      <w:r>
        <w:t xml:space="preserve">. </w:t>
      </w:r>
      <w:bookmarkStart w:id="399" w:name="lt_pId2661"/>
      <w:bookmarkStart w:id="400" w:name="lt_pId2662"/>
      <w:bookmarkEnd w:id="399"/>
      <w:r>
        <w:t>În această privință, reclamantele subliniază că au solicitat o expertiză</w:t>
      </w:r>
      <w:bookmarkStart w:id="401" w:name="lt_pId2662_leftovers"/>
      <w:r>
        <w:rPr>
          <w:rStyle w:val="FootnoteReference"/>
        </w:rPr>
        <w:footnoteReference w:id="171"/>
      </w:r>
      <w:bookmarkEnd w:id="401"/>
      <w:r>
        <w:t xml:space="preserve"> cu privire la metodologia utilizată în nota de orientare din 2012, pe care se întemeiază statul</w:t>
      </w:r>
      <w:r>
        <w:rPr>
          <w:rStyle w:val="FootnoteReference"/>
        </w:rPr>
        <w:footnoteReference w:id="172"/>
      </w:r>
      <w:bookmarkEnd w:id="400"/>
      <w:r>
        <w:t xml:space="preserve">. </w:t>
      </w:r>
      <w:bookmarkStart w:id="404" w:name="lt_pId2663"/>
      <w:r>
        <w:t>Acestea explică faptul că, în cadrul expertizei, metodologia folosită în nota de orientare a fost aplicată bugetului total rămas (asociat cu o încălzire de 1,5</w:t>
      </w:r>
      <w:r>
        <w:rPr>
          <w:vertAlign w:val="superscript"/>
        </w:rPr>
        <w:t>o</w:t>
      </w:r>
      <w:r>
        <w:t>C), preluat din raportul AR6 al IPCC, și că s-a stabilit că bugetul rămas pentru Elveția se ridica la 381 Mt echivalent CO</w:t>
      </w:r>
      <w:r>
        <w:rPr>
          <w:vertAlign w:val="subscript"/>
        </w:rPr>
        <w:t>2</w:t>
      </w:r>
      <w:r>
        <w:t>, începând cu 1 ianuarie 2022.</w:t>
      </w:r>
      <w:bookmarkEnd w:id="404"/>
      <w:r>
        <w:t xml:space="preserve"> </w:t>
      </w:r>
      <w:bookmarkStart w:id="405" w:name="lt_pId2664"/>
      <w:r>
        <w:t>Acestea adaugă că, potrivit calculelor efectuate în cadrul raportului de expertiză, pe baza obiectivelor actuale și planificate ale Elveției în materie de reducere a emisiilor, acest buget va fi epuizat între 2030 și 2033.</w:t>
      </w:r>
      <w:bookmarkEnd w:id="405"/>
      <w:r>
        <w:t xml:space="preserve"> </w:t>
      </w:r>
      <w:bookmarkStart w:id="406" w:name="lt_pId2665"/>
      <w:r>
        <w:t>Afirmă că, în conformitate cu obiectivele sale actuale și planificate, Elveția și-ar aroga 0,2073% din bugetul global de CO</w:t>
      </w:r>
      <w:r>
        <w:rPr>
          <w:vertAlign w:val="subscript"/>
        </w:rPr>
        <w:t>2</w:t>
      </w:r>
      <w:r>
        <w:t>, rămas în 2022, în timp ce populația sa reprezintă 0,1099%</w:t>
      </w:r>
      <w:bookmarkEnd w:id="406"/>
      <w:r>
        <w:t xml:space="preserve"> din populația lumii. </w:t>
      </w:r>
      <w:bookmarkStart w:id="407" w:name="lt_pId2666"/>
      <w:r>
        <w:t>Acestea consideră că, pentru a se încadra în limitele bugetare definite de metodologia folosită în nota de orientare, Elveția ar trebui să își reducă emisiile nete la zero până în 2040, cu mult înainte de data pe care a stabilit-o pentru atingerea acestui obiectiv, și anume 2050.</w:t>
      </w:r>
      <w:bookmarkEnd w:id="407"/>
      <w:r>
        <w:t xml:space="preserve"> </w:t>
      </w:r>
      <w:bookmarkStart w:id="408" w:name="lt_pId2667"/>
      <w:r>
        <w:t>Acestea subliniază că, potrivit raportului de expertiză, metodologia utilizată în nota de orientare prezintă mai multe deficiențe, astfel încât, în opinia lor, ar fi neadecvat să se întemeieze pe această notă pentru a clarifica problema obiectivelor țărilor legate de „cota echitabilă” ce le revine.</w:t>
      </w:r>
      <w:bookmarkEnd w:id="408"/>
    </w:p>
    <w:p w:rsidR="00F524A5" w:rsidRPr="00472687" w:rsidRDefault="00C71855" w:rsidP="00F524A5">
      <w:pPr>
        <w:pStyle w:val="JuPara"/>
      </w:pPr>
      <w:fldSimple w:instr=" SEQ level0 \*arabic \* MERGEFORMAT ">
        <w:r w:rsidR="00F524A5" w:rsidRPr="00472687">
          <w:t>324</w:t>
        </w:r>
      </w:fldSimple>
      <w:r w:rsidR="00F524A5">
        <w:t xml:space="preserve">. </w:t>
      </w:r>
      <w:bookmarkStart w:id="409" w:name="lt_pId2668"/>
      <w:bookmarkStart w:id="410" w:name="lt_pId2669"/>
      <w:bookmarkEnd w:id="409"/>
      <w:r w:rsidR="00F524A5">
        <w:t>Reclamantele susțin că IPCC a efectuat de asemenea evaluări ale metodelor de partajare a eforturilor.</w:t>
      </w:r>
      <w:bookmarkEnd w:id="410"/>
      <w:r w:rsidR="00F524A5">
        <w:t xml:space="preserve"> </w:t>
      </w:r>
      <w:bookmarkStart w:id="411" w:name="lt_pId2670"/>
      <w:r w:rsidR="00F524A5">
        <w:t>Acestea susțin că, în cel mai recent raport al său (AR6), IPCC a recunoscut în mod explicit că este important ca țările să explice modalitățile în care sunt „operaționalizate” principiile echității și să își exprime obiectivele ca parte din bugetul global rămas</w:t>
      </w:r>
      <w:bookmarkEnd w:id="411"/>
      <w:r w:rsidR="00F524A5">
        <w:t>.</w:t>
      </w:r>
      <w:r w:rsidR="00F524A5">
        <w:rPr>
          <w:rStyle w:val="FootnoteReference"/>
        </w:rPr>
        <w:footnoteReference w:id="173"/>
      </w:r>
      <w:r w:rsidR="00F524A5">
        <w:t xml:space="preserve"> </w:t>
      </w:r>
      <w:bookmarkStart w:id="413" w:name="lt_pId2671"/>
      <w:r w:rsidR="00F524A5">
        <w:t>Argumentează că aceeași abordare a necesității de cuantificare a cotei echitabile a unui stat a fost adoptată în cadrul unor litigii climatice naționale din Germania și Țările de Jos.</w:t>
      </w:r>
      <w:bookmarkEnd w:id="413"/>
      <w:r w:rsidR="00F524A5">
        <w:t xml:space="preserve"> </w:t>
      </w:r>
      <w:bookmarkStart w:id="414" w:name="lt_pId2672"/>
      <w:r w:rsidR="00F524A5">
        <w:t>Pe de altă parte, în ceea ce privește argumentul statului pârât, potrivit căruia Elveția se bazează pe traiectoriile de reducere a emisiilor globale stabilite de IPCC, acestea observă că însuși IPCC a admis că aceste traiectorii nu pot fi considerate ipoteze explicite cu privire la echitatea globală, justiția în probleme de mediu sau distribuția intraregională a veniturilor</w:t>
      </w:r>
      <w:r w:rsidR="00F524A5">
        <w:rPr>
          <w:rStyle w:val="FootnoteReference"/>
        </w:rPr>
        <w:footnoteReference w:id="174"/>
      </w:r>
      <w:bookmarkEnd w:id="414"/>
      <w:r w:rsidR="00F524A5">
        <w:t>.</w:t>
      </w:r>
    </w:p>
    <w:bookmarkStart w:id="416" w:name="paragraph00325"/>
    <w:p w:rsidR="00F524A5" w:rsidRPr="00472687" w:rsidRDefault="00F524A5" w:rsidP="00F524A5">
      <w:pPr>
        <w:pStyle w:val="JuPara"/>
      </w:pPr>
      <w:r w:rsidRPr="00472687">
        <w:lastRenderedPageBreak/>
        <w:fldChar w:fldCharType="begin"/>
      </w:r>
      <w:r w:rsidRPr="00472687">
        <w:instrText xml:space="preserve"> SEQ level0 \*arabic \* MERGEFORMAT </w:instrText>
      </w:r>
      <w:r w:rsidRPr="00472687">
        <w:fldChar w:fldCharType="separate"/>
      </w:r>
      <w:r w:rsidRPr="00472687">
        <w:t>325</w:t>
      </w:r>
      <w:r w:rsidRPr="00472687">
        <w:fldChar w:fldCharType="end"/>
      </w:r>
      <w:bookmarkEnd w:id="416"/>
      <w:r>
        <w:t xml:space="preserve">. </w:t>
      </w:r>
      <w:bookmarkStart w:id="417" w:name="lt_pId2673"/>
      <w:bookmarkStart w:id="418" w:name="lt_pId2674"/>
      <w:bookmarkEnd w:id="417"/>
      <w:r>
        <w:t>Studiile prezentate de reclamante – publicate în special de CAT (Climate Action Tracker) și Climate Analytics</w:t>
      </w:r>
      <w:bookmarkStart w:id="419" w:name="lt_pId2674_leftovers"/>
      <w:r>
        <w:rPr>
          <w:rStyle w:val="FootnoteReference"/>
        </w:rPr>
        <w:footnoteReference w:id="175"/>
      </w:r>
      <w:bookmarkEnd w:id="419"/>
      <w:r>
        <w:t xml:space="preserve"> și Rajamani și alții – sunt conforme cu observațiile reclamantelor.</w:t>
      </w:r>
      <w:bookmarkEnd w:id="418"/>
      <w:r>
        <w:t xml:space="preserve"> </w:t>
      </w:r>
      <w:bookmarkStart w:id="421" w:name="lt_pId2675"/>
      <w:r>
        <w:t>Acestea se bazează pe evaluarea unor studii privind partajarea eforturilor, realizată de IPCC în raportul său AR5, completată cu studii mai recente și date istorice.</w:t>
      </w:r>
      <w:bookmarkEnd w:id="421"/>
      <w:r>
        <w:t xml:space="preserve"> </w:t>
      </w:r>
      <w:bookmarkStart w:id="422" w:name="lt_pId2676"/>
      <w:r>
        <w:t>Prin urmare, acestea acoperă o gamă și mai largă de metodologii de partajare a eforturilor decât cele din evaluarea prezentată în raportul AR4.</w:t>
      </w:r>
      <w:bookmarkEnd w:id="422"/>
      <w:r>
        <w:t xml:space="preserve"> </w:t>
      </w:r>
      <w:bookmarkStart w:id="423" w:name="lt_pId2677"/>
      <w:r>
        <w:t xml:space="preserve">În schimb, statul pârât nu a furnizat </w:t>
      </w:r>
      <w:r>
        <w:rPr>
          <w:i/>
        </w:rPr>
        <w:t>nicio</w:t>
      </w:r>
      <w:r>
        <w:t xml:space="preserve"> justificare exprimată în cifre în ceea ce privește caracterul echitabil al obiectivului său privind emisiile.</w:t>
      </w:r>
      <w:bookmarkEnd w:id="423"/>
      <w:r>
        <w:t xml:space="preserve"> </w:t>
      </w:r>
      <w:bookmarkStart w:id="424" w:name="lt_pId2678"/>
      <w:bookmarkStart w:id="425" w:name="lt_pId2679"/>
      <w:r>
        <w:t>Reclamantele susțin că abordarea urmată de stat, care este similară unei abordări bugetare, este eronată și vădit insuficientă.</w:t>
      </w:r>
      <w:bookmarkEnd w:id="424"/>
      <w:r>
        <w:t xml:space="preserve"> Deși reclamantele au solicitat explicit acest lucru, FOEN, într-o scrisoare din 10 martie 2021, nu a demonstrat că, în evaluarea sa privind politica Elveției în domeniul climei, s-a întemeiat pe nota de orientare sau pe evaluarea internă prezentată de Guvern</w:t>
      </w:r>
      <w:r>
        <w:rPr>
          <w:b/>
        </w:rPr>
        <w:t xml:space="preserve"> </w:t>
      </w:r>
      <w:r>
        <w:t>în fața Curții în prezenta cauză, documente care, în orice caz, se bazează pe o metodologie incorectă (supra, pct. </w:t>
      </w:r>
      <w:r w:rsidRPr="00472687">
        <w:fldChar w:fldCharType="begin"/>
      </w:r>
      <w:r w:rsidRPr="00472687">
        <w:instrText xml:space="preserve">REF paragraph00323 \h \* CharFormat </w:instrText>
      </w:r>
      <w:r w:rsidRPr="00472687">
        <w:fldChar w:fldCharType="separate"/>
      </w:r>
      <w:r w:rsidRPr="00472687">
        <w:t>323</w:t>
      </w:r>
      <w:r w:rsidRPr="00472687">
        <w:fldChar w:fldCharType="end"/>
      </w:r>
      <w:r>
        <w:t>).</w:t>
      </w:r>
      <w:bookmarkEnd w:id="425"/>
    </w:p>
    <w:p w:rsidR="00F524A5" w:rsidRPr="00472687" w:rsidRDefault="00C71855" w:rsidP="00F524A5">
      <w:pPr>
        <w:pStyle w:val="JuPara"/>
      </w:pPr>
      <w:fldSimple w:instr=" SEQ level0 \*arabic \* MERGEFORMAT ">
        <w:r w:rsidR="00F524A5" w:rsidRPr="00472687">
          <w:t>326</w:t>
        </w:r>
      </w:fldSimple>
      <w:r w:rsidR="00F524A5">
        <w:t xml:space="preserve">. </w:t>
      </w:r>
      <w:bookmarkStart w:id="426" w:name="lt_pId2680"/>
      <w:bookmarkStart w:id="427" w:name="lt_pId2681"/>
      <w:bookmarkEnd w:id="426"/>
      <w:r w:rsidR="00F524A5">
        <w:t>Studiile privind partajarea eforturilor, prezentate de reclamante, stabileau doar nivelul reducerilor de emisii corespunzător „cotei echitabile” a unei țări, precizând dacă reducerile trebuiau realizate la nivel național.</w:t>
      </w:r>
      <w:bookmarkEnd w:id="427"/>
      <w:r w:rsidR="00F524A5">
        <w:t xml:space="preserve"> </w:t>
      </w:r>
      <w:bookmarkStart w:id="428" w:name="lt_pId2682"/>
      <w:r w:rsidR="00F524A5">
        <w:t>Pretinsele dificultăți tehnice și costul ridicat al reducerii emisiilor pe teritoriul statului pârât sunt irelevante pentru stabilirea nivelului de responsabilitate pentru reducerea globală a emisiilor, nivel care ar putea fi atins, de asemenea,</w:t>
      </w:r>
      <w:r w:rsidR="00F524A5">
        <w:rPr>
          <w:b/>
        </w:rPr>
        <w:t xml:space="preserve"> </w:t>
      </w:r>
      <w:r w:rsidR="00F524A5">
        <w:t>prin sprijinirea țărilor cu niveluri de responsabilitate mai scăzute și capacități mai reduse.</w:t>
      </w:r>
      <w:bookmarkEnd w:id="428"/>
      <w:r w:rsidR="00F524A5">
        <w:t xml:space="preserve"> </w:t>
      </w:r>
      <w:bookmarkStart w:id="429" w:name="lt_pId2683"/>
      <w:r w:rsidR="00F524A5">
        <w:t>Reclamantele concluzionează că Elveția ar fi, în mod evident, în măsură să pună în aplicare măsurile de atenuare necesare.</w:t>
      </w:r>
      <w:bookmarkEnd w:id="429"/>
    </w:p>
    <w:bookmarkStart w:id="430" w:name="paragraph0032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327</w:t>
      </w:r>
      <w:r w:rsidRPr="00472687">
        <w:fldChar w:fldCharType="end"/>
      </w:r>
      <w:bookmarkEnd w:id="430"/>
      <w:r>
        <w:t xml:space="preserve">. </w:t>
      </w:r>
      <w:bookmarkStart w:id="431" w:name="lt_pId2684"/>
      <w:bookmarkStart w:id="432" w:name="lt_pId2685"/>
      <w:bookmarkEnd w:id="431"/>
      <w:r>
        <w:t>Pe scurt, acestea consideră că acțiunile Elveției de combatere a schimbărilor climatice sunt neadecvate pentru următoarele motive: a) Elveția nu a prevăzut prin lege cerințe privind reducerea minimă a emisiilor pentru 2020 și, ulterior, nu a atins acest obiectiv neadecvat de reducere a emisiilor; b) obiectivul propus pentru 2030 este în mod evident neadecvat și nici măcar nu a fost transpus în legislație; și c) obiectivul propus de Elveția pentru 2050 este neadecvat întrucât nu impune Elveției să îndeplinească un obiectiv de zero emisii nete la nivel național și întrucât nici acesta nu a fost transpus în legislație.</w:t>
      </w:r>
      <w:bookmarkEnd w:id="432"/>
    </w:p>
    <w:p w:rsidR="00F524A5" w:rsidRPr="00472687" w:rsidRDefault="00C71855" w:rsidP="00F524A5">
      <w:pPr>
        <w:pStyle w:val="JuPara"/>
      </w:pPr>
      <w:fldSimple w:instr=" SEQ level0 \*arabic \* MERGEFORMAT ">
        <w:r w:rsidR="00F524A5" w:rsidRPr="00472687">
          <w:t>328</w:t>
        </w:r>
      </w:fldSimple>
      <w:r w:rsidR="00F524A5">
        <w:t xml:space="preserve">. </w:t>
      </w:r>
      <w:bookmarkStart w:id="433" w:name="lt_pId2686"/>
      <w:bookmarkStart w:id="434" w:name="lt_pId2687"/>
      <w:bookmarkEnd w:id="433"/>
      <w:r w:rsidR="00F524A5">
        <w:t>În circumstanțele expuse anterior, reclamantele susțin că statul nu și-a îndeplinit și continuă să nu își îndeplinească obligația de a le proteja în mod efectiv, ceea ce, în opinia lor, constituie o încălcare a dreptului lor la viață, care decurge din art. 2 din Convenție.</w:t>
      </w:r>
      <w:bookmarkEnd w:id="434"/>
    </w:p>
    <w:p w:rsidR="00F524A5" w:rsidRPr="00472687" w:rsidRDefault="00C71855" w:rsidP="00F524A5">
      <w:pPr>
        <w:pStyle w:val="JuPara"/>
      </w:pPr>
      <w:fldSimple w:instr=" SEQ level0 \*arabic \* MERGEFORMAT ">
        <w:r w:rsidR="00F524A5" w:rsidRPr="00472687">
          <w:t>329</w:t>
        </w:r>
      </w:fldSimple>
      <w:r w:rsidR="00F524A5">
        <w:t xml:space="preserve">. </w:t>
      </w:r>
      <w:bookmarkStart w:id="435" w:name="lt_pId2688"/>
      <w:bookmarkStart w:id="436" w:name="lt_pId2689"/>
      <w:bookmarkStart w:id="437" w:name="lt_pId2694"/>
      <w:bookmarkEnd w:id="435"/>
      <w:r w:rsidR="00F524A5">
        <w:t xml:space="preserve">Reclamantele subliniază de asemenea că, în materie de mediu, domeniul de aplicare al obligațiilor pozitive ce rezultă din art. 2 se suprapune, în mare măsură, cu cel al obligațiilor pozitive ce decurg din art. 8 (fac referire </w:t>
      </w:r>
      <w:r w:rsidR="00F524A5">
        <w:lastRenderedPageBreak/>
        <w:t xml:space="preserve">în special la hotărârea </w:t>
      </w:r>
      <w:r w:rsidR="00F524A5">
        <w:rPr>
          <w:i/>
        </w:rPr>
        <w:t xml:space="preserve">Koliadenko </w:t>
      </w:r>
      <w:r w:rsidR="00F524A5">
        <w:rPr>
          <w:i/>
          <w:iCs/>
        </w:rPr>
        <w:t>și alții</w:t>
      </w:r>
      <w:r w:rsidR="00F524A5">
        <w:t>, citată anterior, pct. 216).</w:t>
      </w:r>
      <w:bookmarkEnd w:id="436"/>
      <w:r w:rsidR="00F524A5">
        <w:t xml:space="preserve"> </w:t>
      </w:r>
      <w:bookmarkStart w:id="438" w:name="lt_pId2690"/>
      <w:r w:rsidR="00F524A5">
        <w:t>Prin urmare, în opinia lor, considerațiile prezentate anterior cu privire la art. 2 se aplică de asemenea în cazul capătului de cerere formulat de acestea în temeiul art. 8.</w:t>
      </w:r>
      <w:bookmarkEnd w:id="438"/>
      <w:r w:rsidR="00F524A5">
        <w:t xml:space="preserve"> </w:t>
      </w:r>
      <w:bookmarkStart w:id="439" w:name="lt_pId2691"/>
      <w:r w:rsidR="00F524A5">
        <w:t>În plus, în ceea ce privește echilibrul just care trebuie asigurat (relevant din perspectiva art. 8) între interesele concurente ale individului și ale societății în ansamblu, acestea subliniază că nu există niciun conflict de interese în prezenta cauză.</w:t>
      </w:r>
      <w:bookmarkEnd w:id="439"/>
      <w:r w:rsidR="00F524A5">
        <w:t xml:space="preserve"> </w:t>
      </w:r>
      <w:bookmarkStart w:id="440" w:name="lt_pId2692"/>
      <w:r w:rsidR="00F524A5">
        <w:t>Dimpotrivă, în opinia lor, este în interesul întregii societăți ca statul să adopte măsuri preventive pentru a reduce, astfel cum se prevede în Acordul de la Paris, probabilitatea ca temperaturile globale să depășească limita de 1,5</w:t>
      </w:r>
      <w:r w:rsidR="00F524A5">
        <w:rPr>
          <w:vertAlign w:val="superscript"/>
        </w:rPr>
        <w:t>o</w:t>
      </w:r>
      <w:r w:rsidR="00F524A5">
        <w:t>C.</w:t>
      </w:r>
      <w:bookmarkEnd w:id="440"/>
      <w:r w:rsidR="00F524A5">
        <w:t xml:space="preserve"> </w:t>
      </w:r>
      <w:bookmarkStart w:id="441" w:name="lt_pId2693"/>
      <w:r w:rsidR="00F524A5">
        <w:t>Reclamantele apreciază însă că a considera că ele solicită Curții să asigure aplicarea Acordului de la Paris ar echivala cu denaturarea capătului lor de cerere.</w:t>
      </w:r>
      <w:bookmarkEnd w:id="441"/>
      <w:r w:rsidR="00F524A5">
        <w:t xml:space="preserve"> Acestea susțin că solicită Curții doar să se pronunțe cu privire la problema dacă Elveția le-a încălcat sau nu drepturile pe care le au în temeiul Convenției.</w:t>
      </w:r>
      <w:bookmarkEnd w:id="437"/>
    </w:p>
    <w:p w:rsidR="00F524A5" w:rsidRPr="00472687" w:rsidRDefault="00C71855" w:rsidP="00F524A5">
      <w:pPr>
        <w:pStyle w:val="JuPara"/>
      </w:pPr>
      <w:fldSimple w:instr=" SEQ level0 \*arabic \* MERGEFORMAT ">
        <w:r w:rsidR="00F524A5" w:rsidRPr="00472687">
          <w:t>330</w:t>
        </w:r>
      </w:fldSimple>
      <w:r w:rsidR="00F524A5">
        <w:t xml:space="preserve">. </w:t>
      </w:r>
      <w:bookmarkStart w:id="442" w:name="lt_pId2695"/>
      <w:bookmarkStart w:id="443" w:name="lt_pId2696"/>
      <w:bookmarkEnd w:id="442"/>
      <w:r w:rsidR="00F524A5">
        <w:t>Reclamantele susțin că plângerea lor privește problema respectării normelor internaționale pe care statul însuși le-a recunoscut, riscul producerii unei catastrofe provocate de om, precum și o încălcare a drepturilor fundamentale protejate de art. 2 din Convenție, și că, în consecință, marja de apreciere a statului este limitată.</w:t>
      </w:r>
      <w:bookmarkEnd w:id="443"/>
      <w:r w:rsidR="00F524A5">
        <w:t xml:space="preserve"> </w:t>
      </w:r>
      <w:bookmarkStart w:id="444" w:name="lt_pId2698"/>
      <w:r w:rsidR="00F524A5">
        <w:t>Acestea adaugă că urgența situației și riscul producerii unor daune ireversibile impun, de asemenea, o marjă de apreciere restrânsă.</w:t>
      </w:r>
      <w:bookmarkEnd w:id="444"/>
      <w:r w:rsidR="00F524A5">
        <w:t xml:space="preserve"> </w:t>
      </w:r>
      <w:bookmarkStart w:id="445" w:name="lt_pId2699"/>
      <w:r w:rsidR="00F524A5">
        <w:t>Deși admit că Elveției îi revine sarcina de a decide cu privire la măsurile care trebuie luate pentru atingerea obiectivelor și că, în această privință, statul dispune de o marjă de apreciere, reclamantele consideră că situația nu este aceeași în ceea ce privește stabilirea obiectivelor în sine sau necesitatea unei legislații de natură să asigure transpunerea lor în practică.</w:t>
      </w:r>
      <w:bookmarkEnd w:id="445"/>
      <w:r w:rsidR="00F524A5">
        <w:t xml:space="preserve"> </w:t>
      </w:r>
      <w:bookmarkStart w:id="446" w:name="lt_pId2700"/>
      <w:r w:rsidR="00F524A5">
        <w:t>În fapt, acestea argumentează că există o singură modalitate de a preveni depășirea limitei de 1,5</w:t>
      </w:r>
      <w:r w:rsidR="00F524A5">
        <w:rPr>
          <w:vertAlign w:val="superscript"/>
        </w:rPr>
        <w:t>o</w:t>
      </w:r>
      <w:r w:rsidR="00F524A5">
        <w:t>C: să se garanteze că emisiile globale nu depășesc bugetul de carbon rămas, care ar trebui să fie repartizat în mod echitabil între state.</w:t>
      </w:r>
      <w:bookmarkEnd w:id="446"/>
    </w:p>
    <w:p w:rsidR="00F524A5" w:rsidRPr="00472687" w:rsidRDefault="00C71855" w:rsidP="00F524A5">
      <w:pPr>
        <w:pStyle w:val="JuPara"/>
      </w:pPr>
      <w:fldSimple w:instr=" SEQ level0 \*arabic \* MERGEFORMAT ">
        <w:r w:rsidR="00F524A5" w:rsidRPr="00472687">
          <w:t>331</w:t>
        </w:r>
      </w:fldSimple>
      <w:r w:rsidR="00F524A5">
        <w:t xml:space="preserve">. </w:t>
      </w:r>
      <w:bookmarkStart w:id="447" w:name="lt_pId2701"/>
      <w:bookmarkStart w:id="448" w:name="lt_pId2702"/>
      <w:bookmarkEnd w:id="447"/>
      <w:r w:rsidR="00F524A5">
        <w:t>Reclamantele susțin că domeniul de aplicare al obligației de protecție impusă statului pârât de art. 2 și 8 trebuie interpretat în lumina instrumentelor internaționale relevante, care reflectă existența unei tendințe internaționale (și a unor obligații internaționale) în ceea ce privește măsurile care trebuie luate pentru a face față riscurilor grave și majore ale schimbărilor climatice.</w:t>
      </w:r>
      <w:bookmarkEnd w:id="448"/>
      <w:r w:rsidR="00F524A5">
        <w:t xml:space="preserve"> </w:t>
      </w:r>
      <w:bookmarkStart w:id="449" w:name="lt_pId2703"/>
      <w:r w:rsidR="00F524A5">
        <w:t>În opinia reclamantelor, este vorba în special despre angajamentele asumate de stat în temeiul UNFCCC și al Acordului de la Paris, precum și al Pactului climatic de la Glasgow</w:t>
      </w:r>
      <w:r w:rsidR="00F524A5">
        <w:rPr>
          <w:b/>
        </w:rPr>
        <w:t xml:space="preserve"> </w:t>
      </w:r>
      <w:r w:rsidR="00F524A5">
        <w:t>(2021), care a confirmat valoarea de 1,5</w:t>
      </w:r>
      <w:r w:rsidR="00F524A5">
        <w:rPr>
          <w:vertAlign w:val="superscript"/>
        </w:rPr>
        <w:t>o</w:t>
      </w:r>
      <w:r w:rsidR="00F524A5">
        <w:t>C ca fiind principalul plafon pentru creșterea temperaturilor globale.</w:t>
      </w:r>
      <w:bookmarkEnd w:id="449"/>
    </w:p>
    <w:p w:rsidR="00F524A5" w:rsidRPr="00472687" w:rsidRDefault="00C71855" w:rsidP="00F524A5">
      <w:pPr>
        <w:pStyle w:val="JuPara"/>
      </w:pPr>
      <w:fldSimple w:instr=" SEQ level0 \*arabic \* MERGEFORMAT ">
        <w:r w:rsidR="00F524A5" w:rsidRPr="00472687">
          <w:t>332</w:t>
        </w:r>
      </w:fldSimple>
      <w:r w:rsidR="00F524A5">
        <w:t xml:space="preserve">. </w:t>
      </w:r>
      <w:bookmarkStart w:id="450" w:name="lt_pId2704"/>
      <w:bookmarkStart w:id="451" w:name="lt_pId2705"/>
      <w:bookmarkEnd w:id="450"/>
      <w:r w:rsidR="00F524A5">
        <w:t xml:space="preserve">Reclamantele afirmă că principiile prevenirii și precauției constituie baze importante pentru a stabili întinderea obligației de protecție printr-o interpretare armonioasă a Convenției [reclamantele citează articolul 3 alineatul (3) din UNFCCC și Proiectul de articole privind prevenirea daunelor </w:t>
      </w:r>
      <w:r w:rsidR="00F524A5">
        <w:lastRenderedPageBreak/>
        <w:t>transfrontaliere</w:t>
      </w:r>
      <w:r w:rsidR="00F524A5">
        <w:rPr>
          <w:rStyle w:val="FootnoteReference"/>
        </w:rPr>
        <w:footnoteReference w:id="176"/>
      </w:r>
      <w:r w:rsidR="00F524A5">
        <w:t>].</w:t>
      </w:r>
      <w:bookmarkEnd w:id="451"/>
      <w:r w:rsidR="00F524A5">
        <w:t xml:space="preserve"> </w:t>
      </w:r>
      <w:bookmarkStart w:id="453" w:name="lt_pId2706"/>
      <w:r w:rsidR="00F524A5">
        <w:t>Acestea consideră că cerințele privind „prevenirea” și „precauția” acoperă întreaga gamă de măsuri preventive, indiferent dacă acestea sunt luate sau nu într-un context de incertitudine științifică.</w:t>
      </w:r>
      <w:bookmarkEnd w:id="453"/>
      <w:r w:rsidR="00F524A5">
        <w:t xml:space="preserve"> </w:t>
      </w:r>
      <w:bookmarkStart w:id="454" w:name="lt_pId2707"/>
      <w:r w:rsidR="00F524A5">
        <w:t xml:space="preserve">Adaugă că și jurisprudența Curții menționează principiul precauției (fac referire la hotărârea </w:t>
      </w:r>
      <w:r w:rsidR="00F524A5">
        <w:rPr>
          <w:i/>
        </w:rPr>
        <w:t>Tătar</w:t>
      </w:r>
      <w:r w:rsidR="00F524A5">
        <w:t>, citată anterior, pct. 109</w:t>
      </w:r>
      <w:r w:rsidR="00F524A5">
        <w:noBreakHyphen/>
        <w:t>120).</w:t>
      </w:r>
      <w:bookmarkEnd w:id="454"/>
    </w:p>
    <w:p w:rsidR="00F524A5" w:rsidRPr="00472687" w:rsidRDefault="00C71855" w:rsidP="00F524A5">
      <w:pPr>
        <w:pStyle w:val="JuPara"/>
      </w:pPr>
      <w:fldSimple w:instr=" SEQ level0 \*arabic \* MERGEFORMAT ">
        <w:r w:rsidR="00F524A5" w:rsidRPr="00472687">
          <w:t>333</w:t>
        </w:r>
      </w:fldSimple>
      <w:r w:rsidR="00F524A5">
        <w:t xml:space="preserve">. </w:t>
      </w:r>
      <w:bookmarkStart w:id="455" w:name="lt_pId2708"/>
      <w:bookmarkStart w:id="456" w:name="lt_pId2709"/>
      <w:bookmarkEnd w:id="455"/>
      <w:r w:rsidR="00F524A5">
        <w:t>Potrivit reclamantelor, evoluția normelor de drept național și internațional, precum și consensul rezultat din instrumentele internaționale specializate și din practica statelor, constituie alte elemente importante pe baza cărora poate fi stabilit domeniul de aplicare al obligației de protecție, prin intermediul unei interpretări armonioase a Convenției.</w:t>
      </w:r>
      <w:bookmarkEnd w:id="456"/>
      <w:r w:rsidR="00F524A5">
        <w:t xml:space="preserve"> </w:t>
      </w:r>
      <w:bookmarkStart w:id="457" w:name="lt_pId2710"/>
      <w:r w:rsidR="00F524A5">
        <w:t>Reclamantele afirmă că, în ultimul deceniu, o gamă largă de instituții judiciare, cvasijudiciare și de altă natură, de la nivel național, regional și internațional, au recunoscut impactul considerabil pe care schimbările climatice îl aveau deja, și îl vor avea în viitor, asupra exercitării mai multor drepturi fundamentale, inclusiv dreptul la viață și dreptul la sănătate.</w:t>
      </w:r>
      <w:bookmarkEnd w:id="457"/>
      <w:r w:rsidR="00F524A5">
        <w:t xml:space="preserve"> </w:t>
      </w:r>
      <w:bookmarkStart w:id="458" w:name="lt_pId2711"/>
      <w:r w:rsidR="00F524A5">
        <w:t>În această privință, apreciază că Rezoluția 76/300 a Adunării Generale a Organizației Națiunilor Unite trebuie considerată un progres recent și important la nivel internațional, o recunoaștere explicită a faptului că „dreptul la un mediu curat, sănătos și durabil este un drept al omului”.</w:t>
      </w:r>
      <w:bookmarkEnd w:id="458"/>
      <w:r w:rsidR="00F524A5">
        <w:t xml:space="preserve"> </w:t>
      </w:r>
      <w:bookmarkStart w:id="459" w:name="lt_pId2712"/>
      <w:r w:rsidR="00F524A5">
        <w:t>Reclamantele observă, în plus, că toate statele contractante au votat în favoarea acestei rezoluții.</w:t>
      </w:r>
      <w:bookmarkEnd w:id="459"/>
      <w:r w:rsidR="00F524A5">
        <w:t xml:space="preserve"> </w:t>
      </w:r>
      <w:bookmarkStart w:id="460" w:name="lt_pId2713"/>
      <w:r w:rsidR="00F524A5">
        <w:t>Precizează că această convergență reiese și din Legea europeană a climei</w:t>
      </w:r>
      <w:r w:rsidR="00F524A5">
        <w:rPr>
          <w:rStyle w:val="FootnoteReference"/>
        </w:rPr>
        <w:footnoteReference w:id="177"/>
      </w:r>
      <w:r w:rsidR="00F524A5">
        <w:t>și afirmă că acest text conține un acord privind un nivel minim de reducere a emisiilor care trebuie atins, o reducere care, potrivit acestora, este mult mai ambițioasă decât cea avută în vedere de Elveția.</w:t>
      </w:r>
      <w:bookmarkEnd w:id="460"/>
    </w:p>
    <w:p w:rsidR="00F524A5" w:rsidRPr="00472687" w:rsidRDefault="00C71855" w:rsidP="00F524A5">
      <w:pPr>
        <w:pStyle w:val="JuPara"/>
      </w:pPr>
      <w:fldSimple w:instr=" SEQ level0 \*arabic \* MERGEFORMAT ">
        <w:r w:rsidR="00F524A5" w:rsidRPr="00472687">
          <w:t>334</w:t>
        </w:r>
      </w:fldSimple>
      <w:r w:rsidR="00F524A5">
        <w:t xml:space="preserve">. </w:t>
      </w:r>
      <w:bookmarkStart w:id="462" w:name="lt_pId2714"/>
      <w:bookmarkStart w:id="463" w:name="lt_pId2715"/>
      <w:bookmarkStart w:id="464" w:name="lt_pId2719"/>
      <w:bookmarkEnd w:id="462"/>
      <w:r w:rsidR="00F524A5">
        <w:t>Reclamantele susțin că, având în vedere cunoștințele științifice disponibile în prezent, nu mai există nicio îndoială că schimbările climatice au consecințe dezastruoase și că este cu adevărat urgent să se adopte măsurile necesare pentru a le face față.</w:t>
      </w:r>
      <w:bookmarkEnd w:id="463"/>
      <w:r w:rsidR="00F524A5">
        <w:t xml:space="preserve"> </w:t>
      </w:r>
      <w:bookmarkStart w:id="465" w:name="lt_pId2716"/>
      <w:r w:rsidR="00F524A5">
        <w:t>Menționează că aceste aspecte sunt recunoscute în UNFCCC, dar că, de la adoptarea acestui tratat, urgența a crescut considerabil, după cum demonstrează, în opinia lor, necesitatea adoptării Acordului de la Paris și, ulterior, adoptarea acestui acord.</w:t>
      </w:r>
      <w:bookmarkEnd w:id="465"/>
      <w:r w:rsidR="00F524A5">
        <w:t xml:space="preserve"> </w:t>
      </w:r>
      <w:bookmarkStart w:id="466" w:name="lt_pId2718"/>
      <w:r w:rsidR="00F524A5">
        <w:t>Reclamantele afirmă că, potrivit consensului științific actual, mai este foarte puțin timp - sau chiar deloc - pentru a preveni creșterea catastrofală a temperaturii.</w:t>
      </w:r>
      <w:bookmarkEnd w:id="466"/>
      <w:r w:rsidR="00F524A5">
        <w:t xml:space="preserve"> În opinia lor, Curtea trebuie așadar să interpreteze și să aplice drepturile garantate de Convenție ținând seama de consensul științific existent cu privire la următoarele idei: schimbările climatice au consecințe dramatice asupra vieții pe pământ; există un risc real să fie depășite noile praguri critice, așa-numitele „puncte de basculare”; este extrem de urgent să se ia măsuri semnificative de atenuare a schimbărilor climatice pentru a evita efectele cele mai catastrofale, chiar dacă nu mai este posibil să se evite toate consecințele.</w:t>
      </w:r>
      <w:bookmarkEnd w:id="464"/>
    </w:p>
    <w:bookmarkStart w:id="467" w:name="paragraph00335"/>
    <w:p w:rsidR="00F524A5" w:rsidRPr="00472687" w:rsidRDefault="00F524A5" w:rsidP="00F524A5">
      <w:pPr>
        <w:pStyle w:val="JuPara"/>
      </w:pPr>
      <w:r w:rsidRPr="00472687">
        <w:lastRenderedPageBreak/>
        <w:fldChar w:fldCharType="begin"/>
      </w:r>
      <w:r w:rsidRPr="00472687">
        <w:instrText xml:space="preserve"> SEQ level0 \*arabic \* MERGEFORMAT </w:instrText>
      </w:r>
      <w:r w:rsidRPr="00472687">
        <w:fldChar w:fldCharType="separate"/>
      </w:r>
      <w:r w:rsidRPr="00472687">
        <w:t>335</w:t>
      </w:r>
      <w:r w:rsidRPr="00472687">
        <w:fldChar w:fldCharType="end"/>
      </w:r>
      <w:bookmarkEnd w:id="467"/>
      <w:r>
        <w:t xml:space="preserve">. </w:t>
      </w:r>
      <w:bookmarkStart w:id="468" w:name="lt_pId2720"/>
      <w:bookmarkStart w:id="469" w:name="lt_pId2721"/>
      <w:bookmarkEnd w:id="468"/>
      <w:r>
        <w:t xml:space="preserve"> Reclamantele consideră că, deși măsurile de adaptare sunt, de asemenea, esențiale, acestea nu sunt răspunsul potrivit pentru ceea ce ar fi trebuit să facă Elveția pentru a atenua schimbările climatice.</w:t>
      </w:r>
      <w:bookmarkEnd w:id="469"/>
      <w:r>
        <w:t xml:space="preserve"> </w:t>
      </w:r>
      <w:bookmarkStart w:id="470" w:name="lt_pId2722"/>
      <w:r>
        <w:t>Acestea consideră, pe de o parte, că, în pofida măsurilor de adaptare, se va constata o creștere la nivel global a mortalității cauzate de căldură și, pe de altă parte, că, odată cu creșterea temperaturilor, potențialul de adaptare este din ce în ce mai limitat</w:t>
      </w:r>
      <w:bookmarkEnd w:id="470"/>
      <w:r>
        <w:t>.</w:t>
      </w:r>
      <w:r>
        <w:rPr>
          <w:rStyle w:val="FootnoteReference"/>
        </w:rPr>
        <w:footnoteReference w:id="178"/>
      </w:r>
    </w:p>
    <w:bookmarkStart w:id="472" w:name="paragraph0033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336</w:t>
      </w:r>
      <w:r w:rsidRPr="00472687">
        <w:fldChar w:fldCharType="end"/>
      </w:r>
      <w:bookmarkEnd w:id="472"/>
      <w:r>
        <w:t xml:space="preserve">. </w:t>
      </w:r>
      <w:bookmarkStart w:id="473" w:name="lt_pId2723"/>
      <w:bookmarkStart w:id="474" w:name="lt_pId2724"/>
      <w:bookmarkEnd w:id="473"/>
      <w:r>
        <w:t>Potrivit reclamantelor, faptul că prevenirea schimbărilor climatice face parte integrantă din obligația statelor de a proteja drepturile omului este recunoscut pe scară largă la nivel internațional</w:t>
      </w:r>
      <w:bookmarkEnd w:id="474"/>
      <w:r>
        <w:t>.</w:t>
      </w:r>
      <w:r>
        <w:rPr>
          <w:rStyle w:val="FootnoteReference"/>
        </w:rPr>
        <w:footnoteReference w:id="179"/>
      </w:r>
      <w:r>
        <w:t xml:space="preserve"> </w:t>
      </w:r>
      <w:bookmarkStart w:id="476" w:name="lt_pId2725"/>
      <w:r>
        <w:t>Ele precizează că instanțele naționale au recunoscut acest lucru și la nivel național.</w:t>
      </w:r>
      <w:bookmarkEnd w:id="476"/>
      <w:r>
        <w:t xml:space="preserve"> </w:t>
      </w:r>
      <w:bookmarkStart w:id="477" w:name="lt_pId2726"/>
      <w:bookmarkStart w:id="478" w:name="lt_pId2727"/>
      <w:r>
        <w:t>Susțin că, în cazul în care Curtea ar hotărî că aceste instanțe naționale au considerat în mod eronat că neadoptarea de către state și societăți a unor măsuri suficiente pentru atenuarea schimbărilor climatice a determinat aplicarea – și, având în vedere circumstanțele cauzelor în discuție, încălcarea – art. 2 și 8 din Convenție, acest lucru ar constitui un regres major în lupta împotriva schimbărilor climatice.</w:t>
      </w:r>
      <w:bookmarkEnd w:id="477"/>
      <w:r>
        <w:t xml:space="preserve"> Acestea adaugă că eventuala invocare de către Curte a faptului că, în temeiul art. 53 din Convenție, instanțele interne pot depăși cerințele Convenției nu este suficient pentru a înlătura riscurile asociate unui asemenea regres.</w:t>
      </w:r>
      <w:bookmarkEnd w:id="478"/>
    </w:p>
    <w:p w:rsidR="00F524A5" w:rsidRPr="00472687" w:rsidRDefault="00F524A5" w:rsidP="00E72A1B">
      <w:pPr>
        <w:pStyle w:val="JuH1"/>
        <w:numPr>
          <w:ilvl w:val="3"/>
          <w:numId w:val="51"/>
        </w:numPr>
      </w:pPr>
      <w:bookmarkStart w:id="479" w:name="_Toc199273519"/>
      <w:r>
        <w:t>Guvernul</w:t>
      </w:r>
      <w:bookmarkEnd w:id="479"/>
    </w:p>
    <w:p w:rsidR="00F524A5" w:rsidRPr="00472687" w:rsidRDefault="00F524A5" w:rsidP="00E72A1B">
      <w:pPr>
        <w:pStyle w:val="JuHa0"/>
        <w:numPr>
          <w:ilvl w:val="4"/>
          <w:numId w:val="51"/>
        </w:numPr>
      </w:pPr>
      <w:bookmarkStart w:id="480" w:name="_Toc199273520"/>
      <w:r>
        <w:t>Observații preliminare</w:t>
      </w:r>
      <w:bookmarkEnd w:id="480"/>
    </w:p>
    <w:bookmarkStart w:id="481" w:name="paragraph0033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337</w:t>
      </w:r>
      <w:r w:rsidRPr="00472687">
        <w:fldChar w:fldCharType="end"/>
      </w:r>
      <w:bookmarkEnd w:id="481"/>
      <w:r>
        <w:t>. Guvernul consideră că încălzirea globală este una dintre cele mai mari provocări cu care se confruntă omenirea. Arată că efectele acesteia sunt deja resimțite în diferite regiuni ale lumii și, cu siguranță, vor fi și mai evidente în viitor.</w:t>
      </w:r>
      <w:r>
        <w:rPr>
          <w:rFonts w:ascii="Segoe UI" w:hAnsi="Segoe UI"/>
          <w:color w:val="000000"/>
        </w:rPr>
        <w:t xml:space="preserve"> </w:t>
      </w:r>
      <w:r>
        <w:t>În opinia sa, există așadar o nevoie urgentă de a adopta și de a pune în aplicare în mod efectiv o serie de măsuri de combatere a schimbărilor climatice și de reducere la minimum a efectelor acestora.</w:t>
      </w:r>
      <w:r>
        <w:rPr>
          <w:rFonts w:ascii="Segoe UI" w:hAnsi="Segoe UI"/>
          <w:color w:val="000000"/>
        </w:rPr>
        <w:t xml:space="preserve"> </w:t>
      </w:r>
      <w:r>
        <w:t>Apreciază că doar o acțiune colectivă a statelor, combinată cu eforturile individuale ale cetățenilor, ar putea oferi o soluție durabilă pentru efectele încălzirii globale.</w:t>
      </w:r>
      <w:r>
        <w:rPr>
          <w:rFonts w:ascii="Segoe UI" w:hAnsi="Segoe UI"/>
          <w:color w:val="000000"/>
        </w:rPr>
        <w:t xml:space="preserve"> </w:t>
      </w:r>
      <w:r>
        <w:t>Guvernul adaugă că Elveția, o țară alpină afectată în mod deosebit de schimbările climatice, a recunoscut deja problema încălzirii globale și a luat diverse măsuri pentru a o aborda. Cu toate acestea, este important de subliniat faptul că contribuția Elveției la emisiile globale de GES este de numai aproximativ 0,1%.</w:t>
      </w:r>
    </w:p>
    <w:bookmarkStart w:id="482" w:name="paragraph0033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338</w:t>
      </w:r>
      <w:r w:rsidRPr="00472687">
        <w:fldChar w:fldCharType="end"/>
      </w:r>
      <w:bookmarkEnd w:id="482"/>
      <w:r>
        <w:t xml:space="preserve">. Deși admite că, într-o societate democratică, este legitim ca opinia publică să încerce să facă presiuni asupra autorităților pentru a le determina să abordeze schimbările climatice, Guvernul consideră că mecanismul </w:t>
      </w:r>
      <w:r>
        <w:lastRenderedPageBreak/>
        <w:t>recursului individual prevăzut de Convenție nu este mijlocul adecvat în acest sens, ținând seama în special de principiul subsidiarității. Acesta consideră că instituțiile democratice din sistemul politic elvețian oferă mijloace suficiente și adecvate pentru a răspunde preocupărilor generate de schimbările climatice și că „judiciarizarea” chestiunii schimbărilor climatice la nivel internațional nu ar face decât să creeze tensiuni din punctul de vedere al principiului subsidiarității și al separării puterilor. Acesta apreciază că, în orice caz, Curtea nu poate acționa în calitate de instanță supremă în materie de mediu, în special ținând seama de complexitatea problemei în materie probatorie și din perspectivă științifică. Adaugă că, în speță, Curtea poate examina faptele referitoare la schimbările climatice doar până la 5 mai 2020, data pronunțării de către instanțele interne a deciziei definitive în cauza reclamantelor, perioada ulterioară acestei date nefiind examinată de aceste instanțe.</w:t>
      </w:r>
    </w:p>
    <w:p w:rsidR="00F524A5" w:rsidRPr="00472687" w:rsidRDefault="00C71855" w:rsidP="00F524A5">
      <w:pPr>
        <w:pStyle w:val="JuPara"/>
      </w:pPr>
      <w:fldSimple w:instr=" SEQ level0 \*arabic \* MERGEFORMAT ">
        <w:r w:rsidR="00F524A5" w:rsidRPr="00472687">
          <w:t>339</w:t>
        </w:r>
      </w:fldSimple>
      <w:r w:rsidR="00F524A5">
        <w:t>. În plus, consideră că această cauză poate prezenta interes doar dacă se fundamentează, în temeiul art. 6 și 13, pe neexaminarea pe fond de către instanțele naționale a acțiunii reclamantelor (pentru motivul că acestea nu ar fi respectat condițiile de admisibilitate). Pe de altă parte, consideră că, în ceea ce privește art. 2 și 8 din Convenție, Curtea nu poate acționa în calitate de instanță de prim grad de jurisdicție în domeniul schimbărilor climatice.</w:t>
      </w:r>
    </w:p>
    <w:p w:rsidR="00F524A5" w:rsidRPr="00472687" w:rsidRDefault="00F524A5" w:rsidP="00E72A1B">
      <w:pPr>
        <w:pStyle w:val="JuHa0"/>
        <w:numPr>
          <w:ilvl w:val="4"/>
          <w:numId w:val="51"/>
        </w:numPr>
      </w:pPr>
      <w:bookmarkStart w:id="483" w:name="_Toc199273521"/>
      <w:r>
        <w:t>Cu privire la calitatea de victimă</w:t>
      </w:r>
      <w:bookmarkEnd w:id="483"/>
    </w:p>
    <w:p w:rsidR="00F524A5" w:rsidRPr="00472687" w:rsidRDefault="00F524A5" w:rsidP="00E72A1B">
      <w:pPr>
        <w:pStyle w:val="JuHi"/>
        <w:numPr>
          <w:ilvl w:val="5"/>
          <w:numId w:val="51"/>
        </w:numPr>
        <w:tabs>
          <w:tab w:val="clear" w:pos="1077"/>
          <w:tab w:val="clear" w:pos="1134"/>
          <w:tab w:val="clear" w:pos="1191"/>
          <w:tab w:val="clear" w:pos="1247"/>
        </w:tabs>
        <w:ind w:left="1276" w:hanging="425"/>
      </w:pPr>
      <w:bookmarkStart w:id="484" w:name="_Toc199273522"/>
      <w:r>
        <w:t>Asociația reclamantă</w:t>
      </w:r>
      <w:bookmarkEnd w:id="484"/>
    </w:p>
    <w:bookmarkStart w:id="485" w:name="paragraph0034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340</w:t>
      </w:r>
      <w:r w:rsidRPr="00472687">
        <w:fldChar w:fldCharType="end"/>
      </w:r>
      <w:bookmarkEnd w:id="485"/>
      <w:r>
        <w:t>. Guvernul arată că, în prezenta cauză, instanțele naționale nu s-au pronunțat cu privire la problema dacă asociația reclamantă avea sau nu calitatea de victimă.</w:t>
      </w:r>
      <w:r>
        <w:rPr>
          <w:rFonts w:ascii="Segoe UI" w:hAnsi="Segoe UI"/>
          <w:color w:val="000000"/>
        </w:rPr>
        <w:t xml:space="preserve"> </w:t>
      </w:r>
      <w:r>
        <w:t>Cu toate acestea, în opinia sa, este clar că nimic nu împiedică asociația să acționeze în vederea atingerii obiectivelor pentru care a fost înființată.</w:t>
      </w:r>
    </w:p>
    <w:bookmarkStart w:id="486" w:name="paragraph0034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341</w:t>
      </w:r>
      <w:r w:rsidRPr="00472687">
        <w:fldChar w:fldCharType="end"/>
      </w:r>
      <w:bookmarkEnd w:id="486"/>
      <w:r>
        <w:t xml:space="preserve">. Guvernul a subliniat, de asemenea, că în Convenție nu se recunoaște posibilitatea de a iniția o </w:t>
      </w:r>
      <w:r>
        <w:rPr>
          <w:i/>
        </w:rPr>
        <w:t>actio popularis</w:t>
      </w:r>
      <w:r>
        <w:t xml:space="preserve"> și că, în consecință, asociațiile pot avea calitatea de victimă numai în cazul în care au fost afectate în mod direct de măsura în cauză.</w:t>
      </w:r>
      <w:r>
        <w:rPr>
          <w:rFonts w:ascii="Segoe UI" w:hAnsi="Segoe UI"/>
          <w:color w:val="000000"/>
        </w:rPr>
        <w:t xml:space="preserve"> </w:t>
      </w:r>
      <w:r>
        <w:t>Acesta adaugă că anumite drepturi garantate de Convenție nu pot, având în vedere natura lor, să fie exercitate de o asociație.</w:t>
      </w:r>
      <w:r>
        <w:rPr>
          <w:rFonts w:ascii="Segoe UI" w:hAnsi="Segoe UI"/>
          <w:color w:val="000000"/>
        </w:rPr>
        <w:t xml:space="preserve"> </w:t>
      </w:r>
      <w:r>
        <w:t>În opinia Guvernului, asociația reclamantă nu se poate prevala nici de dreptul la viață, nici de dreptul la respectarea vieții sale private și de familie și, prin urmare, nu poate pretinde că este victima unei încălcări a art. 2 și 8.</w:t>
      </w:r>
    </w:p>
    <w:p w:rsidR="00F524A5" w:rsidRPr="00472687" w:rsidRDefault="00F524A5" w:rsidP="00E72A1B">
      <w:pPr>
        <w:pStyle w:val="JuHi"/>
        <w:numPr>
          <w:ilvl w:val="5"/>
          <w:numId w:val="51"/>
        </w:numPr>
        <w:tabs>
          <w:tab w:val="clear" w:pos="1077"/>
          <w:tab w:val="clear" w:pos="1134"/>
          <w:tab w:val="clear" w:pos="1191"/>
          <w:tab w:val="clear" w:pos="1247"/>
        </w:tabs>
        <w:ind w:left="1276" w:hanging="425"/>
      </w:pPr>
      <w:bookmarkStart w:id="487" w:name="_Toc199273523"/>
      <w:r>
        <w:t>Reclamantele nr. 2-5</w:t>
      </w:r>
      <w:bookmarkEnd w:id="487"/>
    </w:p>
    <w:p w:rsidR="00F524A5" w:rsidRPr="00472687" w:rsidRDefault="00C71855" w:rsidP="00F524A5">
      <w:pPr>
        <w:pStyle w:val="JuPara"/>
      </w:pPr>
      <w:fldSimple w:instr=" SEQ level0 \*arabic \* MERGEFORMAT ">
        <w:r w:rsidR="00F524A5" w:rsidRPr="00472687">
          <w:t>342</w:t>
        </w:r>
      </w:fldSimple>
      <w:r w:rsidR="00F524A5">
        <w:t>. Guvernul admite că episoadele caniculare (temperaturi de peste 30</w:t>
      </w:r>
      <w:r w:rsidR="00F524A5">
        <w:rPr>
          <w:vertAlign w:val="superscript"/>
        </w:rPr>
        <w:t>o</w:t>
      </w:r>
      <w:r w:rsidR="00F524A5">
        <w:t>C timp de câteva zile, care nu scad sub 20</w:t>
      </w:r>
      <w:r w:rsidR="00F524A5">
        <w:rPr>
          <w:vertAlign w:val="superscript"/>
        </w:rPr>
        <w:t>o</w:t>
      </w:r>
      <w:r w:rsidR="00F524A5">
        <w:t>C pe timp de noapte) pot prezenta un risc pentru sănătate și chiar pot fi fatale pentru persoanele în vârstă sau care suferă de boli (cronice), pentru femeile însărcinate sau pentru copiii mici.</w:t>
      </w:r>
      <w:r w:rsidR="00F524A5">
        <w:rPr>
          <w:rFonts w:ascii="Segoe UI" w:hAnsi="Segoe UI"/>
          <w:color w:val="000000"/>
        </w:rPr>
        <w:t xml:space="preserve"> </w:t>
      </w:r>
      <w:r w:rsidR="00F524A5">
        <w:t>Susține totuși că, potrivit unor studii, nu toate decesele cauzate de căldură sunt legate de încălzirea globală.</w:t>
      </w:r>
      <w:r w:rsidR="00F524A5">
        <w:rPr>
          <w:rFonts w:ascii="Segoe UI" w:hAnsi="Segoe UI"/>
          <w:color w:val="000000"/>
        </w:rPr>
        <w:t xml:space="preserve"> </w:t>
      </w:r>
      <w:r w:rsidR="00F524A5">
        <w:t xml:space="preserve">Acesta consideră că reclamantele nr. 2-5 </w:t>
      </w:r>
      <w:r w:rsidR="00F524A5">
        <w:lastRenderedPageBreak/>
        <w:t>aparțin într-adevăr</w:t>
      </w:r>
      <w:r w:rsidR="00F524A5">
        <w:rPr>
          <w:b/>
        </w:rPr>
        <w:t xml:space="preserve"> </w:t>
      </w:r>
      <w:r w:rsidR="00F524A5">
        <w:t>uneia dintre categoriile expuse riscurilor în timpul valurilor de caniculă, dar că vârsta exactă a persoanei în cauză este doar unul dintre factorii relevanți, astfel încât, în opinia sa, este imposibil ca toate persoanele în vârstă să fie incluse într-o singură categorie, care este expusă unui risc deosebit.</w:t>
      </w:r>
      <w:r w:rsidR="00F524A5">
        <w:rPr>
          <w:rFonts w:ascii="Segoe UI" w:hAnsi="Segoe UI"/>
          <w:color w:val="000000"/>
        </w:rPr>
        <w:t xml:space="preserve"> </w:t>
      </w:r>
      <w:r w:rsidR="00F524A5">
        <w:t xml:space="preserve">Adaugă că femeile nu par să fie expuse unui risc mai mare decât bărbații de aceeași vârstă. În orice caz, în opinia sa, nu este posibil să se stabilească faptul că un reclamant are calitatea de victimă pentru simplul motiv că aparține unui grup vulnerabil. Acesta susține că, în speță, reclamantele nu au demonstrat existența unei legături suficiente între prejudiciul pe care pretind că l-au suferit (sau că îl vor suferi în viitor) și pretinsele neîndepliniri ale obligațiilor de către stat. Cererea lor este, prin natura sa, o </w:t>
      </w:r>
      <w:r w:rsidR="00F524A5">
        <w:rPr>
          <w:i/>
        </w:rPr>
        <w:t>actio popularis.</w:t>
      </w:r>
    </w:p>
    <w:p w:rsidR="00F524A5" w:rsidRPr="00472687" w:rsidRDefault="00C71855" w:rsidP="00F524A5">
      <w:pPr>
        <w:pStyle w:val="JuPara"/>
      </w:pPr>
      <w:fldSimple w:instr=" SEQ level0 \*arabic \* MERGEFORMAT ">
        <w:r w:rsidR="00F524A5" w:rsidRPr="00472687">
          <w:t>343</w:t>
        </w:r>
      </w:fldSimple>
      <w:r w:rsidR="00F524A5">
        <w:t>. În ceea ce privește situația individuală a reclamantelor nr. 2-5, Guvernul consideră că efectele din cauza cărora acestea pretind că au avut de suferit nu sunt îndeajuns de specifice și nu au o intensitate suficientă pentru a le conferi calitatea de victime directe în temeiul Convenției. Acesta explică, de exemplu, că măsurile de adaptare pe care au fost nevoite să le ia în timpul episoadelor caniculare erau practici obișnuite în timpul acestor valuri de căldură, care afectau și restul populației, și consideră că nu există suficiente dovezi pentru a stabili o legătură între problemele de sănătate de care suferă persoanele în cauză și pretinsele omisiuni și acțiuni ale statului. În plus, potrivit Guvernului, fie diferitele probleme de sănătate ale reclamantelor nu sunt legate exclusiv de valurile de caniculă, fie capetele de cerere formulate cu privire la acestea sunt vagi.</w:t>
      </w:r>
    </w:p>
    <w:bookmarkStart w:id="488" w:name="paragraph0034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344</w:t>
      </w:r>
      <w:r w:rsidRPr="00472687">
        <w:fldChar w:fldCharType="end"/>
      </w:r>
      <w:bookmarkEnd w:id="488"/>
      <w:r>
        <w:t>. În ceea ce privește calitatea de potențiale victime ale unei încălcări a art. 2 și 8 din Convenție, invocată de reclamante, Guvernul consideră că activitatea IPCC demonstrează că nu este posibil să se stabilească existența unui risc real ca persoanele în cauză să sufere, în viitorul apropiat, o încălcare a drepturilor pe care le au în temeiul acestor dispoziții. Potrivit Guvernului, recunoașterea unor potențiale riscuri pentru viitor este incertă și ridică problema de a se stabili dacă reclamantele, care au deja peste 80 de ani, vor fi ele însele afectate în mod individual de efectele invocate, atunci când, potrivit previziunilor relevante, încălzirea globală va atinge 1,5</w:t>
      </w:r>
      <w:r>
        <w:rPr>
          <w:vertAlign w:val="superscript"/>
        </w:rPr>
        <w:t>o</w:t>
      </w:r>
      <w:r>
        <w:t>C, în 2040. În opinia sa, cu cât presupusa dată a producerii unui prejudiciu este mai îndepărtată în timp, cu atât sunt mai incerte producerea acestui prejudiciu și impactul său asupra persoanelor în cauză.</w:t>
      </w:r>
    </w:p>
    <w:bookmarkStart w:id="489" w:name="paragraph0034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345</w:t>
      </w:r>
      <w:r w:rsidRPr="00472687">
        <w:fldChar w:fldCharType="end"/>
      </w:r>
      <w:bookmarkEnd w:id="489"/>
      <w:r>
        <w:t>. Având în vedere cele de mai sus, Guvernul consideră că reclamantele nu sunt nici victime directe, nici potențiale victime din perspectiva art. 2 și 8 din Convenție.</w:t>
      </w:r>
    </w:p>
    <w:p w:rsidR="00F524A5" w:rsidRPr="00472687" w:rsidRDefault="00F524A5" w:rsidP="00E72A1B">
      <w:pPr>
        <w:pStyle w:val="JuHa0"/>
        <w:numPr>
          <w:ilvl w:val="4"/>
          <w:numId w:val="51"/>
        </w:numPr>
      </w:pPr>
      <w:bookmarkStart w:id="490" w:name="_Toc199273524"/>
      <w:r>
        <w:t>Cu privire la aplicabilitatea dispozițiilor relevante ale Convenției</w:t>
      </w:r>
      <w:bookmarkEnd w:id="490"/>
    </w:p>
    <w:bookmarkStart w:id="491" w:name="paragraph0034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346</w:t>
      </w:r>
      <w:r w:rsidRPr="00472687">
        <w:fldChar w:fldCharType="end"/>
      </w:r>
      <w:bookmarkEnd w:id="491"/>
      <w:r>
        <w:t xml:space="preserve">. Guvernul susține că reclamantele nu au stabilit existența unei legături de cauzalitate între pretinsele omisiuni ale Elveției și încălcările drepturilor lor care decurg din art. 2 și 8. Subliniază că încălzirea globală este un </w:t>
      </w:r>
      <w:r>
        <w:lastRenderedPageBreak/>
        <w:t>fenomen mondial și că doar acțiuni ferme din partea tuturor statelor, însoțite de schimbări de comportament din partea actorilor privați și a tuturor cetățenilor, ar putea permite găsirea unor soluții durabile pentru această provocare imensă. Adaugă că emisiile de GES sunt cauzate de întreaga comunitate de state și variază de la o țară la alta. În continuare, susține că, având în vedere intensitatea actuală redusă a GES din Elveția, neîndeplinirea obligațiilor imputată acestui stat nu este, în sine, de natură să cauzeze suferințele pretinse de reclamante și să aibă consecințe grave asupra propriei lor vieți, precum și asupra vieții lor private și de familie. Prin urmare, în opinia Guvernului, nu există o legătură suficientă între emisiile poluante și statul pârât pentru a ridica problema obligațiilor pozitive ce revin acestuia din urmă în temeiul art. 2 și 8 din Convenție.</w:t>
      </w:r>
    </w:p>
    <w:p w:rsidR="00F524A5" w:rsidRPr="00472687" w:rsidRDefault="00F524A5" w:rsidP="00E72A1B">
      <w:pPr>
        <w:pStyle w:val="JuHi"/>
        <w:numPr>
          <w:ilvl w:val="5"/>
          <w:numId w:val="51"/>
        </w:numPr>
        <w:tabs>
          <w:tab w:val="clear" w:pos="1077"/>
          <w:tab w:val="clear" w:pos="1134"/>
          <w:tab w:val="clear" w:pos="1191"/>
          <w:tab w:val="clear" w:pos="1247"/>
        </w:tabs>
        <w:ind w:left="1276" w:hanging="425"/>
      </w:pPr>
      <w:bookmarkStart w:id="492" w:name="_Toc199273525"/>
      <w:r>
        <w:t>Art. 2 din Convenție</w:t>
      </w:r>
      <w:bookmarkEnd w:id="492"/>
    </w:p>
    <w:bookmarkStart w:id="493" w:name="paragraph0034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347</w:t>
      </w:r>
      <w:r w:rsidRPr="00472687">
        <w:fldChar w:fldCharType="end"/>
      </w:r>
      <w:bookmarkEnd w:id="493"/>
      <w:r>
        <w:t>. În special în ceea ce privește art. 2, Guvernul consideră că, deși realitatea pericolelor legate de încălzirea globală este evidentă, reclamantele nu au demonstrat totuși existența unui risc „iminent” pentru viața lor, element care, în opinia sa, este necesar pentru a determina aplicabilitatea acestei dispoziții. Acesta adaugă că gravitatea efectelor negative ale încălzirii globale nu a atins intensitatea necesară pentru ca art. 2 să devină aplicabil.</w:t>
      </w:r>
    </w:p>
    <w:p w:rsidR="00F524A5" w:rsidRPr="00472687" w:rsidRDefault="00F524A5" w:rsidP="00E72A1B">
      <w:pPr>
        <w:pStyle w:val="JuHi"/>
        <w:numPr>
          <w:ilvl w:val="5"/>
          <w:numId w:val="51"/>
        </w:numPr>
        <w:tabs>
          <w:tab w:val="clear" w:pos="1077"/>
          <w:tab w:val="clear" w:pos="1134"/>
          <w:tab w:val="clear" w:pos="1191"/>
          <w:tab w:val="clear" w:pos="1247"/>
        </w:tabs>
        <w:ind w:left="1276" w:hanging="425"/>
      </w:pPr>
      <w:bookmarkStart w:id="494" w:name="_Toc199273526"/>
      <w:r>
        <w:t>Art. 8 din Convenție</w:t>
      </w:r>
      <w:bookmarkEnd w:id="494"/>
    </w:p>
    <w:p w:rsidR="00F524A5" w:rsidRPr="00472687" w:rsidRDefault="00C71855" w:rsidP="00F524A5">
      <w:pPr>
        <w:pStyle w:val="JuPara"/>
      </w:pPr>
      <w:fldSimple w:instr=" SEQ level0 \*arabic \* MERGEFORMAT ">
        <w:r w:rsidR="00F524A5" w:rsidRPr="00472687">
          <w:t>348</w:t>
        </w:r>
      </w:fldSimple>
      <w:r w:rsidR="00F524A5">
        <w:t>. În ceea ce privește art. 8, ținând seama de recunoașterea de către Curte a faptului că daunele grave aduse mediului pot afecta bunăstarea unei persoane și o pot priva de dreptul de folosință netulburată a locuinței sale într-o asemenea măsură încât să aducă atingere vieții sale private și de familie, Guvernul nu poate exclude în totalitate posibilitatea ca această dispoziție să se aplice, în principiu, în contextul schimbărilor climatice.</w:t>
      </w:r>
      <w:r w:rsidR="00F524A5">
        <w:rPr>
          <w:rFonts w:ascii="Segoe UI" w:hAnsi="Segoe UI"/>
          <w:color w:val="000000"/>
        </w:rPr>
        <w:t xml:space="preserve"> </w:t>
      </w:r>
      <w:r w:rsidR="00F524A5">
        <w:t>Potrivit Guvernului, în fapt, este bine cunoscut faptul că accelerarea încălzirii globale este un fenomen extrem de îngrijorător pentru omenire și că aceasta este cauzată de emisiile antropice de CO</w:t>
      </w:r>
      <w:r w:rsidR="00F524A5">
        <w:rPr>
          <w:vertAlign w:val="subscript"/>
        </w:rPr>
        <w:t>2</w:t>
      </w:r>
      <w:r w:rsidR="00F524A5">
        <w:t>.</w:t>
      </w:r>
      <w:r w:rsidR="00F524A5">
        <w:rPr>
          <w:rFonts w:ascii="Segoe UI" w:hAnsi="Segoe UI"/>
          <w:color w:val="000000"/>
        </w:rPr>
        <w:t xml:space="preserve"> </w:t>
      </w:r>
      <w:r w:rsidR="00F524A5">
        <w:t>În opinia sa, încălzirea globală este fără îndoială de natură să afecteze calitatea vieții oamenilor, chiar și atunci când sănătatea lor nu este serios amenințată.</w:t>
      </w:r>
    </w:p>
    <w:p w:rsidR="00F524A5" w:rsidRPr="00472687" w:rsidRDefault="00C71855" w:rsidP="00F524A5">
      <w:pPr>
        <w:pStyle w:val="JuPara"/>
      </w:pPr>
      <w:fldSimple w:instr=" SEQ level0 \*arabic \* MERGEFORMAT ">
        <w:r w:rsidR="00F524A5" w:rsidRPr="00472687">
          <w:t>349</w:t>
        </w:r>
      </w:fldSimple>
      <w:r w:rsidR="00F524A5">
        <w:t>. Cu toate acestea, Guvernul consideră că încălzirea globală nu a atins nivelul necesar pentru a avea un efect tangibil asupra vieții private și de familie a reclamantelor nr. 2-5, în special asupra bunăstării lor mintale. Acesta afirmă că reclamantele nu susțin că emisiile de GES sunt direct dăunătoare sănătății lor, ci mai degrabă că aceste emisii cauzează încălzirea globală și valuri de caniculă, acestea fiind cele care dăunează sănătății lor. Or, subliniază acesta, reclamantele nu sunt expuse în mod constant unor astfel de efecte, ceea ce înseamnă că acestea nu le afectează viața de zi cu zi. Acesta precizează, de asemenea, că pot fi adoptate măsuri simple de prevenire pentru a reduce riscul de deces în timpul episoadelor caniculare.</w:t>
      </w:r>
    </w:p>
    <w:p w:rsidR="00F524A5" w:rsidRPr="00472687" w:rsidRDefault="00C71855" w:rsidP="00F524A5">
      <w:pPr>
        <w:pStyle w:val="JuPara"/>
      </w:pPr>
      <w:fldSimple w:instr=" SEQ level0 \*arabic \* MERGEFORMAT ">
        <w:r w:rsidR="00F524A5" w:rsidRPr="00472687">
          <w:t>350</w:t>
        </w:r>
      </w:fldSimple>
      <w:r w:rsidR="00F524A5">
        <w:t>. Prin urmare, Guvernul nu este convins că art. 8 este aplicabil și consideră că nu este necesară soluționarea acestui aspect, având în vedere argumentele sale referitoare la temeinicia acestui capăt de cerere.</w:t>
      </w:r>
    </w:p>
    <w:p w:rsidR="00F524A5" w:rsidRPr="00472687" w:rsidRDefault="00F524A5" w:rsidP="00E72A1B">
      <w:pPr>
        <w:pStyle w:val="JuHa0"/>
        <w:numPr>
          <w:ilvl w:val="4"/>
          <w:numId w:val="51"/>
        </w:numPr>
      </w:pPr>
      <w:bookmarkStart w:id="495" w:name="_Toc199273527"/>
      <w:r>
        <w:t>Cu privire la fond</w:t>
      </w:r>
      <w:bookmarkEnd w:id="495"/>
    </w:p>
    <w:bookmarkStart w:id="496" w:name="paragraph0035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351</w:t>
      </w:r>
      <w:r w:rsidRPr="00472687">
        <w:fldChar w:fldCharType="end"/>
      </w:r>
      <w:bookmarkEnd w:id="496"/>
      <w:r>
        <w:t xml:space="preserve">. </w:t>
      </w:r>
      <w:bookmarkStart w:id="497" w:name="lt_pId2802"/>
      <w:bookmarkStart w:id="498" w:name="lt_pId2803"/>
      <w:bookmarkEnd w:id="497"/>
      <w:r>
        <w:t>Guvernul susține că, într-un domeniu atât de tehnic și de complex precum cel al schimbărilor climatice, statul trebuie să dispună de o marjă amplă de apreciere, iar controlul Curții trebuie să se limiteze la verificarea faptului că statul nu a săvârșit o eroare vădită de apreciere.</w:t>
      </w:r>
      <w:bookmarkEnd w:id="498"/>
      <w:r>
        <w:t xml:space="preserve"> </w:t>
      </w:r>
      <w:bookmarkStart w:id="499" w:name="lt_pId2804"/>
      <w:r>
        <w:t>În ceea ce privește factorii care trebuie luați în considerare în acest context, Guvernul subliniază că încălzirea globală a dat naștere unor întrebări și provocări noi și extrem de complexe.</w:t>
      </w:r>
      <w:bookmarkEnd w:id="499"/>
      <w:r>
        <w:t xml:space="preserve"> </w:t>
      </w:r>
      <w:bookmarkStart w:id="500" w:name="lt_pId2805"/>
      <w:r>
        <w:t>Consideră că această problemă include aspecte sociale și tehnice dificile</w:t>
      </w:r>
      <w:bookmarkStart w:id="501" w:name="lt_pId2806"/>
      <w:bookmarkEnd w:id="500"/>
      <w:r>
        <w:t xml:space="preserve"> și că abordarea acesteia necesită studierea datelor științifice și realizarea unei evaluări a riscurilor.</w:t>
      </w:r>
      <w:bookmarkEnd w:id="501"/>
      <w:r>
        <w:t xml:space="preserve"> </w:t>
      </w:r>
      <w:bookmarkStart w:id="502" w:name="lt_pId2807"/>
      <w:r>
        <w:t>Apreciază că alegerea celor mai bune modalități de combatere a încălzirii globale este un exercițiu delicat, în cadrul căruia trebuie să se țină seama de numeroase interese diferite, chiar contradictorii.</w:t>
      </w:r>
      <w:bookmarkEnd w:id="502"/>
      <w:r>
        <w:t xml:space="preserve"> </w:t>
      </w:r>
      <w:bookmarkStart w:id="503" w:name="lt_pId2808"/>
      <w:r>
        <w:t>Susține că măsurile de protecție a climei pot implica, de asemenea, restricții privind drepturile fundamentale și libertățile individuale.</w:t>
      </w:r>
      <w:bookmarkEnd w:id="503"/>
      <w:r>
        <w:t xml:space="preserve"> </w:t>
      </w:r>
      <w:bookmarkStart w:id="504" w:name="lt_pId2809"/>
      <w:r>
        <w:t>Prin urmare, în opinia sa, este necesar să se găsească soluțiile cele mai adecvate după un exercițiu de punere în balanță a tuturor intereselor aflate în joc.</w:t>
      </w:r>
      <w:bookmarkEnd w:id="504"/>
      <w:r>
        <w:t xml:space="preserve"> </w:t>
      </w:r>
      <w:bookmarkStart w:id="505" w:name="lt_pId2810"/>
      <w:r>
        <w:t>Opțiunile operaționale necesită stabilirea priorităților, inclusiv în ceea ce privește alocarea de resurse.</w:t>
      </w:r>
      <w:bookmarkEnd w:id="505"/>
      <w:r>
        <w:t xml:space="preserve"> </w:t>
      </w:r>
      <w:bookmarkStart w:id="506" w:name="lt_pId2811"/>
      <w:r>
        <w:t>În conformitate cu principiul subsidiarității, definirea și alegerea măsurilor care urmează să fie luate, a căror gamă este largă, intră în sfera de competență a guvernelor și parlamentelor naționale și, în cazul Elveției, se bazează pe un sistem de democrație directă și alegerile poporului.</w:t>
      </w:r>
      <w:bookmarkEnd w:id="506"/>
      <w:r>
        <w:t xml:space="preserve"> </w:t>
      </w:r>
      <w:bookmarkStart w:id="507" w:name="lt_pId2812"/>
      <w:r>
        <w:t>Toate aceste elemente pledează în favoarea acordării, în speță, a unei ample marje de apreciere statului.</w:t>
      </w:r>
      <w:bookmarkEnd w:id="507"/>
    </w:p>
    <w:bookmarkStart w:id="508" w:name="lt_pId2813"/>
    <w:bookmarkStart w:id="509" w:name="paragraph00352"/>
    <w:bookmarkEnd w:id="50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352</w:t>
      </w:r>
      <w:r w:rsidRPr="00472687">
        <w:fldChar w:fldCharType="end"/>
      </w:r>
      <w:bookmarkEnd w:id="509"/>
      <w:r>
        <w:t xml:space="preserve">. În ceea ce privește principiul interpretării armonioase a Convenției, Guvernul consideră că acesta nu poate fi folosit pentru a acoperi o pretinsă lacună din cadrul juridic internațional privind schimbările climatice și – ceea ce, susține acesta, doresc reclamantele în realitate – pentru a eluda mecanismul instituit prin Acordul de la Paris, prin încercarea de a institui un sistem de control judiciar internațional al măsurilor de limitare a emisiilor de GES. </w:t>
      </w:r>
      <w:bookmarkStart w:id="510" w:name="lt_pId2815"/>
      <w:r>
        <w:t>Acesta afirmă că, în fapt, în timpul negocierilor privind Acordul de la Paris, părțile au decis să nu creeze un mecanism obligatoriu de controlare a respectării angajamentelor statelor.</w:t>
      </w:r>
      <w:bookmarkEnd w:id="510"/>
      <w:r>
        <w:t xml:space="preserve"> </w:t>
      </w:r>
      <w:bookmarkStart w:id="511" w:name="lt_pId2816"/>
      <w:r>
        <w:t>Prin urmare, consideră că reclamantele nu pot solicita instituirea unui astfel de mecanism în temeiul Convenției, cu atât mai mult cu cât nu toate părțile la Acordul de la Paris sunt părți la Convenție și acest lucru ar risca să creeze o inegalitate între ele în cazul în care aspecte care sunt reglementate de Acordul de la Paris ar fi supuse unui control judiciar în temeiul Convenției.</w:t>
      </w:r>
      <w:bookmarkEnd w:id="511"/>
      <w:r>
        <w:t xml:space="preserve"> </w:t>
      </w:r>
      <w:bookmarkStart w:id="512" w:name="lt_pId2817"/>
      <w:r>
        <w:t>Prin urmare, Guvernul consideră că ar fi mai adecvat ca aspectele legate de schimbările climatice să fie abordate în temeiul altor instrumente internaționale decât Convenția.</w:t>
      </w:r>
      <w:bookmarkEnd w:id="512"/>
    </w:p>
    <w:p w:rsidR="00F524A5" w:rsidRPr="00472687" w:rsidRDefault="00C71855" w:rsidP="00F524A5">
      <w:pPr>
        <w:pStyle w:val="JuPara"/>
      </w:pPr>
      <w:fldSimple w:instr=" SEQ level0 \*arabic \* MERGEFORMAT ">
        <w:r w:rsidR="00F524A5" w:rsidRPr="00472687">
          <w:t>353</w:t>
        </w:r>
      </w:fldSimple>
      <w:r w:rsidR="00F524A5">
        <w:t xml:space="preserve">. </w:t>
      </w:r>
      <w:bookmarkStart w:id="513" w:name="lt_pId2818"/>
      <w:bookmarkStart w:id="514" w:name="lt_pId2819"/>
      <w:bookmarkEnd w:id="513"/>
      <w:r w:rsidR="00F524A5">
        <w:t>Guvernul afirmă că, în cazul în care Curtea ar considera necesar să ia în considerare anumite instrumente internaționale privind schimbările climatice, toate aceste instrumente sunt rezultatul unor negocieri între state suverane și prevăd un obiectiv colectiv și obligații individuale, lăsând diverse chestiuni ce țin de acest domeniu la discreția statelor.</w:t>
      </w:r>
      <w:bookmarkEnd w:id="514"/>
      <w:r w:rsidR="00F524A5">
        <w:t xml:space="preserve"> Precizează că acest lucru este valabil în special în ceea ce privește UNFCCC și Acordul de la Paris.</w:t>
      </w:r>
    </w:p>
    <w:bookmarkStart w:id="515" w:name="paragraph0035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354</w:t>
      </w:r>
      <w:r w:rsidRPr="00472687">
        <w:fldChar w:fldCharType="end"/>
      </w:r>
      <w:bookmarkEnd w:id="515"/>
      <w:r>
        <w:t xml:space="preserve">. </w:t>
      </w:r>
      <w:bookmarkStart w:id="516" w:name="lt_pId2821"/>
      <w:bookmarkStart w:id="517" w:name="lt_pId2822"/>
      <w:bookmarkEnd w:id="516"/>
      <w:r>
        <w:t>Guvernul subliniază că Proiectul de articole al Comisiei de drept internațional privind prevenirea daunelor transfrontaliere nu are o relevanță directă în speță întrucât aceasta nu privește daune transfrontaliere.</w:t>
      </w:r>
      <w:bookmarkEnd w:id="517"/>
      <w:r>
        <w:t xml:space="preserve"> </w:t>
      </w:r>
      <w:bookmarkStart w:id="518" w:name="lt_pId2823"/>
      <w:r>
        <w:t>În mod similar, consideră că Legea europeană a climei nu este relevantă: în susținerea acestui argument, explică faptul că Elveția nu este un stat membru al Uniunii Europene și că, în orice caz, textul în cauză este ulterior deciziilor pronunțate în prezenta cauză de instanțele interne.</w:t>
      </w:r>
      <w:bookmarkEnd w:id="518"/>
      <w:r>
        <w:t xml:space="preserve"> </w:t>
      </w:r>
      <w:bookmarkStart w:id="519" w:name="lt_pId2824"/>
      <w:r>
        <w:t>În ceea ce privește noutatea adusă de Rezoluția 76/300 a Adunării Generale a Organizației Națiunilor Unite, reamintește că acest instrument nu este obligatoriu din punct de vedere juridic.</w:t>
      </w:r>
      <w:bookmarkEnd w:id="519"/>
      <w:r>
        <w:t xml:space="preserve"> </w:t>
      </w:r>
      <w:bookmarkStart w:id="520" w:name="lt_pId2825"/>
      <w:r>
        <w:t>Afirmă că același lucru este valabil și în ceea ce privește Recomandarea CM/Rec(2022)20 (citată anterior) și activitatea desfășurată în prezent de Consiliul Europei în domeniul schimbărilor climatice.</w:t>
      </w:r>
      <w:bookmarkEnd w:id="520"/>
    </w:p>
    <w:bookmarkStart w:id="521" w:name="paragraph0035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355</w:t>
      </w:r>
      <w:r w:rsidRPr="00472687">
        <w:fldChar w:fldCharType="end"/>
      </w:r>
      <w:bookmarkEnd w:id="521"/>
      <w:r>
        <w:t xml:space="preserve">. </w:t>
      </w:r>
      <w:bookmarkStart w:id="522" w:name="lt_pId2826"/>
      <w:bookmarkStart w:id="523" w:name="lt_pId2827"/>
      <w:bookmarkEnd w:id="522"/>
      <w:r>
        <w:t>În aceste condiții, observând că dreptul la un mediu sănătos nu este garantat de Convenție, Guvernul consideră că doctrina instrumentului viu nu permite interpretarea Convenției într-un mod care aduce atingere principiilor de bază ale sistemului, cum ar fi principiul subsidiarității.</w:t>
      </w:r>
      <w:bookmarkEnd w:id="523"/>
      <w:r>
        <w:t xml:space="preserve"> </w:t>
      </w:r>
      <w:bookmarkStart w:id="524" w:name="lt_pId2828"/>
      <w:r>
        <w:t>În opinia sa, doctrina instrumentului viu nu poate fi invocată pentru a justifica o schimbare radicală a jurisprudenței Curții, întrucât s-ar face abstracție de situația predominantă în cadrul Înaltelor Părți Contractante.</w:t>
      </w:r>
      <w:bookmarkEnd w:id="524"/>
      <w:r>
        <w:t xml:space="preserve"> </w:t>
      </w:r>
      <w:bookmarkStart w:id="525" w:name="lt_pId2829"/>
      <w:r>
        <w:t>Potrivit Guvernului, din această perspectivă trebuie analizate progresele care au avut loc la nivel național în ceea ce privește interpretarea drepturilor fundamentale în materie de schimbări climatice (în special în Țările de Jos, Irlanda, Franța și Germania).</w:t>
      </w:r>
      <w:bookmarkEnd w:id="525"/>
    </w:p>
    <w:p w:rsidR="00F524A5" w:rsidRPr="00472687" w:rsidRDefault="00C71855" w:rsidP="00F524A5">
      <w:pPr>
        <w:pStyle w:val="JuPara"/>
      </w:pPr>
      <w:fldSimple w:instr=" SEQ level0 \*arabic \* MERGEFORMAT ">
        <w:r w:rsidR="00F524A5" w:rsidRPr="00472687">
          <w:t>356</w:t>
        </w:r>
      </w:fldSimple>
      <w:r w:rsidR="00F524A5">
        <w:t xml:space="preserve">. </w:t>
      </w:r>
      <w:bookmarkStart w:id="526" w:name="lt_pId2830"/>
      <w:bookmarkStart w:id="527" w:name="lt_pId2831"/>
      <w:bookmarkEnd w:id="526"/>
      <w:r w:rsidR="00F524A5">
        <w:t>În ceea ce privește conținutul obligațiilor statului, Guvernul susține că Elveția a instituit un cadru legislativ și administrativ adecvat, menit să asigure reducerea emisiilor de GES, și că este hotărâtă să adapteze acest cadru în funcție de evoluția situației, a cunoștințelor științifice și a circumstanțelor politice și juridice.</w:t>
      </w:r>
      <w:bookmarkEnd w:id="527"/>
      <w:r w:rsidR="00F524A5">
        <w:t xml:space="preserve"> </w:t>
      </w:r>
      <w:bookmarkStart w:id="528" w:name="lt_pId2832"/>
      <w:r w:rsidR="00F524A5">
        <w:t>Acesta adaugă că au fost adoptate o serie de măsuri pe plan intern și că acestea sunt compatibile cu obiectivul Acordului de la Paris.</w:t>
      </w:r>
      <w:bookmarkEnd w:id="528"/>
    </w:p>
    <w:bookmarkStart w:id="529" w:name="paragraph0035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357</w:t>
      </w:r>
      <w:r w:rsidRPr="00472687">
        <w:fldChar w:fldCharType="end"/>
      </w:r>
      <w:bookmarkEnd w:id="529"/>
      <w:r>
        <w:t xml:space="preserve">. </w:t>
      </w:r>
      <w:bookmarkStart w:id="530" w:name="lt_pId2833"/>
      <w:bookmarkStart w:id="531" w:name="lt_pId2834"/>
      <w:bookmarkEnd w:id="530"/>
      <w:r>
        <w:t>Guvernul explică în continuare că diferitele acțiuni întreprinse la nivel intern demonstrează dorința Elveției de a se încadra în intervalul indicat de IPCC, pentru a contribui la stabilizarea încălzirii globale la1,5</w:t>
      </w:r>
      <w:r>
        <w:rPr>
          <w:vertAlign w:val="superscript"/>
        </w:rPr>
        <w:t>o</w:t>
      </w:r>
      <w:r>
        <w:t>C. De asemenea, afirmă că adoptarea obiectivului de zero emisii nete până în 2050 servește drept punct de plecare pentru elaborarea unei strategii climatice pe termen lung.</w:t>
      </w:r>
      <w:bookmarkEnd w:id="531"/>
      <w:r>
        <w:t xml:space="preserve"> </w:t>
      </w:r>
      <w:bookmarkStart w:id="532" w:name="lt_pId2836"/>
      <w:r>
        <w:t>Potrivit Guvernului, faptul că noua lege privind emisiile de CO</w:t>
      </w:r>
      <w:r>
        <w:rPr>
          <w:vertAlign w:val="subscript"/>
        </w:rPr>
        <w:t>2</w:t>
      </w:r>
      <w:r>
        <w:t xml:space="preserve"> a fost respinsă în urma unui referendum nu înseamnă că Elveția nu depune eforturi pentru a combate schimbările climatice sau că CDN-ul acesteia s-a </w:t>
      </w:r>
      <w:r>
        <w:lastRenderedPageBreak/>
        <w:t>schimbat.</w:t>
      </w:r>
      <w:bookmarkEnd w:id="532"/>
      <w:r>
        <w:t xml:space="preserve"> </w:t>
      </w:r>
      <w:bookmarkStart w:id="533" w:name="lt_pId2837"/>
      <w:r>
        <w:t>În fapt, oamenii nu au respins ideea necesității de a combate încălzirea globală, ci mai degrabă instrumentele propuse pentru a face acest lucru.</w:t>
      </w:r>
      <w:bookmarkEnd w:id="533"/>
      <w:r>
        <w:t xml:space="preserve"> </w:t>
      </w:r>
      <w:bookmarkStart w:id="534" w:name="lt_pId2838"/>
      <w:r>
        <w:t>În plus, Consiliul Federal a prevăzut o serie de măsuri menite să permită găsirea altor soluții.</w:t>
      </w:r>
      <w:bookmarkEnd w:id="534"/>
      <w:r>
        <w:t xml:space="preserve"> </w:t>
      </w:r>
      <w:bookmarkStart w:id="535" w:name="lt_pId2839"/>
      <w:r>
        <w:t>În orice caz, stabilirea celor mai bune modalități de abordare a schimbărilor climatice ține de marja de apreciere a statului, iar Elveția și cetățenii acesteia sunt cei mai în măsură să găsească soluțiile adecvate.</w:t>
      </w:r>
      <w:bookmarkEnd w:id="535"/>
      <w:r>
        <w:t xml:space="preserve"> Potrivit </w:t>
      </w:r>
      <w:bookmarkStart w:id="536" w:name="lt_pId2840"/>
      <w:r>
        <w:t>Guvernului, Elveția și-a îndeplinit și s-a angajat să își îndeplinească pe deplin angajamentele asumate în temeiul Acordului de la Paris și, prin urmare, nu și-a depășit și nu își va depăși marja de apreciere.</w:t>
      </w:r>
      <w:bookmarkEnd w:id="536"/>
    </w:p>
    <w:p w:rsidR="00F524A5" w:rsidRPr="00472687" w:rsidRDefault="00C71855" w:rsidP="00F524A5">
      <w:pPr>
        <w:pStyle w:val="JuPara"/>
      </w:pPr>
      <w:fldSimple w:instr=" SEQ level0 \*arabic \* MERGEFORMAT ">
        <w:r w:rsidR="00F524A5" w:rsidRPr="00472687">
          <w:t>358</w:t>
        </w:r>
      </w:fldSimple>
      <w:r w:rsidR="00F524A5">
        <w:t xml:space="preserve">. </w:t>
      </w:r>
      <w:bookmarkStart w:id="537" w:name="lt_pId2841"/>
      <w:bookmarkStart w:id="538" w:name="lt_pId2842"/>
      <w:bookmarkEnd w:id="537"/>
      <w:r w:rsidR="00F524A5">
        <w:t>În plus, Guvernul susține că Elveția și-a atins obiectivul internațional stabilit în privința acesteia în cadrul Protocolului de la Kyoto (reducerea emisiilor sale de GES între 2013 și 2020 cu 15,8% în medie față de 1990), în special prin reducerea emisiilor sale cu 11% în medie.</w:t>
      </w:r>
      <w:bookmarkEnd w:id="538"/>
      <w:r w:rsidR="00F524A5">
        <w:t xml:space="preserve"> </w:t>
      </w:r>
      <w:bookmarkStart w:id="539" w:name="lt_pId2843"/>
      <w:r w:rsidR="00F524A5">
        <w:t>Acesta declară de asemenea că, la nivel național, obiectivul stabilit în actuala lege privind emisiile de CO</w:t>
      </w:r>
      <w:r w:rsidR="00F524A5">
        <w:rPr>
          <w:vertAlign w:val="subscript"/>
        </w:rPr>
        <w:t>2</w:t>
      </w:r>
      <w:r w:rsidR="00F524A5">
        <w:t xml:space="preserve"> (reducerea, până în 2020, a emisiilor de GES cu 20% față de 1990) a fost îndeplinit aproape în totalitate (precizează că Elveția și-a redus emisiile de GES cu 19%).</w:t>
      </w:r>
      <w:bookmarkEnd w:id="539"/>
      <w:r w:rsidR="00F524A5">
        <w:t xml:space="preserve"> </w:t>
      </w:r>
      <w:bookmarkStart w:id="540" w:name="lt_pId2844"/>
      <w:r w:rsidR="00F524A5">
        <w:t>Totuși, subliniază că, în această privință, este important să se țină seama de faptul că, în Elveția, costurile de reducere a emisiilor de GES sunt ridicate, deoarece, explică acesta, singurele sectoare în care sunt posibile reduceri sunt sectorul locuințelor și cel al transporturilor, care, în opinia sa, necesită perioade mai lungi de conversie.</w:t>
      </w:r>
      <w:bookmarkEnd w:id="540"/>
    </w:p>
    <w:p w:rsidR="00F524A5" w:rsidRPr="00472687" w:rsidRDefault="00C71855" w:rsidP="00F524A5">
      <w:pPr>
        <w:pStyle w:val="JuPara"/>
      </w:pPr>
      <w:fldSimple w:instr=" SEQ level0 \*arabic \* MERGEFORMAT ">
        <w:r w:rsidR="00F524A5" w:rsidRPr="00472687">
          <w:t>359</w:t>
        </w:r>
      </w:fldSimple>
      <w:r w:rsidR="00F524A5">
        <w:t>. Făcând referire în special la aprecierile – CAT, Climate Analytics și Rajamani și alții (2021) (supra, pct. </w:t>
      </w:r>
      <w:r w:rsidR="00F524A5" w:rsidRPr="00472687">
        <w:fldChar w:fldCharType="begin"/>
      </w:r>
      <w:r w:rsidR="00F524A5" w:rsidRPr="00472687">
        <w:instrText xml:space="preserve">REF paragraph00325 \h \* CharFormat </w:instrText>
      </w:r>
      <w:r w:rsidR="00F524A5" w:rsidRPr="00472687">
        <w:fldChar w:fldCharType="separate"/>
      </w:r>
      <w:r w:rsidR="00F524A5" w:rsidRPr="00472687">
        <w:t>325</w:t>
      </w:r>
      <w:r w:rsidR="00F524A5" w:rsidRPr="00472687">
        <w:fldChar w:fldCharType="end"/>
      </w:r>
      <w:r w:rsidR="00F524A5">
        <w:t>) – pe care se întemeiază reclamantele în ceea ce privește măsurile de atenuare luate de Elveția, Guvernul susține că aceste aprecieri se bazează pe ipoteze subiective și nu se poate considera că sugerează faptul că traiectoria stabilită de stat este imposibil de respectat. Acesta apreciază în special că respectiva clasificare a țărilor realizată de CAT este discutabilă, iar metodologia este neclară. Însuși CAT a admis că nu există un cadru unic și recunoscut pentru a stabili ce anume constituie o contribuție echitabilă la eforturile mondiale. În plus, unele studii se bazează pe alte metodologii. În ceea ce privește analiza Climate Analytics, aceasta nu propune un interval statistic în proiecțiile sale, iar modelarea este practic liniară, cu un punct de plecare în 2020 și un punct final în 2030. Este dificil de înțeles modul în care Climate Analytics a putut calcula cu precizie o traiectorie modelată pentru o încălzire cu 1,5</w:t>
      </w:r>
      <w:r w:rsidR="00F524A5">
        <w:rPr>
          <w:vertAlign w:val="superscript"/>
        </w:rPr>
        <w:t>o</w:t>
      </w:r>
      <w:r w:rsidR="00F524A5">
        <w:t>C. Guvernul precizează că Climate Analytics a analizat amendamentele la Legea privind emisiile de CO</w:t>
      </w:r>
      <w:r w:rsidR="00F524A5">
        <w:rPr>
          <w:vertAlign w:val="subscript"/>
        </w:rPr>
        <w:t>2</w:t>
      </w:r>
      <w:r w:rsidR="00F524A5">
        <w:t xml:space="preserve"> care au fost respinse, în timp ce o nouă lege va fi supusă votului popular în 2023. Potrivit acestuia, Climate Analytics, pe de o parte, nu a ținut seama de acordurile bilaterale încheiate de Elveția cu alte țări în privința măsurilor de atenuare, și, pe de altă parte, a sugerat reduceri ale emisiilor de GES care ar exercita o presiune disproporționată asupra sistemului național. În ceea ce privește studiul realizat de Rajamani și alții (2021), Guvernul susține că acesta se bazează pe considerații legate de diferite principii ale dreptului internațional al mediului, că acesta este așadar parțial subiectiv și că propune, </w:t>
      </w:r>
      <w:r w:rsidR="00F524A5">
        <w:lastRenderedPageBreak/>
        <w:t>de asemenea, instituirea unor măsuri care ar exercita o presiune disproporționată asupra sistemului intern.</w:t>
      </w:r>
    </w:p>
    <w:bookmarkStart w:id="541" w:name="paragraph0036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360</w:t>
      </w:r>
      <w:r w:rsidRPr="00472687">
        <w:fldChar w:fldCharType="end"/>
      </w:r>
      <w:bookmarkEnd w:id="541"/>
      <w:r>
        <w:t xml:space="preserve">. </w:t>
      </w:r>
      <w:bookmarkStart w:id="542" w:name="lt_pId2856"/>
      <w:r>
        <w:t>Guvernul susține că, în orice caz, nu există o metodologie stabilită pentru determinarea bugetului de carbon al unei țări sau a „cotei echitabile” ce îi revine unei țări</w:t>
      </w:r>
      <w:bookmarkStart w:id="543" w:name="_Ref161664872"/>
      <w:r>
        <w:t>.</w:t>
      </w:r>
      <w:r>
        <w:rPr>
          <w:vertAlign w:val="superscript"/>
        </w:rPr>
        <w:footnoteReference w:id="180"/>
      </w:r>
      <w:bookmarkEnd w:id="543"/>
      <w:r>
        <w:t xml:space="preserve"> Acesta explică faptul că Elveția nu a stabilit un buget de carbon specific, dar că politica sa națională în domeniul climei poate fi asimilată unei abordări constând în stabilirea unui buget de carbon. Potrivit Guvernului, Elveția și-a întemeiat politica privind clima pe evaluări interne relevante</w:t>
      </w:r>
      <w:r>
        <w:rPr>
          <w:vertAlign w:val="superscript"/>
        </w:rPr>
        <w:footnoteReference w:id="181"/>
      </w:r>
      <w:r>
        <w:t xml:space="preserve"> și, prin CDN-urile sale, și-a stabilit obiectivele de reducere a emisiilor de carbon, aflându-se pe o traiectorie clară, care va conduce la atingerea obiectivului de zero emisii nete până în 2050. CDN-ul Elveției este conform cu cota sa echitabilă, deoarece se bazează pe următoarele principii: responsabilitate (având în vedere contribuția globală la emisiile de GES, pe care Guvernul o consideră scăzută), capacitatea de a contribui la rezolvarea problemei schimbărilor climatice și capacitatea de a suporta sarcina financiară pe care o implică măsurile de reducere a emisiilor de GES.</w:t>
      </w:r>
      <w:bookmarkEnd w:id="542"/>
    </w:p>
    <w:p w:rsidR="00F524A5" w:rsidRPr="00472687" w:rsidRDefault="00C71855" w:rsidP="00F524A5">
      <w:pPr>
        <w:pStyle w:val="JuPara"/>
      </w:pPr>
      <w:fldSimple w:instr=" SEQ level0 \*arabic \* MERGEFORMAT ">
        <w:r w:rsidR="00F524A5" w:rsidRPr="00472687">
          <w:t>361</w:t>
        </w:r>
      </w:fldSimple>
      <w:r w:rsidR="00F524A5">
        <w:t xml:space="preserve">. </w:t>
      </w:r>
      <w:bookmarkStart w:id="548" w:name="lt_pId2860"/>
      <w:bookmarkEnd w:id="548"/>
      <w:r w:rsidR="00F524A5">
        <w:t>În plus, Guvernul consideră că, în acest context, sunt importante și măsurile de adaptare, cu atât mai mult cu cât, potrivit acestuia, Elveția nu poate preveni încălzirea globală de una singură. Apreciază că Elveția a adoptat diverse măsuri de adaptare, care sunt eficiente. Astfel, mortalitatea excesivă legată de căldură a fost semnificativ mai scăzută în 2018 și 2019 decât în perioada 2003-2015. Se pare că s-au luat diverse inițiative la nivel cantonal și federal pentru a crește gradul de conștientizare cu privire la riscurile pe care le implică încălzirea globală și episoadele caniculare.</w:t>
      </w:r>
    </w:p>
    <w:p w:rsidR="00F524A5" w:rsidRPr="00472687" w:rsidRDefault="00C71855" w:rsidP="00F524A5">
      <w:pPr>
        <w:pStyle w:val="JuPara"/>
      </w:pPr>
      <w:fldSimple w:instr=" SEQ level0 \*arabic \* MERGEFORMAT ">
        <w:r w:rsidR="00F524A5" w:rsidRPr="00472687">
          <w:t>362</w:t>
        </w:r>
      </w:fldSimple>
      <w:r w:rsidR="00F524A5">
        <w:t xml:space="preserve">. </w:t>
      </w:r>
      <w:bookmarkStart w:id="549" w:name="lt_pId2865"/>
      <w:bookmarkEnd w:id="549"/>
      <w:r w:rsidR="00F524A5">
        <w:t>Guvernul consideră că procesul legislativ și decizional referitor la elaborarea măsurilor de reducere a emisiilor de GES ale Elveției se caracterizează prin deschidere și transparență totală. Afirmă că acest proces a permis, de asemenea, luarea sistematică în considerare a anchetelor și studiilor științifice, precum și o largă participare a tuturor părților interesate. Adaugă că a fost organizat un referendum cu privire la acest aspect. Susține că sistemul Elveției de democrație directă nu constituie o amenințare la adresa minorităților, ci mai degrabă un mijloc de integrare și protejare a acestora.</w:t>
      </w:r>
    </w:p>
    <w:bookmarkStart w:id="550" w:name="lt_pId2870"/>
    <w:bookmarkStart w:id="551" w:name="paragraph00363"/>
    <w:bookmarkEnd w:id="55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363</w:t>
      </w:r>
      <w:r w:rsidRPr="00472687">
        <w:fldChar w:fldCharType="end"/>
      </w:r>
      <w:bookmarkEnd w:id="551"/>
      <w:r>
        <w:t xml:space="preserve">. Potrivit Guvernului, eforturile pe plan intern sus-menționate sunt conforme cu principiile enunțate în Convenția de la Aarhus, deși aceasta a intrat în vigoare în privința Elveției abia mai târziu (1 iunie 2014) și nu prevede în mod specific nevoia de a dispune de studii științifice în contextul participării publicului. Participarea și informarea publicului au fost asigurate și în alte moduri, în special prin intermediul Organului consultativ privind schimbările climatice și al </w:t>
      </w:r>
      <w:r>
        <w:rPr>
          <w:i/>
        </w:rPr>
        <w:t xml:space="preserve">Centrului Național pentru Servicii Climatice </w:t>
      </w:r>
      <w:r>
        <w:rPr>
          <w:i/>
        </w:rPr>
        <w:lastRenderedPageBreak/>
        <w:t>(National Centre for Climate Services),</w:t>
      </w:r>
      <w:r>
        <w:t xml:space="preserve"> precum și pe baza principiului transparenței în activitatea administrației.</w:t>
      </w:r>
    </w:p>
    <w:bookmarkStart w:id="552" w:name="paragraph0036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364</w:t>
      </w:r>
      <w:r w:rsidRPr="00472687">
        <w:fldChar w:fldCharType="end"/>
      </w:r>
      <w:bookmarkEnd w:id="552"/>
      <w:r>
        <w:t xml:space="preserve">. </w:t>
      </w:r>
      <w:bookmarkStart w:id="553" w:name="lt_pId2873"/>
      <w:bookmarkEnd w:id="553"/>
      <w:r>
        <w:t xml:space="preserve">În măsura în care reclamantele invocă principiul precauției, Guvernul susține că acesta nu are valoarea unei norme de drept internațional necontestate și că, în plus, Curtea a făcut referire la acest principiu doar în contextul destul de specific al cauzei </w:t>
      </w:r>
      <w:r>
        <w:rPr>
          <w:i/>
        </w:rPr>
        <w:t>Tătar</w:t>
      </w:r>
      <w:r>
        <w:t xml:space="preserve"> (hotărâre citată anterior). Deși a admis că acest principiu ar putea oferi unele clarificări cu privire la obligația pozitivă ce revine statelor în temeiul art. 2 și 8 din Convenție, Guvernul consideră că este prea vag pentru a putea să ghideze cu adevărat procesul decizional. Acesta declară că, în orice caz, Elveția nu a invocat niciodată lipsa certitudinii științifice ca pretext pentru a amâna adoptarea de măsuri în domeniul schimbărilor climatice. În ceea ce privește principiul solidarității între generații, Guvernul consideră că, la fel ca principiul precauției, acesta nu are valoare de normă de drept internațional și că, în orice caz, nu este relevant în prezenta cauză.</w:t>
      </w:r>
    </w:p>
    <w:bookmarkStart w:id="554" w:name="paragraph0036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365</w:t>
      </w:r>
      <w:r w:rsidRPr="00472687">
        <w:fldChar w:fldCharType="end"/>
      </w:r>
      <w:bookmarkEnd w:id="554"/>
      <w:r>
        <w:t xml:space="preserve">. </w:t>
      </w:r>
      <w:bookmarkStart w:id="555" w:name="lt_pId2878"/>
      <w:bookmarkEnd w:id="555"/>
      <w:r>
        <w:t>Pe scurt, Guvernul susține că Elveția și-a îndeplinit obligațiile care îi revin în temeiul art. 2 și 8 din Convenție și consideră că respectivele capete de cerere formulate de reclamante trebuie să fie declarate inadmisibile ca fiind vădit nefondate.</w:t>
      </w:r>
    </w:p>
    <w:p w:rsidR="00F524A5" w:rsidRPr="00472687" w:rsidRDefault="00F524A5" w:rsidP="00E72A1B">
      <w:pPr>
        <w:pStyle w:val="JuHA"/>
        <w:numPr>
          <w:ilvl w:val="2"/>
          <w:numId w:val="51"/>
        </w:numPr>
      </w:pPr>
      <w:bookmarkStart w:id="556" w:name="_Toc149127532"/>
      <w:bookmarkStart w:id="557" w:name="_Toc158019710"/>
      <w:bookmarkStart w:id="558" w:name="_Toc199273528"/>
      <w:r>
        <w:t>Terții intervenienți</w:t>
      </w:r>
      <w:bookmarkEnd w:id="556"/>
      <w:bookmarkEnd w:id="557"/>
      <w:bookmarkEnd w:id="558"/>
    </w:p>
    <w:p w:rsidR="00F524A5" w:rsidRPr="00472687" w:rsidRDefault="00F524A5" w:rsidP="00E72A1B">
      <w:pPr>
        <w:pStyle w:val="JuH1"/>
        <w:numPr>
          <w:ilvl w:val="3"/>
          <w:numId w:val="51"/>
        </w:numPr>
      </w:pPr>
      <w:bookmarkStart w:id="559" w:name="_Toc199273529"/>
      <w:r>
        <w:t>Guvernele interveniente</w:t>
      </w:r>
      <w:bookmarkEnd w:id="559"/>
    </w:p>
    <w:p w:rsidR="00F524A5" w:rsidRPr="00472687" w:rsidRDefault="00F524A5" w:rsidP="00E72A1B">
      <w:pPr>
        <w:pStyle w:val="JuHa0"/>
        <w:numPr>
          <w:ilvl w:val="4"/>
          <w:numId w:val="51"/>
        </w:numPr>
      </w:pPr>
      <w:bookmarkStart w:id="560" w:name="_Toc199273530"/>
      <w:r>
        <w:t>Guvernul austriac</w:t>
      </w:r>
      <w:bookmarkEnd w:id="560"/>
    </w:p>
    <w:bookmarkStart w:id="561" w:name="paragraph0036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366</w:t>
      </w:r>
      <w:r w:rsidRPr="00472687">
        <w:fldChar w:fldCharType="end"/>
      </w:r>
      <w:bookmarkEnd w:id="561"/>
      <w:r>
        <w:t xml:space="preserve">. Guvernul austriac consideră că este important să se clarifice natura Acordului de la Paris. Apreciază că doar câteva dispoziții ale acestui acord sunt obligatorii din punct de vedere juridic (articolele 2-4), în timp ce restul au valoare de recomandare. Acesta susține că Acordul de la Paris precizează că fiecare stat își poate defini în mod autonom intențiile cu privire la reducerea emisiilor, atât în ceea ce privește obiectivele cantitative, cât și mijloacele de realizare a acestora, în funcție de situațiile naționale specifice [guvernul intervenient face referire la noțiunea de „auto-diferențiere” (engl. </w:t>
      </w:r>
      <w:r>
        <w:rPr>
          <w:i/>
          <w:iCs/>
        </w:rPr>
        <w:t>self-differentiation</w:t>
      </w:r>
      <w:r>
        <w:t xml:space="preserve">; fr. </w:t>
      </w:r>
      <w:r>
        <w:rPr>
          <w:i/>
          <w:iCs/>
        </w:rPr>
        <w:t>auto-différenciation</w:t>
      </w:r>
      <w:r>
        <w:t xml:space="preserve">)]. În plus, afirmă că obligațiile care decurg din articolele 2-4 din Acord sunt obligații de mijloace, nu de rezultat. Observă că Acordul nu prevede sancțiuni juridice în cazul neîndeplinirii obiectivelor de reducere sau al nerespectării CDN-urilor. Consideră că prezenta cerere este o încercare de a face Acordul de la Paris opozabil în justiție și de a deschide </w:t>
      </w:r>
      <w:r>
        <w:rPr>
          <w:i/>
        </w:rPr>
        <w:t>de facto</w:t>
      </w:r>
      <w:r>
        <w:t xml:space="preserve"> posibilitatea introducerii unor cereri întemeiate pe Convenție, în coroborare cu Acordul, ceea ce contravine înseși naturii și scopului mecanismului Convenției, precum și ale Acordului de la Paris. Acesta apreciază că, în fapt, este imposibil să se consacre dreptul la un mediu sănătos în temeiul Convenției și, în orice caz, în temeiul Acordului de la Paris. Adaugă că, și presupunând că principiul precauției este </w:t>
      </w:r>
      <w:r>
        <w:lastRenderedPageBreak/>
        <w:t>relevant, nu este vorba despre un principiu universal de drept internațional cutumiar.</w:t>
      </w:r>
    </w:p>
    <w:p w:rsidR="00F524A5" w:rsidRPr="00472687" w:rsidRDefault="00F524A5" w:rsidP="00E72A1B">
      <w:pPr>
        <w:pStyle w:val="JuHa0"/>
        <w:numPr>
          <w:ilvl w:val="4"/>
          <w:numId w:val="51"/>
        </w:numPr>
      </w:pPr>
      <w:bookmarkStart w:id="562" w:name="_Toc199273531"/>
      <w:r>
        <w:t>Guvernul irlandez</w:t>
      </w:r>
      <w:bookmarkEnd w:id="562"/>
    </w:p>
    <w:bookmarkStart w:id="563" w:name="paragraph0036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367</w:t>
      </w:r>
      <w:r w:rsidRPr="00472687">
        <w:fldChar w:fldCharType="end"/>
      </w:r>
      <w:bookmarkEnd w:id="563"/>
      <w:r>
        <w:t>. Guvernul irlandez recunoaște gravitatea amenințării cu care se confruntă comunitatea internațională din cauza schimbărilor climatice, precum și necesitatea unor acțiuni urgente pentru combaterea acestora. Consideră însă că acest răspuns trebuie să fie global și efectiv și că nu este sarcina Curții să se erijeze în autoritate legislativă sau de reglementare, întrucât acest lucru ar însemna să nu țină seama de rolul pe care îl au procesul democratic și instituțiile în contracararea schimbărilor climatice. În plus, susține că, în domeniul în cauză, noțiunea de instanță trebuie înțeleasă doar în sens teritorial. De asemenea, apreciază că o asociație nu poate pretinde că are calitate de victimă în temeiul art. 2 și 8 ca urmare a existenței unor riscuri la adresa vieții sau a sănătății și că factorul vârstă nu poate fi suficient pentru ca un grup de reclamanți să fie considerați victime din cauza schimbărilor climatice. Guvernul intervenient face referire de asemenea la pragul, în opinia sa ridicat, care este necesar pentru aplicarea art. 2 și 8 în materie. În sfârșit, susține că, în conformitate cu principiul subsidiarității și cu marja de apreciere amplă lăsată statelor, rolul principal al Curții în litigiile în materie de mediu este acela de a examina procesul decizional din punct de vedere procedural</w:t>
      </w:r>
      <w:r>
        <w:rPr>
          <w:b/>
        </w:rPr>
        <w:t xml:space="preserve"> </w:t>
      </w:r>
      <w:r>
        <w:t>și că doar în „circumstanțe excepționale” Curtea poate să efectueze o apreciere a conținutului unei politici de mediu.</w:t>
      </w:r>
    </w:p>
    <w:bookmarkStart w:id="564" w:name="paragraph0036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368</w:t>
      </w:r>
      <w:r w:rsidRPr="00472687">
        <w:fldChar w:fldCharType="end"/>
      </w:r>
      <w:bookmarkEnd w:id="564"/>
      <w:r>
        <w:t>. Deși guvernul intervenient admite că dispozițiile Convenției trebuie să fie interpretate în armonie cu alte norme de drept internațional, acesta afirmă că stadiul actual al dreptului internațional, astfel cum reiese din UNFCCC și din Acordul de la Paris, trebuie să servească drept bază pentru stabilirea întinderii obligațiilor care decurg din Convenție. Adaugă că dispozițiile Convenției ar trebui interpretate în conformitate cu și în lumina acestor instrumente internaționale specializate, care sunt punctele de referință cele mai relevante în materie. În sfârșit, acesta susține că nu se poate considera că interpretările reținute de una sau mai multe instanțe naționale, în special atunci când acestea depășesc jurisprudența constantă a Curții, stabilesc norma în temeiul Convenției.</w:t>
      </w:r>
    </w:p>
    <w:p w:rsidR="00F524A5" w:rsidRPr="00472687" w:rsidRDefault="00C71855" w:rsidP="00F524A5">
      <w:pPr>
        <w:pStyle w:val="JuPara"/>
        <w:rPr>
          <w:b/>
          <w:bCs/>
        </w:rPr>
      </w:pPr>
      <w:fldSimple w:instr=" SEQ level0 \*arabic \* MERGEFORMAT ">
        <w:r w:rsidR="00F524A5" w:rsidRPr="00472687">
          <w:t>369</w:t>
        </w:r>
      </w:fldSimple>
      <w:r w:rsidR="00F524A5">
        <w:t>. Pe scurt, guvernul intervenient consideră că scopul prezentei cereri este de a obține extinderea considerabilă a jurisprudenței Curții cu privire la admisibilitatea și examinarea pe fond a art. 2 și 8, că aceasta urmărește să eludeze procesul democratic în cadrul căruia este necesar să se desfășoare acțiunile climatice pentru ca acestea să fie legitime și eficiente și că această cerere este incompatibilă cu respectivul cadru internațional care reglementează în mod specific acțiunile climatice asumate de părțile contractante.</w:t>
      </w:r>
    </w:p>
    <w:p w:rsidR="00F524A5" w:rsidRPr="00472687" w:rsidRDefault="00F524A5" w:rsidP="00E72A1B">
      <w:pPr>
        <w:pStyle w:val="JuHa0"/>
        <w:numPr>
          <w:ilvl w:val="4"/>
          <w:numId w:val="51"/>
        </w:numPr>
      </w:pPr>
      <w:bookmarkStart w:id="565" w:name="_Toc199273532"/>
      <w:r>
        <w:lastRenderedPageBreak/>
        <w:t>Guvernul italian</w:t>
      </w:r>
      <w:bookmarkEnd w:id="565"/>
    </w:p>
    <w:bookmarkStart w:id="566" w:name="paragraph0037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370</w:t>
      </w:r>
      <w:r w:rsidRPr="00472687">
        <w:fldChar w:fldCharType="end"/>
      </w:r>
      <w:bookmarkEnd w:id="566"/>
      <w:r>
        <w:t>. Guvernul italian consideră că este important să se sublinieze că noțiunea de jurisdicție, în sensul art. 1 din Convenție, este în esență teritorială. Apreciază că natura „specială” a circumstanțelor unei anumite cauze nu implică, în sine, existența unei jurisdicții extrateritoriale și că principiul interpretării, potrivit căruia Convenția este un „instrument viu”, nu se aplică în cazul acestui articol. În plus, susține că, pentru a putea pretinde că au calitatea de victimă ca urmare a daunelor aduse mediului și a riscurilor pentru mediu, reclamantele nu se pot limita la simple conjecturi cu privire la anumite încălcări și trebuie să demonstreze că sunt direct afectate. Argumentează că, pentru ca art. 2 să se aplice, trebuie să existe o amenințare la adresa vieții și că, din perspectiva art. 8, consecințele negative ale poluării mediului trebuie să atingă un anumit nivel minim de gravitate. Adaugă că, în orice caz, statul dispune de o marjă largă de apreciere în domeniile tehnice și complexe.</w:t>
      </w:r>
    </w:p>
    <w:p w:rsidR="00F524A5" w:rsidRPr="00472687" w:rsidRDefault="00F524A5" w:rsidP="00E72A1B">
      <w:pPr>
        <w:pStyle w:val="JuHa0"/>
        <w:numPr>
          <w:ilvl w:val="4"/>
          <w:numId w:val="51"/>
        </w:numPr>
      </w:pPr>
      <w:bookmarkStart w:id="567" w:name="_Toc199273533"/>
      <w:r>
        <w:t>Guvernul leton</w:t>
      </w:r>
      <w:bookmarkEnd w:id="567"/>
    </w:p>
    <w:bookmarkStart w:id="568" w:name="paragraph0037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371</w:t>
      </w:r>
      <w:r w:rsidRPr="00472687">
        <w:fldChar w:fldCharType="end"/>
      </w:r>
      <w:bookmarkEnd w:id="568"/>
      <w:r>
        <w:t>. Guvernul leton apreciază că, datorită consensului internațional cu privire la necesitatea de a combate schimbările climatice, statele beneficiază de o marjă de apreciere foarte largă în ceea ce privește stabilirea echilibrului just care trebuie asigurat între interesele concurente aflate în joc. Acesta consideră că alegerea mijloacelor și a modalităților de punere în aplicare a acestora revine statului în cauză. Adaugă că principiul subsidiarității, care stă la baza sistemului Convenției, este deosebit de important, în special în contextul posibilei aplicări a art. 46 din Convenție. Acesta subliniază de asemenea că, în contextul în cauză, jurisdicția, în sensul atribuit de Convenție acestei noțiuni, ar trebui să fie teritorială și că nicio schimbare la nivel internațional nu poate fi interpretată ca justificând extinderea acestei noțiuni. Deși admite că întinderea obligațiilor din domeniul schimbărilor climatice, ce revin statelor în temeiul Convenției, ar trebui să fie stabilită de Curte, ținând seama de instrumentele internaționale existente în acest domeniu, guvernul intervenient susține că Curtea nu poate considera că există un drept autonom al persoanelor particulare de a solicita statelor să adopte acțiuni, măsuri sau politici specifice pentru a combate schimbările climatice, întrucât, în opinia sa, un astfel de drept nu este consacrat în instrumentele internaționale în cauză.</w:t>
      </w:r>
    </w:p>
    <w:p w:rsidR="00F524A5" w:rsidRPr="00472687" w:rsidRDefault="00F524A5" w:rsidP="00E72A1B">
      <w:pPr>
        <w:pStyle w:val="JuHa0"/>
        <w:numPr>
          <w:ilvl w:val="4"/>
          <w:numId w:val="51"/>
        </w:numPr>
      </w:pPr>
      <w:bookmarkStart w:id="569" w:name="_Toc199273534"/>
      <w:r>
        <w:t>Guvernul norvegian</w:t>
      </w:r>
      <w:bookmarkEnd w:id="569"/>
    </w:p>
    <w:bookmarkStart w:id="570" w:name="paragraph00372"/>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372</w:t>
      </w:r>
      <w:r w:rsidRPr="00472687">
        <w:fldChar w:fldCharType="end"/>
      </w:r>
      <w:bookmarkEnd w:id="570"/>
      <w:r>
        <w:t xml:space="preserve">. Guvernul norvegian subliniază că Norvegia este ferm hotărâtă să reducă emisiile naționale și să contribuie la realizarea obiectivului global pe termen lung, prevăzut la articolul 2 din Acordul de la Paris. Cu toate acestea, stabilirea politicilor climatice și energetice ar trebui să fie, în esență, un exercițiu politic și democratic. Susține că Convenția nu este un instrument de protecție a intereselor colective și că rolul Curții nu este de a supraveghea </w:t>
      </w:r>
      <w:r>
        <w:lastRenderedPageBreak/>
        <w:t>deciziile politice care afectează societatea în ansamblu. Acesta consideră că, în materie de mediu, nu există nicio bază legală care să permită extinderea domeniului de aplicare teritorial, personal și material al obligațiilor care decurg din Convenție, întrucât, în opinia sa, o astfel de abordare ar fi contrară principiului subsidiarității și nu ar ține seama de marja de apreciere de care beneficiază statul. Afirmă în special că nu există nicio bază legală care să permită extinderea noțiunii de jurisdicție teritorială în contextul climatic în cauză sau contestarea respingerii de către Curte a concepției de tip „cauză-efect” a acestei noțiuni. Acesta declară că diferitele instrumente internaționale referitoare la schimbările climatice nu au nicio influență asupra interpretării Convenției și că acestea reflectă mai degrabă faptul că statele suverane își păstrează competența în acest domeniu. Consideră că acest lucru este dovedit de negocierile desfășurate în prezent de către statele membre ale Consiliului Europei pentru a hotărî cu privire la introducerea unor drepturi opozabile legate în mod specific de mediu și climă. Adaugă că, în orice caz, dreptul la un mediu sănătos nu este recunoscut în prezent ca normă de drept internațional cutumiar. În cele din urmă, subliniază că, atunci când a adoptat Rezoluția 76/300 a Adunării Generale a Organizației Națiunilor Unite, Norvegia a precizat că textul acestei rezoluții constituie o recunoaștere politică, dar este lipsit de orice efect juridic.</w:t>
      </w:r>
    </w:p>
    <w:p w:rsidR="00F524A5" w:rsidRPr="00472687" w:rsidRDefault="00F524A5" w:rsidP="00E72A1B">
      <w:pPr>
        <w:pStyle w:val="JuHa0"/>
        <w:numPr>
          <w:ilvl w:val="4"/>
          <w:numId w:val="51"/>
        </w:numPr>
      </w:pPr>
      <w:bookmarkStart w:id="571" w:name="_Toc199273535"/>
      <w:r>
        <w:t>Guvernul portughez</w:t>
      </w:r>
      <w:bookmarkEnd w:id="571"/>
    </w:p>
    <w:bookmarkStart w:id="572" w:name="paragraph00373"/>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373</w:t>
      </w:r>
      <w:r w:rsidRPr="00472687">
        <w:fldChar w:fldCharType="end"/>
      </w:r>
      <w:bookmarkEnd w:id="572"/>
      <w:r>
        <w:t xml:space="preserve">. Guvernul portughez recunoaște urgența problemei schimbărilor climatice, dar subliniază că statele au obligația să ia inițiative și să pună în aplicare strategii relevante pentru combaterea acestui fenomen. În ceea ce privește cerințele Convenției legate de stabilirea calității de victimă, guvernul intervenient subliniază necesitatea ca reclamantele să furnizeze probe care să arate că sunt afectate în mod direct de măsura în litigiu, în contextul schimbărilor climatice. De asemenea, guvernul intervenient consideră că reclamanții care aparțin unei anumite grupe de vârstă trebuie să demonstreze: a) că a existat într-adevăr o inacțiune din partea autorităților, b) că această inacțiune sau omisiune a afectat în mod diferit în practică grupuri sau segmente distincte ale populației și c) că această inacțiune echivalează cu neîndeplinirea obligației de a asigura o protecție efectivă împotriva efectelor schimbărilor climatice. Acesta adaugă că, în ceea ce privește aplicabilitatea art. 2 și 8 din Convenție în domeniul mediului, măsura în litigiu trebuie să atingă un prag minim de gravitate. Prin urmare, consideră că trebuie să existe un risc real și iminent pentru viață sau sănătate, ori un efect direct și grav asupra dreptului reclamantului la respectarea vieții sale private sau de familie ori a domiciliului său. Acesta susține de asemenea că Acordul de la Paris a stabilit în principal obligații procedurale și că singura obligație materială ce revine statelor este aceea de a lua măsuri adecvate pentru atingerea obiectivelor urmărite. Precizează însă că Acordul de la Paris nu a stabilit nicio </w:t>
      </w:r>
      <w:r>
        <w:lastRenderedPageBreak/>
        <w:t>sancțiune și niciun mecanism de executare și că, prin urmare, este îndoielnic dacă, în acest domeniu, Curtea are puterea sau competența de a interveni.</w:t>
      </w:r>
    </w:p>
    <w:p w:rsidR="00F524A5" w:rsidRPr="00472687" w:rsidRDefault="00F524A5" w:rsidP="00E72A1B">
      <w:pPr>
        <w:pStyle w:val="JuHa0"/>
        <w:numPr>
          <w:ilvl w:val="4"/>
          <w:numId w:val="51"/>
        </w:numPr>
      </w:pPr>
      <w:bookmarkStart w:id="573" w:name="_Toc199273536"/>
      <w:r>
        <w:t>Guvernul român</w:t>
      </w:r>
      <w:bookmarkEnd w:id="573"/>
    </w:p>
    <w:bookmarkStart w:id="574" w:name="paragraph0037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374</w:t>
      </w:r>
      <w:r w:rsidRPr="00472687">
        <w:fldChar w:fldCharType="end"/>
      </w:r>
      <w:bookmarkEnd w:id="574"/>
      <w:r>
        <w:t xml:space="preserve">. Guvernul român susține că schimbările climatice reprezintă o provocare globală, care necesită un răspuns internațional. În opinia sa, este o chestiune care, prin definiție, depășește frontierele și necesită o acțiune coordonată, în special la nivelul Uniunii Europene, pentru a permite completarea și consolidarea eficientă a politicilor naționale. În ceea ce privește aplicabilitatea Convenției în cazul capetelor de cerere care privesc schimbările climatice, guvernul intervenient consideră că reclamantele trebuie să demonstreze existența unei legături directe și imediate între situația în litigiu și efectul acesteia asupra drepturilor lor. Adaugă că pretinsa încălcare trebuie să atingă un anumit nivel de gravitate. Argumentează că, în orice caz, sistemul Convenției nu recunoaște posibilitatea formulării unor capete de cerere în cadrul unei </w:t>
      </w:r>
      <w:r>
        <w:rPr>
          <w:i/>
        </w:rPr>
        <w:t>actio popularis,</w:t>
      </w:r>
      <w:r>
        <w:t xml:space="preserve"> iar Convenția nu poate fi extinsă pentru a include UNFCCC și Acordul de la Paris. Guvernul intervenient apreciază, de asemenea, că este important ca Curtea să țină seama de faptul că instanțele interne au soluționat deseori cauze referitoare la schimbările climatice, aplicând norme naționale și internaționale de drept al mediului. În această privință, consideră că Curtea nu trebuie să piardă din vedere caracterul subsidiar al rolului său și nici marja de apreciere lăsată statelor. În opinia sa, este foarte discutabil dacă, în prezent, un stat sau orice altă entitate poate fi considerat(ă)</w:t>
      </w:r>
      <w:r>
        <w:rPr>
          <w:b/>
        </w:rPr>
        <w:t xml:space="preserve"> </w:t>
      </w:r>
      <w:r>
        <w:t>direct responsabil(ă), în mod individual și independent de alte entități, pentru consecințele cumulate ale unui proces care a început în urmă cu mai mult de un secol.</w:t>
      </w:r>
    </w:p>
    <w:p w:rsidR="00F524A5" w:rsidRPr="00472687" w:rsidRDefault="00F524A5" w:rsidP="00E72A1B">
      <w:pPr>
        <w:pStyle w:val="JuHa0"/>
        <w:numPr>
          <w:ilvl w:val="4"/>
          <w:numId w:val="51"/>
        </w:numPr>
      </w:pPr>
      <w:bookmarkStart w:id="575" w:name="_Toc199273537"/>
      <w:r>
        <w:t>Guvernul slovac</w:t>
      </w:r>
      <w:bookmarkEnd w:id="575"/>
    </w:p>
    <w:bookmarkStart w:id="576" w:name="paragraph0037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375</w:t>
      </w:r>
      <w:r w:rsidRPr="00472687">
        <w:fldChar w:fldCharType="end"/>
      </w:r>
      <w:bookmarkEnd w:id="576"/>
      <w:r>
        <w:t xml:space="preserve">. Guvernul slovac recunoaște că există o necesitate cu adevărat urgentă de a pune în aplicare o serie de măsuri efective de combatere a încălzirii globale și de limitare a efectelor acesteia. Potrivit acestuia, în prezent este general acceptat faptul că drepturile omului și mediul sunt interdependente, într-o asemenea măsură încât s-a susținut că drepturile în materie de mediu fac parte din cea de „a treia generație de drepturi ale omului”. Cu toate acestea, drepturile care decurg din Convenție nu sunt concepute în mod specific pentru a asigura o protecție generală a mediului ca atare. Având în vedere caracterul global al amenințării reprezentate de schimbările climatice și de efectele acestora, nu este posibilă o interpretare a calității de victimă, în sensul art. 34 din Convenție, care să permită extinderea acesteia la orice grup potențial vulnerabil. Prin urmare, ar fi neadecvată, și poate chiar nejustificată din perspectiva consecințelor unei astfel de extinderi, o încercare a Curții de a deduce, pe baza unor date statistice, existența unui risc deosebit pentru un anumit grup, sau de a generaliza în alt mod efectele schimbărilor climatice, </w:t>
      </w:r>
      <w:r>
        <w:lastRenderedPageBreak/>
        <w:t>cum ar fi încălzirea globală. În cele din urmă, statele ar trebui să dispună de o marjă largă de apreciere în privința chestiunilor legate de schimbările climatice.</w:t>
      </w:r>
    </w:p>
    <w:p w:rsidR="00F524A5" w:rsidRPr="00472687" w:rsidRDefault="00F524A5" w:rsidP="00E72A1B">
      <w:pPr>
        <w:pStyle w:val="JuH1"/>
        <w:numPr>
          <w:ilvl w:val="3"/>
          <w:numId w:val="51"/>
        </w:numPr>
      </w:pPr>
      <w:bookmarkStart w:id="577" w:name="_Toc199273538"/>
      <w:r>
        <w:t>Înaltul Comisar al ONU pentru Drepturile Omului</w:t>
      </w:r>
      <w:bookmarkEnd w:id="577"/>
    </w:p>
    <w:p w:rsidR="00F524A5" w:rsidRPr="00472687" w:rsidRDefault="00C71855" w:rsidP="00F524A5">
      <w:pPr>
        <w:pStyle w:val="JuPara"/>
      </w:pPr>
      <w:fldSimple w:instr=" SEQ level0 \*arabic \* MERGEFORMAT ">
        <w:r w:rsidR="00F524A5" w:rsidRPr="00472687">
          <w:t>376</w:t>
        </w:r>
      </w:fldSimple>
      <w:r w:rsidR="00F524A5">
        <w:t>. Intervenienta susține că, potrivit datelor disponibile, Elveția nu a depus eforturile necesare pentru atingerea obiectivului de reducere a emisiilor de GES pentru anul 2020. Aceasta a adăugat că obiectivul de reducere a emisiilor Elveției până în 2030 nu este compatibil cu obiectivele de atenuare a schimbărilor climatice stabilite de comunitatea internațională. În ceea ce privește calitatea de victimă în cauzele având ca obiect schimbările climatice, aceasta observă că evoluția jurisprudenței naționale și internaționale indică faptul că riscul de a fi afectată, pe care îl invocă victima, trebuie să fie mai mult decât o simplă posibilitate teoretică. Cu toate acestea, faptul că o mare parte a populației este afectată de schimbările climatice nu exclude posibilitatea ca reclamantele să fie afectate în mod individual. Ea afirmă că respectivul criteriu privind amenințarea iminentă ar trebui abordat într-o manieră globală, ținând seama de caracteristica specifică a efectelor emergente lente, cum ar fi cele cauzate deseori de schimbările climatice. Ea explică faptul că riscurile de natură evolutivă ar putea genera consecințe ireparabile având în vedere perioadele îndelungate necesare pentru a obține rezultate concrete. Consideră că aprecierea juridică a calității de victimă trebuie așadar să țină seama de cele mai bune cunoștințe științifice disponibile. Adaugă că obligațiile asociate combaterii efectelor nefaste ale schimbărilor climatice impun ca instanțele să aibă un rol de remediere, astfel încât aceste obligații juridice să poată produce efecte.</w:t>
      </w:r>
    </w:p>
    <w:p w:rsidR="00F524A5" w:rsidRPr="00472687" w:rsidRDefault="00C71855" w:rsidP="00F524A5">
      <w:pPr>
        <w:pStyle w:val="JuPara"/>
      </w:pPr>
      <w:fldSimple w:instr=" SEQ level0 \*arabic \* MERGEFORMAT ">
        <w:r w:rsidR="00F524A5" w:rsidRPr="00472687">
          <w:t>377</w:t>
        </w:r>
      </w:fldSimple>
      <w:r w:rsidR="00F524A5">
        <w:t>. Intervenienta observă, de asemenea, că Comitetul pentru Drepturile Omului al Organizației Națiunilor Unite a precizat că „obligația de a proteja viața implică, de asemenea, faptul că statele părți ar trebui să ia măsuri adecvate pentru a îmbunătăți acele condiții din societate care ar putea crea amenințări directe la adresa vieții sau ar putea împiedica oamenii să își exercite dreptul la o viață demnă”, în special în ceea ce privește degradarea mediului.</w:t>
      </w:r>
      <w:r w:rsidR="00F524A5">
        <w:rPr>
          <w:rStyle w:val="FootnoteReference"/>
          <w:lang w:bidi="en-US"/>
        </w:rPr>
        <w:footnoteReference w:id="182"/>
      </w:r>
      <w:r w:rsidR="00F524A5">
        <w:t xml:space="preserve"> Aceasta face referire, de asemenea, la studii conform cărora efectele nefaste ale schimbărilor climatice afectează în mod disproporționat dreptul la viață și sănătatea persoanelor în vârstă, în special ale femeilor în vârstă. Aceasta susține de asemenea că faptul de a fi într-o stare bună de sănătate este o componentă a dreptului la respectarea vieții private și de familie și a domiciliului, astfel încât degradarea mediului aduce atingere acestui drept. În sfârșit, precizează că obligațiile care revin statelor în temeiul art. 2 și 8 trebuie să fie interpretate în lumina principiului precauției, a </w:t>
      </w:r>
      <w:r w:rsidR="00F524A5">
        <w:lastRenderedPageBreak/>
        <w:t>principiului egalității între generații și a obligației de cooperare internațională.</w:t>
      </w:r>
    </w:p>
    <w:p w:rsidR="00F524A5" w:rsidRPr="00472687" w:rsidRDefault="00F524A5" w:rsidP="00E72A1B">
      <w:pPr>
        <w:pStyle w:val="JuH1"/>
        <w:numPr>
          <w:ilvl w:val="3"/>
          <w:numId w:val="51"/>
        </w:numPr>
      </w:pPr>
      <w:bookmarkStart w:id="578" w:name="_Toc130216097"/>
      <w:bookmarkStart w:id="579" w:name="_Toc199273539"/>
      <w:r>
        <w:t>Raportorul special al ONU privind substanțele toxice și drepturile omului și Raportorul special al ONU privind drepturile omului și mediul; Expertul independent privind promovarea exercitării tuturor drepturilor omului de către persoanele în vârstă</w:t>
      </w:r>
      <w:bookmarkEnd w:id="578"/>
      <w:bookmarkEnd w:id="579"/>
    </w:p>
    <w:bookmarkStart w:id="580" w:name="paragraph0037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378</w:t>
      </w:r>
      <w:r w:rsidRPr="00472687">
        <w:fldChar w:fldCharType="end"/>
      </w:r>
      <w:bookmarkEnd w:id="580"/>
      <w:r>
        <w:t>. Intervenienții apreciază că lumea se confruntă cu o criză climatică. Consideră că această criză produce deja efecte nefaste semnificative și reprezintă o amenințare existențială pentru exercitarea efectivă a drepturilor omului în viitor. În cauzele referitoare la schimbările climatice, interesele individuale și cele colective nu sunt divergente. Persoana și colectivitatea împărtășesc interesul comun de a beneficia de un sistem climatic sigur. Acest interes este comun tuturor părților la Convenție, precum și comunității internaționale în ansamblu. Prin urmare, nu este necesară punerea în balanță de către Curte a intereselor concurente ale persoanelor și ale comunității. Intervenienții consideră că, atunci când examinează dacă un stat își îndeplinește în mod corespunzător obligațiile pozitive de protecție împotriva riscurilor climatice, Curtea trebuie să se ghideze după progresele științifice, care ar putea să o ajute să verifice cu atenție dacă acțiunile guvernului sunt suficiente pentru a face față riscurilor catastrofale implicate de schimbările climatice. Cele mai bune cunoștințe științifice disponibile au confirmat realitatea schimbărilor climatice antropice, în special în ceea ce privește fenomenele meteorologice extreme, și au reafirmat necesitatea reducerii urgente și drastice a emisiilor de GES. În plus, schimbările climatice afectează exercitarea deplină a drepturilor omului de către persoanele în vârstă. Efectele vârstei și ale schimbărilor climatice diferă în funcție de gen, iar femeile în vârstă sunt expuse unui risc deosebit de vulnerabilitate în fața efectelor schimbărilor climatice, în special pentru că acestea sunt mai susceptibile să sufere de boli cronice și de afecțiuni legate de poluarea aerului și deoarece prezintă o rată mai mare a mortalității în timpul episoadelor de caniculă.</w:t>
      </w:r>
    </w:p>
    <w:bookmarkStart w:id="581" w:name="paragraph00379"/>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379</w:t>
      </w:r>
      <w:r w:rsidRPr="00472687">
        <w:fldChar w:fldCharType="end"/>
      </w:r>
      <w:bookmarkEnd w:id="581"/>
      <w:r>
        <w:t xml:space="preserve">. Luând act de progresele juridice de la nivel internațional și național, intervenienții consideră că nu se mai pune problema de a stabili dacă instanțele competente în domeniul drepturilor omului trebuie să abordeze consecințele daunelor aduse mediului asupra exercitării drepturilor omului, ci cum trebuie să procedeze acestea. Potrivit acestora, este nevoie să existe un „dialog” între drepturile omului și standardele de mediu. Întrucât dreptul internațional al mediului conține norme cutumiare și convenționale, precum și principii generale care implică obligații materiale (în special în ceea ce privește principiul precauției și principiul prevenirii daunelor aduse mediului, obligația de a realiza un studiu de impact asupra mediului, dreptul de acces la informații, dreptul de participare și dreptul de acces la justiție, precum și principiul egalității între generații), organismele pentru protecția drepturilor </w:t>
      </w:r>
      <w:r>
        <w:lastRenderedPageBreak/>
        <w:t>omului au dreptul să le folosească. În acest context, intervenienții consideră că examinarea de către Curte a cauzelor referitoare la schimbările climatice ar trebui să se concentreze în special asupra următoarelor elemente: principiul precauției (care constituie baza normativă pentru acțiuni climatice ambițioase din partea guvernelor, deoarece le impune acestora să acționeze cu fermitate pentru a-și reduce emisiile de GES), principiul prevenirii daunelor aduse mediului (care dă naștere unei obligații de prevenire a daunelor transfrontaliere semnificative aduse mediului), obligațiile extrateritoriale în materie de drepturi ale omului și principiul celui mai ridicat nivel de ambiție posibilă (întemeiat pe cerințele privind diligența necesară), enunțat în Acordul de la Paris.</w:t>
      </w:r>
    </w:p>
    <w:p w:rsidR="00F524A5" w:rsidRPr="00472687" w:rsidRDefault="00F524A5" w:rsidP="00E72A1B">
      <w:pPr>
        <w:pStyle w:val="JuH1"/>
        <w:numPr>
          <w:ilvl w:val="3"/>
          <w:numId w:val="51"/>
        </w:numPr>
      </w:pPr>
      <w:bookmarkStart w:id="582" w:name="_Toc199273540"/>
      <w:r>
        <w:t>Comisia Internațională a Juriștilor (CIJ) și filiala elvețiană a CIJ (CIJ-CH)</w:t>
      </w:r>
      <w:bookmarkEnd w:id="582"/>
    </w:p>
    <w:p w:rsidR="00F524A5" w:rsidRPr="00472687" w:rsidRDefault="00C71855" w:rsidP="00F524A5">
      <w:pPr>
        <w:pStyle w:val="JuPara"/>
      </w:pPr>
      <w:fldSimple w:instr=" SEQ level0 \*arabic \* MERGEFORMAT ">
        <w:r w:rsidR="00F524A5" w:rsidRPr="00472687">
          <w:t>380</w:t>
        </w:r>
      </w:fldSimple>
      <w:r w:rsidR="00F524A5">
        <w:t xml:space="preserve">. Intervenientele susțin că faptul că o acțiune având ca obiect schimbările climatice, inițiată de un anumit reclamant, poate servi interesului public general nu înseamnă că aceasta poate fi considerată o </w:t>
      </w:r>
      <w:r w:rsidR="00F524A5">
        <w:rPr>
          <w:i/>
        </w:rPr>
        <w:t>actio popularis.</w:t>
      </w:r>
      <w:r w:rsidR="00F524A5">
        <w:t xml:space="preserve"> Precizează că jurisprudența Curții admite posibilitatea de a recunoaște calitatea de victimă a unor reclamanți care au fost expuși efectelor globale ale poluării și că, prin urmare, aceasta nu impune respectarea unui criteriu privind imediata vecinătate. De asemenea, apreciază că este esențial să li se permită asociațiilor să introducă în fața Curții cereri privind schimbările climatice. Acestea susțin că o astfel de posibilitate se impune având în vedere că, într-un domeniu atât de solicitant precum cel al schimbărilor climatice - atât din punct de vedere financiar, cât și din punct de vedere al dovezilor științifice -, asociațiile sunt deosebit de bine plasate pentru a sesiza Curtea. Acestea susțin că, în orice caz, în cauzele privind schimbările climatice, care ridică probleme considerate de Acordul de la Paris drept „o preocupare comună a omenirii”, stabilirea calității de victimă necesită dovezi științifice documentate și, prin urmare, este strâns legată de fondul capetelor de cerere formulate de reclamanți.</w:t>
      </w:r>
    </w:p>
    <w:p w:rsidR="00F524A5" w:rsidRPr="00472687" w:rsidRDefault="00C71855" w:rsidP="00F524A5">
      <w:pPr>
        <w:pStyle w:val="JuPara"/>
      </w:pPr>
      <w:fldSimple w:instr=" SEQ level0 \*arabic \* MERGEFORMAT ">
        <w:r w:rsidR="00F524A5" w:rsidRPr="00472687">
          <w:t>381</w:t>
        </w:r>
      </w:fldSimple>
      <w:r w:rsidR="00F524A5">
        <w:t xml:space="preserve">. Intervenientele susțin că este esențial să se asigure accesul reclamanților la instanțe în privința problemelor legate de schimbările climatice. În ceea ce privește art. 2 și 8, acestea argumentează că dovezile științifice confirmă faptul că schimbările climatice prezintă un risc deosebit pentru persoanele în vârstă, în special pentru femei în vârstă. Acestea consideră că amploarea, intensitatea și iminența daunelor cauzate mediului ca urmare a schimbărilor climatice antropice sunt de așa natură încât determină aplicarea art. 2 și 8. Susțin că dispozițiile respective impun statelor obligația pozitivă de a lua măsurile de atenuare și de adaptare necesare. Intervenientele consideră că, în plus, această obligație pozitivă impusă statelor ar trebui să fie interpretată în lumina obiectivelor stabilite de Acordul de la Paris, precum și a principiului precauției enunțat în UNFCCC și în Declarația de la Rio. Precizează că, în această privință, marja de apreciere lăsată statelor ar trebui </w:t>
      </w:r>
      <w:r w:rsidR="00F524A5">
        <w:lastRenderedPageBreak/>
        <w:t>să fie limitată de angajamentele asumate de acestea în temeiul dreptului internațional al mediului, care le impun să elaboreze CDN-uri și să pună în aplicare strategii pe termen lung pentru reducerea emisiilor de GES.</w:t>
      </w:r>
    </w:p>
    <w:p w:rsidR="00F524A5" w:rsidRPr="00472687" w:rsidRDefault="00F524A5" w:rsidP="00E72A1B">
      <w:pPr>
        <w:pStyle w:val="JuH1"/>
        <w:numPr>
          <w:ilvl w:val="3"/>
          <w:numId w:val="51"/>
        </w:numPr>
      </w:pPr>
      <w:bookmarkStart w:id="583" w:name="_Toc199273541"/>
      <w:r>
        <w:t>Rețeaua europeană a instituțiilor naționale din domeniul drepturilor omului (ENNHRI)</w:t>
      </w:r>
      <w:bookmarkEnd w:id="583"/>
    </w:p>
    <w:p w:rsidR="00F524A5" w:rsidRPr="00472687" w:rsidRDefault="00C71855" w:rsidP="00F524A5">
      <w:pPr>
        <w:pStyle w:val="JuPara"/>
      </w:pPr>
      <w:fldSimple w:instr=" SEQ level0 \*arabic \* MERGEFORMAT ">
        <w:r w:rsidR="00F524A5" w:rsidRPr="00472687">
          <w:t>382</w:t>
        </w:r>
      </w:fldSimple>
      <w:r w:rsidR="00F524A5">
        <w:t>. Intervenienta susține că, întrucât, de multe ori, este dificilă cuantificarea efectelor negative ale poluării mediului în fiecare caz în parte, reclamantele nu ar trebui să fie obligate să dovedească existența unei legături de cauzalitate directe între o problemă de mediu și efectele pe care aceasta le are asupra lor. Apreciază că existența unei astfel de legături poate fi dovedită pe baza unor date statistice. Consideră că Curtea ar putea lua în considerare și alte elemente, cum ar fi studii publicate în reviste științifice, și că ar trebui să se acorde o importanță deosebită rapoartelor IPCC. Subliniază că rapoartele IPCC și alte studii științifice au constatat că schimbările climatice induse de emisiile de GES au provocat deja o creștere semnificativă a frecvenței, intensității și duratei episoadelor caniculare în Europa și că au preconizat că aceste fenomene se vor agrava dacă încălzirea globală va depăși 1,5</w:t>
      </w:r>
      <w:r w:rsidR="00F524A5">
        <w:rPr>
          <w:vertAlign w:val="superscript"/>
        </w:rPr>
        <w:t>o</w:t>
      </w:r>
      <w:r w:rsidR="00F524A5">
        <w:t>C, în special în orașele din Europa Centrală. Afirmă că este cert faptul că multe dintre valurile de caniculă pe care le-a experimentat Europa în ultimii 20 de ani nu ar fi avut loc în absența schimbărilor climatice antropice și că temperaturile extreme ar putea deveni un fenomen obișnuit până în anii 2040. Susține că efectele negative ale valurilor de caniculă asupra mortalității și morbidității sunt bine documentate și că estimările prevăd că aceste efecte se vor agrava pe măsură ce se va intensifica încălzirea. Intervenienta precizează că 31,3% din decesele cauzate de căldură, survenite în Elveția între 1991 și 2018, sunt atribuite schimbărilor climatice antropice și că femeile în vârstă și copiii mici au fost afectați în mod deosebit. Argumentează că persoanele în vârstă, în special cele care trăiesc în zonele urbane, sunt deosebit de vulnerabile în timpul episoadelor de caniculă, atât din cauza factorilor sociali, cât și a celor fiziologici. Susține că, în Elveția, femeile de peste 75 de ani sunt cele mai expuse riscului de deces cauzat de căldură.</w:t>
      </w:r>
    </w:p>
    <w:p w:rsidR="00F524A5" w:rsidRPr="00472687" w:rsidRDefault="00C71855" w:rsidP="00F524A5">
      <w:pPr>
        <w:pStyle w:val="JuPara"/>
      </w:pPr>
      <w:fldSimple w:instr=" SEQ level0 \*arabic \* MERGEFORMAT ">
        <w:r w:rsidR="00F524A5" w:rsidRPr="00472687">
          <w:t>383</w:t>
        </w:r>
      </w:fldSimple>
      <w:r w:rsidR="00F524A5">
        <w:t xml:space="preserve">. Intervenienta susține că faptul că schimbările climatice sunt cauzate de acumularea de emisii la scară mondială nu exonerează statele de responsabilitatea pe care o au în privința comportamentelor care le sunt imputabile. Aceasta consideră că, întrucât emisiile de GES provoacă daune pe teritoriile naționale, independent de regiunea lumii în care au fost generate, jurisdicția statului, în sensul art. 1 din Convenție, ar trebui să includă toate emisiile produse sub controlul efectiv al statului. Susține, de asemenea, că, în ceea ce privește calitatea de victimă, datele științifice sus-menționate demonstrează existența unui efect direct și imediat al schimbărilor climatice asupra oamenilor, precum și existența unui risc foarte real, și nu ipotetic, ca, în viitor, schimbările climatice să aibă consecințe negative. Afirmă că femeile în vârstă reprezintă un grup de persoane deosebit de expuse riscului de a fi </w:t>
      </w:r>
      <w:r w:rsidR="00F524A5">
        <w:lastRenderedPageBreak/>
        <w:t>afectate de episoadele caniculare legate de schimbările climatice. Aceasta precizează că, astfel cum s-a recunoscut în Convenția de la Aarhus, asociațiile joacă un rol esențial în acest domeniu. Aceasta consideră că este important ca problema calității de victimă să fie examinată ținând seama de faptul că justițiabilii pot întâmpina dificultăți în introducerea unei cereri în fața Curții și că protecția efectivă a interesului individual, pe termen lung, de a trăi într-un mediu sănătos, ar putea depinde de capacitatea asociațiilor pentru protecția mediului de a introduce acțiuni în justiție pentru a preveni daunele ireversibile cauzate sistemului climatic, atât timp cât acest lucru este încă posibil.</w:t>
      </w:r>
    </w:p>
    <w:p w:rsidR="00F524A5" w:rsidRPr="00472687" w:rsidRDefault="00C71855" w:rsidP="00F524A5">
      <w:pPr>
        <w:pStyle w:val="JuPara"/>
      </w:pPr>
      <w:fldSimple w:instr=" SEQ level0 \*arabic \* MERGEFORMAT ">
        <w:r w:rsidR="00F524A5" w:rsidRPr="00472687">
          <w:t>384</w:t>
        </w:r>
      </w:fldSimple>
      <w:r w:rsidR="00F524A5">
        <w:t>. În ceea ce privește aplicabilitatea art. 2 din Convenție, intervenienta consideră că schimbările climatice induse de emisiile de GES sunt în mod inerent periculoase și că, prin urmare, ar putea fi în joc dreptul la viață. Precizează că, în acest domeniu, este nevoie de flexibilitate pentru a interpreta caracterul imediat al riscului pentru viață. Intervenienta apreciază că ar trebui, de asemenea, să se țină seama de faptul că pericolele schimbărilor climatice reprezintă deja un risc grav, real și imediat pentru viață, în special pentru persoanele vulnerabile, și că orice nouă creștere a emisiilor va duce la o agravare a încălzirii, care, potrivit acesteia, va fi cu siguranță însoțită de o creștere exponențială a mortalității legate de căldură. Aceasta adaugă că este necesar să se țină seama de considerații similare atunci când se apreciază aplicabilitatea art. 8, care, în opinia sa, acoperă nu doar riscurile de poluare sau de efecte nocive asupra mediului, care au un caracter direct și imediat, sau grav și semnificativ, ci și expunerea la riscuri de mediu viitoare care au o legătură suficient de strânsă cu exercitarea dreptului la respectarea domiciliului, precum și a dreptului la respectarea vieții private sau de familie.</w:t>
      </w:r>
    </w:p>
    <w:p w:rsidR="00F524A5" w:rsidRPr="00472687" w:rsidRDefault="00C71855" w:rsidP="00F524A5">
      <w:pPr>
        <w:pStyle w:val="JuPara"/>
      </w:pPr>
      <w:fldSimple w:instr=" SEQ level0 \*arabic \* MERGEFORMAT ">
        <w:r w:rsidR="00F524A5" w:rsidRPr="00472687">
          <w:t>385</w:t>
        </w:r>
      </w:fldSimple>
      <w:r w:rsidR="00F524A5">
        <w:t>. Intervenienta precizează că dispozițiile Convenției</w:t>
      </w:r>
      <w:r w:rsidR="00F524A5">
        <w:rPr>
          <w:b/>
        </w:rPr>
        <w:t xml:space="preserve"> </w:t>
      </w:r>
      <w:r w:rsidR="00F524A5">
        <w:t>trebuie să fie interpretate în lumina condițiilor actuale și că, prin urmare, trebuie luate în considerare  în ceea ce privește daunele climatice. Declară că, în aceste condiții, Curții nu i se solicită să inoveze, ci doar să confirme evoluția jurisprudențială constatată la nivelul țărilor europene (în special în Țările de Jos și în Germania), dar și în alte țări, cu privire la schimbările climatice. Adaugă că monitorizarea reducerii emisiilor ar consolida democrația, în conformitate cu cerințele dreptului internațional. Potrivit intervenientei, Convenția ar fi încălcată în trei cazuri: în primul rând, dacă statul ar adopta măsuri de adaptare fără să prevadă măsuri de atenuare; în al doilea rând, în cazul în care statul ar adopta politici care subminează eforturile de limitare a încălzirii la 1,5</w:t>
      </w:r>
      <w:r w:rsidR="00F524A5">
        <w:rPr>
          <w:vertAlign w:val="superscript"/>
        </w:rPr>
        <w:t>o</w:t>
      </w:r>
      <w:r w:rsidR="00F524A5">
        <w:t>C; și, în al treilea rând, dacă statul nu ar putea să demonstreze că măsurile sale de reducere a emisiilor sunt compatibile cu partea corespunzătoare din bugetul său de carbon rămas, în vederea limitării încălzirii la 1,5</w:t>
      </w:r>
      <w:r w:rsidR="00F524A5">
        <w:rPr>
          <w:vertAlign w:val="superscript"/>
        </w:rPr>
        <w:t>o</w:t>
      </w:r>
      <w:r w:rsidR="00F524A5">
        <w:t>C.</w:t>
      </w:r>
    </w:p>
    <w:p w:rsidR="00F524A5" w:rsidRPr="00472687" w:rsidRDefault="00F524A5" w:rsidP="00E72A1B">
      <w:pPr>
        <w:pStyle w:val="JuH1"/>
        <w:numPr>
          <w:ilvl w:val="3"/>
          <w:numId w:val="51"/>
        </w:numPr>
      </w:pPr>
      <w:bookmarkStart w:id="584" w:name="_Toc199273542"/>
      <w:r>
        <w:lastRenderedPageBreak/>
        <w:t>Observațiile coordonate ale Rețelei internaționale pentru drepturile economice, sociale și culturale (ESCR-Net)</w:t>
      </w:r>
      <w:bookmarkEnd w:id="584"/>
    </w:p>
    <w:p w:rsidR="00F524A5" w:rsidRPr="00472687" w:rsidRDefault="00F524A5" w:rsidP="00F524A5">
      <w:pPr>
        <w:pStyle w:val="JuPara"/>
      </w:pPr>
      <w:r w:rsidRPr="00472687">
        <w:fldChar w:fldCharType="begin"/>
      </w:r>
      <w:r>
        <w:instrText xml:space="preserve"> SEQ level0 \*arabic \* MERGEFORMAT </w:instrText>
      </w:r>
      <w:r w:rsidRPr="00472687">
        <w:fldChar w:fldCharType="separate"/>
      </w:r>
      <w:r w:rsidRPr="00472687">
        <w:t>386</w:t>
      </w:r>
      <w:r w:rsidRPr="00472687">
        <w:fldChar w:fldCharType="end"/>
      </w:r>
      <w:r>
        <w:t>. Intervenienții susțin că, potrivit diferitor organisme internaționale, degradarea mediului și schimbările climatice aduc atingere exercitării dreptului la sănătate și dreptului la viață. Aceștia consideră că, în aceste condiții, mecanismele privind drepturile omului joacă un rol în protejarea acestor drepturi, împiedicând statele să ia măsuri care ar putea accelera schimbările climatice și încurajându-le să aloce maximul de resurse disponibile pentru adoptarea de măsuri care să permită atenuarea schimbărilor climatice. Aceștia fac referire la hotărârile instanțelor naționale și regionale în care s-a constatat încălcarea de către state a dreptului la un mediu sănătos și a dreptului la viață, deoarece acestea nu au luat suficiente măsuri pentru combaterea schimbărilor climatice și reducerea emisiilor. Afirmă că persoanele în vârstă sunt deosebit de vulnerabile în fața efectelor schimbărilor climatice. Susțin că este necesar așadar ca statele să adopte măsuri pozitive pentru a se asigura că aceste vulnerabilități sunt luate în considerare. Consideră că statele sunt obligate să adopte, pe teritoriile lor, măsuri de prevenire a efectelor nefaste previzibile ale schimbărilor climatice, care pot să apară în afara teritoriului lor național.</w:t>
      </w:r>
    </w:p>
    <w:p w:rsidR="00F524A5" w:rsidRPr="00472687" w:rsidRDefault="00F524A5" w:rsidP="00E72A1B">
      <w:pPr>
        <w:pStyle w:val="JuH1"/>
        <w:numPr>
          <w:ilvl w:val="3"/>
          <w:numId w:val="51"/>
        </w:numPr>
      </w:pPr>
      <w:bookmarkStart w:id="585" w:name="_Toc199273543"/>
      <w:r>
        <w:t>Centrul pentru Drepturile Omului din cadrul Universității din Gent</w:t>
      </w:r>
      <w:bookmarkEnd w:id="585"/>
    </w:p>
    <w:p w:rsidR="00F524A5" w:rsidRPr="00472687" w:rsidRDefault="00C71855" w:rsidP="00F524A5">
      <w:pPr>
        <w:pStyle w:val="JuPara"/>
      </w:pPr>
      <w:fldSimple w:instr=" SEQ level0 \*arabic \* MERGEFORMAT ">
        <w:r w:rsidR="00F524A5" w:rsidRPr="00472687">
          <w:t>387</w:t>
        </w:r>
      </w:fldSimple>
      <w:r w:rsidR="00F524A5">
        <w:t>. Intervenientul susține că, în dreptul internațional, există o tendință tot mai mare de a recunoaște faptul că efectul negativ al schimbărilor climatice asupra vieții umane este o problemă care ține de drepturile omului. Susține că mai multe organe judiciare și cvasijudiciare internaționale au stabilit, în această privință, obligații ce revin statelor din perspectiva drepturilor omului. Adaugă că instanțele naționale recunosc din ce în ce mai mult legăturile care există între schimbările climatice și drepturile omului. Precizează că, în ultimii ani, instanțele naționale se confruntă cu o creștere netă a numărului de cereri având ca obiect schimbările climatice și că numeroase cauze pendinte fac referire în mod explicit la drepturile garantate de Convenție. Acesta arată că, în ceea ce privește chestiunea legăturii de cauzalitate, instanțele interne (neerlandeze, germane și belgiene) au statuat că responsabilitatea statului nu trebuia stabilită pe baza unei legături de cauzalitate, ci pe baza principiului atribuirii, conform căruia trebuie să se considere că fiecare stat are o responsabilitate proporțională cu propria contribuție la schimbările climatice. Acesta adaugă că, în cadrul litigiilor interne, instanțele naționale apreciază obligațiile pozitive ale statelor acordând importanță principiului precauției, precum și datelor climatologice relevante și obligațiilor ce revin statelor în temeiul tratatelor internaționale privind schimbările climatice, în special Acordul de la Paris. În opinia sa, această abordare ar trebui, de asemenea, să ghideze Curtea în examinarea cauzelor privind schimbările climatice.</w:t>
      </w:r>
    </w:p>
    <w:p w:rsidR="00F524A5" w:rsidRPr="00472687" w:rsidRDefault="00C71855" w:rsidP="00F524A5">
      <w:pPr>
        <w:pStyle w:val="JuPara"/>
      </w:pPr>
      <w:fldSimple w:instr=" SEQ level0 \*arabic \* MERGEFORMAT ">
        <w:r w:rsidR="00F524A5" w:rsidRPr="00472687">
          <w:t>388</w:t>
        </w:r>
      </w:fldSimple>
      <w:r w:rsidR="00F524A5">
        <w:t xml:space="preserve">. Intervenientul consideră că recunoașterea de către jurisprudența Curții a efectelor potențial negative asupra drepturilor omului ale catastrofelor ecologice și ale degradării mediului (indiferent dacă au cauze antropice sau naturale) ar trebui extinsă a </w:t>
      </w:r>
      <w:r w:rsidR="00F524A5">
        <w:rPr>
          <w:i/>
        </w:rPr>
        <w:t xml:space="preserve">priori </w:t>
      </w:r>
      <w:r w:rsidR="00F524A5">
        <w:t>la schimbările climatice, întrucât, potrivit intervenientului</w:t>
      </w:r>
      <w:r w:rsidR="00F524A5">
        <w:rPr>
          <w:i/>
        </w:rPr>
        <w:t>,</w:t>
      </w:r>
      <w:r w:rsidR="00F524A5">
        <w:t xml:space="preserve"> consecințele schimbărilor climatice se resimt pe termen mai lung, sunt mai violente și potențial mai grave decât daunele izolate, locale și circumstanțiale aduse mediului. Apreciază că, în mod similar, jurisprudența stabilită deja de Curte cu privire la vulnerabilitate și în special cu privire la drepturile persoanelor în vârstă ar trebui să fie luată în considerare și aplicată în contextul schimbărilor climatice. Acesta susține de asemenea că recunoașterea apartenenței reclamanților la un grup deosebit de vulnerabil ar trebui să conducă la concluzia că statele dispun de o marjă de apreciere restrânsă în această privință.</w:t>
      </w:r>
    </w:p>
    <w:p w:rsidR="00F524A5" w:rsidRPr="00472687" w:rsidRDefault="00C71855" w:rsidP="00F524A5">
      <w:pPr>
        <w:pStyle w:val="JuPara"/>
      </w:pPr>
      <w:fldSimple w:instr=" SEQ level0 \*arabic \* MERGEFORMAT ">
        <w:r w:rsidR="00F524A5" w:rsidRPr="00472687">
          <w:t>389</w:t>
        </w:r>
      </w:fldSimple>
      <w:r w:rsidR="00F524A5">
        <w:t>. Intervenientul susține că problema probelor este aspectul-cheie al cauzelor referitoare la schimbările climatice. Acesta apreciază că știința atribuirii a demonstrat mai precis legătura de cauzalitate dintre emisiile de GES și fenomenele climatice. De asemenea, solicită Curții să recunoască dificultățile în materie de probe cu care se confruntă reclamanții în cauzele privind schimbările climatice și să considere că guvernele sunt cele mai în măsură să controleze prezentarea majorității probelor la nivel intern. Prin urmare, acesta consideră că sarcina probei nu trebuie să revină exclusiv reclamanților. În schimb, apreciază că atunci când un guvern argumentează că politica sa de mediu este suficientă pentru a asigura protecția oamenilor împotriva efectelor nefaste ale schimbărilor climatice, acesta este obligat să își susțină afirmațiile. Adaugă că principiul precauției ar putea, de asemenea, să ajute Curtea să stabilească nivelul probatoriu necesar.</w:t>
      </w:r>
    </w:p>
    <w:p w:rsidR="00F524A5" w:rsidRPr="00472687" w:rsidRDefault="00F524A5" w:rsidP="00E72A1B">
      <w:pPr>
        <w:pStyle w:val="JuH1"/>
        <w:numPr>
          <w:ilvl w:val="3"/>
          <w:numId w:val="51"/>
        </w:numPr>
      </w:pPr>
      <w:bookmarkStart w:id="586" w:name="_Toc199273544"/>
      <w:r>
        <w:t>Profesoarele Evelyne Schmid și Véronique Boillet (Universitatea din Lausanne)</w:t>
      </w:r>
      <w:bookmarkEnd w:id="586"/>
    </w:p>
    <w:p w:rsidR="00F524A5" w:rsidRPr="00472687" w:rsidRDefault="00C71855" w:rsidP="00F524A5">
      <w:pPr>
        <w:pStyle w:val="JuPara"/>
      </w:pPr>
      <w:fldSimple w:instr=" SEQ level0 \*arabic \* MERGEFORMAT ">
        <w:r w:rsidR="00F524A5" w:rsidRPr="00472687">
          <w:t>390</w:t>
        </w:r>
      </w:fldSimple>
      <w:r w:rsidR="00F524A5">
        <w:t>. Intervenientele consideră că este important să se facă o distincție între, pe de o parte, obligația pozitivă de a lua măsuri preventive (care se referă la amenințări specifice și punctuale) și, pe de altă parte, obligația pozitivă de a institui un cadru legislativ și administrativ menit să asigure protecția drepturilor garantate de Convenție (care se referă la un pericol mai puțin specific, mai general și care nu provine în mod necesar dintr-o sursă specifică).</w:t>
      </w:r>
      <w:r w:rsidR="00F524A5">
        <w:rPr>
          <w:rFonts w:ascii="Segoe UI" w:hAnsi="Segoe UI"/>
          <w:color w:val="000000"/>
        </w:rPr>
        <w:t xml:space="preserve"> </w:t>
      </w:r>
      <w:r w:rsidR="00F524A5">
        <w:t>Acestea apreciază că, în ceea ce privește schimbările climatice, chestiunea atribuirii nu ridică nicio dificultate, întrucât pretinsele omisiuni țin de responsabilitatea organelor statului.</w:t>
      </w:r>
      <w:r w:rsidR="00F524A5">
        <w:rPr>
          <w:rFonts w:ascii="Segoe UI" w:hAnsi="Segoe UI"/>
          <w:color w:val="000000"/>
        </w:rPr>
        <w:t xml:space="preserve"> </w:t>
      </w:r>
      <w:r w:rsidR="00F524A5">
        <w:t>Cu toate acestea, consideră că noțiunea de calitate de victimă, în sensul art. 34, trebuie interpretată examinând în primul rând obligațiile pozitive care decurg din art. 2 și 8 și apoi legătura dintre omisiunile pretinse în această privință și reclamanții din speță.</w:t>
      </w:r>
      <w:r w:rsidR="00F524A5">
        <w:rPr>
          <w:rFonts w:ascii="Segoe UI" w:hAnsi="Segoe UI"/>
          <w:color w:val="000000"/>
        </w:rPr>
        <w:t xml:space="preserve"> </w:t>
      </w:r>
      <w:r w:rsidR="00F524A5">
        <w:t>În plus, calitatea de victimă ar trebui examinată în lumina principiului prevenirii și a principiului precauției.</w:t>
      </w:r>
      <w:r w:rsidR="00F524A5">
        <w:rPr>
          <w:rFonts w:ascii="Segoe UI" w:hAnsi="Segoe UI"/>
          <w:color w:val="000000"/>
        </w:rPr>
        <w:t xml:space="preserve"> </w:t>
      </w:r>
      <w:r w:rsidR="00F524A5">
        <w:t xml:space="preserve">Acestea susțin că, în orice caz, prin asumarea obligațiilor care decurg din diferite inițiative internaționale de </w:t>
      </w:r>
      <w:r w:rsidR="00F524A5">
        <w:lastRenderedPageBreak/>
        <w:t>combatere a schimbărilor climatice, statele au acceptat să își limiteze marja de apreciere în ceea ce privește riscurile climatice și punerea în aplicare a obligațiilor pozitive care decurg din Convenție.</w:t>
      </w:r>
    </w:p>
    <w:bookmarkStart w:id="587" w:name="paragraph0039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391</w:t>
      </w:r>
      <w:r w:rsidRPr="00472687">
        <w:fldChar w:fldCharType="end"/>
      </w:r>
      <w:bookmarkEnd w:id="587"/>
      <w:r>
        <w:t>. În ceea ce privește organizarea unui referendum privind problemele ridicate de schimbările climatice, intervenientele reamintesc principiul enunțat la articolul 27 din Convenția de la Viena privind dreptul tratatelor</w:t>
      </w:r>
      <w:r>
        <w:rPr>
          <w:vertAlign w:val="superscript"/>
          <w:lang w:bidi="en-US"/>
        </w:rPr>
        <w:footnoteReference w:id="183"/>
      </w:r>
      <w:r>
        <w:t>, potrivit căruia un stat nu poate invoca dispozițiile dreptului său intern pentru a justifica nerespectarea obligațiilor care îi revin în temeiul dreptului internațional. Acestea adaugă că, în orice caz, o inițiativă populară nu poate fi considerată un mijloc adecvat de punere în aplicare a obligațiilor relevante menite să asigure protecția drepturilor fundamentale ale reclamanților.</w:t>
      </w:r>
    </w:p>
    <w:p w:rsidR="00F524A5" w:rsidRPr="00472687" w:rsidRDefault="00F524A5" w:rsidP="00E72A1B">
      <w:pPr>
        <w:pStyle w:val="JuH1"/>
        <w:numPr>
          <w:ilvl w:val="3"/>
          <w:numId w:val="51"/>
        </w:numPr>
      </w:pPr>
      <w:bookmarkStart w:id="589" w:name="_Toc199273545"/>
      <w:r>
        <w:t>Profesorii Sonia I. Seneviratne și Andreas Fischlin (Școala Politehnică Federală din Zürich)</w:t>
      </w:r>
      <w:bookmarkEnd w:id="589"/>
    </w:p>
    <w:bookmarkStart w:id="590" w:name="paragraph00392"/>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392</w:t>
      </w:r>
      <w:r w:rsidRPr="00472687">
        <w:fldChar w:fldCharType="end"/>
      </w:r>
      <w:bookmarkEnd w:id="590"/>
      <w:r>
        <w:t>. Intervenienții susțin că, în cadrul comunității științifice, există un consens clar potrivit căruia ființele umane au perturbat sistemul climatic și se află la originea încălzirii globale. Aceștia adaugă că, de asemenea, comunitatea științifică este de acord cu privire la rolul pe care îl joacă încălzirea globală în ceea ce privește schimbările climatice și efectele și riscurile cauzate de acestea, în special pentru persoanele cele mai vulnerabile. Ei afirmă că efectele asupra sănătății asociate cu încălzirea globală antropică sunt, de asemenea, bine stabilite. Precizează că limitarea creșterii temperaturii la 1,5</w:t>
      </w:r>
      <w:r>
        <w:rPr>
          <w:vertAlign w:val="superscript"/>
        </w:rPr>
        <w:t>o</w:t>
      </w:r>
      <w:r>
        <w:t>C, astfel cum se prevede în Acordul de la Paris, ar permite, în prezent, o reducere considerabilă a riscurilor în comparație cu cele pe care le implică o încălzire mai mare (de 2</w:t>
      </w:r>
      <w:r>
        <w:rPr>
          <w:vertAlign w:val="superscript"/>
        </w:rPr>
        <w:t>o</w:t>
      </w:r>
      <w:r>
        <w:t>C sau mai mult). Aceștia consideră că, pe de altă parte, dacă nu se reușește limitarea încălzirii globale, efectele nefaste asupra speciei umane se vor intensifica și riscurile pentru sănătate vor crește, în special în cazul persoanelor cele mai vulnerabile.</w:t>
      </w:r>
    </w:p>
    <w:bookmarkStart w:id="591" w:name="paragraph00393"/>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393</w:t>
      </w:r>
      <w:r w:rsidRPr="00472687">
        <w:fldChar w:fldCharType="end"/>
      </w:r>
      <w:bookmarkEnd w:id="591"/>
      <w:r>
        <w:t>. Pe baza unei analize a măsurilor relevante privind emisiile de GES, intervenienții susțin că, în pofida înregistrării unor progrese în ultimii ani în ceea ce privește politica în domeniul climei, contribuția Elveției la schimbările climatice antropice, inclusiv responsabilitatea sa istorică, este, în general, la fel de mare ca în cazul multor alte țări europene, dacă nu chiar mai mare. Afirmă că, în pofida acestui fapt, Elveția a amânat multă vreme punerea în aplicare a unei legislații de reducere a emisiilor de CO</w:t>
      </w:r>
      <w:r>
        <w:rPr>
          <w:vertAlign w:val="subscript"/>
        </w:rPr>
        <w:t>2</w:t>
      </w:r>
      <w:r>
        <w:t xml:space="preserve"> și de alte GES. Adaugă că dovezile științifice indică în mod clar că, în prezent, contribuția Elveției la obiectivul de limitare a încălzirii globale la 1,5</w:t>
      </w:r>
      <w:r>
        <w:rPr>
          <w:vertAlign w:val="superscript"/>
        </w:rPr>
        <w:t>o</w:t>
      </w:r>
      <w:r>
        <w:t xml:space="preserve">C este insuficientă. Aceștia susțin că, deși este în mod evident imposibil să se folosească un set de criterii bazate exclusiv pe știință pentru determinarea exactă și cuantificarea contribuției echitabile globale a unei țări la limitarea încălzirii globale, toți indicatorii pentru Elveția arată același lucru, și anume că această țară este obligată să aducă o contribuție mai mare față de media tuturor țărilor </w:t>
      </w:r>
      <w:r>
        <w:lastRenderedPageBreak/>
        <w:t>de pe planetă, multe dintre acestea având un consum sau o responsabilitate istorică mult mai mici. Cu toate acestea, Elveția a rămas în urmă în raport cu media țărilor aflate într-o situație comparabilă.</w:t>
      </w:r>
    </w:p>
    <w:p w:rsidR="00F524A5" w:rsidRPr="00472687" w:rsidRDefault="00F524A5" w:rsidP="00E72A1B">
      <w:pPr>
        <w:pStyle w:val="JuH1"/>
        <w:numPr>
          <w:ilvl w:val="3"/>
          <w:numId w:val="51"/>
        </w:numPr>
      </w:pPr>
      <w:bookmarkStart w:id="592" w:name="_Toc199273546"/>
      <w:r>
        <w:t>Global Justice Clinic, Climate Litigation Accelerator și profesorul C. Voigt (Universitatea din Oslo)</w:t>
      </w:r>
      <w:bookmarkEnd w:id="592"/>
    </w:p>
    <w:p w:rsidR="00F524A5" w:rsidRPr="00472687" w:rsidRDefault="00C71855" w:rsidP="00F524A5">
      <w:pPr>
        <w:pStyle w:val="JuPara"/>
      </w:pPr>
      <w:fldSimple w:instr=" SEQ level0 \*arabic \* MERGEFORMAT ">
        <w:r w:rsidR="00F524A5" w:rsidRPr="00472687">
          <w:t>394</w:t>
        </w:r>
      </w:fldSimple>
      <w:r w:rsidR="00F524A5">
        <w:t>. Intervenienții susțin că, începând din 2015, peste 80 de acțiuni referitoare la schimbările climatice, întemeiate pe drepturile omului, au fost introduse în fața instanțelor din întreaga lume. Menționează că problemele recurente ridicate în aceste cauze privesc calitatea de victimă și obligațiile materiale ce revin statelor în materia drepturilor omului ca urmare a angajamentelor asumate de acestea în temeiul dreptului internațional al climei. Aceștia consideră că, în cauzele referitoare la schimbările climatice, persoanele în vârstă pot fi considerate în mod întemeiat victime directe și potențiale victime, în sensul art. 34 din Convenție, având în vedere efectele pe care le au asupra lor schimbările climatice, precum și consecințele acestora, inclusiv valurile de caniculă, inundațiile sau alte fenomene meteorologice extreme și creșterea incidenței anumitor boli, care le expun unui risc sporit de a suferi prejudicii semnificative, care pot ajunge până la vătămări corporale grave și deces. Susțin, de asemenea, că ONG-urile se pot considera, pe bună dreptate, victime ale încălcărilor Convenției din cauza schimbărilor climatice dacă acestea sunt în măsură să demonstreze că pretinsele prejudicii care au dus la încălcarea Convenției le-au afectat în mod direct interesele personale. Aceștia adaugă că, în orice caz, Curtea ar trebui să interpreteze noțiunea de statut de victimă cu o anumită flexibilitate. În această privință, consideră că simplul fapt că actul sau omisiunea în litigiu afectează o mare parte a populației, sau chiar aproape întreaga populație, nu ar trebui să împiedice Curtea să recunoască reclamantelor din prezenta cauză calitatea de victime și să se pronunțe asupra fondului cauzei.</w:t>
      </w:r>
    </w:p>
    <w:p w:rsidR="00F524A5" w:rsidRPr="00472687" w:rsidRDefault="00C71855" w:rsidP="00F524A5">
      <w:pPr>
        <w:pStyle w:val="JuPara"/>
      </w:pPr>
      <w:fldSimple w:instr=" SEQ level0 \*arabic \* MERGEFORMAT ">
        <w:r w:rsidR="00F524A5" w:rsidRPr="00472687">
          <w:t>395</w:t>
        </w:r>
      </w:fldSimple>
      <w:r w:rsidR="00F524A5">
        <w:t>. Intervenienții susțin de asemenea că obligațiile ce revin statelor în temeiul art. 2 și 8 din Convenție ar trebui interpretate în lumina dispozițiilor Acordului de la Paris și a angajamentelor care decurg din acesta. Aceștia consideră că, deși acest lucru nu înseamnă că sarcina Curții este de a stabili ce anume trebuie să facă statele sau tipul exact de măsuri pe care trebuie să le ia, în schimb, Curtea trebuie să stabilească dacă măsurile luate au fost adoptate cu diligența necesară, adică dacă acestea au fost rezonabile și adecvate pentru a preveni riscul ca schimbările climatice să aducă atingere exercitării drepturilor omului. Mai precis, aceștia consideră că Curtea trebuie să examineze dacă măsurile climatice corespund celui mai ridicat nivel de ambiție posibilă și dacă sunt concepute astfel încât să permită obținerea efectivă a unor reduceri rapide și semnificative ale emisiilor de GES, pentru a putea atinge neutralitatea netă la nivel mondial în privința emisiilor de GES până în 2050, în conformitate cu Acordul de la Paris.</w:t>
      </w:r>
    </w:p>
    <w:p w:rsidR="00F524A5" w:rsidRPr="00472687" w:rsidRDefault="00F524A5" w:rsidP="00E72A1B">
      <w:pPr>
        <w:pStyle w:val="JuH1"/>
        <w:numPr>
          <w:ilvl w:val="3"/>
          <w:numId w:val="51"/>
        </w:numPr>
      </w:pPr>
      <w:bookmarkStart w:id="593" w:name="_Toc199273547"/>
      <w:r>
        <w:lastRenderedPageBreak/>
        <w:t>Organizația ClientEarth</w:t>
      </w:r>
      <w:bookmarkEnd w:id="593"/>
    </w:p>
    <w:bookmarkStart w:id="594" w:name="paragraph0039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396</w:t>
      </w:r>
      <w:r w:rsidRPr="00472687">
        <w:fldChar w:fldCharType="end"/>
      </w:r>
      <w:bookmarkEnd w:id="594"/>
      <w:r>
        <w:t>. Intervenienta susține că știința schimbărilor climatice a demonstrat că efectele creșterii temperaturii globale asupra sănătății umane nu vor fi evidente numai în viitor, fiind resimțite deja și în prezent. Consideră că lipsa unor acțiuni suficient de rapide și de ambițioase reprezintă o amenințare gravă la adresa sănătății și bunăstării generațiilor prezente și viitoare. În această privință, susține că, potrivit previziunilor, se vor înregistra peste nouă milioane de decese legate de schimbările climatice în fiecare an, până la sfârșitul secolului. Argumentează că, în acest context, adaptarea (măsuri care să permită adaptarea la schimbările climatice și reducerea efectelor acestora) constituie o parte esențială a obligațiilor statelor în ceea ce privește combaterea schimbărilor climatice. Cu toate acestea, consideră că adoptarea unor măsuri de adaptare nu înlocuiește adoptarea unor măsuri de atenuare adecvate (măsuri care să permită reducerea emisiilor de GES). Potrivit intervenientei, adaptarea impusă de schimbările climatice va putea fi gestionată în mod corespunzător în funcție de amploarea reducerii emisiilor.</w:t>
      </w:r>
    </w:p>
    <w:bookmarkStart w:id="595" w:name="paragraph0039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397</w:t>
      </w:r>
      <w:r w:rsidRPr="00472687">
        <w:fldChar w:fldCharType="end"/>
      </w:r>
      <w:bookmarkEnd w:id="595"/>
      <w:r>
        <w:t>. Intervenienta susține că, atunci când se apreciază caracterul adecvat al măsurilor luate de statele membre, este necesar să se țină seama de următoarele concluzii principale, care, în opinia sa, fac obiectul unui consens în cadrul comunității științifice: există o nevoie urgentă de a reduce emisiile de GES pentru a limita încălzirea la 1,5</w:t>
      </w:r>
      <w:r>
        <w:rPr>
          <w:vertAlign w:val="superscript"/>
        </w:rPr>
        <w:t>o</w:t>
      </w:r>
      <w:r>
        <w:t>C (rapoartele IPCC arată că tendința generală a emisiilor globale de GES nu s-a modificat încă suficient pentru a se îndrepta în direcția cea bună, neputând fi vorba despre o reducere a acestora la nivelul necesar pentru a limita încălzirea la 1,5</w:t>
      </w:r>
      <w:r>
        <w:rPr>
          <w:vertAlign w:val="superscript"/>
        </w:rPr>
        <w:t>o</w:t>
      </w:r>
      <w:r>
        <w:t>C); creșterile de temperatură sunt, probabil, ireversibile (încălzirea globală poate avea efecte ireversibile și pe termen lung); există un risc real de depășire a „punctelor critice” (fenomene naturale care pot duce la schimbări majore în ceea ce privește amploarea și ritmul schimbărilor climatice și efectele acestora), ceea ce va avea consecințe considerabil mai grave decât cele preconizate cu un grad ridicat de încredere (în cadrul estimărilor); există un decalaj temporal semnificativ între emisiile de GES și efectele acestora asupra sistemelor geofizice, precum și între măsurile de transformare a sistemelor umane - inclusiv măsurile de reducere a emisiilor generate de acestea - și efectele acestor măsuri asupra acestor din urmă sisteme.</w:t>
      </w:r>
    </w:p>
    <w:p w:rsidR="00F524A5" w:rsidRPr="00472687" w:rsidRDefault="00C71855" w:rsidP="00F524A5">
      <w:pPr>
        <w:pStyle w:val="JuPara"/>
      </w:pPr>
      <w:fldSimple w:instr=" SEQ level0 \*arabic \* MERGEFORMAT ">
        <w:r w:rsidR="00F524A5" w:rsidRPr="00472687">
          <w:t>398</w:t>
        </w:r>
      </w:fldSimple>
      <w:r w:rsidR="00F524A5">
        <w:t xml:space="preserve">. Intervenienta susține, de asemenea, că dreptul internațional privind schimbările climatice, inclusiv UNFCCC și Acordul de la Paris, impune statelor obligația de a lua măsuri de atenuare și de adaptare. Consideră că, în aceste condiții, este important să se dezvolte criteriul diligenței necesare în temeiul Convenției, ținând seama de principiul „celui mai ridicat nivel de ambiție posibilă” și de urgența legată de reducerea emisiilor la nivel mondial. În opinia sa, obligația statelor de a acționa în această privință le impune: să acționeze într-un termen scurt pentru reducerea emisiilor; să ia măsuri credibile și eficiente, bazate pe obiective obligatorii pe termen scurt și lung și care să corespundă celui mai înalt nivel de ambiție posibilă al statului în </w:t>
      </w:r>
      <w:r w:rsidR="00F524A5">
        <w:lastRenderedPageBreak/>
        <w:t>cauză; să adopte o abordare „sistemică globală”, recunoscând necesitatea de a acționa la toate nivelurile de guvernare și în toate sectoarele economiei; să instituie organisme consultative compuse din experți independenți, astfel încât să permită controlul efectiv al caracterului adecvat al obiectivelor și al progreselor înregistrate; și să asigure transparența planurilor guvernamentale și a progreselor înregistrate de guverne, cu scopul de a permite controlul societății civile, precum și atribuirea clară a responsabilităților ce revin guvernelor, astfel încât să se asigure asumarea responsabilității (inclusiv prin intermediul acțiunilor în justiție).</w:t>
      </w:r>
    </w:p>
    <w:p w:rsidR="00F524A5" w:rsidRPr="00472687" w:rsidRDefault="00F524A5" w:rsidP="00E72A1B">
      <w:pPr>
        <w:pStyle w:val="JuH1"/>
        <w:numPr>
          <w:ilvl w:val="3"/>
          <w:numId w:val="51"/>
        </w:numPr>
      </w:pPr>
      <w:bookmarkStart w:id="596" w:name="_Toc199273548"/>
      <w:r>
        <w:t>Our Children’s Trust, Oxfam France și Oxfam International și afiliații acesteia (Oxfam)</w:t>
      </w:r>
      <w:bookmarkEnd w:id="596"/>
    </w:p>
    <w:bookmarkStart w:id="597" w:name="paragraph00399"/>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399</w:t>
      </w:r>
      <w:r w:rsidRPr="00472687">
        <w:fldChar w:fldCharType="end"/>
      </w:r>
      <w:bookmarkEnd w:id="597"/>
      <w:r>
        <w:t>. Intervenienții consideră că deciziile Curții trebuie să fie întemeiate pe cele mai bune și cele mai recente dovezi științifice disponibile, și anume: dovezi care oferă cel mai înalt nivel de calitate, obiectivitate și integritate a informațiilor, inclusiv a statisticilor; dovezi care se bazează pe elemente care au făcut obiectul unei evaluări inter pares și sunt accesibile publicului; dovezi care documentează și explică în mod clar riscurile și incertitudinile pe care le implică elementele științifice care stau la baza concluziile lor.</w:t>
      </w:r>
      <w:r>
        <w:rPr>
          <w:rFonts w:ascii="Segoe UI" w:hAnsi="Segoe UI"/>
          <w:color w:val="000000"/>
        </w:rPr>
        <w:t xml:space="preserve"> </w:t>
      </w:r>
      <w:r>
        <w:t>În această privință, afirmă că obiectivele de limitare a creșterii temperaturii la 1,5</w:t>
      </w:r>
      <w:r>
        <w:rPr>
          <w:vertAlign w:val="superscript"/>
        </w:rPr>
        <w:t>o</w:t>
      </w:r>
      <w:r>
        <w:t>C și 2</w:t>
      </w:r>
      <w:r>
        <w:rPr>
          <w:vertAlign w:val="superscript"/>
        </w:rPr>
        <w:t>o</w:t>
      </w:r>
      <w:r>
        <w:t>C, prevăzute în Acordul de la Paris și care, în opinia lor, sunt rezultatul unui consens politic și nu al unei constatări științifice sunt insuficiente pentru a asigura protecția drepturilor omului.</w:t>
      </w:r>
      <w:r>
        <w:rPr>
          <w:rFonts w:ascii="Segoe UI" w:hAnsi="Segoe UI"/>
          <w:color w:val="000000"/>
        </w:rPr>
        <w:t xml:space="preserve"> </w:t>
      </w:r>
      <w:r>
        <w:t>Aceștia consideră că Curtea ar trebui să se bazeze mai degrabă pe metoda „dezechilibrului energetic al Pământului”, care, în opinia lor, este instrumentul științific de măsurare care permite să se stabilească dacă măsurile de combatere a schimbărilor climatice sunt eficiente.</w:t>
      </w:r>
      <w:r>
        <w:rPr>
          <w:rFonts w:ascii="Segoe UI" w:hAnsi="Segoe UI"/>
          <w:color w:val="000000"/>
        </w:rPr>
        <w:t xml:space="preserve"> </w:t>
      </w:r>
      <w:r>
        <w:t>În această privință, adaugă că, în cadrul comunității științifice, există un consens cu privire la faptul că, pentru a restaura stabilitatea climei Pământului, protejând astfel viața și sănătatea umană, statele trebuie să ia măsurile necesare pentru a reduce concentrațiile atmosferice de CO</w:t>
      </w:r>
      <w:r>
        <w:rPr>
          <w:vertAlign w:val="subscript"/>
        </w:rPr>
        <w:t>2</w:t>
      </w:r>
      <w:r>
        <w:t xml:space="preserve"> la 350 de părți per milion (ppm), pe care o consideră a fi o rată echitabilă și durabilă din punctul de vedere al mediului (intervenienții indică faptul că nivelul real era de aproximativ 416 ppm în 2021 și că există toate motivele să se creadă că acest nivel va fi și mai mare după finalizarea măsurătorilor, în 2022).</w:t>
      </w:r>
      <w:r>
        <w:rPr>
          <w:rFonts w:ascii="Segoe UI" w:hAnsi="Segoe UI"/>
          <w:color w:val="000000"/>
        </w:rPr>
        <w:t xml:space="preserve"> </w:t>
      </w:r>
      <w:r>
        <w:t>Aceștia susțin că, deși statele au depășit deja nivelurile de CO</w:t>
      </w:r>
      <w:r>
        <w:rPr>
          <w:vertAlign w:val="subscript"/>
        </w:rPr>
        <w:t>2</w:t>
      </w:r>
      <w:r>
        <w:t xml:space="preserve"> din atmosferă care garantau siguranța și stabilitatea climatică, încă mai există o fereastră îngustă de oportunitate pentru ca acestea să acționeze în scopul reducerii acestor rate de încălzire - care sunt periculoase în prezent, în opinia lor - la niveluri care să permită protecția vieții, a sănătății și a bunăstării oamenilor până la sfârșitul secolului.</w:t>
      </w:r>
      <w:r>
        <w:rPr>
          <w:rFonts w:ascii="Segoe UI" w:hAnsi="Segoe UI"/>
          <w:color w:val="000000"/>
        </w:rPr>
        <w:t xml:space="preserve"> </w:t>
      </w:r>
      <w:r>
        <w:t>Cu toate acestea, afirmă că este nevoie de acțiuni imediate și ambițioase pentru a atinge un astfel de obiectiv.</w:t>
      </w:r>
    </w:p>
    <w:p w:rsidR="00F524A5" w:rsidRPr="00472687" w:rsidRDefault="00C71855" w:rsidP="00F524A5">
      <w:pPr>
        <w:pStyle w:val="JuPara"/>
      </w:pPr>
      <w:fldSimple w:instr=" SEQ level0 \*arabic \* MERGEFORMAT ">
        <w:r w:rsidR="00F524A5" w:rsidRPr="00472687">
          <w:t>400</w:t>
        </w:r>
      </w:fldSimple>
      <w:r w:rsidR="00F524A5">
        <w:t>. În această privință, intervenienții susțin că și Curtea trebuie să acționeze fără întârziere și cu hotărâre.</w:t>
      </w:r>
      <w:r w:rsidR="00F524A5">
        <w:rPr>
          <w:rFonts w:ascii="Segoe UI" w:hAnsi="Segoe UI"/>
          <w:color w:val="000000"/>
        </w:rPr>
        <w:t xml:space="preserve"> </w:t>
      </w:r>
      <w:r w:rsidR="00F524A5">
        <w:t xml:space="preserve">Adaugă că un ansamblu solid de </w:t>
      </w:r>
      <w:r w:rsidR="00F524A5">
        <w:lastRenderedPageBreak/>
        <w:t>dovezi permite Curții să ajungă, printre altele, la următoarele concluzii, pe care le consideră decisive:</w:t>
      </w:r>
    </w:p>
    <w:p w:rsidR="00F524A5" w:rsidRPr="00472687" w:rsidRDefault="00F524A5" w:rsidP="00F524A5">
      <w:pPr>
        <w:pStyle w:val="JuPara"/>
      </w:pPr>
      <w:r>
        <w:t>a)</w:t>
      </w:r>
      <w:r>
        <w:tab/>
        <w:t>Dreptul la viață și dreptul la respectarea vieții private și de familie și a domiciliului, care decurg din art. 2 și, respectiv, art. 8, cuprind dreptul la un sistem climatic stabil, care asigură protecția vieții, sănătății și bunăstării ființelor umane.</w:t>
      </w:r>
    </w:p>
    <w:p w:rsidR="00F524A5" w:rsidRPr="00472687" w:rsidRDefault="00F524A5" w:rsidP="00F524A5">
      <w:pPr>
        <w:pStyle w:val="JuPara"/>
      </w:pPr>
      <w:r>
        <w:t>b)</w:t>
      </w:r>
      <w:r>
        <w:tab/>
        <w:t>Măsurile adoptate de state pentru a combate schimbările climatice antropice ar trebui să se bazeze pe cele mai bune cunoștințe științifice disponibile și, prin urmare, să fie concepute astfel încât să conducă la o restabilire a echilibrului energetic al Pământului, ceea ce impune statelor să adopte traiectorii care să permită reducerea concentrațiilor atmosferice de CO</w:t>
      </w:r>
      <w:r>
        <w:rPr>
          <w:vertAlign w:val="subscript"/>
        </w:rPr>
        <w:t>2</w:t>
      </w:r>
      <w:r>
        <w:t xml:space="preserve"> la 350 ppm cât mai rapid posibil.</w:t>
      </w:r>
    </w:p>
    <w:p w:rsidR="00F524A5" w:rsidRPr="00472687" w:rsidRDefault="00F524A5" w:rsidP="00F524A5">
      <w:pPr>
        <w:pStyle w:val="JuPara"/>
      </w:pPr>
      <w:r>
        <w:t>c)</w:t>
      </w:r>
      <w:r>
        <w:tab/>
        <w:t>Statele ale căror legi, politici publice și angajamente nu sunt susceptibile să asigure atingerea obiectivului de 350 ppm ar trebui să ia măsuri specifice, imediate și adecvate pentru limitarea progresivă a emisiilor de CO</w:t>
      </w:r>
      <w:r>
        <w:rPr>
          <w:vertAlign w:val="subscript"/>
        </w:rPr>
        <w:t>2</w:t>
      </w:r>
      <w:r>
        <w:t xml:space="preserve"> și a poluării cauzate de alte GES, pe de o parte, și pentru eliminarea CO</w:t>
      </w:r>
      <w:r>
        <w:rPr>
          <w:vertAlign w:val="subscript"/>
        </w:rPr>
        <w:t>2</w:t>
      </w:r>
      <w:r>
        <w:t xml:space="preserve"> din atmosferă în cantități suficiente pentru a permite stabilizarea sistemului climatic și protejarea resurselor de care depind viața, sănătatea și bunăstarea oamenilor, pe de altă parte.</w:t>
      </w:r>
      <w:r>
        <w:rPr>
          <w:rFonts w:ascii="Segoe UI" w:hAnsi="Segoe UI"/>
          <w:color w:val="000000"/>
        </w:rPr>
        <w:t xml:space="preserve"> </w:t>
      </w:r>
      <w:r>
        <w:t>Deși statele dispun de o marjă de apreciere în ceea ce privește alegerea mijloacelor de realizare a obiectivului de 350 ppm, acestora nu li se permite să modifice acest obiectiv, care se bazează pe date științifice.</w:t>
      </w:r>
    </w:p>
    <w:p w:rsidR="00F524A5" w:rsidRPr="00472687" w:rsidRDefault="00F524A5" w:rsidP="00F524A5">
      <w:pPr>
        <w:pStyle w:val="JuPara"/>
      </w:pPr>
      <w:r>
        <w:t>d)</w:t>
      </w:r>
      <w:r>
        <w:tab/>
        <w:t>Există circumstanțe excepționale care pot justifica indicarea de către Curte, în termeni suficient de preciși, a unor măsuri specifice în temeiul art. 46 din Convenție pentru a ghida statele în alegerea măsurilor, a traiectoriei și a calendarului relevante, care trebuie să fie adoptate.</w:t>
      </w:r>
    </w:p>
    <w:p w:rsidR="00F524A5" w:rsidRPr="00472687" w:rsidRDefault="00C71855" w:rsidP="00F524A5">
      <w:pPr>
        <w:pStyle w:val="JuPara"/>
      </w:pPr>
      <w:fldSimple w:instr=" SEQ level0 \*arabic \* MERGEFORMAT ">
        <w:r w:rsidR="00F524A5" w:rsidRPr="00472687">
          <w:t>401</w:t>
        </w:r>
      </w:fldSimple>
      <w:r w:rsidR="00F524A5">
        <w:t>. Intervenienții susțin de asemenea că, în cadrul aprecierii sale, Curtea ar trebui să țină seama de faptul că studiile arată că schimbările climatice constituie un pericol prezent și clar identificabil pentru viața și sănătatea oamenilor și că această analiză face obiectul unui consens în cadrul comunității științifice mondiale. Aceștia afirmă, de asemenea, că autoritățile statului sunt pe deplin conștiente de efectele schimbărilor climatice.</w:t>
      </w:r>
      <w:r w:rsidR="00F524A5">
        <w:rPr>
          <w:rFonts w:ascii="Segoe UI" w:hAnsi="Segoe UI"/>
          <w:color w:val="000000"/>
        </w:rPr>
        <w:t xml:space="preserve"> </w:t>
      </w:r>
      <w:r w:rsidR="00F524A5">
        <w:t>În opinia lor, este deosebit de importantă recunoașterea de către Curte a faptului că dreptul la un sistem climatic stabil, care asigură protecția vieții, a sănătății și a bunăstării oamenilor, decurge din art. 2 din Convenție.</w:t>
      </w:r>
    </w:p>
    <w:p w:rsidR="00F524A5" w:rsidRPr="00472687" w:rsidRDefault="00F524A5" w:rsidP="00E72A1B">
      <w:pPr>
        <w:pStyle w:val="JuH1"/>
        <w:numPr>
          <w:ilvl w:val="3"/>
          <w:numId w:val="51"/>
        </w:numPr>
      </w:pPr>
      <w:bookmarkStart w:id="598" w:name="_Toc199273549"/>
      <w:r>
        <w:t>Grupul de cadre universitare de la Universitatea din Berna (profesorii Claus Beisbart, Thomas Frölicher, Martin Grosjean, Karin Ingold, Fortunat Joos, Jörg Künzli, C. Christoph Raible, Thomas Stocker, Ralph Winkler și Judith Wyttenbach, și doctorii Ana M. Vicedo</w:t>
      </w:r>
      <w:r>
        <w:noBreakHyphen/>
        <w:t>Cabrera și Charlotte Blattner)</w:t>
      </w:r>
      <w:bookmarkEnd w:id="598"/>
    </w:p>
    <w:p w:rsidR="00F524A5" w:rsidRPr="00472687" w:rsidRDefault="00C71855" w:rsidP="00F524A5">
      <w:pPr>
        <w:pStyle w:val="JuPara"/>
      </w:pPr>
      <w:fldSimple w:instr=" SEQ level0 \*arabic \* MERGEFORMAT ">
        <w:r w:rsidR="00F524A5" w:rsidRPr="00472687">
          <w:t>402</w:t>
        </w:r>
      </w:fldSimple>
      <w:r w:rsidR="00F524A5">
        <w:t xml:space="preserve">. Intervenienții consideră că Curtea ar trebui să reafirme că, în domeniul mediului, statele au obligații pozitive care le impun să asigure protecția drepturilor omului. Aceștia consideră că problema existenței unui </w:t>
      </w:r>
      <w:r w:rsidR="00F524A5">
        <w:lastRenderedPageBreak/>
        <w:t>risc real și imediat care rezultă din efectele nefaste ale schimbărilor climatice trebuie să fie analizată în lumina dovezilor științifice referitoare la riscurile efective la care sunt expuse femeile în vârstă care trăiesc în Elveția ca urmare a schimbărilor climatice antropice și, în special, a creșterii temperaturilor. Aceștia susțin că întinderea obligațiilor pozitive ce revin statului variază în funcție de măsura în care poate fi atenuat riscul în cauză, măsură care, în opinia lor, trebuie apreciată ținând seama în mod corespunzător de instrumentele juridice instituite în scopul reglementării acestor riscuri, adică de regimul prevăzut de dreptul internațional al climei. În opinia acestora, întrebarea care se pune este dacă măsurile adoptate de stat vizează și contribuie într-adevăr la respectarea cotei sale echitabile din efortul global de prevenire a atingerii unor niveluri periculoase ale schimbărilor climatice.</w:t>
      </w:r>
    </w:p>
    <w:bookmarkStart w:id="599" w:name="paragraph00403"/>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403</w:t>
      </w:r>
      <w:r w:rsidRPr="00472687">
        <w:fldChar w:fldCharType="end"/>
      </w:r>
      <w:bookmarkEnd w:id="599"/>
      <w:r>
        <w:t>. Intervenienții susțin că Elveția nu și-a îndeplinit angajamentele climatice pe care și le-a asumat, în special cele care decurg din Acordul de la Paris și care, potrivit acestora, nu au fost încă transpuse în dreptul intern. Consideră că politicile elvețiene sunt în evidentă contradicție cu traiectoriile de reducere a emisiilor, care, conform analizelor științifice, sunt compatibile cu o limitare a încălzirii la 1,5</w:t>
      </w:r>
      <w:r>
        <w:rPr>
          <w:vertAlign w:val="superscript"/>
        </w:rPr>
        <w:t>o</w:t>
      </w:r>
      <w:r>
        <w:t>C, chiar și conform unei viziuni înguste asupra ambițiilor și evoluțiilor necesare.</w:t>
      </w:r>
      <w:r>
        <w:rPr>
          <w:rFonts w:ascii="Segoe UI" w:hAnsi="Segoe UI"/>
          <w:color w:val="000000"/>
        </w:rPr>
        <w:t xml:space="preserve"> </w:t>
      </w:r>
      <w:r>
        <w:t>Aceștia adaugă că, înainte de introducerea prezentei cauze, Elveția nu avea un plan pentru a contribui în mod eficient la atenuarea încălzirii globale și că încă nu are un astfel de plan.</w:t>
      </w:r>
      <w:r>
        <w:rPr>
          <w:rFonts w:ascii="Segoe UI" w:hAnsi="Segoe UI"/>
          <w:color w:val="000000"/>
        </w:rPr>
        <w:t xml:space="preserve"> </w:t>
      </w:r>
      <w:r>
        <w:t>Precizează, de asemenea, că șansele ca aceasta să-și atingă obiectivele se diminuează pe măsură ce se închide fereastra de oportunitate pentru acțiune, în detrimentul protecției grupurilor deosebit de vulnerabile.</w:t>
      </w:r>
      <w:r>
        <w:rPr>
          <w:rFonts w:ascii="Segoe UI" w:hAnsi="Segoe UI"/>
          <w:color w:val="000000"/>
        </w:rPr>
        <w:t xml:space="preserve"> </w:t>
      </w:r>
      <w:r>
        <w:t>Aceștia afirmă că, de la adoptarea Acordului de la Paris, Elveția nu a înregistrat progrese în ceea ce privește combaterea schimbărilor climatice și nu a stabilit niciun obiectiv obligatoriu în materie.</w:t>
      </w:r>
      <w:r>
        <w:rPr>
          <w:rFonts w:ascii="Segoe UI" w:hAnsi="Segoe UI"/>
          <w:color w:val="000000"/>
        </w:rPr>
        <w:t xml:space="preserve"> </w:t>
      </w:r>
      <w:r>
        <w:t>Cu alte cuvinte, potrivit acestora, politica Elveției în domeniul climei nu a fost niciodată la înălțimea obiectivelor de atenuare, care oricum nu erau suficient de ambițioase.</w:t>
      </w:r>
      <w:r>
        <w:rPr>
          <w:rFonts w:ascii="Segoe UI" w:hAnsi="Segoe UI"/>
          <w:color w:val="000000"/>
        </w:rPr>
        <w:t xml:space="preserve"> </w:t>
      </w:r>
      <w:r>
        <w:t>Acestea sunt considerentele care, potrivit intervenienților, ar trebui să fie luate în considerare de Curte în cadrul aprecierii marjei de apreciere de care beneficiază Elveția și a respectării de către acest stat a obligațiilor pozitive ce îi revin în temeiul Convenției.</w:t>
      </w:r>
      <w:r>
        <w:rPr>
          <w:rFonts w:ascii="Segoe UI" w:hAnsi="Segoe UI"/>
          <w:color w:val="000000"/>
        </w:rPr>
        <w:t xml:space="preserve"> </w:t>
      </w:r>
      <w:r>
        <w:t>În plus, adaugă intervenienții, Curtea ar trebui de asemenea să acorde atenție importanței pe care o au, în contextul în cauză, accesul la justiție și eficacitatea acțiunii normative a autorităților.</w:t>
      </w:r>
    </w:p>
    <w:p w:rsidR="00F524A5" w:rsidRPr="00472687" w:rsidRDefault="00F524A5" w:rsidP="00E72A1B">
      <w:pPr>
        <w:pStyle w:val="JuH1"/>
        <w:numPr>
          <w:ilvl w:val="3"/>
          <w:numId w:val="51"/>
        </w:numPr>
      </w:pPr>
      <w:bookmarkStart w:id="600" w:name="_Toc199273550"/>
      <w:r>
        <w:t>Centrul de Drept Internațional al Mediului (Center for International Environmental Law) și doctorul Margaretha Wewerinke-Singh</w:t>
      </w:r>
      <w:bookmarkEnd w:id="600"/>
    </w:p>
    <w:bookmarkStart w:id="601" w:name="paragraph0040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404</w:t>
      </w:r>
      <w:r w:rsidRPr="00472687">
        <w:fldChar w:fldCharType="end"/>
      </w:r>
      <w:bookmarkEnd w:id="601"/>
      <w:r>
        <w:t xml:space="preserve">. Intervenienții susțin că, în conformitate cu principiul interpretării armonioase a Convenției, Curtea ar trebui să țină seama de evoluțiile internaționale relevante din domeniul dreptului mediului și în special de recunoașterea, prin Rezoluția 76/300 a Adunării Generale a ONU, a dreptului la un mediu curat, sănătos și durabil. Aceștia apreciază că Curtea ar trebui, de asemenea, să țină seama de consensul care, în opinia lor, rezultă din </w:t>
      </w:r>
      <w:r>
        <w:lastRenderedPageBreak/>
        <w:t>UNFCCC, din Acordul de la Paris și din cele mai bune cunoștințe științifice disponibile, în special din rapoartele IPCC, cu privire la existența obligației statelor de a preveni amenințarea reprezentată de schimbările climatice.</w:t>
      </w:r>
      <w:r>
        <w:rPr>
          <w:rFonts w:ascii="Segoe UI" w:hAnsi="Segoe UI"/>
          <w:color w:val="000000"/>
        </w:rPr>
        <w:t xml:space="preserve"> </w:t>
      </w:r>
      <w:r>
        <w:t>Afirmă că cele mai bune studii științifice disponibile recunosc faptul că nivelurile actuale de încălzire provoacă deja daune și încălcări ale drepturilor omului.</w:t>
      </w:r>
      <w:r>
        <w:rPr>
          <w:rFonts w:ascii="Segoe UI" w:hAnsi="Segoe UI"/>
          <w:color w:val="000000"/>
        </w:rPr>
        <w:t xml:space="preserve"> </w:t>
      </w:r>
      <w:r>
        <w:t>Potrivit acestora, o încălzire de 1,5</w:t>
      </w:r>
      <w:r>
        <w:rPr>
          <w:vertAlign w:val="superscript"/>
        </w:rPr>
        <w:t>o</w:t>
      </w:r>
      <w:r>
        <w:t>C sau mai mare este periculoasă pentru majoritatea țărilor și populațiilor, iar depășirea limitei de 1,5</w:t>
      </w:r>
      <w:r>
        <w:rPr>
          <w:vertAlign w:val="superscript"/>
        </w:rPr>
        <w:t>o</w:t>
      </w:r>
      <w:r>
        <w:t>C, chiar și temporar, ar putea provoca alte daune ireversibile, cum ar fi creșterea numărului de decese.</w:t>
      </w:r>
      <w:r>
        <w:rPr>
          <w:rFonts w:ascii="Segoe UI" w:hAnsi="Segoe UI"/>
          <w:color w:val="000000"/>
        </w:rPr>
        <w:t xml:space="preserve"> </w:t>
      </w:r>
      <w:r>
        <w:t>Prin urmare, știința a demonstrat că protecția drepturilor omului împotriva altor daune climatice previzibile impune menținerea încălzirii sub 1,5</w:t>
      </w:r>
      <w:r>
        <w:rPr>
          <w:vertAlign w:val="superscript"/>
        </w:rPr>
        <w:t>o</w:t>
      </w:r>
      <w:r>
        <w:t>C. IPCC a demonstrat că înlocuirea combustibililor fosili cu energie din surse regenerabile și eficiența energetică reprezintă cele mai eficiente măsuri de atenuare în scopul atingerii obiectivului de reducere a emisiilor de GES până în 2030 (care este orizontul de acțiune decisiv pentru a putea evita depășirea limitei de 1,5</w:t>
      </w:r>
      <w:r>
        <w:rPr>
          <w:vertAlign w:val="superscript"/>
        </w:rPr>
        <w:t>o</w:t>
      </w:r>
      <w:r>
        <w:t>C).</w:t>
      </w:r>
    </w:p>
    <w:bookmarkStart w:id="602" w:name="paragraph0040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405</w:t>
      </w:r>
      <w:r w:rsidRPr="00472687">
        <w:fldChar w:fldCharType="end"/>
      </w:r>
      <w:bookmarkEnd w:id="602"/>
      <w:r>
        <w:t>. Citând rapoarte științifice referitoare la efectele încălzirii globale, în special raportul special al IPCC, intervenienții susțin că eliminarea dioxidului de carbon („EDC”) și creditele de compensare a emisiilor generate de activități desfășurate în afara teritoriului național nu permit realizarea acestor reduceri.</w:t>
      </w:r>
      <w:r>
        <w:rPr>
          <w:rFonts w:ascii="Segoe UI" w:hAnsi="Segoe UI"/>
          <w:color w:val="000000"/>
        </w:rPr>
        <w:t xml:space="preserve"> </w:t>
      </w:r>
      <w:r>
        <w:t>Aceștia consideră că principiul precauției și principiul prevenirii interzic statelor să se abțină de la punerea în aplicare a măsurilor existente și validate științific care permit reduceri nete și imediate ale emisiilor de GES, sub pretextul că acestea se bazează pe tehnologii ipotetice, precum metodele de eliminare a dioxidului de carbon, care, în opinia lor, sporesc probabilitatea depășirii limitei de 1,5</w:t>
      </w:r>
      <w:r>
        <w:rPr>
          <w:vertAlign w:val="superscript"/>
        </w:rPr>
        <w:t>o</w:t>
      </w:r>
      <w:r>
        <w:t>C. Intervenienții consideră că, în măsura în care planurile de atenuare a schimbărilor climatice ale unui stat se bazează pe achiziționarea de credite de compensare a emisiilor generate de activități desfășurate în afara teritoriului său ori pe tehnologii EDC, acestea încalcă obligațiile statului în cauză de a respecta și garanta dreptul la viață și dreptul la respectarea vieții private și de familie.</w:t>
      </w:r>
    </w:p>
    <w:p w:rsidR="00F524A5" w:rsidRPr="00472687" w:rsidRDefault="00F524A5" w:rsidP="00E72A1B">
      <w:pPr>
        <w:pStyle w:val="JuH1"/>
        <w:numPr>
          <w:ilvl w:val="3"/>
          <w:numId w:val="51"/>
        </w:numPr>
      </w:pPr>
      <w:bookmarkStart w:id="603" w:name="_Toc199273551"/>
      <w:r>
        <w:t>Centrul Sabin de cercetare în domeniul dreptului schimbărilor climatice (Sabin Center for Climate Change Law) (Facultatea de Drept a Universității Columbia)</w:t>
      </w:r>
      <w:bookmarkEnd w:id="603"/>
    </w:p>
    <w:bookmarkStart w:id="604" w:name="paragraph0040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406</w:t>
      </w:r>
      <w:r w:rsidRPr="00472687">
        <w:fldChar w:fldCharType="end"/>
      </w:r>
      <w:bookmarkEnd w:id="604"/>
      <w:r>
        <w:t xml:space="preserve">. Intervenientul susține că jurisprudența actuală a diferitor organisme naționale și internaționale dovedește că aprecierea de către Curte a calității de victimă poate fi considerată în mod valabil drept o chestiune de fond. Acesta susține că, atunci când se confruntă cu o astfel de problemă, instanțele tind să le ofere reclamanților posibilitatea de a dovedi că au suferit un prejudiciu individual particular ca urmare a pretinsei încălcări de către un stat a obligației de atenuare a schimbărilor climatice. Afirmă că știința a stabilit clar faptul că efectele nefaste ale schimbărilor climatice asupra vieții și mijloacelor de subzistență ale indivizilor și populațiilor din întreaga lume sunt larg răspândite și de anvergură și că este absolut necesar ca atât comunitatea </w:t>
      </w:r>
      <w:r>
        <w:lastRenderedPageBreak/>
        <w:t>internațională, cât și fiecare țară în parte să reducă imediat și drastic emisiile de GES. Cu toate acestea, în Europa, la fel ca și în alte părți ale lumii, se observă o discrepanță între cerințele unui buget global de carbon echilibrat, calendarul și amploarea angajamentelor naționale în domeniul climei și punerea în aplicare a acestor angajamente la nivel național.</w:t>
      </w:r>
    </w:p>
    <w:p w:rsidR="00F524A5" w:rsidRPr="00472687" w:rsidRDefault="00C71855" w:rsidP="00F524A5">
      <w:pPr>
        <w:pStyle w:val="JuPara"/>
      </w:pPr>
      <w:fldSimple w:instr=" SEQ level0 \*arabic \* MERGEFORMAT ">
        <w:r w:rsidR="00F524A5" w:rsidRPr="00472687">
          <w:t>407</w:t>
        </w:r>
      </w:fldSimple>
      <w:r w:rsidR="00F524A5">
        <w:t>. Potrivit intervenientului, în ceea ce privește marja de apreciere lăsată statelor în materie de obligații climatice, un studiu de drept comparat arată că instanțele oferă trei tipuri de răspunsuri la problema separării puterilor în acest domeniu. Conform unei prime abordări, instanțele au considerat că guvernele dispun de o marjă de apreciere limitată și că instanțele trebuie să exercite un control jurisdicțional atunci când drepturile omului sunt amenințate de o acțiune sau o inacțiune a guvernului. Potrivit unei a doua abordări, instanțele au apreciat că au dreptul să exercite un control jurisdicțional al legalității unei acțiuni sau unei inacțiuni a guvernului, considerând totodată că guvernele dispun de o marjă largă de apreciere în ceea ce privește stabilirea obiectivelor climatice finale. Adoptând o a treia abordare, instanțele au concluzionat că, atunci când sunt sesizate să se pronunțe cu privire la caracterul adecvat al măsurilor de atenuare adoptate (sau nu) de un stat, nu pot să impună anumite norme sau măsuri reparatorii în această privință, chiar dacă ar putea să dispună anumite forme de reparație cu caracter declarativ.</w:t>
      </w:r>
    </w:p>
    <w:p w:rsidR="00F524A5" w:rsidRPr="00472687" w:rsidRDefault="00F524A5" w:rsidP="00E72A1B">
      <w:pPr>
        <w:pStyle w:val="JuH1"/>
        <w:numPr>
          <w:ilvl w:val="3"/>
          <w:numId w:val="51"/>
        </w:numPr>
      </w:pPr>
      <w:bookmarkStart w:id="605" w:name="_Toc199273552"/>
      <w:r>
        <w:t>Germanwatch, Greenpeace Germania și Scientists for Future (Oameni de știință pentru viitor)</w:t>
      </w:r>
      <w:bookmarkEnd w:id="605"/>
    </w:p>
    <w:p w:rsidR="00F524A5" w:rsidRPr="00472687" w:rsidRDefault="00C71855" w:rsidP="00F524A5">
      <w:pPr>
        <w:pStyle w:val="JuPara"/>
      </w:pPr>
      <w:fldSimple w:instr=" SEQ level0 \*arabic \* MERGEFORMAT ">
        <w:r w:rsidR="00F524A5" w:rsidRPr="00472687">
          <w:t>408</w:t>
        </w:r>
      </w:fldSimple>
      <w:r w:rsidR="00F524A5">
        <w:t xml:space="preserve">. Intervenienții susțin că este posibil să se identifice patru tipuri de încălcări de către state ale unor drepturi individuale în contextul schimbărilor climatice: a) o încălcare cauzată de emisiile de GES generate de serviciile publice; b) o încălcare ce rezultă dintr-o omisiune în ceea ce privește GES emise de actori privați; c) neprevenirea anticipată a viitoarelor încălcări, care, potrivit intervenienților, este noțiune dezvoltată de Curtea Constituțională germană în jurisprudența sa referitoare la schimbările climatice; și d) o încălcare ce rezultă din alocarea de drepturi de emisii, care are loc atunci când statul alocă drepturi de emisii de GES unor generatori de emisii și, prin urmare, acesta ar trebui să fie considerat răspunzător pentru emisiile respective. Intervenienții adaugă că, în domeniul în cauză, legătura de cauzalitate se caracterizează prin șapte elemente: a) certitudinea, cu privire la care aceștia fac referire la rapoartele IPCC, care, potrivit acestora, stabilesc că realitatea schimbărilor climatice și efectele acestora sunt acceptate cu cel mai înalt nivel de încredere; b) individualizarea efectelor asupra persoanei în cauză; c) intensitatea, care este legată de gravitatea încălcării și care trebuie evaluată în funcție de efectele asupra sănătății umane și asupra mediului, în calitate de bunuri comune; d) criteriul temporal, care impune ca încălcarea să fie prezentă, iminentă sau imediată; e) interdependența cu mediul „ca atare”, care rezultă din faptul că jurisprudența Curții a recunoscut existența unei </w:t>
      </w:r>
      <w:r w:rsidR="00F524A5">
        <w:lastRenderedPageBreak/>
        <w:t>legături între drepturile garantate de Convenție și mediul ca atare (și care este independentă de orice recunoaștere de către Curte a existenței unui drept la un mediu sănătos); f) alocarea către un stat, care diferă în funcție de trei tipuri de emisii (emisii generate pe teritoriul statului respectiv și care afectează același teritoriu; emisii generate pe teritoriul statului respectiv și care produc efecte în străinătate; emisii generate pe un alt teritoriu decât cel al statului respectiv, dar care provin sau rezultă din activități umane desfășurate pe teritoriul statului respectiv); și g) contribuțiile partajate (sau așa-numitul argument al „picăturii într-un ocean”), pentru analiza cărora trebuie luată în considerare orice contribuție, indiferent de amploarea acesteia.</w:t>
      </w:r>
    </w:p>
    <w:p w:rsidR="00F524A5" w:rsidRPr="00472687" w:rsidRDefault="00C71855" w:rsidP="00F524A5">
      <w:pPr>
        <w:pStyle w:val="JuPara"/>
      </w:pPr>
      <w:fldSimple w:instr=" SEQ level0 \*arabic \* MERGEFORMAT ">
        <w:r w:rsidR="00F524A5" w:rsidRPr="00472687">
          <w:t>409</w:t>
        </w:r>
      </w:fldSimple>
      <w:r w:rsidR="00F524A5">
        <w:t>. Intervenienții consideră că există trei criterii care pot fi aplicate pentru a determina nivelul de reducere a emisiilor de GES necesar pentru garantarea drepturilor fundamentale: a) cotele echitabile din bugetul global de emisii corespunzătoare fiecărui stat, care trebuie stabilite determinând mai întâi bugetul global și apoi repartizând bugetul respectiv între state, calculând bugetul pentru fiecare stat pe baza modelului utilizat de CAT sau a unui model bazat pe numărul de locuitori; b) traiectoriile de emisii modelate (care ar trebui stabilite pe baza unor măsuri compatibile cu limitele superioare în materie de încălzire), ținând seama de modelul bugetelor divergente și de insuficiența unei compensații pur financiare în acest domeniu; sau c) explorarea posibilităților tehnice, economice și sociale, care corespunde obligației statului pârât de a face tot ce este posibil din punct de vedere tehnic, economic și social pentru a reduce emisiile de GES. În sfârșit, intervenienții consideră că principiile de reglementare a atribuirii și jurisdicției trebuie să fie dezvoltate și perfecționate astfel încât să permită luarea în considerare a emisiilor generate în străinătate.</w:t>
      </w:r>
    </w:p>
    <w:p w:rsidR="00F524A5" w:rsidRPr="00472687" w:rsidRDefault="00F524A5" w:rsidP="00E72A1B">
      <w:pPr>
        <w:pStyle w:val="JuHA"/>
        <w:numPr>
          <w:ilvl w:val="2"/>
          <w:numId w:val="51"/>
        </w:numPr>
      </w:pPr>
      <w:bookmarkStart w:id="606" w:name="_Toc149127533"/>
      <w:bookmarkStart w:id="607" w:name="_Toc158019711"/>
      <w:bookmarkStart w:id="608" w:name="_Toc199273553"/>
      <w:r>
        <w:t>Motivarea Curții</w:t>
      </w:r>
      <w:bookmarkEnd w:id="606"/>
      <w:bookmarkEnd w:id="607"/>
      <w:bookmarkEnd w:id="608"/>
    </w:p>
    <w:p w:rsidR="00F524A5" w:rsidRPr="00472687" w:rsidRDefault="00F524A5" w:rsidP="00E72A1B">
      <w:pPr>
        <w:pStyle w:val="JuH1"/>
        <w:numPr>
          <w:ilvl w:val="3"/>
          <w:numId w:val="51"/>
        </w:numPr>
      </w:pPr>
      <w:bookmarkStart w:id="609" w:name="_Toc199273554"/>
      <w:r>
        <w:t>Observații preliminare</w:t>
      </w:r>
      <w:bookmarkEnd w:id="609"/>
    </w:p>
    <w:bookmarkStart w:id="610" w:name="paragraph0041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410</w:t>
      </w:r>
      <w:r w:rsidRPr="00472687">
        <w:fldChar w:fldCharType="end"/>
      </w:r>
      <w:bookmarkEnd w:id="610"/>
      <w:r>
        <w:t>. Curtea constată, în primul rând, că schimbările climatice constituie una dintre cele mai îngrijorătoare probleme ale epocii noastre.</w:t>
      </w:r>
      <w:r>
        <w:rPr>
          <w:rFonts w:ascii="Segoe UI" w:hAnsi="Segoe UI"/>
          <w:color w:val="000000"/>
        </w:rPr>
        <w:t xml:space="preserve"> </w:t>
      </w:r>
      <w:r>
        <w:t>Deși principala cauză a schimbărilor climatice este acumularea de GES în atmosfera Pământului, consecințele asupra mediului și efectele nefaste ale acestui fenomen asupra condițiilor de viață ale oamenilor și ale diferitelor comunități umane sunt complexe și multiple. În plus, Curtea este conștientă de faptul că efectele dăunătoare ale schimbărilor climatice ridică problema partajării eforturilor între generații (a se vedea infra, pct. </w:t>
      </w:r>
      <w:r w:rsidRPr="00472687">
        <w:fldChar w:fldCharType="begin"/>
      </w:r>
      <w:r w:rsidRPr="00472687">
        <w:instrText xml:space="preserve">REF paragraph00420 \h \* CharFormat </w:instrText>
      </w:r>
      <w:r w:rsidRPr="00472687">
        <w:fldChar w:fldCharType="separate"/>
      </w:r>
      <w:r w:rsidRPr="00472687">
        <w:t>420</w:t>
      </w:r>
      <w:r w:rsidRPr="00472687">
        <w:fldChar w:fldCharType="end"/>
      </w:r>
      <w:r>
        <w:t>) și afectează în mod deosebit diferitele grupuri vulnerabile ale societății, care au nevoie de o atenție și de o protecție speciale din partea autorităților.</w:t>
      </w:r>
    </w:p>
    <w:p w:rsidR="00F524A5" w:rsidRPr="00472687" w:rsidRDefault="00C71855" w:rsidP="00F524A5">
      <w:pPr>
        <w:pStyle w:val="JuPara"/>
        <w:rPr>
          <w:rFonts w:ascii="Segoe UI" w:eastAsia="Times New Roman" w:hAnsi="Segoe UI" w:cs="Segoe UI"/>
          <w:color w:val="000000"/>
        </w:rPr>
      </w:pPr>
      <w:fldSimple w:instr=" SEQ level0 \*arabic \* MERGEFORMAT ">
        <w:r w:rsidR="00F524A5" w:rsidRPr="00472687">
          <w:t>411</w:t>
        </w:r>
      </w:fldSimple>
      <w:r w:rsidR="00F524A5">
        <w:t xml:space="preserve">. Cu toate acestea, Curtea poate soluționa chestiuni legate de schimbările climatice numai în limitele exercitării competenței sale, care, în temeiul art. 19 din Convenție, constă în a asigura respectarea angajamentelor care decurg pentru înaltele părți contractante din Convenție și din </w:t>
      </w:r>
      <w:r w:rsidR="00F524A5">
        <w:lastRenderedPageBreak/>
        <w:t>protocoalele sale.</w:t>
      </w:r>
      <w:r w:rsidR="00F524A5">
        <w:rPr>
          <w:rFonts w:ascii="Segoe UI" w:hAnsi="Segoe UI"/>
          <w:color w:val="000000"/>
        </w:rPr>
        <w:t xml:space="preserve"> </w:t>
      </w:r>
      <w:r w:rsidR="00F524A5">
        <w:t xml:space="preserve">În acest sens, Curtea este și trebuie să rămână conștientă de faptul că, în general, măsurile menite să combată schimbările climatice și efectele nefaste ale acestora necesită acțiuni legislative, atât în ceea ce privește cadrul politic, cât și în diferite domenii sectoriale. Într-o democrație, care constituie un element fundamental al ordinii publice europene, astfel cum reiese din preambulul Convenției, precum și din principiul subsidiarității și principiul responsabilității comune [a se vedea, în special, </w:t>
      </w:r>
      <w:r w:rsidR="00F524A5">
        <w:rPr>
          <w:i/>
        </w:rPr>
        <w:t>Partidul Comunist Unificat din Turcia și alții împotriva Turciei</w:t>
      </w:r>
      <w:r w:rsidR="00F524A5">
        <w:t xml:space="preserve">, 30 ianuarie 1998, pct. 45, </w:t>
      </w:r>
      <w:r w:rsidR="00F524A5">
        <w:rPr>
          <w:i/>
        </w:rPr>
        <w:t>Culegere</w:t>
      </w:r>
      <w:r w:rsidR="00F524A5">
        <w:t xml:space="preserve"> 1998-I, și </w:t>
      </w:r>
      <w:r w:rsidR="00F524A5">
        <w:rPr>
          <w:i/>
        </w:rPr>
        <w:t>Grzęda împotriva Poloniei</w:t>
      </w:r>
      <w:r w:rsidR="00F524A5">
        <w:t xml:space="preserve"> (MC), nr. 43572/18, pct. 324, 15 martie 2022], astfel de acțiuni depind, așadar, în mod necesar de procesul decizional democratic.</w:t>
      </w:r>
    </w:p>
    <w:p w:rsidR="00F524A5" w:rsidRPr="00472687" w:rsidRDefault="00C71855" w:rsidP="00F524A5">
      <w:pPr>
        <w:pStyle w:val="JuPara"/>
        <w:rPr>
          <w:b/>
          <w:bCs/>
        </w:rPr>
      </w:pPr>
      <w:fldSimple w:instr=" SEQ level0 \*arabic \* MERGEFORMAT ">
        <w:r w:rsidR="00F524A5" w:rsidRPr="00472687">
          <w:t>412</w:t>
        </w:r>
      </w:fldSimple>
      <w:r w:rsidR="00F524A5">
        <w:t>. O intervenție jurisdicțională, inclusiv a Curții, nu poate să înlocuiască măsurile care trebuie luate de puterea legislativă și cea executivă, sau să furnizeze un substitut al acestora. Totuși, democrația nu poate fi redusă la voința majoritară a alegătorilor și a aleșilor, cu încălcarea cerințelor statului de drept. Competența instanțelor interne și a Curții este așadar complementară acestor procese democratice. Sarcina puterii judecătorești este de a asigura controlul necesar al respectării cerințelor legale. Temeiul legal al intervenției Curții se limitează întotdeauna la Convenție, care conferă Curții și competența de a verifica proporționalitatea măsurilor generale adoptate de legiuitorul național [</w:t>
      </w:r>
      <w:r w:rsidR="00F524A5">
        <w:rPr>
          <w:i/>
        </w:rPr>
        <w:t xml:space="preserve">Animal Defenders International împotriva Regatului Unit </w:t>
      </w:r>
      <w:r w:rsidR="00F524A5">
        <w:t>(MC), nr. 48876/08, pct. 108, CEDO 2013 (extrase)]. Cadrul juridic pe baza căruia este definit domeniul de aplicare al controlului exercitat de instanțele interne poate fi considerabil mai larg și depinde de natura și de temeiul legal al capetelor de cerere formulate de justițiabili.</w:t>
      </w:r>
    </w:p>
    <w:p w:rsidR="00F524A5" w:rsidRPr="00472687" w:rsidRDefault="00C71855" w:rsidP="00F524A5">
      <w:pPr>
        <w:pStyle w:val="JuPara"/>
      </w:pPr>
      <w:fldSimple w:instr=" SEQ level0 \*arabic \* MERGEFORMAT ">
        <w:r w:rsidR="00F524A5" w:rsidRPr="00472687">
          <w:t>413</w:t>
        </w:r>
      </w:fldSimple>
      <w:r w:rsidR="00F524A5">
        <w:t>. În același timp, Curtea trebuie să țină seama și de faptul că insuficiența, recunoscută pe scară largă, a acțiunilor anterioare întreprinse de stat pentru combaterea schimbărilor climatice se traduce, la nivel mondial, printr-o sporire a riscurilor de consecințe negative și a amenințărilor specifice – deja recunoscute de statele din întreaga lume – în ceea ce privește exercitarea drepturilor omului. Prin urmare, situația actuală implică condiții imperioase, confirmate de cunoștințele științifice, pe care Curtea, în calitate de organ judiciar responsabil cu asigurarea respectării drepturilor omului, nu le poate ignora. Cu toate acestea, având în vedere, pe de o parte, că responsabilitatea pentru aceste aspecte ține în mod necesar, în primul rând de competența puterii legislative și a celei executive și, pe de altă parte, că problemele și consecințele care rezultă din efectele nefaste ale schimbărilor climatice sunt colective prin natura lor, problema de a stabili cine poate, în acest context, să solicite protecție judiciară în temeiul Convenției nu presupune doar să se determine cine poate ridica în instanță această problemă generală, sesizând mai întâi instanțele interne și apoi Curtea; acest aspect implică probleme mai ample legate de separarea puterilor.</w:t>
      </w:r>
    </w:p>
    <w:p w:rsidR="00F524A5" w:rsidRPr="00472687" w:rsidRDefault="00F524A5" w:rsidP="00F524A5">
      <w:pPr>
        <w:pStyle w:val="JuPara"/>
      </w:pPr>
      <w:r w:rsidRPr="00472687">
        <w:fldChar w:fldCharType="begin"/>
      </w:r>
      <w:r>
        <w:instrText xml:space="preserve"> SEQ level0 \*arabic \* MERGEFORMAT </w:instrText>
      </w:r>
      <w:r w:rsidRPr="00472687">
        <w:fldChar w:fldCharType="separate"/>
      </w:r>
      <w:r w:rsidRPr="00472687">
        <w:t>414</w:t>
      </w:r>
      <w:r w:rsidRPr="00472687">
        <w:fldChar w:fldCharType="end"/>
      </w:r>
      <w:r>
        <w:t>. În prezenta cauză, la fel ca și în celelalte două cauze examinate de același complet al Marii Camere (supra, pct. </w:t>
      </w:r>
      <w:r w:rsidRPr="00472687">
        <w:fldChar w:fldCharType="begin"/>
      </w:r>
      <w:r w:rsidRPr="00472687">
        <w:instrText xml:space="preserve">REF paragraph00005 \h \* CharFormat </w:instrText>
      </w:r>
      <w:r w:rsidRPr="00472687">
        <w:fldChar w:fldCharType="separate"/>
      </w:r>
      <w:r w:rsidRPr="00472687">
        <w:t>5</w:t>
      </w:r>
      <w:r w:rsidRPr="00472687">
        <w:fldChar w:fldCharType="end"/>
      </w:r>
      <w:r>
        <w:t xml:space="preserve">), Curtea a fost sesizată cu </w:t>
      </w:r>
      <w:r>
        <w:lastRenderedPageBreak/>
        <w:t>probleme inedite. Până în prezent, aceasta nu a examinat niciodată natura specifică a problemelor cauzate de schimbările climatice din perspectiva chestiunilor ridicate de acestea în temeiul Convenției. Deși jurisprudența sa în materie de mediu (a se vedea, în special, infra, pct. </w:t>
      </w:r>
      <w:r w:rsidRPr="00472687">
        <w:rPr>
          <w:b/>
        </w:rPr>
        <w:fldChar w:fldCharType="begin"/>
      </w:r>
      <w:r w:rsidRPr="00472687">
        <w:instrText xml:space="preserve">REF paragraph00538 \h \* CharFormat </w:instrText>
      </w:r>
      <w:r w:rsidRPr="00472687">
        <w:rPr>
          <w:b/>
        </w:rPr>
      </w:r>
      <w:r w:rsidRPr="00472687">
        <w:rPr>
          <w:b/>
        </w:rPr>
        <w:fldChar w:fldCharType="separate"/>
      </w:r>
      <w:r w:rsidRPr="00472687">
        <w:t>538</w:t>
      </w:r>
      <w:r w:rsidRPr="00472687">
        <w:rPr>
          <w:b/>
        </w:rPr>
        <w:fldChar w:fldCharType="end"/>
      </w:r>
      <w:r>
        <w:t>) poate fi utilă într-o anumită măsură, există diferențe semnificative între problemele juridice ridicate de schimbările climatice și cele care au fost abordate până în prezent.</w:t>
      </w:r>
    </w:p>
    <w:p w:rsidR="00F524A5" w:rsidRPr="00472687" w:rsidRDefault="00C71855" w:rsidP="00F524A5">
      <w:pPr>
        <w:pStyle w:val="JuPara"/>
      </w:pPr>
      <w:fldSimple w:instr=" SEQ level0 \*arabic \* MERGEFORMAT ">
        <w:r w:rsidR="00F524A5" w:rsidRPr="00472687">
          <w:t>415</w:t>
        </w:r>
      </w:fldSimple>
      <w:r w:rsidR="00F524A5">
        <w:t>. Jurisprudența Curții privind problemele de mediu se referă la situații în care daunele aduse mediului provin din surse specifice.</w:t>
      </w:r>
      <w:r w:rsidR="00F524A5">
        <w:rPr>
          <w:rFonts w:ascii="Segoe UI" w:hAnsi="Segoe UI"/>
          <w:color w:val="000000"/>
        </w:rPr>
        <w:t xml:space="preserve"> </w:t>
      </w:r>
      <w:r w:rsidR="00F524A5">
        <w:t>Prin urmare, în cauzele în discuție, persoanele afectate de prejudiciile în cauză au putut fi localizate și identificate cu o certitudine rezonabilă și, în general, a fost posibilă stabilirea existenței unei legături de cauzalitate între sursa identificabilă a prejudiciului în cauză și efectele nefaste concrete ale acestuia asupra unui grup de persoane.</w:t>
      </w:r>
      <w:r w:rsidR="00F524A5">
        <w:rPr>
          <w:rFonts w:ascii="Segoe UI" w:hAnsi="Segoe UI"/>
          <w:color w:val="000000"/>
        </w:rPr>
        <w:t xml:space="preserve"> </w:t>
      </w:r>
      <w:r w:rsidR="00F524A5">
        <w:t>De asemenea, a fost posibil să se verifice cu precizie măsurile normative sau concrete care au fost luate și cele care nu au fost luate în scopul reducerii prejudiciilor cauzate de o anumită sursă.</w:t>
      </w:r>
      <w:r w:rsidR="00F524A5">
        <w:rPr>
          <w:rFonts w:ascii="Segoe UI" w:hAnsi="Segoe UI"/>
          <w:color w:val="000000"/>
        </w:rPr>
        <w:t xml:space="preserve"> </w:t>
      </w:r>
      <w:r w:rsidR="00F524A5">
        <w:t>Pe scurt, s-a putut stabili o legătură între sursa prejudiciului și persoanele care au suferit prejudiciul și a fost posibilă identificarea măsurilor de atenuare care se impuneau și care puteau fi puse în aplicare la nivelul sursei care a cauzat prejudiciul respectiv.</w:t>
      </w:r>
    </w:p>
    <w:p w:rsidR="00F524A5" w:rsidRPr="00472687" w:rsidRDefault="00C71855" w:rsidP="00F524A5">
      <w:pPr>
        <w:pStyle w:val="JuPara"/>
      </w:pPr>
      <w:fldSimple w:instr=" SEQ level0 \*arabic \* MERGEFORMAT ">
        <w:r w:rsidR="00F524A5" w:rsidRPr="00472687">
          <w:t>416</w:t>
        </w:r>
      </w:fldSimple>
      <w:r w:rsidR="00F524A5">
        <w:t>. În ceea ce privește schimbările climatice, principalele caracteristici și circumstanțe diferă considerabil.</w:t>
      </w:r>
      <w:r w:rsidR="00F524A5">
        <w:rPr>
          <w:rFonts w:ascii="Segoe UI" w:hAnsi="Segoe UI"/>
          <w:color w:val="000000"/>
        </w:rPr>
        <w:t xml:space="preserve"> </w:t>
      </w:r>
      <w:r w:rsidR="00F524A5">
        <w:t>În primul rând, sursa prejudiciului nu este nici unică, nici specifică. Emisiile de GES provin din surse multiple. Daunele rezultă din nivelurile agregate ale diferitelor emisii</w:t>
      </w:r>
      <w:r w:rsidR="00F524A5">
        <w:rPr>
          <w:rStyle w:val="FootnoteReference"/>
        </w:rPr>
        <w:footnoteReference w:id="184"/>
      </w:r>
      <w:r w:rsidR="00F524A5">
        <w:t>. În al doilea rând, CO</w:t>
      </w:r>
      <w:r w:rsidR="00F524A5">
        <w:rPr>
          <w:vertAlign w:val="subscript"/>
        </w:rPr>
        <w:t>2</w:t>
      </w:r>
      <w:r w:rsidR="00F524A5">
        <w:t xml:space="preserve"> – adică principalul GES – nu este toxic în sine la niveluri de concentrație normale</w:t>
      </w:r>
      <w:r w:rsidR="00F524A5">
        <w:rPr>
          <w:rStyle w:val="FootnoteReference"/>
        </w:rPr>
        <w:footnoteReference w:id="185"/>
      </w:r>
      <w:r w:rsidR="00F524A5">
        <w:t>.</w:t>
      </w:r>
      <w:r w:rsidR="00F524A5">
        <w:rPr>
          <w:rFonts w:ascii="Segoe UI" w:hAnsi="Segoe UI"/>
          <w:color w:val="000000"/>
        </w:rPr>
        <w:t xml:space="preserve"> </w:t>
      </w:r>
      <w:r w:rsidR="00F524A5">
        <w:t>Emisiile devin dăunătoare ca urmare a unor efecte în lanț complexe. Acestea nu se limitează la granițele naționale.</w:t>
      </w:r>
    </w:p>
    <w:p w:rsidR="00F524A5" w:rsidRPr="00472687" w:rsidRDefault="00C71855" w:rsidP="00F524A5">
      <w:pPr>
        <w:pStyle w:val="JuPara"/>
      </w:pPr>
      <w:fldSimple w:instr=" SEQ level0 \*arabic \* MERGEFORMAT ">
        <w:r w:rsidR="00F524A5" w:rsidRPr="00472687">
          <w:t>417</w:t>
        </w:r>
      </w:fldSimple>
      <w:r w:rsidR="00F524A5">
        <w:t>. În al treilea rând, lanțul efectelor nu este doar complex, ci și mai imprevizibil din punct de vedere spațial și temporal decât în cazul altor emisii de poluanți toxici specifici. Nivelurile agregate de CO</w:t>
      </w:r>
      <w:r w:rsidR="00F524A5">
        <w:rPr>
          <w:vertAlign w:val="subscript"/>
        </w:rPr>
        <w:t>2</w:t>
      </w:r>
      <w:r w:rsidR="00F524A5">
        <w:t xml:space="preserve"> se află la originea încălzirii globale și a schimbărilor climatice, care, la rândul lor, cauzează incidente sau perioade meteorologice extreme, care provoacă diverse fenomene dăunătoare, cum ar fi valurile de căldură excesivă, secetele, ploile excesive, vânturile puternice sau furtunile. Aceste fenomene sunt ele însele surse de dezastre, cum ar fi incendiile, inundațiile, alunecările de teren și avalanșele.</w:t>
      </w:r>
      <w:r w:rsidR="00F524A5">
        <w:rPr>
          <w:rFonts w:ascii="Segoe UI" w:hAnsi="Segoe UI"/>
          <w:color w:val="000000"/>
        </w:rPr>
        <w:t xml:space="preserve"> </w:t>
      </w:r>
      <w:r w:rsidR="00F524A5">
        <w:t>Pericolul imediat pentru oameni se naște din astfel de consecințe ale acestui tip de condiții climatice.</w:t>
      </w:r>
      <w:r w:rsidR="00F524A5">
        <w:rPr>
          <w:rFonts w:ascii="Segoe UI" w:hAnsi="Segoe UI"/>
          <w:color w:val="000000"/>
        </w:rPr>
        <w:t xml:space="preserve"> </w:t>
      </w:r>
      <w:r w:rsidR="00F524A5">
        <w:t>Pe termen mai lung, există riscul ca unele dintre aceste consecințe să distrugă baza mijloacelor de subzistență ale oamenilor și a supraviețuirii în zonele cele mai afectate.</w:t>
      </w:r>
      <w:r w:rsidR="00F524A5">
        <w:rPr>
          <w:rFonts w:ascii="Segoe UI" w:hAnsi="Segoe UI"/>
          <w:color w:val="000000"/>
        </w:rPr>
        <w:t xml:space="preserve"> </w:t>
      </w:r>
      <w:r w:rsidR="00F524A5">
        <w:t>Populații întregi sunt sau vor fi afectate, chiar dacă în moduri diferite,  în proporții diferite și cu consecințe mai mult sau mai puțin grave și mai mult sau mai puțin imediate.</w:t>
      </w:r>
    </w:p>
    <w:p w:rsidR="00F524A5" w:rsidRPr="00472687" w:rsidRDefault="00C71855" w:rsidP="00F524A5">
      <w:pPr>
        <w:pStyle w:val="JuPara"/>
      </w:pPr>
      <w:fldSimple w:instr=" SEQ level0 \*arabic \* MERGEFORMAT ">
        <w:r w:rsidR="00F524A5" w:rsidRPr="00472687">
          <w:t>418</w:t>
        </w:r>
      </w:fldSimple>
      <w:r w:rsidR="00F524A5">
        <w:t>. În al patrulea rând, sursele de emisii de GES nu se limitează la activități specifice, care ar putea fi considerate periculoase.</w:t>
      </w:r>
      <w:r w:rsidR="00F524A5">
        <w:rPr>
          <w:rFonts w:ascii="Segoe UI" w:hAnsi="Segoe UI"/>
          <w:color w:val="000000"/>
        </w:rPr>
        <w:t xml:space="preserve"> </w:t>
      </w:r>
      <w:r w:rsidR="00F524A5">
        <w:t>În multe locuri, principalele surse de emisii de GES corespund unor sectoare precum industria, energia, transporturile, locuințele, construcțiile și agricultura – adică activitățile de bază ale societăților umane.</w:t>
      </w:r>
      <w:r w:rsidR="00F524A5">
        <w:rPr>
          <w:rFonts w:ascii="Segoe UI" w:hAnsi="Segoe UI"/>
          <w:color w:val="000000"/>
        </w:rPr>
        <w:t xml:space="preserve"> </w:t>
      </w:r>
      <w:r w:rsidR="00F524A5">
        <w:t>Prin urmare, măsurile de atenuare nu pot fi, în general, localizate sau limitate la instalații specifice care cauzează efectele nefaste.</w:t>
      </w:r>
      <w:r w:rsidR="00F524A5">
        <w:rPr>
          <w:rFonts w:ascii="Segoe UI" w:hAnsi="Segoe UI"/>
          <w:color w:val="000000"/>
        </w:rPr>
        <w:t xml:space="preserve"> </w:t>
      </w:r>
      <w:r w:rsidR="00F524A5">
        <w:t>Acestea fac parte, în mod necesar, din politici de reglementare complete, aplicate în diferite sectoare de activitate</w:t>
      </w:r>
      <w:r w:rsidR="00F524A5">
        <w:rPr>
          <w:rStyle w:val="FootnoteReference"/>
        </w:rPr>
        <w:footnoteReference w:id="186"/>
      </w:r>
      <w:r w:rsidR="00F524A5">
        <w:t>.</w:t>
      </w:r>
      <w:r w:rsidR="00F524A5">
        <w:rPr>
          <w:rFonts w:ascii="Segoe UI" w:hAnsi="Segoe UI"/>
          <w:color w:val="000000"/>
        </w:rPr>
        <w:t xml:space="preserve"> </w:t>
      </w:r>
      <w:r w:rsidR="00F524A5">
        <w:t>Măsurile de adaptare pot să depindă, într-o măsură mai mare, de acțiunile de la nivel local</w:t>
      </w:r>
      <w:r w:rsidR="00F524A5">
        <w:rPr>
          <w:rStyle w:val="FootnoteReference"/>
        </w:rPr>
        <w:footnoteReference w:id="187"/>
      </w:r>
      <w:r w:rsidR="00F524A5">
        <w:t>. Este la fel de adevărat că, în lipsa unor măsuri de atenuare eficiente (principalul argument al reclamantelor în speță – supra, pct. </w:t>
      </w:r>
      <w:r w:rsidR="00F524A5" w:rsidRPr="00472687">
        <w:fldChar w:fldCharType="begin"/>
      </w:r>
      <w:r w:rsidR="00F524A5" w:rsidRPr="00472687">
        <w:instrText xml:space="preserve">REF paragraph00304 \h \* CharFormat </w:instrText>
      </w:r>
      <w:r w:rsidR="00F524A5" w:rsidRPr="00472687">
        <w:fldChar w:fldCharType="separate"/>
      </w:r>
      <w:r w:rsidR="00F524A5" w:rsidRPr="00472687">
        <w:t>304</w:t>
      </w:r>
      <w:r w:rsidR="00F524A5" w:rsidRPr="00472687">
        <w:fldChar w:fldCharType="end"/>
      </w:r>
      <w:r w:rsidR="00F524A5">
        <w:t xml:space="preserve">, </w:t>
      </w:r>
      <w:r w:rsidR="00F524A5" w:rsidRPr="00472687">
        <w:fldChar w:fldCharType="begin"/>
      </w:r>
      <w:r w:rsidR="00F524A5" w:rsidRPr="00472687">
        <w:instrText xml:space="preserve">REF paragraph00306 \h \* CharFormat </w:instrText>
      </w:r>
      <w:r w:rsidR="00F524A5" w:rsidRPr="00472687">
        <w:fldChar w:fldCharType="separate"/>
      </w:r>
      <w:r w:rsidR="00F524A5" w:rsidRPr="00472687">
        <w:t>306</w:t>
      </w:r>
      <w:r w:rsidR="00F524A5" w:rsidRPr="00472687">
        <w:fldChar w:fldCharType="end"/>
      </w:r>
      <w:r w:rsidR="00F524A5">
        <w:t xml:space="preserve"> și </w:t>
      </w:r>
      <w:r w:rsidR="00F524A5" w:rsidRPr="00472687">
        <w:fldChar w:fldCharType="begin"/>
      </w:r>
      <w:r w:rsidR="00F524A5" w:rsidRPr="00472687">
        <w:instrText xml:space="preserve">REF paragraph00335 \h \* CharFormat </w:instrText>
      </w:r>
      <w:r w:rsidR="00F524A5" w:rsidRPr="00472687">
        <w:fldChar w:fldCharType="separate"/>
      </w:r>
      <w:r w:rsidR="00F524A5" w:rsidRPr="00472687">
        <w:t>335</w:t>
      </w:r>
      <w:r w:rsidR="00F524A5" w:rsidRPr="00472687">
        <w:fldChar w:fldCharType="end"/>
      </w:r>
      <w:r w:rsidR="00F524A5">
        <w:t>), măsurile de adaptare nu pot fi suficiente în sine pentru combaterea schimbărilor climatice (supra, pct. </w:t>
      </w:r>
      <w:r w:rsidR="00F524A5" w:rsidRPr="00472687">
        <w:fldChar w:fldCharType="begin"/>
      </w:r>
      <w:r w:rsidR="00F524A5" w:rsidRPr="00472687">
        <w:instrText xml:space="preserve">REF paragraph00115 \h \* CharFormat </w:instrText>
      </w:r>
      <w:r w:rsidR="00F524A5" w:rsidRPr="00472687">
        <w:fldChar w:fldCharType="separate"/>
      </w:r>
      <w:r w:rsidR="00F524A5" w:rsidRPr="00472687">
        <w:t>115</w:t>
      </w:r>
      <w:r w:rsidR="00F524A5" w:rsidRPr="00472687">
        <w:fldChar w:fldCharType="end"/>
      </w:r>
      <w:r w:rsidR="00F524A5">
        <w:t>).</w:t>
      </w:r>
    </w:p>
    <w:p w:rsidR="00F524A5" w:rsidRPr="00472687" w:rsidRDefault="00C71855" w:rsidP="00F524A5">
      <w:pPr>
        <w:pStyle w:val="JuPara"/>
      </w:pPr>
      <w:fldSimple w:instr=" SEQ level0 \*arabic \* MERGEFORMAT ">
        <w:r w:rsidR="00F524A5" w:rsidRPr="00472687">
          <w:t>419</w:t>
        </w:r>
      </w:fldSimple>
      <w:r w:rsidR="00F524A5">
        <w:t>. În al cincilea rând, schimbările climatice nu pot fi combătute și stopate prin adoptarea unor măsuri specifice localizate sau limitate la un anumit sector.</w:t>
      </w:r>
      <w:r w:rsidR="00F524A5">
        <w:rPr>
          <w:rFonts w:ascii="Segoe UI" w:hAnsi="Segoe UI"/>
          <w:color w:val="000000"/>
        </w:rPr>
        <w:t xml:space="preserve"> </w:t>
      </w:r>
      <w:r w:rsidR="00F524A5">
        <w:t>Schimbările climatice sunt un fenomen policentric.</w:t>
      </w:r>
      <w:r w:rsidR="00F524A5">
        <w:rPr>
          <w:rFonts w:ascii="Segoe UI" w:hAnsi="Segoe UI"/>
          <w:color w:val="000000"/>
        </w:rPr>
        <w:t xml:space="preserve"> </w:t>
      </w:r>
      <w:r w:rsidR="00F524A5">
        <w:t>Decarbonizarea sistemelor economice și a modurilor de viață impune în mod necesar transformarea completă și profundă a diferitelor sectoare. Aceste „tranziții verzi” necesită punerea în aplicare a unui set foarte complex și amplu de acțiuni, politici și investiții coordonate, care să implice atât sectorul public, cât și sectorul privat.</w:t>
      </w:r>
      <w:r w:rsidR="00F524A5">
        <w:rPr>
          <w:rFonts w:ascii="Segoe UI" w:hAnsi="Segoe UI"/>
          <w:color w:val="000000"/>
        </w:rPr>
        <w:t xml:space="preserve"> </w:t>
      </w:r>
      <w:r w:rsidR="00F524A5">
        <w:t>Este nevoie, de asemenea, ca persoanele să-și asume partea lor de efort și de responsabilitate. Prin urmare, politicile de combatere a schimbărilor climatice ridică inevitabil probleme de adaptare socială și de partajare a eforturilor între generații, în ceea ce privește atât diferitele generații de persoane care trăiesc în prezent, cât și generațiile viitoare.</w:t>
      </w:r>
    </w:p>
    <w:bookmarkStart w:id="611" w:name="paragraph0042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420</w:t>
      </w:r>
      <w:r w:rsidRPr="00472687">
        <w:fldChar w:fldCharType="end"/>
      </w:r>
      <w:bookmarkEnd w:id="611"/>
      <w:r>
        <w:t>. În această privință, Curtea subliniază că, în contextul specific al schimbărilor climatice, partajarea între generații a eforturilor are o importanță deosebită, atât pentru diferitele generații de persoane care trăiesc în prezent, cât și pentru generațiile viitoare. Desigur, obligațiile juridice pe care Convenția le impune statelor privesc persoanele care trăiesc în prezent și care, la un moment dat, se află sub jurisdicția unei anumite părți contractante; cu toate acestea, este clar că generațiile viitoare riscă să suporte povara tot mai mare a consecințelor eșecurilor și omisiunilor de astăzi în ceea ce privește combaterea schimbărilor climatice (supra, pct. </w:t>
      </w:r>
      <w:r w:rsidRPr="00472687">
        <w:fldChar w:fldCharType="begin"/>
      </w:r>
      <w:r w:rsidRPr="00472687">
        <w:instrText xml:space="preserve">REF paragraph00119 \h \* CharFormat  \* MERGEFORMAT </w:instrText>
      </w:r>
      <w:r w:rsidRPr="00472687">
        <w:fldChar w:fldCharType="separate"/>
      </w:r>
      <w:r w:rsidRPr="00472687">
        <w:t>119</w:t>
      </w:r>
      <w:r w:rsidRPr="00472687">
        <w:fldChar w:fldCharType="end"/>
      </w:r>
      <w:r>
        <w:t>) și că totodată acestea nu au nicio posibilitate de a participa la procesele decizionale actuale în materie. Ca urmare a angajamentului asumat în temeiul UNFCCC, statele părți au obligația de a ocroti sistemul climatic în interesul generațiilor prezente și viitoare (a se vedea supra, pct. </w:t>
      </w:r>
      <w:r w:rsidRPr="00472687">
        <w:fldChar w:fldCharType="begin"/>
      </w:r>
      <w:r w:rsidRPr="00472687">
        <w:instrText xml:space="preserve">REF paragraph00133 \h \* CharFormat  \* MERGEFORMAT </w:instrText>
      </w:r>
      <w:r w:rsidRPr="00472687">
        <w:fldChar w:fldCharType="separate"/>
      </w:r>
      <w:r w:rsidRPr="00472687">
        <w:t>133</w:t>
      </w:r>
      <w:r w:rsidRPr="00472687">
        <w:fldChar w:fldCharType="end"/>
      </w:r>
      <w:r>
        <w:t xml:space="preserve">, articolul 3 din UNFCCC). Această obligație trebuie privită în lumina efectelor nefaste deja existente ale schimbărilor climatice, precum și a urgenței situației și a riscului de producere </w:t>
      </w:r>
      <w:r>
        <w:lastRenderedPageBreak/>
        <w:t>a unor daune ireversibile ca urmare a acestui fenomen. În acest context, având în vedere posibilitatea agravării consecințelor schimbărilor climatice pentru generațiile viitoare, perspectiva intergenerațională evidențiază riscul inerent procesului decizional politic în acest domeniu, și anume faptul că interesele și preocupările pe termen scurt ar putea să prevaleze și să aibă prioritate față de necesitatea imperioasă de a asigura un proces decizional sustenabil, un risc deosebit de grav, care justifică și mai mult existența unei posibilități de control jurisdicțional.</w:t>
      </w:r>
    </w:p>
    <w:p w:rsidR="00F524A5" w:rsidRPr="00472687" w:rsidRDefault="00C71855" w:rsidP="00F524A5">
      <w:pPr>
        <w:pStyle w:val="JuPara"/>
      </w:pPr>
      <w:fldSimple w:instr=" SEQ level0 \*arabic \* MERGEFORMAT ">
        <w:r w:rsidR="00F524A5" w:rsidRPr="00472687">
          <w:t>421</w:t>
        </w:r>
      </w:fldSimple>
      <w:r w:rsidR="00F524A5">
        <w:t>. În cele din urmă, deși combaterea schimbărilor climatice reprezintă o provocare globală, atât importanța relativă a diferitelor surse de emisii, cât și politicile și acțiunile necesare pentru a atinge un nivel suficient de atenuare și adaptare pot să varieze, într-o anumită măsură, de la un stat la altul, în funcție de mai mulți factori, cum ar fi structura economiei, condițiile geografice și demografice, și alte elemente societale.</w:t>
      </w:r>
      <w:r w:rsidR="00F524A5">
        <w:rPr>
          <w:rFonts w:ascii="Segoe UI" w:hAnsi="Segoe UI"/>
          <w:color w:val="000000"/>
        </w:rPr>
        <w:t xml:space="preserve"> </w:t>
      </w:r>
      <w:r w:rsidR="00F524A5">
        <w:t>Chiar dacă, pe termen mai lung, schimbările climatice prezintă un risc pentru însăși existența umanității, este la fel de adevărat că, pe termen scurt, necesitatea de a combate acest fenomen implică diverse conflicte, a căror soluționare, astfel cum s-a menționat mai sus, ține de procesele decizionale democratice, completate de controlul exercitat de instanțele naționale și de Curte.</w:t>
      </w:r>
    </w:p>
    <w:bookmarkStart w:id="612" w:name="paragraph00422"/>
    <w:p w:rsidR="00F524A5" w:rsidRPr="00472687" w:rsidRDefault="00F524A5" w:rsidP="00F524A5">
      <w:pPr>
        <w:pStyle w:val="JuPara"/>
        <w:rPr>
          <w:rFonts w:ascii="Segoe UI" w:eastAsia="Times New Roman" w:hAnsi="Segoe UI" w:cs="Segoe UI"/>
          <w:color w:val="000000"/>
        </w:rPr>
      </w:pPr>
      <w:r w:rsidRPr="00472687">
        <w:fldChar w:fldCharType="begin"/>
      </w:r>
      <w:r w:rsidRPr="00472687">
        <w:instrText xml:space="preserve"> SEQ level0 \*arabic \* MERGEFORMAT </w:instrText>
      </w:r>
      <w:r w:rsidRPr="00472687">
        <w:fldChar w:fldCharType="separate"/>
      </w:r>
      <w:r w:rsidRPr="00472687">
        <w:t>422</w:t>
      </w:r>
      <w:r w:rsidRPr="00472687">
        <w:fldChar w:fldCharType="end"/>
      </w:r>
      <w:bookmarkEnd w:id="612"/>
      <w:r>
        <w:t>. Din cauza acestor diferențe fundamentale, transpunerea directă a jurisprudenței existente privind mediul în contextul schimbărilor climatice nu ar fi nici convenabilă, nici oportună.</w:t>
      </w:r>
      <w:r>
        <w:rPr>
          <w:rFonts w:ascii="Segoe UI" w:hAnsi="Segoe UI"/>
          <w:color w:val="000000"/>
        </w:rPr>
        <w:t xml:space="preserve"> </w:t>
      </w:r>
      <w:r>
        <w:t>Curtea consideră oportună adoptarea unei abordări care să recunoască și să țină seama de particularitățile fenomenului în cauză și care să fie adaptată la caracteristicile specifice ale acestuia. Astfel, în prezenta cauză, pornind de la principiile enunțate în jurisprudența sa, Curtea va încerca să</w:t>
      </w:r>
      <w:r>
        <w:rPr>
          <w:b/>
        </w:rPr>
        <w:t xml:space="preserve"> </w:t>
      </w:r>
      <w:r>
        <w:t>dezvolte o abordare mai adecvată și mai adaptată asupra diferitelor probleme pe care le pot ridica schimbările climatice din perspectiva Convenției.</w:t>
      </w:r>
    </w:p>
    <w:p w:rsidR="00F524A5" w:rsidRPr="00472687" w:rsidRDefault="00F524A5" w:rsidP="00E72A1B">
      <w:pPr>
        <w:pStyle w:val="JuH1"/>
        <w:numPr>
          <w:ilvl w:val="3"/>
          <w:numId w:val="51"/>
        </w:numPr>
      </w:pPr>
      <w:bookmarkStart w:id="613" w:name="_Toc199273555"/>
      <w:r>
        <w:t>Considerații generale privind litigiile referitoare la schimbările climatice</w:t>
      </w:r>
      <w:bookmarkEnd w:id="613"/>
    </w:p>
    <w:p w:rsidR="00F524A5" w:rsidRPr="00472687" w:rsidRDefault="00C71855" w:rsidP="00F524A5">
      <w:pPr>
        <w:pStyle w:val="JuPara"/>
      </w:pPr>
      <w:fldSimple w:instr=" SEQ level0 \*arabic \* MERGEFORMAT ">
        <w:r w:rsidR="00F524A5" w:rsidRPr="00472687">
          <w:t>423</w:t>
        </w:r>
      </w:fldSimple>
      <w:r w:rsidR="00F524A5">
        <w:t>. Înainte de a proceda la examinarea problemelor juridice ridicate de prezenta cauză, Curtea consideră că este util să înceapă prin a aborda câteva considerații generale cu privire la litigiile referitoare la schimbările climatice.</w:t>
      </w:r>
    </w:p>
    <w:p w:rsidR="00F524A5" w:rsidRPr="00472687" w:rsidRDefault="00F524A5" w:rsidP="00E72A1B">
      <w:pPr>
        <w:pStyle w:val="JuHa0"/>
        <w:numPr>
          <w:ilvl w:val="4"/>
          <w:numId w:val="51"/>
        </w:numPr>
      </w:pPr>
      <w:bookmarkStart w:id="614" w:name="_Toc199273556"/>
      <w:r>
        <w:t>Aspecte legate de cauzalitate</w:t>
      </w:r>
      <w:bookmarkEnd w:id="614"/>
    </w:p>
    <w:p w:rsidR="00F524A5" w:rsidRPr="00472687" w:rsidRDefault="00C71855" w:rsidP="00F524A5">
      <w:pPr>
        <w:pStyle w:val="JuPara"/>
      </w:pPr>
      <w:fldSimple w:instr=" SEQ level0 \*arabic \* MERGEFORMAT ">
        <w:r w:rsidR="00F524A5" w:rsidRPr="00472687">
          <w:t>424</w:t>
        </w:r>
      </w:fldSimple>
      <w:r w:rsidR="00F524A5">
        <w:t xml:space="preserve">. Astfel cum s-a precizat anterior, spre deosebire de cauzele clasice în materie de mediu, specificitatea litigiilor referitoare la schimbările climatice constă în faptul că acestea nu abordează probleme de mediu locale, asociate cu o singură sursă generatoare de prejudicii, ci o problemă globală mai complexă. În contextul plângerilor îndreptate împotriva statelor și formulate în temeiul drepturilor omului, apar probleme legate de cauzalitate pe mai multe planuri, care sunt distincte unele de altele și au implicații asupra </w:t>
      </w:r>
      <w:r w:rsidR="00F524A5">
        <w:lastRenderedPageBreak/>
        <w:t>aprecierii calității de victimă și a aspectelor materiale ale obligațiilor și responsabilității statului în temeiul Convenției.</w:t>
      </w:r>
    </w:p>
    <w:p w:rsidR="00F524A5" w:rsidRPr="00472687" w:rsidRDefault="00C71855" w:rsidP="00F524A5">
      <w:pPr>
        <w:pStyle w:val="JuPara"/>
      </w:pPr>
      <w:fldSimple w:instr=" SEQ level0 \*arabic \* MERGEFORMAT ">
        <w:r w:rsidR="00F524A5" w:rsidRPr="00472687">
          <w:t>425</w:t>
        </w:r>
      </w:fldSimple>
      <w:r w:rsidR="00F524A5">
        <w:t>. Prima dimensiune a cauzalității privește legătura dintre, pe de o parte, emisiile de GES – și acumularea de GES rezultată în atmosfera globală – și, pe de altă parte, diferitele manifestări ale schimbărilor climatice. Aceasta este o chestiune ce ține de cunoașterea și evaluarea științifice. A doua dimensiune se referă la legătura dintre diferitele efecte nefaste ale schimbărilor climatice și riscurile pe care acestea le prezintă la ora actuală și pe care le vor prezenta în viitor în ceea ce privește exercitarea drepturilor omului. În general, acest aspect ține de problema juridică a modului în care trebuie luată în considerare întinderea protecției drepturilor omului din perspectiva consecințelor pe care le are asupra ființelor umane deteriorarea actuală a condițiilor lor de viață sau riscul de deteriorare a acestora. A treia dimensiune privește legătura care există, la nivel individual, între, pe de o parte, prejudiciul sau riscul producerii unui prejudiciu cu privire la care se pretinde că afectează anumite persoane sau grupuri de persoane și, pe de altă parte, actele sau omisiunile autorităților statului împotriva căruia este îndreptată o plângere întemeiată pe drepturile omului. A patra dimensiune se referă la atribuirea responsabilității pentru efectele nefaste ale schimbărilor climatice, invocate de persoane sau grupuri de persoane împotriva unui anumit stat, având în vedere că mai mulți actori contribuie la cantitățile și efectele globale ale emisiilor de GES.</w:t>
      </w:r>
    </w:p>
    <w:p w:rsidR="00F524A5" w:rsidRPr="00472687" w:rsidRDefault="00C71855" w:rsidP="00F524A5">
      <w:pPr>
        <w:pStyle w:val="JuPara"/>
      </w:pPr>
      <w:fldSimple w:instr=" SEQ level0 \*arabic \* MERGEFORMAT ">
        <w:r w:rsidR="00F524A5" w:rsidRPr="00472687">
          <w:t>426</w:t>
        </w:r>
      </w:fldSimple>
      <w:r w:rsidR="00F524A5">
        <w:t xml:space="preserve">. Curtea va examina aceste aspecte pe rând, la punctele </w:t>
      </w:r>
      <w:r w:rsidR="00F524A5" w:rsidRPr="00472687">
        <w:fldChar w:fldCharType="begin"/>
      </w:r>
      <w:r w:rsidR="00F524A5" w:rsidRPr="00472687">
        <w:instrText xml:space="preserve">REF paragraph00427 \h \* CharFormat  \* MERGEFORMAT </w:instrText>
      </w:r>
      <w:r w:rsidR="00F524A5" w:rsidRPr="00472687">
        <w:fldChar w:fldCharType="separate"/>
      </w:r>
      <w:r w:rsidR="00F524A5" w:rsidRPr="00472687">
        <w:t>427</w:t>
      </w:r>
      <w:r w:rsidR="00F524A5" w:rsidRPr="00472687">
        <w:fldChar w:fldCharType="end"/>
      </w:r>
      <w:r w:rsidR="00F524A5">
        <w:t xml:space="preserve"> - </w:t>
      </w:r>
      <w:r w:rsidR="00F524A5" w:rsidRPr="00472687">
        <w:fldChar w:fldCharType="begin"/>
      </w:r>
      <w:r w:rsidR="00F524A5" w:rsidRPr="00472687">
        <w:instrText xml:space="preserve"> REF paragraph00444 \h  \* CharFormat  \* MERGEFORMAT </w:instrText>
      </w:r>
      <w:r w:rsidR="00F524A5" w:rsidRPr="00472687">
        <w:fldChar w:fldCharType="separate"/>
      </w:r>
      <w:r w:rsidR="00F524A5" w:rsidRPr="00472687">
        <w:t>444</w:t>
      </w:r>
      <w:r w:rsidR="00F524A5" w:rsidRPr="00472687">
        <w:fldChar w:fldCharType="end"/>
      </w:r>
      <w:r w:rsidR="00F524A5">
        <w:t xml:space="preserve"> de mai jos.</w:t>
      </w:r>
    </w:p>
    <w:p w:rsidR="00F524A5" w:rsidRPr="00472687" w:rsidRDefault="00F524A5" w:rsidP="00E72A1B">
      <w:pPr>
        <w:pStyle w:val="JuHa0"/>
        <w:numPr>
          <w:ilvl w:val="4"/>
          <w:numId w:val="51"/>
        </w:numPr>
      </w:pPr>
      <w:bookmarkStart w:id="615" w:name="_Toc199273557"/>
      <w:r>
        <w:t>Aspecte legate de probe</w:t>
      </w:r>
      <w:bookmarkEnd w:id="615"/>
    </w:p>
    <w:bookmarkStart w:id="616" w:name="paragraph00427"/>
    <w:p w:rsidR="00F524A5" w:rsidRPr="00472687" w:rsidRDefault="00F524A5" w:rsidP="00F524A5">
      <w:pPr>
        <w:pStyle w:val="JuPara"/>
        <w:rPr>
          <w:iCs/>
        </w:rPr>
      </w:pPr>
      <w:r w:rsidRPr="00472687">
        <w:fldChar w:fldCharType="begin"/>
      </w:r>
      <w:r w:rsidRPr="00472687">
        <w:instrText xml:space="preserve"> SEQ level0 \*arabic \* MERGEFORMAT </w:instrText>
      </w:r>
      <w:r w:rsidRPr="00472687">
        <w:fldChar w:fldCharType="separate"/>
      </w:r>
      <w:r w:rsidRPr="00472687">
        <w:t>427</w:t>
      </w:r>
      <w:r w:rsidRPr="00472687">
        <w:fldChar w:fldCharType="end"/>
      </w:r>
      <w:bookmarkEnd w:id="616"/>
      <w:r>
        <w:t>. Una dintre principalele caracteristici ale cauzelor referitoare la schimbările climatice este faptul că, pentru a le soluționa, instanța sesizată trebuie să examineze un set de date științifice complexe. În materie de mediu, Curtea a declarat</w:t>
      </w:r>
      <w:r>
        <w:rPr>
          <w:i/>
        </w:rPr>
        <w:t xml:space="preserve"> </w:t>
      </w:r>
      <w:r>
        <w:t>următoarele cu privire la</w:t>
      </w:r>
      <w:r>
        <w:rPr>
          <w:i/>
        </w:rPr>
        <w:t xml:space="preserve"> </w:t>
      </w:r>
      <w:r>
        <w:t>principiile generale referitoare la standardul și sarcina probei (</w:t>
      </w:r>
      <w:r>
        <w:rPr>
          <w:i/>
        </w:rPr>
        <w:t>Fadeieva împotriva Rusiei</w:t>
      </w:r>
      <w:r>
        <w:t>, nr. 55723/00, pct. 79, CEDO 2005-IV):</w:t>
      </w:r>
    </w:p>
    <w:p w:rsidR="00F524A5" w:rsidRPr="00472687" w:rsidRDefault="00F524A5" w:rsidP="00F524A5">
      <w:pPr>
        <w:pStyle w:val="JuQuot"/>
      </w:pPr>
      <w:r>
        <w:t xml:space="preserve">„Curtea reamintește în primul rând că, în general, aplică standardul probei «dincolo de orice îndoială rezonabilă». O astfel de probă poate rezulta dintr-o serie de indicii sau prezumții irefragabile, suficient de serioase, precise și concordante. De asemenea, trebuie subliniat faptul că, în această privință, Curtea permite o anumită flexibilitate și ține seama de natura dreptului material în cauză, precum și de eventualele dificultăți în administrarea probei. Uneori, statul pârât este singurul care are acces la informații ce pot să confirme ori să infirme susținerile reclamantului: în astfel de cazuri, este imposibil să se aplice cu strictețe principiul </w:t>
      </w:r>
      <w:r>
        <w:rPr>
          <w:i/>
        </w:rPr>
        <w:t>affirmanti, non neganti, incumbit probatio</w:t>
      </w:r>
      <w:r>
        <w:t xml:space="preserve"> [...] ”</w:t>
      </w:r>
    </w:p>
    <w:p w:rsidR="00F524A5" w:rsidRPr="00472687" w:rsidRDefault="00C71855" w:rsidP="00F524A5">
      <w:pPr>
        <w:pStyle w:val="JuPara"/>
        <w:rPr>
          <w:rFonts w:ascii="Segoe UI" w:eastAsia="Times New Roman" w:hAnsi="Segoe UI" w:cs="Segoe UI"/>
          <w:color w:val="000000"/>
        </w:rPr>
      </w:pPr>
      <w:fldSimple w:instr=" SEQ level0 \*arabic \* MERGEFORMAT ">
        <w:r w:rsidR="00F524A5" w:rsidRPr="00472687">
          <w:t>428</w:t>
        </w:r>
      </w:fldSimple>
      <w:r w:rsidR="00F524A5">
        <w:t xml:space="preserve">. O simplă alegație potrivit căreia statul nu a respectat anumite norme și standarde naționale de mediu și tehnice nu este suficientă în sine pentru a susține afirmația potrivit căreia drepturile reclamantului au fost afectate într-un mod ce ridică o problemă în temeiul Convenției [a se vedea, de exemplu, </w:t>
      </w:r>
      <w:r w:rsidR="00F524A5">
        <w:lastRenderedPageBreak/>
        <w:t>cu titlu de comparație</w:t>
      </w:r>
      <w:r w:rsidR="00F524A5">
        <w:rPr>
          <w:i/>
        </w:rPr>
        <w:t xml:space="preserve">, Fägerskiöld împotriva Suediei </w:t>
      </w:r>
      <w:r w:rsidR="00F524A5">
        <w:t>(dec.)</w:t>
      </w:r>
      <w:r w:rsidR="00F524A5">
        <w:rPr>
          <w:i/>
        </w:rPr>
        <w:t xml:space="preserve">, </w:t>
      </w:r>
      <w:r w:rsidR="00F524A5">
        <w:t xml:space="preserve">nr. 37664/04, 26 februarie 2008, și </w:t>
      </w:r>
      <w:r w:rsidR="00F524A5">
        <w:rPr>
          <w:i/>
        </w:rPr>
        <w:t xml:space="preserve">Ivan Atanasov împotriva Bulgariei, </w:t>
      </w:r>
      <w:r w:rsidR="00F524A5">
        <w:t>nr. 12853/03, pct. 75, 2 decembrie 2010].</w:t>
      </w:r>
      <w:r w:rsidR="00F524A5">
        <w:rPr>
          <w:rFonts w:ascii="Segoe UI" w:hAnsi="Segoe UI"/>
          <w:color w:val="000000"/>
        </w:rPr>
        <w:t xml:space="preserve"> </w:t>
      </w:r>
      <w:r w:rsidR="00F524A5">
        <w:t xml:space="preserve">Cu toate acestea, Curtea acordă importanță faptului că situația în litigiu este contrară dreptului național aplicabil (a se vedea, de exemplu, </w:t>
      </w:r>
      <w:r w:rsidR="00F524A5">
        <w:rPr>
          <w:i/>
          <w:iCs/>
        </w:rPr>
        <w:t>Evgeni Dmitriev</w:t>
      </w:r>
      <w:r w:rsidR="00F524A5">
        <w:rPr>
          <w:i/>
        </w:rPr>
        <w:t xml:space="preserve"> împotriva Rusiei, </w:t>
      </w:r>
      <w:r w:rsidR="00F524A5">
        <w:t xml:space="preserve">nr 17840/06, pct. 33, 1 decembrie 2020). În plus, în unele cauze, Curtea poate fi nevoită să țină seama de normele internaționale relevante privind efectele poluării mediului atunci când cercetează dacă drepturile unei persoane au fost afectate [a se vedea, de exemplu, </w:t>
      </w:r>
      <w:r w:rsidR="00F524A5">
        <w:rPr>
          <w:i/>
        </w:rPr>
        <w:t>Oluić împotriva Croației</w:t>
      </w:r>
      <w:r w:rsidR="00F524A5">
        <w:t xml:space="preserve">, nr. 61260/08, pct. 60, 20 mai 2010, </w:t>
      </w:r>
      <w:r w:rsidR="00F524A5">
        <w:rPr>
          <w:i/>
        </w:rPr>
        <w:t>Hardy și Maile împotriva Regatului Unit</w:t>
      </w:r>
      <w:r w:rsidR="00F524A5">
        <w:t xml:space="preserve">, nr. 31965/07, pct. 191, 14 februarie 2012, și </w:t>
      </w:r>
      <w:r w:rsidR="00F524A5">
        <w:rPr>
          <w:i/>
        </w:rPr>
        <w:t>Thibaut împotriva Franței</w:t>
      </w:r>
      <w:r w:rsidR="00F524A5">
        <w:t xml:space="preserve"> (dec.), nr. 41892/19 și 41893/19, pct. 42, 14 iunie 2022].</w:t>
      </w:r>
    </w:p>
    <w:p w:rsidR="00F524A5" w:rsidRPr="00472687" w:rsidRDefault="00C71855" w:rsidP="00F524A5">
      <w:pPr>
        <w:pStyle w:val="JuPara"/>
      </w:pPr>
      <w:fldSimple w:instr=" SEQ level0 \*arabic \* MERGEFORMAT ">
        <w:r w:rsidR="00F524A5" w:rsidRPr="00472687">
          <w:t>429</w:t>
        </w:r>
      </w:fldSimple>
      <w:r w:rsidR="00F524A5">
        <w:t>. Curtea se bazează, de asemenea, pe studii și rapoarte elaborate de organisme internaționale competente cu privire la impactul mediului asupra persoanelor</w:t>
      </w:r>
      <w:r w:rsidR="00F524A5">
        <w:rPr>
          <w:b/>
        </w:rPr>
        <w:t xml:space="preserve"> </w:t>
      </w:r>
      <w:r w:rsidR="00F524A5">
        <w:t>(</w:t>
      </w:r>
      <w:r w:rsidR="00F524A5">
        <w:rPr>
          <w:i/>
        </w:rPr>
        <w:t>Tătar,</w:t>
      </w:r>
      <w:r w:rsidR="00F524A5">
        <w:t xml:space="preserve"> citată anterior, pct. 95). În ceea ce privește problema schimbărilor climatice, Curtea subliniază importanța deosebită a rapoartelor întocmite de IPCC, un grup interguvernamental de experți independenți constituit în scopul</w:t>
      </w:r>
      <w:r w:rsidR="00F524A5">
        <w:rPr>
          <w:b/>
        </w:rPr>
        <w:t xml:space="preserve"> </w:t>
      </w:r>
      <w:r w:rsidR="00F524A5">
        <w:t>examinării și al evaluării datelor științifice referitoare la acest fenomen. Rapoartele respective se bazează pe o metodologie completă și riguroasă, în special în ceea ce privește alegerea literaturii de specialitate, procesul de examinare și aprobare a rapoartelor respective, mecanismele de investigare și, dacă este necesar, de corectare a eventualelor erori din rapoartele publicate. Acestea oferă orientări științifice cu privire la schimbările climatice de la nivel regional și global, la repercusiunile acestora și la riscurile viitoare, precum și la posibilitățile</w:t>
      </w:r>
      <w:r w:rsidR="00F524A5">
        <w:rPr>
          <w:b/>
        </w:rPr>
        <w:t xml:space="preserve"> </w:t>
      </w:r>
      <w:r w:rsidR="00F524A5">
        <w:t>în materie de adaptare și atenuare</w:t>
      </w:r>
      <w:r w:rsidR="00F524A5">
        <w:rPr>
          <w:vertAlign w:val="superscript"/>
        </w:rPr>
        <w:footnoteReference w:id="188"/>
      </w:r>
      <w:r w:rsidR="00F524A5">
        <w:t>.</w:t>
      </w:r>
    </w:p>
    <w:bookmarkStart w:id="618" w:name="paragraph0043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430</w:t>
      </w:r>
      <w:r w:rsidRPr="00472687">
        <w:fldChar w:fldCharType="end"/>
      </w:r>
      <w:bookmarkEnd w:id="618"/>
      <w:r>
        <w:t xml:space="preserve">. În cele din urmă, pentru stabilirea circumstanțelor de fapt ale cauzei, Curtea acordă o importanță deosebită concluziilor instanțelor și ale altor autorități naționale competente (a se vedea, de exemplu, </w:t>
      </w:r>
      <w:r>
        <w:rPr>
          <w:i/>
        </w:rPr>
        <w:t>Taşkın și alții,</w:t>
      </w:r>
      <w:r>
        <w:t xml:space="preserve"> citată anterior, pct. 112). În principiu, atunci când au fost desfășurate proceduri interne, nu este sarcina Curții să substituie propria apreciere a faptelor celei efectuate de instanțele naționale, care, în general, au competența de a stabili faptele pe baza probelor de la dosar. Cu toate acestea, Curtea reamintește că, deși este conștientă de caracterul subsidiar al rolului său și este precaută în ceea ce privește asumarea rolului de instanță de prim grad de jurisdicție, nu este ținută de constatările de fapt ale instanțelor naționale și se poate abate de la ele atunci când acest lucru este inevitabil având în vedere circumstanțele unei anumite cauze. Aceasta are competența de a examina, din perspectiva Convenției, raționamentul dezvoltat de autoritățile judiciare naționale și de a cerceta dacă aceste autorități au asigurat un just echilibru între interesele </w:t>
      </w:r>
      <w:r>
        <w:lastRenderedPageBreak/>
        <w:t>concurente aflate în joc (</w:t>
      </w:r>
      <w:r>
        <w:rPr>
          <w:i/>
        </w:rPr>
        <w:t>Pavlov și alții,</w:t>
      </w:r>
      <w:r>
        <w:t xml:space="preserve"> citată anterior, pct. 76, cu trimiterile suplimentare).</w:t>
      </w:r>
    </w:p>
    <w:p w:rsidR="00F524A5" w:rsidRPr="00472687" w:rsidRDefault="00F524A5" w:rsidP="00E72A1B">
      <w:pPr>
        <w:pStyle w:val="JuHa0"/>
        <w:numPr>
          <w:ilvl w:val="4"/>
          <w:numId w:val="51"/>
        </w:numPr>
      </w:pPr>
      <w:bookmarkStart w:id="619" w:name="_Toc199273558"/>
      <w:r>
        <w:t>Efectele schimbărilor climatice asupra exercitării drepturilor protejate de Convenție</w:t>
      </w:r>
      <w:bookmarkEnd w:id="619"/>
    </w:p>
    <w:p w:rsidR="00F524A5" w:rsidRPr="00472687" w:rsidRDefault="00C71855" w:rsidP="00F524A5">
      <w:pPr>
        <w:pStyle w:val="JuPara"/>
      </w:pPr>
      <w:fldSimple w:instr=" SEQ level0 \*arabic \* MERGEFORMAT ">
        <w:bookmarkStart w:id="620" w:name="paragraph00431"/>
        <w:r w:rsidR="00F524A5" w:rsidRPr="00472687">
          <w:t>431</w:t>
        </w:r>
        <w:bookmarkEnd w:id="620"/>
      </w:fldSimple>
      <w:r w:rsidR="00F524A5">
        <w:t>. În ultimii ani, cunoștințele științifice, atitudinile socio-politice și normele juridice au evoluat în ceea ce privește problema necesității de a proteja mediul, în special în contextul schimbărilor climatice.</w:t>
      </w:r>
      <w:r w:rsidR="00F524A5">
        <w:rPr>
          <w:rFonts w:ascii="Segoe UI" w:hAnsi="Segoe UI"/>
          <w:color w:val="000000"/>
        </w:rPr>
        <w:t xml:space="preserve"> </w:t>
      </w:r>
      <w:r w:rsidR="00F524A5">
        <w:t>În mod similar, în prezent este recunoscut faptul că degradarea mediului poate cauza și a cauzat efecte negative grave și potențial</w:t>
      </w:r>
      <w:r w:rsidR="00F524A5">
        <w:rPr>
          <w:b/>
        </w:rPr>
        <w:t xml:space="preserve"> </w:t>
      </w:r>
      <w:r w:rsidR="00F524A5">
        <w:t>ireversibile asupra exercitării drepturilor omului.</w:t>
      </w:r>
      <w:r w:rsidR="00F524A5">
        <w:rPr>
          <w:rFonts w:ascii="Segoe UI" w:hAnsi="Segoe UI"/>
          <w:color w:val="000000"/>
        </w:rPr>
        <w:t xml:space="preserve"> </w:t>
      </w:r>
      <w:r w:rsidR="00F524A5">
        <w:t>Această constatare se reflectă în documentele științifice, în instrumentele internaționale, în legislația și standardele naționale și este confirmată de jurisprudența internațională și de jurisprudența anumitor state (supra, pct. </w:t>
      </w:r>
      <w:r w:rsidR="00F524A5" w:rsidRPr="00472687">
        <w:fldChar w:fldCharType="begin"/>
      </w:r>
      <w:r w:rsidR="00F524A5" w:rsidRPr="00472687">
        <w:instrText xml:space="preserve">REF paragraph00173 \h \* CharFormat </w:instrText>
      </w:r>
      <w:r w:rsidR="00F524A5" w:rsidRPr="00472687">
        <w:fldChar w:fldCharType="separate"/>
      </w:r>
      <w:r w:rsidR="00F524A5" w:rsidRPr="00472687">
        <w:t>173</w:t>
      </w:r>
      <w:r w:rsidR="00F524A5" w:rsidRPr="00472687">
        <w:fldChar w:fldCharType="end"/>
      </w:r>
      <w:r w:rsidR="00F524A5">
        <w:t xml:space="preserve">, </w:t>
      </w:r>
      <w:r w:rsidR="00F524A5" w:rsidRPr="00472687">
        <w:fldChar w:fldCharType="begin"/>
      </w:r>
      <w:r w:rsidR="00F524A5" w:rsidRPr="00472687">
        <w:instrText xml:space="preserve">REF paragraph00176 \h \* CharFormat </w:instrText>
      </w:r>
      <w:r w:rsidR="00F524A5" w:rsidRPr="00472687">
        <w:fldChar w:fldCharType="separate"/>
      </w:r>
      <w:r w:rsidR="00F524A5" w:rsidRPr="00472687">
        <w:t>176</w:t>
      </w:r>
      <w:r w:rsidR="00F524A5" w:rsidRPr="00472687">
        <w:fldChar w:fldCharType="end"/>
      </w:r>
      <w:r w:rsidR="00F524A5">
        <w:t xml:space="preserve">, </w:t>
      </w:r>
      <w:r w:rsidR="00F524A5" w:rsidRPr="00472687">
        <w:fldChar w:fldCharType="begin"/>
      </w:r>
      <w:r w:rsidR="00F524A5" w:rsidRPr="00472687">
        <w:instrText xml:space="preserve">REF paragraph00225 \h \* CharFormat </w:instrText>
      </w:r>
      <w:r w:rsidR="00F524A5" w:rsidRPr="00472687">
        <w:fldChar w:fldCharType="separate"/>
      </w:r>
      <w:r w:rsidR="00F524A5" w:rsidRPr="00472687">
        <w:t>225</w:t>
      </w:r>
      <w:r w:rsidR="00F524A5" w:rsidRPr="00472687">
        <w:fldChar w:fldCharType="end"/>
      </w:r>
      <w:r w:rsidR="00F524A5">
        <w:t xml:space="preserve"> și </w:t>
      </w:r>
      <w:r w:rsidR="00F524A5" w:rsidRPr="00472687">
        <w:fldChar w:fldCharType="begin"/>
      </w:r>
      <w:r w:rsidR="00F524A5" w:rsidRPr="00472687">
        <w:instrText xml:space="preserve">REF paragraph00236 \h \* CharFormat </w:instrText>
      </w:r>
      <w:r w:rsidR="00F524A5" w:rsidRPr="00472687">
        <w:fldChar w:fldCharType="separate"/>
      </w:r>
      <w:r w:rsidR="00F524A5" w:rsidRPr="00472687">
        <w:t>236</w:t>
      </w:r>
      <w:r w:rsidR="00F524A5" w:rsidRPr="00472687">
        <w:fldChar w:fldCharType="end"/>
      </w:r>
      <w:r w:rsidR="00F524A5">
        <w:t>-</w:t>
      </w:r>
      <w:r w:rsidR="00F524A5" w:rsidRPr="00472687">
        <w:fldChar w:fldCharType="begin"/>
      </w:r>
      <w:r w:rsidR="00F524A5" w:rsidRPr="00472687">
        <w:instrText xml:space="preserve">REF paragraph00267 \h \* CharFormat </w:instrText>
      </w:r>
      <w:r w:rsidR="00F524A5" w:rsidRPr="00472687">
        <w:fldChar w:fldCharType="separate"/>
      </w:r>
      <w:r w:rsidR="00F524A5" w:rsidRPr="00472687">
        <w:t>267</w:t>
      </w:r>
      <w:r w:rsidR="00F524A5" w:rsidRPr="00472687">
        <w:fldChar w:fldCharType="end"/>
      </w:r>
      <w:r w:rsidR="00F524A5">
        <w:t>).</w:t>
      </w:r>
    </w:p>
    <w:p w:rsidR="00F524A5" w:rsidRPr="00472687" w:rsidRDefault="00C71855" w:rsidP="00F524A5">
      <w:pPr>
        <w:pStyle w:val="JuPara"/>
      </w:pPr>
      <w:fldSimple w:instr=" SEQ level0 \*arabic \* MERGEFORMAT ">
        <w:r w:rsidR="00F524A5" w:rsidRPr="00472687">
          <w:t>432</w:t>
        </w:r>
      </w:fldSimple>
      <w:r w:rsidR="00F524A5">
        <w:t xml:space="preserve">. Concluziile rapoartelor IPCC, prezentate la punctele </w:t>
      </w:r>
      <w:r w:rsidR="00F524A5" w:rsidRPr="00472687">
        <w:fldChar w:fldCharType="begin"/>
      </w:r>
      <w:r w:rsidR="00F524A5" w:rsidRPr="00472687">
        <w:instrText xml:space="preserve">REF paragraph00107 \h \* CharFormat </w:instrText>
      </w:r>
      <w:r w:rsidR="00F524A5" w:rsidRPr="00472687">
        <w:fldChar w:fldCharType="separate"/>
      </w:r>
      <w:r w:rsidR="00F524A5" w:rsidRPr="00472687">
        <w:t>107</w:t>
      </w:r>
      <w:r w:rsidR="00F524A5" w:rsidRPr="00472687">
        <w:fldChar w:fldCharType="end"/>
      </w:r>
      <w:r w:rsidR="00F524A5">
        <w:t xml:space="preserve"> - </w:t>
      </w:r>
      <w:r w:rsidR="00F524A5" w:rsidRPr="00472687">
        <w:fldChar w:fldCharType="begin"/>
      </w:r>
      <w:r w:rsidR="00F524A5" w:rsidRPr="00472687">
        <w:instrText xml:space="preserve">REF paragraph00120 \h \* CharFormat </w:instrText>
      </w:r>
      <w:r w:rsidR="00F524A5" w:rsidRPr="00472687">
        <w:fldChar w:fldCharType="separate"/>
      </w:r>
      <w:r w:rsidR="00F524A5" w:rsidRPr="00472687">
        <w:t>120</w:t>
      </w:r>
      <w:r w:rsidR="00F524A5" w:rsidRPr="00472687">
        <w:fldChar w:fldCharType="end"/>
      </w:r>
      <w:r w:rsidR="00F524A5">
        <w:t xml:space="preserve"> de mai sus, nu sunt contestate sau puse sub semnul întrebării de către guvernul pârât sau guvernele interveniente.</w:t>
      </w:r>
      <w:r w:rsidR="00F524A5">
        <w:rPr>
          <w:rFonts w:ascii="Segoe UI" w:hAnsi="Segoe UI"/>
          <w:color w:val="000000"/>
        </w:rPr>
        <w:t xml:space="preserve"> </w:t>
      </w:r>
      <w:r w:rsidR="00F524A5">
        <w:t>De asemenea, trebuie subliniat faptul că semnele evidente legate de efectele negative ale schimbărilor climatice – cele care au loc deja și cele care ar fi asociate cu o creștere a temperaturii globale de peste 1,5</w:t>
      </w:r>
      <w:r w:rsidR="00F524A5">
        <w:rPr>
          <w:vertAlign w:val="superscript"/>
        </w:rPr>
        <w:t>o</w:t>
      </w:r>
      <w:r w:rsidR="00F524A5">
        <w:t>C – și care au fost observate de IPCC au fost de asemenea evidențiate de numeroși oameni de știință și experți în domeniul mediului care au intervenit, în calitate de terți intervenienți, în fața Curții în cadrul prezentei proceduri (a se vedea, de exemplu, supra, pct. </w:t>
      </w:r>
      <w:r w:rsidR="00F524A5" w:rsidRPr="00472687">
        <w:fldChar w:fldCharType="begin"/>
      </w:r>
      <w:r w:rsidR="00F524A5" w:rsidRPr="00472687">
        <w:instrText xml:space="preserve">REF paragraph00392 \h \* CharFormat </w:instrText>
      </w:r>
      <w:r w:rsidR="00F524A5" w:rsidRPr="00472687">
        <w:fldChar w:fldCharType="separate"/>
      </w:r>
      <w:r w:rsidR="00F524A5" w:rsidRPr="00472687">
        <w:t>392</w:t>
      </w:r>
      <w:r w:rsidR="00F524A5" w:rsidRPr="00472687">
        <w:fldChar w:fldCharType="end"/>
      </w:r>
      <w:r w:rsidR="00F524A5">
        <w:t>-</w:t>
      </w:r>
      <w:r w:rsidR="00F524A5" w:rsidRPr="00472687">
        <w:fldChar w:fldCharType="begin"/>
      </w:r>
      <w:r w:rsidR="00F524A5" w:rsidRPr="00472687">
        <w:instrText xml:space="preserve">REF paragraph00393 \h \* CharFormat </w:instrText>
      </w:r>
      <w:r w:rsidR="00F524A5" w:rsidRPr="00472687">
        <w:fldChar w:fldCharType="separate"/>
      </w:r>
      <w:r w:rsidR="00F524A5" w:rsidRPr="00472687">
        <w:t>393</w:t>
      </w:r>
      <w:r w:rsidR="00F524A5" w:rsidRPr="00472687">
        <w:fldChar w:fldCharType="end"/>
      </w:r>
      <w:r w:rsidR="00F524A5">
        <w:t xml:space="preserve">, </w:t>
      </w:r>
      <w:r w:rsidR="00F524A5" w:rsidRPr="00472687">
        <w:fldChar w:fldCharType="begin"/>
      </w:r>
      <w:r w:rsidR="00F524A5" w:rsidRPr="00472687">
        <w:instrText xml:space="preserve">REF paragraph00397 \h \* CharFormat </w:instrText>
      </w:r>
      <w:r w:rsidR="00F524A5" w:rsidRPr="00472687">
        <w:fldChar w:fldCharType="separate"/>
      </w:r>
      <w:r w:rsidR="00F524A5" w:rsidRPr="00472687">
        <w:t>397</w:t>
      </w:r>
      <w:r w:rsidR="00F524A5" w:rsidRPr="00472687">
        <w:fldChar w:fldCharType="end"/>
      </w:r>
      <w:r w:rsidR="00F524A5">
        <w:t xml:space="preserve">, </w:t>
      </w:r>
      <w:r w:rsidR="00F524A5" w:rsidRPr="00472687">
        <w:fldChar w:fldCharType="begin"/>
      </w:r>
      <w:r w:rsidR="00F524A5" w:rsidRPr="00472687">
        <w:instrText xml:space="preserve">REF paragraph00399 \h \* CharFormat </w:instrText>
      </w:r>
      <w:r w:rsidR="00F524A5" w:rsidRPr="00472687">
        <w:fldChar w:fldCharType="separate"/>
      </w:r>
      <w:r w:rsidR="00F524A5" w:rsidRPr="00472687">
        <w:t>399</w:t>
      </w:r>
      <w:r w:rsidR="00F524A5" w:rsidRPr="00472687">
        <w:fldChar w:fldCharType="end"/>
      </w:r>
      <w:r w:rsidR="00F524A5">
        <w:t xml:space="preserve">, </w:t>
      </w:r>
      <w:r w:rsidR="00F524A5" w:rsidRPr="00472687">
        <w:fldChar w:fldCharType="begin"/>
      </w:r>
      <w:r w:rsidR="00F524A5" w:rsidRPr="00472687">
        <w:instrText xml:space="preserve">REF paragraph00404 \h \* CharFormat </w:instrText>
      </w:r>
      <w:r w:rsidR="00F524A5" w:rsidRPr="00472687">
        <w:fldChar w:fldCharType="separate"/>
      </w:r>
      <w:r w:rsidR="00F524A5" w:rsidRPr="00472687">
        <w:t>404</w:t>
      </w:r>
      <w:r w:rsidR="00F524A5" w:rsidRPr="00472687">
        <w:fldChar w:fldCharType="end"/>
      </w:r>
      <w:r w:rsidR="00F524A5">
        <w:t>-</w:t>
      </w:r>
      <w:r w:rsidR="00F524A5" w:rsidRPr="00472687">
        <w:fldChar w:fldCharType="begin"/>
      </w:r>
      <w:r w:rsidR="00F524A5" w:rsidRPr="00472687">
        <w:instrText xml:space="preserve">REF paragraph00405 \h \* CharFormat </w:instrText>
      </w:r>
      <w:r w:rsidR="00F524A5" w:rsidRPr="00472687">
        <w:fldChar w:fldCharType="separate"/>
      </w:r>
      <w:r w:rsidR="00F524A5" w:rsidRPr="00472687">
        <w:t>405</w:t>
      </w:r>
      <w:r w:rsidR="00F524A5" w:rsidRPr="00472687">
        <w:fldChar w:fldCharType="end"/>
      </w:r>
      <w:r w:rsidR="00F524A5">
        <w:t xml:space="preserve"> și </w:t>
      </w:r>
      <w:r w:rsidR="00F524A5" w:rsidRPr="00472687">
        <w:fldChar w:fldCharType="begin"/>
      </w:r>
      <w:r w:rsidR="00F524A5" w:rsidRPr="00472687">
        <w:instrText xml:space="preserve">REF paragraph00406 \h \* CharFormat </w:instrText>
      </w:r>
      <w:r w:rsidR="00F524A5" w:rsidRPr="00472687">
        <w:fldChar w:fldCharType="separate"/>
      </w:r>
      <w:r w:rsidR="00F524A5" w:rsidRPr="00472687">
        <w:t>406</w:t>
      </w:r>
      <w:r w:rsidR="00F524A5" w:rsidRPr="00472687">
        <w:fldChar w:fldCharType="end"/>
      </w:r>
      <w:r w:rsidR="00F524A5">
        <w:t>).</w:t>
      </w:r>
    </w:p>
    <w:p w:rsidR="00F524A5" w:rsidRPr="00472687" w:rsidRDefault="00C71855" w:rsidP="00F524A5">
      <w:pPr>
        <w:pStyle w:val="JuPara"/>
      </w:pPr>
      <w:fldSimple w:instr=" SEQ level0 \*arabic \* MERGEFORMAT ">
        <w:r w:rsidR="00F524A5" w:rsidRPr="00472687">
          <w:t>433</w:t>
        </w:r>
      </w:fldSimple>
      <w:r w:rsidR="00F524A5">
        <w:t>. În plus, concluziile IPCC corespund poziției principiale adoptate de state în cadrul angajamentelor internaționale asumate de acestea în ceea ce privește combaterea schimbărilor climatice. Aceste concluzii susțin, de asemenea, obiectivele politice generale definite în statul pârât, în considerarea necesității urgente de a acționa în vederea combaterii schimbărilor climatice și a efectelor negative ale acestora asupra vieții, sănătății și bunăstării oamenilor (supra, pct. </w:t>
      </w:r>
      <w:r w:rsidR="00F524A5" w:rsidRPr="00472687">
        <w:fldChar w:fldCharType="begin"/>
      </w:r>
      <w:r w:rsidR="00F524A5" w:rsidRPr="00472687">
        <w:instrText xml:space="preserve">REF paragraph00084 \h \* CharFormat </w:instrText>
      </w:r>
      <w:r w:rsidR="00F524A5" w:rsidRPr="00472687">
        <w:fldChar w:fldCharType="separate"/>
      </w:r>
      <w:r w:rsidR="00F524A5" w:rsidRPr="00472687">
        <w:t>84</w:t>
      </w:r>
      <w:r w:rsidR="00F524A5" w:rsidRPr="00472687">
        <w:fldChar w:fldCharType="end"/>
      </w:r>
      <w:r w:rsidR="00F524A5">
        <w:t>-</w:t>
      </w:r>
      <w:r w:rsidR="00F524A5" w:rsidRPr="00472687">
        <w:fldChar w:fldCharType="begin"/>
      </w:r>
      <w:r w:rsidR="00F524A5" w:rsidRPr="00472687">
        <w:instrText xml:space="preserve">REF paragraph00102 \h \* CharFormat </w:instrText>
      </w:r>
      <w:r w:rsidR="00F524A5" w:rsidRPr="00472687">
        <w:fldChar w:fldCharType="separate"/>
      </w:r>
      <w:r w:rsidR="00F524A5" w:rsidRPr="00472687">
        <w:t>102</w:t>
      </w:r>
      <w:r w:rsidR="00F524A5" w:rsidRPr="00472687">
        <w:fldChar w:fldCharType="end"/>
      </w:r>
      <w:r w:rsidR="00F524A5">
        <w:t>)</w:t>
      </w:r>
      <w:r w:rsidR="00F524A5">
        <w:rPr>
          <w:rStyle w:val="FootnoteReference"/>
        </w:rPr>
        <w:footnoteReference w:id="189"/>
      </w:r>
      <w:r w:rsidR="00F524A5">
        <w:t>. Printre acțiuni se numără activitățile organismelor de protecție a mediului – cum ar fi</w:t>
      </w:r>
      <w:r w:rsidR="00F524A5">
        <w:rPr>
          <w:b/>
        </w:rPr>
        <w:t xml:space="preserve"> </w:t>
      </w:r>
      <w:r w:rsidR="00F524A5">
        <w:t>FOEN – care monitorizează evoluția schimbărilor climatice și emit periodic avertismente cu privire la efectele negative ale acestora asupra oamenilor.</w:t>
      </w:r>
      <w:r w:rsidR="00F524A5">
        <w:rPr>
          <w:rFonts w:ascii="Segoe UI" w:hAnsi="Segoe UI"/>
          <w:color w:val="000000"/>
        </w:rPr>
        <w:t xml:space="preserve"> </w:t>
      </w:r>
      <w:r w:rsidR="00F524A5">
        <w:t>În plus, nici guvernul pârât în prezenta cauză, nici numeroasele guverne interveniente nu au contestat existența unei urgențe climatice (supra, pct. </w:t>
      </w:r>
      <w:r w:rsidR="00F524A5" w:rsidRPr="00472687">
        <w:fldChar w:fldCharType="begin"/>
      </w:r>
      <w:r w:rsidR="00F524A5" w:rsidRPr="00472687">
        <w:instrText xml:space="preserve">REF paragraph00337 \h \* CharFormat </w:instrText>
      </w:r>
      <w:r w:rsidR="00F524A5" w:rsidRPr="00472687">
        <w:fldChar w:fldCharType="separate"/>
      </w:r>
      <w:r w:rsidR="00F524A5" w:rsidRPr="00472687">
        <w:t>337</w:t>
      </w:r>
      <w:r w:rsidR="00F524A5" w:rsidRPr="00472687">
        <w:fldChar w:fldCharType="end"/>
      </w:r>
      <w:r w:rsidR="00F524A5">
        <w:t xml:space="preserve">, </w:t>
      </w:r>
      <w:r w:rsidR="00F524A5" w:rsidRPr="00472687">
        <w:fldChar w:fldCharType="begin"/>
      </w:r>
      <w:r w:rsidR="00F524A5" w:rsidRPr="00472687">
        <w:instrText xml:space="preserve">REF paragraph00367 \h \* CharFormat </w:instrText>
      </w:r>
      <w:r w:rsidR="00F524A5" w:rsidRPr="00472687">
        <w:fldChar w:fldCharType="separate"/>
      </w:r>
      <w:r w:rsidR="00F524A5" w:rsidRPr="00472687">
        <w:t>367</w:t>
      </w:r>
      <w:r w:rsidR="00F524A5" w:rsidRPr="00472687">
        <w:fldChar w:fldCharType="end"/>
      </w:r>
      <w:r w:rsidR="00F524A5">
        <w:t xml:space="preserve"> și </w:t>
      </w:r>
      <w:r w:rsidR="00F524A5" w:rsidRPr="00472687">
        <w:fldChar w:fldCharType="begin"/>
      </w:r>
      <w:r w:rsidR="00F524A5" w:rsidRPr="00472687">
        <w:instrText xml:space="preserve">REF paragraph00373 \h \* CharFormat </w:instrText>
      </w:r>
      <w:r w:rsidR="00F524A5" w:rsidRPr="00472687">
        <w:fldChar w:fldCharType="separate"/>
      </w:r>
      <w:r w:rsidR="00F524A5" w:rsidRPr="00472687">
        <w:t>373</w:t>
      </w:r>
      <w:r w:rsidR="00F524A5" w:rsidRPr="00472687">
        <w:fldChar w:fldCharType="end"/>
      </w:r>
      <w:r w:rsidR="00F524A5">
        <w:noBreakHyphen/>
      </w:r>
      <w:r w:rsidR="00F524A5" w:rsidRPr="00472687">
        <w:fldChar w:fldCharType="begin"/>
      </w:r>
      <w:r w:rsidR="00F524A5" w:rsidRPr="00472687">
        <w:instrText xml:space="preserve">REF paragraph00375 \h \* CharFormat </w:instrText>
      </w:r>
      <w:r w:rsidR="00F524A5" w:rsidRPr="00472687">
        <w:fldChar w:fldCharType="separate"/>
      </w:r>
      <w:r w:rsidR="00F524A5" w:rsidRPr="00472687">
        <w:t>375</w:t>
      </w:r>
      <w:r w:rsidR="00F524A5" w:rsidRPr="00472687">
        <w:fldChar w:fldCharType="end"/>
      </w:r>
      <w:r w:rsidR="00F524A5">
        <w:t>).</w:t>
      </w:r>
    </w:p>
    <w:bookmarkStart w:id="621" w:name="paragraph0043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434</w:t>
      </w:r>
      <w:r w:rsidRPr="00472687">
        <w:fldChar w:fldCharType="end"/>
      </w:r>
      <w:bookmarkEnd w:id="621"/>
      <w:r>
        <w:t>. Curtea nu poate ignora aceste evoluții și considerații.</w:t>
      </w:r>
      <w:r>
        <w:rPr>
          <w:rFonts w:ascii="Segoe UI" w:hAnsi="Segoe UI"/>
          <w:color w:val="000000"/>
        </w:rPr>
        <w:t xml:space="preserve"> </w:t>
      </w:r>
      <w:r>
        <w:t xml:space="preserve">Dimpotrivă, aceasta subliniază că Convenția este un instrument viu, care trebuie interpretat în lumina condițiilor de viață actuale și în conformitate cu evoluțiile din dreptul internațional, astfel încât să reflecte standardele tot mai înalte în materie de protecție a drepturilor omului, ceea ce impune o rigoare </w:t>
      </w:r>
      <w:r>
        <w:lastRenderedPageBreak/>
        <w:t>mai mare în aprecierea atingerilor aduse valorilor fundamentale ale societăților democratice [</w:t>
      </w:r>
      <w:r>
        <w:rPr>
          <w:i/>
        </w:rPr>
        <w:t>Demir și Baykara împotriva Turciei</w:t>
      </w:r>
      <w:r>
        <w:t xml:space="preserve"> (MC), nr. 34503/97, pct. 146, CEDO 2008].</w:t>
      </w:r>
      <w:r>
        <w:rPr>
          <w:rFonts w:ascii="Segoe UI" w:hAnsi="Segoe UI"/>
          <w:color w:val="000000"/>
        </w:rPr>
        <w:t xml:space="preserve"> </w:t>
      </w:r>
      <w:r>
        <w:t>Astfel, pentru a adopta abordarea adecvată și adaptată</w:t>
      </w:r>
      <w:r>
        <w:rPr>
          <w:b/>
        </w:rPr>
        <w:t xml:space="preserve"> </w:t>
      </w:r>
      <w:r>
        <w:t>care este necesară, din motivele expuse mai sus (pct. </w:t>
      </w:r>
      <w:r w:rsidRPr="00472687">
        <w:fldChar w:fldCharType="begin"/>
      </w:r>
      <w:r w:rsidRPr="00472687">
        <w:instrText xml:space="preserve">REF paragraph00422 \h \* CharFormat </w:instrText>
      </w:r>
      <w:r w:rsidRPr="00472687">
        <w:fldChar w:fldCharType="separate"/>
      </w:r>
      <w:r w:rsidRPr="00472687">
        <w:t>422</w:t>
      </w:r>
      <w:r w:rsidRPr="00472687">
        <w:fldChar w:fldCharType="end"/>
      </w:r>
      <w:r>
        <w:t>), în ceea ce privește diferitele probleme pe care le pot ridica schimbările climatice în temeiul Convenției, trebuie să se țină seama, pe de o parte, de dovezile științifice existente și aflate în continuă evoluție, care stabilesc necesitatea de a combate acest fenomen, precum și de nevoia urgentă de a acționa în fața efectelor sale negative, în special a riscului grav ca acestea să devină inevitabile și ireversibile, și, pe de altă parte, de recunoașterea științifică, politică și judiciară a existenței unei legături între aceste efecte negative și exercitarea drepturilor omului (sub diferite aspecte).</w:t>
      </w:r>
    </w:p>
    <w:bookmarkStart w:id="622" w:name="paragraph0043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435</w:t>
      </w:r>
      <w:r w:rsidRPr="00472687">
        <w:fldChar w:fldCharType="end"/>
      </w:r>
      <w:bookmarkEnd w:id="622"/>
      <w:r>
        <w:t>. Astfel cum a recunoscut deja Curtea, art. 8 poate fi aplicabil în cazul existenței unor efecte nefaste nu doar asupra sănătății oamenilor, ci și asupra bunăstării și calității vieții acestora (infra, pct. </w:t>
      </w:r>
      <w:r w:rsidRPr="00472687">
        <w:fldChar w:fldCharType="begin"/>
      </w:r>
      <w:r w:rsidRPr="00472687">
        <w:instrText xml:space="preserve">REF paragraph00514 \h \* CharFormat  \* MERGEFORMAT </w:instrText>
      </w:r>
      <w:r w:rsidRPr="00472687">
        <w:fldChar w:fldCharType="separate"/>
      </w:r>
      <w:r w:rsidRPr="00472687">
        <w:t>514</w:t>
      </w:r>
      <w:r w:rsidRPr="00472687">
        <w:fldChar w:fldCharType="end"/>
      </w:r>
      <w:r>
        <w:t>), și nu doar din cauza unor efecte nefaste reale, ci și din cauza unor riscuri suficient de grave ca astfel de efecte să afecteze oamenii (infra, pct. </w:t>
      </w:r>
      <w:r w:rsidRPr="00472687">
        <w:fldChar w:fldCharType="begin"/>
      </w:r>
      <w:r w:rsidRPr="00472687">
        <w:instrText xml:space="preserve">REF paragraph00470 \h \* CharFormat  \* MERGEFORMAT </w:instrText>
      </w:r>
      <w:r w:rsidRPr="00472687">
        <w:fldChar w:fldCharType="separate"/>
      </w:r>
      <w:r w:rsidRPr="00472687">
        <w:t>470</w:t>
      </w:r>
      <w:r w:rsidRPr="00472687">
        <w:fldChar w:fldCharType="end"/>
      </w:r>
      <w:r>
        <w:t xml:space="preserve">). În plus, Curtea a stabilit că art. 8 se poate aplica în cauzele referitoare la mediu, indiferent dacă poluarea în litigiu este cauzată de stat în mod direct sau dacă responsabilitatea statului decurge din lipsa unei reglementări adecvate a industriei private [a se vedea, de exemplu, </w:t>
      </w:r>
      <w:r>
        <w:rPr>
          <w:i/>
        </w:rPr>
        <w:t xml:space="preserve">Hatton și alții împotriva Regatului Unit </w:t>
      </w:r>
      <w:r>
        <w:t xml:space="preserve">(MC), nr. 36022/97, pct. 98, CEDO 2003-VIII]. Curtea a hotărât de asemenea că obligația de reglementare nu se referă doar la prejudiciile reale ce rezultă din activități specifice, ci se extinde și la pericolele inerente acestor activități (a se vedea, de exemplu, </w:t>
      </w:r>
      <w:r>
        <w:rPr>
          <w:i/>
        </w:rPr>
        <w:t xml:space="preserve">Di Sarno și alții împotriva Italiei, </w:t>
      </w:r>
      <w:r>
        <w:t>nr. 30765/08, pct. 106, 10 ianuarie 2012). Cu alte cuvinte, problemele de cauzalitate trebuie să fie examinate întotdeauna în lumina caracterului factual al pretinsei încălcări și ținând seama de natura și întinderea obligațiilor juridice în cauză.</w:t>
      </w:r>
    </w:p>
    <w:bookmarkStart w:id="623" w:name="paragraph0043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436</w:t>
      </w:r>
      <w:r w:rsidRPr="00472687">
        <w:fldChar w:fldCharType="end"/>
      </w:r>
      <w:bookmarkEnd w:id="623"/>
      <w:r>
        <w:t>. Pe scurt, pe baza constatărilor expuse mai sus, Curtea va proceda la</w:t>
      </w:r>
      <w:r>
        <w:rPr>
          <w:b/>
        </w:rPr>
        <w:t xml:space="preserve"> </w:t>
      </w:r>
      <w:r>
        <w:t>analizarea problemelor ridicate în speță, considerând ca fiind stabilită existența unor indicii suficient de fiabile că schimbările climatice antropice există, că acestea reprezintă, atât în prezent, cât și pentru viitor, o amenințare gravă la adresa exercitării drepturilor omului garantate de Convenție, că statele sunt conștiente de acest lucru și sunt capabile să ia măsuri pentru abordarea eficientă a acestora, că se preconizează că riscurile relevante vor fi mai mici dacă încălzirea este limitată la 1,5</w:t>
      </w:r>
      <w:r>
        <w:rPr>
          <w:vertAlign w:val="superscript"/>
        </w:rPr>
        <w:t>o</w:t>
      </w:r>
      <w:r>
        <w:t>C, comparativ cu nivelurile preindustriale, și dacă sunt adoptate măsuri de urgență și că eforturile mondiale actuale în materie de atenuare nu sunt suficiente pentru a asigura realizarea acestui din urmă obiectiv.</w:t>
      </w:r>
    </w:p>
    <w:p w:rsidR="00F524A5" w:rsidRPr="00472687" w:rsidRDefault="00F524A5" w:rsidP="00E72A1B">
      <w:pPr>
        <w:pStyle w:val="JuHa0"/>
        <w:numPr>
          <w:ilvl w:val="4"/>
          <w:numId w:val="51"/>
        </w:numPr>
      </w:pPr>
      <w:bookmarkStart w:id="624" w:name="_Toc199273559"/>
      <w:r>
        <w:t>Cu privire la problema legăturii de cauzalitate și a obligațiilor pozitive în contextul schimbărilor climatice</w:t>
      </w:r>
      <w:bookmarkEnd w:id="624"/>
    </w:p>
    <w:bookmarkStart w:id="625" w:name="paragraph0043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437</w:t>
      </w:r>
      <w:r w:rsidRPr="00472687">
        <w:fldChar w:fldCharType="end"/>
      </w:r>
      <w:bookmarkEnd w:id="625"/>
      <w:r>
        <w:t xml:space="preserve">. În jurisprudența sa referitoare la efectele nefaste ale daunelor aduse mediului, Curtea a analizat deseori calitatea de victimă împreună cu </w:t>
      </w:r>
      <w:r>
        <w:lastRenderedPageBreak/>
        <w:t xml:space="preserve">aplicabilitatea art. 8 (a se vedea, de exemplu, </w:t>
      </w:r>
      <w:r>
        <w:rPr>
          <w:i/>
        </w:rPr>
        <w:t>Hardy și Maile,</w:t>
      </w:r>
      <w:r>
        <w:t xml:space="preserve"> citată anterior, pct. 187-192). În plus, aceasta nu a formulat în mod specific problema legăturii de cauzalitate. Acest lucru poate fi explicat prin elementele prezentate mai jos. În primul rând, aplicabilitatea art. 8 – astfel cum s-a indicat mai sus – rezultă nu doar dintr-un prejudiciu efectiv cauzat sănătății sau bunăstării unui reclamant, ci și din riscul producerii unor astfel de efecte, atunci când există o legătură suficient de strânsă între acest risc și exercitarea de către reclamant a drepturilor garantate de art. 8. În al doilea rând, capetele de cerere formulate în astfel de cauze au avut ca obiect pretinsa neîndeplinire de către autorități a obligațiilor lor pozitive de a preveni sau de a limita prejudiciul în cauză. În al treilea rând, aceste obligații au fost prezentate ca implicând obligația de a lua măsuri adecvate pentru a asigura protecția efectivă a persoanelor care ar putea fi expuse riscurilor inerente activității prejudiciabile (infra, pct. </w:t>
      </w:r>
      <w:r w:rsidRPr="00472687">
        <w:fldChar w:fldCharType="begin"/>
      </w:r>
      <w:r w:rsidRPr="00472687">
        <w:instrText xml:space="preserve">REF paragraph00538 \h \* CharFormat  \* MERGEFORMAT </w:instrText>
      </w:r>
      <w:r w:rsidRPr="00472687">
        <w:fldChar w:fldCharType="separate"/>
      </w:r>
      <w:r w:rsidRPr="00472687">
        <w:t>538</w:t>
      </w:r>
      <w:r w:rsidRPr="00472687">
        <w:fldChar w:fldCharType="end"/>
      </w:r>
      <w:r>
        <w:t>).</w:t>
      </w:r>
    </w:p>
    <w:p w:rsidR="00F524A5" w:rsidRPr="00472687" w:rsidRDefault="00F524A5" w:rsidP="00F524A5">
      <w:pPr>
        <w:pStyle w:val="JuPara"/>
      </w:pPr>
      <w:r w:rsidRPr="00472687">
        <w:fldChar w:fldCharType="begin"/>
      </w:r>
      <w:r>
        <w:instrText xml:space="preserve"> SEQ level0 \*arabic \* MERGEFORMAT </w:instrText>
      </w:r>
      <w:r w:rsidRPr="00472687">
        <w:fldChar w:fldCharType="separate"/>
      </w:r>
      <w:r w:rsidRPr="00472687">
        <w:t>438</w:t>
      </w:r>
      <w:r w:rsidRPr="00472687">
        <w:fldChar w:fldCharType="end"/>
      </w:r>
      <w:r>
        <w:t>. Din perspectiva obligațiilor pozitive, noțiunea de „măsuri adecvate pentru a asigura o protecție efectivă” poate varia considerabil de la o cauză la alta, în funcție de gravitatea consecințelor asupra drepturilor prevăzute de Convenție ale unui reclamant și de amploarea sarcinii pe care obligația respectivă ar impune-o statului. Cu toate acestea, Curtea a stabilit anumiți factori relevanți pentru aprecierea conținutului acestor obligații pozitive ce revin statelor în contextul unor daune aduse mediului (infra, pct. </w:t>
      </w:r>
      <w:r w:rsidRPr="00472687">
        <w:fldChar w:fldCharType="begin"/>
      </w:r>
      <w:r w:rsidRPr="00472687">
        <w:instrText xml:space="preserve">REF paragraph00538 \h \* CharFormat  \* MERGEFORMAT </w:instrText>
      </w:r>
      <w:r w:rsidRPr="00472687">
        <w:fldChar w:fldCharType="separate"/>
      </w:r>
      <w:r w:rsidRPr="00472687">
        <w:t>538</w:t>
      </w:r>
      <w:r w:rsidRPr="00472687">
        <w:fldChar w:fldCharType="end"/>
      </w:r>
      <w:r>
        <w:noBreakHyphen/>
      </w:r>
      <w:r w:rsidRPr="00472687">
        <w:fldChar w:fldCharType="begin"/>
      </w:r>
      <w:r w:rsidRPr="00472687">
        <w:instrText xml:space="preserve">REF paragraph00539 \h \* CharFormat  \* MERGEFORMAT </w:instrText>
      </w:r>
      <w:r w:rsidRPr="00472687">
        <w:fldChar w:fldCharType="separate"/>
      </w:r>
      <w:r w:rsidRPr="00472687">
        <w:t>539</w:t>
      </w:r>
      <w:r w:rsidRPr="00472687">
        <w:fldChar w:fldCharType="end"/>
      </w:r>
      <w:r>
        <w:t>). În orice caz, pentru ca obligațiile pozitive ale unui stat să devină aplicabile, trebuie să existe dovezi care atestă existența unui risc care atinge un anumit nivel. Este necesar să existe o legătură de cauzalitate între riscul în cauză și pretinsa încălcare a obligațiilor pozitive.</w:t>
      </w:r>
    </w:p>
    <w:bookmarkStart w:id="626" w:name="paragraph00439"/>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439</w:t>
      </w:r>
      <w:r w:rsidRPr="00472687">
        <w:fldChar w:fldCharType="end"/>
      </w:r>
      <w:bookmarkEnd w:id="626"/>
      <w:r>
        <w:t>. În ceea ce privește schimbările climatice, specificitatea problemei cauzalității este mai evidentă. Efectele nefaste și riscurile pentru anumite persoane sau grupuri de persoane care trăiesc într-un anumit loc rezultă din emisiile agregate de GES de la nivel mondial, iar emisiile generate într-o anumită țară constituie doar o parte din cauzele daunelor. Prin urmare, legătura de cauzalitate dintre, pe de o parte, actele sau omisiunile autorităților naționale ale unei țări și, pe de altă parte, prejudiciul cauzat de acestea sau riscul de producere a unui prejudiciu în țara respectivă este în mod necesar mai slabă și mai indirectă decât în contextul unei poluări dăunătoare cauzate de surse locale. În plus, din perspectiva drepturilor omului, esența obligațiilor relevante ale statului în materie de schimbări climatice este legată de reducerea riscurilor de prejudiciere a persoanelor. În schimb, neîndeplinirea acestor obligații conduce</w:t>
      </w:r>
      <w:r>
        <w:rPr>
          <w:b/>
        </w:rPr>
        <w:t xml:space="preserve"> </w:t>
      </w:r>
      <w:r>
        <w:t xml:space="preserve">la o agravare a riscurilor în cauză, chiar dacă expunerea oamenilor la aceste riscuri variază în ceea ce privește natura, gravitatea și iminența, în funcție de o serie de circumstanțe. Rezultă că problemele referitoare la calitatea de victimă a unui reclamant individual sau la conținutul specific al obligațiilor statului nu pot fi soluționate pe baza unei condiții </w:t>
      </w:r>
      <w:r>
        <w:rPr>
          <w:i/>
          <w:iCs/>
        </w:rPr>
        <w:t>sine</w:t>
      </w:r>
      <w:r>
        <w:t xml:space="preserve"> </w:t>
      </w:r>
      <w:r>
        <w:rPr>
          <w:i/>
        </w:rPr>
        <w:t>qua non</w:t>
      </w:r>
      <w:r>
        <w:t xml:space="preserve"> stricte.</w:t>
      </w:r>
    </w:p>
    <w:bookmarkStart w:id="627" w:name="paragraph00440"/>
    <w:p w:rsidR="00F524A5" w:rsidRPr="00472687" w:rsidRDefault="00F524A5" w:rsidP="00F524A5">
      <w:pPr>
        <w:pStyle w:val="JuPara"/>
      </w:pPr>
      <w:r w:rsidRPr="00472687">
        <w:lastRenderedPageBreak/>
        <w:fldChar w:fldCharType="begin"/>
      </w:r>
      <w:r w:rsidRPr="00472687">
        <w:instrText xml:space="preserve"> SEQ level0 \*arabic \* MERGEFORMAT </w:instrText>
      </w:r>
      <w:r w:rsidRPr="00472687">
        <w:fldChar w:fldCharType="separate"/>
      </w:r>
      <w:r w:rsidRPr="00472687">
        <w:t>440</w:t>
      </w:r>
      <w:r w:rsidRPr="00472687">
        <w:fldChar w:fldCharType="end"/>
      </w:r>
      <w:bookmarkEnd w:id="627"/>
      <w:r>
        <w:t>. Prin urmare, este necesară o adaptare suplimentară a modului de abordare a acestor aspecte, ținând seama de particularitățile problemei schimbărilor climatice care vor da naștere obligațiilor pozitive ale statului, în funcție de un prag de gravitate a riscului de consecințe negative asupra vieții, sănătății și bunăstării ființelor umane. Acest aspect va fi examinat mai în detaliu în cadrul aprecierii de către Curte a calității de victimă și a aplicabilității dispozițiilor relevante din Convenție (infra, pct. </w:t>
      </w:r>
      <w:r w:rsidRPr="00472687">
        <w:fldChar w:fldCharType="begin"/>
      </w:r>
      <w:r w:rsidRPr="00472687">
        <w:instrText xml:space="preserve">REF paragraph00478 \h \* CharFormat  \* MERGEFORMAT </w:instrText>
      </w:r>
      <w:r w:rsidRPr="00472687">
        <w:fldChar w:fldCharType="separate"/>
      </w:r>
      <w:r w:rsidRPr="00472687">
        <w:t>478</w:t>
      </w:r>
      <w:r w:rsidRPr="00472687">
        <w:fldChar w:fldCharType="end"/>
      </w:r>
      <w:r>
        <w:noBreakHyphen/>
      </w:r>
      <w:r w:rsidRPr="00472687">
        <w:fldChar w:fldCharType="begin"/>
      </w:r>
      <w:r w:rsidRPr="00472687">
        <w:instrText xml:space="preserve">REF paragraph00488 \h \* CharFormat  \* MERGEFORMAT </w:instrText>
      </w:r>
      <w:r w:rsidRPr="00472687">
        <w:fldChar w:fldCharType="separate"/>
      </w:r>
      <w:r w:rsidRPr="00472687">
        <w:t>488</w:t>
      </w:r>
      <w:r w:rsidRPr="00472687">
        <w:fldChar w:fldCharType="end"/>
      </w:r>
      <w:r>
        <w:t xml:space="preserve"> și </w:t>
      </w:r>
      <w:r w:rsidRPr="00472687">
        <w:fldChar w:fldCharType="begin"/>
      </w:r>
      <w:r w:rsidRPr="00472687">
        <w:instrText xml:space="preserve">REF paragraph00507 \h \* CharFormat  \* MERGEFORMAT </w:instrText>
      </w:r>
      <w:r w:rsidRPr="00472687">
        <w:fldChar w:fldCharType="separate"/>
      </w:r>
      <w:r w:rsidRPr="00472687">
        <w:t>507</w:t>
      </w:r>
      <w:r w:rsidRPr="00472687">
        <w:fldChar w:fldCharType="end"/>
      </w:r>
      <w:r>
        <w:noBreakHyphen/>
      </w:r>
      <w:r w:rsidRPr="00472687">
        <w:fldChar w:fldCharType="begin"/>
      </w:r>
      <w:r w:rsidRPr="00472687">
        <w:instrText xml:space="preserve"> REF paragraph00520 \h  \* CharFormat  \* MERGEFORMAT </w:instrText>
      </w:r>
      <w:r w:rsidRPr="00472687">
        <w:fldChar w:fldCharType="separate"/>
      </w:r>
      <w:r w:rsidRPr="00472687">
        <w:t>520</w:t>
      </w:r>
      <w:r w:rsidRPr="00472687">
        <w:fldChar w:fldCharType="end"/>
      </w:r>
      <w:r>
        <w:t xml:space="preserve">) și atunci când va stabili conținutul obligațiilor pozitive ce revin statelor în acest context (infra, pct.  </w:t>
      </w:r>
      <w:r w:rsidRPr="00472687">
        <w:fldChar w:fldCharType="begin"/>
      </w:r>
      <w:r w:rsidRPr="00472687">
        <w:instrText xml:space="preserve">REF paragraph00544 \h \* CharFormat  \* MERGEFORMAT </w:instrText>
      </w:r>
      <w:r w:rsidRPr="00472687">
        <w:fldChar w:fldCharType="separate"/>
      </w:r>
      <w:r w:rsidRPr="00472687">
        <w:t>544</w:t>
      </w:r>
      <w:r w:rsidRPr="00472687">
        <w:fldChar w:fldCharType="end"/>
      </w:r>
      <w:r>
        <w:noBreakHyphen/>
      </w:r>
      <w:r w:rsidRPr="00472687">
        <w:fldChar w:fldCharType="begin"/>
      </w:r>
      <w:r w:rsidRPr="00472687">
        <w:instrText xml:space="preserve">REF paragraph00554 \h \* CharFormat  \* MERGEFORMAT </w:instrText>
      </w:r>
      <w:r w:rsidRPr="00472687">
        <w:fldChar w:fldCharType="separate"/>
      </w:r>
      <w:r w:rsidRPr="00472687">
        <w:t>554</w:t>
      </w:r>
      <w:r w:rsidRPr="00472687">
        <w:fldChar w:fldCharType="end"/>
      </w:r>
      <w:r>
        <w:t>).</w:t>
      </w:r>
    </w:p>
    <w:p w:rsidR="00F524A5" w:rsidRPr="00472687" w:rsidRDefault="00F524A5" w:rsidP="00E72A1B">
      <w:pPr>
        <w:pStyle w:val="JuHa0"/>
        <w:numPr>
          <w:ilvl w:val="4"/>
          <w:numId w:val="51"/>
        </w:numPr>
      </w:pPr>
      <w:bookmarkStart w:id="628" w:name="_Toc199273560"/>
      <w:r>
        <w:t>Cu privire la aspectul legat de partea de responsabilitate a statului</w:t>
      </w:r>
      <w:bookmarkEnd w:id="628"/>
    </w:p>
    <w:p w:rsidR="00F524A5" w:rsidRPr="00472687" w:rsidRDefault="00F524A5" w:rsidP="00F524A5">
      <w:pPr>
        <w:pStyle w:val="JuPara"/>
        <w:rPr>
          <w:rFonts w:eastAsiaTheme="minorEastAsia"/>
        </w:rPr>
      </w:pPr>
      <w:r w:rsidRPr="00472687">
        <w:rPr>
          <w:rFonts w:eastAsiaTheme="minorEastAsia"/>
        </w:rPr>
        <w:fldChar w:fldCharType="begin"/>
      </w:r>
      <w:r w:rsidRPr="00472687">
        <w:rPr>
          <w:rFonts w:eastAsiaTheme="minorEastAsia"/>
        </w:rPr>
        <w:instrText xml:space="preserve"> SEQ level0 \*arabic \* MERGEFORMAT </w:instrText>
      </w:r>
      <w:r w:rsidRPr="00472687">
        <w:rPr>
          <w:rFonts w:eastAsiaTheme="minorEastAsia"/>
        </w:rPr>
        <w:fldChar w:fldCharType="separate"/>
      </w:r>
      <w:r w:rsidRPr="00472687">
        <w:rPr>
          <w:rFonts w:eastAsiaTheme="minorEastAsia"/>
        </w:rPr>
        <w:t>441</w:t>
      </w:r>
      <w:r w:rsidRPr="00472687">
        <w:rPr>
          <w:rFonts w:eastAsiaTheme="minorEastAsia"/>
        </w:rPr>
        <w:fldChar w:fldCharType="end"/>
      </w:r>
      <w:r>
        <w:t>. Guvernul pârât a ridicat o problemă referitoare la cota din emisiile globale de GES reprezentată de contribuțiile statului pârât și la capacitatea statelor de a acționa individual și de a-și asuma responsabilitatea pentru un fenomen global care necesită acțiuni din partea tuturor statelor (supra, pct. </w:t>
      </w:r>
      <w:r w:rsidRPr="00472687">
        <w:rPr>
          <w:rFonts w:eastAsiaTheme="minorEastAsia"/>
        </w:rPr>
        <w:fldChar w:fldCharType="begin"/>
      </w:r>
      <w:r w:rsidRPr="00472687">
        <w:rPr>
          <w:rFonts w:eastAsiaTheme="minorEastAsia"/>
        </w:rPr>
        <w:instrText xml:space="preserve">REF paragraph00346 \h \* CharFormat </w:instrText>
      </w:r>
      <w:r w:rsidRPr="00472687">
        <w:rPr>
          <w:rFonts w:eastAsiaTheme="minorEastAsia"/>
        </w:rPr>
      </w:r>
      <w:r w:rsidRPr="00472687">
        <w:rPr>
          <w:rFonts w:eastAsiaTheme="minorEastAsia"/>
        </w:rPr>
        <w:fldChar w:fldCharType="separate"/>
      </w:r>
      <w:r w:rsidRPr="00472687">
        <w:rPr>
          <w:rFonts w:eastAsiaTheme="minorEastAsia"/>
        </w:rPr>
        <w:t>346</w:t>
      </w:r>
      <w:r w:rsidRPr="00472687">
        <w:rPr>
          <w:rFonts w:eastAsiaTheme="minorEastAsia"/>
        </w:rPr>
        <w:fldChar w:fldCharType="end"/>
      </w:r>
      <w:r>
        <w:t>). Aceste argumente au fost examinate și respinse de instanțele din unele țări în cadrul litigiilor naționale privind schimbările climatice (supra, pct. </w:t>
      </w:r>
      <w:r w:rsidRPr="00472687">
        <w:rPr>
          <w:rFonts w:eastAsiaTheme="minorEastAsia"/>
        </w:rPr>
        <w:fldChar w:fldCharType="begin"/>
      </w:r>
      <w:r w:rsidRPr="00472687">
        <w:rPr>
          <w:rFonts w:eastAsiaTheme="minorEastAsia"/>
        </w:rPr>
        <w:instrText xml:space="preserve">REF paragraph00253 \h \* CharFormat </w:instrText>
      </w:r>
      <w:r w:rsidRPr="00472687">
        <w:rPr>
          <w:rFonts w:eastAsiaTheme="minorEastAsia"/>
        </w:rPr>
      </w:r>
      <w:r w:rsidRPr="00472687">
        <w:rPr>
          <w:rFonts w:eastAsiaTheme="minorEastAsia"/>
        </w:rPr>
        <w:fldChar w:fldCharType="separate"/>
      </w:r>
      <w:r w:rsidRPr="00472687">
        <w:rPr>
          <w:rFonts w:eastAsiaTheme="minorEastAsia"/>
        </w:rPr>
        <w:t>253</w:t>
      </w:r>
      <w:r w:rsidRPr="00472687">
        <w:rPr>
          <w:rFonts w:eastAsiaTheme="minorEastAsia"/>
        </w:rPr>
        <w:fldChar w:fldCharType="end"/>
      </w:r>
      <w:r>
        <w:t xml:space="preserve"> și </w:t>
      </w:r>
      <w:r w:rsidRPr="00472687">
        <w:rPr>
          <w:rFonts w:eastAsiaTheme="minorEastAsia"/>
        </w:rPr>
        <w:fldChar w:fldCharType="begin"/>
      </w:r>
      <w:r w:rsidRPr="00472687">
        <w:rPr>
          <w:rFonts w:eastAsiaTheme="minorEastAsia"/>
        </w:rPr>
        <w:instrText xml:space="preserve">REF paragraph00257 \h \* CharFormat </w:instrText>
      </w:r>
      <w:r w:rsidRPr="00472687">
        <w:rPr>
          <w:rFonts w:eastAsiaTheme="minorEastAsia"/>
        </w:rPr>
      </w:r>
      <w:r w:rsidRPr="00472687">
        <w:rPr>
          <w:rFonts w:eastAsiaTheme="minorEastAsia"/>
        </w:rPr>
        <w:fldChar w:fldCharType="separate"/>
      </w:r>
      <w:r w:rsidRPr="00472687">
        <w:rPr>
          <w:rFonts w:eastAsiaTheme="minorEastAsia"/>
        </w:rPr>
        <w:t>257</w:t>
      </w:r>
      <w:r w:rsidRPr="00472687">
        <w:rPr>
          <w:rFonts w:eastAsiaTheme="minorEastAsia"/>
        </w:rPr>
        <w:fldChar w:fldCharType="end"/>
      </w:r>
      <w:r>
        <w:t>).</w:t>
      </w:r>
    </w:p>
    <w:p w:rsidR="00F524A5" w:rsidRPr="00472687" w:rsidRDefault="00F524A5" w:rsidP="00F524A5">
      <w:pPr>
        <w:pStyle w:val="JuPara"/>
        <w:rPr>
          <w:b/>
          <w:bCs/>
        </w:rPr>
      </w:pPr>
      <w:r w:rsidRPr="00472687">
        <w:fldChar w:fldCharType="begin"/>
      </w:r>
      <w:r>
        <w:instrText xml:space="preserve"> SEQ level0 \*arabic \* MERGEFORMAT </w:instrText>
      </w:r>
      <w:r w:rsidRPr="00472687">
        <w:fldChar w:fldCharType="separate"/>
      </w:r>
      <w:r w:rsidRPr="00472687">
        <w:t>442</w:t>
      </w:r>
      <w:r w:rsidRPr="00472687">
        <w:fldChar w:fldCharType="end"/>
      </w:r>
      <w:r>
        <w:t>. La rândul său, Curtea observă că, deși schimbările climatice constituie, fără îndoială, un fenomen global care ar trebui abordat la nivel internațional de către toate statele, regimul climatic global instituit prin UNFCCC se bazează pe principiul responsabilităților comune, dar diferențiate, și al capacităților respective ale statelor [articolul 3 alineatul (1)]. Acest principiu a fost reafirmat în Acordul de la Paris [articolul 2 alineatul (2)] și confirmat în Pactul climatic de la Glasgow (citat anterior, pct. 18), precum și în Planul de punere în aplicare de la Sharm el-Sheikh (citat anterior, pct. 12). Rezultă că fiecare stat are propria sa parte de responsabilitate în ceea ce privește luarea unor măsuri de abordare a schimbărilor climatice și că adoptarea unor astfel de măsuri este determinată de capacitățile proprii ale statului în cauză, și nu de vreo acțiune (sau omisiune) specifică a oricărui alt stat (</w:t>
      </w:r>
      <w:r>
        <w:rPr>
          <w:i/>
        </w:rPr>
        <w:t>Duarte Agostinho și alții,</w:t>
      </w:r>
      <w:r>
        <w:t xml:space="preserve"> decizie citată anterior, pct. 202</w:t>
      </w:r>
      <w:r>
        <w:noBreakHyphen/>
        <w:t>203). Curtea consideră că un stat pârât nu trebuie să se sustragă responsabilității care îi revine, evidențiind-o pe cea a altor state, indiferent dacă acestea sunt sau nu părți contractante la Convenție.</w:t>
      </w:r>
    </w:p>
    <w:p w:rsidR="00F524A5" w:rsidRPr="00472687" w:rsidRDefault="00F524A5" w:rsidP="00F524A5">
      <w:pPr>
        <w:pStyle w:val="JuPara"/>
      </w:pPr>
      <w:r w:rsidRPr="00472687">
        <w:fldChar w:fldCharType="begin"/>
      </w:r>
      <w:r>
        <w:instrText xml:space="preserve"> SEQ level0 \*arabic \* MERGEFORMAT </w:instrText>
      </w:r>
      <w:r w:rsidRPr="00472687">
        <w:fldChar w:fldCharType="separate"/>
      </w:r>
      <w:r w:rsidRPr="00472687">
        <w:t>443</w:t>
      </w:r>
      <w:r w:rsidRPr="00472687">
        <w:fldChar w:fldCharType="end"/>
      </w:r>
      <w:r>
        <w:t xml:space="preserve">. Această poziție este conformă cu cea adoptată de Curte în cauzele în care pretinse încălcări ale drepturilor protejate de Convenție au implicat responsabilitatea comună a mai multor state, fiecare dintre acestea putând fi tras la răspundere pentru partea sa de responsabilitate pentru încălcarea în cauză (a se vedea, deși în contexte diferite, </w:t>
      </w:r>
      <w:r>
        <w:rPr>
          <w:i/>
        </w:rPr>
        <w:t>M.S.S. împotriva Belgiei și Greciei</w:t>
      </w:r>
      <w:r>
        <w:t xml:space="preserve">, citată anterior, pct. 264 și 367, și </w:t>
      </w:r>
      <w:r>
        <w:rPr>
          <w:i/>
        </w:rPr>
        <w:t>Razvozjaiev împotriva Rusiei și Ucrainei și Udalțov împotriva</w:t>
      </w:r>
      <w:r>
        <w:t> </w:t>
      </w:r>
      <w:r>
        <w:rPr>
          <w:i/>
        </w:rPr>
        <w:t>Rusiei</w:t>
      </w:r>
      <w:r>
        <w:t>, nr. 75734/12 și alte 2 cereri, pct. 160</w:t>
      </w:r>
      <w:r>
        <w:noBreakHyphen/>
        <w:t>161 și 179</w:t>
      </w:r>
      <w:r>
        <w:noBreakHyphen/>
        <w:t xml:space="preserve">181, 19 noiembrie 2019). Aceasta este, de asemenea, conformă cu principiile de drept internațional referitoare la responsabilitatea unei pluralități de state, potrivit cărora responsabilitatea fiecărui stat în cauză </w:t>
      </w:r>
      <w:r>
        <w:lastRenderedPageBreak/>
        <w:t>este stabilită separat, pe baza propriei conduite și în lumina propriilor obligații internaționale (CDI, Proiectul de articole privind responsabilitatea statelor pentru acte internaționale ilicite și comentariile la acesta, Comentariul la articolul 47 alineatele 6 și 8). În mod similar, pretinsa încălcare a drepturilor garantate de Convenție, ca urmare a unor daune cauzate de emisiile globale de GES la nivel mondial și de acțiunile și omisiunile mai multor state în ceea ce privește combaterea efectelor nefaste ale schimbărilor climatice, poate angaja responsabilitatea fiecărei părți contractante, cu condiția să fie stabilită existența jurisdicției sale, în sensul art. 1 din Convenție (</w:t>
      </w:r>
      <w:r>
        <w:rPr>
          <w:i/>
        </w:rPr>
        <w:t>Duarte Agostinho și alții,</w:t>
      </w:r>
      <w:r>
        <w:t xml:space="preserve"> citată anterior). În fapt, întrucât jurisdicția în sensul art. 1 este în primul rând teritorială, fiecare stat, în cadrul jurisdicției sale teritoriale, are propriile responsabilități în ceea ce privește schimbările climatice.</w:t>
      </w:r>
    </w:p>
    <w:p w:rsidR="00F524A5" w:rsidRPr="00472687" w:rsidRDefault="00C71855" w:rsidP="00F524A5">
      <w:pPr>
        <w:pStyle w:val="JuPara"/>
      </w:pPr>
      <w:fldSimple w:instr=" SEQ level0 \*arabic \* MERGEFORMAT ">
        <w:bookmarkStart w:id="629" w:name="paragraph00444"/>
        <w:r w:rsidR="00F524A5" w:rsidRPr="00472687">
          <w:t>444</w:t>
        </w:r>
        <w:bookmarkEnd w:id="629"/>
      </w:fldSimple>
      <w:r w:rsidR="00F524A5">
        <w:t xml:space="preserve">. În sfârșit, în ceea ce privește argumentul „picăturii într-un ocean”, ce reiese implicit din observațiile Guvernului – cu alte cuvinte, problema capacității unui anumit stat de a influența schimbările climatice globale – trebuie remarcat faptul că, în contextul obligațiilor pozitive ce revin unui stat în temeiul Convenției, Curtea a afirmat în mod constant că nu este necesar să se stabilească cu certitudine că lucrurile ar fi evoluat diferit dacă autoritățile ar fi adoptat o conduită diferită. Analiza relevantă nu impune să se demonstreze că prejudiciul în cauză nu s-ar fi produs dacă nu ar fi existat o încălcare sau o omisiune din partea autorităților. Ceea ce este important și suficient pentru a angaja responsabilitatea statului este mai degrabă constatarea că măsurile rezonabile pe care s-au abținut să le ia autoritățile naționale ar fi avut o șansă reală de a schimba cursul evenimentelor sau de a atenua prejudiciul cauzat [a se vedea, printre multe altele, </w:t>
      </w:r>
      <w:r w:rsidR="00F524A5">
        <w:rPr>
          <w:i/>
        </w:rPr>
        <w:t>O’Keeffe împotriva Irlandei</w:t>
      </w:r>
      <w:r w:rsidR="00F524A5">
        <w:t xml:space="preserve"> (MC), nr. 35810/09, pct. 149, CEDO 2014 (extrase), și </w:t>
      </w:r>
      <w:r w:rsidR="00F524A5">
        <w:rPr>
          <w:i/>
        </w:rPr>
        <w:t>Baljak și alții împotriva Croației</w:t>
      </w:r>
      <w:r w:rsidR="00F524A5">
        <w:t>, nr. 41295/19, pct. 124, 25 noiembrie 2021, cu trimiterile suplimentare]. În ceea ce privește schimbările climatice, acest principiu trebuie interpretat de asemenea în lumina articolului 3 alineatul (3) din UNFCCC, potrivit căruia statele trebuie să ia măsuri pentru a prevedea, a preveni sau a atenua cauzele schimbărilor climatice și pentru a limita efectele nefaste ale acestora.</w:t>
      </w:r>
    </w:p>
    <w:p w:rsidR="00F524A5" w:rsidRPr="00472687" w:rsidRDefault="00F524A5" w:rsidP="00E72A1B">
      <w:pPr>
        <w:pStyle w:val="JuHa0"/>
        <w:numPr>
          <w:ilvl w:val="4"/>
          <w:numId w:val="51"/>
        </w:numPr>
      </w:pPr>
      <w:bookmarkStart w:id="630" w:name="_Toc199273561"/>
      <w:r>
        <w:t>Cu privire la întinderea aprecierii Curții</w:t>
      </w:r>
      <w:bookmarkEnd w:id="630"/>
    </w:p>
    <w:bookmarkStart w:id="631" w:name="paragraph0044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445</w:t>
      </w:r>
      <w:r w:rsidRPr="00472687">
        <w:fldChar w:fldCharType="end"/>
      </w:r>
      <w:bookmarkEnd w:id="631"/>
      <w:r>
        <w:t>. Curtea a statuat în repetate rânduri că niciun articol din Convenție nu garantează în mod specific protecția generală a mediului ca atare [</w:t>
      </w:r>
      <w:r>
        <w:rPr>
          <w:i/>
        </w:rPr>
        <w:t>Kyrtatos împotriva Greciei</w:t>
      </w:r>
      <w:r>
        <w:t>, nr. 41666/98, pct. 52, CEDO 2003</w:t>
      </w:r>
      <w:r>
        <w:noBreakHyphen/>
        <w:t xml:space="preserve">VI (extrase), și </w:t>
      </w:r>
      <w:r>
        <w:rPr>
          <w:i/>
        </w:rPr>
        <w:t>Cordella și alții</w:t>
      </w:r>
      <w:r>
        <w:t>, citată anterior, pct. 100].</w:t>
      </w:r>
      <w:r>
        <w:rPr>
          <w:rFonts w:ascii="Segoe UI" w:hAnsi="Segoe UI"/>
          <w:color w:val="000000"/>
        </w:rPr>
        <w:t xml:space="preserve"> </w:t>
      </w:r>
      <w:r>
        <w:t>Alte instrumente internaționale și legislațiile naționale reprezintă cadre mai adecvate pentru abordarea acestei probleme privind protecția.</w:t>
      </w:r>
    </w:p>
    <w:bookmarkStart w:id="632" w:name="paragraph0044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446</w:t>
      </w:r>
      <w:r w:rsidRPr="00472687">
        <w:fldChar w:fldCharType="end"/>
      </w:r>
      <w:bookmarkEnd w:id="632"/>
      <w:r>
        <w:t xml:space="preserve">. Este la fel de adevărat că, deseori, Curtea a examinat diverse probleme de mediu cu privire la care se presupunea că au </w:t>
      </w:r>
      <w:r>
        <w:rPr>
          <w:i/>
        </w:rPr>
        <w:t>afectat</w:t>
      </w:r>
      <w:r>
        <w:t xml:space="preserve"> drepturi individuale protejate de Convenție, în special de art. 8 (</w:t>
      </w:r>
      <w:r>
        <w:rPr>
          <w:i/>
        </w:rPr>
        <w:t>Hatton</w:t>
      </w:r>
      <w:r>
        <w:t xml:space="preserve"> </w:t>
      </w:r>
      <w:r>
        <w:rPr>
          <w:i/>
        </w:rPr>
        <w:t>și alții,</w:t>
      </w:r>
      <w:r>
        <w:t xml:space="preserve"> citată anterior, pct. 96).</w:t>
      </w:r>
      <w:r>
        <w:rPr>
          <w:rFonts w:ascii="Segoe UI" w:hAnsi="Segoe UI"/>
          <w:color w:val="000000"/>
        </w:rPr>
        <w:t xml:space="preserve"> </w:t>
      </w:r>
      <w:r>
        <w:t xml:space="preserve">Cu toate acestea, Curtea a explicat că, întrucât sistemul </w:t>
      </w:r>
      <w:r>
        <w:lastRenderedPageBreak/>
        <w:t>Convenției nu recunoaște cererile de tip</w:t>
      </w:r>
      <w:r>
        <w:rPr>
          <w:i/>
        </w:rPr>
        <w:t xml:space="preserve"> actio popularis</w:t>
      </w:r>
      <w:r>
        <w:t xml:space="preserve"> (infra, pct. </w:t>
      </w:r>
      <w:r w:rsidRPr="00472687">
        <w:fldChar w:fldCharType="begin"/>
      </w:r>
      <w:r w:rsidRPr="00472687">
        <w:instrText xml:space="preserve">REF paragraph00460 \h \* CharFormat </w:instrText>
      </w:r>
      <w:r w:rsidRPr="00472687">
        <w:fldChar w:fldCharType="separate"/>
      </w:r>
      <w:r w:rsidRPr="00472687">
        <w:t>460</w:t>
      </w:r>
      <w:r w:rsidRPr="00472687">
        <w:fldChar w:fldCharType="end"/>
      </w:r>
      <w:r>
        <w:t xml:space="preserve">), elementul crucial care permite să se stabilească dacă, în circumstanțele unei cauze, daunele aduse mediului au dus la încălcarea unuia dintre drepturile garantate de Convenție este existența unui efect negativ asupra persoanei în cauză, și nu doar degradarea generală a mediului (a se vedea, de exemplu, </w:t>
      </w:r>
      <w:r>
        <w:rPr>
          <w:i/>
        </w:rPr>
        <w:t>Di Sarno și alții,</w:t>
      </w:r>
      <w:r>
        <w:t xml:space="preserve"> citată anterior, pct. 80</w:t>
      </w:r>
      <w:r>
        <w:noBreakHyphen/>
        <w:t>81).</w:t>
      </w:r>
    </w:p>
    <w:bookmarkStart w:id="633" w:name="paragraph0044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447</w:t>
      </w:r>
      <w:r w:rsidRPr="00472687">
        <w:fldChar w:fldCharType="end"/>
      </w:r>
      <w:bookmarkEnd w:id="633"/>
      <w:r>
        <w:t>. Deși, uneori, Curtea a făcut referire la „dreptul reclamanților [...] de a se bucura de un mediu sănătos și protejat” (</w:t>
      </w:r>
      <w:r>
        <w:rPr>
          <w:i/>
        </w:rPr>
        <w:t>Tătar,</w:t>
      </w:r>
      <w:r>
        <w:t xml:space="preserve"> citată anterior, § 112, și </w:t>
      </w:r>
      <w:r>
        <w:rPr>
          <w:i/>
        </w:rPr>
        <w:t>Di Sarno și alții,</w:t>
      </w:r>
      <w:r>
        <w:t xml:space="preserve"> citată anterior, pct. 110), această formulare nu poate fi înțeleasă fără a ține seama de distincția care trebuie făcută între, pe de o parte, drepturile protejate de Convenție și, pe de altă parte, ponderea preocupărilor legate de mediu în aprecierea scopurilor legitime și în punerea în balanță a drepturilor și a intereselor aflate în joc în contextul aplicării Convenției.</w:t>
      </w:r>
      <w:r>
        <w:rPr>
          <w:rFonts w:ascii="Segoe UI" w:hAnsi="Segoe UI"/>
          <w:color w:val="000000"/>
        </w:rPr>
        <w:t xml:space="preserve"> </w:t>
      </w:r>
      <w:r>
        <w:t>În această privință, în temeiul art. 1 din Protocolul nr. 1, Curtea a afirmat, de exemplu, următoarele (</w:t>
      </w:r>
      <w:r>
        <w:rPr>
          <w:i/>
        </w:rPr>
        <w:t>Turgut și alții împotriva Turciei</w:t>
      </w:r>
      <w:r>
        <w:t>, nr. 1411/03, pct. 90, 8 iulie 2008):</w:t>
      </w:r>
    </w:p>
    <w:p w:rsidR="00F524A5" w:rsidRPr="00472687" w:rsidRDefault="00F524A5" w:rsidP="00F524A5">
      <w:pPr>
        <w:pStyle w:val="JuQuot"/>
        <w:rPr>
          <w:b/>
          <w:bCs/>
        </w:rPr>
      </w:pPr>
      <w:r>
        <w:t>„Societatea de astăzi este din ce în ce mai preocupată de [...] conservarea [mediului] [...] [Curtea] observă că, în mai multe rânduri, a abordat probleme legate de protecția mediului și a subliniat importanța acestui domeniu [...] Protecția naturii și a pădurilor și, mai general, a mediului constituie o valoare a cărei apărare suscită un interes constant și susținut din partea opiniei publice și, prin urmare, din partea autorităților publice.</w:t>
      </w:r>
      <w:r>
        <w:rPr>
          <w:rFonts w:ascii="Segoe UI" w:hAnsi="Segoe UI"/>
          <w:color w:val="000000"/>
        </w:rPr>
        <w:t xml:space="preserve"> </w:t>
      </w:r>
      <w:r>
        <w:t>Imperativelor economice și chiar anumitor drepturi fundamentale, cum ar fi dreptul de proprietate, nu ar trebui să li se acorde întâietate în fața considerentelor legate de protecția mediului [...] ”</w:t>
      </w:r>
    </w:p>
    <w:p w:rsidR="00F524A5" w:rsidRPr="00472687" w:rsidRDefault="00C71855" w:rsidP="00F524A5">
      <w:pPr>
        <w:pStyle w:val="JuPara"/>
      </w:pPr>
      <w:fldSimple w:instr=" SEQ level0 \*arabic \* MERGEFORMAT ">
        <w:r w:rsidR="00F524A5" w:rsidRPr="00472687">
          <w:t>448</w:t>
        </w:r>
      </w:fldSimple>
      <w:r w:rsidR="00F524A5">
        <w:t>. Tot din această dublă perspectivă adoptată până în prezent de Curte în domeniul mediului – pe de o parte, asigurarea protecției drepturilor garantate de Convenție și, pe de altă parte, luarea în considerare în mod corespunzător a preocupărilor legate de mediu în cadrul aprecierii scopurilor legitime și a punerii în balanță a drepturilor și a intereselor aflate în joc în contextul aplicării Convenției – este necesar să se înțeleagă, în lumina Convenției, relevanța inițiativelor internaționale recente în favoarea recunoașterii unui drept fundamental la un mediu curat, sănătos și durabil [a se vedea în special Rezoluția 76/300 a Adunării Generale a Organizației Națiunilor Unite și Recomandarea CM/Rec(2022)20 a Comitetului de Miniștri al Consiliului Europei, ambele citate anterior].</w:t>
      </w:r>
      <w:r w:rsidR="00F524A5">
        <w:rPr>
          <w:rFonts w:ascii="Segoe UI" w:hAnsi="Segoe UI"/>
          <w:color w:val="000000"/>
        </w:rPr>
        <w:t xml:space="preserve"> </w:t>
      </w:r>
      <w:r w:rsidR="00F524A5">
        <w:t>Prin urmare, nu este sarcina Curții să stabilească dacă tendința generală de a recunoaște un astfel de drept dă naștere unei obligații juridice specifice (a se vedea supra, pct. </w:t>
      </w:r>
      <w:r w:rsidR="00F524A5" w:rsidRPr="00472687">
        <w:fldChar w:fldCharType="begin"/>
      </w:r>
      <w:r w:rsidR="00F524A5" w:rsidRPr="00472687">
        <w:instrText xml:space="preserve">REF paragraph00372 \h \* CharFormat </w:instrText>
      </w:r>
      <w:r w:rsidR="00F524A5" w:rsidRPr="00472687">
        <w:fldChar w:fldCharType="separate"/>
      </w:r>
      <w:r w:rsidR="00F524A5" w:rsidRPr="00472687">
        <w:t>372</w:t>
      </w:r>
      <w:r w:rsidR="00F524A5" w:rsidRPr="00472687">
        <w:fldChar w:fldCharType="end"/>
      </w:r>
      <w:r w:rsidR="00F524A5">
        <w:t>, în ceea ce privește argumentele prezentate de guvernul norvegian, în calitate de terț intervenient).</w:t>
      </w:r>
      <w:r w:rsidR="00F524A5">
        <w:rPr>
          <w:b/>
        </w:rPr>
        <w:t xml:space="preserve"> </w:t>
      </w:r>
      <w:r w:rsidR="00F524A5">
        <w:t>O astfel de evoluție se înscrie în cadrul dreptului internațional în lumina căruia Curtea apreciază problemele cu care este sesizată din perspectiva Convenției [</w:t>
      </w:r>
      <w:r w:rsidR="00F524A5">
        <w:rPr>
          <w:i/>
        </w:rPr>
        <w:t xml:space="preserve">Demir și Baykara împotriva Turciei </w:t>
      </w:r>
      <w:r w:rsidR="00F524A5">
        <w:t>(MC),</w:t>
      </w:r>
      <w:r w:rsidR="00F524A5">
        <w:rPr>
          <w:i/>
        </w:rPr>
        <w:t xml:space="preserve">  </w:t>
      </w:r>
      <w:r w:rsidR="00F524A5">
        <w:t>citată anterior, pct. 76], în special în ceea ce privește recunoașterea de către părțile contractante a existenței unei legături strânse între protecția mediului și drepturile omului.</w:t>
      </w:r>
    </w:p>
    <w:p w:rsidR="00F524A5" w:rsidRPr="00472687" w:rsidRDefault="00F524A5" w:rsidP="00F524A5">
      <w:pPr>
        <w:pStyle w:val="JuPara"/>
      </w:pPr>
      <w:r w:rsidRPr="00472687">
        <w:lastRenderedPageBreak/>
        <w:fldChar w:fldCharType="begin"/>
      </w:r>
      <w:r>
        <w:instrText xml:space="preserve"> SEQ level0 \*arabic \* MERGEFORMAT </w:instrText>
      </w:r>
      <w:r w:rsidRPr="00472687">
        <w:fldChar w:fldCharType="separate"/>
      </w:r>
      <w:r w:rsidRPr="00472687">
        <w:t>449</w:t>
      </w:r>
      <w:r w:rsidRPr="00472687">
        <w:fldChar w:fldCharType="end"/>
      </w:r>
      <w:r>
        <w:t>. Curtea este conștientă de faptul că, într-un context precum cel din prezenta cauză, poate fi dificil să se facă o distincție clară între problemele de drept și chestiunile care țin de oportunitățile sau alegerile politice și, prin urmare, ține seama de rolul fundamental subsidiar al mecanismului Convenției, în special având în vedere complexitatea problemelor aflate în joc atunci când este vorba despre adoptarea unor decizii legate de mediu (</w:t>
      </w:r>
      <w:r>
        <w:rPr>
          <w:i/>
        </w:rPr>
        <w:t xml:space="preserve">Dubețka și alții împotriva Ucrainei, </w:t>
      </w:r>
      <w:r>
        <w:t>nr. 30499/03, pct. 142, 10 februarie 2011).</w:t>
      </w:r>
      <w:r>
        <w:rPr>
          <w:rFonts w:ascii="Segoe UI" w:hAnsi="Segoe UI"/>
          <w:color w:val="000000"/>
        </w:rPr>
        <w:t xml:space="preserve"> </w:t>
      </w:r>
      <w:r>
        <w:t>Curtea a subliniat deja că autoritățile naționale se bucură de o legitimitate democratică directă și sunt, în principiu, mai în măsură decât instanța internațională să se pronunțe cu privire la nevoile și contextele relevante.</w:t>
      </w:r>
      <w:r>
        <w:rPr>
          <w:rFonts w:ascii="Segoe UI" w:hAnsi="Segoe UI"/>
          <w:color w:val="000000"/>
        </w:rPr>
        <w:t xml:space="preserve"> </w:t>
      </w:r>
      <w:r>
        <w:t>Atunci când sunt în joc probleme de politică generală sau opțiuni politice asupra cărora pot exista în mod rezonabil divergențe profunde într-un stat democratic, este necesar să se acorde o importanță deosebită rolului decidentului național (</w:t>
      </w:r>
      <w:r>
        <w:rPr>
          <w:i/>
        </w:rPr>
        <w:t>Hatton și alții,</w:t>
      </w:r>
      <w:r>
        <w:t xml:space="preserve"> citată anterior, pct. 97).</w:t>
      </w:r>
    </w:p>
    <w:bookmarkStart w:id="634" w:name="paragraph0045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450</w:t>
      </w:r>
      <w:r w:rsidRPr="00472687">
        <w:fldChar w:fldCharType="end"/>
      </w:r>
      <w:bookmarkEnd w:id="634"/>
      <w:r>
        <w:t>. Totuși, acest lucru nu exclude posibilitatea ca, atunci când capetele de cerere formulate în fața Curții privesc politica statului cu privire la o chestiune care afectează drepturile protejate de Convenție ale unei persoane sau ale unui grup de persoane, această problemă să nu fie doar un aspect ce ține de alegerile politice sau decizionale, fiind totodată o problemă de drept, de interpretare și de aplicare a Convenției.</w:t>
      </w:r>
      <w:r>
        <w:rPr>
          <w:rFonts w:ascii="Segoe UI" w:hAnsi="Segoe UI"/>
          <w:color w:val="000000"/>
        </w:rPr>
        <w:t xml:space="preserve"> </w:t>
      </w:r>
      <w:r>
        <w:t>Într-un astfel de caz, Curtea este competentă să se pronunțe, chiar dacă aceasta ține seama în mare măsură de decidenții naționali și de măsurile care rezultă din procesul democratic în cauză și/sau din controlul efectuat de instanțele naționale. Rezultă că marja de apreciere de care dispun autoritățile naționale nu este nelimitată și că este însoțită de un control la nivel european, efectuat de Curte, care trebuie să se asigure că efectele produse de măsurile puse în aplicare la nivel național sunt compatibile cu Convenția.</w:t>
      </w:r>
    </w:p>
    <w:bookmarkStart w:id="635" w:name="paragraph00451"/>
    <w:p w:rsidR="00F524A5" w:rsidRPr="00472687" w:rsidRDefault="00F524A5" w:rsidP="00F524A5">
      <w:pPr>
        <w:pStyle w:val="JuPara"/>
        <w:rPr>
          <w:rFonts w:ascii="Segoe UI" w:eastAsia="Times New Roman" w:hAnsi="Segoe UI" w:cs="Segoe UI"/>
          <w:color w:val="000000"/>
        </w:rPr>
      </w:pPr>
      <w:r w:rsidRPr="00472687">
        <w:fldChar w:fldCharType="begin"/>
      </w:r>
      <w:r w:rsidRPr="00472687">
        <w:instrText xml:space="preserve"> SEQ level0 \*arabic \* MERGEFORMAT </w:instrText>
      </w:r>
      <w:r w:rsidRPr="00472687">
        <w:fldChar w:fldCharType="separate"/>
      </w:r>
      <w:r w:rsidRPr="00472687">
        <w:t>451</w:t>
      </w:r>
      <w:r w:rsidRPr="00472687">
        <w:fldChar w:fldCharType="end"/>
      </w:r>
      <w:bookmarkEnd w:id="635"/>
      <w:r>
        <w:t>. Din considerațiile precedente rezultă că, în principiu, competența Curții de a soluționa litigiile referitoare la schimbările climatice nu poate să fie exclusă.</w:t>
      </w:r>
      <w:r>
        <w:rPr>
          <w:rFonts w:ascii="Segoe UI" w:hAnsi="Segoe UI"/>
          <w:color w:val="000000"/>
        </w:rPr>
        <w:t xml:space="preserve"> </w:t>
      </w:r>
      <w:r>
        <w:t>Într-adevăr, având în vedere necesitatea de a aborda problema urgentă a amenințării reprezentate de schimbările climatice și ținând seama de consensul general potrivit căruia aceste schimbări climatice sunt o preocupare comună a omenirii (supra, pct. </w:t>
      </w:r>
      <w:r w:rsidRPr="00472687">
        <w:fldChar w:fldCharType="begin"/>
      </w:r>
      <w:r w:rsidRPr="00472687">
        <w:instrText xml:space="preserve">REF paragraph00420 \h \* CharFormat </w:instrText>
      </w:r>
      <w:r w:rsidRPr="00472687">
        <w:fldChar w:fldCharType="separate"/>
      </w:r>
      <w:r w:rsidRPr="00472687">
        <w:t>420</w:t>
      </w:r>
      <w:r w:rsidRPr="00472687">
        <w:fldChar w:fldCharType="end"/>
      </w:r>
      <w:r>
        <w:t xml:space="preserve"> și </w:t>
      </w:r>
      <w:r w:rsidRPr="00472687">
        <w:fldChar w:fldCharType="begin"/>
      </w:r>
      <w:r w:rsidRPr="00472687">
        <w:instrText xml:space="preserve">REF paragraph00436 \h \* CharFormat </w:instrText>
      </w:r>
      <w:r w:rsidRPr="00472687">
        <w:fldChar w:fldCharType="separate"/>
      </w:r>
      <w:r w:rsidRPr="00472687">
        <w:t>436</w:t>
      </w:r>
      <w:r w:rsidRPr="00472687">
        <w:fldChar w:fldCharType="end"/>
      </w:r>
      <w:r>
        <w:t>), argumentul prezentat de raportorii speciali ai ONU - potrivit căruia nu se mai pune problema de a stabili dacă instanțele pentru drepturile omului trebuie să examineze consecințele daunelor aduse mediului asupra exercitării drepturilor omului, ci cum trebuie să procedeze acestea (supra, pct. </w:t>
      </w:r>
      <w:r w:rsidRPr="00472687">
        <w:fldChar w:fldCharType="begin"/>
      </w:r>
      <w:r w:rsidRPr="00472687">
        <w:instrText xml:space="preserve">REF paragraph00379 \h \* CharFormat </w:instrText>
      </w:r>
      <w:r w:rsidRPr="00472687">
        <w:fldChar w:fldCharType="separate"/>
      </w:r>
      <w:r w:rsidRPr="00472687">
        <w:t>379</w:t>
      </w:r>
      <w:r w:rsidRPr="00472687">
        <w:fldChar w:fldCharType="end"/>
      </w:r>
      <w:r>
        <w:t>) - este unul solid.</w:t>
      </w:r>
    </w:p>
    <w:p w:rsidR="00F524A5" w:rsidRPr="00472687" w:rsidRDefault="00F524A5" w:rsidP="00E72A1B">
      <w:pPr>
        <w:pStyle w:val="JuHa0"/>
        <w:numPr>
          <w:ilvl w:val="4"/>
          <w:numId w:val="51"/>
        </w:numPr>
      </w:pPr>
      <w:bookmarkStart w:id="636" w:name="_Toc199273562"/>
      <w:r>
        <w:t>Cu privire la principiile relevante de interpretare a Convenției</w:t>
      </w:r>
      <w:bookmarkEnd w:id="636"/>
    </w:p>
    <w:bookmarkStart w:id="637" w:name="paragraph00452"/>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452</w:t>
      </w:r>
      <w:r w:rsidRPr="00472687">
        <w:fldChar w:fldCharType="end"/>
      </w:r>
      <w:bookmarkEnd w:id="637"/>
      <w:r>
        <w:t xml:space="preserve">. Principiile jurisprudențiale consacrate de interpretare a Convenției, în calitate de tratat internațional, au fost rezumate de Curte în hotărârile pronunțate în cauzele </w:t>
      </w:r>
      <w:r>
        <w:rPr>
          <w:i/>
        </w:rPr>
        <w:t xml:space="preserve">Magyar Helsinki Bizottság împotriva Ungariei </w:t>
      </w:r>
      <w:r>
        <w:t>[(MC), nr. 18030/11, pct. 118-125, 8 noiembrie 2016, cu trimiterile suplimentare], și</w:t>
      </w:r>
      <w:r>
        <w:rPr>
          <w:i/>
        </w:rPr>
        <w:t xml:space="preserve"> </w:t>
      </w:r>
      <w:r>
        <w:rPr>
          <w:i/>
        </w:rPr>
        <w:lastRenderedPageBreak/>
        <w:t>Slovenia împotriva Croației</w:t>
      </w:r>
      <w:r>
        <w:t xml:space="preserve"> [(dec.) (MC), nr 54155/16, pct. 60,</w:t>
      </w:r>
      <w:r>
        <w:rPr>
          <w:i/>
        </w:rPr>
        <w:t xml:space="preserve"> </w:t>
      </w:r>
      <w:r>
        <w:t>18 noiembrie 2020].</w:t>
      </w:r>
    </w:p>
    <w:p w:rsidR="00F524A5" w:rsidRPr="00472687" w:rsidRDefault="00C71855" w:rsidP="00F524A5">
      <w:pPr>
        <w:pStyle w:val="JuPara"/>
      </w:pPr>
      <w:fldSimple w:instr=" SEQ level0 \*arabic \* MERGEFORMAT ">
        <w:r w:rsidR="00F524A5" w:rsidRPr="00472687">
          <w:t>453</w:t>
        </w:r>
      </w:fldSimple>
      <w:r w:rsidR="00F524A5">
        <w:t>. Curtea trebuie să răspundă preocupărilor exprimate de Guvernul pârât cu privire la o interpretare armonioasă și evolutivă a Convenției în lumina direcțiilor pe care le iau normele și principiile dreptului internațional al mediului (supra, pct. </w:t>
      </w:r>
      <w:r w:rsidR="00F524A5" w:rsidRPr="00472687">
        <w:fldChar w:fldCharType="begin"/>
      </w:r>
      <w:r w:rsidR="00F524A5" w:rsidRPr="00472687">
        <w:instrText xml:space="preserve">REF paragraph00352 \h \* CharFormat </w:instrText>
      </w:r>
      <w:r w:rsidR="00F524A5" w:rsidRPr="00472687">
        <w:fldChar w:fldCharType="separate"/>
      </w:r>
      <w:r w:rsidR="00F524A5" w:rsidRPr="00472687">
        <w:t>352</w:t>
      </w:r>
      <w:r w:rsidR="00F524A5" w:rsidRPr="00472687">
        <w:fldChar w:fldCharType="end"/>
      </w:r>
      <w:r w:rsidR="00F524A5">
        <w:t xml:space="preserve"> și </w:t>
      </w:r>
      <w:r w:rsidR="00F524A5" w:rsidRPr="00472687">
        <w:fldChar w:fldCharType="begin"/>
      </w:r>
      <w:r w:rsidR="00F524A5" w:rsidRPr="00472687">
        <w:instrText xml:space="preserve">REF paragraph00355 \h \* CharFormat </w:instrText>
      </w:r>
      <w:r w:rsidR="00F524A5" w:rsidRPr="00472687">
        <w:fldChar w:fldCharType="separate"/>
      </w:r>
      <w:r w:rsidR="00F524A5" w:rsidRPr="00472687">
        <w:t>355</w:t>
      </w:r>
      <w:r w:rsidR="00F524A5" w:rsidRPr="00472687">
        <w:fldChar w:fldCharType="end"/>
      </w:r>
      <w:r w:rsidR="00F524A5">
        <w:t>). Conform opiniei Guvernului pârât, susținută de majoritatea guvernelor interveniente, principiile interpretării armonioase și evolutive a Convenției nu trebuie să fie folosite pentru a justifica interpretarea Convenției ca fiind un mecanism internațional de control jurisdicțional în domeniul schimbărilor climatice</w:t>
      </w:r>
      <w:r w:rsidR="00F524A5">
        <w:rPr>
          <w:b/>
        </w:rPr>
        <w:t xml:space="preserve"> </w:t>
      </w:r>
      <w:r w:rsidR="00F524A5">
        <w:t>și pentru a transforma drepturile consacrate în Convenție în drepturi menite să combată acest fenomen (supra, pct. </w:t>
      </w:r>
      <w:r w:rsidR="00F524A5" w:rsidRPr="00472687">
        <w:fldChar w:fldCharType="begin"/>
      </w:r>
      <w:r w:rsidR="00F524A5" w:rsidRPr="00472687">
        <w:instrText xml:space="preserve">REF paragraph00366 \h \* CharFormat </w:instrText>
      </w:r>
      <w:r w:rsidR="00F524A5" w:rsidRPr="00472687">
        <w:fldChar w:fldCharType="separate"/>
      </w:r>
      <w:r w:rsidR="00F524A5" w:rsidRPr="00472687">
        <w:t>366</w:t>
      </w:r>
      <w:r w:rsidR="00F524A5" w:rsidRPr="00472687">
        <w:fldChar w:fldCharType="end"/>
      </w:r>
      <w:r w:rsidR="00F524A5">
        <w:t xml:space="preserve">, </w:t>
      </w:r>
      <w:r w:rsidR="00F524A5" w:rsidRPr="00472687">
        <w:rPr>
          <w:b/>
        </w:rPr>
        <w:fldChar w:fldCharType="begin"/>
      </w:r>
      <w:r w:rsidR="00F524A5" w:rsidRPr="00472687">
        <w:instrText xml:space="preserve">REF paragraph00368 \h \* CharFormat </w:instrText>
      </w:r>
      <w:r w:rsidR="00F524A5" w:rsidRPr="00472687">
        <w:rPr>
          <w:b/>
        </w:rPr>
      </w:r>
      <w:r w:rsidR="00F524A5" w:rsidRPr="00472687">
        <w:rPr>
          <w:b/>
        </w:rPr>
        <w:fldChar w:fldCharType="separate"/>
      </w:r>
      <w:r w:rsidR="00F524A5" w:rsidRPr="00472687">
        <w:t>368</w:t>
      </w:r>
      <w:r w:rsidR="00F524A5" w:rsidRPr="00472687">
        <w:rPr>
          <w:b/>
        </w:rPr>
        <w:fldChar w:fldCharType="end"/>
      </w:r>
      <w:r w:rsidR="00F524A5">
        <w:t xml:space="preserve">, </w:t>
      </w:r>
      <w:r w:rsidR="00F524A5" w:rsidRPr="00472687">
        <w:fldChar w:fldCharType="begin"/>
      </w:r>
      <w:r w:rsidR="00F524A5" w:rsidRPr="00472687">
        <w:instrText xml:space="preserve">REF paragraph00371 \h \* CharFormat </w:instrText>
      </w:r>
      <w:r w:rsidR="00F524A5" w:rsidRPr="00472687">
        <w:fldChar w:fldCharType="separate"/>
      </w:r>
      <w:r w:rsidR="00F524A5" w:rsidRPr="00472687">
        <w:t>371</w:t>
      </w:r>
      <w:r w:rsidR="00F524A5" w:rsidRPr="00472687">
        <w:fldChar w:fldCharType="end"/>
      </w:r>
      <w:r w:rsidR="00F524A5">
        <w:noBreakHyphen/>
      </w:r>
      <w:r w:rsidR="00F524A5" w:rsidRPr="00472687">
        <w:fldChar w:fldCharType="begin"/>
      </w:r>
      <w:r w:rsidR="00F524A5" w:rsidRPr="00472687">
        <w:instrText xml:space="preserve">REF paragraph00373 \h \* CharFormat </w:instrText>
      </w:r>
      <w:r w:rsidR="00F524A5" w:rsidRPr="00472687">
        <w:fldChar w:fldCharType="separate"/>
      </w:r>
      <w:r w:rsidR="00F524A5" w:rsidRPr="00472687">
        <w:t>373</w:t>
      </w:r>
      <w:r w:rsidR="00F524A5" w:rsidRPr="00472687">
        <w:fldChar w:fldCharType="end"/>
      </w:r>
      <w:r w:rsidR="00F524A5">
        <w:t xml:space="preserve"> și </w:t>
      </w:r>
      <w:r w:rsidR="00F524A5" w:rsidRPr="00472687">
        <w:fldChar w:fldCharType="begin"/>
      </w:r>
      <w:r w:rsidR="00F524A5" w:rsidRPr="00472687">
        <w:instrText xml:space="preserve">REF paragraph00375 \h \* CharFormat </w:instrText>
      </w:r>
      <w:r w:rsidR="00F524A5" w:rsidRPr="00472687">
        <w:fldChar w:fldCharType="separate"/>
      </w:r>
      <w:r w:rsidR="00F524A5" w:rsidRPr="00472687">
        <w:t>375</w:t>
      </w:r>
      <w:r w:rsidR="00F524A5" w:rsidRPr="00472687">
        <w:fldChar w:fldCharType="end"/>
      </w:r>
      <w:r w:rsidR="00F524A5">
        <w:t>).</w:t>
      </w:r>
    </w:p>
    <w:p w:rsidR="00F524A5" w:rsidRPr="00472687" w:rsidRDefault="00C71855" w:rsidP="00F524A5">
      <w:pPr>
        <w:pStyle w:val="JuPara"/>
      </w:pPr>
      <w:fldSimple w:instr=" SEQ level0 \*arabic \* MERGEFORMAT ">
        <w:r w:rsidR="00F524A5" w:rsidRPr="00472687">
          <w:t>454</w:t>
        </w:r>
      </w:fldSimple>
      <w:r w:rsidR="00F524A5">
        <w:t>. Curtea reamintește că are doar competența de a controla respectarea Convenției.</w:t>
      </w:r>
      <w:r w:rsidR="00F524A5">
        <w:rPr>
          <w:rFonts w:ascii="Segoe UI" w:hAnsi="Segoe UI"/>
          <w:color w:val="000000"/>
        </w:rPr>
        <w:t xml:space="preserve"> </w:t>
      </w:r>
      <w:r w:rsidR="00F524A5">
        <w:t>Astfel, Curtea are misiunea de a interpreta și de a aplica Convenția.</w:t>
      </w:r>
      <w:r w:rsidR="00F524A5">
        <w:rPr>
          <w:rFonts w:ascii="Segoe UI" w:hAnsi="Segoe UI"/>
          <w:color w:val="000000"/>
        </w:rPr>
        <w:t xml:space="preserve"> </w:t>
      </w:r>
      <w:r w:rsidR="00F524A5">
        <w:t>Curtea nu are competența de a controla respectarea altor tratate internaționale sau obligații internaționale care nu decurg din Convenție.</w:t>
      </w:r>
      <w:r w:rsidR="00F524A5">
        <w:rPr>
          <w:rFonts w:ascii="Segoe UI" w:hAnsi="Segoe UI"/>
          <w:color w:val="000000"/>
        </w:rPr>
        <w:t xml:space="preserve"> </w:t>
      </w:r>
      <w:r w:rsidR="00F524A5">
        <w:t>Astfel, Curtea a subliniat că, deși alte instrumente pot oferi o protecție mai extinsă decât Convenția, aceasta nu este obligată să respecte interpretările date unor instrumente similare de către alte organisme, întrucât dispozițiile acestor alte instrumente internaționale și/sau rolul organismelor responsabile cu verificarea aplicării lor pot fi diferite de dispozițiile Convenției și de rolul Curții (</w:t>
      </w:r>
      <w:r w:rsidR="00F524A5">
        <w:rPr>
          <w:i/>
        </w:rPr>
        <w:t>Caamaño Valle împotriva Spaniei</w:t>
      </w:r>
      <w:r w:rsidR="00F524A5">
        <w:t>, nr. 43564/17, pct. 53</w:t>
      </w:r>
      <w:r w:rsidR="00F524A5">
        <w:noBreakHyphen/>
        <w:t>54, 11 mai 2021, cu trimiterile suplimentare).</w:t>
      </w:r>
    </w:p>
    <w:bookmarkStart w:id="638" w:name="paragraph0045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455</w:t>
      </w:r>
      <w:r w:rsidRPr="00472687">
        <w:fldChar w:fldCharType="end"/>
      </w:r>
      <w:bookmarkEnd w:id="638"/>
      <w:r>
        <w:t>. Este la fel de adevărat că, în interpretarea și aplicarea drepturilor protejate de Convenție, Curtea poate și trebuie să țină seama nu doar de elementele de fapt și de evoluția circumstanțelor care afectează exercitarea drepturilor în cauză, ci și de instrumentele juridice relevante elaborate de comunitatea internațională pentru a răspunde acestor elemente.</w:t>
      </w:r>
      <w:r>
        <w:rPr>
          <w:rFonts w:ascii="Segoe UI" w:hAnsi="Segoe UI"/>
          <w:color w:val="000000"/>
        </w:rPr>
        <w:t xml:space="preserve"> </w:t>
      </w:r>
      <w:r>
        <w:t>Curtea a statuat în mod constant că, în măsura posibilului, Convenția trebuie să fie interpretată astfel încât să fie conformă cu alte norme de drept internațional (</w:t>
      </w:r>
      <w:r>
        <w:rPr>
          <w:i/>
        </w:rPr>
        <w:t>ibidem</w:t>
      </w:r>
      <w:r>
        <w:t>). În plus, în cazul în care Curtea nu ar menține o abordare dinamică și evolutivă, ar exista riscul ca o astfel de atitudine să împiedice orice reformă sau îmbunătățire [</w:t>
      </w:r>
      <w:r>
        <w:rPr>
          <w:i/>
        </w:rPr>
        <w:t>Fedotova și alții împotriva Rusiei </w:t>
      </w:r>
      <w:r>
        <w:t>(MC), nr. 40792/10 și alte 2 cereri, pct. 167, 17 ianuarie 2023]</w:t>
      </w:r>
      <w:r>
        <w:rPr>
          <w:i/>
        </w:rPr>
        <w:t>.</w:t>
      </w:r>
    </w:p>
    <w:p w:rsidR="00F524A5" w:rsidRPr="00472687" w:rsidRDefault="00C71855" w:rsidP="00F524A5">
      <w:pPr>
        <w:pStyle w:val="JuPara"/>
      </w:pPr>
      <w:fldSimple w:instr=" SEQ level0 \*arabic \* MERGEFORMAT ">
        <w:r w:rsidR="00F524A5" w:rsidRPr="00472687">
          <w:t>456</w:t>
        </w:r>
      </w:fldSimple>
      <w:r w:rsidR="00F524A5">
        <w:t xml:space="preserve">. Curtea nu poate ignora existența unor dovezi științifice foarte îngrijorătoare și consensul internațional în creștere cu privire la efectele grave ale schimbărilor climatice asupra exercitării drepturilor omului (supra, pct. </w:t>
      </w:r>
      <w:r w:rsidR="00F524A5" w:rsidRPr="00472687">
        <w:fldChar w:fldCharType="begin"/>
      </w:r>
      <w:r w:rsidR="00F524A5" w:rsidRPr="00472687">
        <w:instrText xml:space="preserve">REF paragraph00436 \h \* CharFormat </w:instrText>
      </w:r>
      <w:r w:rsidR="00F524A5" w:rsidRPr="00472687">
        <w:fldChar w:fldCharType="separate"/>
      </w:r>
      <w:r w:rsidR="00F524A5" w:rsidRPr="00472687">
        <w:t>436</w:t>
      </w:r>
      <w:r w:rsidR="00F524A5" w:rsidRPr="00472687">
        <w:fldChar w:fldCharType="end"/>
      </w:r>
      <w:r w:rsidR="00F524A5">
        <w:t>).</w:t>
      </w:r>
      <w:r w:rsidR="00F524A5">
        <w:rPr>
          <w:rFonts w:ascii="Segoe UI" w:hAnsi="Segoe UI"/>
          <w:color w:val="000000"/>
        </w:rPr>
        <w:t xml:space="preserve"> </w:t>
      </w:r>
      <w:r w:rsidR="00F524A5">
        <w:t>Acest considerent se referă în special la consensul ce decurge din mecanismele de drept internațional la care statele membre au aderat în mod voluntar și din obligațiile și angajamentele aferente pe care și le-au asumat (</w:t>
      </w:r>
      <w:r w:rsidR="00F524A5">
        <w:rPr>
          <w:i/>
        </w:rPr>
        <w:t>Demir și Baykara,</w:t>
      </w:r>
      <w:r w:rsidR="00F524A5">
        <w:t xml:space="preserve"> citată anterior, pct. 85</w:t>
      </w:r>
      <w:r w:rsidR="00F524A5">
        <w:noBreakHyphen/>
        <w:t xml:space="preserve">86; a se compara cu </w:t>
      </w:r>
      <w:r w:rsidR="00F524A5">
        <w:rPr>
          <w:i/>
        </w:rPr>
        <w:t>Guberina împotriva Croației</w:t>
      </w:r>
      <w:r w:rsidR="00F524A5">
        <w:t>, nr. 23682/13, pct. 92, 22 martie 2016), în special în temeiul Acordului de la Paris.</w:t>
      </w:r>
      <w:r w:rsidR="00F524A5">
        <w:rPr>
          <w:rFonts w:ascii="Segoe UI" w:hAnsi="Segoe UI"/>
          <w:color w:val="000000"/>
        </w:rPr>
        <w:t xml:space="preserve"> </w:t>
      </w:r>
      <w:r w:rsidR="00F524A5">
        <w:t xml:space="preserve">Curtea trebuie să țină seama de aceste elemente </w:t>
      </w:r>
      <w:r w:rsidR="00F524A5">
        <w:lastRenderedPageBreak/>
        <w:t>de apreciere atunci când efectuează analiza sa din perspectiva Convenției (supra, pct. </w:t>
      </w:r>
      <w:r w:rsidR="00F524A5" w:rsidRPr="00472687">
        <w:fldChar w:fldCharType="begin"/>
      </w:r>
      <w:r w:rsidR="00F524A5" w:rsidRPr="00472687">
        <w:instrText xml:space="preserve">REF paragraph00445 \h \* CharFormat </w:instrText>
      </w:r>
      <w:r w:rsidR="00F524A5" w:rsidRPr="00472687">
        <w:fldChar w:fldCharType="separate"/>
      </w:r>
      <w:r w:rsidR="00F524A5" w:rsidRPr="00472687">
        <w:t>445</w:t>
      </w:r>
      <w:r w:rsidR="00F524A5" w:rsidRPr="00472687">
        <w:fldChar w:fldCharType="end"/>
      </w:r>
      <w:r w:rsidR="00F524A5">
        <w:noBreakHyphen/>
      </w:r>
      <w:r w:rsidR="00F524A5" w:rsidRPr="00472687">
        <w:fldChar w:fldCharType="begin"/>
      </w:r>
      <w:r w:rsidR="00F524A5" w:rsidRPr="00472687">
        <w:instrText xml:space="preserve">REF paragraph00451 \h \* CharFormat </w:instrText>
      </w:r>
      <w:r w:rsidR="00F524A5" w:rsidRPr="00472687">
        <w:fldChar w:fldCharType="separate"/>
      </w:r>
      <w:r w:rsidR="00F524A5" w:rsidRPr="00472687">
        <w:t>451</w:t>
      </w:r>
      <w:r w:rsidR="00F524A5" w:rsidRPr="00472687">
        <w:fldChar w:fldCharType="end"/>
      </w:r>
      <w:r w:rsidR="00F524A5">
        <w:t>).</w:t>
      </w:r>
    </w:p>
    <w:p w:rsidR="00F524A5" w:rsidRPr="00472687" w:rsidRDefault="00C71855" w:rsidP="00F524A5">
      <w:pPr>
        <w:pStyle w:val="JuPara"/>
      </w:pPr>
      <w:fldSimple w:instr=" SEQ level0 \*arabic \* MERGEFORMAT ">
        <w:r w:rsidR="00F524A5" w:rsidRPr="00472687">
          <w:t>457</w:t>
        </w:r>
      </w:fldSimple>
      <w:r w:rsidR="00F524A5">
        <w:t>. În același timp, aceasta trebuie să țină seama și de caracterul subsidiar al rolului său, precum și de dubla necesitate de a lăsa statelor contractante o marjă de apreciere în ceea ce privește punerea în aplicare a politicilor și măsurilor de combatere a schimbărilor climatice și de a respecta în mod corespunzător principiile constituționale aplicabile, în special cele referitoare la separarea puterilor.</w:t>
      </w:r>
    </w:p>
    <w:p w:rsidR="00F524A5" w:rsidRPr="00472687" w:rsidRDefault="00F524A5" w:rsidP="00E72A1B">
      <w:pPr>
        <w:pStyle w:val="JuH1"/>
        <w:numPr>
          <w:ilvl w:val="3"/>
          <w:numId w:val="51"/>
        </w:numPr>
      </w:pPr>
      <w:bookmarkStart w:id="639" w:name="_Toc199273563"/>
      <w:r>
        <w:t>Cu privire la admisibilitate</w:t>
      </w:r>
      <w:bookmarkEnd w:id="639"/>
    </w:p>
    <w:p w:rsidR="00F524A5" w:rsidRPr="00472687" w:rsidRDefault="00F524A5" w:rsidP="00E72A1B">
      <w:pPr>
        <w:pStyle w:val="JuHa0"/>
        <w:numPr>
          <w:ilvl w:val="4"/>
          <w:numId w:val="51"/>
        </w:numPr>
      </w:pPr>
      <w:bookmarkStart w:id="640" w:name="_Toc199273564"/>
      <w:r>
        <w:t>Calitatea de victimă/calitatea procesuală (reprezentare)</w:t>
      </w:r>
      <w:bookmarkEnd w:id="640"/>
    </w:p>
    <w:bookmarkStart w:id="641" w:name="paragraph0045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458</w:t>
      </w:r>
      <w:r w:rsidRPr="00472687">
        <w:fldChar w:fldCharType="end"/>
      </w:r>
      <w:bookmarkEnd w:id="641"/>
      <w:r>
        <w:t xml:space="preserve">. În general, din jurisprudența Curții reies trei modalități posibile de examinare a existenței calității de victimă în temeiul art. 34 din Convenție. Această problemă poate fi examinată ca o chestiune preliminară distinctă în cauză [a se vedea, de exemplu, </w:t>
      </w:r>
      <w:r>
        <w:rPr>
          <w:i/>
        </w:rPr>
        <w:t>S.A.S. împotriva Franței</w:t>
      </w:r>
      <w:r>
        <w:t xml:space="preserve"> (MC), nr. 43835/11, pct. 53-58, CEDO 2014 (extrase)]; poate fi examinată în cadrul aprecierii aplicabilității dispoziției relevante din Convenție [a se vedea, de exemplu, </w:t>
      </w:r>
      <w:r>
        <w:rPr>
          <w:i/>
        </w:rPr>
        <w:t>Greenpeace e.V. și alții împotriva Germaniei</w:t>
      </w:r>
      <w:r>
        <w:t xml:space="preserve"> (dec.), nr. 18215/06, 12 mai 2009]; de asemenea, aceasta poate fi considerată ca fiind „strâns legată” de chestiunile care trebuie examinate pe fond și, prin urmare, poate fi conexată cu examinarea pe fond a capătului de cerere [a se vedea, de exemplu, </w:t>
      </w:r>
      <w:r>
        <w:rPr>
          <w:i/>
        </w:rPr>
        <w:t>Hirsi Jamaa și alții împotriva Italiei</w:t>
      </w:r>
      <w:r>
        <w:t xml:space="preserve"> (MC), nr. 27765/09, pct. 111, CEDO 2012].</w:t>
      </w:r>
    </w:p>
    <w:bookmarkStart w:id="642" w:name="paragraph00459"/>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459</w:t>
      </w:r>
      <w:r w:rsidRPr="00472687">
        <w:fldChar w:fldCharType="end"/>
      </w:r>
      <w:bookmarkEnd w:id="642"/>
      <w:r>
        <w:t>. Din motive de claritate metodologică și având în vedere faptul că problema calității de victimă este unul dintre aspectele esențiale ale cauzelor referitoare la schimbările climatice, Curtea consideră că este necesar ca, în acest stadiu, să expună separat principiile generale referitoare la această chestiune. Cu toate acestea, având în vedere existența unei legături strânse între calitatea de victimă și aplicabilitatea dispozițiilor relevante ale Convenției (pct. </w:t>
      </w:r>
      <w:r w:rsidRPr="00472687">
        <w:fldChar w:fldCharType="begin"/>
      </w:r>
      <w:r w:rsidRPr="00472687">
        <w:instrText xml:space="preserve">REF paragraph00513 \h \* CharFormat  \* MERGEFORMAT </w:instrText>
      </w:r>
      <w:r w:rsidRPr="00472687">
        <w:fldChar w:fldCharType="separate"/>
      </w:r>
      <w:r w:rsidRPr="00472687">
        <w:t>513</w:t>
      </w:r>
      <w:r w:rsidRPr="00472687">
        <w:fldChar w:fldCharType="end"/>
      </w:r>
      <w:r>
        <w:t xml:space="preserve"> și </w:t>
      </w:r>
      <w:r w:rsidRPr="00472687">
        <w:fldChar w:fldCharType="begin"/>
      </w:r>
      <w:r w:rsidRPr="00472687">
        <w:instrText xml:space="preserve">REF paragraph00519 \h \* CharFormat  \* MERGEFORMAT </w:instrText>
      </w:r>
      <w:r w:rsidRPr="00472687">
        <w:fldChar w:fldCharType="separate"/>
      </w:r>
      <w:r w:rsidRPr="00472687">
        <w:t>519</w:t>
      </w:r>
      <w:r w:rsidRPr="00472687">
        <w:fldChar w:fldCharType="end"/>
      </w:r>
      <w:r>
        <w:t>), problema dacă reclamantele din speță au calitatea de victimă va fi examinată de Curte concomitent cu aplicabilitatea art. 2 și 8 din Convenție.</w:t>
      </w:r>
    </w:p>
    <w:p w:rsidR="00F524A5" w:rsidRPr="00472687" w:rsidRDefault="00F524A5" w:rsidP="00E72A1B">
      <w:pPr>
        <w:pStyle w:val="JuHi"/>
        <w:numPr>
          <w:ilvl w:val="5"/>
          <w:numId w:val="51"/>
        </w:numPr>
        <w:tabs>
          <w:tab w:val="clear" w:pos="1077"/>
          <w:tab w:val="clear" w:pos="1134"/>
          <w:tab w:val="clear" w:pos="1191"/>
          <w:tab w:val="clear" w:pos="1247"/>
        </w:tabs>
        <w:ind w:left="1276" w:hanging="425"/>
      </w:pPr>
      <w:bookmarkStart w:id="643" w:name="_Toc199273565"/>
      <w:r>
        <w:t>Principii generale</w:t>
      </w:r>
      <w:bookmarkEnd w:id="643"/>
    </w:p>
    <w:bookmarkStart w:id="644" w:name="paragraph0046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460</w:t>
      </w:r>
      <w:r w:rsidRPr="00472687">
        <w:fldChar w:fldCharType="end"/>
      </w:r>
      <w:bookmarkEnd w:id="644"/>
      <w:r>
        <w:t xml:space="preserve">. Convenția nu recunoaște </w:t>
      </w:r>
      <w:r>
        <w:rPr>
          <w:i/>
        </w:rPr>
        <w:t>actio popularis.</w:t>
      </w:r>
      <w:r>
        <w:t xml:space="preserve"> În mod normal, Curtea nu are sarcina de a examina </w:t>
      </w:r>
      <w:r>
        <w:rPr>
          <w:i/>
          <w:iCs/>
        </w:rPr>
        <w:t>in abstracto</w:t>
      </w:r>
      <w:r>
        <w:t xml:space="preserve"> legislația și practica relevante, ci de a verifica dacă modul în care acestea au fost aplicate reclamantului sau modul în care l-au afectat a dus la o încălcare a Convenției [a se vedea, de exemplu, </w:t>
      </w:r>
      <w:r>
        <w:rPr>
          <w:i/>
        </w:rPr>
        <w:t xml:space="preserve">Roman Zaharov împotriva Rusiei </w:t>
      </w:r>
      <w:r>
        <w:t xml:space="preserve">(MC), nr. 47143/06, pct. 164, CEDO 2015, cu trimiterile suplimentare]. Prin urmare, o persoană fizică, o organizație neguvernamentală sau un grup de persoane trebuie să poată pretinde că este victima unei încălcări a drepturilor recunoscute prin Convenție. Convenția nu le permite unor persoane sau grupuri de persoane să se plângă de o dispoziție </w:t>
      </w:r>
      <w:r>
        <w:lastRenderedPageBreak/>
        <w:t>din dreptul intern pentru simplul motiv că, deși nu le-a afectat în mod direct, consideră că aceasta încalcă Convenția [</w:t>
      </w:r>
      <w:r>
        <w:rPr>
          <w:i/>
        </w:rPr>
        <w:t>Aksu împotriva Turciei</w:t>
      </w:r>
      <w:r>
        <w:t xml:space="preserve"> (MC), nr. 4149/04 și 41029/04, pct. 50</w:t>
      </w:r>
      <w:r>
        <w:noBreakHyphen/>
        <w:t>51, CEDO 2012].</w:t>
      </w:r>
    </w:p>
    <w:bookmarkStart w:id="645" w:name="paragraph0046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461</w:t>
      </w:r>
      <w:r w:rsidRPr="00472687">
        <w:fldChar w:fldCharType="end"/>
      </w:r>
      <w:bookmarkEnd w:id="645"/>
      <w:r>
        <w:t>. Curtea a subliniat în repetate rânduri că criteriul calității de victimă nu poate fi aplicat în mod rigid, mecanic și inflexibil [</w:t>
      </w:r>
      <w:r>
        <w:rPr>
          <w:i/>
        </w:rPr>
        <w:t>Albert și alții împotriva Ungariei</w:t>
      </w:r>
      <w:r>
        <w:t xml:space="preserve"> (MC), nr. 5294/14, pct. 121, 7 iulie 2020]. În plus, noțiunea de victimă evocată la art. 34 trebuie, la fel ca și celelalte dispoziții ale Convenției, să facă obiectul unei interpretări evolutive, în lumina condițiilor de viață actuale [</w:t>
      </w:r>
      <w:r>
        <w:rPr>
          <w:i/>
        </w:rPr>
        <w:t xml:space="preserve">Gorraiz Lizarraga </w:t>
      </w:r>
      <w:r>
        <w:rPr>
          <w:i/>
          <w:iCs/>
        </w:rPr>
        <w:t>și alții</w:t>
      </w:r>
      <w:r>
        <w:t xml:space="preserve">, citată anterior, pct. 38, și </w:t>
      </w:r>
      <w:r>
        <w:rPr>
          <w:i/>
        </w:rPr>
        <w:t xml:space="preserve">Yusufeli İlçesini Güzelleştirme Yaşatma Kültür Varlıklarını Koruma Derneği împotriva Turciei </w:t>
      </w:r>
      <w:r>
        <w:t>(dec.), nr. 37857/14, pct. 39, 7 decembrie 2021]. În acest context, Curtea a subliniat că o abordare prea formalistă a noțiunii de victimă ar face ineficientă și iluzorie protecția drepturilor garantate de Convenție (</w:t>
      </w:r>
      <w:r>
        <w:rPr>
          <w:i/>
        </w:rPr>
        <w:t>Gorraiz Lizarraga și alții,</w:t>
      </w:r>
      <w:r>
        <w:t xml:space="preserve"> citată anterior, pct. 38).</w:t>
      </w:r>
    </w:p>
    <w:bookmarkStart w:id="646" w:name="paragraph00462"/>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462</w:t>
      </w:r>
      <w:r w:rsidRPr="00472687">
        <w:fldChar w:fldCharType="end"/>
      </w:r>
      <w:bookmarkEnd w:id="646"/>
      <w:r>
        <w:t>. Curtea interpretează noțiunea de victimă în mod autonom și independent de noțiunile interne, precum cele privind interesul sau calitatea procesuală, chiar dacă aceasta trebuie să țină seama de faptul că reclamantul a fost parte la procedura internă (</w:t>
      </w:r>
      <w:r>
        <w:rPr>
          <w:i/>
        </w:rPr>
        <w:t>Aksu</w:t>
      </w:r>
      <w:r>
        <w:t>, citată anterior, pct. 52). În plus, existența calității de victimă nu implică în mod necesar existența unui prejudiciu [</w:t>
      </w:r>
      <w:r>
        <w:rPr>
          <w:i/>
        </w:rPr>
        <w:t>Brumărescu împotriva României</w:t>
      </w:r>
      <w:r>
        <w:t xml:space="preserve"> (MC), nr. 28342/95, pct. 50, CEDO 1999</w:t>
      </w:r>
      <w:r>
        <w:noBreakHyphen/>
        <w:t>VII].</w:t>
      </w:r>
    </w:p>
    <w:bookmarkStart w:id="647" w:name="paragraph00463"/>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463</w:t>
      </w:r>
      <w:r w:rsidRPr="00472687">
        <w:fldChar w:fldCharType="end"/>
      </w:r>
      <w:bookmarkEnd w:id="647"/>
      <w:r>
        <w:t>. În general, termenul „victimă”, în sensul art. 34, se referă la următoarele categorii de persoane [</w:t>
      </w:r>
      <w:bookmarkStart w:id="648" w:name="_cl3246"/>
      <w:r>
        <w:rPr>
          <w:i/>
          <w:iCs/>
        </w:rPr>
        <w:t>Centrul de Resurse Juridice în numele lui Valentin Câmpeanu împotriva României</w:t>
      </w:r>
      <w:bookmarkEnd w:id="648"/>
      <w:r>
        <w:t xml:space="preserve"> (MC), nr. 47848/08, pct. 96</w:t>
      </w:r>
      <w:r>
        <w:noBreakHyphen/>
        <w:t xml:space="preserve">101, CEDO 2014]: persoanele afectate </w:t>
      </w:r>
      <w:r>
        <w:rPr>
          <w:i/>
          <w:iCs/>
        </w:rPr>
        <w:t>direct</w:t>
      </w:r>
      <w:r>
        <w:t xml:space="preserve"> de (pretinsa) încălcare a Convenției (victimele directe), persoane afectate </w:t>
      </w:r>
      <w:r>
        <w:rPr>
          <w:i/>
          <w:iCs/>
        </w:rPr>
        <w:t xml:space="preserve">indirect </w:t>
      </w:r>
      <w:r>
        <w:t xml:space="preserve">de (pretinsa) încălcare a Convenției (victimele indirecte) și persoane </w:t>
      </w:r>
      <w:r>
        <w:rPr>
          <w:i/>
          <w:iCs/>
        </w:rPr>
        <w:t xml:space="preserve">potențial </w:t>
      </w:r>
      <w:r>
        <w:t xml:space="preserve">afectate de (pretinsa) încălcare a Convenției (victimele potențiale). În hotărârea </w:t>
      </w:r>
      <w:r>
        <w:rPr>
          <w:i/>
        </w:rPr>
        <w:t>Mansur Yalçın și alții împotriva Turciei</w:t>
      </w:r>
      <w:r>
        <w:t xml:space="preserve"> (nr. 21163/11, pct. 40 </w:t>
      </w:r>
      <w:r>
        <w:rPr>
          <w:i/>
        </w:rPr>
        <w:t>in fine</w:t>
      </w:r>
      <w:r>
        <w:t>, 16 septembrie 2014), Curtea a observat că, în orice caz, indiferent dacă victima este directă, indirectă sau potențială, trebuie să existe o legătură între reclamant și prejudiciul pe care acesta consideră că l-a suferit ca urmare a pretinsei încălcări.</w:t>
      </w:r>
    </w:p>
    <w:p w:rsidR="00F524A5" w:rsidRPr="00472687" w:rsidRDefault="00C71855" w:rsidP="00F524A5">
      <w:pPr>
        <w:pStyle w:val="JuPara"/>
      </w:pPr>
      <w:fldSimple w:instr=" SEQ level0 \*arabic \* MERGEFORMAT ">
        <w:r w:rsidR="00F524A5" w:rsidRPr="00472687">
          <w:t>464</w:t>
        </w:r>
      </w:fldSimple>
      <w:r w:rsidR="00F524A5">
        <w:t>. Curtea reamintește că trebuie să se facă distincție între calitatea de victimă și calitatea procesuală. Aceasta din urmă privește aspecte</w:t>
      </w:r>
      <w:r w:rsidR="00F524A5">
        <w:rPr>
          <w:b/>
        </w:rPr>
        <w:t xml:space="preserve"> </w:t>
      </w:r>
      <w:r w:rsidR="00F524A5">
        <w:t>legate de</w:t>
      </w:r>
      <w:r w:rsidR="00F524A5">
        <w:rPr>
          <w:b/>
        </w:rPr>
        <w:t xml:space="preserve"> </w:t>
      </w:r>
      <w:r w:rsidR="00F524A5">
        <w:t>reprezentarea</w:t>
      </w:r>
      <w:r w:rsidR="00F524A5">
        <w:rPr>
          <w:b/>
        </w:rPr>
        <w:t xml:space="preserve"> </w:t>
      </w:r>
      <w:r w:rsidR="00F524A5">
        <w:t>victimelor (directe) în fața Curții și, prin urmare, poate fi calificată și drept „reprezentare” (</w:t>
      </w:r>
      <w:r w:rsidR="00F524A5">
        <w:rPr>
          <w:i/>
          <w:iCs/>
        </w:rPr>
        <w:t>Centrul de Resurse Juridice în numele lui Valentin Câmpeanu</w:t>
      </w:r>
      <w:r w:rsidR="00F524A5">
        <w:rPr>
          <w:i/>
        </w:rPr>
        <w:t>,</w:t>
      </w:r>
      <w:r w:rsidR="00F524A5">
        <w:t xml:space="preserve"> citată anterior, pct. 102</w:t>
      </w:r>
      <w:r w:rsidR="00F524A5">
        <w:noBreakHyphen/>
        <w:t>103).</w:t>
      </w:r>
    </w:p>
    <w:p w:rsidR="00F524A5" w:rsidRPr="00472687" w:rsidRDefault="00F524A5" w:rsidP="00F524A5">
      <w:pPr>
        <w:pStyle w:val="JuHalpha"/>
        <w:numPr>
          <w:ilvl w:val="6"/>
          <w:numId w:val="1"/>
        </w:numPr>
        <w:tabs>
          <w:tab w:val="clear" w:pos="1361"/>
        </w:tabs>
        <w:ind w:left="1701" w:hanging="425"/>
      </w:pPr>
      <w:bookmarkStart w:id="649" w:name="paragraph00465"/>
      <w:r>
        <w:t>Calitatea de victimă a persoanelor</w:t>
      </w:r>
    </w:p>
    <w:p w:rsidR="00F524A5" w:rsidRPr="00472687" w:rsidRDefault="00C71855" w:rsidP="00F524A5">
      <w:pPr>
        <w:pStyle w:val="JuPara"/>
      </w:pPr>
      <w:fldSimple w:instr=" SEQ level0 \*arabic \* MERGEFORMAT ">
        <w:r w:rsidR="00F524A5" w:rsidRPr="00472687">
          <w:t>465</w:t>
        </w:r>
      </w:fldSimple>
      <w:bookmarkEnd w:id="649"/>
      <w:r w:rsidR="00F524A5">
        <w:t>. Pentru a se încadra în categoria victimelor directe, reclamantul trebuie să poată demonstra că a „suferit în mod direct efectele” măsurii</w:t>
      </w:r>
      <w:r w:rsidR="00F524A5">
        <w:rPr>
          <w:b/>
        </w:rPr>
        <w:t xml:space="preserve"> </w:t>
      </w:r>
      <w:r w:rsidR="00F524A5">
        <w:t>în litigiu [</w:t>
      </w:r>
      <w:r w:rsidR="00F524A5">
        <w:rPr>
          <w:i/>
          <w:iCs/>
        </w:rPr>
        <w:t xml:space="preserve">Lambert </w:t>
      </w:r>
      <w:r w:rsidR="00F524A5">
        <w:rPr>
          <w:i/>
        </w:rPr>
        <w:t xml:space="preserve">și alții împotriva Franței </w:t>
      </w:r>
      <w:r w:rsidR="00F524A5">
        <w:t xml:space="preserve">(MC), nr. 46043/14, pct. 89, CEDO 2015 (extrase)]. Aceasta implică faptul că a fost afectat personal și efectiv de </w:t>
      </w:r>
      <w:r w:rsidR="00F524A5">
        <w:lastRenderedPageBreak/>
        <w:t xml:space="preserve">(pretinsa) încălcare a Convenției, care rezultă, de regulă, dintr-o măsură de aplicare a legii relevante sau dintr-o decizie considerată contrară Convenției sau, în anumite cazuri, din acțiunile sau omisiunile autorităților statului sau ale părților private despre care se pretinde că au încălcat drepturile reclamantului prevăzute de Convenție (a se vedea, de exemplu, </w:t>
      </w:r>
      <w:r w:rsidR="00F524A5">
        <w:rPr>
          <w:i/>
        </w:rPr>
        <w:t>Aksu</w:t>
      </w:r>
      <w:r w:rsidR="00F524A5">
        <w:t xml:space="preserve">, citată anterior, pct. 51; a se vedea și </w:t>
      </w:r>
      <w:r w:rsidR="00F524A5">
        <w:rPr>
          <w:i/>
        </w:rPr>
        <w:t>Karner împotriva Austriei</w:t>
      </w:r>
      <w:r w:rsidR="00F524A5">
        <w:t>, nr. 40016/98, pct. 24</w:t>
      </w:r>
      <w:r w:rsidR="00F524A5">
        <w:noBreakHyphen/>
        <w:t>25, CEDO 2003</w:t>
      </w:r>
      <w:r w:rsidR="00F524A5">
        <w:noBreakHyphen/>
        <w:t xml:space="preserve">IX, și </w:t>
      </w:r>
      <w:r w:rsidR="00F524A5">
        <w:rPr>
          <w:i/>
        </w:rPr>
        <w:t>Berger</w:t>
      </w:r>
      <w:r w:rsidR="00F524A5">
        <w:rPr>
          <w:i/>
        </w:rPr>
        <w:noBreakHyphen/>
        <w:t>Krall și alții împotriva Sloveniei</w:t>
      </w:r>
      <w:r w:rsidR="00F524A5">
        <w:t>, nr. 14717/04, pct. 258, 12 iunie 2014).</w:t>
      </w:r>
    </w:p>
    <w:bookmarkStart w:id="650" w:name="paragraph0046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466</w:t>
      </w:r>
      <w:r w:rsidRPr="00472687">
        <w:fldChar w:fldCharType="end"/>
      </w:r>
      <w:bookmarkEnd w:id="650"/>
      <w:r>
        <w:t xml:space="preserve">. Totuși, aceasta nu înseamnă în mod necesar că persoana în cauză trebuie să fi fost afectată personal de omisiunea sau de acțiunea în litigiu. Ceea ce contează este dacă respectiva conduită l-a afectat personal și direct (a se vedea, de exemplu, </w:t>
      </w:r>
      <w:r>
        <w:rPr>
          <w:i/>
        </w:rPr>
        <w:t>Aksu</w:t>
      </w:r>
      <w:r>
        <w:t>, citată anterior, pct. 51</w:t>
      </w:r>
      <w:r>
        <w:noBreakHyphen/>
        <w:t>54).</w:t>
      </w:r>
    </w:p>
    <w:p w:rsidR="00F524A5" w:rsidRPr="00472687" w:rsidRDefault="00C71855" w:rsidP="00F524A5">
      <w:pPr>
        <w:pStyle w:val="JuPara"/>
        <w:rPr>
          <w:b/>
          <w:bCs/>
        </w:rPr>
      </w:pPr>
      <w:fldSimple w:instr=" SEQ level0 \*arabic \* MERGEFORMAT ">
        <w:r w:rsidR="00F524A5" w:rsidRPr="00472687">
          <w:t>467</w:t>
        </w:r>
      </w:fldSimple>
      <w:r w:rsidR="00F524A5">
        <w:t>. Chestiunile referitoare la categoria</w:t>
      </w:r>
      <w:r w:rsidR="00F524A5">
        <w:rPr>
          <w:i/>
        </w:rPr>
        <w:t xml:space="preserve"> </w:t>
      </w:r>
      <w:r w:rsidR="00F524A5">
        <w:t>victimelor indirecte privesc, de obicei, calitatea unei rude a victimei directe de a introduce sau de a menține, în fața Curții, o cerere privind problemele care afectează victima directă (</w:t>
      </w:r>
      <w:r w:rsidR="00F524A5">
        <w:rPr>
          <w:i/>
          <w:iCs/>
        </w:rPr>
        <w:t>Centrul de Resurse Juridice în numele lui Valentin Câmpeanu</w:t>
      </w:r>
      <w:r w:rsidR="00F524A5">
        <w:rPr>
          <w:i/>
        </w:rPr>
        <w:t>,</w:t>
      </w:r>
      <w:r w:rsidR="00F524A5">
        <w:t xml:space="preserve"> citată anterior, pct. 97-100, cu trimiterile suplimentare).</w:t>
      </w:r>
    </w:p>
    <w:bookmarkStart w:id="651" w:name="paragraph0046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468</w:t>
      </w:r>
      <w:r w:rsidRPr="00472687">
        <w:fldChar w:fldCharType="end"/>
      </w:r>
      <w:bookmarkEnd w:id="651"/>
      <w:r>
        <w:t>. Potrivit jurisprudenței constante a Curții, „art. 34 vizează nu doar victima sau victimele directe ale pretinsei încălcări, ci și orice victimă indirectă căreia această încălcare i-ar cauza un prejudiciu sau care ar avea un interes personal valabil pentru încetarea încălcării” [</w:t>
      </w:r>
      <w:r>
        <w:rPr>
          <w:i/>
        </w:rPr>
        <w:t>Vallianatos și alții împotriva Greciei</w:t>
      </w:r>
      <w:r>
        <w:t xml:space="preserve"> (MC), nr. 29381/09 și 32684/09, pct. 47, CEDO 2013 (extrase), cu trimiterile suplimentare]. Astfel, victimele indirecte trebuie să demonstreze existența unui „efect</w:t>
      </w:r>
      <w:r>
        <w:rPr>
          <w:b/>
        </w:rPr>
        <w:t xml:space="preserve"> </w:t>
      </w:r>
      <w:r>
        <w:t>de ricoșeu”,</w:t>
      </w:r>
      <w:r>
        <w:rPr>
          <w:b/>
        </w:rPr>
        <w:t xml:space="preserve"> </w:t>
      </w:r>
      <w:r>
        <w:t>creat de încălcarea despre care se pretinde că afectează o persoană (victima directă) asupra drepturilor prevăzute de Convenție ale unei alte persoane (victima indirectă), pentru ca aceasta din urmă să poată stabili existența unui prejudiciu sau a unui interes personal legitim de a se pune capăt situației incriminate.</w:t>
      </w:r>
    </w:p>
    <w:bookmarkStart w:id="652" w:name="paragraph00469"/>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469</w:t>
      </w:r>
      <w:r w:rsidRPr="00472687">
        <w:fldChar w:fldCharType="end"/>
      </w:r>
      <w:bookmarkEnd w:id="652"/>
      <w:r>
        <w:t xml:space="preserve">. În jurisprudență, pot fi identificate două tipuri de victime potențiale [a se vedea, de exemplu, </w:t>
      </w:r>
      <w:r>
        <w:rPr>
          <w:i/>
        </w:rPr>
        <w:t>Senator Lines GmbH împotriva Austriei, Belgiei, Danemarcei, Finlandei, Franței, Germaniei, Greciei, Irlandei, Italiei, Luxemburgului, Țărilor de Jos, Portugaliei, Spaniei, Suediei și Regatului Unit </w:t>
      </w:r>
      <w:r>
        <w:t>(dec.) (MC), nr. 56672/00, CEDO 2004</w:t>
      </w:r>
      <w:r>
        <w:noBreakHyphen/>
        <w:t>IV]. Primul tip include persoanele care pretind că sunt afectate efectiv de o anumită măsură legislativă generală. Curtea a precizat că poate admite existența calității de victimă atunci când un reclamant susține că o lege îi încalcă drepturile, în lipsa unui act individual de executare, dacă acesta aparține unei categorii de persoane expuse riscului de a fi afectate în mod direct de efectele legislației sau dacă este obligat să își schimbe comportamentul sub sancțiunea urmăririi penale [</w:t>
      </w:r>
      <w:r>
        <w:rPr>
          <w:i/>
        </w:rPr>
        <w:t xml:space="preserve">Tănase împotriva Moldovei </w:t>
      </w:r>
      <w:r>
        <w:t xml:space="preserve">(MC), nr. 7/08, pct. 104, CEDO 2010, și </w:t>
      </w:r>
      <w:r>
        <w:rPr>
          <w:i/>
        </w:rPr>
        <w:t>Sejdić și Finci</w:t>
      </w:r>
      <w:r>
        <w:t>, citată anterior, pct. 28].</w:t>
      </w:r>
    </w:p>
    <w:bookmarkStart w:id="653" w:name="paragraph0047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470</w:t>
      </w:r>
      <w:r w:rsidRPr="00472687">
        <w:fldChar w:fldCharType="end"/>
      </w:r>
      <w:bookmarkEnd w:id="653"/>
      <w:r>
        <w:t xml:space="preserve">. Al doilea tip privește persoanele care susțin că există riscul să fie afectate cândva în viitor. Curtea a precizat că exercitarea dreptului de a introduce o cerere individuală nu poate avea ca scop prevenirea unei încălcări </w:t>
      </w:r>
      <w:r>
        <w:lastRenderedPageBreak/>
        <w:t xml:space="preserve">a Convenției și că, în principiu, poate examina o încălcare doar </w:t>
      </w:r>
      <w:r>
        <w:rPr>
          <w:i/>
        </w:rPr>
        <w:t>a posteriori,</w:t>
      </w:r>
      <w:r>
        <w:t xml:space="preserve"> atunci când aceasta a avut deja loc. Numai în circumstanțe cu totul excepționale riscul unei încălcări viitoare poate să confere totuși unui reclamant calitatea de victimă a unei încălcări a Convenției (</w:t>
      </w:r>
      <w:r>
        <w:rPr>
          <w:i/>
        </w:rPr>
        <w:t>Berger-Krall</w:t>
      </w:r>
      <w:r>
        <w:t xml:space="preserve"> </w:t>
      </w:r>
      <w:r>
        <w:rPr>
          <w:i/>
        </w:rPr>
        <w:t>și alții,</w:t>
      </w:r>
      <w:r>
        <w:t xml:space="preserve"> citată anterior, pct. 258, cu trimiterile suplimentare). În general, criteriul relevant care permite examinarea existenței acestui tip de calitate de victimă este următorul:</w:t>
      </w:r>
      <w:r>
        <w:rPr>
          <w:b/>
        </w:rPr>
        <w:t xml:space="preserve"> </w:t>
      </w:r>
      <w:r>
        <w:t>reclamantul trebuie să prezinte probe plauzibile și convingătoare cu privire la probabilitatea producerii unei încălcări ale cărei efecte le-ar suporta personal, simple suspiciuni sau presupuneri nefiind suficiente în această privință [</w:t>
      </w:r>
      <w:r>
        <w:rPr>
          <w:i/>
        </w:rPr>
        <w:t>Asselbourg și alții împotriva Luxemburgului</w:t>
      </w:r>
      <w:r>
        <w:t xml:space="preserve"> (dec), 29121/95, CEDO 1999-VI, și </w:t>
      </w:r>
      <w:r>
        <w:rPr>
          <w:i/>
        </w:rPr>
        <w:t>Senator</w:t>
      </w:r>
      <w:r>
        <w:t xml:space="preserve"> </w:t>
      </w:r>
      <w:r>
        <w:rPr>
          <w:i/>
        </w:rPr>
        <w:t>Lines GmbH,</w:t>
      </w:r>
      <w:r>
        <w:t xml:space="preserve"> decizie citată anterior].</w:t>
      </w:r>
    </w:p>
    <w:bookmarkStart w:id="654" w:name="paragraph0047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471</w:t>
      </w:r>
      <w:r w:rsidRPr="00472687">
        <w:fldChar w:fldCharType="end"/>
      </w:r>
      <w:bookmarkEnd w:id="654"/>
      <w:r>
        <w:t xml:space="preserve">. Termenul „potențial” se referă, așadar, în anumite circumstanțe, la victimele care afirmă că sunt sau că au fost afectate de măsura generală în litigiu și, în alte circumstanțe, la victimele care susțin că o astfel de măsură le-ar putea afecta în viitor. În unele cazuri, aceste două tipuri de situații pot coexista sau poate fi dificil să se facă distincție între ele (a se vedea, de exemplu, </w:t>
      </w:r>
      <w:r>
        <w:rPr>
          <w:i/>
        </w:rPr>
        <w:t>Tănase,</w:t>
      </w:r>
      <w:r>
        <w:t xml:space="preserve"> citată anterior, pct. 108), iar principiile jurisprudențiale relevante se pot aplica în mod interschimbabil [a se vedea, de exemplu, </w:t>
      </w:r>
      <w:r>
        <w:rPr>
          <w:i/>
        </w:rPr>
        <w:t>Shortall și alții împotriva Irlandei </w:t>
      </w:r>
      <w:r>
        <w:t>(dec.), nr. 50272/18, pct. 50</w:t>
      </w:r>
      <w:r>
        <w:noBreakHyphen/>
        <w:t>61, 19 octombrie 2021].</w:t>
      </w:r>
    </w:p>
    <w:p w:rsidR="00F524A5" w:rsidRPr="00472687" w:rsidRDefault="00C71855" w:rsidP="00F524A5">
      <w:pPr>
        <w:pStyle w:val="JuPara"/>
      </w:pPr>
      <w:fldSimple w:instr=" SEQ level0 \*arabic \* MERGEFORMAT ">
        <w:r w:rsidR="00F524A5" w:rsidRPr="00472687">
          <w:t>472</w:t>
        </w:r>
      </w:fldSimple>
      <w:r w:rsidR="00F524A5">
        <w:t>. În domeniul mediului, Curtea a considerat că nu este suficient ca reclamantul să invoce o atingere generală adusă mediului (</w:t>
      </w:r>
      <w:r w:rsidR="00F524A5">
        <w:rPr>
          <w:i/>
        </w:rPr>
        <w:t>Di Sarno și alții,</w:t>
      </w:r>
      <w:r w:rsidR="00F524A5">
        <w:t xml:space="preserve"> citată anterior, pct. 80). Potrivit jurisprudenței sale actuale în acest domeniu, pentru a pretinde că are calitatea de victimă, reclamantul trebuie să demonstreze că suferă efectele daunei sau ale riscului de mediu denunțat. Criteriile pe care se întemeiază Curtea pentru a recunoaște calitatea de victimă țin seama în special de factori precum pragul minim de gravitate a prejudiciului în cauză, durata acestui prejudiciu și existența unei legături suficiente cu reclamantul sau cu reclamanții, inclusiv, în anumite cazuri, proximitatea geografică dintre locuința persoanei în cauză și dauna adusă mediului în litigiu [a se vedea, de exemplu, </w:t>
      </w:r>
      <w:r w:rsidR="00F524A5">
        <w:rPr>
          <w:i/>
        </w:rPr>
        <w:t>Tătar,</w:t>
      </w:r>
      <w:r w:rsidR="00F524A5">
        <w:t xml:space="preserve"> citată anterior, pct. 95</w:t>
      </w:r>
      <w:r w:rsidR="00F524A5">
        <w:noBreakHyphen/>
        <w:t xml:space="preserve">97, </w:t>
      </w:r>
      <w:r w:rsidR="00F524A5">
        <w:rPr>
          <w:i/>
        </w:rPr>
        <w:t>Greenpeace e.V. și alții</w:t>
      </w:r>
      <w:r w:rsidR="00F524A5">
        <w:t xml:space="preserve">, citată anterior, </w:t>
      </w:r>
      <w:r w:rsidR="00F524A5">
        <w:rPr>
          <w:i/>
        </w:rPr>
        <w:t xml:space="preserve">Caron și alții împotriva Franței </w:t>
      </w:r>
      <w:r w:rsidR="00F524A5">
        <w:t xml:space="preserve">(dec.), nr. 48629/08, 29 iunie 2010, </w:t>
      </w:r>
      <w:r w:rsidR="00F524A5">
        <w:rPr>
          <w:i/>
        </w:rPr>
        <w:t>Hardy și Maile</w:t>
      </w:r>
      <w:r w:rsidR="00F524A5">
        <w:t>, citată anterior, pct. 190</w:t>
      </w:r>
      <w:r w:rsidR="00F524A5">
        <w:noBreakHyphen/>
        <w:t xml:space="preserve">192, </w:t>
      </w:r>
      <w:r w:rsidR="00F524A5">
        <w:rPr>
          <w:i/>
        </w:rPr>
        <w:t>Cordella și alții</w:t>
      </w:r>
      <w:r w:rsidR="00F524A5">
        <w:t>, citată anterior, pct. 104</w:t>
      </w:r>
      <w:r w:rsidR="00F524A5">
        <w:noBreakHyphen/>
        <w:t xml:space="preserve">108, și </w:t>
      </w:r>
      <w:r w:rsidR="00F524A5">
        <w:rPr>
          <w:i/>
        </w:rPr>
        <w:t>Pavlov și alții</w:t>
      </w:r>
      <w:r w:rsidR="00F524A5">
        <w:t>, citată anterior, pct. 64</w:t>
      </w:r>
      <w:r w:rsidR="00F524A5">
        <w:noBreakHyphen/>
        <w:t>70].</w:t>
      </w:r>
    </w:p>
    <w:p w:rsidR="00F524A5" w:rsidRPr="00472687" w:rsidRDefault="00F524A5" w:rsidP="00F524A5">
      <w:pPr>
        <w:pStyle w:val="JuHalpha"/>
        <w:numPr>
          <w:ilvl w:val="6"/>
          <w:numId w:val="1"/>
        </w:numPr>
        <w:tabs>
          <w:tab w:val="clear" w:pos="1361"/>
        </w:tabs>
        <w:ind w:left="1701" w:hanging="567"/>
      </w:pPr>
      <w:r>
        <w:t>Calitatea procesuală (reprezentare) a asociațiilor</w:t>
      </w:r>
    </w:p>
    <w:p w:rsidR="00F524A5" w:rsidRPr="00472687" w:rsidRDefault="00C71855" w:rsidP="00F524A5">
      <w:pPr>
        <w:pStyle w:val="JuPara"/>
      </w:pPr>
      <w:fldSimple w:instr=" SEQ level0 \*arabic \* MERGEFORMAT ">
        <w:r w:rsidR="00F524A5" w:rsidRPr="00472687">
          <w:t>473</w:t>
        </w:r>
      </w:fldSimple>
      <w:r w:rsidR="00F524A5">
        <w:t>. Potrivit jurisprudenței Curții, o asociație nu poate să invoce, în principiu, considerente de sănătate pentru a susține existența unei încălcări a art. 8 (</w:t>
      </w:r>
      <w:r w:rsidR="00F524A5">
        <w:rPr>
          <w:i/>
        </w:rPr>
        <w:t>Greenpeace e.V.</w:t>
      </w:r>
      <w:r w:rsidR="00F524A5">
        <w:t xml:space="preserve"> </w:t>
      </w:r>
      <w:r w:rsidR="00F524A5">
        <w:rPr>
          <w:i/>
        </w:rPr>
        <w:t>și alții,</w:t>
      </w:r>
      <w:r w:rsidR="00F524A5">
        <w:t xml:space="preserve"> decizie citată anterior) și, în general, nu se poate plânge de efecte nocive sau probleme de mediu cu care doar persoanele fizice se pot confrunta [</w:t>
      </w:r>
      <w:r w:rsidR="00F524A5">
        <w:rPr>
          <w:i/>
        </w:rPr>
        <w:t>Besseau și alții împotriva Franței</w:t>
      </w:r>
      <w:r w:rsidR="00F524A5">
        <w:t xml:space="preserve"> (dec.), nr. 58432/00, 7 februarie 2006].</w:t>
      </w:r>
    </w:p>
    <w:bookmarkStart w:id="655" w:name="paragraph00474"/>
    <w:p w:rsidR="00F524A5" w:rsidRPr="00472687" w:rsidRDefault="00F524A5" w:rsidP="00F524A5">
      <w:pPr>
        <w:pStyle w:val="JuPara"/>
      </w:pPr>
      <w:r w:rsidRPr="00472687">
        <w:lastRenderedPageBreak/>
        <w:fldChar w:fldCharType="begin"/>
      </w:r>
      <w:r w:rsidRPr="00472687">
        <w:instrText xml:space="preserve"> SEQ level0 \*arabic \* MERGEFORMAT </w:instrText>
      </w:r>
      <w:r w:rsidRPr="00472687">
        <w:fldChar w:fldCharType="separate"/>
      </w:r>
      <w:r w:rsidRPr="00472687">
        <w:t>474</w:t>
      </w:r>
      <w:r w:rsidRPr="00472687">
        <w:fldChar w:fldCharType="end"/>
      </w:r>
      <w:bookmarkEnd w:id="655"/>
      <w:r>
        <w:t>. Recent, într-un context legat de mediu, Curtea a formulat următorul raționament cu privire la calitatea de victimă a asociațiilor (</w:t>
      </w:r>
      <w:r>
        <w:rPr>
          <w:i/>
        </w:rPr>
        <w:t>Yusufeli İlçesini Güzelleştirme Yaşatma Kültür Varlıklarını Koruma Derneği</w:t>
      </w:r>
      <w:r>
        <w:t>, decizie citată anterior, pct. 41):</w:t>
      </w:r>
    </w:p>
    <w:p w:rsidR="00F524A5" w:rsidRPr="00472687" w:rsidRDefault="00F524A5" w:rsidP="00F524A5">
      <w:pPr>
        <w:pStyle w:val="JuQuot"/>
      </w:pPr>
      <w:r>
        <w:t xml:space="preserve">„Primul motiv privește interzicerea introducerii unei </w:t>
      </w:r>
      <w:r>
        <w:rPr>
          <w:i/>
          <w:iCs/>
        </w:rPr>
        <w:t>actio popularis</w:t>
      </w:r>
      <w:r>
        <w:t xml:space="preserve"> în temeiul sistemului Convenției; cu alte cuvinte, un reclamant nu poate introduce o acțiune în interes public sau general</w:t>
      </w:r>
      <w:r>
        <w:rPr>
          <w:b/>
        </w:rPr>
        <w:t xml:space="preserve"> </w:t>
      </w:r>
      <w:r>
        <w:t xml:space="preserve">dacă măsura sau actul în litigiu nu îl afectează în mod direct. Rezultă că, pentru a putea pretinde că este victima unei încălcări, reclamantul trebuie să prezinte probe plauzibile și convingătoare cu privire la probabilitatea producerii unei încălcări ale cărei efecte le-ar suporta personal, simple suspiciuni sau presupuneri nefiind suficiente în această privință [...] Al doilea motiv este legat de natura dreptului convențional care este în joc și de modul în care acesta a fost invocat de asociația reclamantă în cauză. Anumite drepturi garantate de Convenție, precum cele protejate de art. 2, 3 și 5, dată fiind natura lor, nu pot fi exercitate de o asociație, ci doar de membrii acesteia [...]  În decizia </w:t>
      </w:r>
      <w:r>
        <w:rPr>
          <w:i/>
        </w:rPr>
        <w:t>Asselbourg și alții</w:t>
      </w:r>
      <w:r>
        <w:t xml:space="preserve"> (citată anterior), atunci când a refuzat să îi acorde asociației reclamante calitatea de victimă, Curtea a observat că aceasta din urmă nu putea acționa decât în calitate de reprezentant al membrilor săi sau al salariaților săi, la fel cum, de exemplu, un avocat își reprezintă clientul, dar nu poate pretinde că este victima unei încălcări a art. 8. ”</w:t>
      </w:r>
    </w:p>
    <w:p w:rsidR="00F524A5" w:rsidRPr="00472687" w:rsidRDefault="00C71855" w:rsidP="00F524A5">
      <w:pPr>
        <w:pStyle w:val="JuPara"/>
      </w:pPr>
      <w:fldSimple w:instr=" SEQ level0 \*arabic \* MERGEFORMAT ">
        <w:r w:rsidR="00F524A5" w:rsidRPr="00472687">
          <w:t>475</w:t>
        </w:r>
      </w:fldSimple>
      <w:r w:rsidR="00F524A5">
        <w:t>. Deși, în mod obișnuit, Curtea nu acordă calitatea de victimă unei asociații în absența unei măsuri care o afectează în mod direct, chiar dacă ar putea fi în joc interesele membrilor săi, uneori pot exista „anumite considerații” care justifică reprezentarea de către o asociație a unor persoane chiar și în lipsa unei astfel de măsuri.</w:t>
      </w:r>
    </w:p>
    <w:p w:rsidR="00F524A5" w:rsidRPr="00472687" w:rsidRDefault="00C71855" w:rsidP="00F524A5">
      <w:pPr>
        <w:pStyle w:val="JuPara"/>
      </w:pPr>
      <w:fldSimple w:instr=" SEQ level0 \*arabic \* MERGEFORMAT ">
        <w:r w:rsidR="00F524A5" w:rsidRPr="00472687">
          <w:t>476</w:t>
        </w:r>
      </w:fldSimple>
      <w:r w:rsidR="00F524A5">
        <w:t xml:space="preserve">. Astfel, în hotărârea </w:t>
      </w:r>
      <w:r w:rsidR="00F524A5">
        <w:rPr>
          <w:i/>
          <w:iCs/>
        </w:rPr>
        <w:t>Centrul de Resurse Juridice în numele lui Valentin Câmpeanu</w:t>
      </w:r>
      <w:r w:rsidR="00F524A5">
        <w:t xml:space="preserve"> (citată anterior, pct. 103 și 105), Curtea a statuat că pot exista „anumite considerații” care permit să se admită formularea cererilor de către alte persoane în numele victimelor, în lipsa unui mandat specific. Aceasta a subliniat că hotărârile sale „nu servesc doar pentru soluționarea cauzelor în care a fost sesizată, ci, în sens mai larg, pentru a «clarifica, proteja și dezvolta normele Convenției și, astfel, pentru a contribui la respectarea, de către state, a angajamentelor pe care și le-au asumat în calitate de părți contractante»”. În același timp, aceasta a afirmat că este conștientă de necesitatea de a se asigura că sunt interpretate într-un mod coerent condițiile de admisibilitate care trebuie îndeplinite.</w:t>
      </w:r>
    </w:p>
    <w:bookmarkStart w:id="656" w:name="paragraph0047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477</w:t>
      </w:r>
      <w:r w:rsidRPr="00472687">
        <w:fldChar w:fldCharType="end"/>
      </w:r>
      <w:bookmarkEnd w:id="656"/>
      <w:r>
        <w:t xml:space="preserve">. Pe baza principiilor jurisprudențiale pe care le-a enunțat în hotărârea </w:t>
      </w:r>
      <w:r>
        <w:rPr>
          <w:i/>
        </w:rPr>
        <w:t>Centrul de resurse juridice în numele lui Valentin Câmpeanu,</w:t>
      </w:r>
      <w:r>
        <w:t xml:space="preserve"> aceasta a recunoscut, într-o serie de cauze similare, calitatea procesuală a asociațiilor de a introduce și/sau de a menține cereri în numele unor victime directe, chiar și în cazul în care victima ar fi putut să depună ea însăși o plângere în timpul vieții sale</w:t>
      </w:r>
      <w:r>
        <w:rPr>
          <w:i/>
        </w:rPr>
        <w:t xml:space="preserve"> (Asociația pentru Apărarea Drepturilor Omului în România – Comitetul Helsinki în numele lui Ionel Garcea împotriva României, </w:t>
      </w:r>
      <w:r>
        <w:t>nr. 2959/11, pct. 42</w:t>
      </w:r>
      <w:r>
        <w:noBreakHyphen/>
        <w:t>46, 24 martie 2015).</w:t>
      </w:r>
    </w:p>
    <w:p w:rsidR="00F524A5" w:rsidRPr="00472687" w:rsidRDefault="00F524A5" w:rsidP="00E72A1B">
      <w:pPr>
        <w:pStyle w:val="JuHi"/>
        <w:numPr>
          <w:ilvl w:val="5"/>
          <w:numId w:val="51"/>
        </w:numPr>
        <w:tabs>
          <w:tab w:val="clear" w:pos="1077"/>
          <w:tab w:val="clear" w:pos="1134"/>
          <w:tab w:val="clear" w:pos="1191"/>
          <w:tab w:val="clear" w:pos="1247"/>
        </w:tabs>
        <w:ind w:left="1276" w:hanging="425"/>
      </w:pPr>
      <w:bookmarkStart w:id="657" w:name="_Toc199273566"/>
      <w:r>
        <w:lastRenderedPageBreak/>
        <w:t>Calitatea de victimă/calitatea procesuală în contextul schimbărilor climatice</w:t>
      </w:r>
      <w:bookmarkEnd w:id="657"/>
    </w:p>
    <w:p w:rsidR="00F524A5" w:rsidRPr="00472687" w:rsidRDefault="00F524A5" w:rsidP="00F524A5">
      <w:pPr>
        <w:pStyle w:val="JuHalpha"/>
        <w:numPr>
          <w:ilvl w:val="6"/>
          <w:numId w:val="31"/>
        </w:numPr>
        <w:tabs>
          <w:tab w:val="clear" w:pos="1361"/>
        </w:tabs>
        <w:ind w:left="1701" w:hanging="567"/>
      </w:pPr>
      <w:r>
        <w:t>Calitatea de victimă a persoanelor</w:t>
      </w:r>
    </w:p>
    <w:bookmarkStart w:id="658" w:name="paragraph0047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478</w:t>
      </w:r>
      <w:r w:rsidRPr="00472687">
        <w:fldChar w:fldCharType="end"/>
      </w:r>
      <w:bookmarkEnd w:id="658"/>
      <w:r>
        <w:t>. Curtea observă că există dovezi științifice</w:t>
      </w:r>
      <w:r>
        <w:rPr>
          <w:b/>
        </w:rPr>
        <w:t xml:space="preserve"> </w:t>
      </w:r>
      <w:r>
        <w:t>convingătoare</w:t>
      </w:r>
      <w:r>
        <w:rPr>
          <w:b/>
        </w:rPr>
        <w:t xml:space="preserve"> </w:t>
      </w:r>
      <w:r>
        <w:t>care demonstrează că schimbările climatice au contribuit deja la o creștere a morbidității și a mortalității, în special în rândul anumitor categorii mai vulnerabile, că într-adevăr generează astfel de efecte și că, în absența unor acțiuni ferme din partea statelor, există riscul ca aceste schimbări să se intensifice atât de mult încât să devină ireversibile și catastrofale (supra, pct. </w:t>
      </w:r>
      <w:r w:rsidRPr="00472687">
        <w:fldChar w:fldCharType="begin"/>
      </w:r>
      <w:r w:rsidRPr="00472687">
        <w:instrText xml:space="preserve">REF paragraph00104 \h \* CharFormat  \* MERGEFORMAT </w:instrText>
      </w:r>
      <w:r w:rsidRPr="00472687">
        <w:fldChar w:fldCharType="separate"/>
      </w:r>
      <w:r w:rsidRPr="00472687">
        <w:t>104</w:t>
      </w:r>
      <w:r w:rsidRPr="00472687">
        <w:fldChar w:fldCharType="end"/>
      </w:r>
      <w:r>
        <w:noBreakHyphen/>
      </w:r>
      <w:r w:rsidRPr="00472687">
        <w:fldChar w:fldCharType="begin"/>
      </w:r>
      <w:r w:rsidRPr="00472687">
        <w:instrText xml:space="preserve">REF paragraph00120 \h \* CharFormat  \* MERGEFORMAT </w:instrText>
      </w:r>
      <w:r w:rsidRPr="00472687">
        <w:fldChar w:fldCharType="separate"/>
      </w:r>
      <w:r w:rsidRPr="00472687">
        <w:t>120</w:t>
      </w:r>
      <w:r w:rsidRPr="00472687">
        <w:fldChar w:fldCharType="end"/>
      </w:r>
      <w:r>
        <w:t>). Pe de altă parte, statele, care pot acționa asupra cauzelor schimbărilor climatice antropice, au recunoscut efectele nefaste ale acestui fenomen și s-au angajat – în funcție de responsabilitățile lor comune, dar diferențiate, și de capacitățile lor aferente – să ia măsurile de atenuare (pentru a reduce emisiile de GES) și măsurile de adaptare (pentru a asigura adaptarea la schimbările climatice și limitarea impactului acestora) care sunt indispensabile. Aceste considerații arată că poate exista o legătură de cauzalitate relevantă din punct de vedere juridic între acțiunile sau omisiunile statului (care cauzează schimbările climatice sau nu asigură combaterea acestora) și prejudiciile care afectează persoanele, astfel cum se precizează la punctul </w:t>
      </w:r>
      <w:r w:rsidRPr="00472687">
        <w:fldChar w:fldCharType="begin"/>
      </w:r>
      <w:r w:rsidRPr="00472687">
        <w:instrText xml:space="preserve"> REF paragraph00436 \h  \* CharFormat  \* MERGEFORMAT </w:instrText>
      </w:r>
      <w:r w:rsidRPr="00472687">
        <w:fldChar w:fldCharType="separate"/>
      </w:r>
      <w:r w:rsidRPr="00472687">
        <w:t>436</w:t>
      </w:r>
      <w:r w:rsidRPr="00472687">
        <w:fldChar w:fldCharType="end"/>
      </w:r>
      <w:r>
        <w:t xml:space="preserve"> de mai sus.</w:t>
      </w:r>
    </w:p>
    <w:p w:rsidR="00F524A5" w:rsidRPr="00472687" w:rsidRDefault="00F524A5" w:rsidP="00F524A5">
      <w:pPr>
        <w:pStyle w:val="JuPara"/>
      </w:pPr>
      <w:r w:rsidRPr="00472687">
        <w:fldChar w:fldCharType="begin"/>
      </w:r>
      <w:r>
        <w:instrText xml:space="preserve"> SEQ level0 \*arabic \* MERGEFORMAT </w:instrText>
      </w:r>
      <w:r w:rsidRPr="00472687">
        <w:fldChar w:fldCharType="separate"/>
      </w:r>
      <w:r w:rsidRPr="00472687">
        <w:t>479</w:t>
      </w:r>
      <w:r w:rsidRPr="00472687">
        <w:fldChar w:fldCharType="end"/>
      </w:r>
      <w:r>
        <w:t>. Având în vedere natura schimbărilor climatice, diferitele efecte nefaste ale acestora și riscurile viitoare pe care le implică, numărul persoanelor care sunt afectate de aceste schimbări, în diferite moduri și în grade diferite, este nedeterminat. Soluționarea crizei climatice necesită și impune adoptarea unui set cuprinzător și complex de politici transformatoare, care să cuprindă măsuri legislative, de reglementare, fiscale, financiare și administrative, precum și investiții publice și private. Problemele esențiale decurg din lipsa de acțiune sau din acțiuni neadecvate – cu alte cuvinte, decurg din neîndeplinirea obligațiilor. În ceea ce privește aspectele-cheie, există deficiențe la nivelul cadrului legislativ sau de reglementare relevant. În această privință, necesitatea unei abordări speciale a calității de victimă și delimitarea acesteia rezultă așadar din faptul că plângerile pot avea ca obiect acțiuni sau omisiuni referitoare la diferite tipuri de măsuri generale, ale căror consecințe nu se limitează la anumite persoane sau grupuri identificabile, ci afectează populația în sens mai larg. În acest context, rezultatul unei proceduri judiciare are în mod necesar efecte care depășesc drepturile și interesele unei anumite persoane sau ale unui anumit grup de persoane și este, prin natura sa,</w:t>
      </w:r>
      <w:r>
        <w:rPr>
          <w:b/>
        </w:rPr>
        <w:t xml:space="preserve"> </w:t>
      </w:r>
      <w:r>
        <w:t>orientat spre viitor, adică spre ceea ce trebuie să se facă pentru a asigura atenuarea eficientă a efectelor nefaste ale schimbărilor climatice sau adaptarea la consecințele acestora.</w:t>
      </w:r>
    </w:p>
    <w:p w:rsidR="00F524A5" w:rsidRPr="00472687" w:rsidRDefault="00C71855" w:rsidP="00F524A5">
      <w:pPr>
        <w:pStyle w:val="JuPara"/>
      </w:pPr>
      <w:fldSimple w:instr=" SEQ level0 \*arabic \* MERGEFORMAT ">
        <w:r w:rsidR="00F524A5" w:rsidRPr="00472687">
          <w:t>480</w:t>
        </w:r>
      </w:fldSimple>
      <w:r w:rsidR="00F524A5">
        <w:t xml:space="preserve">. Prin urmare, Curtea subliniază că aprecierea calității de victimă în prezenta cauză, în care reclamantele se plâng de omisiuni în materie de măsuri generale menite să prevină un prejudiciu sau să reducă un risc de prejudiciu, </w:t>
      </w:r>
      <w:r w:rsidR="00F524A5">
        <w:lastRenderedPageBreak/>
        <w:t xml:space="preserve">care pot afecta un număr nedeterminat de persoane, nu aduce atingere stabilirii calității de victimă în circumstanțe în care persoanele se plâng de încălcări legate de o pierdere individuală specifică sau de un prejudiciu individual specific pe care l-au suferit deja (a se vedea, de exemplu, </w:t>
      </w:r>
      <w:r w:rsidR="00F524A5">
        <w:rPr>
          <w:i/>
        </w:rPr>
        <w:t>Koliadenko și alții,</w:t>
      </w:r>
      <w:r w:rsidR="00F524A5">
        <w:t xml:space="preserve"> citată anterior, pct. 150-155).</w:t>
      </w:r>
    </w:p>
    <w:bookmarkStart w:id="659" w:name="paragraph0048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481</w:t>
      </w:r>
      <w:r w:rsidRPr="00472687">
        <w:fldChar w:fldCharType="end"/>
      </w:r>
      <w:bookmarkEnd w:id="659"/>
      <w:r>
        <w:t xml:space="preserve">. Problema care trebuie abordată de Curte în prezenta cauză privind schimbările climatice este în ce fel și în ce măsură pot fi examinate alegațiile cu privire la existența unui prejudiciu care este legat de acțiunile și/sau omisiunile statului în contextul schimbărilor climatice și care afectează drepturile prevăzute de Convenție ale unor persoane (cum ar fi dreptul la viață, garantat de art. 2, și/sau dreptul la respectarea vieții private și de familie, garantat de art. 8), fără a pune în discuție excluderea </w:t>
      </w:r>
      <w:r>
        <w:rPr>
          <w:i/>
        </w:rPr>
        <w:t>actio popularis</w:t>
      </w:r>
      <w:r>
        <w:t xml:space="preserve"> din sistemul Convenției și fără a ignora natura funcției</w:t>
      </w:r>
      <w:r>
        <w:rPr>
          <w:i/>
        </w:rPr>
        <w:t xml:space="preserve"> </w:t>
      </w:r>
      <w:r>
        <w:t>judiciare a Curții, care este, prin definiție, reactivă și nu proactivă.</w:t>
      </w:r>
    </w:p>
    <w:p w:rsidR="00F524A5" w:rsidRPr="00472687" w:rsidRDefault="00C71855" w:rsidP="00F524A5">
      <w:pPr>
        <w:pStyle w:val="JuPara"/>
      </w:pPr>
      <w:fldSimple w:instr=" SEQ level0 \*arabic \* MERGEFORMAT ">
        <w:r w:rsidR="00F524A5" w:rsidRPr="00472687">
          <w:t>482</w:t>
        </w:r>
      </w:fldSimple>
      <w:r w:rsidR="00F524A5">
        <w:t>. În această privință, Curtea a admis deja, deși în contextul aplicării art. 6 în materie de mediu, că problema calității de victimă trebuie să facă obiectul unei interpretări evolutive, în lumina condițiilor de viață actuale, și că o abordare prea formalistă a noțiunii de victimă ar face ineficientă și iluzorie protecția drepturilor garantate de Convenție (</w:t>
      </w:r>
      <w:r w:rsidR="00F524A5">
        <w:rPr>
          <w:i/>
        </w:rPr>
        <w:t>Gorraiz Lizarraga</w:t>
      </w:r>
      <w:r w:rsidR="00F524A5">
        <w:t xml:space="preserve"> </w:t>
      </w:r>
      <w:r w:rsidR="00F524A5">
        <w:rPr>
          <w:i/>
        </w:rPr>
        <w:t>și alții,</w:t>
      </w:r>
      <w:r w:rsidR="00F524A5">
        <w:t xml:space="preserve"> citată anterior, pct. 38).</w:t>
      </w:r>
    </w:p>
    <w:bookmarkStart w:id="660" w:name="paragraph00483"/>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483</w:t>
      </w:r>
      <w:r w:rsidRPr="00472687">
        <w:fldChar w:fldCharType="end"/>
      </w:r>
      <w:bookmarkEnd w:id="660"/>
      <w:r>
        <w:t>. Jurisprudența Curții referitoare la calitatea de victimă se întemeiază pe existența unui efect direct sau a unui risc real de efect direct, asupra reclamantului, al pretinsei acțiuni sau omisiuni. Cu toate acestea, în domeniul schimbărilor climatice, orice persoană poate să fie direct afectată sau să fie expusă unui risc real de a fi direct afectată, într-un fel sau altul și într-o anumită măsură, de efectele nefaste ale fenomenului în cauză. Făcând abstracție de problema jurisdicției, este la fel de adevărat că un număr foarte mare de persoane ar putea, pe această bază, să se prevaleze de calitatea de victimă în temeiul Convenției. Deși este adevărat că, în cazul unor situații/măsuri generale, categoria de persoane care pot să pretindă că au calitate de victimă „poate fi, într-adevăr, foarte largă” (</w:t>
      </w:r>
      <w:r>
        <w:rPr>
          <w:i/>
        </w:rPr>
        <w:t>Shortall și alții</w:t>
      </w:r>
      <w:r>
        <w:t xml:space="preserve">, decizie citată anterior, pct. 53), admiterea, fără rezerve suficiente și prudente, a existenței calității de victimă în contextul schimbărilor climatice ar fi greu de conciliat cu excluderea </w:t>
      </w:r>
      <w:r>
        <w:rPr>
          <w:i/>
          <w:iCs/>
        </w:rPr>
        <w:t>actio popularis</w:t>
      </w:r>
      <w:r>
        <w:t xml:space="preserve"> din mecanismul Convenției și cu funcționarea efectivă a dreptului de a introduce o cerere individuală.</w:t>
      </w:r>
    </w:p>
    <w:bookmarkStart w:id="661" w:name="paragraph0048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484</w:t>
      </w:r>
      <w:r w:rsidRPr="00472687">
        <w:fldChar w:fldCharType="end"/>
      </w:r>
      <w:bookmarkEnd w:id="661"/>
      <w:r>
        <w:t xml:space="preserve">. Dacă, în raport cu întreaga populație aflată sub jurisdicția părților contractante, cercul „victimelor” afectate efectiv sau potențial este definit într-o manieră amplă și generoasă, există riscul ca acest lucru să submineze principiile constituționale naționale și separarea puterilor, prin permiterea unui acces larg la sistemul judiciar ca mijloc de a determina schimbări în politicile generale privind clima. În schimb, dacă cercul este definit într-un mod prea restrâns și restrictiv, chiar și deficiențele sau disfuncționalitățile evidente ale acțiunilor guvernamentale sau ale proceselor democratice pot conduce la o încălcare a drepturilor prevăzute de Convenție ale persoanelor </w:t>
      </w:r>
      <w:r>
        <w:lastRenderedPageBreak/>
        <w:t>și ale grupurilor de persoane, fără ca acestea din urmă să aibă vreo posibilitate de a sesiza Curtea. În plus, ținând seama de chestiunile care țin de partajarea între generații a eforturilor legate de consecințele și riscurile schimbărilor climatice, se poate considera că acei membri ai societății care sunt foarte susceptibili să fie cei mai afectați de efectele acestui fenomen sunt dezavantajați în mod semnificativ în ceea ce privește reprezentarea (supra, pct. </w:t>
      </w:r>
      <w:r w:rsidRPr="00472687">
        <w:fldChar w:fldCharType="begin"/>
      </w:r>
      <w:r w:rsidRPr="00472687">
        <w:instrText xml:space="preserve">REF paragraph00420 \h \* CharFormat  \* MERGEFORMAT </w:instrText>
      </w:r>
      <w:r w:rsidRPr="00472687">
        <w:fldChar w:fldCharType="separate"/>
      </w:r>
      <w:r w:rsidRPr="00472687">
        <w:t>420</w:t>
      </w:r>
      <w:r w:rsidRPr="00472687">
        <w:fldChar w:fldCharType="end"/>
      </w:r>
      <w:r>
        <w:t xml:space="preserve">). Necesitatea, pe de o parte, de a asigura o protecție efectivă a drepturilor garantate de Convenție și, pe de altă parte, de a garanta că respectivele criterii pentru stabilirea calității de victimă nu alunecă </w:t>
      </w:r>
      <w:r>
        <w:rPr>
          <w:i/>
          <w:iCs/>
        </w:rPr>
        <w:t>de</w:t>
      </w:r>
      <w:r>
        <w:t xml:space="preserve"> </w:t>
      </w:r>
      <w:r>
        <w:rPr>
          <w:i/>
        </w:rPr>
        <w:t>facto</w:t>
      </w:r>
      <w:r>
        <w:t xml:space="preserve"> către acceptarea </w:t>
      </w:r>
      <w:r>
        <w:rPr>
          <w:i/>
        </w:rPr>
        <w:t>actio popularis</w:t>
      </w:r>
      <w:r>
        <w:t xml:space="preserve"> este deosebit de presantă în contextul actual.</w:t>
      </w:r>
    </w:p>
    <w:p w:rsidR="00F524A5" w:rsidRPr="00472687" w:rsidRDefault="00C71855" w:rsidP="00F524A5">
      <w:pPr>
        <w:pStyle w:val="JuPara"/>
      </w:pPr>
      <w:fldSimple w:instr=" SEQ level0 \*arabic \* MERGEFORMAT ">
        <w:r w:rsidR="00F524A5" w:rsidRPr="00472687">
          <w:t>485</w:t>
        </w:r>
      </w:fldSimple>
      <w:r w:rsidR="00F524A5">
        <w:t>. În această privință, deși inacțiunea sau acțiunea insuficientă a statului în ceea ce privește combaterea schimbărilor climatice determină o situație cu consecințe generale, Curtea apreciază că, în acest context, nu se poate aplica jurisprudența referitoare la „potențialele” victime, care ar permite unei „categorii de persoane” care are un „interes personal legitim” de a se pune capăt situației în litigiu să invoce calitatea de victimă (supra, pct. </w:t>
      </w:r>
      <w:r w:rsidR="00F524A5" w:rsidRPr="00472687">
        <w:rPr>
          <w:b/>
        </w:rPr>
        <w:fldChar w:fldCharType="begin"/>
      </w:r>
      <w:r w:rsidR="00F524A5" w:rsidRPr="00472687">
        <w:instrText xml:space="preserve">REF paragraph00471 \h \* CharFormat </w:instrText>
      </w:r>
      <w:r w:rsidR="00F524A5" w:rsidRPr="00472687">
        <w:rPr>
          <w:b/>
        </w:rPr>
        <w:instrText xml:space="preserve"> \* MERGEFORMAT </w:instrText>
      </w:r>
      <w:r w:rsidR="00F524A5" w:rsidRPr="00472687">
        <w:rPr>
          <w:b/>
        </w:rPr>
      </w:r>
      <w:r w:rsidR="00F524A5" w:rsidRPr="00472687">
        <w:rPr>
          <w:b/>
        </w:rPr>
        <w:fldChar w:fldCharType="separate"/>
      </w:r>
      <w:r w:rsidR="00F524A5" w:rsidRPr="00472687">
        <w:t>471</w:t>
      </w:r>
      <w:r w:rsidR="00F524A5" w:rsidRPr="00472687">
        <w:rPr>
          <w:b/>
        </w:rPr>
        <w:fldChar w:fldCharType="end"/>
      </w:r>
      <w:r w:rsidR="00F524A5">
        <w:t>). În contextul schimbărilor climatice, o astfel de opțiune ar putea include practic toți oamenii, astfel încât nu ar funcționa ca un criteriu limitativ. Toată lumea este preocupată de riscurile actuale</w:t>
      </w:r>
      <w:r w:rsidR="00F524A5">
        <w:rPr>
          <w:b/>
        </w:rPr>
        <w:t xml:space="preserve"> </w:t>
      </w:r>
      <w:r w:rsidR="00F524A5">
        <w:t>și viitoare, în moduri diferite și în grade diferite, și poate pretinde că are un interes personal legitim ca aceste riscuri să dispară.</w:t>
      </w:r>
    </w:p>
    <w:p w:rsidR="00F524A5" w:rsidRPr="00472687" w:rsidRDefault="00C71855" w:rsidP="00F524A5">
      <w:pPr>
        <w:pStyle w:val="JuPara"/>
      </w:pPr>
      <w:fldSimple w:instr=" SEQ level0 \*arabic \* MERGEFORMAT ">
        <w:r w:rsidR="00F524A5" w:rsidRPr="00472687">
          <w:t>486</w:t>
        </w:r>
      </w:fldSimple>
      <w:r w:rsidR="00F524A5">
        <w:t>. Prin urmare, având în vedere particularitățile schimbărilor climatice, pentru a determina care sunt criteriile de stabilire a calității de victimă – care se bazează pe existența unui risc real de „efect direct” asupra reclamantului (supra, pct. 465</w:t>
      </w:r>
      <w:r w:rsidR="00F524A5">
        <w:noBreakHyphen/>
        <w:t xml:space="preserve">466 și </w:t>
      </w:r>
      <w:r w:rsidR="00F524A5" w:rsidRPr="00472687">
        <w:fldChar w:fldCharType="begin"/>
      </w:r>
      <w:r w:rsidR="00F524A5" w:rsidRPr="00472687">
        <w:instrText xml:space="preserve">REF paragraph00483 \h \* CharFormat  \* MERGEFORMAT </w:instrText>
      </w:r>
      <w:r w:rsidR="00F524A5" w:rsidRPr="00472687">
        <w:fldChar w:fldCharType="separate"/>
      </w:r>
      <w:r w:rsidR="00F524A5" w:rsidRPr="00472687">
        <w:t>483</w:t>
      </w:r>
      <w:r w:rsidR="00F524A5" w:rsidRPr="00472687">
        <w:fldChar w:fldCharType="end"/>
      </w:r>
      <w:r w:rsidR="00F524A5">
        <w:t>) – Curtea se va întemeia pe elemente de distincție precum un anumit nivel și o anumită gravitate care caracterizează riscurile existenței unor consecințe negative ale schimbărilor climatice care afectează persoana sau persoanele în cauză (supra, pct. </w:t>
      </w:r>
      <w:r w:rsidR="00F524A5" w:rsidRPr="00472687">
        <w:fldChar w:fldCharType="begin"/>
      </w:r>
      <w:r w:rsidR="00F524A5" w:rsidRPr="00472687">
        <w:instrText xml:space="preserve">REF paragraph00440 \h \* CharFormat  \* MERGEFORMAT </w:instrText>
      </w:r>
      <w:r w:rsidR="00F524A5" w:rsidRPr="00472687">
        <w:fldChar w:fldCharType="separate"/>
      </w:r>
      <w:r w:rsidR="00F524A5" w:rsidRPr="00472687">
        <w:t>440</w:t>
      </w:r>
      <w:r w:rsidR="00F524A5" w:rsidRPr="00472687">
        <w:fldChar w:fldCharType="end"/>
      </w:r>
      <w:r w:rsidR="00F524A5">
        <w:t>) și va ține seama de caracterul imperativ al nevoii lor de protecție individuală.</w:t>
      </w:r>
    </w:p>
    <w:bookmarkStart w:id="662" w:name="paragraph0048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487</w:t>
      </w:r>
      <w:r w:rsidRPr="00472687">
        <w:fldChar w:fldCharType="end"/>
      </w:r>
      <w:bookmarkEnd w:id="662"/>
      <w:r>
        <w:t>. Pe scurt, Curtea consideră că, pentru a putea pretinde că are calitatea de victimă, în temeiul art. 34 din Convenție, în cadrul unor capete de cerere având ca obiect un prejudiciu sau un risc de producere a unui prejudiciu, care sunt cauzate de pretinsa neîndeplinire de către stat a obligațiilor sale în materie de combatere a schimbărilor climatice, un reclamant trebuie să demonstreze că a fost afectat personal și direct de încălcările pe care le denunță. Astfel, Curtea va avea sarcina de a stabili, în lumina principiilor referitoare la aspectele legate de probe prezentate mai sus (pct. </w:t>
      </w:r>
      <w:r w:rsidRPr="00472687">
        <w:fldChar w:fldCharType="begin"/>
      </w:r>
      <w:r w:rsidRPr="00472687">
        <w:instrText xml:space="preserve">REF paragraph00427 \h \* CharFormat  \* MERGEFORMAT </w:instrText>
      </w:r>
      <w:r w:rsidRPr="00472687">
        <w:fldChar w:fldCharType="separate"/>
      </w:r>
      <w:r w:rsidRPr="00472687">
        <w:t>427</w:t>
      </w:r>
      <w:r w:rsidRPr="00472687">
        <w:fldChar w:fldCharType="end"/>
      </w:r>
      <w:r>
        <w:noBreakHyphen/>
      </w:r>
      <w:r w:rsidRPr="00472687">
        <w:fldChar w:fldCharType="begin"/>
      </w:r>
      <w:r w:rsidRPr="00472687">
        <w:instrText xml:space="preserve">REF paragraph00430 \h \* CharFormat  \* MERGEFORMAT </w:instrText>
      </w:r>
      <w:r w:rsidRPr="00472687">
        <w:fldChar w:fldCharType="separate"/>
      </w:r>
      <w:r w:rsidRPr="00472687">
        <w:t>430</w:t>
      </w:r>
      <w:r w:rsidRPr="00472687">
        <w:fldChar w:fldCharType="end"/>
      </w:r>
      <w:r>
        <w:t>), următoarele elemente referitoare la situația reclamantului:</w:t>
      </w:r>
    </w:p>
    <w:p w:rsidR="00F524A5" w:rsidRPr="00472687" w:rsidRDefault="00F524A5" w:rsidP="00F524A5">
      <w:pPr>
        <w:pStyle w:val="JuPara"/>
      </w:pPr>
      <w:r>
        <w:t>a) reclamantul trebuie să fie expus în mod intens la efectele nefaste ale schimbărilor climatice: consecințele negative (sau riscurile de consecințe negative) pentru reclamant ale unei acțiuni sau inacțiuni din partea autorităților publice trebuie să prezinte un nivel și o gravitate semnificative; și</w:t>
      </w:r>
    </w:p>
    <w:p w:rsidR="00F524A5" w:rsidRPr="00472687" w:rsidRDefault="00F524A5" w:rsidP="00F524A5">
      <w:pPr>
        <w:pStyle w:val="JuPara"/>
        <w:rPr>
          <w:b/>
          <w:bCs/>
        </w:rPr>
      </w:pPr>
      <w:r>
        <w:lastRenderedPageBreak/>
        <w:t>b) trebuie să existe o nevoie imperioasă de a asigura protecția individuală a reclamantului, ca urmare a absenței unor măsuri rezonabile sau adecvate de reducere a prejudiciului.</w:t>
      </w:r>
    </w:p>
    <w:bookmarkStart w:id="663" w:name="paragraph0048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488</w:t>
      </w:r>
      <w:r w:rsidRPr="00472687">
        <w:fldChar w:fldCharType="end"/>
      </w:r>
      <w:bookmarkEnd w:id="663"/>
      <w:r>
        <w:t>. Pragul care trebuie atins pentru îndeplinirea acestor criterii este deosebit de ridicat.</w:t>
      </w:r>
      <w:r>
        <w:rPr>
          <w:rFonts w:ascii="Segoe UI" w:hAnsi="Segoe UI"/>
          <w:color w:val="000000"/>
        </w:rPr>
        <w:t xml:space="preserve"> </w:t>
      </w:r>
      <w:r>
        <w:t xml:space="preserve">Având în vedere excluderea </w:t>
      </w:r>
      <w:r>
        <w:rPr>
          <w:i/>
        </w:rPr>
        <w:t>actio popularis</w:t>
      </w:r>
      <w:r>
        <w:t xml:space="preserve"> în temeiul Convenției (supra, pct. </w:t>
      </w:r>
      <w:r w:rsidRPr="00472687">
        <w:fldChar w:fldCharType="begin"/>
      </w:r>
      <w:r w:rsidRPr="00472687">
        <w:instrText xml:space="preserve">REF paragraph00483 \h \* CharFormat  \* MERGEFORMAT </w:instrText>
      </w:r>
      <w:r w:rsidRPr="00472687">
        <w:fldChar w:fldCharType="separate"/>
      </w:r>
      <w:r w:rsidRPr="00472687">
        <w:t>483</w:t>
      </w:r>
      <w:r w:rsidRPr="00472687">
        <w:fldChar w:fldCharType="end"/>
      </w:r>
      <w:r>
        <w:noBreakHyphen/>
      </w:r>
      <w:r w:rsidRPr="00472687">
        <w:fldChar w:fldCharType="begin"/>
      </w:r>
      <w:r w:rsidRPr="00472687">
        <w:instrText xml:space="preserve">REF paragraph00484 \h \* CharFormat  \* MERGEFORMAT </w:instrText>
      </w:r>
      <w:r w:rsidRPr="00472687">
        <w:fldChar w:fldCharType="separate"/>
      </w:r>
      <w:r w:rsidRPr="00472687">
        <w:t>484</w:t>
      </w:r>
      <w:r w:rsidRPr="00472687">
        <w:fldChar w:fldCharType="end"/>
      </w:r>
      <w:r>
        <w:t>), problema stabilirii dacă acest prag este atins în cazul unui anumit reclamant va impune o examinare aprofundată a circumstanțelor concrete ale cauzei. În această privință, Curtea va ține seama în mod corespunzător de circumstanțe precum situația existentă la nivel local și existența unor particularități și vulnerabilități individuale. Analiza Curții va include, de asemenea, în mod neexhaustiv, considerații legate de: natura și obiectul capătului de cerere formulat de reclamant în temeiul Convenției, caracterul real/îndepărtat și/sau probabilitatea efectelor negative ale schimbărilor climatice în timp, impactul specific asupra vieții, sănătății sau bunăstării reclamantului, amploarea și durata efectelor nefaste, amploarea riscului (localizat sau general) și natura vulnerabilității reclamantului.</w:t>
      </w:r>
    </w:p>
    <w:p w:rsidR="00F524A5" w:rsidRPr="00472687" w:rsidRDefault="00F524A5" w:rsidP="00F524A5">
      <w:pPr>
        <w:pStyle w:val="JuHalpha"/>
        <w:numPr>
          <w:ilvl w:val="6"/>
          <w:numId w:val="32"/>
        </w:numPr>
        <w:tabs>
          <w:tab w:val="clear" w:pos="1361"/>
        </w:tabs>
        <w:ind w:left="1701" w:hanging="425"/>
      </w:pPr>
      <w:r>
        <w:t>Calitatea procesuală a asociațiilor</w:t>
      </w:r>
    </w:p>
    <w:bookmarkStart w:id="664" w:name="paragraph00489"/>
    <w:p w:rsidR="00F524A5" w:rsidRPr="00472687" w:rsidRDefault="00F524A5" w:rsidP="00F524A5">
      <w:pPr>
        <w:pStyle w:val="JuPara"/>
        <w:rPr>
          <w:sz w:val="20"/>
        </w:rPr>
      </w:pPr>
      <w:r w:rsidRPr="00472687">
        <w:fldChar w:fldCharType="begin"/>
      </w:r>
      <w:r w:rsidRPr="00472687">
        <w:instrText xml:space="preserve"> SEQ level0 \*arabic \* MERGEFORMAT </w:instrText>
      </w:r>
      <w:r w:rsidRPr="00472687">
        <w:fldChar w:fldCharType="separate"/>
      </w:r>
      <w:r w:rsidRPr="00472687">
        <w:t>489</w:t>
      </w:r>
      <w:r w:rsidRPr="00472687">
        <w:fldChar w:fldCharType="end"/>
      </w:r>
      <w:bookmarkEnd w:id="664"/>
      <w:r>
        <w:t xml:space="preserve">. </w:t>
      </w:r>
      <w:bookmarkStart w:id="665" w:name="lt_pId3829"/>
      <w:bookmarkStart w:id="666" w:name="lt_pId3830"/>
      <w:bookmarkEnd w:id="665"/>
      <w:r>
        <w:t xml:space="preserve">Astfel cum a observat deja Curtea în hotărârea </w:t>
      </w:r>
      <w:r>
        <w:rPr>
          <w:i/>
        </w:rPr>
        <w:t>Gorraiz Lizarraga</w:t>
      </w:r>
      <w:r>
        <w:t xml:space="preserve"> </w:t>
      </w:r>
      <w:r>
        <w:rPr>
          <w:i/>
          <w:iCs/>
        </w:rPr>
        <w:t xml:space="preserve">și alții </w:t>
      </w:r>
      <w:r>
        <w:t xml:space="preserve">(citată anterior, pct. 38), </w:t>
      </w:r>
      <w:bookmarkStart w:id="667" w:name="lt_pId3832"/>
      <w:bookmarkEnd w:id="666"/>
      <w:r>
        <w:rPr>
          <w:rStyle w:val="JuParaChar"/>
        </w:rPr>
        <w:t>în societățile actuale, atunci când cetățenii se confruntă cu acte administrative deosebit de complexe, recurgerea la entități colective precum asociațiile este unul dintre mijloacele accesibile - uneori singurul mijloc - de care dispun pentru a asigura apărarea eficientă a intereselor lor specifice.</w:t>
      </w:r>
      <w:bookmarkEnd w:id="667"/>
      <w:r>
        <w:rPr>
          <w:sz w:val="20"/>
        </w:rPr>
        <w:t xml:space="preserve"> </w:t>
      </w:r>
      <w:r>
        <w:rPr>
          <w:rStyle w:val="JuParaChar"/>
        </w:rPr>
        <w:t>Acest lucru este valabil în special în contextul schimbărilor climatice, care constituie un fenomen global și complex. Cauzele acestuia sunt multiple, iar efectele sale nefaste nu privesc doar o anumită persoană sau un anumit grup de persoane, ci sunt, în fapt, „o preocupare comună a omenirii” (preambulul UNFCCC). În plus, în acest domeniu, în care partajarea între generații a eforturilor are o importanță deosebită (supra, pct. </w:t>
      </w:r>
      <w:r w:rsidRPr="00472687">
        <w:rPr>
          <w:rStyle w:val="JuParaChar"/>
        </w:rPr>
        <w:fldChar w:fldCharType="begin"/>
      </w:r>
      <w:r w:rsidRPr="00472687">
        <w:rPr>
          <w:rStyle w:val="JuParaChar"/>
        </w:rPr>
        <w:instrText xml:space="preserve">REF paragraph00420 \h \* CharFormat  \* MERGEFORMAT </w:instrText>
      </w:r>
      <w:r w:rsidRPr="00472687">
        <w:rPr>
          <w:rStyle w:val="JuParaChar"/>
        </w:rPr>
      </w:r>
      <w:r w:rsidRPr="00472687">
        <w:rPr>
          <w:rStyle w:val="JuParaChar"/>
        </w:rPr>
        <w:fldChar w:fldCharType="separate"/>
      </w:r>
      <w:r w:rsidRPr="00472687">
        <w:rPr>
          <w:rStyle w:val="JuParaChar"/>
        </w:rPr>
        <w:t>420</w:t>
      </w:r>
      <w:r w:rsidRPr="00472687">
        <w:rPr>
          <w:rStyle w:val="JuParaChar"/>
        </w:rPr>
        <w:fldChar w:fldCharType="end"/>
      </w:r>
      <w:r>
        <w:rPr>
          <w:rStyle w:val="JuParaChar"/>
        </w:rPr>
        <w:t>), acțiunile colective desfășurate prin intermediul asociațiilor sau al altor grupuri de interese pot constitui una dintre puținele modalități prin care persoanele care sunt dezavantajate semnificativ în ceea ce privește reprezentarea își pot face auzite vocile și pot încerca să influențeze procesele decizionale relevante.</w:t>
      </w:r>
    </w:p>
    <w:bookmarkStart w:id="668" w:name="paragraph0049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490</w:t>
      </w:r>
      <w:r w:rsidRPr="00472687">
        <w:fldChar w:fldCharType="end"/>
      </w:r>
      <w:bookmarkEnd w:id="668"/>
      <w:r>
        <w:t xml:space="preserve">. </w:t>
      </w:r>
      <w:bookmarkStart w:id="669" w:name="lt_pId3837"/>
      <w:bookmarkStart w:id="670" w:name="lt_pId3838"/>
      <w:bookmarkEnd w:id="669"/>
      <w:r>
        <w:t>Aceste observații generale privind importanța recurgerii la entitățile colective, cum ar fi asociațiile, pentru apărarea drepturilor și intereselor persoanelor afectate sau interesate, în materie de mediu, sunt reflectate în instrumente internaționale precum Convenția de la Aarhus.</w:t>
      </w:r>
      <w:bookmarkEnd w:id="670"/>
      <w:r>
        <w:t xml:space="preserve"> Aceasta recunoaște că „orice persoană are dreptul sa trăiască într-un mediu adecvat sănătății și bunăstării sale și că are sarcina, atât la nivel individual, cât și în asociere cu alții, să protejeze și să îmbunătățească mediul în beneficiul generațiilor prezente și viitoare” (supra, pct. </w:t>
      </w:r>
      <w:r w:rsidRPr="00472687">
        <w:fldChar w:fldCharType="begin"/>
      </w:r>
      <w:r w:rsidRPr="00472687">
        <w:instrText xml:space="preserve">REF paragraph00141 \h \* CharFormat  \* MERGEFORMAT </w:instrText>
      </w:r>
      <w:r w:rsidRPr="00472687">
        <w:fldChar w:fldCharType="separate"/>
      </w:r>
      <w:r w:rsidRPr="00472687">
        <w:t>141</w:t>
      </w:r>
      <w:r w:rsidRPr="00472687">
        <w:fldChar w:fldCharType="end"/>
      </w:r>
      <w:r>
        <w:t>).</w:t>
      </w:r>
    </w:p>
    <w:bookmarkStart w:id="671" w:name="paragraph0049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491</w:t>
      </w:r>
      <w:r w:rsidRPr="00472687">
        <w:fldChar w:fldCharType="end"/>
      </w:r>
      <w:bookmarkEnd w:id="671"/>
      <w:r>
        <w:t xml:space="preserve">. </w:t>
      </w:r>
      <w:bookmarkStart w:id="672" w:name="lt_pId3839"/>
      <w:bookmarkStart w:id="673" w:name="lt_pId3840"/>
      <w:bookmarkEnd w:id="672"/>
      <w:r>
        <w:t xml:space="preserve">Convenția de la Aarhus subliniază, de asemenea, importanța rolului pe care îl joacă organizațiile neguvernamentale în ceea ce privește protecția </w:t>
      </w:r>
      <w:r>
        <w:lastRenderedPageBreak/>
        <w:t>mediului.</w:t>
      </w:r>
      <w:bookmarkEnd w:id="673"/>
      <w:r>
        <w:t xml:space="preserve"> </w:t>
      </w:r>
      <w:bookmarkStart w:id="674" w:name="lt_pId3841"/>
      <w:r>
        <w:t>Aceasta menționează necesitatea de a garanta că organizațiile neguvernamentale au un acces larg la justiție în acest domeniu (a se vedea, în special, preambulul Convenției de la Aarhus și articolul 9 din aceasta).</w:t>
      </w:r>
      <w:bookmarkEnd w:id="674"/>
      <w:r>
        <w:t xml:space="preserve"> </w:t>
      </w:r>
      <w:bookmarkStart w:id="675" w:name="lt_pId3842"/>
      <w:r>
        <w:t>La articolul 2 punctul 5, aceasta include în mod explicit în categoria „publicului interesat” organizațiile neguvernamentale ale căror obiective statutare includ promovarea protecției mediului, cu condiția ca acestea să îndeplinească „cerințele legii naționale”.</w:t>
      </w:r>
      <w:bookmarkEnd w:id="675"/>
      <w:r>
        <w:t xml:space="preserve"> </w:t>
      </w:r>
      <w:bookmarkStart w:id="676" w:name="lt_pId3843"/>
      <w:r>
        <w:t>Ghidul de aplicare</w:t>
      </w:r>
      <w:r>
        <w:rPr>
          <w:vertAlign w:val="superscript"/>
          <w:lang w:bidi="en-US"/>
        </w:rPr>
        <w:footnoteReference w:id="190"/>
      </w:r>
      <w:r>
        <w:t xml:space="preserve"> a acestei convenții precizează că diverse elemente permit să se stabilească dacă o organizație neguvernamentală promovează sau nu protecția mediului, în special carta, statutul sau activitățile sale.</w:t>
      </w:r>
      <w:bookmarkEnd w:id="676"/>
      <w:r>
        <w:t xml:space="preserve"> Adaugă că, </w:t>
      </w:r>
      <w:bookmarkStart w:id="678" w:name="lt_pId3844"/>
      <w:r>
        <w:t>în această privință, orice scop conform cu definiția implicită a mediului care figurează la articolul 2 alineatul (3) din Convenția de la Aarhus poate intra sub incidența „protecției mediului”.</w:t>
      </w:r>
      <w:bookmarkEnd w:id="678"/>
      <w:r>
        <w:t xml:space="preserve"> </w:t>
      </w:r>
      <w:bookmarkStart w:id="679" w:name="lt_pId3845"/>
      <w:r>
        <w:t>Precizează de asemenea că referirea la necesitatea de a îndeplini „cerințele legii naționale” nu trebuie interpretată în sensul că definirea acestor condiții este lăsată în totalitate la latitudinea statelor, ci că puterea discreționară în această privință trebuie să fie apreciată mai degrabă în contextul rolului important pe care Convenția de la Aarhus îl atribuie organizațiilor neguvernamentale.</w:t>
      </w:r>
      <w:bookmarkEnd w:id="679"/>
    </w:p>
    <w:p w:rsidR="00F524A5" w:rsidRPr="00472687" w:rsidRDefault="00C71855" w:rsidP="00F524A5">
      <w:pPr>
        <w:pStyle w:val="JuPara"/>
      </w:pPr>
      <w:fldSimple w:instr=" SEQ level0 \*arabic \* MERGEFORMAT ">
        <w:r w:rsidR="00F524A5" w:rsidRPr="00472687">
          <w:t>492</w:t>
        </w:r>
      </w:fldSimple>
      <w:r w:rsidR="00F524A5">
        <w:t xml:space="preserve">. </w:t>
      </w:r>
      <w:bookmarkStart w:id="680" w:name="lt_pId3847"/>
      <w:r w:rsidR="00F524A5">
        <w:t>Curtea observă, de asemenea, că UE a elaborat un set de instrumente juridice privind aplicarea Convenției de la Aarhus (supra, pct. </w:t>
      </w:r>
      <w:r w:rsidR="00F524A5" w:rsidRPr="00472687">
        <w:fldChar w:fldCharType="begin"/>
      </w:r>
      <w:r w:rsidR="00F524A5" w:rsidRPr="00472687">
        <w:instrText xml:space="preserve">REF paragraph00212 \h \* CharFormat  \* MERGEFORMAT </w:instrText>
      </w:r>
      <w:r w:rsidR="00F524A5" w:rsidRPr="00472687">
        <w:fldChar w:fldCharType="separate"/>
      </w:r>
      <w:r w:rsidR="00F524A5" w:rsidRPr="00472687">
        <w:t>212</w:t>
      </w:r>
      <w:r w:rsidR="00F524A5" w:rsidRPr="00472687">
        <w:fldChar w:fldCharType="end"/>
      </w:r>
      <w:r w:rsidR="00F524A5">
        <w:noBreakHyphen/>
      </w:r>
      <w:r w:rsidR="00F524A5" w:rsidRPr="00472687">
        <w:fldChar w:fldCharType="begin"/>
      </w:r>
      <w:r w:rsidR="00F524A5" w:rsidRPr="00472687">
        <w:instrText xml:space="preserve">REF paragraph00214 \h \* CharFormat  \* MERGEFORMAT </w:instrText>
      </w:r>
      <w:r w:rsidR="00F524A5" w:rsidRPr="00472687">
        <w:fldChar w:fldCharType="separate"/>
      </w:r>
      <w:r w:rsidR="00F524A5" w:rsidRPr="00472687">
        <w:t>214</w:t>
      </w:r>
      <w:r w:rsidR="00F524A5" w:rsidRPr="00472687">
        <w:fldChar w:fldCharType="end"/>
      </w:r>
      <w:r w:rsidR="00F524A5">
        <w:t>).</w:t>
      </w:r>
      <w:bookmarkEnd w:id="680"/>
      <w:r w:rsidR="00F524A5">
        <w:t xml:space="preserve"> </w:t>
      </w:r>
      <w:bookmarkStart w:id="681" w:name="lt_pId3851"/>
      <w:r w:rsidR="00F524A5">
        <w:t>CJUE a statuat că articolul 9 alineatul (3) din Convenția de la Aarhus trebuie coroborat cu articolul 47 din Carta drepturilor fundamentale și interpretat în sensul că o „organizație de protecție a mediului constituită în mod corespunzător și care funcționează potrivit cerințelor prevăzute de dreptul național” trebuie să poată contesta o măsură care are un impact asupra mediului</w:t>
      </w:r>
      <w:r w:rsidR="00F524A5">
        <w:rPr>
          <w:vertAlign w:val="superscript"/>
          <w:lang w:bidi="en-US"/>
        </w:rPr>
        <w:footnoteReference w:id="191"/>
      </w:r>
      <w:bookmarkEnd w:id="681"/>
      <w:r w:rsidR="00F524A5">
        <w:t>.</w:t>
      </w:r>
    </w:p>
    <w:bookmarkStart w:id="684" w:name="paragraph00493"/>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493</w:t>
      </w:r>
      <w:r w:rsidRPr="00472687">
        <w:fldChar w:fldCharType="end"/>
      </w:r>
      <w:bookmarkEnd w:id="684"/>
      <w:r>
        <w:t xml:space="preserve">. </w:t>
      </w:r>
      <w:bookmarkStart w:id="685" w:name="lt_pId3853"/>
      <w:r>
        <w:t>În această privință, trebuie subliniat de asemenea că, în cadrul unui studiu comparativ realizat în 2019, s-a constatat că mai multe state membre ale UE prevedeau, atât în dreptul, cât și în practica lor, condiții foarte ample pentru acordarea calității procesuale (treisprezece din douăzeci și opt de state la momentul respectiv).</w:t>
      </w:r>
      <w:bookmarkEnd w:id="685"/>
      <w:r>
        <w:t xml:space="preserve"> </w:t>
      </w:r>
      <w:bookmarkStart w:id="686" w:name="lt_pId3854"/>
      <w:r>
        <w:t>În plus, în timp ce în unele țări accesul la justiție a fost extins de-a lungul anilor, pe cale jurisprudențială (Austria, Belgia) sau legislativă (Grecia, Irlanda, Slovacia, Slovenia, Suedia), s-a observat că, în altele, există tendința, în jurisprudența recentă (Slovenia) sau în reformele legislative planificate (Regatul Unit) sau adoptate (Țările de Jos), de a restrânge accesul la instanțe</w:t>
      </w:r>
      <w:r>
        <w:rPr>
          <w:vertAlign w:val="superscript"/>
          <w:lang w:bidi="en-US"/>
        </w:rPr>
        <w:footnoteReference w:id="192"/>
      </w:r>
      <w:bookmarkEnd w:id="686"/>
      <w:r>
        <w:t xml:space="preserve">. </w:t>
      </w:r>
      <w:bookmarkStart w:id="688" w:name="lt_pId3855"/>
      <w:r>
        <w:t xml:space="preserve">Un studiu comparativ anterior din 2013 a </w:t>
      </w:r>
      <w:r>
        <w:lastRenderedPageBreak/>
        <w:t>arătat că, în temeiul legislației statelor membre, unei asociații i se putea recunoaște calitatea procesuală numai dacă îndeplinea cel puțin una dintre următoarele condiții: să includă în statutul său protecția mediului sau orice alt element relevant pentru decizia atacată; să exercite o activitate în domeniul în cauză; să îndeplinească criteriile privind proximitatea geografică; să fi fost înregistrată și să funcționeze de un anumit număr de ani; să aibă un anumit număr de membri; să reprezinte o parte semnificativă a populației sau să beneficieze de susținerea publicului; să fie transparentă și să aibă o structură democratică; să exercite activități fără scop lucrativ</w:t>
      </w:r>
      <w:r>
        <w:rPr>
          <w:vertAlign w:val="superscript"/>
          <w:lang w:bidi="en-US"/>
        </w:rPr>
        <w:footnoteReference w:id="193"/>
      </w:r>
      <w:bookmarkEnd w:id="688"/>
      <w:r>
        <w:t>.</w:t>
      </w:r>
    </w:p>
    <w:p w:rsidR="00F524A5" w:rsidRPr="00472687" w:rsidRDefault="00C71855" w:rsidP="00F524A5">
      <w:pPr>
        <w:pStyle w:val="JuPara"/>
      </w:pPr>
      <w:fldSimple w:instr=" SEQ level0 \*arabic \* MERGEFORMAT ">
        <w:r w:rsidR="00F524A5" w:rsidRPr="00472687">
          <w:t>494</w:t>
        </w:r>
      </w:fldSimple>
      <w:r w:rsidR="00F524A5">
        <w:t xml:space="preserve">. </w:t>
      </w:r>
      <w:bookmarkStart w:id="690" w:name="lt_pId3857"/>
      <w:r w:rsidR="00F524A5">
        <w:t>Concluziile studiilor sus-menționate au fost confirmate de un studiu comparativ mai amplu realizat de Curte în scopul prezentei proceduri (supra, pct. </w:t>
      </w:r>
      <w:r w:rsidR="00F524A5" w:rsidRPr="00472687">
        <w:fldChar w:fldCharType="begin"/>
      </w:r>
      <w:r w:rsidR="00F524A5" w:rsidRPr="00472687">
        <w:instrText xml:space="preserve">REF paragraph00232 \h \* CharFormat  \* MERGEFORMAT </w:instrText>
      </w:r>
      <w:r w:rsidR="00F524A5" w:rsidRPr="00472687">
        <w:fldChar w:fldCharType="separate"/>
      </w:r>
      <w:r w:rsidR="00F524A5" w:rsidRPr="00472687">
        <w:t>232</w:t>
      </w:r>
      <w:r w:rsidR="00F524A5" w:rsidRPr="00472687">
        <w:fldChar w:fldCharType="end"/>
      </w:r>
      <w:r w:rsidR="00F524A5">
        <w:noBreakHyphen/>
      </w:r>
      <w:r w:rsidR="00F524A5" w:rsidRPr="00472687">
        <w:fldChar w:fldCharType="begin"/>
      </w:r>
      <w:r w:rsidR="00F524A5" w:rsidRPr="00472687">
        <w:instrText xml:space="preserve">REF paragraph00234 \h \* CharFormat  \* MERGEFORMAT </w:instrText>
      </w:r>
      <w:r w:rsidR="00F524A5" w:rsidRPr="00472687">
        <w:fldChar w:fldCharType="separate"/>
      </w:r>
      <w:r w:rsidR="00F524A5" w:rsidRPr="00472687">
        <w:t>234</w:t>
      </w:r>
      <w:r w:rsidR="00F524A5" w:rsidRPr="00472687">
        <w:fldChar w:fldCharType="end"/>
      </w:r>
      <w:r w:rsidR="00F524A5">
        <w:t>).</w:t>
      </w:r>
      <w:bookmarkEnd w:id="690"/>
      <w:r w:rsidR="00F524A5">
        <w:t xml:space="preserve"> </w:t>
      </w:r>
      <w:bookmarkStart w:id="691" w:name="lt_pId3858"/>
      <w:r w:rsidR="00F524A5">
        <w:t>În urma acestui exercițiu, s-a constatat că aproape toate statele membre ale Consiliului Europei au ratificat Convenția de la Aarhus și că, în general, asociațiilor - care îndeplineau unele dintre criteriile menționate la punctul </w:t>
      </w:r>
      <w:r w:rsidR="00F524A5" w:rsidRPr="00472687">
        <w:fldChar w:fldCharType="begin"/>
      </w:r>
      <w:r w:rsidR="00F524A5" w:rsidRPr="00472687">
        <w:instrText xml:space="preserve">REF paragraph00233 \h \* CharFormat  \* MERGEFORMAT </w:instrText>
      </w:r>
      <w:r w:rsidR="00F524A5" w:rsidRPr="00472687">
        <w:fldChar w:fldCharType="separate"/>
      </w:r>
      <w:r w:rsidR="00F524A5" w:rsidRPr="00472687">
        <w:t>233</w:t>
      </w:r>
      <w:r w:rsidR="00F524A5" w:rsidRPr="00472687">
        <w:fldChar w:fldCharType="end"/>
      </w:r>
      <w:r w:rsidR="00F524A5">
        <w:t xml:space="preserve"> de mai sus - li se recunoștea calitatea procesuală de a acționa în justiție în interesul protecției mediului și/sau în interesul persoanelor particulare care se considerau expuse unor riscuri de mediu specifice sau consecințelor unor proiecte industriale specifice.</w:t>
      </w:r>
      <w:bookmarkEnd w:id="691"/>
      <w:r w:rsidR="00F524A5">
        <w:t xml:space="preserve"> </w:t>
      </w:r>
      <w:bookmarkStart w:id="692" w:name="lt_pId3859"/>
      <w:r w:rsidR="00F524A5">
        <w:t>Deși pozițiile adoptate cu privire la problema calității procesuale a asociațiilor în litigiile privind schimbările climatice  – un aspect care nu intră sub incidența Convenției de la Aarhus – sunt încă în dezvoltare, se pare că majoritatea statelor membre oferă asociațiilor de protecție a mediului cel puțin posibilitatea teoretică de a introduce acțiuni în justiție în acest domeniu și că unele state au stabilit deja, în legislația lor internă sau în jurisprudența lor internă, criteriile pentru acordarea acestei calități procesuale (supra, pct. </w:t>
      </w:r>
      <w:r w:rsidR="00F524A5" w:rsidRPr="00472687">
        <w:fldChar w:fldCharType="begin"/>
      </w:r>
      <w:r w:rsidR="00F524A5" w:rsidRPr="00472687">
        <w:instrText xml:space="preserve">REF paragraph00234 \h \* CharFormat  \* MERGEFORMAT </w:instrText>
      </w:r>
      <w:r w:rsidR="00F524A5" w:rsidRPr="00472687">
        <w:fldChar w:fldCharType="separate"/>
      </w:r>
      <w:r w:rsidR="00F524A5" w:rsidRPr="00472687">
        <w:t>234</w:t>
      </w:r>
      <w:r w:rsidR="00F524A5" w:rsidRPr="00472687">
        <w:fldChar w:fldCharType="end"/>
      </w:r>
      <w:r w:rsidR="00F524A5">
        <w:t>).</w:t>
      </w:r>
      <w:bookmarkEnd w:id="692"/>
    </w:p>
    <w:bookmarkStart w:id="693" w:name="paragraph0049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495</w:t>
      </w:r>
      <w:r w:rsidRPr="00472687">
        <w:fldChar w:fldCharType="end"/>
      </w:r>
      <w:bookmarkEnd w:id="693"/>
      <w:r>
        <w:t xml:space="preserve">. </w:t>
      </w:r>
      <w:bookmarkStart w:id="694" w:name="lt_pId3875"/>
      <w:bookmarkStart w:id="695" w:name="lt_pId3876"/>
      <w:bookmarkEnd w:id="694"/>
      <w:r>
        <w:t>Având în vedere considerentele de mai sus, pentru a stabili modalitatea de abordare a acestei chestiuni în prezenta cauză, în care asociația reclamantă revendică, de asemenea, calitatea de victimă, Curtea va menționa câteva principii-cheie care trebuie să ghideze decizia sa în această privință.</w:t>
      </w:r>
      <w:bookmarkEnd w:id="695"/>
    </w:p>
    <w:bookmarkStart w:id="696" w:name="paragraph0049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496</w:t>
      </w:r>
      <w:r w:rsidRPr="00472687">
        <w:fldChar w:fldCharType="end"/>
      </w:r>
      <w:bookmarkEnd w:id="696"/>
      <w:r>
        <w:t xml:space="preserve">. </w:t>
      </w:r>
      <w:bookmarkStart w:id="697" w:name="lt_pId3878"/>
      <w:r>
        <w:t>În primul rând, este necesar să se stabilească și să se mențină o distincție între calitatea de victimă a persoanelor particulare și calitatea procesuală a reprezentanților care intervin în numele persoanelor care se plâng de o încălcare a drepturilor lor prevăzute de Convenție (supra, pct. 465</w:t>
      </w:r>
      <w:r>
        <w:noBreakHyphen/>
      </w:r>
      <w:r w:rsidRPr="00472687">
        <w:fldChar w:fldCharType="begin"/>
      </w:r>
      <w:r w:rsidRPr="00472687">
        <w:instrText xml:space="preserve">REF paragraph00477 \h \* CharFormat  \* MERGEFORMAT </w:instrText>
      </w:r>
      <w:r w:rsidRPr="00472687">
        <w:fldChar w:fldCharType="separate"/>
      </w:r>
      <w:r w:rsidRPr="00472687">
        <w:t>477</w:t>
      </w:r>
      <w:r w:rsidRPr="00472687">
        <w:fldChar w:fldCharType="end"/>
      </w:r>
      <w:r>
        <w:t>).</w:t>
      </w:r>
      <w:bookmarkEnd w:id="697"/>
      <w:r>
        <w:t xml:space="preserve"> În ceea ce privește calitatea de victimă</w:t>
      </w:r>
      <w:bookmarkStart w:id="698" w:name="lt_pId3879"/>
      <w:r>
        <w:t>, pare să nu existe niciun motiv pentru a repune în discuție principiul jurisprudențial potrivit căruia o asociație nu poate să invoce considerente de sănătate sau efecte nocive și probleme legate de schimbările climatice cu care doar persoanele fizice se pot confrunta (supra, pct. </w:t>
      </w:r>
      <w:r w:rsidRPr="00472687">
        <w:rPr>
          <w:b/>
        </w:rPr>
        <w:fldChar w:fldCharType="begin"/>
      </w:r>
      <w:r w:rsidRPr="00472687">
        <w:instrText xml:space="preserve">REF paragraph00474 \h \* CharFormat </w:instrText>
      </w:r>
      <w:r w:rsidRPr="00472687">
        <w:rPr>
          <w:b/>
        </w:rPr>
        <w:instrText xml:space="preserve"> \* MERGEFORMAT </w:instrText>
      </w:r>
      <w:r w:rsidRPr="00472687">
        <w:rPr>
          <w:b/>
        </w:rPr>
      </w:r>
      <w:r w:rsidRPr="00472687">
        <w:rPr>
          <w:b/>
        </w:rPr>
        <w:fldChar w:fldCharType="separate"/>
      </w:r>
      <w:r w:rsidRPr="00472687">
        <w:t>474</w:t>
      </w:r>
      <w:r w:rsidRPr="00472687">
        <w:rPr>
          <w:b/>
        </w:rPr>
        <w:fldChar w:fldCharType="end"/>
      </w:r>
      <w:r>
        <w:t>).</w:t>
      </w:r>
      <w:bookmarkEnd w:id="698"/>
      <w:r>
        <w:t xml:space="preserve"> Din acest motiv, prin forța lucrurilor, este limitată posibilitatea acordării calității de victimă unei asociații în ceea ce privește </w:t>
      </w:r>
      <w:r>
        <w:lastRenderedPageBreak/>
        <w:t>orice chestiune de fond care intră sub incidența art. 2 și/sau art. 8 din Convenție.</w:t>
      </w:r>
    </w:p>
    <w:bookmarkStart w:id="699" w:name="paragraph0049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497</w:t>
      </w:r>
      <w:r w:rsidRPr="00472687">
        <w:fldChar w:fldCharType="end"/>
      </w:r>
      <w:bookmarkEnd w:id="699"/>
      <w:r>
        <w:t xml:space="preserve">. </w:t>
      </w:r>
      <w:bookmarkStart w:id="700" w:name="lt_pId3881"/>
      <w:bookmarkStart w:id="701" w:name="lt_pId3882"/>
      <w:bookmarkEnd w:id="700"/>
      <w:r>
        <w:t>În al doilea rând, societatea contemporană a evoluat în ceea ce privește recunoașterea importanței posibilității ca asociațiile să sesizeze instanțele cu probleme legate de schimbările climatice în numele persoanelor afectate.</w:t>
      </w:r>
      <w:bookmarkEnd w:id="701"/>
      <w:r>
        <w:t xml:space="preserve"> </w:t>
      </w:r>
      <w:bookmarkStart w:id="702" w:name="lt_pId3883"/>
      <w:r>
        <w:t>Într-adevăr, litigiile referitoare la acest fenomen implică deseori chestiuni complexe de drept și de fapt, care necesită resurse financiare și logistice semnificative și o bună coordonare, iar rezultatul unui litigiu are în mod necesar un impact asupra situației multor persoane (supra, pct. </w:t>
      </w:r>
      <w:r w:rsidRPr="00472687">
        <w:fldChar w:fldCharType="begin"/>
      </w:r>
      <w:r w:rsidRPr="00472687">
        <w:instrText xml:space="preserve">REF paragraph00410 \h \* CharFormat  \* MERGEFORMAT </w:instrText>
      </w:r>
      <w:r w:rsidRPr="00472687">
        <w:fldChar w:fldCharType="separate"/>
      </w:r>
      <w:r w:rsidRPr="00472687">
        <w:t>410</w:t>
      </w:r>
      <w:r w:rsidRPr="00472687">
        <w:fldChar w:fldCharType="end"/>
      </w:r>
      <w:r>
        <w:t>).</w:t>
      </w:r>
      <w:bookmarkEnd w:id="702"/>
      <w:r>
        <w:t xml:space="preserve"> </w:t>
      </w:r>
      <w:bookmarkStart w:id="703" w:name="lt_pId3884"/>
      <w:r>
        <w:t>Astfel cum reiese din circumstanțele legate de litigiile naționale privind schimbările climatice (a se vedea, de exemplu, supra, pct. </w:t>
      </w:r>
      <w:r w:rsidRPr="00472687">
        <w:fldChar w:fldCharType="begin"/>
      </w:r>
      <w:r w:rsidRPr="00472687">
        <w:instrText xml:space="preserve">REF paragraph00258 \h \* CharFormat  \* MERGEFORMAT </w:instrText>
      </w:r>
      <w:r w:rsidRPr="00472687">
        <w:fldChar w:fldCharType="separate"/>
      </w:r>
      <w:r w:rsidRPr="00472687">
        <w:t>258</w:t>
      </w:r>
      <w:r w:rsidRPr="00472687">
        <w:fldChar w:fldCharType="end"/>
      </w:r>
      <w:r>
        <w:t xml:space="preserve">, </w:t>
      </w:r>
      <w:r w:rsidRPr="00472687">
        <w:fldChar w:fldCharType="begin"/>
      </w:r>
      <w:r w:rsidRPr="00472687">
        <w:instrText xml:space="preserve">REF paragraph00260 \h \* CharFormat  \* MERGEFORMAT </w:instrText>
      </w:r>
      <w:r w:rsidRPr="00472687">
        <w:fldChar w:fldCharType="separate"/>
      </w:r>
      <w:r w:rsidRPr="00472687">
        <w:t>260</w:t>
      </w:r>
      <w:r w:rsidRPr="00472687">
        <w:fldChar w:fldCharType="end"/>
      </w:r>
      <w:r>
        <w:t xml:space="preserve"> și </w:t>
      </w:r>
      <w:r w:rsidRPr="00472687">
        <w:fldChar w:fldCharType="begin"/>
      </w:r>
      <w:r w:rsidRPr="00472687">
        <w:instrText xml:space="preserve">REF paragraph00262 \h \* CharFormat  \* MERGEFORMAT </w:instrText>
      </w:r>
      <w:r w:rsidRPr="00472687">
        <w:fldChar w:fldCharType="separate"/>
      </w:r>
      <w:r w:rsidRPr="00472687">
        <w:t>262</w:t>
      </w:r>
      <w:r w:rsidRPr="00472687">
        <w:fldChar w:fldCharType="end"/>
      </w:r>
      <w:r>
        <w:t xml:space="preserve">; a se vedea și </w:t>
      </w:r>
      <w:r>
        <w:rPr>
          <w:i/>
        </w:rPr>
        <w:t>Carême</w:t>
      </w:r>
      <w:r>
        <w:t>, decizie citată anterior), asociațiile figurează în mod regulat ca unul dintre reclamanți, uneori ca unic reclamant, sau ca intervenient-cheie în cauză.</w:t>
      </w:r>
      <w:bookmarkEnd w:id="703"/>
    </w:p>
    <w:bookmarkStart w:id="704" w:name="paragraph0049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498</w:t>
      </w:r>
      <w:r w:rsidRPr="00472687">
        <w:fldChar w:fldCharType="end"/>
      </w:r>
      <w:bookmarkEnd w:id="704"/>
      <w:r>
        <w:t xml:space="preserve">. </w:t>
      </w:r>
      <w:bookmarkStart w:id="705" w:name="lt_pId3886"/>
      <w:bookmarkStart w:id="706" w:name="lt_pId3887"/>
      <w:bookmarkEnd w:id="705"/>
      <w:r>
        <w:t>Considerațiile speciale referitoare la schimbările climatice impun ca asociațiilor să li se recunoască posibilitatea ca, în anumite condiții, să aibă calitate procesuală pentru a reprezenta în fața Curții membrii ale căror drepturi susțin că au fost sau vor fi afectate.</w:t>
      </w:r>
      <w:bookmarkEnd w:id="706"/>
      <w:r>
        <w:t xml:space="preserve"> </w:t>
      </w:r>
      <w:bookmarkStart w:id="707" w:name="lt_pId3888"/>
      <w:r>
        <w:t xml:space="preserve">Astfel cum a subliniat deja Curtea în deciziile </w:t>
      </w:r>
      <w:r>
        <w:rPr>
          <w:i/>
        </w:rPr>
        <w:t>Asselbourg și alții și Yusufeli İlçesini Güzelleștirme Yașatma Kültür Varlıklarını Koruma Derneği</w:t>
      </w:r>
      <w:r>
        <w:t xml:space="preserve"> (citată anterior, pct. 41 și 43), este posibil ca o asociație să aibă calitate procesuală în fața Curții, chiar dacă nu ar putea pretinde că este victima unei încălcări a Convenției.</w:t>
      </w:r>
      <w:bookmarkEnd w:id="707"/>
    </w:p>
    <w:p w:rsidR="00F524A5" w:rsidRPr="00472687" w:rsidRDefault="00C71855" w:rsidP="00F524A5">
      <w:pPr>
        <w:pStyle w:val="JuPara"/>
      </w:pPr>
      <w:fldSimple w:instr=" SEQ level0 \*arabic \* MERGEFORMAT ">
        <w:bookmarkStart w:id="708" w:name="paragraph00499"/>
        <w:r w:rsidR="00F524A5" w:rsidRPr="00472687">
          <w:t>499</w:t>
        </w:r>
        <w:bookmarkEnd w:id="708"/>
      </w:fldSimple>
      <w:r w:rsidR="00F524A5">
        <w:t xml:space="preserve">. În plus, natura specială a schimbărilor climatice, </w:t>
      </w:r>
      <w:r w:rsidR="00F524A5">
        <w:rPr>
          <w:rStyle w:val="JuParaChar"/>
        </w:rPr>
        <w:t>care constituie o preocupare comună a omenirii,</w:t>
      </w:r>
      <w:r w:rsidR="00F524A5">
        <w:t xml:space="preserve"> precum și necesitatea de a promova partajarea între generații a eforturilor în acest domeniu (supra, pct. </w:t>
      </w:r>
      <w:r w:rsidR="00F524A5" w:rsidRPr="00472687">
        <w:rPr>
          <w:b/>
        </w:rPr>
        <w:fldChar w:fldCharType="begin"/>
      </w:r>
      <w:r w:rsidR="00F524A5" w:rsidRPr="00472687">
        <w:instrText xml:space="preserve">REF paragraph00489 \h \* CharFormat </w:instrText>
      </w:r>
      <w:r w:rsidR="00F524A5" w:rsidRPr="00472687">
        <w:rPr>
          <w:b/>
        </w:rPr>
        <w:instrText xml:space="preserve"> \* MERGEFORMAT </w:instrText>
      </w:r>
      <w:r w:rsidR="00F524A5" w:rsidRPr="00472687">
        <w:rPr>
          <w:b/>
        </w:rPr>
      </w:r>
      <w:r w:rsidR="00F524A5" w:rsidRPr="00472687">
        <w:rPr>
          <w:b/>
        </w:rPr>
        <w:fldChar w:fldCharType="separate"/>
      </w:r>
      <w:r w:rsidR="00F524A5" w:rsidRPr="00472687">
        <w:t>489</w:t>
      </w:r>
      <w:r w:rsidR="00F524A5" w:rsidRPr="00472687">
        <w:rPr>
          <w:b/>
        </w:rPr>
        <w:fldChar w:fldCharType="end"/>
      </w:r>
      <w:r w:rsidR="00F524A5">
        <w:t>) pledează, de asemenea, în favoarea acordării calității procesuale asociațiilor în cauzele privind schimbările climatice introduse în fața Curții. Având în vedere urgența combaterii efectelor nefaste ale schimbărilor climatice și gravitatea consecințelor acestui fenomen, inclusiv riscul grav ca acesta să fie ireversibil, statele trebuie să întreprindă acțiuni adecvate, în special prin adoptarea de măsuri generale care să poată garanta drepturile prevăzute de Convenție nu doar persoanelor afectate de schimbările climatice în prezent, ci și celor aflate sub jurisdicția lor și a căror exercitare a acestor drepturi ar putea fi compromisă în mod grav și irevocabil în viitor dacă nu se ia nicio măsură în timp util. Prin urmare, Curtea consideră oportun să recunoască, în acest context specific, importanța încuviințării acordate unei asociații să introducă o acțiune în justiție cu scopul de a obține protecția drepturilor fundamentale ale unor persoane care sunt sau riscă să fie afectate de efectele nefaste ale schimbărilor climatice, mai degrabă decât să se bazeze exclusiv pe proceduri inițiate în nume propriu de fiecare persoană în parte.</w:t>
      </w:r>
    </w:p>
    <w:p w:rsidR="00F524A5" w:rsidRPr="00472687" w:rsidRDefault="00C71855" w:rsidP="00F524A5">
      <w:pPr>
        <w:pStyle w:val="JuPara"/>
      </w:pPr>
      <w:fldSimple w:instr=" SEQ level0 \*arabic \* MERGEFORMAT ">
        <w:r w:rsidR="00F524A5" w:rsidRPr="00472687">
          <w:t>500</w:t>
        </w:r>
      </w:fldSimple>
      <w:r w:rsidR="00F524A5">
        <w:t xml:space="preserve">. </w:t>
      </w:r>
      <w:bookmarkStart w:id="709" w:name="lt_pId3889"/>
      <w:bookmarkStart w:id="710" w:name="lt_pId3890"/>
      <w:bookmarkEnd w:id="709"/>
      <w:r w:rsidR="00F524A5">
        <w:t>Cu toate acestea, în sensul observațiilor formulate anterior cu privire la calitatea de victimă a persoanelor fizice în acest context (</w:t>
      </w:r>
      <w:r w:rsidR="00F524A5">
        <w:rPr>
          <w:i/>
        </w:rPr>
        <w:t xml:space="preserve">supra, </w:t>
      </w:r>
      <w:r w:rsidR="00F524A5">
        <w:t>pct. </w:t>
      </w:r>
      <w:r w:rsidR="00F524A5" w:rsidRPr="00472687">
        <w:fldChar w:fldCharType="begin"/>
      </w:r>
      <w:r w:rsidR="00F524A5" w:rsidRPr="00472687">
        <w:instrText xml:space="preserve">REF paragraph00483 \h \* CharFormat  \* MERGEFORMAT </w:instrText>
      </w:r>
      <w:r w:rsidR="00F524A5" w:rsidRPr="00472687">
        <w:fldChar w:fldCharType="separate"/>
      </w:r>
      <w:r w:rsidR="00F524A5" w:rsidRPr="00472687">
        <w:t>483</w:t>
      </w:r>
      <w:r w:rsidR="00F524A5" w:rsidRPr="00472687">
        <w:fldChar w:fldCharType="end"/>
      </w:r>
      <w:r w:rsidR="00F524A5">
        <w:rPr>
          <w:i/>
        </w:rPr>
        <w:t xml:space="preserve"> in fine</w:t>
      </w:r>
      <w:r w:rsidR="00F524A5">
        <w:t xml:space="preserve">), Curtea consideră că excluderea </w:t>
      </w:r>
      <w:r w:rsidR="00F524A5">
        <w:rPr>
          <w:i/>
        </w:rPr>
        <w:t>actio popularis</w:t>
      </w:r>
      <w:r w:rsidR="00F524A5">
        <w:t xml:space="preserve"> în temeiul Convenției impune ca posibilitatea asociațiilor de a introduce o acțiune în fața Curții să </w:t>
      </w:r>
      <w:r w:rsidR="00F524A5">
        <w:lastRenderedPageBreak/>
        <w:t>fie supusă anumitor condiții.</w:t>
      </w:r>
      <w:bookmarkEnd w:id="710"/>
      <w:r w:rsidR="00F524A5">
        <w:t xml:space="preserve"> </w:t>
      </w:r>
      <w:bookmarkStart w:id="711" w:name="lt_pId3891"/>
      <w:r w:rsidR="00F524A5">
        <w:t>În fapt, este clar că mecanismul Convenției nu poate admite niciun tip de plângere abstractă referitoare la o deteriorare generală a condițiilor de viață dacă Curtea nu este chemată să examineze consecințele acestei deteriorări asupra unei anumite persoane sau unui anumit grup de persoane.</w:t>
      </w:r>
      <w:bookmarkEnd w:id="711"/>
    </w:p>
    <w:bookmarkStart w:id="712" w:name="paragraph0050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501</w:t>
      </w:r>
      <w:r w:rsidRPr="00472687">
        <w:fldChar w:fldCharType="end"/>
      </w:r>
      <w:bookmarkEnd w:id="712"/>
      <w:r>
        <w:t xml:space="preserve">. </w:t>
      </w:r>
      <w:bookmarkStart w:id="713" w:name="lt_pId3892"/>
      <w:bookmarkStart w:id="714" w:name="lt_pId3893"/>
      <w:bookmarkEnd w:id="713"/>
      <w:r>
        <w:t>În această privință, pentru a elabora criteriile pe care trebuie să le îndeplinească o asociație pentru a avea calitate procesuală în cadrul unui litigiu privind schimbările climatice, inițiat în temeiul Convenției, Curtea consideră că este relevant să țină seama de Convenția de la Aarhus, a cărei importanță a fost deja evidențiată în jurisprudența sa [</w:t>
      </w:r>
      <w:r>
        <w:rPr>
          <w:i/>
        </w:rPr>
        <w:t>Collectif national d’information et d’opposition à l’usine Melox – Collectif Stop Melox et Mox împotriva Franței</w:t>
      </w:r>
      <w:r>
        <w:t> (dec.), nr. </w:t>
      </w:r>
      <w:bookmarkEnd w:id="714"/>
      <w:r>
        <w:t xml:space="preserve"> </w:t>
      </w:r>
      <w:bookmarkStart w:id="715" w:name="lt_pId3894"/>
      <w:r>
        <w:t>75218/01, 28 martie 2006].</w:t>
      </w:r>
      <w:bookmarkEnd w:id="715"/>
      <w:r>
        <w:t xml:space="preserve"> </w:t>
      </w:r>
      <w:bookmarkStart w:id="716" w:name="lt_pId3895"/>
      <w:r>
        <w:t>Totuși, Curtea trebuie să țină seama de diferența care există între, pe de o parte, natura și scopul profunde ale Convenției de la Aarhus, care urmăresc să consolideze participarea publicului în probleme de mediu, și, pe de altă parte, cele ale Convenției, care urmăresc să protejeze drepturile fundamentale ale persoanei.</w:t>
      </w:r>
      <w:bookmarkEnd w:id="716"/>
      <w:r>
        <w:t xml:space="preserve"> </w:t>
      </w:r>
      <w:bookmarkStart w:id="717" w:name="lt_pId3896"/>
      <w:r>
        <w:t>De asemenea, aceasta trebuie să țină seama de particularitățile litigiilor privind schimbările climatice (supra, pct.  </w:t>
      </w:r>
      <w:r w:rsidRPr="00472687">
        <w:fldChar w:fldCharType="begin"/>
      </w:r>
      <w:r w:rsidRPr="00472687">
        <w:instrText xml:space="preserve">REF paragraph00410 \h \* CharFormat  \* MERGEFORMAT </w:instrText>
      </w:r>
      <w:r w:rsidRPr="00472687">
        <w:fldChar w:fldCharType="separate"/>
      </w:r>
      <w:r w:rsidRPr="00472687">
        <w:t>410</w:t>
      </w:r>
      <w:r w:rsidRPr="00472687">
        <w:fldChar w:fldCharType="end"/>
      </w:r>
      <w:r>
        <w:noBreakHyphen/>
      </w:r>
      <w:r w:rsidRPr="00472687">
        <w:fldChar w:fldCharType="begin"/>
      </w:r>
      <w:r w:rsidRPr="00472687">
        <w:instrText xml:space="preserve">REF paragraph00422 \h \* CharFormat  \* MERGEFORMAT </w:instrText>
      </w:r>
      <w:r w:rsidRPr="00472687">
        <w:fldChar w:fldCharType="separate"/>
      </w:r>
      <w:r w:rsidRPr="00472687">
        <w:t>422</w:t>
      </w:r>
      <w:r w:rsidRPr="00472687">
        <w:fldChar w:fldCharType="end"/>
      </w:r>
      <w:r>
        <w:t>) și de diferența dintre acest fenomen și problemele de mediu (tradiționale), mai liniare și mai localizate, pentru care a fost concepută Convenția de la Aarhus.</w:t>
      </w:r>
      <w:bookmarkEnd w:id="717"/>
      <w:r>
        <w:t xml:space="preserve"> În plus, în măsura în care acest instrument conferă asociațiilor o calitate procesuală foarte extinsă atunci când se presupune că există un efect asupra „publicului interesat” (cu condiția ca asociația în cauză să fie constituită în mod corespunzător în dreptul intern), Curtea trebuie să fie conștientă de faptul că propria sa abordare nu poate avea ca rezultat recunoașterea </w:t>
      </w:r>
      <w:r>
        <w:rPr>
          <w:i/>
        </w:rPr>
        <w:t>actio popularis,</w:t>
      </w:r>
      <w:r>
        <w:t xml:space="preserve"> care, în principiu și potrivit jurisprudenței constante, nu este prevăzută în sistemul Convenției.</w:t>
      </w:r>
    </w:p>
    <w:bookmarkStart w:id="718" w:name="lt_pId3901"/>
    <w:bookmarkStart w:id="719" w:name="paragraph00502"/>
    <w:bookmarkEnd w:id="71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502</w:t>
      </w:r>
      <w:r w:rsidRPr="00472687">
        <w:fldChar w:fldCharType="end"/>
      </w:r>
      <w:bookmarkEnd w:id="719"/>
      <w:r>
        <w:t>. Prin urmare, având în vedere considerentele precedente, Curtea va stabili, pe baza următoarelor elemente, dacă o asociație are calitate procesuală pentru a introduce o acțiune în fața sa în domeniul în cauz.</w:t>
      </w:r>
    </w:p>
    <w:p w:rsidR="00F524A5" w:rsidRPr="00472687" w:rsidRDefault="00F524A5" w:rsidP="00F524A5">
      <w:pPr>
        <w:pStyle w:val="JuPara"/>
      </w:pPr>
      <w:r>
        <w:t xml:space="preserve">Pentru a i se recunoaște calitatea procesuală de a introduce, în temeiul art. 34 din Convenție, o cerere cu privire la pretinsa încălcare de către un stat contractant a obligației sale de a lua măsuri adecvate pentru a proteja persoanele particulare împotriva efectelor nefaste ale schimbărilor climatice asupra vieții și sănătății umane, asociația în cauză trebuie: a) să fi fost legal constituită în țara în cauză sau să aibă calitate procesuală în țara respectivă, b) să fie în măsură să demonstreze că urmărește un scop specific, conform cu obiectivele sale statutare, în vederea apărării drepturilor fundamentale ale membrilor săi sau ale altor persoane afectate aflate sub jurisdicția țării, indiferent dacă aceasta se limitează sau nu la acțiuni colective pentru protecția acestor drepturi împotriva amenințărilor legate de schimbările climatice, și c) să fie în măsură să demonstreze că poate fi considerată într-adevăr ca fiind reprezentativă și abilitată să acționeze în numele membrilor săi ori al altor persoane afectate aflate sub jurisdicția țării, a căror viață, sănătate sau </w:t>
      </w:r>
      <w:r>
        <w:lastRenderedPageBreak/>
        <w:t>bunăstare, astfel cum sunt protejate de Convenție, sunt expuse unor amenințări specifice sau unor consecințe nefaste specifice legate de schimbările climatice.</w:t>
      </w:r>
    </w:p>
    <w:p w:rsidR="00F524A5" w:rsidRPr="00472687" w:rsidRDefault="00F524A5" w:rsidP="00F524A5">
      <w:pPr>
        <w:pStyle w:val="JuPara"/>
      </w:pPr>
      <w:bookmarkStart w:id="720" w:name="lt_pId3904"/>
      <w:r>
        <w:t>În acest context, Curtea va ține seama de factori precum scopul constituirii asociației, caracterul nelucrativ al activităților sale, natura și întinderea activităților sale din țara în cauză, numărul membrelor sale și reprezentativitatea sa, principiile și transparența guvernanței sale și aspectul dacă, în general, în circumstanțele specifice ale unei cauze, acordarea calității procesuale asociației servește intereselor unei bune administrări a justiției.</w:t>
      </w:r>
      <w:bookmarkEnd w:id="720"/>
    </w:p>
    <w:p w:rsidR="00F524A5" w:rsidRPr="00472687" w:rsidRDefault="00F524A5" w:rsidP="00F524A5">
      <w:pPr>
        <w:pStyle w:val="JuPara"/>
      </w:pPr>
      <w:bookmarkStart w:id="721" w:name="lt_pId3906"/>
      <w:r>
        <w:t>Având în vedere particularitățile recurgerii la o acțiune în justiție de către o asociație în acest domeniu (supra, pct. </w:t>
      </w:r>
      <w:r w:rsidRPr="00472687">
        <w:fldChar w:fldCharType="begin"/>
      </w:r>
      <w:r w:rsidRPr="00472687">
        <w:instrText xml:space="preserve">REF paragraph00497 \h \* CharFormat  \* MERGEFORMAT </w:instrText>
      </w:r>
      <w:r w:rsidRPr="00472687">
        <w:fldChar w:fldCharType="separate"/>
      </w:r>
      <w:r w:rsidRPr="00472687">
        <w:t>497</w:t>
      </w:r>
      <w:r w:rsidRPr="00472687">
        <w:fldChar w:fldCharType="end"/>
      </w:r>
      <w:r>
        <w:noBreakHyphen/>
      </w:r>
      <w:r w:rsidRPr="00472687">
        <w:fldChar w:fldCharType="begin"/>
      </w:r>
      <w:r w:rsidRPr="00472687">
        <w:instrText xml:space="preserve"> REF paragraph00499 \h  \* CharFormat  \* MERGEFORMAT </w:instrText>
      </w:r>
      <w:r w:rsidRPr="00472687">
        <w:fldChar w:fldCharType="separate"/>
      </w:r>
      <w:r w:rsidRPr="00472687">
        <w:t>499</w:t>
      </w:r>
      <w:r w:rsidRPr="00472687">
        <w:fldChar w:fldCharType="end"/>
      </w:r>
      <w:r>
        <w:t>), calitatea procesuală a unei asociații de a acționa în numele membrilor săi sau al altor persoane afectate aflate sub jurisdicția țării în cauză nu va fi supusă unei obligații distincte de a stabili că persoanele în numele cărora a fost sesizată Curtea ar fi îndeplinit ele însele condițiile de acordare a calității de victimă, care se aplică persoanelor fizice în domeniul schimbărilor climatice, astfel cum au fost stabilite la punctele </w:t>
      </w:r>
      <w:r w:rsidRPr="00472687">
        <w:fldChar w:fldCharType="begin"/>
      </w:r>
      <w:r w:rsidRPr="00472687">
        <w:instrText xml:space="preserve">REF paragraph00487 \h \* CharFormat  \* MERGEFORMAT </w:instrText>
      </w:r>
      <w:r w:rsidRPr="00472687">
        <w:fldChar w:fldCharType="separate"/>
      </w:r>
      <w:r w:rsidRPr="00472687">
        <w:t>487</w:t>
      </w:r>
      <w:r w:rsidRPr="00472687">
        <w:fldChar w:fldCharType="end"/>
      </w:r>
      <w:r>
        <w:t xml:space="preserve"> - </w:t>
      </w:r>
      <w:r w:rsidRPr="00472687">
        <w:fldChar w:fldCharType="begin"/>
      </w:r>
      <w:r w:rsidRPr="00472687">
        <w:instrText xml:space="preserve">REF paragraph00488 \h \* CharFormat  \* MERGEFORMAT </w:instrText>
      </w:r>
      <w:r w:rsidRPr="00472687">
        <w:fldChar w:fldCharType="separate"/>
      </w:r>
      <w:r w:rsidRPr="00472687">
        <w:t>488</w:t>
      </w:r>
      <w:r w:rsidRPr="00472687">
        <w:fldChar w:fldCharType="end"/>
      </w:r>
      <w:r>
        <w:t xml:space="preserve"> de mai sus.</w:t>
      </w:r>
      <w:bookmarkEnd w:id="721"/>
    </w:p>
    <w:p w:rsidR="00F524A5" w:rsidRPr="00472687" w:rsidRDefault="00C71855" w:rsidP="00F524A5">
      <w:pPr>
        <w:pStyle w:val="JuPara"/>
      </w:pPr>
      <w:fldSimple w:instr=" SEQ level0 \*arabic \* MERGEFORMAT ">
        <w:r w:rsidR="00F524A5" w:rsidRPr="00472687">
          <w:t>503</w:t>
        </w:r>
      </w:fldSimple>
      <w:r w:rsidR="00F524A5">
        <w:t>. În cazul unor restricții privind calitatea procesuală în fața instanțelor naționale a unei asociații care îndeplinește cerințele Convenției sus-menționate, Curtea poate, de asemenea, în interesul unei bune administrări a justiției, să țină seama dacă și în ce măsură membrii săi individuali sau alte persoane afectate au putut să aibă acces la o instanță în cadrul aceleiași proceduri interne sau al unei proceduri interne conexe.</w:t>
      </w:r>
    </w:p>
    <w:p w:rsidR="00F524A5" w:rsidRPr="00472687" w:rsidRDefault="00F524A5" w:rsidP="00E72A1B">
      <w:pPr>
        <w:pStyle w:val="JuHi"/>
        <w:numPr>
          <w:ilvl w:val="5"/>
          <w:numId w:val="51"/>
        </w:numPr>
        <w:tabs>
          <w:tab w:val="clear" w:pos="1077"/>
          <w:tab w:val="clear" w:pos="1134"/>
          <w:tab w:val="clear" w:pos="1191"/>
          <w:tab w:val="clear" w:pos="1247"/>
        </w:tabs>
        <w:ind w:left="1276" w:hanging="425"/>
      </w:pPr>
      <w:bookmarkStart w:id="722" w:name="lt_pId3907"/>
      <w:bookmarkStart w:id="723" w:name="_Toc199273567"/>
      <w:r>
        <w:t>Aplicarea acestor principii în prezenta cauză</w:t>
      </w:r>
      <w:bookmarkEnd w:id="722"/>
      <w:bookmarkEnd w:id="723"/>
    </w:p>
    <w:p w:rsidR="00F524A5" w:rsidRPr="00472687" w:rsidRDefault="00C71855" w:rsidP="00F524A5">
      <w:pPr>
        <w:pStyle w:val="JuPara"/>
      </w:pPr>
      <w:fldSimple w:instr=" SEQ level0 \*arabic \* MERGEFORMAT ">
        <w:r w:rsidR="00F524A5" w:rsidRPr="00472687">
          <w:t>504</w:t>
        </w:r>
      </w:fldSimple>
      <w:r w:rsidR="00F524A5">
        <w:t xml:space="preserve">. </w:t>
      </w:r>
      <w:bookmarkStart w:id="724" w:name="lt_pId3908"/>
      <w:bookmarkStart w:id="725" w:name="lt_pId3909"/>
      <w:bookmarkEnd w:id="724"/>
      <w:r w:rsidR="00F524A5">
        <w:t>Guvernul pârât contestă calitatea procesuală/calitatea de victimă a tuturor reclamantelor în ceea ce privește dispozițiile materiale ale Convenției care sunt invocate, și anume art. 2 și 8 (supra, pct. </w:t>
      </w:r>
      <w:r w:rsidR="00F524A5" w:rsidRPr="00472687">
        <w:fldChar w:fldCharType="begin"/>
      </w:r>
      <w:r w:rsidR="00F524A5" w:rsidRPr="00472687">
        <w:instrText xml:space="preserve">REF paragraph00341 \h \* CharFormat  \* MERGEFORMAT </w:instrText>
      </w:r>
      <w:r w:rsidR="00F524A5" w:rsidRPr="00472687">
        <w:fldChar w:fldCharType="separate"/>
      </w:r>
      <w:r w:rsidR="00F524A5" w:rsidRPr="00472687">
        <w:t>341</w:t>
      </w:r>
      <w:r w:rsidR="00F524A5" w:rsidRPr="00472687">
        <w:fldChar w:fldCharType="end"/>
      </w:r>
      <w:r w:rsidR="00F524A5">
        <w:t xml:space="preserve"> și </w:t>
      </w:r>
      <w:r w:rsidR="00F524A5" w:rsidRPr="00472687">
        <w:fldChar w:fldCharType="begin"/>
      </w:r>
      <w:r w:rsidR="00F524A5" w:rsidRPr="00472687">
        <w:instrText xml:space="preserve">REF paragraph00345 \h \* CharFormat  \* MERGEFORMAT </w:instrText>
      </w:r>
      <w:r w:rsidR="00F524A5" w:rsidRPr="00472687">
        <w:fldChar w:fldCharType="separate"/>
      </w:r>
      <w:r w:rsidR="00F524A5" w:rsidRPr="00472687">
        <w:t>345</w:t>
      </w:r>
      <w:r w:rsidR="00F524A5" w:rsidRPr="00472687">
        <w:fldChar w:fldCharType="end"/>
      </w:r>
      <w:r w:rsidR="00F524A5">
        <w:t>).</w:t>
      </w:r>
      <w:bookmarkEnd w:id="725"/>
    </w:p>
    <w:bookmarkStart w:id="726" w:name="paragraph0050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505</w:t>
      </w:r>
      <w:r w:rsidRPr="00472687">
        <w:fldChar w:fldCharType="end"/>
      </w:r>
      <w:bookmarkStart w:id="727" w:name="lt_pId3911"/>
      <w:bookmarkEnd w:id="726"/>
      <w:r>
        <w:t>Urmând abordarea prezentată la punctul </w:t>
      </w:r>
      <w:r w:rsidRPr="00472687">
        <w:rPr>
          <w:b/>
        </w:rPr>
        <w:fldChar w:fldCharType="begin"/>
      </w:r>
      <w:r w:rsidRPr="00472687">
        <w:instrText xml:space="preserve">REF paragraph00459 \h \* CharFormat </w:instrText>
      </w:r>
      <w:r w:rsidRPr="00472687">
        <w:rPr>
          <w:b/>
        </w:rPr>
        <w:instrText xml:space="preserve"> \* MERGEFORMAT </w:instrText>
      </w:r>
      <w:r w:rsidRPr="00472687">
        <w:rPr>
          <w:b/>
        </w:rPr>
      </w:r>
      <w:r w:rsidRPr="00472687">
        <w:rPr>
          <w:b/>
        </w:rPr>
        <w:fldChar w:fldCharType="separate"/>
      </w:r>
      <w:r w:rsidRPr="00472687">
        <w:t>459</w:t>
      </w:r>
      <w:r w:rsidRPr="00472687">
        <w:rPr>
          <w:b/>
        </w:rPr>
        <w:fldChar w:fldCharType="end"/>
      </w:r>
      <w:r>
        <w:t xml:space="preserve"> de mai sus, Curtea va examina chestiunile referitoare la calitatea de victimă a reclamantelor nr. </w:t>
      </w:r>
      <w:bookmarkEnd w:id="727"/>
      <w:r>
        <w:t>2-5 și la calitatea procesuală a asociației reclamante atunci când va examina aplicabilitatea art. 2 și 8 din Convenție.</w:t>
      </w:r>
    </w:p>
    <w:p w:rsidR="00F524A5" w:rsidRPr="00472687" w:rsidRDefault="00F524A5" w:rsidP="00E72A1B">
      <w:pPr>
        <w:pStyle w:val="JuHa0"/>
        <w:numPr>
          <w:ilvl w:val="4"/>
          <w:numId w:val="51"/>
        </w:numPr>
      </w:pPr>
      <w:bookmarkStart w:id="728" w:name="_Toc199273568"/>
      <w:r>
        <w:t>Cu privire la aplicabilitatea dispozițiilor relevante ale Convenției</w:t>
      </w:r>
      <w:bookmarkEnd w:id="728"/>
    </w:p>
    <w:p w:rsidR="00F524A5" w:rsidRPr="00472687" w:rsidRDefault="00C71855" w:rsidP="00F524A5">
      <w:pPr>
        <w:pStyle w:val="JuPara"/>
      </w:pPr>
      <w:fldSimple w:instr=" SEQ level0 \*arabic \* MERGEFORMAT ">
        <w:r w:rsidR="00F524A5" w:rsidRPr="00472687">
          <w:t>506</w:t>
        </w:r>
      </w:fldSimple>
      <w:r w:rsidR="00F524A5">
        <w:t>. În sensul observațiilor formulate mai sus cu privire la calitatea de victimă (supra, pct. </w:t>
      </w:r>
      <w:r w:rsidR="00F524A5" w:rsidRPr="00472687">
        <w:fldChar w:fldCharType="begin"/>
      </w:r>
      <w:r w:rsidR="00F524A5" w:rsidRPr="00472687">
        <w:instrText xml:space="preserve">REF paragraph00458 \h \* CharFormat </w:instrText>
      </w:r>
      <w:r w:rsidR="00F524A5" w:rsidRPr="00472687">
        <w:fldChar w:fldCharType="separate"/>
      </w:r>
      <w:r w:rsidR="00F524A5" w:rsidRPr="00472687">
        <w:t>458</w:t>
      </w:r>
      <w:r w:rsidR="00F524A5" w:rsidRPr="00472687">
        <w:fldChar w:fldCharType="end"/>
      </w:r>
      <w:r w:rsidR="00F524A5">
        <w:t>), problema aplicabilității dispozițiilor relevante din Convenție poate fi examinată separat, ca o chestiune de admisibilitate, sau în cadrul examinării pe fond a capătului de cerere [a se vedea, de exemplu, cu titlu de comparație,</w:t>
      </w:r>
      <w:r w:rsidR="00F524A5">
        <w:rPr>
          <w:i/>
        </w:rPr>
        <w:t xml:space="preserve"> Budaieva și alții împotriva Rusiei, </w:t>
      </w:r>
      <w:r w:rsidR="00F524A5">
        <w:t>nr. 15339/02 și alte 4 cereri, pct. 146, CEDO 2008 (extrase), și</w:t>
      </w:r>
      <w:r w:rsidR="00F524A5">
        <w:rPr>
          <w:i/>
        </w:rPr>
        <w:t xml:space="preserve"> M. Özel și alții împotriva Turciei, </w:t>
      </w:r>
      <w:r w:rsidR="00F524A5">
        <w:t xml:space="preserve">nr. 14350/05 și alte 2 cereri, pct. 171 </w:t>
      </w:r>
      <w:r w:rsidR="00F524A5">
        <w:rPr>
          <w:i/>
          <w:iCs/>
        </w:rPr>
        <w:t>in fine</w:t>
      </w:r>
      <w:r w:rsidR="00F524A5">
        <w:t>, 17 noiembrie 2015].</w:t>
      </w:r>
      <w:r w:rsidR="00F524A5">
        <w:rPr>
          <w:b/>
        </w:rPr>
        <w:t xml:space="preserve"> </w:t>
      </w:r>
      <w:r w:rsidR="00F524A5">
        <w:t xml:space="preserve">Din motive de claritate metodologică, Curtea va prezenta separat principiile generale </w:t>
      </w:r>
      <w:r w:rsidR="00F524A5">
        <w:lastRenderedPageBreak/>
        <w:t>referitoare la aplicabilitate</w:t>
      </w:r>
      <w:r w:rsidR="00F524A5">
        <w:rPr>
          <w:b/>
        </w:rPr>
        <w:t xml:space="preserve"> </w:t>
      </w:r>
      <w:r w:rsidR="00F524A5">
        <w:t>(a se vedea abordarea adoptată la punctul </w:t>
      </w:r>
      <w:r w:rsidR="00F524A5" w:rsidRPr="00472687">
        <w:fldChar w:fldCharType="begin"/>
      </w:r>
      <w:r w:rsidR="00F524A5" w:rsidRPr="00472687">
        <w:instrText xml:space="preserve">REF paragraph00459 \h \* CharFormat </w:instrText>
      </w:r>
      <w:r w:rsidR="00F524A5" w:rsidRPr="00472687">
        <w:fldChar w:fldCharType="separate"/>
      </w:r>
      <w:r w:rsidR="00F524A5" w:rsidRPr="00472687">
        <w:t>459</w:t>
      </w:r>
      <w:r w:rsidR="00F524A5" w:rsidRPr="00472687">
        <w:fldChar w:fldCharType="end"/>
      </w:r>
      <w:r w:rsidR="00F524A5">
        <w:t xml:space="preserve"> de mai sus).</w:t>
      </w:r>
    </w:p>
    <w:p w:rsidR="00F524A5" w:rsidRPr="00472687" w:rsidRDefault="00F524A5" w:rsidP="00F524A5">
      <w:pPr>
        <w:pStyle w:val="JuHi"/>
        <w:numPr>
          <w:ilvl w:val="5"/>
          <w:numId w:val="23"/>
        </w:numPr>
        <w:tabs>
          <w:tab w:val="clear" w:pos="1077"/>
          <w:tab w:val="clear" w:pos="1134"/>
          <w:tab w:val="clear" w:pos="1191"/>
          <w:tab w:val="clear" w:pos="1247"/>
        </w:tabs>
        <w:ind w:left="1276" w:hanging="425"/>
      </w:pPr>
      <w:bookmarkStart w:id="729" w:name="_Toc199273569"/>
      <w:r>
        <w:t>Principii generale</w:t>
      </w:r>
      <w:bookmarkEnd w:id="729"/>
    </w:p>
    <w:p w:rsidR="00F524A5" w:rsidRPr="00472687" w:rsidRDefault="00F524A5" w:rsidP="00F524A5">
      <w:pPr>
        <w:pStyle w:val="JuHalpha"/>
        <w:numPr>
          <w:ilvl w:val="6"/>
          <w:numId w:val="33"/>
        </w:numPr>
        <w:tabs>
          <w:tab w:val="clear" w:pos="1361"/>
        </w:tabs>
        <w:ind w:left="1701" w:hanging="425"/>
      </w:pPr>
      <w:r>
        <w:t>Art. 2</w:t>
      </w:r>
    </w:p>
    <w:bookmarkStart w:id="730" w:name="paragraph0050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507</w:t>
      </w:r>
      <w:r w:rsidRPr="00472687">
        <w:fldChar w:fldCharType="end"/>
      </w:r>
      <w:bookmarkEnd w:id="730"/>
      <w:r>
        <w:t>. În hotărârea pronunțată în cauza</w:t>
      </w:r>
      <w:r>
        <w:rPr>
          <w:i/>
        </w:rPr>
        <w:t xml:space="preserve"> Nicolae Virgiliu Tănase împotriva României </w:t>
      </w:r>
      <w:r>
        <w:t>[(MC), nr. 41720/13, pct. 140-141, 25 iunie 2019], Curtea a dezvoltat</w:t>
      </w:r>
      <w:r>
        <w:rPr>
          <w:b/>
        </w:rPr>
        <w:t xml:space="preserve"> </w:t>
      </w:r>
      <w:r>
        <w:t>principiile generale referitoare la aplicabilitatea art. 2 în cazurile în care era în joc dreptul la viață și persoana în cauză nu decedase. Partea relevantă în speță a raționamentului Curții se citește astfel:</w:t>
      </w:r>
    </w:p>
    <w:p w:rsidR="00F524A5" w:rsidRPr="00472687" w:rsidRDefault="00F524A5" w:rsidP="00F524A5">
      <w:pPr>
        <w:pStyle w:val="JuQuot"/>
      </w:pPr>
      <w:r>
        <w:t xml:space="preserve">„140. Pe de altă parte, reiese din jurisprudența Curții că, în cazul în care victima a supraviețuit și nu invocă nicio intenție de omor, criteriul care trebuie aplicat unui capăt de cerere examinat sub acest aspect al art. 2 constă în a stabili, în primul rând, dacă persoana a fost victima unei activități, publice sau private, care prin natura ei a reprezentat un risc real și imediat pentru viața sa și, în al doilea rând, dacă a suferit vătămări care păreau potențial letale în momentul constatării lor. Mai pot intra în joc și alți factori [...] Aprecierea Curții depinde de circumstanțe. Deși nu există o regulă generală, reiese că, dacă prin natura ei, activitatea în discuție este periculoasă și poate să expună viața persoanei care se implică în aceasta unui risc real și iminent, [...] gravitatea vătămărilor suferite poate să nu fie determinantă și, chiar în absența oricărei vătămări corporale, un capăt de cerere poate, în acest caz, să facă obiectul unei examinări în raport cu art. 2 ([...]. </w:t>
      </w:r>
      <w:r>
        <w:rPr>
          <w:i/>
          <w:iCs/>
        </w:rPr>
        <w:t>Koliadenko și alții</w:t>
      </w:r>
      <w:r>
        <w:t>, citată anterior, pct. 155, care avea ca obiect un caz de catastrofă naturală).</w:t>
      </w:r>
    </w:p>
    <w:p w:rsidR="00F524A5" w:rsidRPr="00472687" w:rsidRDefault="00F524A5" w:rsidP="00F524A5">
      <w:pPr>
        <w:pStyle w:val="JuQuot"/>
        <w:rPr>
          <w:b/>
          <w:bCs/>
        </w:rPr>
      </w:pPr>
      <w:r>
        <w:t>141. Curtea a hotărât că art. 2 implică o astfel de obligație pozitivă procedurală în diferite domenii, ca de exemplu cel al [...] activităților periculoase de natură să producă dezastre industriale sau ecologice (</w:t>
      </w:r>
      <w:r>
        <w:rPr>
          <w:i/>
          <w:iCs/>
        </w:rPr>
        <w:t>Öneryıldız</w:t>
      </w:r>
      <w:r>
        <w:rPr>
          <w:i/>
        </w:rPr>
        <w:t xml:space="preserve"> </w:t>
      </w:r>
      <w:r>
        <w:t>[</w:t>
      </w:r>
      <w:r>
        <w:rPr>
          <w:i/>
          <w:iCs/>
        </w:rPr>
        <w:t>împotriva </w:t>
      </w:r>
      <w:r>
        <w:rPr>
          <w:i/>
        </w:rPr>
        <w:t xml:space="preserve">Turciei </w:t>
      </w:r>
      <w:r>
        <w:t xml:space="preserve">(MC), nr. 48939/99, CEDO 2004-XII] și </w:t>
      </w:r>
      <w:r>
        <w:rPr>
          <w:i/>
        </w:rPr>
        <w:t>Budaieva și alții,</w:t>
      </w:r>
      <w:r>
        <w:t xml:space="preserve"> citată anterior [...] [Această listă] nu este exhaustivă [...] ”</w:t>
      </w:r>
    </w:p>
    <w:p w:rsidR="00F524A5" w:rsidRPr="00472687" w:rsidRDefault="00C71855" w:rsidP="00F524A5">
      <w:pPr>
        <w:pStyle w:val="JuPara"/>
      </w:pPr>
      <w:fldSimple w:instr=" SEQ level0 \*arabic \* MERGEFORMAT ">
        <w:r w:rsidR="00F524A5" w:rsidRPr="00472687">
          <w:t>508</w:t>
        </w:r>
      </w:fldSimple>
      <w:r w:rsidR="00F524A5">
        <w:t>. Principiile relevante referitoare la art. 2 din jurisprudența actuală privind degradarea mediului au în comun ideea că, pentru ca statul să aibă o obligație pozitivă, trebuie să existe o amenințare la adresa dreptului la viață. Acest lucru reiese din</w:t>
      </w:r>
      <w:r w:rsidR="00F524A5">
        <w:rPr>
          <w:b/>
        </w:rPr>
        <w:t xml:space="preserve"> </w:t>
      </w:r>
      <w:r w:rsidR="00F524A5">
        <w:t xml:space="preserve">jurisprudența citată în hotărârea </w:t>
      </w:r>
      <w:r w:rsidR="00F524A5">
        <w:rPr>
          <w:i/>
        </w:rPr>
        <w:t>Nicolae Virgiliu Tănase</w:t>
      </w:r>
      <w:r w:rsidR="00F524A5">
        <w:t xml:space="preserve"> (a se vedea, de exemplu, </w:t>
      </w:r>
      <w:r w:rsidR="00F524A5">
        <w:rPr>
          <w:i/>
        </w:rPr>
        <w:t>Öneryıldız</w:t>
      </w:r>
      <w:r w:rsidR="00F524A5">
        <w:t xml:space="preserve">, pct. 71, și </w:t>
      </w:r>
      <w:r w:rsidR="00F524A5">
        <w:rPr>
          <w:i/>
        </w:rPr>
        <w:t>Budaieva și alții</w:t>
      </w:r>
      <w:r w:rsidR="00F524A5">
        <w:t>, pct. 130, ambele citate anterior). Acest lucru se poate aplica, de exemplu, activităților industriale care sunt</w:t>
      </w:r>
      <w:r w:rsidR="00F524A5">
        <w:rPr>
          <w:i/>
        </w:rPr>
        <w:t xml:space="preserve"> </w:t>
      </w:r>
      <w:r w:rsidR="00F524A5">
        <w:t>periculoase prin natura lor</w:t>
      </w:r>
      <w:r w:rsidR="00F524A5">
        <w:rPr>
          <w:i/>
        </w:rPr>
        <w:t xml:space="preserve"> (Koliadenko și alții,</w:t>
      </w:r>
      <w:r w:rsidR="00F524A5">
        <w:t xml:space="preserve"> citată anterior, pct. 158) sau cazurilor în care dreptul la viață este amenințat de o catastrofă naturală (</w:t>
      </w:r>
      <w:r w:rsidR="00F524A5">
        <w:rPr>
          <w:i/>
        </w:rPr>
        <w:t xml:space="preserve">M. Özel </w:t>
      </w:r>
      <w:r w:rsidR="00F524A5">
        <w:rPr>
          <w:i/>
          <w:iCs/>
        </w:rPr>
        <w:t>și alții</w:t>
      </w:r>
      <w:r w:rsidR="00F524A5">
        <w:t>, citată anterior, pct. 170).</w:t>
      </w:r>
    </w:p>
    <w:bookmarkStart w:id="731" w:name="paragraph00509"/>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509</w:t>
      </w:r>
      <w:r w:rsidRPr="00472687">
        <w:fldChar w:fldCharType="end"/>
      </w:r>
      <w:bookmarkEnd w:id="731"/>
      <w:r>
        <w:t xml:space="preserve">. Din principiile generale sus-menționate rezultă că plângerile referitoare la pretinsa neîndeplinire de către stat a obligației sale de a combate schimbările climatice se încadrează perfect în categoria cauzelor având ca obiect o activitate care, prin însăși natura sa, poate să pună în pericol viața unei persoane. Într-adevăr, reclamantele au transmis Curții date științifice incontestabile, care arată existența unei legături între schimbările climatice și un risc crescut de mortalitate, în special în rândul categoriilor vulnerabile </w:t>
      </w:r>
      <w:r>
        <w:lastRenderedPageBreak/>
        <w:t>(supra, pct. </w:t>
      </w:r>
      <w:r w:rsidRPr="00472687">
        <w:fldChar w:fldCharType="begin"/>
      </w:r>
      <w:r w:rsidRPr="00472687">
        <w:instrText xml:space="preserve">REF paragraph00065 \h \* CharFormat </w:instrText>
      </w:r>
      <w:r w:rsidRPr="00472687">
        <w:fldChar w:fldCharType="separate"/>
      </w:r>
      <w:r w:rsidRPr="00472687">
        <w:t>65</w:t>
      </w:r>
      <w:r w:rsidRPr="00472687">
        <w:fldChar w:fldCharType="end"/>
      </w:r>
      <w:r>
        <w:t>-</w:t>
      </w:r>
      <w:r w:rsidRPr="00472687">
        <w:fldChar w:fldCharType="begin"/>
      </w:r>
      <w:r w:rsidRPr="00472687">
        <w:instrText xml:space="preserve">REF paragraph00068 \h \* CharFormat </w:instrText>
      </w:r>
      <w:r w:rsidRPr="00472687">
        <w:fldChar w:fldCharType="separate"/>
      </w:r>
      <w:r w:rsidRPr="00472687">
        <w:t>68</w:t>
      </w:r>
      <w:r w:rsidRPr="00472687">
        <w:fldChar w:fldCharType="end"/>
      </w:r>
      <w:r>
        <w:t>). În prezent, argumentele prezentate de Guvernul pârât sau de guvernele interveniente nu conțin niciun element care să pună în discuție relevanța și fiabilitatea acestor probe.</w:t>
      </w:r>
    </w:p>
    <w:bookmarkStart w:id="732" w:name="paragraph0051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510</w:t>
      </w:r>
      <w:r w:rsidRPr="00472687">
        <w:fldChar w:fldCharType="end"/>
      </w:r>
      <w:bookmarkEnd w:id="732"/>
      <w:r>
        <w:t xml:space="preserve">. Astfel, IPCC a constatat (cu un </w:t>
      </w:r>
      <w:r>
        <w:rPr>
          <w:i/>
        </w:rPr>
        <w:t xml:space="preserve">grad mediu de încredere) </w:t>
      </w:r>
      <w:r>
        <w:t>că schimbările climatice antropice, în special creșterea frecvenței și severității evenimentelor extreme, cresc mortalitatea umană legată de căldură</w:t>
      </w:r>
      <w:r>
        <w:rPr>
          <w:rStyle w:val="FootnoteReference"/>
        </w:rPr>
        <w:footnoteReference w:id="194"/>
      </w:r>
      <w:r>
        <w:t>. Alte studii științifice au arătat de asemenea că, începând cu anul 2000, valurile de caniculă au cauzat zeci de mii de decese premature în Europa</w:t>
      </w:r>
      <w:r>
        <w:rPr>
          <w:rStyle w:val="FootnoteReference"/>
        </w:rPr>
        <w:footnoteReference w:id="195"/>
      </w:r>
      <w:r>
        <w:t xml:space="preserve">. În acest domeniu, IPCC a constatat de asemenea (cu </w:t>
      </w:r>
      <w:r>
        <w:rPr>
          <w:i/>
          <w:iCs/>
        </w:rPr>
        <w:t>un grad ridicat de încredere</w:t>
      </w:r>
      <w:r>
        <w:t>)</w:t>
      </w:r>
      <w:r>
        <w:rPr>
          <w:i/>
        </w:rPr>
        <w:t xml:space="preserve"> </w:t>
      </w:r>
      <w:r>
        <w:t>că populațiile „cele mai expuse riscului” de morbiditate și mortalitate legate de temperatură includ persoanele în vârstă, copiii, femeile, persoanele care suferă de boli cronice și persoanele care iau anumite medicamente</w:t>
      </w:r>
      <w:r>
        <w:rPr>
          <w:rStyle w:val="FootnoteReference"/>
        </w:rPr>
        <w:footnoteReference w:id="196"/>
      </w:r>
      <w:r>
        <w:t>.</w:t>
      </w:r>
    </w:p>
    <w:p w:rsidR="00F524A5" w:rsidRPr="00472687" w:rsidRDefault="00C71855" w:rsidP="00F524A5">
      <w:pPr>
        <w:pStyle w:val="JuPara"/>
      </w:pPr>
      <w:fldSimple w:instr=" SEQ level0 \*arabic \* MERGEFORMAT ">
        <w:r w:rsidR="00F524A5" w:rsidRPr="00472687">
          <w:t>511</w:t>
        </w:r>
      </w:fldSimple>
      <w:r w:rsidR="00F524A5">
        <w:t xml:space="preserve">. Cu toate acestea, aplicabilitatea art. 2 nu poate funcționa </w:t>
      </w:r>
      <w:r w:rsidR="00F524A5">
        <w:rPr>
          <w:i/>
        </w:rPr>
        <w:t xml:space="preserve">in abstracto </w:t>
      </w:r>
      <w:r w:rsidR="00F524A5">
        <w:t xml:space="preserve">astfel încât să protejeze populația împotriva oricărui tip de daune aduse mediului care pot rezulta din schimbările climatice. Potrivit jurisprudenței citate la punctul </w:t>
      </w:r>
      <w:r w:rsidR="00F524A5" w:rsidRPr="00472687">
        <w:fldChar w:fldCharType="begin"/>
      </w:r>
      <w:r w:rsidR="00F524A5" w:rsidRPr="00472687">
        <w:instrText xml:space="preserve">REF paragraph00507 \h \* CharFormat </w:instrText>
      </w:r>
      <w:r w:rsidR="00F524A5" w:rsidRPr="00472687">
        <w:fldChar w:fldCharType="separate"/>
      </w:r>
      <w:r w:rsidR="00F524A5" w:rsidRPr="00472687">
        <w:t>507</w:t>
      </w:r>
      <w:r w:rsidR="00F524A5" w:rsidRPr="00472687">
        <w:fldChar w:fldCharType="end"/>
      </w:r>
      <w:r w:rsidR="00F524A5">
        <w:t xml:space="preserve"> de mai sus, pentru ca art. 2 să se aplice în cadrul unei activități care, prin însăși natura sa, este susceptibilă să pună în pericol viața unei persoane, trebuie să existe un risc „real și iminent” pentru viață. Prin urmare, acest lucru se poate extinde la capetele de cerere întemeiate pe acțiunea și/sau inacțiunea statului în contextul schimbărilor climatice, în special în circumstanțe precum cele din prezenta cauză, având în vedere faptul că IPCC a constatat, cu un grad ridicat de încredere, că persoanele în vârstă sunt „cele mai expuse riscului” de morbiditate și de mortalitate legate de temperatură.</w:t>
      </w:r>
    </w:p>
    <w:p w:rsidR="00F524A5" w:rsidRPr="00472687" w:rsidRDefault="00C71855" w:rsidP="00F524A5">
      <w:pPr>
        <w:pStyle w:val="JuPara"/>
      </w:pPr>
      <w:fldSimple w:instr=" SEQ level0 \*arabic \* MERGEFORMAT ">
        <w:r w:rsidR="00F524A5" w:rsidRPr="00472687">
          <w:t>512</w:t>
        </w:r>
      </w:fldSimple>
      <w:r w:rsidR="00F524A5">
        <w:t xml:space="preserve">. Poate că este imposibilă elaborarea unei reguli generale cu privire la ceea ce constituie un risc „real și iminent” pentru viață, întrucât acest lucru depinde de aprecierea de către Curte a circumstanțelor specifice unei cauze. Totuși, jurisprudența Curții arată că noțiunea de risc „real” corespunde condiției existenței unei amenințări grave și reale la adresa vieții unei persoane, și care poate fi suficient verificată [a se vedea, de exemplu, </w:t>
      </w:r>
      <w:r w:rsidR="00F524A5">
        <w:rPr>
          <w:i/>
        </w:rPr>
        <w:t>Fadeieva împotriva Rusiei</w:t>
      </w:r>
      <w:r w:rsidR="00F524A5">
        <w:t xml:space="preserve"> (dec.), nr. 55723/00, 16 octombrie 2003, și </w:t>
      </w:r>
      <w:r w:rsidR="00F524A5">
        <w:rPr>
          <w:i/>
        </w:rPr>
        <w:t>Brincat și alții</w:t>
      </w:r>
      <w:r w:rsidR="00F524A5">
        <w:t xml:space="preserve">, citată anterior, pct. 82-84]. În ceea ce privește „iminența” unui astfel de risc, aceasta implică un element de proximitate fizică a amenințării (a se vedea, de exemplu, </w:t>
      </w:r>
      <w:r w:rsidR="00F524A5">
        <w:rPr>
          <w:i/>
        </w:rPr>
        <w:t>Koliadenko și alții,</w:t>
      </w:r>
      <w:r w:rsidR="00F524A5">
        <w:t xml:space="preserve"> citată anterior, pct. 150-155) și de proximitate temporală a amenințării (</w:t>
      </w:r>
      <w:r w:rsidR="00F524A5">
        <w:rPr>
          <w:i/>
        </w:rPr>
        <w:t>Brincat și alții</w:t>
      </w:r>
      <w:r w:rsidR="00F524A5">
        <w:t>, citată anterior, pct. 84).</w:t>
      </w:r>
    </w:p>
    <w:bookmarkStart w:id="733" w:name="paragraph00513"/>
    <w:p w:rsidR="00F524A5" w:rsidRPr="00472687" w:rsidRDefault="00F524A5" w:rsidP="00F524A5">
      <w:pPr>
        <w:pStyle w:val="JuPara"/>
      </w:pPr>
      <w:r w:rsidRPr="00472687">
        <w:lastRenderedPageBreak/>
        <w:fldChar w:fldCharType="begin"/>
      </w:r>
      <w:r w:rsidRPr="00472687">
        <w:instrText xml:space="preserve"> SEQ level0 \*arabic \* MERGEFORMAT </w:instrText>
      </w:r>
      <w:r w:rsidRPr="00472687">
        <w:fldChar w:fldCharType="separate"/>
      </w:r>
      <w:r w:rsidRPr="00472687">
        <w:t>513</w:t>
      </w:r>
      <w:r w:rsidRPr="00472687">
        <w:fldChar w:fldCharType="end"/>
      </w:r>
      <w:bookmarkEnd w:id="733"/>
      <w:r>
        <w:t xml:space="preserve">. În concluzie, pentru ca art. 2 să se aplice unor capete de cerere referitoare la acțiunea și/sau inacțiunea statului în ceea ce privește schimbările climatice, trebuie să se stabilească existența unui risc „real și iminent” pentru viață. Cu toate acestea, în contextul schimbărilor climatice, această amenințare la adresa vieții trebuie să fie înțeleasă în lumina riscului grav ca efectele nefaste ale acestui fenomen - ale cărui frecvență și gravitate vor crește, cel mai probabil - să fie inevitabile și ireversibile. Astfel, criteriul riscului „real și iminent” poate fi înțeles ca făcând referire la o amenințare gravă și reală pentru viața unei persoane, care poate fi suficient verificată și care implică un element de proximitate materială și temporală între amenințare și prejudiciul pretins de reclamant. Acest lucru va implica și faptul că, în cazul în care calitatea de victimă a unui reclamant individual a fost stabilită în conformitate cu criteriile enunțate la punctele </w:t>
      </w:r>
      <w:r w:rsidRPr="00472687">
        <w:fldChar w:fldCharType="begin"/>
      </w:r>
      <w:r w:rsidRPr="00472687">
        <w:instrText xml:space="preserve">REF paragraph00487 \h \* CharFormat </w:instrText>
      </w:r>
      <w:r w:rsidRPr="00472687">
        <w:fldChar w:fldCharType="separate"/>
      </w:r>
      <w:r w:rsidRPr="00472687">
        <w:t>487</w:t>
      </w:r>
      <w:r w:rsidRPr="00472687">
        <w:fldChar w:fldCharType="end"/>
      </w:r>
      <w:r>
        <w:t>-</w:t>
      </w:r>
      <w:r w:rsidRPr="00472687">
        <w:fldChar w:fldCharType="begin"/>
      </w:r>
      <w:r w:rsidRPr="00472687">
        <w:instrText xml:space="preserve">REF paragraph00488 \h \* CharFormat </w:instrText>
      </w:r>
      <w:r w:rsidRPr="00472687">
        <w:fldChar w:fldCharType="separate"/>
      </w:r>
      <w:r w:rsidRPr="00472687">
        <w:t>488</w:t>
      </w:r>
      <w:r w:rsidRPr="00472687">
        <w:fldChar w:fldCharType="end"/>
      </w:r>
      <w:r>
        <w:t xml:space="preserve"> de mai sus, va fi posibil să se considere că un risc grav de scădere semnificativă a speranței sale de viață, din cauza schimbărilor climatice, trebuie, de asemenea, să determine aplicabilitatea art. 2.</w:t>
      </w:r>
    </w:p>
    <w:p w:rsidR="00F524A5" w:rsidRPr="00472687" w:rsidRDefault="00F524A5" w:rsidP="00F524A5">
      <w:pPr>
        <w:pStyle w:val="JuHalpha"/>
        <w:numPr>
          <w:ilvl w:val="6"/>
          <w:numId w:val="34"/>
        </w:numPr>
        <w:tabs>
          <w:tab w:val="clear" w:pos="1361"/>
        </w:tabs>
        <w:ind w:left="1701" w:hanging="425"/>
      </w:pPr>
      <w:r>
        <w:t>Art. 8</w:t>
      </w:r>
    </w:p>
    <w:bookmarkStart w:id="734" w:name="paragraph0051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514</w:t>
      </w:r>
      <w:r w:rsidRPr="00472687">
        <w:fldChar w:fldCharType="end"/>
      </w:r>
      <w:bookmarkEnd w:id="734"/>
      <w:r>
        <w:t>. Potrivit jurisprudenței actuale a Curții, pentru ca un capăt de cerere referitor la o daună adusă mediului să poată intra sub incidența art. 8 din Convenție, trebuie să se demonstreze, în primul rând, că a existat o „ingerință reală” în exercitarea de către reclamant a dreptului său la respectarea vieții sale private sau de familie sau a domiciliului său și, în al doilea rând, că a fost atins un anumit nivel de gravitate. Cu alte cuvinte, trebuie să se stabilească faptul că pretinsa atingere adusă mediului este atât de gravă încât a avut un efect suficient de nociv asupra exercitării de către reclamant a dreptului său la respectarea vieții private sau de familie sau a domiciliului său [</w:t>
      </w:r>
      <w:r>
        <w:rPr>
          <w:i/>
        </w:rPr>
        <w:t>Pavlov și alții</w:t>
      </w:r>
      <w:r>
        <w:t xml:space="preserve">, citată anterior, pct. 59, cu trimiterile suplimentare; a se vedea și </w:t>
      </w:r>
      <w:r>
        <w:rPr>
          <w:i/>
        </w:rPr>
        <w:t>Çiçek și alții împotriva Turciei</w:t>
      </w:r>
      <w:r>
        <w:t xml:space="preserve"> (dec.), nr. 44837/07, pct. 22, 4 februarie 2020, cu trimiterile suplimentare].</w:t>
      </w:r>
    </w:p>
    <w:p w:rsidR="00F524A5" w:rsidRPr="00472687" w:rsidRDefault="00C71855" w:rsidP="00F524A5">
      <w:pPr>
        <w:pStyle w:val="JuPara"/>
      </w:pPr>
      <w:fldSimple w:instr=" SEQ level0 \*arabic \* MERGEFORMAT ">
        <w:r w:rsidR="00F524A5" w:rsidRPr="00472687">
          <w:t>515</w:t>
        </w:r>
      </w:fldSimple>
      <w:r w:rsidR="00F524A5">
        <w:t>. Problema</w:t>
      </w:r>
      <w:r w:rsidR="00F524A5">
        <w:rPr>
          <w:b/>
        </w:rPr>
        <w:t xml:space="preserve"> </w:t>
      </w:r>
      <w:r w:rsidR="00F524A5">
        <w:t>„ingerinței reale”</w:t>
      </w:r>
      <w:r w:rsidR="00F524A5">
        <w:rPr>
          <w:b/>
        </w:rPr>
        <w:t xml:space="preserve"> </w:t>
      </w:r>
      <w:r w:rsidR="00F524A5">
        <w:t xml:space="preserve">se referă, în practică, la existența unei legături directe și imediate între, pe de o parte, pretinsa atingere adusă mediului și, pe de altă parte, viața privată sau de familie a reclamantului ori domiciliul reclamantului </w:t>
      </w:r>
      <w:r w:rsidR="00F524A5">
        <w:rPr>
          <w:i/>
        </w:rPr>
        <w:t xml:space="preserve">(Ivan Atanasov, </w:t>
      </w:r>
      <w:r w:rsidR="00F524A5">
        <w:t xml:space="preserve">citată anterior, pct. 66, și </w:t>
      </w:r>
      <w:r w:rsidR="00F524A5">
        <w:rPr>
          <w:i/>
        </w:rPr>
        <w:t xml:space="preserve">Hardy și Maile, </w:t>
      </w:r>
      <w:r w:rsidR="00F524A5">
        <w:t>citată anterior, pct. 187)</w:t>
      </w:r>
      <w:r w:rsidR="00F524A5">
        <w:rPr>
          <w:i/>
        </w:rPr>
        <w:t>.</w:t>
      </w:r>
      <w:r w:rsidR="00F524A5">
        <w:t xml:space="preserve"> În acest context, nu este suficientă degradarea generală a mediului. Trebuie să existe un efect negativ asupra sferei private sau de familie a unei persoane (</w:t>
      </w:r>
      <w:r w:rsidR="00F524A5">
        <w:rPr>
          <w:i/>
        </w:rPr>
        <w:t>Kyrtatos</w:t>
      </w:r>
      <w:r w:rsidR="00F524A5">
        <w:t xml:space="preserve">, citată anterior, pct. 52), aspect care trebuie stabilit, în esență, pe baza criteriilor enunțate la punctele </w:t>
      </w:r>
      <w:r w:rsidR="00F524A5" w:rsidRPr="00472687">
        <w:fldChar w:fldCharType="begin"/>
      </w:r>
      <w:r w:rsidR="00F524A5" w:rsidRPr="00472687">
        <w:instrText xml:space="preserve">REF paragraph00487 \h \* CharFormat </w:instrText>
      </w:r>
      <w:r w:rsidR="00F524A5" w:rsidRPr="00472687">
        <w:fldChar w:fldCharType="separate"/>
      </w:r>
      <w:r w:rsidR="00F524A5" w:rsidRPr="00472687">
        <w:t>487</w:t>
      </w:r>
      <w:r w:rsidR="00F524A5" w:rsidRPr="00472687">
        <w:fldChar w:fldCharType="end"/>
      </w:r>
      <w:r w:rsidR="00F524A5">
        <w:t>-</w:t>
      </w:r>
      <w:r w:rsidR="00F524A5" w:rsidRPr="00472687">
        <w:fldChar w:fldCharType="begin"/>
      </w:r>
      <w:r w:rsidR="00F524A5" w:rsidRPr="00472687">
        <w:instrText xml:space="preserve">REF paragraph00488 \h \* CharFormat </w:instrText>
      </w:r>
      <w:r w:rsidR="00F524A5" w:rsidRPr="00472687">
        <w:fldChar w:fldCharType="separate"/>
      </w:r>
      <w:r w:rsidR="00F524A5" w:rsidRPr="00472687">
        <w:t>488</w:t>
      </w:r>
      <w:r w:rsidR="00F524A5" w:rsidRPr="00472687">
        <w:fldChar w:fldCharType="end"/>
      </w:r>
      <w:r w:rsidR="00F524A5">
        <w:t xml:space="preserve"> de mai sus cu privire la existența calității de victimă).</w:t>
      </w:r>
    </w:p>
    <w:p w:rsidR="00F524A5" w:rsidRPr="00472687" w:rsidRDefault="00C71855" w:rsidP="00F524A5">
      <w:pPr>
        <w:pStyle w:val="JuPara"/>
      </w:pPr>
      <w:fldSimple w:instr=" SEQ level0 \*arabic \* MERGEFORMAT ">
        <w:r w:rsidR="00F524A5" w:rsidRPr="00472687">
          <w:t>516</w:t>
        </w:r>
      </w:fldSimple>
      <w:r w:rsidR="00F524A5">
        <w:t xml:space="preserve">. În ceea ce privește gravitatea ingerinței, Curtea a hotărât că, pentru a intra sub incidența art. 8, efectele negative ale poluării mediului trebuie să atingă un nivel minim de gravitate (a se vedea, de exemplu, </w:t>
      </w:r>
      <w:r w:rsidR="00F524A5">
        <w:rPr>
          <w:i/>
        </w:rPr>
        <w:t>Evgeni Dmitriev</w:t>
      </w:r>
      <w:r w:rsidR="00F524A5">
        <w:t xml:space="preserve">, citată anterior, pct. 32). Aprecierea acestui nivel minim este relativă și depinde de toate circumstanțele cauzei, în special de intensitatea și durata </w:t>
      </w:r>
      <w:r w:rsidR="00F524A5">
        <w:lastRenderedPageBreak/>
        <w:t>efectelor nocive, precum și de consecințele fizice sau psihologice ale acestora asupra sănătății sau calității vieții persoanei în cauză (</w:t>
      </w:r>
      <w:r w:rsidR="00F524A5">
        <w:rPr>
          <w:i/>
        </w:rPr>
        <w:t>Çiçek și alții</w:t>
      </w:r>
      <w:r w:rsidR="00F524A5">
        <w:t>, citată anterior, pct. 22). În plus, încălcările dreptului la respectarea domiciliului nu se limitează la încălcări concrete sau fizice, cum ar fi intrarea neautorizată în locuința unei persoane, ci includ și atingerile imateriale sau intangibile, cum ar fi zgomotul, emisiile, mirosurile și alte forme de ingerințe. În cazul în care atingerile sunt grave, acestea pot să încalce dreptul unei persoane la respectarea domiciliului său, deoarece o împiedică să beneficieze de locuința sa (</w:t>
      </w:r>
      <w:r w:rsidR="00F524A5">
        <w:rPr>
          <w:i/>
        </w:rPr>
        <w:t>Udovičić împotriva Croației</w:t>
      </w:r>
      <w:r w:rsidR="00F524A5">
        <w:t>, nr. 27310/09, pct. 136, 24 aprilie 2014).</w:t>
      </w:r>
    </w:p>
    <w:p w:rsidR="00F524A5" w:rsidRPr="00472687" w:rsidRDefault="00C71855" w:rsidP="00F524A5">
      <w:pPr>
        <w:pStyle w:val="JuPara"/>
      </w:pPr>
      <w:fldSimple w:instr=" SEQ level0 \*arabic \* MERGEFORMAT ">
        <w:r w:rsidR="00F524A5" w:rsidRPr="00472687">
          <w:t>517</w:t>
        </w:r>
      </w:fldSimple>
      <w:r w:rsidR="00F524A5">
        <w:t xml:space="preserve">. Curtea a precizat că nu poate exista nicio pretenție întemeiată, bazată pe art. 8, în cazul în care pretinsul prejudiciu este neglijabil în raport cu riscurile de mediu inerente vieții în orice oraș modern. În schimb, atingerile grave aduse mediului pot să afecteze bunăstarea unei persoane și să o priveze de dreptul de folosință a locuinței sale într-un mod care să îi afecteze negativ viața privată și de familie, fără ca sănătatea acesteia să fie serios pusă în pericol </w:t>
      </w:r>
      <w:r w:rsidR="00F524A5">
        <w:rPr>
          <w:i/>
        </w:rPr>
        <w:t>(</w:t>
      </w:r>
      <w:bookmarkStart w:id="735" w:name="_cl8437"/>
      <w:r w:rsidR="00F524A5">
        <w:rPr>
          <w:i/>
        </w:rPr>
        <w:t>Jugheli și alții împotriva Georgiei</w:t>
      </w:r>
      <w:bookmarkEnd w:id="735"/>
      <w:r w:rsidR="00F524A5">
        <w:t xml:space="preserve">, nr. 38342/05, pct. 62, 13 iulie 2017, cu trimiterile suplimentare). În plus, Curtea a explicat că, deseori, este imposibil să se cuantifice efectele atingerilor aduse mediului în discuție în fiecare situație individuală și să se facă o distincție între aceste efecte și </w:t>
      </w:r>
      <w:r w:rsidR="00F524A5">
        <w:rPr>
          <w:b/>
        </w:rPr>
        <w:t xml:space="preserve"> </w:t>
      </w:r>
      <w:r w:rsidR="00F524A5">
        <w:t>influența altor factori relevanți, cum ar fi vârsta, profesia sau stilul de viață ale persoanei în cauză.</w:t>
      </w:r>
      <w:r w:rsidR="00F524A5">
        <w:rPr>
          <w:color w:val="000000"/>
        </w:rPr>
        <w:t xml:space="preserve"> Același lucru este valabil și pentru o posibilă deteriorare a calității vieții, o noțiune subiectivă care nu se pretează unei definiri precise (</w:t>
      </w:r>
      <w:r w:rsidR="00F524A5">
        <w:rPr>
          <w:i/>
          <w:color w:val="000000"/>
        </w:rPr>
        <w:t>ibidem</w:t>
      </w:r>
      <w:r w:rsidR="00F524A5">
        <w:rPr>
          <w:color w:val="000000"/>
        </w:rPr>
        <w:t>, pct. 63).</w:t>
      </w:r>
    </w:p>
    <w:bookmarkStart w:id="736" w:name="paragraph0051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518</w:t>
      </w:r>
      <w:r w:rsidRPr="00472687">
        <w:fldChar w:fldCharType="end"/>
      </w:r>
      <w:bookmarkEnd w:id="736"/>
      <w:r>
        <w:t xml:space="preserve">. În plus, trebuie subliniat că, în unele cazuri, faptul că o persoană este expusă unui risc grav pentru mediu poate fi suficient pentru ca art. 8 să se aplice. Astfel, în hotărârea </w:t>
      </w:r>
      <w:r>
        <w:rPr>
          <w:i/>
        </w:rPr>
        <w:t>Hardy și Maile</w:t>
      </w:r>
      <w:r>
        <w:t xml:space="preserve"> (citată anterior, pct. 189-192), Curtea a apreciat că art. 8 se aplică atunci când s-a stabilit că efectele periculoase ale unei activități, la care ar putea fi expuse persoanele în cauză, au o legătură suficient de strânsă cu viața privată și de familie, în sensul acestei dispoziții. În hotărârea</w:t>
      </w:r>
      <w:r>
        <w:rPr>
          <w:i/>
        </w:rPr>
        <w:t xml:space="preserve"> Jugheli și alții </w:t>
      </w:r>
      <w:r>
        <w:t xml:space="preserve">(citată anterior, pct. 71), Curtea a afirmat că, presupunând că poluarea atmosferică denunțată nu a cauzat niciun prejudiciu cuantificabil sănătății reclamanților, „este posibil ca aceasta să îi fi făcut mai vulnerabili la diferite boli”. În hotărârea </w:t>
      </w:r>
      <w:bookmarkStart w:id="737" w:name="_cl4948"/>
      <w:r>
        <w:rPr>
          <w:i/>
        </w:rPr>
        <w:t>Dzemiuk împotriva Ucrainei</w:t>
      </w:r>
      <w:bookmarkEnd w:id="737"/>
      <w:r>
        <w:t xml:space="preserve"> (nr. 42488/02, pct. 82-84, 4 septembrie 2014), Curtea a statuat că dovezile disponibile confirmau existența unor potențiale riscuri ecologice legate de prezența unui cimitir în apropierea casei reclamantului, care aveau consecințe asupra mediului și a „calității vieții” persoanei în cauză din perspectiva art. 8 din Convenție.</w:t>
      </w:r>
      <w:bookmarkStart w:id="738" w:name="lt_pId3996"/>
    </w:p>
    <w:bookmarkStart w:id="739" w:name="paragraph00519"/>
    <w:bookmarkEnd w:id="73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519</w:t>
      </w:r>
      <w:r w:rsidRPr="00472687">
        <w:fldChar w:fldCharType="end"/>
      </w:r>
      <w:bookmarkEnd w:id="739"/>
      <w:r>
        <w:t>. În lumina celor de mai sus și având în vedere legătura de cauzalitate existentă între, pe de o parte, acțiunile și/sau omisiunile statului în contextul schimbărilor climatice și, pe de altă parte, prejudiciul care afectează persoane particulare sau riscul producerii unui astfel de prejudiciu (supra, pct. </w:t>
      </w:r>
      <w:r w:rsidRPr="00472687">
        <w:fldChar w:fldCharType="begin"/>
      </w:r>
      <w:r w:rsidRPr="00472687">
        <w:instrText xml:space="preserve"> REF paragraph00435 \h  \* CharFormat  \* MERGEFORMAT </w:instrText>
      </w:r>
      <w:r w:rsidRPr="00472687">
        <w:fldChar w:fldCharType="separate"/>
      </w:r>
      <w:r w:rsidRPr="00472687">
        <w:t>435</w:t>
      </w:r>
      <w:r w:rsidRPr="00472687">
        <w:fldChar w:fldCharType="end"/>
      </w:r>
      <w:r>
        <w:t xml:space="preserve">, </w:t>
      </w:r>
      <w:r w:rsidRPr="00472687">
        <w:fldChar w:fldCharType="begin"/>
      </w:r>
      <w:r w:rsidRPr="00472687">
        <w:instrText xml:space="preserve">REF paragraph00436 \h \* CharFormat  \* MERGEFORMAT </w:instrText>
      </w:r>
      <w:r w:rsidRPr="00472687">
        <w:fldChar w:fldCharType="separate"/>
      </w:r>
      <w:r w:rsidRPr="00472687">
        <w:t>436</w:t>
      </w:r>
      <w:r w:rsidRPr="00472687">
        <w:fldChar w:fldCharType="end"/>
      </w:r>
      <w:r>
        <w:t xml:space="preserve"> și </w:t>
      </w:r>
      <w:r w:rsidRPr="00472687">
        <w:fldChar w:fldCharType="begin"/>
      </w:r>
      <w:r w:rsidRPr="00472687">
        <w:instrText xml:space="preserve"> REF paragraph00478 \h  \* CharFormat  \* MERGEFORMAT </w:instrText>
      </w:r>
      <w:r w:rsidRPr="00472687">
        <w:fldChar w:fldCharType="separate"/>
      </w:r>
      <w:r w:rsidRPr="00472687">
        <w:t>478</w:t>
      </w:r>
      <w:r w:rsidRPr="00472687">
        <w:fldChar w:fldCharType="end"/>
      </w:r>
      <w:r>
        <w:t xml:space="preserve">), trebuie să se considere că art. 8 include dreptul persoanelor la o protecție efectivă, din partea autorităților statului, împotriva efectelor nefaste </w:t>
      </w:r>
      <w:r>
        <w:lastRenderedPageBreak/>
        <w:t>grave ale schimbărilor climatice asupra vieții, sănătății, bunăstării și calității vieții acestora.</w:t>
      </w:r>
    </w:p>
    <w:p w:rsidR="00F524A5" w:rsidRPr="00472687" w:rsidRDefault="00C71855" w:rsidP="00F524A5">
      <w:pPr>
        <w:pStyle w:val="JuPara"/>
      </w:pPr>
      <w:fldSimple w:instr=" SEQ level0 \*arabic \* MERGEFORMAT ">
        <w:bookmarkStart w:id="740" w:name="paragraph00520"/>
        <w:r w:rsidR="00F524A5" w:rsidRPr="00472687">
          <w:t>520</w:t>
        </w:r>
        <w:bookmarkEnd w:id="740"/>
      </w:fldSimple>
      <w:r w:rsidR="00F524A5">
        <w:t xml:space="preserve">. Totuși, în acest context, problema „ingerinței reale” sau a existenței unui risc relevant și suficient de grav, de natură să determine aplicabilitatea art. 8, depinde în esență de aprecierea unor criterii similare celor enunțate la punctele </w:t>
      </w:r>
      <w:r w:rsidR="00F524A5" w:rsidRPr="00472687">
        <w:fldChar w:fldCharType="begin"/>
      </w:r>
      <w:r w:rsidR="00F524A5" w:rsidRPr="00472687">
        <w:instrText xml:space="preserve">REF paragraph00487 \h \* CharFormat </w:instrText>
      </w:r>
      <w:r w:rsidR="00F524A5" w:rsidRPr="00472687">
        <w:fldChar w:fldCharType="separate"/>
      </w:r>
      <w:r w:rsidR="00F524A5" w:rsidRPr="00472687">
        <w:t>487</w:t>
      </w:r>
      <w:r w:rsidR="00F524A5" w:rsidRPr="00472687">
        <w:fldChar w:fldCharType="end"/>
      </w:r>
      <w:r w:rsidR="00F524A5">
        <w:t>-</w:t>
      </w:r>
      <w:r w:rsidR="00F524A5" w:rsidRPr="00472687">
        <w:fldChar w:fldCharType="begin"/>
      </w:r>
      <w:r w:rsidR="00F524A5" w:rsidRPr="00472687">
        <w:instrText xml:space="preserve">REF paragraph00488 \h \* CharFormat </w:instrText>
      </w:r>
      <w:r w:rsidR="00F524A5" w:rsidRPr="00472687">
        <w:fldChar w:fldCharType="separate"/>
      </w:r>
      <w:r w:rsidR="00F524A5" w:rsidRPr="00472687">
        <w:t>488</w:t>
      </w:r>
      <w:r w:rsidR="00F524A5" w:rsidRPr="00472687">
        <w:fldChar w:fldCharType="end"/>
      </w:r>
      <w:r w:rsidR="00F524A5">
        <w:t xml:space="preserve"> de mai sus, referitoare la calitatea de victimă a persoanelor particulare, sau la punctul </w:t>
      </w:r>
      <w:r w:rsidR="00F524A5" w:rsidRPr="00472687">
        <w:fldChar w:fldCharType="begin"/>
      </w:r>
      <w:r w:rsidR="00F524A5" w:rsidRPr="00472687">
        <w:instrText xml:space="preserve">REF paragraph00502 \h \* CharFormat  \* MERGEFORMAT </w:instrText>
      </w:r>
      <w:r w:rsidR="00F524A5" w:rsidRPr="00472687">
        <w:fldChar w:fldCharType="separate"/>
      </w:r>
      <w:r w:rsidR="00F524A5" w:rsidRPr="00472687">
        <w:t>502</w:t>
      </w:r>
      <w:r w:rsidR="00F524A5" w:rsidRPr="00472687">
        <w:fldChar w:fldCharType="end"/>
      </w:r>
      <w:r w:rsidR="00F524A5">
        <w:t>, referitoare la calitatea procesuală a asociațiilor. Așadar, aceste criterii sunt decisive pentru a stabili dacă se află în joc drepturile protejate de art. 8 și dacă această dispoziție este aplicabilă. În fiecare caz în parte, acestea sunt aspecte care vor fi examinate în lumina circumstanțelor cauzei și pe baza probelor disponibile.</w:t>
      </w:r>
    </w:p>
    <w:p w:rsidR="00F524A5" w:rsidRPr="00472687" w:rsidRDefault="00F524A5" w:rsidP="00F524A5">
      <w:pPr>
        <w:pStyle w:val="JuHi"/>
        <w:numPr>
          <w:ilvl w:val="5"/>
          <w:numId w:val="49"/>
        </w:numPr>
        <w:tabs>
          <w:tab w:val="clear" w:pos="1077"/>
          <w:tab w:val="clear" w:pos="1134"/>
          <w:tab w:val="clear" w:pos="1191"/>
          <w:tab w:val="clear" w:pos="1247"/>
        </w:tabs>
      </w:pPr>
      <w:bookmarkStart w:id="741" w:name="_Toc199273570"/>
      <w:r>
        <w:t>Aplicarea acestor principii în prezenta cauză</w:t>
      </w:r>
      <w:bookmarkEnd w:id="741"/>
    </w:p>
    <w:p w:rsidR="00F524A5" w:rsidRPr="00472687" w:rsidRDefault="00F524A5" w:rsidP="00F524A5">
      <w:pPr>
        <w:pStyle w:val="JuHalpha"/>
        <w:numPr>
          <w:ilvl w:val="6"/>
          <w:numId w:val="35"/>
        </w:numPr>
        <w:tabs>
          <w:tab w:val="clear" w:pos="1361"/>
        </w:tabs>
        <w:ind w:left="1701" w:hanging="425"/>
      </w:pPr>
      <w:bookmarkStart w:id="742" w:name="lt_pId4006"/>
      <w:r>
        <w:t>Art. 8 din Convenție</w:t>
      </w:r>
      <w:bookmarkEnd w:id="742"/>
    </w:p>
    <w:p w:rsidR="00F524A5" w:rsidRPr="00472687" w:rsidRDefault="00F524A5" w:rsidP="00E72A1B">
      <w:pPr>
        <w:pStyle w:val="JuH"/>
        <w:numPr>
          <w:ilvl w:val="7"/>
          <w:numId w:val="51"/>
        </w:numPr>
      </w:pPr>
      <w:bookmarkStart w:id="743" w:name="lt_pId4007"/>
      <w:r>
        <w:t>Asociația reclamantă</w:t>
      </w:r>
      <w:bookmarkEnd w:id="743"/>
    </w:p>
    <w:bookmarkStart w:id="744" w:name="paragraph0052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521</w:t>
      </w:r>
      <w:r w:rsidRPr="00472687">
        <w:fldChar w:fldCharType="end"/>
      </w:r>
      <w:bookmarkEnd w:id="744"/>
      <w:r>
        <w:t xml:space="preserve">. </w:t>
      </w:r>
      <w:bookmarkStart w:id="745" w:name="lt_pId4008"/>
      <w:bookmarkStart w:id="746" w:name="lt_pId4009"/>
      <w:bookmarkEnd w:id="745"/>
      <w:r>
        <w:t xml:space="preserve">În ceea ce privește criteriile enunțate la punctul </w:t>
      </w:r>
      <w:r w:rsidRPr="00472687">
        <w:fldChar w:fldCharType="begin"/>
      </w:r>
      <w:r w:rsidRPr="00472687">
        <w:instrText xml:space="preserve">REF paragraph00502 \h \* CharFormat  \* MERGEFORMAT </w:instrText>
      </w:r>
      <w:r w:rsidRPr="00472687">
        <w:fldChar w:fldCharType="separate"/>
      </w:r>
      <w:r w:rsidRPr="00472687">
        <w:t>502</w:t>
      </w:r>
      <w:r w:rsidRPr="00472687">
        <w:fldChar w:fldCharType="end"/>
      </w:r>
      <w:r>
        <w:t xml:space="preserve"> de mai sus, Curtea subliniază că, potrivit statutului său, asociația reclamantă este o asociație de drept elvețian fără scop lucrativ, care a fost înființată pentru a promova și a pune în aplicare, în numele membrelor sale, măsuri eficiente de protecție a climei.</w:t>
      </w:r>
      <w:bookmarkEnd w:id="746"/>
      <w:r>
        <w:t xml:space="preserve"> </w:t>
      </w:r>
      <w:bookmarkStart w:id="747" w:name="lt_pId4010"/>
      <w:r>
        <w:t>Asociația reclamantă are peste 2 000 de membre, care locuiesc în Elveția și au, în medie, 73 de ani.</w:t>
      </w:r>
      <w:bookmarkEnd w:id="747"/>
      <w:r>
        <w:t xml:space="preserve"> </w:t>
      </w:r>
      <w:bookmarkStart w:id="748" w:name="lt_pId4011"/>
      <w:r>
        <w:t>Aproape 650 dintre acestea au 75 de ani și mai mult.</w:t>
      </w:r>
      <w:bookmarkEnd w:id="748"/>
      <w:r>
        <w:t xml:space="preserve"> </w:t>
      </w:r>
      <w:bookmarkStart w:id="749" w:name="lt_pId4012"/>
      <w:r>
        <w:t>Statutul asociației menționează că asociația este angajată în diverse acțiuni menite să reducă emisiile de GES din Elveția și să combată efectele acestor emisii asupra încălzirii globale.</w:t>
      </w:r>
      <w:bookmarkEnd w:id="749"/>
      <w:r>
        <w:t xml:space="preserve"> </w:t>
      </w:r>
      <w:bookmarkStart w:id="750" w:name="lt_pId4013"/>
      <w:r>
        <w:t>Asociația apără nu doar interesele membrelor sale, ci și pe cele ale populației în general și ale generațiilor viitoare, cu scopul de a asigura o protecție eficientă a climei.</w:t>
      </w:r>
      <w:bookmarkEnd w:id="750"/>
      <w:r>
        <w:t xml:space="preserve"> </w:t>
      </w:r>
      <w:bookmarkStart w:id="751" w:name="lt_pId4014"/>
      <w:r>
        <w:t>Aceasta urmărește realizarea obiectivelor sale prin diverse inițiative, în special prin introducerea unor acțiuni în justiție referitoare la efectele schimbărilor climatice, în interesul membrelor sale (supra, pct. </w:t>
      </w:r>
      <w:r w:rsidRPr="00472687">
        <w:fldChar w:fldCharType="begin"/>
      </w:r>
      <w:r w:rsidRPr="00472687">
        <w:instrText xml:space="preserve">REF paragraph00010 \h \* CharFormat </w:instrText>
      </w:r>
      <w:r w:rsidRPr="00472687">
        <w:fldChar w:fldCharType="separate"/>
      </w:r>
      <w:r w:rsidRPr="00472687">
        <w:t>10</w:t>
      </w:r>
      <w:r w:rsidRPr="00472687">
        <w:fldChar w:fldCharType="end"/>
      </w:r>
      <w:r>
        <w:t>).</w:t>
      </w:r>
      <w:bookmarkEnd w:id="751"/>
    </w:p>
    <w:p w:rsidR="00F524A5" w:rsidRPr="00472687" w:rsidRDefault="00C71855" w:rsidP="00F524A5">
      <w:pPr>
        <w:pStyle w:val="JuPara"/>
      </w:pPr>
      <w:fldSimple w:instr=" SEQ level0 \*arabic \* MERGEFORMAT ">
        <w:r w:rsidR="00F524A5" w:rsidRPr="00472687">
          <w:t>522</w:t>
        </w:r>
      </w:fldSimple>
      <w:r w:rsidR="00F524A5">
        <w:t>. TF și TAF și-au limitat aprecierea calității procesuale la reclamantele individuale, întrucât au considerat că nu este necesar să examineze calitatea procesuală a asociației reclamante. În consecință, Curtea nu poate beneficia de o apreciere care ar fi privit statutul juridic al asociației reclamante în temeiul dreptului intern sau natura și amploarea activităților sale în cadrul statului pârât.</w:t>
      </w:r>
    </w:p>
    <w:bookmarkStart w:id="752" w:name="paragraph00522"/>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523</w:t>
      </w:r>
      <w:r w:rsidRPr="00472687">
        <w:fldChar w:fldCharType="end"/>
      </w:r>
      <w:bookmarkEnd w:id="752"/>
      <w:r>
        <w:t xml:space="preserve">. </w:t>
      </w:r>
      <w:bookmarkStart w:id="753" w:name="lt_pId4015"/>
      <w:bookmarkStart w:id="754" w:name="lt_pId4016"/>
      <w:bookmarkEnd w:id="753"/>
      <w:r>
        <w:t xml:space="preserve">În continuare, Curtea observă că, </w:t>
      </w:r>
      <w:bookmarkStart w:id="755" w:name="lt_pId4018"/>
      <w:bookmarkEnd w:id="754"/>
      <w:r>
        <w:t>în observațiile prezentate Curții de asociația reclamantă, aceasta din urmă a explicat că acționa pentru a le permite membrelor sale să își exercite drepturile în contextul efectelor schimbărilor climatice suferite de acestea (supra, pct. </w:t>
      </w:r>
      <w:r w:rsidRPr="00472687">
        <w:fldChar w:fldCharType="begin"/>
      </w:r>
      <w:r w:rsidRPr="00472687">
        <w:instrText xml:space="preserve">REF paragraph00307 \h \* CharFormat </w:instrText>
      </w:r>
      <w:r w:rsidRPr="00472687">
        <w:fldChar w:fldCharType="separate"/>
      </w:r>
      <w:r w:rsidRPr="00472687">
        <w:t>307</w:t>
      </w:r>
      <w:r w:rsidRPr="00472687">
        <w:fldChar w:fldCharType="end"/>
      </w:r>
      <w:r>
        <w:t>).</w:t>
      </w:r>
      <w:bookmarkEnd w:id="755"/>
      <w:r>
        <w:t xml:space="preserve"> </w:t>
      </w:r>
      <w:bookmarkStart w:id="756" w:name="lt_pId4019"/>
      <w:r>
        <w:t xml:space="preserve">Curtea admite că, având în vedere numărul membrelor sale și reprezentativitatea acesteia, precum și scopul care stă la baza constituirii sale, asociația reclamantă reprezintă un mijloc de a introduce o acțiune colectivă pentru apărarea </w:t>
      </w:r>
      <w:r>
        <w:lastRenderedPageBreak/>
        <w:t>drepturilor și a intereselor unor persoane particulare împotriva amenințărilor reprezentate de schimbările climatice din statul pârât (supra, pct. </w:t>
      </w:r>
      <w:r w:rsidRPr="00472687">
        <w:fldChar w:fldCharType="begin"/>
      </w:r>
      <w:r w:rsidRPr="00472687">
        <w:instrText xml:space="preserve">REF paragraph00497 \h \* CharFormat </w:instrText>
      </w:r>
      <w:r w:rsidRPr="00472687">
        <w:fldChar w:fldCharType="separate"/>
      </w:r>
      <w:r w:rsidRPr="00472687">
        <w:t>497</w:t>
      </w:r>
      <w:r w:rsidRPr="00472687">
        <w:fldChar w:fldCharType="end"/>
      </w:r>
      <w:r>
        <w:t>).</w:t>
      </w:r>
      <w:bookmarkEnd w:id="756"/>
      <w:r>
        <w:t xml:space="preserve"> </w:t>
      </w:r>
      <w:bookmarkStart w:id="757" w:name="lt_pId4020"/>
      <w:r>
        <w:t>Curtea observă, de asemenea, că reclamantele individuale nu au avut acces la o instanță în statul pârât. Având în vedere considerațiile generale, acordarea calității procesuale asociației reclamante în fața Curții servește așadar interesului unei bune administrări a justiției.</w:t>
      </w:r>
      <w:bookmarkEnd w:id="757"/>
    </w:p>
    <w:bookmarkStart w:id="758" w:name="paragraph00523"/>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524</w:t>
      </w:r>
      <w:r w:rsidRPr="00472687">
        <w:fldChar w:fldCharType="end"/>
      </w:r>
      <w:bookmarkEnd w:id="758"/>
      <w:r>
        <w:t xml:space="preserve">. </w:t>
      </w:r>
      <w:bookmarkStart w:id="759" w:name="lt_pId4024"/>
      <w:r>
        <w:t>Ținând seama de cele de mai sus, Curtea consideră că asociația reclamantă a fost legal constituită, că a demonstrat că urmărește un scop specific, conform cu obiectivele sale statutare, în vederea apărării drepturilor fundamentale ale membrelor sale și ale altor persoane afectate împotriva amenințărilor legate de schimbările climatice în statul pârât și că aceasta este într-adevăr reprezentativă și abilitată să acționeze în numele persoanelor care pot susține în mod întemeiat că viața, sănătatea, bunăstarea și calitatea vieții lor, astfel cum sunt protejate de Convenție, sunt expuse unor amenințări sau unor consecințe negative specifice legate de schimbările climatice (supra, pct. </w:t>
      </w:r>
      <w:r w:rsidRPr="00472687">
        <w:fldChar w:fldCharType="begin"/>
      </w:r>
      <w:r w:rsidRPr="00472687">
        <w:instrText xml:space="preserve">REF paragraph00519 \h \* CharFormat </w:instrText>
      </w:r>
      <w:r w:rsidRPr="00472687">
        <w:fldChar w:fldCharType="separate"/>
      </w:r>
      <w:r w:rsidRPr="00472687">
        <w:t>519</w:t>
      </w:r>
      <w:r w:rsidRPr="00472687">
        <w:fldChar w:fldCharType="end"/>
      </w:r>
      <w:r>
        <w:t>).</w:t>
      </w:r>
      <w:bookmarkEnd w:id="759"/>
    </w:p>
    <w:p w:rsidR="00F524A5" w:rsidRPr="00472687" w:rsidRDefault="00C71855" w:rsidP="00F524A5">
      <w:pPr>
        <w:pStyle w:val="JuPara"/>
      </w:pPr>
      <w:fldSimple w:instr=" SEQ level0 \*arabic \* MERGEFORMAT ">
        <w:r w:rsidR="00F524A5" w:rsidRPr="00472687">
          <w:t>525</w:t>
        </w:r>
      </w:fldSimple>
      <w:r w:rsidR="00F524A5">
        <w:t xml:space="preserve">. </w:t>
      </w:r>
      <w:bookmarkStart w:id="760" w:name="lt_pId4025"/>
      <w:bookmarkStart w:id="761" w:name="lt_pId4026"/>
      <w:bookmarkEnd w:id="760"/>
      <w:r w:rsidR="00F524A5">
        <w:t>În aceste condiții, Curtea apreciază că respectivele capete de cerere formulate de asociația reclamantă în numele membrelor sale intră sub incidența art. 8.</w:t>
      </w:r>
      <w:bookmarkEnd w:id="761"/>
    </w:p>
    <w:bookmarkStart w:id="762" w:name="paragraph0052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526</w:t>
      </w:r>
      <w:r w:rsidRPr="00472687">
        <w:fldChar w:fldCharType="end"/>
      </w:r>
      <w:bookmarkEnd w:id="762"/>
      <w:r>
        <w:t xml:space="preserve">. </w:t>
      </w:r>
      <w:bookmarkStart w:id="763" w:name="lt_pId4028"/>
      <w:r>
        <w:t>Rezultă că asociația reclamantă are calitatea procesuală de a acționa în prezenta procedură și că art. 8 este aplicabil plângerii sale.</w:t>
      </w:r>
      <w:bookmarkEnd w:id="763"/>
      <w:r>
        <w:t xml:space="preserve"> </w:t>
      </w:r>
      <w:bookmarkStart w:id="764" w:name="lt_pId4029"/>
      <w:r>
        <w:t>Prin urmare, excepțiile formulate de Guvern în această privință trebuie să fie respinse.</w:t>
      </w:r>
      <w:bookmarkEnd w:id="764"/>
    </w:p>
    <w:p w:rsidR="00F524A5" w:rsidRPr="00472687" w:rsidRDefault="00F524A5" w:rsidP="00E72A1B">
      <w:pPr>
        <w:pStyle w:val="JuH"/>
        <w:numPr>
          <w:ilvl w:val="7"/>
          <w:numId w:val="51"/>
        </w:numPr>
      </w:pPr>
      <w:bookmarkStart w:id="765" w:name="lt_pId4030"/>
      <w:r>
        <w:t>Reclamantele nr. 2-5</w:t>
      </w:r>
      <w:bookmarkEnd w:id="765"/>
    </w:p>
    <w:p w:rsidR="00F524A5" w:rsidRPr="00472687" w:rsidRDefault="00C71855" w:rsidP="00F524A5">
      <w:pPr>
        <w:pStyle w:val="JuPara"/>
      </w:pPr>
      <w:fldSimple w:instr=" SEQ level0 \*arabic \* MERGEFORMAT ">
        <w:bookmarkStart w:id="766" w:name="paragraph00527"/>
        <w:r w:rsidR="00F524A5" w:rsidRPr="00472687">
          <w:t>527</w:t>
        </w:r>
        <w:bookmarkEnd w:id="766"/>
      </w:fldSimple>
      <w:r w:rsidR="00F524A5">
        <w:t xml:space="preserve">. </w:t>
      </w:r>
      <w:bookmarkStart w:id="767" w:name="lt_pId4032"/>
      <w:bookmarkStart w:id="768" w:name="lt_pId4033"/>
      <w:bookmarkEnd w:id="767"/>
      <w:r w:rsidR="00F524A5">
        <w:t>Au fost enunțate două criterii fundamentale care permit recunoașterea calității de victimă a persoanelor fizice în contextul schimbărilor climatice: a) expunerea intensă a reclamantului la efectele nefaste ale schimbărilor climatice, și b) nevoia imperioasă de a asigura protecția individuală a reclamantului (supra, pct. </w:t>
      </w:r>
      <w:r w:rsidR="00F524A5" w:rsidRPr="00472687">
        <w:fldChar w:fldCharType="begin"/>
      </w:r>
      <w:r w:rsidR="00F524A5" w:rsidRPr="00472687">
        <w:instrText xml:space="preserve">REF paragraph00487 \h \* CharFormat </w:instrText>
      </w:r>
      <w:r w:rsidR="00F524A5" w:rsidRPr="00472687">
        <w:fldChar w:fldCharType="separate"/>
      </w:r>
      <w:r w:rsidR="00F524A5" w:rsidRPr="00472687">
        <w:t>487</w:t>
      </w:r>
      <w:r w:rsidR="00F524A5" w:rsidRPr="00472687">
        <w:fldChar w:fldCharType="end"/>
      </w:r>
      <w:r w:rsidR="00F524A5">
        <w:noBreakHyphen/>
      </w:r>
      <w:r w:rsidR="00F524A5" w:rsidRPr="00472687">
        <w:fldChar w:fldCharType="begin"/>
      </w:r>
      <w:r w:rsidR="00F524A5" w:rsidRPr="00472687">
        <w:instrText xml:space="preserve">REF paragraph00488 \h \* CharFormat </w:instrText>
      </w:r>
      <w:r w:rsidR="00F524A5" w:rsidRPr="00472687">
        <w:fldChar w:fldCharType="separate"/>
      </w:r>
      <w:r w:rsidR="00F524A5" w:rsidRPr="00472687">
        <w:t>488</w:t>
      </w:r>
      <w:r w:rsidR="00F524A5" w:rsidRPr="00472687">
        <w:fldChar w:fldCharType="end"/>
      </w:r>
      <w:r w:rsidR="00F524A5">
        <w:t>).</w:t>
      </w:r>
      <w:bookmarkEnd w:id="768"/>
      <w:r w:rsidR="00F524A5">
        <w:t xml:space="preserve"> </w:t>
      </w:r>
      <w:bookmarkStart w:id="769" w:name="lt_pId4036"/>
      <w:r w:rsidR="00F524A5">
        <w:t>Pragul care trebuie atins pentru a considera că sunt îndeplinite aceste criterii este deosebit de ridicat</w:t>
      </w:r>
      <w:bookmarkEnd w:id="769"/>
      <w:r w:rsidR="00F524A5">
        <w:t xml:space="preserve"> (supra, pct. </w:t>
      </w:r>
      <w:r w:rsidR="00F524A5" w:rsidRPr="00472687">
        <w:fldChar w:fldCharType="begin"/>
      </w:r>
      <w:r w:rsidR="00F524A5" w:rsidRPr="00472687">
        <w:instrText xml:space="preserve"> REF paragraph00488 \h  \* CharFormat </w:instrText>
      </w:r>
      <w:r w:rsidR="00F524A5" w:rsidRPr="00472687">
        <w:fldChar w:fldCharType="separate"/>
      </w:r>
      <w:r w:rsidR="00F524A5" w:rsidRPr="00472687">
        <w:t>488</w:t>
      </w:r>
      <w:r w:rsidR="00F524A5" w:rsidRPr="00472687">
        <w:fldChar w:fldCharType="end"/>
      </w:r>
      <w:r w:rsidR="00F524A5">
        <w:t>).</w:t>
      </w:r>
    </w:p>
    <w:bookmarkStart w:id="770" w:name="lt_pId4037"/>
    <w:bookmarkStart w:id="771" w:name="paragraph00528"/>
    <w:bookmarkStart w:id="772" w:name="lt_pId4038"/>
    <w:bookmarkEnd w:id="77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528</w:t>
      </w:r>
      <w:r w:rsidRPr="00472687">
        <w:fldChar w:fldCharType="end"/>
      </w:r>
      <w:bookmarkEnd w:id="771"/>
      <w:r>
        <w:t>. În fața Curții, reclamantele din prezenta cauză susțin că, în calitate de femei în vârstă, sunt expuse efectelor nefaste ale schimbărilor climatice, ca urmare a acțiunilor neadecvate ale statului pârât în acest domeniu.</w:t>
      </w:r>
      <w:bookmarkEnd w:id="772"/>
      <w:r>
        <w:t xml:space="preserve"> </w:t>
      </w:r>
      <w:bookmarkStart w:id="773" w:name="lt_pId4039"/>
      <w:r>
        <w:t>Circumstanțele de fapt aflate la originea plângerii lor pot fi considerate localizate și centrate pe situația specifică – efectele nefaste trecute, prezente și viitoare ale schimbărilor climatice și, în special, apariția unor valuri de căldură – care există în locul lor de reședință, în Elveția.</w:t>
      </w:r>
      <w:bookmarkEnd w:id="773"/>
    </w:p>
    <w:bookmarkStart w:id="774" w:name="paragraph00529"/>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529</w:t>
      </w:r>
      <w:r w:rsidRPr="00472687">
        <w:fldChar w:fldCharType="end"/>
      </w:r>
      <w:bookmarkEnd w:id="774"/>
      <w:r>
        <w:t xml:space="preserve">. </w:t>
      </w:r>
      <w:bookmarkStart w:id="775" w:name="lt_pId4040"/>
      <w:bookmarkStart w:id="776" w:name="lt_pId4041"/>
      <w:bookmarkEnd w:id="775"/>
      <w:r>
        <w:t>În această privință, reclamantele au prezentat informații și alte elemente care arată modul în care schimbările climatice afectează femeile în vârstă din Elveția, în special ca urmare a frecvenței tot mai mari și a intensității valurilor de căldură.</w:t>
      </w:r>
      <w:bookmarkEnd w:id="776"/>
      <w:r>
        <w:t xml:space="preserve"> </w:t>
      </w:r>
      <w:bookmarkStart w:id="777" w:name="lt_pId4042"/>
      <w:r>
        <w:t xml:space="preserve">Datele comunicate de părțile interesate, care provin de la organisme naționale și internaționale specializate – și a căror relevanță și valoare probatorie nu sunt puse la îndoială –, atestă că, în ultimii </w:t>
      </w:r>
      <w:r>
        <w:lastRenderedPageBreak/>
        <w:t>ani, mai multe veri s-au numărat printre cele mai fierbinți înregistrate vreodată în Elveția și că valurile de căldură sunt un factor de creștere a mortalității și morbidității, în special în rândul femeilor în vârstă (supra, pct. </w:t>
      </w:r>
      <w:r w:rsidRPr="00472687">
        <w:fldChar w:fldCharType="begin"/>
      </w:r>
      <w:r w:rsidRPr="00472687">
        <w:instrText xml:space="preserve">REF paragraph00065 \h \* CharFormat </w:instrText>
      </w:r>
      <w:r w:rsidRPr="00472687">
        <w:fldChar w:fldCharType="separate"/>
      </w:r>
      <w:r w:rsidRPr="00472687">
        <w:t>65</w:t>
      </w:r>
      <w:r w:rsidRPr="00472687">
        <w:fldChar w:fldCharType="end"/>
      </w:r>
      <w:r>
        <w:t>-</w:t>
      </w:r>
      <w:r w:rsidRPr="00472687">
        <w:fldChar w:fldCharType="begin"/>
      </w:r>
      <w:r w:rsidRPr="00472687">
        <w:instrText xml:space="preserve">REF paragraph00067 \h \* CharFormat </w:instrText>
      </w:r>
      <w:r w:rsidRPr="00472687">
        <w:fldChar w:fldCharType="separate"/>
      </w:r>
      <w:r w:rsidRPr="00472687">
        <w:t>67</w:t>
      </w:r>
      <w:r w:rsidRPr="00472687">
        <w:fldChar w:fldCharType="end"/>
      </w:r>
      <w:r>
        <w:t>).</w:t>
      </w:r>
      <w:bookmarkEnd w:id="777"/>
    </w:p>
    <w:p w:rsidR="00F524A5" w:rsidRPr="00472687" w:rsidRDefault="00C71855" w:rsidP="00F524A5">
      <w:pPr>
        <w:pStyle w:val="JuPara"/>
      </w:pPr>
      <w:fldSimple w:instr=" SEQ level0 \*arabic \* MERGEFORMAT ">
        <w:r w:rsidR="00F524A5" w:rsidRPr="00472687">
          <w:t>530</w:t>
        </w:r>
      </w:fldSimple>
      <w:r w:rsidR="00F524A5">
        <w:t xml:space="preserve">. </w:t>
      </w:r>
      <w:bookmarkStart w:id="778" w:name="lt_pId4046"/>
      <w:bookmarkStart w:id="779" w:name="lt_pId4047"/>
      <w:bookmarkEnd w:id="778"/>
      <w:r w:rsidR="00F524A5">
        <w:t>IPCC a constatat că persoanele în vârstă aparțin uneia dintre categoriile cele mai vulnerabile în fața efectelor nefaste ale schimbărilor climatice asupra sănătății fizice și mintale</w:t>
      </w:r>
      <w:r w:rsidR="00F524A5">
        <w:rPr>
          <w:vertAlign w:val="superscript"/>
        </w:rPr>
        <w:footnoteReference w:id="197"/>
      </w:r>
      <w:bookmarkEnd w:id="779"/>
      <w:r w:rsidR="00F524A5">
        <w:t xml:space="preserve">. </w:t>
      </w:r>
      <w:bookmarkStart w:id="781" w:name="lt_pId4048"/>
      <w:r w:rsidR="00F524A5">
        <w:t>Constatări similare au fost făcute de FOEN, care a observat, mai precis, că valurile de căldură solicită foarte mult organismul uman și pot provoca deshidratarea acestuia sau deteriorarea funcției cardiace și pulmonare, ceea ce determină creșterea numărului de internări în unitățile de primiri urgențe din spitale, și că, în acest context, persoanele în vârstă sunt deosebit de expuse riscurilor</w:t>
      </w:r>
      <w:bookmarkStart w:id="782" w:name="lt_pId4049"/>
      <w:r w:rsidR="00F524A5">
        <w:rPr>
          <w:vertAlign w:val="superscript"/>
        </w:rPr>
        <w:footnoteReference w:id="198"/>
      </w:r>
      <w:bookmarkEnd w:id="781"/>
      <w:bookmarkEnd w:id="782"/>
      <w:r w:rsidR="00F524A5">
        <w:t xml:space="preserve">. </w:t>
      </w:r>
      <w:bookmarkStart w:id="783" w:name="lt_pId4050"/>
      <w:r w:rsidR="00F524A5">
        <w:t>În plus, efectele nefaste ale schimbărilor climatice asupra femeilor în vârstă și necesitatea protejării lor împotriva acestor efecte au fost evidențiate în numeroase documente internaționale</w:t>
      </w:r>
      <w:r w:rsidR="00F524A5">
        <w:rPr>
          <w:vertAlign w:val="superscript"/>
        </w:rPr>
        <w:footnoteReference w:id="199"/>
      </w:r>
      <w:bookmarkEnd w:id="783"/>
      <w:r w:rsidR="00F524A5">
        <w:t>.</w:t>
      </w:r>
    </w:p>
    <w:bookmarkStart w:id="785" w:name="paragraph0053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531</w:t>
      </w:r>
      <w:r w:rsidRPr="00472687">
        <w:fldChar w:fldCharType="end"/>
      </w:r>
      <w:bookmarkEnd w:id="785"/>
      <w:r>
        <w:t xml:space="preserve">. </w:t>
      </w:r>
      <w:bookmarkStart w:id="786" w:name="lt_pId4051"/>
      <w:bookmarkStart w:id="787" w:name="lt_pId4052"/>
      <w:bookmarkEnd w:id="786"/>
      <w:r>
        <w:t xml:space="preserve">Deși din constatările sus-menționate reiese în mod incontestabil că reclamantele aparțin unei categorii deosebit de sensibile la efectele schimbărilor climatice, acest element nu este suficient în sine pentru a justifica acordarea calității de victimă reclamantelor, conform criteriilor prezentate la punctele </w:t>
      </w:r>
      <w:r w:rsidRPr="00472687">
        <w:fldChar w:fldCharType="begin"/>
      </w:r>
      <w:r w:rsidRPr="00472687">
        <w:instrText xml:space="preserve">REF paragraph00487 \h \* CharFormat </w:instrText>
      </w:r>
      <w:r w:rsidRPr="00472687">
        <w:fldChar w:fldCharType="separate"/>
      </w:r>
      <w:r w:rsidRPr="00472687">
        <w:t>487</w:t>
      </w:r>
      <w:r w:rsidRPr="00472687">
        <w:fldChar w:fldCharType="end"/>
      </w:r>
      <w:r>
        <w:t>-</w:t>
      </w:r>
      <w:r w:rsidRPr="00472687">
        <w:fldChar w:fldCharType="begin"/>
      </w:r>
      <w:r w:rsidRPr="00472687">
        <w:instrText xml:space="preserve">REF paragraph00488 \h \* CharFormat </w:instrText>
      </w:r>
      <w:r w:rsidRPr="00472687">
        <w:fldChar w:fldCharType="separate"/>
      </w:r>
      <w:r w:rsidRPr="00472687">
        <w:t>488</w:t>
      </w:r>
      <w:r w:rsidRPr="00472687">
        <w:fldChar w:fldCharType="end"/>
      </w:r>
      <w:r>
        <w:t xml:space="preserve"> de mai sus.</w:t>
      </w:r>
      <w:bookmarkEnd w:id="787"/>
      <w:r>
        <w:t xml:space="preserve"> </w:t>
      </w:r>
      <w:bookmarkStart w:id="788" w:name="lt_pId4053"/>
      <w:r>
        <w:t>Este necesar să se stabilească, de asemenea, pentru fiecare dintre reclamante, că este îndeplinită cerința conform căreia consecințele negative suferite de persoana în cauză trebuie să aibă un anumit nivel și o anumită gravitate și, în special, persoana în cauză trebuie să prezinte vulnerabilități personale susceptibile să dea naștere unei nevoi imperioase de a asigura protecția sa individuală.</w:t>
      </w:r>
      <w:bookmarkEnd w:id="788"/>
    </w:p>
    <w:bookmarkStart w:id="789" w:name="paragraph00532"/>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532</w:t>
      </w:r>
      <w:r w:rsidRPr="00472687">
        <w:fldChar w:fldCharType="end"/>
      </w:r>
      <w:bookmarkEnd w:id="789"/>
      <w:r>
        <w:t xml:space="preserve">. </w:t>
      </w:r>
      <w:bookmarkStart w:id="790" w:name="lt_pId4091"/>
      <w:r>
        <w:t>În această privință, trebuie subliniat, cu privire la reclamantele nr. 2-4, că, în declarațiile scrise și în dosarele medicale pe care le-au transmis Curții, acestea au făcut referire la diferite dificultăți cu care s-au confruntat în timpul valurilor de caniculă, în special la efectele acestora asupra stării lor de sănătate.</w:t>
      </w:r>
      <w:bookmarkEnd w:id="790"/>
      <w:r>
        <w:t xml:space="preserve"> </w:t>
      </w:r>
      <w:bookmarkStart w:id="791" w:name="lt_pId4092"/>
      <w:r>
        <w:t>Persoanele în cauză au indicat, de asemenea, că, în timpul valurilor de căldură, au fost nevoite să ia diverse măsuri individuale de adaptare.</w:t>
      </w:r>
      <w:bookmarkEnd w:id="791"/>
    </w:p>
    <w:p w:rsidR="00F524A5" w:rsidRPr="00472687" w:rsidRDefault="00C71855" w:rsidP="00F524A5">
      <w:pPr>
        <w:pStyle w:val="JuPara"/>
      </w:pPr>
      <w:fldSimple w:instr=" SEQ level0 \*arabic \* MERGEFORMAT ">
        <w:r w:rsidR="00F524A5" w:rsidRPr="00472687">
          <w:t>533</w:t>
        </w:r>
      </w:fldSimple>
      <w:r w:rsidR="00F524A5">
        <w:t xml:space="preserve">. </w:t>
      </w:r>
      <w:bookmarkStart w:id="792" w:name="lt_pId4093"/>
      <w:bookmarkStart w:id="793" w:name="lt_pId4094"/>
      <w:bookmarkEnd w:id="792"/>
      <w:r w:rsidR="00F524A5">
        <w:t xml:space="preserve">Cu toate acestea, deși Curtea poate admite că valurile de căldură au afectat calitatea vieții reclamantelor, documentele disponibile nu arată că persoanele în cauză au fost expuse efectelor nefaste ale schimbărilor climatice </w:t>
      </w:r>
      <w:r w:rsidR="00F524A5">
        <w:lastRenderedPageBreak/>
        <w:t xml:space="preserve">sau că acestea riscă să fie expuse unor astfel de efecte, la un moment dat în viitor, într-o măsură care să dea naștere unei nevoi imperioase de a asigura protecția lor individuală, în special având în vedere pragul ridicat care se aplică în mod necesar pentru a fi îndeplinite criteriile enunțate la punctele </w:t>
      </w:r>
      <w:r w:rsidR="00F524A5" w:rsidRPr="00472687">
        <w:fldChar w:fldCharType="begin"/>
      </w:r>
      <w:r w:rsidR="00F524A5" w:rsidRPr="00472687">
        <w:instrText xml:space="preserve">REF paragraph00487 \h \* CharFormat  \* MERGEFORMAT </w:instrText>
      </w:r>
      <w:r w:rsidR="00F524A5" w:rsidRPr="00472687">
        <w:fldChar w:fldCharType="separate"/>
      </w:r>
      <w:r w:rsidR="00F524A5" w:rsidRPr="00472687">
        <w:t>487</w:t>
      </w:r>
      <w:r w:rsidR="00F524A5" w:rsidRPr="00472687">
        <w:fldChar w:fldCharType="end"/>
      </w:r>
      <w:r w:rsidR="00F524A5">
        <w:t>-</w:t>
      </w:r>
      <w:r w:rsidR="00F524A5" w:rsidRPr="00472687">
        <w:fldChar w:fldCharType="begin"/>
      </w:r>
      <w:r w:rsidR="00F524A5" w:rsidRPr="00472687">
        <w:instrText xml:space="preserve">REF paragraph00488 \h \* CharFormat  \* MERGEFORMAT </w:instrText>
      </w:r>
      <w:r w:rsidR="00F524A5" w:rsidRPr="00472687">
        <w:fldChar w:fldCharType="separate"/>
      </w:r>
      <w:r w:rsidR="00F524A5" w:rsidRPr="00472687">
        <w:t>488</w:t>
      </w:r>
      <w:r w:rsidR="00F524A5" w:rsidRPr="00472687">
        <w:fldChar w:fldCharType="end"/>
      </w:r>
      <w:r w:rsidR="00F524A5">
        <w:t xml:space="preserve"> de mai sus.</w:t>
      </w:r>
      <w:bookmarkEnd w:id="793"/>
      <w:r w:rsidR="00F524A5">
        <w:t xml:space="preserve"> </w:t>
      </w:r>
      <w:bookmarkStart w:id="794" w:name="lt_pId4095"/>
      <w:r w:rsidR="00F524A5">
        <w:t>Nu se poate afirma că reclamantele suferă de o problemă critică de sănătate, a cărei posibilă agravare din cauza valurilor de căldură nu poate fi atenuată prin măsurile de adaptare disponibile în Elveția sau prin intermediul unor măsuri individuale rezonabile de adaptare, având în vedere intensitatea valurilor de căldură care afectează această țară (supra, pct. </w:t>
      </w:r>
      <w:r w:rsidR="00F524A5" w:rsidRPr="00472687">
        <w:fldChar w:fldCharType="begin"/>
      </w:r>
      <w:r w:rsidR="00F524A5" w:rsidRPr="00472687">
        <w:instrText xml:space="preserve">REF paragraph00088 \h \* CharFormat  \* MERGEFORMAT </w:instrText>
      </w:r>
      <w:r w:rsidR="00F524A5" w:rsidRPr="00472687">
        <w:fldChar w:fldCharType="separate"/>
      </w:r>
      <w:r w:rsidR="00F524A5" w:rsidRPr="00472687">
        <w:t>88</w:t>
      </w:r>
      <w:r w:rsidR="00F524A5" w:rsidRPr="00472687">
        <w:fldChar w:fldCharType="end"/>
      </w:r>
      <w:r w:rsidR="00F524A5">
        <w:t>-</w:t>
      </w:r>
      <w:r w:rsidR="00F524A5" w:rsidRPr="00472687">
        <w:fldChar w:fldCharType="begin"/>
      </w:r>
      <w:r w:rsidR="00F524A5" w:rsidRPr="00472687">
        <w:instrText xml:space="preserve">REF paragraph00090 \h \* CharFormat  \* MERGEFORMAT </w:instrText>
      </w:r>
      <w:r w:rsidR="00F524A5" w:rsidRPr="00472687">
        <w:fldChar w:fldCharType="separate"/>
      </w:r>
      <w:r w:rsidR="00F524A5" w:rsidRPr="00472687">
        <w:t>90</w:t>
      </w:r>
      <w:r w:rsidR="00F524A5" w:rsidRPr="00472687">
        <w:fldChar w:fldCharType="end"/>
      </w:r>
      <w:r w:rsidR="00F524A5">
        <w:t>).</w:t>
      </w:r>
      <w:bookmarkEnd w:id="794"/>
      <w:r w:rsidR="00F524A5">
        <w:t xml:space="preserve"> De asemenea, trebuie reamintit faptul că, doar în cazuri excepționale, Curtea recunoaște calitatea de victimă în raport cu un risc viitor și că reclamantele individuale nu au demonstrat existența unor astfel de circumstanțe excepționale în privința lor (supra, pct. </w:t>
      </w:r>
      <w:r w:rsidR="00F524A5" w:rsidRPr="00472687">
        <w:fldChar w:fldCharType="begin"/>
      </w:r>
      <w:r w:rsidR="00F524A5" w:rsidRPr="00472687">
        <w:instrText xml:space="preserve">REF paragraph00470 \h \* CharFormat  \* MERGEFORMAT </w:instrText>
      </w:r>
      <w:r w:rsidR="00F524A5" w:rsidRPr="00472687">
        <w:fldChar w:fldCharType="separate"/>
      </w:r>
      <w:r w:rsidR="00F524A5" w:rsidRPr="00472687">
        <w:t>470</w:t>
      </w:r>
      <w:r w:rsidR="00F524A5" w:rsidRPr="00472687">
        <w:fldChar w:fldCharType="end"/>
      </w:r>
      <w:r w:rsidR="00F524A5">
        <w:t>).</w:t>
      </w:r>
    </w:p>
    <w:p w:rsidR="00F524A5" w:rsidRPr="00472687" w:rsidRDefault="00C71855" w:rsidP="00F524A5">
      <w:pPr>
        <w:pStyle w:val="JuPara"/>
      </w:pPr>
      <w:fldSimple w:instr=" SEQ level0 \*arabic \* MERGEFORMAT ">
        <w:r w:rsidR="00F524A5" w:rsidRPr="00472687">
          <w:t>534</w:t>
        </w:r>
      </w:fldSimple>
      <w:r w:rsidR="00F524A5">
        <w:t xml:space="preserve">. </w:t>
      </w:r>
      <w:bookmarkStart w:id="795" w:name="lt_pId4096"/>
      <w:bookmarkStart w:id="796" w:name="lt_pId4097"/>
      <w:bookmarkEnd w:id="795"/>
      <w:r w:rsidR="00F524A5">
        <w:t>În cele din urmă, cea de-a cincea reclamantă a furnizat o declarație foarte generală, în care nu se menționează niciun factor special de morbiditate sau alte efecte negative grave cauzate de valurile de căldură, care ar depăși efectele obișnuite pe care este probabil să le experimenteze orice persoană din categoria femeilor în vârstă.</w:t>
      </w:r>
      <w:bookmarkEnd w:id="796"/>
      <w:r w:rsidR="00F524A5">
        <w:t xml:space="preserve"> </w:t>
      </w:r>
      <w:bookmarkStart w:id="797" w:name="lt_pId4098"/>
      <w:r w:rsidR="00F524A5">
        <w:t>În plus, deși a prezentat un certificat medical care atestă faptul că suferă de astm, aceasta a precizat, în declarația sa, că nu a consultat niciodată un medic în legătură cu un val de caniculă (supra, pct. </w:t>
      </w:r>
      <w:r w:rsidR="00F524A5" w:rsidRPr="00472687">
        <w:fldChar w:fldCharType="begin"/>
      </w:r>
      <w:r w:rsidR="00F524A5" w:rsidRPr="00472687">
        <w:instrText xml:space="preserve">REF paragraph00020 \h \* CharFormat  \* MERGEFORMAT </w:instrText>
      </w:r>
      <w:r w:rsidR="00F524A5" w:rsidRPr="00472687">
        <w:fldChar w:fldCharType="separate"/>
      </w:r>
      <w:r w:rsidR="00F524A5" w:rsidRPr="00472687">
        <w:t>20</w:t>
      </w:r>
      <w:r w:rsidR="00F524A5" w:rsidRPr="00472687">
        <w:fldChar w:fldCharType="end"/>
      </w:r>
      <w:r w:rsidR="00F524A5">
        <w:noBreakHyphen/>
      </w:r>
      <w:r w:rsidR="00F524A5" w:rsidRPr="00472687">
        <w:fldChar w:fldCharType="begin"/>
      </w:r>
      <w:r w:rsidR="00F524A5" w:rsidRPr="00472687">
        <w:instrText xml:space="preserve">REF paragraph00021 \h \* CharFormat  \* MERGEFORMAT </w:instrText>
      </w:r>
      <w:r w:rsidR="00F524A5" w:rsidRPr="00472687">
        <w:fldChar w:fldCharType="separate"/>
      </w:r>
      <w:r w:rsidR="00F524A5" w:rsidRPr="00472687">
        <w:t>21</w:t>
      </w:r>
      <w:r w:rsidR="00F524A5" w:rsidRPr="00472687">
        <w:fldChar w:fldCharType="end"/>
      </w:r>
      <w:r w:rsidR="00F524A5">
        <w:t>).</w:t>
      </w:r>
      <w:bookmarkEnd w:id="797"/>
      <w:r w:rsidR="00F524A5">
        <w:t xml:space="preserve"> </w:t>
      </w:r>
      <w:bookmarkStart w:id="798" w:name="lt_pId4099"/>
      <w:r w:rsidR="00F524A5">
        <w:t>Prin urmare, este imposibil să se stabilească existența unei legături între starea de sănătate a celei de-a cincea reclamante și capetele de cerere formulate de aceasta în fața Curții.</w:t>
      </w:r>
      <w:bookmarkEnd w:id="798"/>
    </w:p>
    <w:bookmarkStart w:id="799" w:name="paragraph0053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535</w:t>
      </w:r>
      <w:r w:rsidRPr="00472687">
        <w:fldChar w:fldCharType="end"/>
      </w:r>
      <w:bookmarkEnd w:id="799"/>
      <w:r>
        <w:t xml:space="preserve">. </w:t>
      </w:r>
      <w:bookmarkStart w:id="800" w:name="lt_pId4100"/>
      <w:bookmarkStart w:id="801" w:name="lt_pId4101"/>
      <w:bookmarkEnd w:id="800"/>
      <w:r>
        <w:t>Din considerațiile precedente rezultă că reclamantele nr. </w:t>
      </w:r>
      <w:bookmarkStart w:id="802" w:name="lt_pId4102"/>
      <w:bookmarkEnd w:id="801"/>
      <w:r>
        <w:t>2-5 nu îndeplinesc criteriile referitoare la calitatea de victimă în sensul art. 34 din Convenție.</w:t>
      </w:r>
      <w:bookmarkEnd w:id="802"/>
      <w:r>
        <w:t xml:space="preserve"> </w:t>
      </w:r>
      <w:bookmarkStart w:id="803" w:name="lt_pId4103"/>
      <w:r>
        <w:t xml:space="preserve">Această constatare îi este suficientă Curții pentru a declara capetele de cerere ale acestora inadmisibile din motive de incompatibilitate </w:t>
      </w:r>
      <w:r>
        <w:rPr>
          <w:i/>
        </w:rPr>
        <w:t>ratione personae</w:t>
      </w:r>
      <w:r>
        <w:t xml:space="preserve"> cu dispozițiile Convenției, în sensul art. 35 § 3.</w:t>
      </w:r>
      <w:bookmarkEnd w:id="803"/>
    </w:p>
    <w:p w:rsidR="00F524A5" w:rsidRPr="00472687" w:rsidRDefault="00F524A5" w:rsidP="00F524A5">
      <w:pPr>
        <w:pStyle w:val="JuHalpha"/>
        <w:numPr>
          <w:ilvl w:val="6"/>
          <w:numId w:val="36"/>
        </w:numPr>
        <w:tabs>
          <w:tab w:val="clear" w:pos="1361"/>
        </w:tabs>
        <w:ind w:left="1701" w:hanging="425"/>
      </w:pPr>
      <w:r>
        <w:t>Art. 2 din Convenție</w:t>
      </w:r>
    </w:p>
    <w:p w:rsidR="00F524A5" w:rsidRPr="00472687" w:rsidRDefault="00C71855" w:rsidP="00F524A5">
      <w:pPr>
        <w:pStyle w:val="JuPara"/>
      </w:pPr>
      <w:fldSimple w:instr=" SEQ level0 \*arabic \* MERGEFORMAT ">
        <w:bookmarkStart w:id="804" w:name="paragraph00536"/>
        <w:r w:rsidR="00F524A5" w:rsidRPr="00472687">
          <w:t>536</w:t>
        </w:r>
        <w:bookmarkEnd w:id="804"/>
      </w:fldSimple>
      <w:r w:rsidR="00F524A5">
        <w:t xml:space="preserve">. </w:t>
      </w:r>
      <w:bookmarkStart w:id="805" w:name="lt_pId4105"/>
      <w:bookmarkStart w:id="806" w:name="lt_pId4106"/>
      <w:bookmarkEnd w:id="805"/>
      <w:r w:rsidR="00F524A5">
        <w:t xml:space="preserve">Este indiscutabil faptul că art. 8 se aplică, în circumstanțele prezentei cauze, capetelor de cerere formulate de asociația reclamantă </w:t>
      </w:r>
      <w:bookmarkStart w:id="807" w:name="lt_pId4107"/>
      <w:bookmarkEnd w:id="806"/>
      <w:r w:rsidR="00F524A5">
        <w:t>cu privire la consecințele pretinselor deficiențe ale statului pârât în ceea ce privește măsurile sale de combatere a efectelor negative ale schimbărilor climatice și a amenințărilor schimbărilor climatice asupra sănătății umane; în schimb, este mai discutabil dacă aceste pretinse deficiențe au avut, de asemenea, consecințe care ar fi putut să pună în pericol viața într-o asemenea măsură încât să determine aplicarea art. 2.</w:t>
      </w:r>
      <w:bookmarkEnd w:id="807"/>
      <w:r w:rsidR="00F524A5">
        <w:t xml:space="preserve"> </w:t>
      </w:r>
      <w:bookmarkStart w:id="808" w:name="lt_pId4108"/>
      <w:r w:rsidR="00F524A5">
        <w:t xml:space="preserve">Cu toate acestea, pentru motivele expuse la punctele 537 și </w:t>
      </w:r>
      <w:r w:rsidR="00F524A5" w:rsidRPr="00472687">
        <w:fldChar w:fldCharType="begin"/>
      </w:r>
      <w:r w:rsidR="00F524A5" w:rsidRPr="00472687">
        <w:instrText xml:space="preserve">REF paragraph00538 \h \* CharFormat  \* MERGEFORMAT </w:instrText>
      </w:r>
      <w:r w:rsidR="00F524A5" w:rsidRPr="00472687">
        <w:fldChar w:fldCharType="separate"/>
      </w:r>
      <w:r w:rsidR="00F524A5" w:rsidRPr="00472687">
        <w:t>538</w:t>
      </w:r>
      <w:r w:rsidR="00F524A5" w:rsidRPr="00472687">
        <w:fldChar w:fldCharType="end"/>
      </w:r>
      <w:r w:rsidR="00F524A5">
        <w:t xml:space="preserve"> de mai jos, Curtea consideră că nu este necesar să continue analiza chestiunilor referitoare la pragul necesar pentru aplicabilitatea art. 2.</w:t>
      </w:r>
      <w:bookmarkEnd w:id="808"/>
      <w:r w:rsidR="00F524A5">
        <w:t xml:space="preserve"> De asemenea, aceasta consideră, pentru motivele expuse la punctele </w:t>
      </w:r>
      <w:r w:rsidR="00F524A5" w:rsidRPr="00472687">
        <w:fldChar w:fldCharType="begin"/>
      </w:r>
      <w:r w:rsidR="00F524A5" w:rsidRPr="00472687">
        <w:instrText xml:space="preserve"> REF paragraph00527 \h  \* CharFormat  \* MERGEFORMAT </w:instrText>
      </w:r>
      <w:r w:rsidR="00F524A5" w:rsidRPr="00472687">
        <w:fldChar w:fldCharType="separate"/>
      </w:r>
      <w:r w:rsidR="00F524A5" w:rsidRPr="00472687">
        <w:t>527</w:t>
      </w:r>
      <w:r w:rsidR="00F524A5" w:rsidRPr="00472687">
        <w:fldChar w:fldCharType="end"/>
      </w:r>
      <w:r w:rsidR="00F524A5">
        <w:t>-</w:t>
      </w:r>
      <w:r w:rsidR="00F524A5" w:rsidRPr="00472687">
        <w:fldChar w:fldCharType="begin"/>
      </w:r>
      <w:r w:rsidR="00F524A5" w:rsidRPr="00472687">
        <w:instrText xml:space="preserve">REF paragraph00535 \h \* CharFormat  \* MERGEFORMAT </w:instrText>
      </w:r>
      <w:r w:rsidR="00F524A5" w:rsidRPr="00472687">
        <w:fldChar w:fldCharType="separate"/>
      </w:r>
      <w:r w:rsidR="00F524A5" w:rsidRPr="00472687">
        <w:t>535</w:t>
      </w:r>
      <w:r w:rsidR="00F524A5" w:rsidRPr="00472687">
        <w:fldChar w:fldCharType="end"/>
      </w:r>
      <w:r w:rsidR="00F524A5">
        <w:t xml:space="preserve"> de mai sus, că respectivele capete de cerere formulate de reclamantele nr. 2-5 în temeiul art. 2 trebuie să fie declarate inadmisibile din </w:t>
      </w:r>
      <w:r w:rsidR="00F524A5">
        <w:lastRenderedPageBreak/>
        <w:t xml:space="preserve">motive de incompatibilitate </w:t>
      </w:r>
      <w:r w:rsidR="00F524A5">
        <w:rPr>
          <w:i/>
        </w:rPr>
        <w:t>ratione personae</w:t>
      </w:r>
      <w:r w:rsidR="00F524A5">
        <w:t xml:space="preserve"> cu dispozițiile Convenției, în sensul art. 35 § 3.</w:t>
      </w:r>
    </w:p>
    <w:p w:rsidR="00F524A5" w:rsidRPr="00472687" w:rsidRDefault="00F524A5" w:rsidP="00F524A5">
      <w:pPr>
        <w:pStyle w:val="JuHalpha"/>
        <w:numPr>
          <w:ilvl w:val="6"/>
          <w:numId w:val="37"/>
        </w:numPr>
        <w:tabs>
          <w:tab w:val="clear" w:pos="1361"/>
        </w:tabs>
        <w:ind w:left="1701" w:hanging="425"/>
      </w:pPr>
      <w:bookmarkStart w:id="809" w:name="paragraph00537"/>
      <w:r>
        <w:t>Concluzie</w:t>
      </w:r>
    </w:p>
    <w:p w:rsidR="00F524A5" w:rsidRPr="00472687" w:rsidRDefault="00F524A5" w:rsidP="00F524A5">
      <w:pPr>
        <w:pStyle w:val="JuPara"/>
      </w:pPr>
      <w:r w:rsidRPr="00472687">
        <w:fldChar w:fldCharType="begin"/>
      </w:r>
      <w:r>
        <w:instrText xml:space="preserve"> SEQ level0 \*arabic \* MERGEFORMAT </w:instrText>
      </w:r>
      <w:r w:rsidRPr="00472687">
        <w:fldChar w:fldCharType="separate"/>
      </w:r>
      <w:r w:rsidRPr="00472687">
        <w:t>537</w:t>
      </w:r>
      <w:r w:rsidRPr="00472687">
        <w:fldChar w:fldCharType="end"/>
      </w:r>
      <w:bookmarkEnd w:id="809"/>
      <w:r>
        <w:t xml:space="preserve">. </w:t>
      </w:r>
      <w:bookmarkStart w:id="810" w:name="lt_pId4110"/>
      <w:bookmarkStart w:id="811" w:name="lt_pId4111"/>
      <w:bookmarkEnd w:id="810"/>
      <w:r>
        <w:t>Curtea apreciază că respectivul capăt de cerere al asociației reclamante trebuie să fie examinat doar din perspectiva art. 8.</w:t>
      </w:r>
      <w:bookmarkEnd w:id="811"/>
      <w:r>
        <w:t xml:space="preserve"> </w:t>
      </w:r>
      <w:bookmarkStart w:id="812" w:name="lt_pId4112"/>
      <w:r>
        <w:t>Cu toate acestea, în analiza jurisprudențială pe care o va prezenta în continuare, aceasta va ține seama și de principiile care au fost dezvoltate din perspectiva art. 2, care sunt în mare măsură similare celor enunțate în temeiul art. 8 (supra, pct. </w:t>
      </w:r>
      <w:r w:rsidRPr="00472687">
        <w:fldChar w:fldCharType="begin"/>
      </w:r>
      <w:r w:rsidRPr="00472687">
        <w:instrText xml:space="preserve"> REF paragraph00292 \h  \* CharFormat  \* MERGEFORMAT </w:instrText>
      </w:r>
      <w:r w:rsidRPr="00472687">
        <w:fldChar w:fldCharType="separate"/>
      </w:r>
      <w:r w:rsidRPr="00472687">
        <w:t>292</w:t>
      </w:r>
      <w:r w:rsidRPr="00472687">
        <w:fldChar w:fldCharType="end"/>
      </w:r>
      <w:r>
        <w:t>) și care, coroborate cu acestea din urmă, oferă o bază utilă pentru definirea abordării globale care trebuie aplicată în contextul schimbărilor climatice, în temeiul ambelor dispoziții.</w:t>
      </w:r>
      <w:bookmarkEnd w:id="812"/>
    </w:p>
    <w:p w:rsidR="00F524A5" w:rsidRPr="00472687" w:rsidRDefault="00F524A5" w:rsidP="00F524A5">
      <w:pPr>
        <w:pStyle w:val="JuH1"/>
        <w:numPr>
          <w:ilvl w:val="3"/>
          <w:numId w:val="18"/>
        </w:numPr>
        <w:ind w:left="1440" w:hanging="360"/>
      </w:pPr>
      <w:bookmarkStart w:id="813" w:name="_Toc199273571"/>
      <w:r>
        <w:t>Cu privire la fond</w:t>
      </w:r>
      <w:bookmarkEnd w:id="813"/>
    </w:p>
    <w:p w:rsidR="00F524A5" w:rsidRPr="00472687" w:rsidRDefault="00F524A5" w:rsidP="00F524A5">
      <w:pPr>
        <w:pStyle w:val="JuHa0"/>
        <w:numPr>
          <w:ilvl w:val="4"/>
          <w:numId w:val="38"/>
        </w:numPr>
      </w:pPr>
      <w:bookmarkStart w:id="814" w:name="_Toc199273572"/>
      <w:r>
        <w:t>Principii generale</w:t>
      </w:r>
      <w:bookmarkEnd w:id="814"/>
    </w:p>
    <w:bookmarkStart w:id="815" w:name="lt_pId4116"/>
    <w:bookmarkStart w:id="816" w:name="lt_pId4118"/>
    <w:bookmarkStart w:id="817" w:name="paragraph00538"/>
    <w:bookmarkEnd w:id="815"/>
    <w:bookmarkEnd w:id="81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538</w:t>
      </w:r>
      <w:r w:rsidRPr="00472687">
        <w:fldChar w:fldCharType="end"/>
      </w:r>
      <w:bookmarkEnd w:id="817"/>
      <w:r>
        <w:t xml:space="preserve">. </w:t>
      </w:r>
      <w:bookmarkStart w:id="818" w:name="lt_pId4120"/>
      <w:bookmarkStart w:id="819" w:name="lt_pId4121"/>
      <w:bookmarkEnd w:id="818"/>
      <w:r>
        <w:t>În mare măsură, Curtea a aplicat aceleași principii precum cele stabilite în temeiul art. 2 atunci când a fost sesizată să examineze, din perspectiva art. 8, cauze având ca obiect probleme de mediu. În acest context, Curtea a afirmat în special următoarele:</w:t>
      </w:r>
      <w:bookmarkEnd w:id="819"/>
    </w:p>
    <w:p w:rsidR="00F524A5" w:rsidRPr="00472687" w:rsidRDefault="00F524A5" w:rsidP="00F524A5">
      <w:pPr>
        <w:pStyle w:val="JuPara"/>
      </w:pPr>
      <w:bookmarkStart w:id="820" w:name="lt_pId4122"/>
      <w:r>
        <w:t>a)</w:t>
      </w:r>
      <w:bookmarkEnd w:id="820"/>
      <w:r>
        <w:tab/>
      </w:r>
      <w:bookmarkStart w:id="821" w:name="lt_pId4123"/>
      <w:r>
        <w:t>Statele au obligația pozitivă de a institui un cadru legislativ și administrativ relevant, menit să protejeze în mod efectiv viața și sănătatea umană.</w:t>
      </w:r>
      <w:bookmarkEnd w:id="821"/>
      <w:r>
        <w:t xml:space="preserve"> </w:t>
      </w:r>
      <w:bookmarkStart w:id="822" w:name="lt_pId4124"/>
      <w:r>
        <w:t>În special, sunt obligate să instituie reglementări adaptate la particularitățile activității în cauză, în special la nivelul riscului pe care îl poate implica aceasta.</w:t>
      </w:r>
      <w:bookmarkEnd w:id="822"/>
      <w:r>
        <w:t xml:space="preserve"> </w:t>
      </w:r>
      <w:bookmarkStart w:id="823" w:name="lt_pId4125"/>
      <w:r>
        <w:t>Este vorba despre obligația de a reglementa autorizarea, punerea în funcțiune, exploatarea, securitatea și controlul activității în cauză, precum și de a impune oricărei persoane interesate de aceasta adoptarea unor măsuri de ordin practic care să asigure protecția efectivă a cetățenilor a căror viață riscă să fie expusă pericolelor inerente domeniului în cauză (a se vedea, de exemplu,</w:t>
      </w:r>
      <w:r>
        <w:rPr>
          <w:i/>
        </w:rPr>
        <w:t xml:space="preserve"> Jugheli și alții, </w:t>
      </w:r>
      <w:r>
        <w:t>pct. 75,</w:t>
      </w:r>
      <w:r>
        <w:rPr>
          <w:i/>
        </w:rPr>
        <w:t xml:space="preserve"> Di Sarno și alții, </w:t>
      </w:r>
      <w:r>
        <w:t>pct. 106,</w:t>
      </w:r>
      <w:r>
        <w:rPr>
          <w:i/>
        </w:rPr>
        <w:t xml:space="preserve"> și Tătar, </w:t>
      </w:r>
      <w:r>
        <w:t>pct. 88, toate citate anterior).</w:t>
      </w:r>
      <w:bookmarkEnd w:id="823"/>
    </w:p>
    <w:p w:rsidR="00F524A5" w:rsidRPr="00472687" w:rsidRDefault="00F524A5" w:rsidP="00F524A5">
      <w:pPr>
        <w:pStyle w:val="JuPara"/>
      </w:pPr>
      <w:bookmarkStart w:id="824" w:name="lt_pId4126"/>
      <w:r>
        <w:t>b)</w:t>
      </w:r>
      <w:bookmarkEnd w:id="824"/>
      <w:r>
        <w:tab/>
      </w:r>
      <w:bookmarkStart w:id="825" w:name="lt_pId4127"/>
      <w:r>
        <w:t>Statele au, de asemenea, obligația de a aplica în mod concret și efectiv cadrul astfel instituit. Astfel, o reglementare menită să protejeze drepturile garantate este puțin utilă dacă nu este aplicată în mod corespunzător, întrucât Convenția urmărește să protejeze drepturi efective, nu iluzorii.</w:t>
      </w:r>
      <w:bookmarkEnd w:id="825"/>
      <w:r>
        <w:t xml:space="preserve"> </w:t>
      </w:r>
      <w:bookmarkStart w:id="826" w:name="lt_pId4128"/>
      <w:r>
        <w:t>Măsurile relevante trebuie să fie aplicate în timp util și în mod efectiv (</w:t>
      </w:r>
      <w:r>
        <w:rPr>
          <w:i/>
        </w:rPr>
        <w:t>Cuenca Zarzoso împotriva Spaniei</w:t>
      </w:r>
      <w:r>
        <w:t>, nr. 23383/12, pct. 51, 16 ianuarie 2018).</w:t>
      </w:r>
      <w:bookmarkEnd w:id="826"/>
    </w:p>
    <w:p w:rsidR="00F524A5" w:rsidRPr="00472687" w:rsidRDefault="00F524A5" w:rsidP="00F524A5">
      <w:pPr>
        <w:pStyle w:val="JuPara"/>
      </w:pPr>
      <w:bookmarkStart w:id="827" w:name="lt_pId4130"/>
      <w:r>
        <w:t>c)</w:t>
      </w:r>
      <w:bookmarkEnd w:id="827"/>
      <w:r>
        <w:tab/>
      </w:r>
      <w:bookmarkStart w:id="828" w:name="lt_pId4131"/>
      <w:r>
        <w:t>Pentru a stabili dacă statul pârât și-a îndeplinit obligațiile pozitive, Curtea trebuie să examineze dacă, în privința modului de elaborare și/sau de punere în aplicare a măsurilor relevante, acesta a rămas în limitele marjei sale de apreciere.</w:t>
      </w:r>
      <w:bookmarkEnd w:id="828"/>
      <w:r>
        <w:t xml:space="preserve"> </w:t>
      </w:r>
      <w:bookmarkStart w:id="829" w:name="lt_pId4132"/>
      <w:r>
        <w:t>În cauzele având ca obiect probleme de mediu, statul trebuie să dispună de o marjă largă de apreciere (</w:t>
      </w:r>
      <w:r>
        <w:rPr>
          <w:i/>
        </w:rPr>
        <w:t>Hardy și Maile,</w:t>
      </w:r>
      <w:r>
        <w:t xml:space="preserve"> citată anterior, </w:t>
      </w:r>
      <w:r>
        <w:lastRenderedPageBreak/>
        <w:t>pct. 218, cu trimiterile suplimentare), în special în ceea ce privește aspectul material (</w:t>
      </w:r>
      <w:r>
        <w:rPr>
          <w:i/>
        </w:rPr>
        <w:t>Hatton și alții,</w:t>
      </w:r>
      <w:r>
        <w:t xml:space="preserve"> citată anterior, pct. 100).</w:t>
      </w:r>
      <w:bookmarkEnd w:id="829"/>
    </w:p>
    <w:p w:rsidR="00F524A5" w:rsidRPr="00472687" w:rsidRDefault="00F524A5" w:rsidP="00F524A5">
      <w:pPr>
        <w:pStyle w:val="JuPara"/>
      </w:pPr>
      <w:bookmarkStart w:id="830" w:name="lt_pId4133"/>
      <w:r>
        <w:t>d)</w:t>
      </w:r>
      <w:bookmarkEnd w:id="830"/>
      <w:r>
        <w:tab/>
      </w:r>
      <w:bookmarkStart w:id="831" w:name="lt_pId4134"/>
      <w:r>
        <w:t>Alegerea mijloacelor utilizate ține, în principiu, de marja de apreciere a statului; faptul că statul nu a pus în aplicare o anumită măsură prevăzută de dreptul intern nu îl împiedică să își îndeplinească obligația pozitivă în alt mod.</w:t>
      </w:r>
      <w:bookmarkEnd w:id="831"/>
      <w:r>
        <w:t xml:space="preserve"> </w:t>
      </w:r>
      <w:bookmarkStart w:id="832" w:name="lt_pId4135"/>
      <w:r>
        <w:t>Nu li se poate impune autorităților o sarcină insuportabilă sau excesivă, fără să se țină seama în special de alegerile operaționale pe care trebuie să le facă acestea în ceea ce privește prioritățile și resursele (</w:t>
      </w:r>
      <w:r>
        <w:rPr>
          <w:i/>
        </w:rPr>
        <w:t>Koliadenko și alții,</w:t>
      </w:r>
      <w:r>
        <w:t xml:space="preserve"> citată anterior, pct. 160, și</w:t>
      </w:r>
      <w:r>
        <w:rPr>
          <w:i/>
        </w:rPr>
        <w:t xml:space="preserve"> Kotov și alții împotriva Rusiei, </w:t>
      </w:r>
      <w:r>
        <w:t>nr. 6142/18 și alte 13, pct. 134, 11 octombrie 2022).</w:t>
      </w:r>
      <w:bookmarkEnd w:id="832"/>
    </w:p>
    <w:p w:rsidR="00F524A5" w:rsidRPr="00472687" w:rsidRDefault="00F524A5" w:rsidP="00F524A5">
      <w:pPr>
        <w:pStyle w:val="JuPara"/>
      </w:pPr>
      <w:bookmarkStart w:id="833" w:name="lt_pId4137"/>
      <w:r>
        <w:t>e)</w:t>
      </w:r>
      <w:bookmarkEnd w:id="833"/>
      <w:r>
        <w:tab/>
      </w:r>
      <w:bookmarkStart w:id="834" w:name="lt_pId4138"/>
      <w:r>
        <w:t>Deși nu este de competența Curții să stabilească cu precizie ce ar fi trebuit făcut, aceasta poate aprecia dacă autoritățile au abordat problema cu diligența necesară și dacă au luat în considerare toate interesele concurente (</w:t>
      </w:r>
      <w:bookmarkStart w:id="835" w:name="_cl11993"/>
      <w:r>
        <w:rPr>
          <w:i/>
        </w:rPr>
        <w:t>Mileva și alții împotriva Bulgariei</w:t>
      </w:r>
      <w:bookmarkEnd w:id="835"/>
      <w:r>
        <w:t>, nr. 43449/02 și 21475/04, pct. 98, 25 noiembrie 2010).</w:t>
      </w:r>
      <w:bookmarkEnd w:id="834"/>
    </w:p>
    <w:p w:rsidR="00F524A5" w:rsidRPr="00472687" w:rsidRDefault="00F524A5" w:rsidP="00F524A5">
      <w:pPr>
        <w:pStyle w:val="JuPara"/>
      </w:pPr>
      <w:bookmarkStart w:id="836" w:name="lt_pId4139"/>
      <w:r>
        <w:t>f)</w:t>
      </w:r>
      <w:bookmarkEnd w:id="836"/>
      <w:r>
        <w:tab/>
      </w:r>
      <w:bookmarkStart w:id="837" w:name="lt_pId4140"/>
      <w:r>
        <w:t>Statul are obligația pozitivă de a oferi acces la informații esențiale, care sunt de natură să le permită oamenilor să aprecieze riscurile pentru sănătatea și viața lor [</w:t>
      </w:r>
      <w:bookmarkStart w:id="838" w:name="_cl6970"/>
      <w:r>
        <w:rPr>
          <w:i/>
        </w:rPr>
        <w:t>Guerra și alții împotriva Italiei</w:t>
      </w:r>
      <w:bookmarkEnd w:id="838"/>
      <w:r>
        <w:t xml:space="preserve">, 19 februarie 1998, pct. 57-60, </w:t>
      </w:r>
      <w:r>
        <w:rPr>
          <w:i/>
        </w:rPr>
        <w:t>Culegere</w:t>
      </w:r>
      <w:r>
        <w:t xml:space="preserve"> 1998-I, care dezvoltă jurisprudența din hotărârea </w:t>
      </w:r>
      <w:bookmarkStart w:id="839" w:name="_cl10617"/>
      <w:r>
        <w:rPr>
          <w:i/>
        </w:rPr>
        <w:t>López Ostra împotriva Spaniei</w:t>
      </w:r>
      <w:bookmarkEnd w:id="839"/>
      <w:r>
        <w:t>, 9 decembrie 1994, pct. 55, seria A nr. 303</w:t>
      </w:r>
      <w:r>
        <w:noBreakHyphen/>
        <w:t xml:space="preserve">C; a se vedea și </w:t>
      </w:r>
      <w:r>
        <w:rPr>
          <w:i/>
        </w:rPr>
        <w:t>McGinley și Egan împotriva Regatului Unit</w:t>
      </w:r>
      <w:r>
        <w:t>, 9 iunie 1998, pct. 98</w:t>
      </w:r>
      <w:r>
        <w:noBreakHyphen/>
        <w:t xml:space="preserve">104, </w:t>
      </w:r>
      <w:r>
        <w:rPr>
          <w:i/>
          <w:iCs/>
        </w:rPr>
        <w:t>Culegere</w:t>
      </w:r>
      <w:r>
        <w:t> 1998</w:t>
      </w:r>
      <w:r>
        <w:noBreakHyphen/>
        <w:t xml:space="preserve">III, și </w:t>
      </w:r>
      <w:r>
        <w:rPr>
          <w:i/>
        </w:rPr>
        <w:t xml:space="preserve">Roche împotriva Regatului Unit </w:t>
      </w:r>
      <w:r>
        <w:t>(MC), nr. </w:t>
      </w:r>
      <w:bookmarkStart w:id="840" w:name="lt_pId4141"/>
      <w:bookmarkEnd w:id="837"/>
      <w:r>
        <w:t> 32555/96, pct. 157</w:t>
      </w:r>
      <w:r>
        <w:noBreakHyphen/>
        <w:t>169, CEDO 2005-X].</w:t>
      </w:r>
      <w:bookmarkEnd w:id="840"/>
    </w:p>
    <w:p w:rsidR="00F524A5" w:rsidRPr="00472687" w:rsidRDefault="00F524A5" w:rsidP="00F524A5">
      <w:pPr>
        <w:pStyle w:val="JuPara"/>
      </w:pPr>
      <w:bookmarkStart w:id="841" w:name="lt_pId4142"/>
      <w:r>
        <w:t>g)</w:t>
      </w:r>
      <w:bookmarkEnd w:id="841"/>
      <w:r>
        <w:tab/>
      </w:r>
      <w:bookmarkStart w:id="842" w:name="lt_pId4143"/>
      <w:r>
        <w:t>Curtea apreciază dacă statul pârât și-a îndeplinit obligațiile pozitive ținând seama de circumstanțele specifice ale cauzei.</w:t>
      </w:r>
      <w:bookmarkEnd w:id="842"/>
      <w:r>
        <w:t xml:space="preserve"> </w:t>
      </w:r>
      <w:bookmarkStart w:id="843" w:name="lt_pId4144"/>
      <w:r>
        <w:t>Întinderea obligațiilor pozitive ce revin statului în funcție de circumstanțele specifice depinde de originea amenințării și de măsura în care pot fi atenuate riscurile existente (</w:t>
      </w:r>
      <w:r>
        <w:rPr>
          <w:i/>
        </w:rPr>
        <w:t xml:space="preserve">Koliadenko </w:t>
      </w:r>
      <w:r>
        <w:rPr>
          <w:i/>
          <w:iCs/>
        </w:rPr>
        <w:t>și alții</w:t>
      </w:r>
      <w:r>
        <w:t xml:space="preserve">, citată anterior, pct. 161, și </w:t>
      </w:r>
      <w:r>
        <w:rPr>
          <w:i/>
        </w:rPr>
        <w:t xml:space="preserve">Brincat </w:t>
      </w:r>
      <w:r>
        <w:rPr>
          <w:i/>
          <w:iCs/>
        </w:rPr>
        <w:t>și alții</w:t>
      </w:r>
      <w:r>
        <w:t>, citată anterior, pct. 101</w:t>
      </w:r>
      <w:r>
        <w:noBreakHyphen/>
        <w:t>102).</w:t>
      </w:r>
      <w:bookmarkEnd w:id="843"/>
    </w:p>
    <w:bookmarkStart w:id="844" w:name="paragraph00539"/>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539</w:t>
      </w:r>
      <w:r w:rsidRPr="00472687">
        <w:fldChar w:fldCharType="end"/>
      </w:r>
      <w:bookmarkEnd w:id="844"/>
      <w:r>
        <w:t xml:space="preserve">. </w:t>
      </w:r>
      <w:bookmarkStart w:id="845" w:name="lt_pId4146"/>
      <w:r>
        <w:t xml:space="preserve">În cauzele în materie de mediu pe care le-a examinat din perspectiva art. 8 din Convenție, Curtea a analizat frecvent procesul decizional intern, considerând garanțiile procedurale de care dispuneau persoanele în cauză ca fiind un factor deosebit de important pentru a stabili dacă statul pârât nu a depășit limitele marjei sale de apreciere (a se vedea, de exemplu, </w:t>
      </w:r>
      <w:r>
        <w:rPr>
          <w:i/>
        </w:rPr>
        <w:t>Flamenbaum și alții împotriva Franței</w:t>
      </w:r>
      <w:r>
        <w:t>, nr. 3675/04 și 23264/04, pct. 137, 13 decembrie 2012).</w:t>
      </w:r>
      <w:bookmarkEnd w:id="845"/>
      <w:r>
        <w:t xml:space="preserve"> </w:t>
      </w:r>
      <w:bookmarkStart w:id="846" w:name="lt_pId4148"/>
      <w:r>
        <w:t>În acest context, Curtea a ținut seama în special de următoarele principii și elemente:</w:t>
      </w:r>
      <w:bookmarkEnd w:id="846"/>
    </w:p>
    <w:p w:rsidR="00F524A5" w:rsidRPr="00472687" w:rsidRDefault="00F524A5" w:rsidP="00F524A5">
      <w:pPr>
        <w:pStyle w:val="JuPara"/>
      </w:pPr>
      <w:bookmarkStart w:id="847" w:name="lt_pId4149"/>
      <w:r>
        <w:t>a)</w:t>
      </w:r>
      <w:bookmarkEnd w:id="847"/>
      <w:r>
        <w:tab/>
      </w:r>
      <w:bookmarkStart w:id="848" w:name="lt_pId4150"/>
      <w:r>
        <w:t>Având în vedere complexitatea aspectelor legate de elaborarea politicilor de mediu, rolul Curții în acest domeniu este în principal subsidiar.</w:t>
      </w:r>
      <w:bookmarkEnd w:id="848"/>
      <w:r>
        <w:t xml:space="preserve"> </w:t>
      </w:r>
      <w:bookmarkStart w:id="849" w:name="lt_pId4151"/>
      <w:r>
        <w:t>Curtea trebuie așadar să verifice mai întâi dacă procesul decizional a fost adecvat (</w:t>
      </w:r>
      <w:bookmarkStart w:id="850" w:name="lt_pId4152"/>
      <w:bookmarkEnd w:id="849"/>
      <w:r>
        <w:rPr>
          <w:i/>
        </w:rPr>
        <w:t>Taşkın și alții</w:t>
      </w:r>
      <w:r>
        <w:t>, citată anterior, pct. 117</w:t>
      </w:r>
      <w:r>
        <w:noBreakHyphen/>
        <w:t>118)</w:t>
      </w:r>
      <w:bookmarkEnd w:id="850"/>
      <w:r>
        <w:t>.</w:t>
      </w:r>
    </w:p>
    <w:p w:rsidR="00F524A5" w:rsidRPr="00472687" w:rsidRDefault="00F524A5" w:rsidP="00F524A5">
      <w:pPr>
        <w:pStyle w:val="JuPara"/>
      </w:pPr>
      <w:bookmarkStart w:id="851" w:name="lt_pId4153"/>
      <w:r>
        <w:t>b)</w:t>
      </w:r>
      <w:bookmarkEnd w:id="851"/>
      <w:r>
        <w:tab/>
      </w:r>
      <w:bookmarkStart w:id="852" w:name="lt_pId4154"/>
      <w:r>
        <w:t xml:space="preserve">Curtea trebuie să examineze toate elementele procedurale, în special tipul de politică sau de decizie în cauză, măsura în care opiniile persoanelor </w:t>
      </w:r>
      <w:r>
        <w:lastRenderedPageBreak/>
        <w:t>particulare au fost luate în considerare pe parcursul procesului decizional și garanțiile procedurale disponibile (</w:t>
      </w:r>
      <w:r>
        <w:rPr>
          <w:i/>
        </w:rPr>
        <w:t>Hatton și alții</w:t>
      </w:r>
      <w:r>
        <w:t>, citată anterior, pct. 104).</w:t>
      </w:r>
      <w:bookmarkEnd w:id="852"/>
    </w:p>
    <w:p w:rsidR="00F524A5" w:rsidRPr="00472687" w:rsidRDefault="00F524A5" w:rsidP="00F524A5">
      <w:pPr>
        <w:pStyle w:val="JuPara"/>
      </w:pPr>
      <w:bookmarkStart w:id="853" w:name="lt_pId4155"/>
      <w:r>
        <w:t>c)</w:t>
      </w:r>
      <w:bookmarkEnd w:id="853"/>
      <w:r>
        <w:tab/>
      </w:r>
      <w:bookmarkStart w:id="854" w:name="lt_pId4156"/>
      <w:r>
        <w:t>În special, Curtea a statuat că, atunci când un stat trebuie să soluționeze probleme complexe</w:t>
      </w:r>
      <w:r>
        <w:rPr>
          <w:b/>
        </w:rPr>
        <w:t xml:space="preserve"> </w:t>
      </w:r>
      <w:r>
        <w:t>precum cele legate de politica de mediu și economică, procesul decizional trebuie să implice în mod necesar realizarea unor anchete și a unor studii adecvate, care să permită autorităților să asigure un just echilibru între diversele interese concurente implicate.</w:t>
      </w:r>
      <w:bookmarkEnd w:id="854"/>
      <w:r>
        <w:t xml:space="preserve"> </w:t>
      </w:r>
      <w:bookmarkStart w:id="855" w:name="lt_pId4157"/>
      <w:r>
        <w:t>Acest lucru nu înseamnă însă că deciziile pot fi luate doar pe baza unor date exhaustive și verificabile referitoare la toate aspectele problemei care trebuie să fie soluționată (</w:t>
      </w:r>
      <w:r>
        <w:rPr>
          <w:i/>
        </w:rPr>
        <w:t>ibidem</w:t>
      </w:r>
      <w:r>
        <w:t>, pct. 128).</w:t>
      </w:r>
      <w:bookmarkEnd w:id="855"/>
      <w:r>
        <w:t xml:space="preserve"> </w:t>
      </w:r>
      <w:bookmarkStart w:id="856" w:name="lt_pId4158"/>
      <w:r>
        <w:t>Ceea ce contează este ca efectele activităților care ar putea să dăuneze mediului și, prin urmare, să încalce drepturile persoanelor protejate de Convenție să poată fi prevăzute și evaluate în prealabil (</w:t>
      </w:r>
      <w:r>
        <w:rPr>
          <w:i/>
        </w:rPr>
        <w:t>Hardy și Maile,</w:t>
      </w:r>
      <w:r>
        <w:t xml:space="preserve"> citată anterior, pct. 220, cu trimiterile suplimentare).</w:t>
      </w:r>
      <w:bookmarkEnd w:id="856"/>
    </w:p>
    <w:p w:rsidR="00F524A5" w:rsidRPr="00472687" w:rsidRDefault="00F524A5" w:rsidP="00F524A5">
      <w:pPr>
        <w:pStyle w:val="JuPara"/>
      </w:pPr>
      <w:bookmarkStart w:id="857" w:name="lt_pId4159"/>
      <w:r>
        <w:t>d)</w:t>
      </w:r>
      <w:bookmarkEnd w:id="857"/>
      <w:r>
        <w:tab/>
      </w:r>
      <w:bookmarkStart w:id="858" w:name="lt_pId4160"/>
      <w:r>
        <w:t>Publicul trebuie să aibă acces la concluziile studiilor relevante, astfel încât să poată evalua pericolul la care este expus</w:t>
      </w:r>
      <w:r>
        <w:rPr>
          <w:i/>
        </w:rPr>
        <w:t xml:space="preserve"> (Tătar</w:t>
      </w:r>
      <w:r>
        <w:t>, citată anterior, pct. 113, cu trimiterile suplimentare).</w:t>
      </w:r>
      <w:bookmarkEnd w:id="858"/>
      <w:r>
        <w:t xml:space="preserve"> </w:t>
      </w:r>
      <w:bookmarkStart w:id="859" w:name="lt_pId4161"/>
      <w:r>
        <w:t>În plus, în anumite cazuri, în temeiul Convenției de la Aarhus, Curtea a evidențiat obligația ca, în cazul unei amenințări iminente pentru sănătate sau mediu, cauzată de activități umane sau datorată unor cauze naturale, toate informațiile deținute de o autoritate publică, care sunt de natură să permită publicului să ia măsuri pentru prevenirea sau limitarea eventualelor prejudicii, să fie comunicate imediat și fără întârziere persoanelor expuse riscului de a fi afectate (</w:t>
      </w:r>
      <w:r>
        <w:rPr>
          <w:i/>
        </w:rPr>
        <w:t>Di Sarno și alții,</w:t>
      </w:r>
      <w:r>
        <w:t xml:space="preserve"> citată anterior, pct. 107).</w:t>
      </w:r>
      <w:bookmarkEnd w:id="859"/>
    </w:p>
    <w:p w:rsidR="00F524A5" w:rsidRPr="00472687" w:rsidRDefault="00F524A5" w:rsidP="00F524A5">
      <w:pPr>
        <w:pStyle w:val="JuPara"/>
      </w:pPr>
      <w:bookmarkStart w:id="860" w:name="lt_pId4162"/>
      <w:r>
        <w:t>e)</w:t>
      </w:r>
      <w:bookmarkEnd w:id="860"/>
      <w:r>
        <w:tab/>
      </w:r>
      <w:bookmarkStart w:id="861" w:name="lt_pId4163"/>
      <w:r>
        <w:t xml:space="preserve">Persoanele interesate trebuie să aibă posibilitatea să își protejeze interesele în procesul de luare a deciziilor în probleme de mediu, ceea ce înseamnă că trebuie să poată participa efectiv la procedura în cauză și să beneficieze de examinarea argumentelor relevante ale acestora, chiar dacă însăși conceperea procesului ține de marja de apreciere a statului (a se vedea, de exemplu, </w:t>
      </w:r>
      <w:r>
        <w:rPr>
          <w:i/>
        </w:rPr>
        <w:t>Flamenbaum și alții</w:t>
      </w:r>
      <w:r>
        <w:t>, citată anterior, pct. 159).</w:t>
      </w:r>
      <w:bookmarkEnd w:id="861"/>
    </w:p>
    <w:p w:rsidR="00F524A5" w:rsidRPr="00472687" w:rsidRDefault="00F524A5" w:rsidP="00F524A5">
      <w:pPr>
        <w:pStyle w:val="JuPara"/>
      </w:pPr>
      <w:r w:rsidRPr="00472687">
        <w:fldChar w:fldCharType="begin"/>
      </w:r>
      <w:r>
        <w:instrText xml:space="preserve"> SEQ level0 \*arabic \* MERGEFORMAT </w:instrText>
      </w:r>
      <w:r w:rsidRPr="00472687">
        <w:fldChar w:fldCharType="separate"/>
      </w:r>
      <w:r w:rsidRPr="00472687">
        <w:t>540</w:t>
      </w:r>
      <w:r w:rsidRPr="00472687">
        <w:fldChar w:fldCharType="end"/>
      </w:r>
      <w:r>
        <w:t xml:space="preserve">. </w:t>
      </w:r>
      <w:bookmarkStart w:id="862" w:name="lt_pId4164"/>
      <w:bookmarkStart w:id="863" w:name="lt_pId4165"/>
      <w:bookmarkEnd w:id="862"/>
      <w:r>
        <w:t>Ținând seama de aceste principii, Curtea va defini conținutul obligațiilor pozitive ce revin statului în temeiul art. 2 și 8 din Convenție în contextul schimbărilor climatice (supra, pct. </w:t>
      </w:r>
      <w:r w:rsidRPr="00472687">
        <w:fldChar w:fldCharType="begin"/>
      </w:r>
      <w:r w:rsidRPr="00472687">
        <w:instrText xml:space="preserve"> REF paragraph00292 \h  \* CharFormat </w:instrText>
      </w:r>
      <w:r w:rsidRPr="00472687">
        <w:fldChar w:fldCharType="separate"/>
      </w:r>
      <w:r w:rsidRPr="00472687">
        <w:t>292</w:t>
      </w:r>
      <w:r w:rsidRPr="00472687">
        <w:fldChar w:fldCharType="end"/>
      </w:r>
      <w:r>
        <w:t xml:space="preserve"> și </w:t>
      </w:r>
      <w:r>
        <w:rPr>
          <w:rFonts w:asciiTheme="majorHAnsi" w:hAnsiTheme="majorHAnsi"/>
        </w:rPr>
        <w:t>537</w:t>
      </w:r>
      <w:r>
        <w:t>).</w:t>
      </w:r>
      <w:bookmarkEnd w:id="863"/>
      <w:r>
        <w:t xml:space="preserve"> Totuși, întrucât acest fenomen prezintă un caracter special în raport cu daunele aduse mediului cu privire la care Curtea a trebuit să se pronunțe și care aveau o origine unică, parametrii generali ai obligațiilor pozitive trebuie adaptați la acest context specific.</w:t>
      </w:r>
    </w:p>
    <w:p w:rsidR="00F524A5" w:rsidRPr="00472687" w:rsidRDefault="00F524A5" w:rsidP="00F524A5">
      <w:pPr>
        <w:pStyle w:val="JuHa0"/>
        <w:numPr>
          <w:ilvl w:val="4"/>
          <w:numId w:val="38"/>
        </w:numPr>
      </w:pPr>
      <w:bookmarkStart w:id="864" w:name="lt_pId4166"/>
      <w:r>
        <w:t xml:space="preserve"> </w:t>
      </w:r>
      <w:bookmarkStart w:id="865" w:name="_Toc199273573"/>
      <w:r>
        <w:t>Obligațiile pozitive ale statelor în contextul schimbărilor climatice</w:t>
      </w:r>
      <w:bookmarkEnd w:id="864"/>
      <w:bookmarkEnd w:id="865"/>
    </w:p>
    <w:p w:rsidR="00F524A5" w:rsidRPr="00472687" w:rsidRDefault="00F524A5" w:rsidP="00F524A5">
      <w:pPr>
        <w:pStyle w:val="JuHi"/>
        <w:numPr>
          <w:ilvl w:val="5"/>
          <w:numId w:val="18"/>
        </w:numPr>
        <w:tabs>
          <w:tab w:val="clear" w:pos="1077"/>
          <w:tab w:val="clear" w:pos="1134"/>
          <w:tab w:val="clear" w:pos="1191"/>
          <w:tab w:val="clear" w:pos="1247"/>
        </w:tabs>
        <w:ind w:left="1276" w:hanging="425"/>
      </w:pPr>
      <w:bookmarkStart w:id="866" w:name="lt_pId4171"/>
      <w:bookmarkStart w:id="867" w:name="_Toc199273574"/>
      <w:r>
        <w:t>Marja de apreciere</w:t>
      </w:r>
      <w:bookmarkEnd w:id="866"/>
      <w:r>
        <w:t xml:space="preserve"> a statelor</w:t>
      </w:r>
      <w:bookmarkEnd w:id="867"/>
    </w:p>
    <w:bookmarkStart w:id="868" w:name="paragraph00541"/>
    <w:p w:rsidR="00F524A5" w:rsidRPr="00472687" w:rsidRDefault="00F524A5" w:rsidP="00F524A5">
      <w:pPr>
        <w:pStyle w:val="JuPara"/>
        <w:rPr>
          <w:rFonts w:eastAsiaTheme="minorEastAsia"/>
        </w:rPr>
      </w:pPr>
      <w:r w:rsidRPr="00472687">
        <w:rPr>
          <w:rFonts w:eastAsiaTheme="minorEastAsia"/>
        </w:rPr>
        <w:fldChar w:fldCharType="begin"/>
      </w:r>
      <w:r w:rsidRPr="00472687">
        <w:rPr>
          <w:rFonts w:eastAsiaTheme="minorEastAsia"/>
        </w:rPr>
        <w:instrText xml:space="preserve"> SEQ level0 \*arabic \* MERGEFORMAT </w:instrText>
      </w:r>
      <w:r w:rsidRPr="00472687">
        <w:rPr>
          <w:rFonts w:eastAsiaTheme="minorEastAsia"/>
        </w:rPr>
        <w:fldChar w:fldCharType="separate"/>
      </w:r>
      <w:r w:rsidRPr="00472687">
        <w:rPr>
          <w:rFonts w:eastAsiaTheme="minorEastAsia"/>
        </w:rPr>
        <w:t>541</w:t>
      </w:r>
      <w:r w:rsidRPr="00472687">
        <w:rPr>
          <w:rFonts w:eastAsiaTheme="minorEastAsia"/>
        </w:rPr>
        <w:fldChar w:fldCharType="end"/>
      </w:r>
      <w:bookmarkEnd w:id="868"/>
      <w:r>
        <w:t xml:space="preserve">. </w:t>
      </w:r>
      <w:bookmarkStart w:id="869" w:name="lt_pId4172"/>
      <w:bookmarkStart w:id="870" w:name="lt_pId4173"/>
      <w:bookmarkEnd w:id="869"/>
      <w:r>
        <w:t xml:space="preserve">În conformitate cu principiul subsidiarității, autorităților naționale le revine în primul rând obligația de a asigura respectarea drepturilor și libertăților definite în Convenție, dispunând în acest scop de o marjă de </w:t>
      </w:r>
      <w:r>
        <w:lastRenderedPageBreak/>
        <w:t xml:space="preserve">apreciere care este supusă controlului Curții [a se vedea, printre multe altele, </w:t>
      </w:r>
      <w:r>
        <w:rPr>
          <w:i/>
        </w:rPr>
        <w:t>Garib împotriva Țărilor de Jos</w:t>
      </w:r>
      <w:r>
        <w:t xml:space="preserve"> (MC), nr. 43494/09, pct. 137, 6 noiembrie 2017; a se vedea și considerentul adăugat la preambulul Convenției în temeiul art. 1 din Protocolul nr. 15].</w:t>
      </w:r>
      <w:bookmarkEnd w:id="870"/>
    </w:p>
    <w:bookmarkStart w:id="871" w:name="lt_pId4182"/>
    <w:bookmarkStart w:id="872" w:name="paragraph00542"/>
    <w:bookmarkEnd w:id="87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542</w:t>
      </w:r>
      <w:r w:rsidRPr="00472687">
        <w:fldChar w:fldCharType="end"/>
      </w:r>
      <w:bookmarkEnd w:id="872"/>
      <w:r>
        <w:t xml:space="preserve">. </w:t>
      </w:r>
      <w:bookmarkStart w:id="873" w:name="lt_pId4196"/>
      <w:bookmarkStart w:id="874" w:name="lt_pId4197"/>
      <w:bookmarkEnd w:id="873"/>
      <w:r>
        <w:t>Având în vedere în special dovezile științifice privind impactul schimbărilor climatice asupra drepturilor prevăzute de Convenție, cele referitoare la urgența combaterii efectelor nefaste ale schimbărilor climatice și la gravitatea consecințelor acestui fenomen, inclusiv riscul serios ca acestea să devină ireversibile, precum și recunoașterea științifică, politică și judiciară a existenței unei legături între efectele nefaste ale schimbărilor climatice și exercitarea (diferitelor aspecte ale) drepturilor fundamentale (supra, pct. </w:t>
      </w:r>
      <w:r w:rsidRPr="00472687">
        <w:fldChar w:fldCharType="begin"/>
      </w:r>
      <w:r w:rsidRPr="00472687">
        <w:instrText xml:space="preserve"> REF paragraph00436 \h  \* CharFormat </w:instrText>
      </w:r>
      <w:r w:rsidRPr="00472687">
        <w:fldChar w:fldCharType="separate"/>
      </w:r>
      <w:r w:rsidRPr="00472687">
        <w:t>436</w:t>
      </w:r>
      <w:r w:rsidRPr="00472687">
        <w:fldChar w:fldCharType="end"/>
      </w:r>
      <w:r>
        <w:t>), Curtea apreciază că este justificat să considere că trebuie să se acorde o importanță considerabilă protecției climei în cadrul exercițiului de punere în balanță a diverșilor factori antagonici.</w:t>
      </w:r>
      <w:bookmarkEnd w:id="874"/>
      <w:r>
        <w:t xml:space="preserve"> </w:t>
      </w:r>
      <w:bookmarkStart w:id="875" w:name="lt_pId4198"/>
      <w:r>
        <w:t>Alte elemente care pledează în același sens includ caracterul global al consecințelor emisiilor de GES – spre deosebire de daunele aduse mediului care au loc doar în interiorul frontierelor unei țări – și bilanțul în general nesatisfăcător al statelor în ceea ce privește adoptarea de măsuri pentru a aborda riscurile legate de schimbările climatice care au devenit evidente în ultimele decenii,</w:t>
      </w:r>
      <w:bookmarkEnd w:id="875"/>
      <w:r>
        <w:t xml:space="preserve"> astfel cum reiese din constatarea IPCC potrivit căreia „fereastra de oportunitate, care permite asigurarea unui viitor viabil și durabil, cu condiții de viață decente pentru toți, se închide rapid” (supra, pct. </w:t>
      </w:r>
      <w:r w:rsidRPr="00472687">
        <w:fldChar w:fldCharType="begin"/>
      </w:r>
      <w:r w:rsidRPr="00472687">
        <w:instrText xml:space="preserve">REF paragraph00118 \h \* CharFormat </w:instrText>
      </w:r>
      <w:r w:rsidRPr="00472687">
        <w:fldChar w:fldCharType="separate"/>
      </w:r>
      <w:r w:rsidRPr="00472687">
        <w:t>118</w:t>
      </w:r>
      <w:r w:rsidRPr="00472687">
        <w:fldChar w:fldCharType="end"/>
      </w:r>
      <w:r>
        <w:t>), situație care evidențiază gravitatea riscurilor care rezultă din nerespectarea obiectivului mondial global (supra, pct. </w:t>
      </w:r>
      <w:r w:rsidRPr="00472687">
        <w:fldChar w:fldCharType="begin"/>
      </w:r>
      <w:r w:rsidRPr="00472687">
        <w:instrText xml:space="preserve">REF paragraph00139 \h \* CharFormat </w:instrText>
      </w:r>
      <w:r w:rsidRPr="00472687">
        <w:fldChar w:fldCharType="separate"/>
      </w:r>
      <w:r w:rsidRPr="00472687">
        <w:t>139</w:t>
      </w:r>
      <w:r w:rsidRPr="00472687">
        <w:fldChar w:fldCharType="end"/>
      </w:r>
      <w:r>
        <w:t>).</w:t>
      </w:r>
    </w:p>
    <w:bookmarkStart w:id="876" w:name="paragraph00543"/>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543</w:t>
      </w:r>
      <w:r w:rsidRPr="00472687">
        <w:fldChar w:fldCharType="end"/>
      </w:r>
      <w:bookmarkStart w:id="877" w:name="lt_pId4199"/>
      <w:bookmarkStart w:id="878" w:name="lt_pId4200"/>
      <w:bookmarkEnd w:id="876"/>
      <w:r>
        <w:t>Pornind de la principiul potrivit căruia statele trebuie să dispună de o anumită marjă de apreciere în acest domeniu, considerațiile de mai sus impun o distincție, în ceea ce privește întinderea marjei de apreciere, între, pe de o parte, angajamentul statului față de necesitatea combaterii schimbărilor climatice și a efectelor nefaste ale acestora și stabilirea scopurilor și a obiectivelor necesare în această privință și, pe de altă parte, alegerea de către stat a mijloacelor adecvate pentru atingerea acestor obiective.</w:t>
      </w:r>
      <w:bookmarkEnd w:id="877"/>
      <w:r>
        <w:t xml:space="preserve"> </w:t>
      </w:r>
      <w:bookmarkEnd w:id="878"/>
      <w:r>
        <w:t xml:space="preserve"> </w:t>
      </w:r>
      <w:bookmarkStart w:id="879" w:name="lt_pId4201"/>
      <w:r>
        <w:t>În ceea ce privește primul aspect, natura și gravitatea amenințării, precum și consensul general cu privire la mizele legate de realizarea obiectivului primordial de protecție efectivă a climei, prin stabilirea unor obiective globale de reducere a emisiilor de GES, în conformitate cu angajamentele asumate de părțile contractante în ceea ce privește neutralitatea emisiilor de dioxid de carbon, impun acordarea unei marje reduse de apreciere statelor.</w:t>
      </w:r>
      <w:bookmarkEnd w:id="879"/>
      <w:r>
        <w:t xml:space="preserve"> </w:t>
      </w:r>
      <w:bookmarkStart w:id="880" w:name="lt_pId4202"/>
      <w:r>
        <w:t>În ceea ce privește al doilea aspect, și anume alegerea mijloacelor, inclusiv alegerile operaționale și politicile adoptate în scopul atingerii obiectivelor și al respectării angajamentelor stabilite pe plan internațional în lumina priorităților și resurselor, statelor ar trebui să li se acorde o largă marjă de apreciere.</w:t>
      </w:r>
      <w:bookmarkEnd w:id="880"/>
      <w:r>
        <w:t>.</w:t>
      </w:r>
    </w:p>
    <w:p w:rsidR="00F524A5" w:rsidRPr="00472687" w:rsidRDefault="00F524A5" w:rsidP="00F524A5">
      <w:pPr>
        <w:pStyle w:val="JuHi"/>
        <w:numPr>
          <w:ilvl w:val="5"/>
          <w:numId w:val="18"/>
        </w:numPr>
        <w:tabs>
          <w:tab w:val="clear" w:pos="1077"/>
          <w:tab w:val="clear" w:pos="1134"/>
          <w:tab w:val="clear" w:pos="1191"/>
          <w:tab w:val="clear" w:pos="1247"/>
        </w:tabs>
        <w:ind w:left="1276" w:hanging="425"/>
      </w:pPr>
      <w:bookmarkStart w:id="881" w:name="lt_pId4208"/>
      <w:bookmarkStart w:id="882" w:name="lt_pId4219"/>
      <w:bookmarkStart w:id="883" w:name="lt_pId4239"/>
      <w:bookmarkStart w:id="884" w:name="_Toc199273575"/>
      <w:bookmarkEnd w:id="881"/>
      <w:bookmarkEnd w:id="882"/>
      <w:bookmarkEnd w:id="883"/>
      <w:r>
        <w:lastRenderedPageBreak/>
        <w:t>Conținutul obligațiilor pozitive ale statelor</w:t>
      </w:r>
      <w:bookmarkEnd w:id="884"/>
    </w:p>
    <w:bookmarkStart w:id="885" w:name="paragraph0054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544</w:t>
      </w:r>
      <w:r w:rsidRPr="00472687">
        <w:fldChar w:fldCharType="end"/>
      </w:r>
      <w:bookmarkEnd w:id="885"/>
      <w:r>
        <w:t>. Astfel cum s-a precizat mai sus, Curtea a afirmat deja, cu mult timp în urmă, că întinderea protecției asigurate de art. 8 din Convenție se extinde la efectele negative pe care le au asupra sănătății, bunăstării și calității vieții oamenilor daunele aduse mediului sau riscurile de producere a unor astfel de daune, cu diverse cauze. De asemenea, Curtea deduce din art. 8 existența unui drept al persoanelor de a beneficia de o protecție efectivă, din partea autorităților statului, împotriva efectelor negative grave asupra vieții, sănătății, bunăstării și calității vieții lor, care rezultă din consecințele negative ale schimbărilor climatice și din riscurile asociate acestora (supra, pct. </w:t>
      </w:r>
      <w:r w:rsidRPr="00472687">
        <w:fldChar w:fldCharType="begin"/>
      </w:r>
      <w:r w:rsidRPr="00472687">
        <w:instrText xml:space="preserve">REF paragraph00519 \h \* CharFormat  \* MERGEFORMAT </w:instrText>
      </w:r>
      <w:r w:rsidRPr="00472687">
        <w:fldChar w:fldCharType="separate"/>
      </w:r>
      <w:r w:rsidRPr="00472687">
        <w:t>519</w:t>
      </w:r>
      <w:r w:rsidRPr="00472687">
        <w:fldChar w:fldCharType="end"/>
      </w:r>
      <w:r>
        <w:t>).</w:t>
      </w:r>
    </w:p>
    <w:p w:rsidR="00F524A5" w:rsidRPr="00472687" w:rsidRDefault="00C71855" w:rsidP="00F524A5">
      <w:pPr>
        <w:pStyle w:val="JuPara"/>
      </w:pPr>
      <w:fldSimple w:instr=" SEQ level0 \*arabic \* MERGEFORMAT ">
        <w:r w:rsidR="00F524A5" w:rsidRPr="00472687">
          <w:t>545</w:t>
        </w:r>
      </w:fldSimple>
      <w:r w:rsidR="00F524A5">
        <w:t xml:space="preserve">. În consecință, obligația pe care art. 8 o impune statului este aceea de a-și aduce partea sa de contribuție pentru a asigura această protecție. În această privință, obligația primordială a statului este de a adopta și de a aplica în mod efectiv și concret reglementări și măsuri de natură să atenueze efectele actuale și viitoare, potențial ireversibile, ale schimbărilor climatice. Această obligație decurge din legătura de cauzalitate care există între schimbările climatice și exercitarea drepturilor garantate de Convenție, astfel cum se indică la punctele </w:t>
      </w:r>
      <w:r w:rsidR="00F524A5" w:rsidRPr="00472687">
        <w:fldChar w:fldCharType="begin"/>
      </w:r>
      <w:r w:rsidR="00F524A5" w:rsidRPr="00472687">
        <w:instrText xml:space="preserve"> REF paragraph00435 \h  \* CharFormat  \* MERGEFORMAT </w:instrText>
      </w:r>
      <w:r w:rsidR="00F524A5" w:rsidRPr="00472687">
        <w:fldChar w:fldCharType="separate"/>
      </w:r>
      <w:r w:rsidR="00F524A5" w:rsidRPr="00472687">
        <w:t>435</w:t>
      </w:r>
      <w:r w:rsidR="00F524A5" w:rsidRPr="00472687">
        <w:fldChar w:fldCharType="end"/>
      </w:r>
      <w:r w:rsidR="00F524A5">
        <w:t xml:space="preserve"> și </w:t>
      </w:r>
      <w:r w:rsidR="00F524A5" w:rsidRPr="00472687">
        <w:rPr>
          <w:b/>
        </w:rPr>
        <w:fldChar w:fldCharType="begin"/>
      </w:r>
      <w:r w:rsidR="00F524A5" w:rsidRPr="00472687">
        <w:instrText xml:space="preserve">REF paragraph00519 \h \* CharFormat </w:instrText>
      </w:r>
      <w:r w:rsidR="00F524A5" w:rsidRPr="00472687">
        <w:rPr>
          <w:b/>
        </w:rPr>
        <w:instrText xml:space="preserve"> \* MERGEFORMAT </w:instrText>
      </w:r>
      <w:r w:rsidR="00F524A5" w:rsidRPr="00472687">
        <w:rPr>
          <w:b/>
        </w:rPr>
      </w:r>
      <w:r w:rsidR="00F524A5" w:rsidRPr="00472687">
        <w:rPr>
          <w:b/>
        </w:rPr>
        <w:fldChar w:fldCharType="separate"/>
      </w:r>
      <w:r w:rsidR="00F524A5" w:rsidRPr="00472687">
        <w:t>519</w:t>
      </w:r>
      <w:r w:rsidR="00F524A5" w:rsidRPr="00472687">
        <w:rPr>
          <w:b/>
        </w:rPr>
        <w:fldChar w:fldCharType="end"/>
      </w:r>
      <w:r w:rsidR="00F524A5">
        <w:t xml:space="preserve"> de mai sus, precum și din faptul că obiectul și scopul Convenției, care este un instrument de protecție a drepturilor omului, impun ca dispozițiile acesteia să fie interpretate și aplicate astfel încât să confere garanțiilor sale un caracter concret și efectiv, și nu teoretic și iluzoriu (a se vedea, de exemplu, </w:t>
      </w:r>
      <w:r w:rsidR="00F524A5">
        <w:rPr>
          <w:i/>
        </w:rPr>
        <w:t>H.F. și alții</w:t>
      </w:r>
      <w:r w:rsidR="00F524A5">
        <w:t xml:space="preserve">, pct. 208 </w:t>
      </w:r>
      <w:r w:rsidR="00F524A5">
        <w:rPr>
          <w:i/>
        </w:rPr>
        <w:t>in fine</w:t>
      </w:r>
      <w:r w:rsidR="00F524A5">
        <w:t>;</w:t>
      </w:r>
      <w:r w:rsidR="00F524A5">
        <w:rPr>
          <w:i/>
        </w:rPr>
        <w:t xml:space="preserve"> </w:t>
      </w:r>
      <w:r w:rsidR="00F524A5">
        <w:t>a se vedea și supra, pct. </w:t>
      </w:r>
      <w:r w:rsidR="00F524A5" w:rsidRPr="00472687">
        <w:fldChar w:fldCharType="begin"/>
      </w:r>
      <w:r w:rsidR="00F524A5" w:rsidRPr="00472687">
        <w:instrText xml:space="preserve"> REF paragraph00440 \h  \* CharFormat  \* MERGEFORMAT </w:instrText>
      </w:r>
      <w:r w:rsidR="00F524A5" w:rsidRPr="00472687">
        <w:fldChar w:fldCharType="separate"/>
      </w:r>
      <w:r w:rsidR="00F524A5" w:rsidRPr="00472687">
        <w:t>440</w:t>
      </w:r>
      <w:r w:rsidR="00F524A5" w:rsidRPr="00472687">
        <w:fldChar w:fldCharType="end"/>
      </w:r>
      <w:r w:rsidR="00F524A5">
        <w:t>).</w:t>
      </w:r>
    </w:p>
    <w:p w:rsidR="00F524A5" w:rsidRPr="00472687" w:rsidRDefault="00C71855" w:rsidP="00F524A5">
      <w:pPr>
        <w:pStyle w:val="JuPara"/>
      </w:pPr>
      <w:fldSimple w:instr=" SEQ level0 \*arabic \* MERGEFORMAT ">
        <w:r w:rsidR="00F524A5" w:rsidRPr="00472687">
          <w:t>546</w:t>
        </w:r>
      </w:fldSimple>
      <w:r w:rsidR="00F524A5">
        <w:t>. În conformitate cu angajamentele internaționale asumate de statele membre, în special în temeiul UNFCCC și al Acordului de la Paris, și având în vedere dovezile științifice convingătoare furnizate, în special, de IPCC (supra, pct. </w:t>
      </w:r>
      <w:r w:rsidR="00F524A5" w:rsidRPr="00472687">
        <w:fldChar w:fldCharType="begin"/>
      </w:r>
      <w:r w:rsidR="00F524A5" w:rsidRPr="00472687">
        <w:instrText xml:space="preserve">REF paragraph00104 \h \* CharFormat  \* MERGEFORMAT </w:instrText>
      </w:r>
      <w:r w:rsidR="00F524A5" w:rsidRPr="00472687">
        <w:fldChar w:fldCharType="separate"/>
      </w:r>
      <w:r w:rsidR="00F524A5" w:rsidRPr="00472687">
        <w:t>104</w:t>
      </w:r>
      <w:r w:rsidR="00F524A5" w:rsidRPr="00472687">
        <w:fldChar w:fldCharType="end"/>
      </w:r>
      <w:r w:rsidR="00F524A5">
        <w:t>-</w:t>
      </w:r>
      <w:r w:rsidR="00F524A5" w:rsidRPr="00472687">
        <w:fldChar w:fldCharType="begin"/>
      </w:r>
      <w:r w:rsidR="00F524A5" w:rsidRPr="00472687">
        <w:instrText xml:space="preserve">REF paragraph00120 \h \* CharFormat  \* MERGEFORMAT </w:instrText>
      </w:r>
      <w:r w:rsidR="00F524A5" w:rsidRPr="00472687">
        <w:fldChar w:fldCharType="separate"/>
      </w:r>
      <w:r w:rsidR="00F524A5" w:rsidRPr="00472687">
        <w:t>120</w:t>
      </w:r>
      <w:r w:rsidR="00F524A5" w:rsidRPr="00472687">
        <w:fldChar w:fldCharType="end"/>
      </w:r>
      <w:r w:rsidR="00F524A5">
        <w:t>), statele contractante trebuie să pună în aplicare reglementările și măsurile necesare pentru a preveni o creștere a concentrațiilor de GES în atmosfera Pământului și o creștere a temperaturii medii globale la niveluri care ar putea avea repercusiuni grave și ireversibile asupra drepturilor omului, inclusiv asupra dreptului la respectarea vieții private și de familie și a domiciliului, garantat de art. 8 din Convenție.</w:t>
      </w:r>
    </w:p>
    <w:p w:rsidR="00F524A5" w:rsidRPr="00472687" w:rsidRDefault="00C71855" w:rsidP="00F524A5">
      <w:pPr>
        <w:pStyle w:val="JuPara"/>
      </w:pPr>
      <w:fldSimple w:instr=" SEQ level0 \*arabic \* MERGEFORMAT ">
        <w:r w:rsidR="00F524A5" w:rsidRPr="00472687">
          <w:t>547</w:t>
        </w:r>
      </w:fldSimple>
      <w:r w:rsidR="00F524A5">
        <w:t>. Având în vedere că obligațiile pozitive legate de instituirea unui cadru de reglementare trebuie să fie adaptate la particularitățile</w:t>
      </w:r>
      <w:r w:rsidR="00F524A5">
        <w:rPr>
          <w:b/>
        </w:rPr>
        <w:t xml:space="preserve"> </w:t>
      </w:r>
      <w:r w:rsidR="00F524A5">
        <w:t>domeniului și la riscurile implicate (supra, pct. </w:t>
      </w:r>
      <w:r w:rsidR="00F524A5" w:rsidRPr="00472687">
        <w:fldChar w:fldCharType="begin"/>
      </w:r>
      <w:r w:rsidR="00F524A5" w:rsidRPr="00472687">
        <w:instrText xml:space="preserve">REF paragraph00107 \h \* CharFormat  \* MERGEFORMAT </w:instrText>
      </w:r>
      <w:r w:rsidR="00F524A5" w:rsidRPr="00472687">
        <w:fldChar w:fldCharType="separate"/>
      </w:r>
      <w:r w:rsidR="00F524A5" w:rsidRPr="00472687">
        <w:t>107</w:t>
      </w:r>
      <w:r w:rsidR="00F524A5" w:rsidRPr="00472687">
        <w:fldChar w:fldCharType="end"/>
      </w:r>
      <w:r w:rsidR="00F524A5">
        <w:t>-</w:t>
      </w:r>
      <w:r w:rsidR="00F524A5" w:rsidRPr="00472687">
        <w:fldChar w:fldCharType="begin"/>
      </w:r>
      <w:r w:rsidR="00F524A5" w:rsidRPr="00472687">
        <w:instrText xml:space="preserve">REF paragraph00120 \h \* CharFormat  \* MERGEFORMAT </w:instrText>
      </w:r>
      <w:r w:rsidR="00F524A5" w:rsidRPr="00472687">
        <w:fldChar w:fldCharType="separate"/>
      </w:r>
      <w:r w:rsidR="00F524A5" w:rsidRPr="00472687">
        <w:t>120</w:t>
      </w:r>
      <w:r w:rsidR="00F524A5" w:rsidRPr="00472687">
        <w:fldChar w:fldCharType="end"/>
      </w:r>
      <w:r w:rsidR="00F524A5">
        <w:t xml:space="preserve"> și </w:t>
      </w:r>
      <w:r w:rsidR="00F524A5" w:rsidRPr="00472687">
        <w:fldChar w:fldCharType="begin"/>
      </w:r>
      <w:r w:rsidR="00F524A5" w:rsidRPr="00472687">
        <w:instrText xml:space="preserve"> REF paragraph00440 \h  \* CharFormat  \* MERGEFORMAT </w:instrText>
      </w:r>
      <w:r w:rsidR="00F524A5" w:rsidRPr="00472687">
        <w:fldChar w:fldCharType="separate"/>
      </w:r>
      <w:r w:rsidR="00F524A5" w:rsidRPr="00472687">
        <w:t>440</w:t>
      </w:r>
      <w:r w:rsidR="00F524A5" w:rsidRPr="00472687">
        <w:fldChar w:fldCharType="end"/>
      </w:r>
      <w:r w:rsidR="00F524A5">
        <w:t>) și că elaborarea politicilor naționale trebuie să fie ghidată de obiectivele mondiale legate de necesitatea de a limita încălzirea globală, astfel cum sunt enunțate în Acordul de la Paris, este clar că aceste obiective nu pot constitui în sine un criteriu care să permită evaluarea respectării Convenției, în acest domeniu, de către o anumită parte contractantă la Convenție. În fapt, fiecare stat este invitat să își definească propria traiectorie care să permită realizarea neutralității emisiilor de dioxid de carbon, în funcție de sursele și nivelurile emisiilor, precum și de orice alți factori relevanți din jurisdicția sa.</w:t>
      </w:r>
    </w:p>
    <w:p w:rsidR="00F524A5" w:rsidRPr="00472687" w:rsidRDefault="00C71855" w:rsidP="00F524A5">
      <w:pPr>
        <w:pStyle w:val="JuPara"/>
      </w:pPr>
      <w:fldSimple w:instr=" SEQ level0 \*arabic \* MERGEFORMAT ">
        <w:r w:rsidR="00F524A5" w:rsidRPr="00472687">
          <w:t>548</w:t>
        </w:r>
      </w:fldSimple>
      <w:r w:rsidR="00F524A5">
        <w:t xml:space="preserve">. Din aceste considerații rezultă că respectarea efectivă a drepturilor protejate de art. 8 din Convenție impune fiecărui stat contractant să ia măsuri în vederea unei reduceri semnificative și progresive a nivelurilor sale de emisii de GES, în vederea realizării obiectivului neutralității nete, în principiu în cursul următoarelor trei decenii. În această privință, pentru ca măsurile să fie eficiente, autoritățile publice sunt obligate să acționeze în timp util, într-un mod adecvat și consecvent (a se vedea, </w:t>
      </w:r>
      <w:r w:rsidR="00F524A5">
        <w:rPr>
          <w:i/>
        </w:rPr>
        <w:t>mutatis mutandis</w:t>
      </w:r>
      <w:r w:rsidR="00F524A5">
        <w:t xml:space="preserve">, </w:t>
      </w:r>
      <w:r w:rsidR="00F524A5">
        <w:rPr>
          <w:i/>
        </w:rPr>
        <w:t>Georgel și Georgeta Stoicescu împotriva României</w:t>
      </w:r>
      <w:r w:rsidR="00F524A5">
        <w:t>, nr. 9718/03, pct. 59, 26 iulie 2011).</w:t>
      </w:r>
    </w:p>
    <w:p w:rsidR="00F524A5" w:rsidRPr="00472687" w:rsidRDefault="00C71855" w:rsidP="00F524A5">
      <w:pPr>
        <w:pStyle w:val="JuPara"/>
      </w:pPr>
      <w:fldSimple w:instr=" SEQ level0 \*arabic \* MERGEFORMAT ">
        <w:r w:rsidR="00F524A5" w:rsidRPr="00472687">
          <w:t>549</w:t>
        </w:r>
      </w:fldSimple>
      <w:r w:rsidR="00F524A5">
        <w:t>. În plus, pentru a face lucrurile cu adevărat posibile și pentru a evita impunerea unei sarcini disproporționate asupra generațiilor viitoare, este necesar să fie luate măsuri imediate și stabilite obiective intermediare de reducere adecvate pentru perioada în care trebuie atinsă neutralitatea netă. Aceste măsuri trebuie, în primul rând, să fie integrate într-un cadru de reglementare obligatoriu la nivel național și, ulterior, să fie puse în aplicare în mod corespunzător. Obiectivele și calendarele relevante trebuie să facă parte integrantă din cadrul de reglementare intern și să constituie baza măsurilor de atenuare generale și sectoriale. Reamintind poziția adoptată mai sus, potrivit căreia marja de apreciere care trebuie acordată statelor este una redusă în ceea ce privește stabilirea scopurilor și a obiectivelor necesare, în timp ce aceasta rămâne largă în privința alegerii mijloacelor de îndeplinire a acestor scopuri și obiective, Curtea consideră așadar că este oportun să enunțe obligațiile pozitive ale statelor în acest domeniu după cum urmează (supra, pct. </w:t>
      </w:r>
      <w:r w:rsidR="00F524A5" w:rsidRPr="00472687">
        <w:fldChar w:fldCharType="begin"/>
      </w:r>
      <w:r w:rsidR="00F524A5" w:rsidRPr="00472687">
        <w:instrText xml:space="preserve"> REF paragraph00440 \h  \* CharFormat  \* MERGEFORMAT </w:instrText>
      </w:r>
      <w:r w:rsidR="00F524A5" w:rsidRPr="00472687">
        <w:fldChar w:fldCharType="separate"/>
      </w:r>
      <w:r w:rsidR="00F524A5" w:rsidRPr="00472687">
        <w:t>440</w:t>
      </w:r>
      <w:r w:rsidR="00F524A5" w:rsidRPr="00472687">
        <w:fldChar w:fldCharType="end"/>
      </w:r>
      <w:r w:rsidR="00F524A5">
        <w:t>).</w:t>
      </w:r>
    </w:p>
    <w:bookmarkStart w:id="886" w:name="paragraph0055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550</w:t>
      </w:r>
      <w:r w:rsidRPr="00472687">
        <w:fldChar w:fldCharType="end"/>
      </w:r>
      <w:bookmarkEnd w:id="886"/>
      <w:r>
        <w:t xml:space="preserve">. </w:t>
      </w:r>
      <w:bookmarkStart w:id="887" w:name="lt_pId4266"/>
      <w:bookmarkStart w:id="888" w:name="lt_pId4267"/>
      <w:bookmarkEnd w:id="887"/>
      <w:r>
        <w:t>Pentru a stabili dacă un stat a acționat în limitele marjei sale de apreciere (supra, pct. </w:t>
      </w:r>
      <w:r w:rsidRPr="00472687">
        <w:fldChar w:fldCharType="begin"/>
      </w:r>
      <w:r w:rsidRPr="00472687">
        <w:instrText xml:space="preserve">REF paragraph00543 \h \* CharFormat  \* MERGEFORMAT </w:instrText>
      </w:r>
      <w:r w:rsidRPr="00472687">
        <w:fldChar w:fldCharType="separate"/>
      </w:r>
      <w:r w:rsidRPr="00472687">
        <w:t>543</w:t>
      </w:r>
      <w:r w:rsidRPr="00472687">
        <w:fldChar w:fldCharType="end"/>
      </w:r>
      <w:r>
        <w:t>), Curtea examinează dacă autoritățile interne competente, fie ele legislative, executive sau judiciare, au ținut seama în mod corespunzător de necesitatea:</w:t>
      </w:r>
      <w:bookmarkEnd w:id="888"/>
    </w:p>
    <w:p w:rsidR="00F524A5" w:rsidRPr="00472687" w:rsidRDefault="00F524A5" w:rsidP="00F524A5">
      <w:pPr>
        <w:pStyle w:val="JuPara"/>
      </w:pPr>
      <w:bookmarkStart w:id="889" w:name="lt_pId4268"/>
      <w:r>
        <w:t>a)</w:t>
      </w:r>
      <w:bookmarkEnd w:id="889"/>
      <w:r>
        <w:tab/>
      </w:r>
      <w:bookmarkStart w:id="890" w:name="lt_pId4269"/>
      <w:r>
        <w:t>de a adopta măsuri generale care stabilesc calendarul ce trebuie respectat pentru realizarea neutralității emisiilor de dioxid de carbon, precum și bugetul total de carbon rămas pentru perioada în cauză sau orice altă metodă echivalentă de cuantificare a viitoarelor emisii de GES, în conformitate cu obiectivul primordial care corespunde angajamentelor naționale și/sau mondiale de atenuare a schimbărilor climatice;</w:t>
      </w:r>
      <w:bookmarkEnd w:id="890"/>
    </w:p>
    <w:p w:rsidR="00F524A5" w:rsidRPr="00472687" w:rsidRDefault="00F524A5" w:rsidP="00F524A5">
      <w:pPr>
        <w:pStyle w:val="JuPara"/>
      </w:pPr>
      <w:bookmarkStart w:id="891" w:name="lt_pId4270"/>
      <w:r>
        <w:t>b)</w:t>
      </w:r>
      <w:bookmarkEnd w:id="891"/>
      <w:r>
        <w:tab/>
      </w:r>
      <w:bookmarkStart w:id="892" w:name="lt_pId4271"/>
      <w:r>
        <w:t>de a stabili obiective și traiectorii intermediare de reducere a emisiilor de GES (pentru fiecare sector sau prin alte metode relevante) care sunt considerate adecvate pentru a permite, în principiu, atingerea obiectivelor naționale globale de reducere a emisiilor de GES în termenele stabilite de politicile naționale;</w:t>
      </w:r>
      <w:bookmarkEnd w:id="892"/>
    </w:p>
    <w:p w:rsidR="00F524A5" w:rsidRPr="00472687" w:rsidRDefault="00F524A5" w:rsidP="00F524A5">
      <w:pPr>
        <w:pStyle w:val="JuPara"/>
      </w:pPr>
      <w:bookmarkStart w:id="893" w:name="lt_pId4272"/>
      <w:r>
        <w:t>c)</w:t>
      </w:r>
      <w:bookmarkEnd w:id="893"/>
      <w:r>
        <w:tab/>
      </w:r>
      <w:bookmarkStart w:id="894" w:name="lt_pId4273"/>
      <w:r>
        <w:t>de a furniza informații din care să reiasă dacă au respectat în mod corespunzător obiectivele relevante de reducere a emisiilor de GES sau că depun eforturi în acest sens [literele a) și b) de mai sus];</w:t>
      </w:r>
      <w:bookmarkEnd w:id="894"/>
    </w:p>
    <w:p w:rsidR="00F524A5" w:rsidRPr="00472687" w:rsidRDefault="00F524A5" w:rsidP="00F524A5">
      <w:pPr>
        <w:pStyle w:val="JuPara"/>
      </w:pPr>
      <w:bookmarkStart w:id="895" w:name="lt_pId4274"/>
      <w:r>
        <w:t>d)</w:t>
      </w:r>
      <w:bookmarkEnd w:id="895"/>
      <w:r>
        <w:tab/>
      </w:r>
      <w:bookmarkStart w:id="896" w:name="lt_pId4275"/>
      <w:r>
        <w:t>de actualizare a obiectivelor relevante de reducere a emisiilor de GES cu diligența necesară și pe baza celor mai bune cunoștințe disponibile; și</w:t>
      </w:r>
      <w:bookmarkEnd w:id="896"/>
    </w:p>
    <w:p w:rsidR="00F524A5" w:rsidRPr="00472687" w:rsidRDefault="00F524A5" w:rsidP="00F524A5">
      <w:pPr>
        <w:pStyle w:val="JuPara"/>
      </w:pPr>
      <w:bookmarkStart w:id="897" w:name="lt_pId4276"/>
      <w:r>
        <w:lastRenderedPageBreak/>
        <w:t>e)</w:t>
      </w:r>
      <w:bookmarkEnd w:id="897"/>
      <w:r>
        <w:tab/>
      </w:r>
      <w:bookmarkStart w:id="898" w:name="lt_pId4277"/>
      <w:r>
        <w:t>de a acționa în timp util și într-un mod adecvat și consecvent în ceea ce privește elaborarea și punerea în aplicare a legislației și a măsurilor relevante</w:t>
      </w:r>
      <w:bookmarkStart w:id="899" w:name="lt_pId4279"/>
      <w:bookmarkEnd w:id="898"/>
      <w:r>
        <w:t>.</w:t>
      </w:r>
      <w:bookmarkEnd w:id="899"/>
    </w:p>
    <w:bookmarkStart w:id="900" w:name="paragraph0055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551</w:t>
      </w:r>
      <w:r w:rsidRPr="00472687">
        <w:fldChar w:fldCharType="end"/>
      </w:r>
      <w:bookmarkEnd w:id="900"/>
      <w:r>
        <w:t>. Aprecierea de către Curte a îndeplinirii cerințelor sus-menționate are, în principiu, un caracter global, ceea ce înseamnă că existența unei lacune într-o anumită privință nu trebuie în mod necesar să conducă la concluzia că statul și-a depășit marja de apreciere în materie (supra, pct. </w:t>
      </w:r>
      <w:r w:rsidRPr="00472687">
        <w:fldChar w:fldCharType="begin"/>
      </w:r>
      <w:r w:rsidRPr="00472687">
        <w:instrText xml:space="preserve"> REF paragraph00543 \h  \* CharFormat  \* MERGEFORMAT </w:instrText>
      </w:r>
      <w:r w:rsidRPr="00472687">
        <w:fldChar w:fldCharType="separate"/>
      </w:r>
      <w:r w:rsidRPr="00472687">
        <w:t>543</w:t>
      </w:r>
      <w:r w:rsidRPr="00472687">
        <w:fldChar w:fldCharType="end"/>
      </w:r>
      <w:r>
        <w:t>).</w:t>
      </w:r>
    </w:p>
    <w:p w:rsidR="00F524A5" w:rsidRPr="00472687" w:rsidRDefault="00C71855" w:rsidP="00F524A5">
      <w:pPr>
        <w:pStyle w:val="JuPara"/>
      </w:pPr>
      <w:fldSimple w:instr=" SEQ level0 \*arabic \* MERGEFORMAT ">
        <w:bookmarkStart w:id="901" w:name="paragraph00552"/>
        <w:r w:rsidR="00F524A5" w:rsidRPr="00472687">
          <w:t>552</w:t>
        </w:r>
        <w:bookmarkEnd w:id="901"/>
      </w:fldSimple>
      <w:r w:rsidR="00F524A5">
        <w:t xml:space="preserve">. </w:t>
      </w:r>
      <w:bookmarkStart w:id="902" w:name="lt_pId4280"/>
      <w:bookmarkStart w:id="903" w:name="lt_pId4281"/>
      <w:bookmarkEnd w:id="902"/>
      <w:r w:rsidR="00F524A5">
        <w:t>În plus, pentru a proteja în mod eficace drepturile individuale împotriva efectelor nefaste asupra vieții, sănătății, bunăstării și calității vieții se impune completarea măsurilor de atenuare sus-menționate cu măsuri de adaptare menite să reducă consecințele cele mai grave sau imediate ale schimbărilor climatice, ținând seama de orice nevoi speciale de protecție.</w:t>
      </w:r>
      <w:bookmarkEnd w:id="903"/>
      <w:r w:rsidR="00F524A5">
        <w:t xml:space="preserve"> </w:t>
      </w:r>
      <w:bookmarkStart w:id="904" w:name="lt_pId4282"/>
      <w:r w:rsidR="00F524A5">
        <w:t>Aceste măsuri de adaptare trebuie să fie instituite și aplicate în mod efectiv, pe baza celor mai bune cunoștințe disponibile (supra, pct. </w:t>
      </w:r>
      <w:r w:rsidR="00F524A5" w:rsidRPr="00472687">
        <w:fldChar w:fldCharType="begin"/>
      </w:r>
      <w:r w:rsidR="00F524A5" w:rsidRPr="00472687">
        <w:instrText xml:space="preserve">REF paragraph00115 \h \* CharFormat </w:instrText>
      </w:r>
      <w:r w:rsidR="00F524A5" w:rsidRPr="00472687">
        <w:fldChar w:fldCharType="separate"/>
      </w:r>
      <w:r w:rsidR="00F524A5" w:rsidRPr="00472687">
        <w:t>115</w:t>
      </w:r>
      <w:r w:rsidR="00F524A5" w:rsidRPr="00472687">
        <w:fldChar w:fldCharType="end"/>
      </w:r>
      <w:r w:rsidR="00F524A5">
        <w:t xml:space="preserve"> și </w:t>
      </w:r>
      <w:r w:rsidR="00F524A5" w:rsidRPr="00472687">
        <w:fldChar w:fldCharType="begin"/>
      </w:r>
      <w:r w:rsidR="00F524A5" w:rsidRPr="00472687">
        <w:instrText xml:space="preserve">REF paragraph00119 \h \* CharFormat </w:instrText>
      </w:r>
      <w:r w:rsidR="00F524A5" w:rsidRPr="00472687">
        <w:fldChar w:fldCharType="separate"/>
      </w:r>
      <w:r w:rsidR="00F524A5" w:rsidRPr="00472687">
        <w:t>119</w:t>
      </w:r>
      <w:r w:rsidR="00F524A5" w:rsidRPr="00472687">
        <w:fldChar w:fldCharType="end"/>
      </w:r>
      <w:r w:rsidR="00F524A5">
        <w:t>) și în conformitate cu economia generală a obligațiilor pozitive ce revin statului în acest domeniu [supra, pct. </w:t>
      </w:r>
      <w:r w:rsidR="00F524A5" w:rsidRPr="00472687">
        <w:fldChar w:fldCharType="begin"/>
      </w:r>
      <w:r w:rsidR="00F524A5" w:rsidRPr="00472687">
        <w:instrText xml:space="preserve">REF paragraph00538 \h \* CharFormat  \* MERGEFORMAT </w:instrText>
      </w:r>
      <w:r w:rsidR="00F524A5" w:rsidRPr="00472687">
        <w:fldChar w:fldCharType="separate"/>
      </w:r>
      <w:r w:rsidR="00F524A5" w:rsidRPr="00472687">
        <w:t>538</w:t>
      </w:r>
      <w:r w:rsidR="00F524A5" w:rsidRPr="00472687">
        <w:fldChar w:fldCharType="end"/>
      </w:r>
      <w:r w:rsidR="00F524A5">
        <w:t xml:space="preserve"> lit. a) ].</w:t>
      </w:r>
      <w:bookmarkEnd w:id="904"/>
    </w:p>
    <w:p w:rsidR="00F524A5" w:rsidRPr="00472687" w:rsidRDefault="00C71855" w:rsidP="00F524A5">
      <w:pPr>
        <w:pStyle w:val="JuPara"/>
      </w:pPr>
      <w:fldSimple w:instr=" SEQ level0 \*arabic \* MERGEFORMAT ">
        <w:r w:rsidR="00F524A5" w:rsidRPr="00472687">
          <w:t>553</w:t>
        </w:r>
      </w:fldSimple>
      <w:r w:rsidR="00F524A5">
        <w:t xml:space="preserve">. </w:t>
      </w:r>
      <w:bookmarkStart w:id="905" w:name="lt_pId4286"/>
      <w:bookmarkStart w:id="906" w:name="lt_pId4287"/>
      <w:bookmarkEnd w:id="905"/>
      <w:r w:rsidR="00F524A5">
        <w:t>În sfârșit, astfel cum reiese deja din jurisprudența sa, Curtea acordă o importanță deosebită garanțiilor procedurale de care dispun persoanele în cauză atunci când trebuie să se stabilească dacă statul pârât nu a depășit limitele marjei sale de apreciere (supra, pct. </w:t>
      </w:r>
      <w:r w:rsidR="00F524A5" w:rsidRPr="00472687">
        <w:fldChar w:fldCharType="begin"/>
      </w:r>
      <w:r w:rsidR="00F524A5" w:rsidRPr="00472687">
        <w:instrText xml:space="preserve">REF paragraph00539 \h \* CharFormat </w:instrText>
      </w:r>
      <w:r w:rsidR="00F524A5" w:rsidRPr="00472687">
        <w:fldChar w:fldCharType="separate"/>
      </w:r>
      <w:r w:rsidR="00F524A5" w:rsidRPr="00472687">
        <w:t>539</w:t>
      </w:r>
      <w:r w:rsidR="00F524A5" w:rsidRPr="00472687">
        <w:fldChar w:fldCharType="end"/>
      </w:r>
      <w:r w:rsidR="00F524A5">
        <w:t>).</w:t>
      </w:r>
      <w:bookmarkEnd w:id="906"/>
      <w:r w:rsidR="00F524A5">
        <w:t xml:space="preserve"> </w:t>
      </w:r>
      <w:bookmarkStart w:id="907" w:name="lt_pId4288"/>
      <w:r w:rsidR="00F524A5">
        <w:t>Acest principiu se aplică, de asemenea, în cazurile în care sunt implicate aspecte de politică generală, inclusiv alegerea modalităților de combatere a schimbărilor climatice prin măsuri de atenuare și de adaptare.</w:t>
      </w:r>
      <w:bookmarkEnd w:id="907"/>
    </w:p>
    <w:bookmarkStart w:id="908" w:name="paragraph0055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554</w:t>
      </w:r>
      <w:r w:rsidRPr="00472687">
        <w:fldChar w:fldCharType="end"/>
      </w:r>
      <w:bookmarkEnd w:id="908"/>
      <w:r>
        <w:t xml:space="preserve">. </w:t>
      </w:r>
      <w:bookmarkStart w:id="909" w:name="lt_pId4289"/>
      <w:bookmarkStart w:id="910" w:name="lt_pId4290"/>
      <w:bookmarkEnd w:id="909"/>
      <w:r>
        <w:t>În acest context, pornind de la abordarea urmată în cauzele în materie de mediu (supra, pct. </w:t>
      </w:r>
      <w:r w:rsidRPr="00472687">
        <w:fldChar w:fldCharType="begin"/>
      </w:r>
      <w:r w:rsidRPr="00472687">
        <w:instrText xml:space="preserve">REF paragraph00539 \h \* CharFormat </w:instrText>
      </w:r>
      <w:r w:rsidRPr="00472687">
        <w:fldChar w:fldCharType="separate"/>
      </w:r>
      <w:r w:rsidRPr="00472687">
        <w:t>539</w:t>
      </w:r>
      <w:r w:rsidRPr="00472687">
        <w:fldChar w:fldCharType="end"/>
      </w:r>
      <w:r>
        <w:t>) și luând act de natura și complexitatea specifice ale problemelor legate de schimbările climatice, Curtea va trebui să țină seama de următoarele garanții procedurale în ceea ce privește procesul decizional al statului în contextul schimbărilor climatice:</w:t>
      </w:r>
      <w:bookmarkEnd w:id="910"/>
    </w:p>
    <w:p w:rsidR="00F524A5" w:rsidRPr="00472687" w:rsidRDefault="00F524A5" w:rsidP="00F524A5">
      <w:pPr>
        <w:pStyle w:val="JuPara"/>
      </w:pPr>
      <w:bookmarkStart w:id="911" w:name="lt_pId4291"/>
      <w:r>
        <w:t>a)</w:t>
      </w:r>
      <w:bookmarkEnd w:id="911"/>
      <w:r>
        <w:tab/>
      </w:r>
      <w:bookmarkStart w:id="912" w:name="lt_pId4292"/>
      <w:r>
        <w:t>Informațiile deținute de autoritățile publice, care sunt importante pentru elaborarea și punerea în aplicare a reglementărilor și a măsurilor adecvate pentru a face față schimbărilor climatice, trebuie să fie puse la dispoziția publicului, în special a persoanelor care ar putea fi afectate de astfel de reglementări și măsuri sau de absența acestora.</w:t>
      </w:r>
      <w:bookmarkEnd w:id="912"/>
      <w:r>
        <w:t xml:space="preserve"> </w:t>
      </w:r>
      <w:bookmarkStart w:id="913" w:name="lt_pId4293"/>
      <w:r>
        <w:t>În această privință, trebuie să existe garanții procedurale care să asigure accesul publicului la concluziile studiilor relevante și, astfel, să îi permită să evalueze pericolul la care este expus</w:t>
      </w:r>
      <w:bookmarkEnd w:id="913"/>
      <w:r>
        <w:t>.</w:t>
      </w:r>
    </w:p>
    <w:p w:rsidR="00F524A5" w:rsidRPr="00472687" w:rsidRDefault="00F524A5" w:rsidP="00F524A5">
      <w:pPr>
        <w:pStyle w:val="JuPara"/>
      </w:pPr>
      <w:bookmarkStart w:id="914" w:name="lt_pId4294"/>
      <w:r>
        <w:t>b)</w:t>
      </w:r>
      <w:bookmarkEnd w:id="914"/>
      <w:r>
        <w:tab/>
      </w:r>
      <w:bookmarkStart w:id="915" w:name="lt_pId4295"/>
      <w:r>
        <w:t>Este necesară instituirea unor proceduri care să asigure luarea în considerare, în cadrul procesului decizional, a opiniilor populației și în special a intereselor persoanelor care sunt afectate sau sunt expuse riscului de a fi afectate de reglementările și măsurile relevante sau de absența acestora.</w:t>
      </w:r>
      <w:bookmarkEnd w:id="915"/>
    </w:p>
    <w:p w:rsidR="00F524A5" w:rsidRPr="00472687" w:rsidRDefault="00F524A5" w:rsidP="00F524A5">
      <w:pPr>
        <w:pStyle w:val="JuHa0"/>
        <w:numPr>
          <w:ilvl w:val="4"/>
          <w:numId w:val="38"/>
        </w:numPr>
      </w:pPr>
      <w:bookmarkStart w:id="916" w:name="_Toc160094110"/>
      <w:bookmarkStart w:id="917" w:name="lt_pId4299"/>
      <w:bookmarkStart w:id="918" w:name="_Toc199273576"/>
      <w:bookmarkEnd w:id="916"/>
      <w:r>
        <w:lastRenderedPageBreak/>
        <w:t>Aplicarea acestor principii în prezenta cauză</w:t>
      </w:r>
      <w:bookmarkEnd w:id="917"/>
      <w:bookmarkEnd w:id="918"/>
    </w:p>
    <w:p w:rsidR="00F524A5" w:rsidRPr="00472687" w:rsidRDefault="00F524A5" w:rsidP="00F524A5">
      <w:pPr>
        <w:pStyle w:val="JuHi"/>
        <w:numPr>
          <w:ilvl w:val="5"/>
          <w:numId w:val="29"/>
        </w:numPr>
        <w:tabs>
          <w:tab w:val="clear" w:pos="1077"/>
          <w:tab w:val="clear" w:pos="1134"/>
          <w:tab w:val="clear" w:pos="1191"/>
          <w:tab w:val="clear" w:pos="1247"/>
          <w:tab w:val="num" w:pos="360"/>
        </w:tabs>
        <w:ind w:left="1276" w:hanging="425"/>
      </w:pPr>
      <w:bookmarkStart w:id="919" w:name="lt_pId4300"/>
      <w:bookmarkStart w:id="920" w:name="_Toc199273577"/>
      <w:r>
        <w:t>Observații preliminare</w:t>
      </w:r>
      <w:bookmarkEnd w:id="919"/>
      <w:bookmarkEnd w:id="920"/>
    </w:p>
    <w:bookmarkStart w:id="921" w:name="lt_pId4301"/>
    <w:bookmarkStart w:id="922" w:name="paragraph00555"/>
    <w:bookmarkEnd w:id="92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555</w:t>
      </w:r>
      <w:r w:rsidRPr="00472687">
        <w:fldChar w:fldCharType="end"/>
      </w:r>
      <w:bookmarkEnd w:id="922"/>
      <w:r>
        <w:t>. În speță, având în vedere natura capătului de cerere formulat de asociația reclamantă în numele membrelor sale (supra, pct. </w:t>
      </w:r>
      <w:r w:rsidRPr="00472687">
        <w:fldChar w:fldCharType="begin"/>
      </w:r>
      <w:r w:rsidRPr="00472687">
        <w:instrText xml:space="preserve">REF paragraph00296 \h \* CharFormat </w:instrText>
      </w:r>
      <w:r w:rsidRPr="00472687">
        <w:fldChar w:fldCharType="separate"/>
      </w:r>
      <w:r w:rsidRPr="00472687">
        <w:t>296</w:t>
      </w:r>
      <w:r w:rsidRPr="00472687">
        <w:fldChar w:fldCharType="end"/>
      </w:r>
      <w:r>
        <w:t xml:space="preserve">), Curtea va examina dacă statul pârât și-a îndeplinit obligația de a institui și de a aplica în mod efectiv și concret măsurile de atenuare relevante. </w:t>
      </w:r>
      <w:bookmarkStart w:id="923" w:name="lt_pId4303"/>
      <w:r>
        <w:t>Nerespectarea de către stat a acestui aspect al obligațiilor pozitive care îi revin ar fi suficientă Curții pentru a-i permite să concluzioneze că statul nu și-a îndeplinit obligațiile pozitive care decurg din art. 8 din Convenție, fără a fi necesar să stabilească dacă măsurile de adaptare accesorii au fost puse în aplicare (supra, pct. </w:t>
      </w:r>
      <w:r w:rsidRPr="00472687">
        <w:fldChar w:fldCharType="begin"/>
      </w:r>
      <w:r w:rsidRPr="00472687">
        <w:instrText xml:space="preserve"> REF paragraph00552 \h  \* CharFormat  \* MERGEFORMAT </w:instrText>
      </w:r>
      <w:r w:rsidRPr="00472687">
        <w:fldChar w:fldCharType="separate"/>
      </w:r>
      <w:r w:rsidRPr="00472687">
        <w:t>552</w:t>
      </w:r>
      <w:r w:rsidRPr="00472687">
        <w:fldChar w:fldCharType="end"/>
      </w:r>
      <w:r>
        <w:t>).</w:t>
      </w:r>
      <w:bookmarkEnd w:id="923"/>
    </w:p>
    <w:p w:rsidR="00F524A5" w:rsidRPr="00472687" w:rsidRDefault="00C71855" w:rsidP="00F524A5">
      <w:pPr>
        <w:pStyle w:val="JuPara"/>
      </w:pPr>
      <w:fldSimple w:instr=" SEQ level0 \*arabic \* MERGEFORMAT ">
        <w:r w:rsidR="00F524A5" w:rsidRPr="00472687">
          <w:t>556</w:t>
        </w:r>
      </w:fldSimple>
      <w:r w:rsidR="00F524A5">
        <w:t xml:space="preserve">. </w:t>
      </w:r>
      <w:bookmarkStart w:id="924" w:name="lt_pId4304"/>
      <w:bookmarkStart w:id="925" w:name="lt_pId4305"/>
      <w:bookmarkEnd w:id="924"/>
      <w:r w:rsidR="00F524A5">
        <w:t>În plus, având în vedere natura capătului de cerere formulat de asociația reclamantă cu privire la efectele nefaste actuale și viitoare ale schimbărilor climatice asupra drepturilor persoanelor în numele cărora acționează, și contrar celor susținute de Guvernul pârât (supra, pct. </w:t>
      </w:r>
      <w:r w:rsidR="00F524A5" w:rsidRPr="00472687">
        <w:fldChar w:fldCharType="begin"/>
      </w:r>
      <w:r w:rsidR="00F524A5" w:rsidRPr="00472687">
        <w:instrText xml:space="preserve"> REF paragraph00338 \h  \* CharFormat  \* MERGEFORMAT </w:instrText>
      </w:r>
      <w:r w:rsidR="00F524A5" w:rsidRPr="00472687">
        <w:fldChar w:fldCharType="separate"/>
      </w:r>
      <w:r w:rsidR="00F524A5" w:rsidRPr="00472687">
        <w:t>338</w:t>
      </w:r>
      <w:r w:rsidR="00F524A5" w:rsidRPr="00472687">
        <w:fldChar w:fldCharType="end"/>
      </w:r>
      <w:r w:rsidR="00F524A5">
        <w:t xml:space="preserve"> </w:t>
      </w:r>
      <w:r w:rsidR="00F524A5">
        <w:rPr>
          <w:i/>
        </w:rPr>
        <w:t>in fine</w:t>
      </w:r>
      <w:r w:rsidR="00F524A5">
        <w:t>), Curtea poate proceda la această examinare ținând seama de situația generală din statul pârât și în special de orice informație relevantă în această privință apărută după finalizarea procedurii interne.</w:t>
      </w:r>
      <w:bookmarkEnd w:id="925"/>
      <w:r w:rsidR="00F524A5">
        <w:t xml:space="preserve"> Cu toate acestea, constatând existența unui proces legislativ în curs la nivel intern (supra, pct. </w:t>
      </w:r>
      <w:r w:rsidR="00F524A5" w:rsidRPr="00472687">
        <w:fldChar w:fldCharType="begin"/>
      </w:r>
      <w:r w:rsidR="00F524A5" w:rsidRPr="00472687">
        <w:instrText xml:space="preserve">REF paragraph00097 \h \* CharFormat </w:instrText>
      </w:r>
      <w:r w:rsidR="00F524A5" w:rsidRPr="00472687">
        <w:fldChar w:fldCharType="separate"/>
      </w:r>
      <w:r w:rsidR="00F524A5" w:rsidRPr="00472687">
        <w:t>97</w:t>
      </w:r>
      <w:r w:rsidR="00F524A5" w:rsidRPr="00472687">
        <w:fldChar w:fldCharType="end"/>
      </w:r>
      <w:r w:rsidR="00F524A5">
        <w:t>), Curtea își limitează examinarea la legislația națională astfel cum era în vigoare la data adoptării prezentei hotărâri, adică la 14 februarie 2024, și în temeiul căreia părțile și-au prezentat observațiile.</w:t>
      </w:r>
    </w:p>
    <w:bookmarkStart w:id="926" w:name="paragraph0055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557</w:t>
      </w:r>
      <w:r w:rsidRPr="00472687">
        <w:fldChar w:fldCharType="end"/>
      </w:r>
      <w:bookmarkEnd w:id="926"/>
      <w:r>
        <w:t>. De asemenea, Curtea ia act de referirile făcute de asociația reclamantă la mai multe studii care susțin că există deficiențe în privința măsurilor adoptate de Elveția pentru a face față schimbărilor climatice (supra, pct. </w:t>
      </w:r>
      <w:r w:rsidRPr="00472687">
        <w:fldChar w:fldCharType="begin"/>
      </w:r>
      <w:r w:rsidRPr="00472687">
        <w:instrText xml:space="preserve">REF paragraph00325 \h \* CharFormat </w:instrText>
      </w:r>
      <w:r w:rsidRPr="00472687">
        <w:fldChar w:fldCharType="separate"/>
      </w:r>
      <w:r w:rsidRPr="00472687">
        <w:t>325</w:t>
      </w:r>
      <w:r w:rsidRPr="00472687">
        <w:fldChar w:fldCharType="end"/>
      </w:r>
      <w:r>
        <w:t>), studii pe care Guvernul le contestă, considerând că acestea se bazează, în esență, pe ipoteze subiective. La rândul său, având în vedere concluziile sale formulate la punctul </w:t>
      </w:r>
      <w:r w:rsidRPr="00472687">
        <w:rPr>
          <w:b/>
        </w:rPr>
        <w:fldChar w:fldCharType="begin"/>
      </w:r>
      <w:r w:rsidRPr="00472687">
        <w:instrText xml:space="preserve">REF paragraph00573 \h \* CharFormat </w:instrText>
      </w:r>
      <w:r w:rsidRPr="00472687">
        <w:rPr>
          <w:b/>
        </w:rPr>
      </w:r>
      <w:r w:rsidRPr="00472687">
        <w:rPr>
          <w:b/>
        </w:rPr>
        <w:fldChar w:fldCharType="separate"/>
      </w:r>
      <w:r w:rsidRPr="00472687">
        <w:t>573</w:t>
      </w:r>
      <w:r w:rsidRPr="00472687">
        <w:rPr>
          <w:b/>
        </w:rPr>
        <w:fldChar w:fldCharType="end"/>
      </w:r>
      <w:r>
        <w:t xml:space="preserve"> de mai jos, Curtea consideră că, pentru a se pronunța în prezenta cauză, nu este necesar să soluționeze dezacordurile dintre părți cu privire la concluziile acestor studii.</w:t>
      </w:r>
    </w:p>
    <w:p w:rsidR="00F524A5" w:rsidRPr="00472687" w:rsidRDefault="00F524A5" w:rsidP="00F524A5">
      <w:pPr>
        <w:pStyle w:val="JuHi"/>
        <w:numPr>
          <w:ilvl w:val="5"/>
          <w:numId w:val="30"/>
        </w:numPr>
        <w:tabs>
          <w:tab w:val="clear" w:pos="1077"/>
          <w:tab w:val="clear" w:pos="1134"/>
          <w:tab w:val="clear" w:pos="1191"/>
          <w:tab w:val="clear" w:pos="1247"/>
          <w:tab w:val="num" w:pos="360"/>
        </w:tabs>
        <w:ind w:left="1276" w:hanging="425"/>
      </w:pPr>
      <w:bookmarkStart w:id="927" w:name="lt_pId4306"/>
      <w:bookmarkStart w:id="928" w:name="_Toc199273578"/>
      <w:r>
        <w:t>Respectarea de către statul pârât a obligațiilor sale pozitive</w:t>
      </w:r>
      <w:bookmarkEnd w:id="927"/>
      <w:bookmarkEnd w:id="928"/>
    </w:p>
    <w:bookmarkStart w:id="929" w:name="paragraph0055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558</w:t>
      </w:r>
      <w:r w:rsidRPr="00472687">
        <w:fldChar w:fldCharType="end"/>
      </w:r>
      <w:bookmarkEnd w:id="929"/>
      <w:r>
        <w:t xml:space="preserve">. </w:t>
      </w:r>
      <w:bookmarkStart w:id="930" w:name="lt_pId4307"/>
      <w:bookmarkStart w:id="931" w:name="lt_pId4308"/>
      <w:bookmarkEnd w:id="930"/>
      <w:r>
        <w:t>Curtea observă, în primul rând, că Legea din 2011 privind emisiile de CO</w:t>
      </w:r>
      <w:r>
        <w:rPr>
          <w:vertAlign w:val="subscript"/>
        </w:rPr>
        <w:t>2</w:t>
      </w:r>
      <w:r>
        <w:t xml:space="preserve"> (în vigoare din 2013) impunea ca, în 2020, nivelul global de emisii de GES să fie redus cu 20% față de nivelul din 1990 (supra, pct. </w:t>
      </w:r>
      <w:r w:rsidRPr="00472687">
        <w:rPr>
          <w:b/>
        </w:rPr>
        <w:fldChar w:fldCharType="begin"/>
      </w:r>
      <w:r w:rsidRPr="00472687">
        <w:instrText xml:space="preserve">REF paragraph00084 \h \* CharFormat </w:instrText>
      </w:r>
      <w:r w:rsidRPr="00472687">
        <w:rPr>
          <w:b/>
        </w:rPr>
      </w:r>
      <w:r w:rsidRPr="00472687">
        <w:rPr>
          <w:b/>
        </w:rPr>
        <w:fldChar w:fldCharType="separate"/>
      </w:r>
      <w:r w:rsidRPr="00472687">
        <w:t>84</w:t>
      </w:r>
      <w:r w:rsidRPr="00472687">
        <w:rPr>
          <w:b/>
        </w:rPr>
        <w:fldChar w:fldCharType="end"/>
      </w:r>
      <w:r>
        <w:t>).</w:t>
      </w:r>
      <w:bookmarkEnd w:id="931"/>
      <w:r>
        <w:t xml:space="preserve"> </w:t>
      </w:r>
      <w:bookmarkStart w:id="932" w:name="lt_pId4309"/>
      <w:r>
        <w:t>Cu toate acestea, astfel cum au subliniat reclamantele, Consiliul Federal Elvețian</w:t>
      </w:r>
      <w:r>
        <w:rPr>
          <w:vertAlign w:val="superscript"/>
        </w:rPr>
        <w:footnoteReference w:id="200"/>
      </w:r>
      <w:r>
        <w:t xml:space="preserve"> a constatat, în cadrul unei evaluări din august 2009, că datele științifice disponibile la momentul respectiv</w:t>
      </w:r>
      <w:bookmarkStart w:id="935" w:name="lt_pId4309_leftovers"/>
      <w:r>
        <w:rPr>
          <w:rStyle w:val="FootnoteReference"/>
        </w:rPr>
        <w:footnoteReference w:id="201"/>
      </w:r>
      <w:bookmarkEnd w:id="935"/>
      <w:r>
        <w:t xml:space="preserve"> cu privire la încălzirea globală cuprinsă </w:t>
      </w:r>
      <w:r>
        <w:lastRenderedPageBreak/>
        <w:t>între 2 și 2,4°C peste nivelurile preindustriale (ceea ce corespunde așadar unei încălziri peste limita de 1,5</w:t>
      </w:r>
      <w:r>
        <w:rPr>
          <w:vertAlign w:val="superscript"/>
        </w:rPr>
        <w:t>o</w:t>
      </w:r>
      <w:r>
        <w:t>C definită în prezent) arătau necesitatea de a reduce emisiile mondiale cu cel puțin 50 până la 85% față de nivelurile din 1990, până în 2050</w:t>
      </w:r>
      <w:bookmarkStart w:id="937" w:name="lt_pId4310"/>
      <w:bookmarkEnd w:id="932"/>
      <w:r>
        <w:t>, ceea ce însemna că țările industrializate (precum statul pârât) trebuiau să își reducă emisiile cu 25 până la 40% față de nivelurile din 1990, până în 2020.</w:t>
      </w:r>
      <w:bookmarkEnd w:id="937"/>
      <w:r>
        <w:t xml:space="preserve"> </w:t>
      </w:r>
      <w:bookmarkStart w:id="938" w:name="lt_pId4311"/>
      <w:r>
        <w:t>Studiul în cauză a constatat de asemenea că, pentru ca angajamentele asumate în temeiul UNFCCC (care erau mai mari decât limita de 1,5</w:t>
      </w:r>
      <w:r>
        <w:rPr>
          <w:vertAlign w:val="superscript"/>
        </w:rPr>
        <w:t>o</w:t>
      </w:r>
      <w:r>
        <w:t>C) să fie respectate, era necesar ca emisiile de GES să scadă continuu, astfel încât să nu depășească 1-1,5 tone de CO</w:t>
      </w:r>
      <w:r>
        <w:rPr>
          <w:vertAlign w:val="subscript"/>
        </w:rPr>
        <w:t>2</w:t>
      </w:r>
      <w:r>
        <w:t xml:space="preserve"> echivalent pe cap de locuitor până la sfârșitul secolului.</w:t>
      </w:r>
      <w:bookmarkEnd w:id="938"/>
      <w:r>
        <w:t xml:space="preserve"> </w:t>
      </w:r>
      <w:bookmarkStart w:id="939" w:name="lt_pId4312"/>
      <w:r>
        <w:t>Cu toate acestea, traiectoria de reducere a emisiilor cu 20% în 2020 era considerată insuficientă pentru atingerea acestui obiectiv pe termen lung, ceea ce impunea așadar un efort suplimentar pentru perioada de după 2020.</w:t>
      </w:r>
      <w:bookmarkEnd w:id="939"/>
    </w:p>
    <w:bookmarkStart w:id="940" w:name="paragraph00559"/>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559</w:t>
      </w:r>
      <w:r w:rsidRPr="00472687">
        <w:fldChar w:fldCharType="end"/>
      </w:r>
      <w:bookmarkEnd w:id="940"/>
      <w:r>
        <w:t xml:space="preserve">. </w:t>
      </w:r>
      <w:bookmarkStart w:id="941" w:name="lt_pId4313"/>
      <w:bookmarkStart w:id="942" w:name="lt_pId4314"/>
      <w:bookmarkEnd w:id="941"/>
      <w:r>
        <w:t>În plus, astfel cum a recunoscut Guvernul, evaluările interne relevante au arătat că nu a fost îndeplinit nici măcar acest obiectiv de reducere a emisiilor de GES pentru 2020.</w:t>
      </w:r>
      <w:bookmarkEnd w:id="942"/>
      <w:r>
        <w:t xml:space="preserve"> </w:t>
      </w:r>
      <w:bookmarkStart w:id="943" w:name="lt_pId4315"/>
      <w:r>
        <w:t>Într-adevăr, în medie, în perioada 2013-2020, Elveția și-a redus emisiile de GES cu aproximativ 11% față de nivelurile din 1990 (supra, pct. </w:t>
      </w:r>
      <w:r w:rsidRPr="00472687">
        <w:fldChar w:fldCharType="begin"/>
      </w:r>
      <w:r w:rsidRPr="00472687">
        <w:instrText xml:space="preserve">REF paragraph00087 \h \* CharFormat  \* MERGEFORMAT </w:instrText>
      </w:r>
      <w:r w:rsidRPr="00472687">
        <w:fldChar w:fldCharType="separate"/>
      </w:r>
      <w:r w:rsidRPr="00472687">
        <w:t>87</w:t>
      </w:r>
      <w:r w:rsidRPr="00472687">
        <w:fldChar w:fldCharType="end"/>
      </w:r>
      <w:r>
        <w:t>), ceea ce arată insuficiența eforturilor anterioare ale autorităților de a lua măsurile necesare pentru a face față schimbărilor climatice.</w:t>
      </w:r>
      <w:bookmarkEnd w:id="943"/>
    </w:p>
    <w:p w:rsidR="00F524A5" w:rsidRPr="00472687" w:rsidRDefault="00C71855" w:rsidP="00F524A5">
      <w:pPr>
        <w:pStyle w:val="JuPara"/>
      </w:pPr>
      <w:fldSimple w:instr=" SEQ level0 \*arabic \* MERGEFORMAT ">
        <w:r w:rsidR="00F524A5" w:rsidRPr="00472687">
          <w:t>560</w:t>
        </w:r>
      </w:fldSimple>
      <w:r w:rsidR="00F524A5">
        <w:t xml:space="preserve">. </w:t>
      </w:r>
      <w:bookmarkStart w:id="944" w:name="lt_pId4316"/>
      <w:bookmarkStart w:id="945" w:name="lt_pId4317"/>
      <w:bookmarkEnd w:id="944"/>
      <w:r w:rsidR="00F524A5">
        <w:t>În decembrie 2017, Consiliul Federal a propus, pentru perioada 2020-2030, o revizuire a Legii din 2011 privind emisiile de CO</w:t>
      </w:r>
      <w:r w:rsidR="00F524A5">
        <w:rPr>
          <w:vertAlign w:val="subscript"/>
        </w:rPr>
        <w:t>2</w:t>
      </w:r>
      <w:r w:rsidR="00F524A5">
        <w:t>, care prevedea o reducere globală cu 50% a emisiilor de GES și includea o reducere cu 30%, până în 2030, a emisiilor interne în raport cu nivelurile din 1990, restul urmând să se realizeze prin măsuri puse în aplicare în străinătate („emisii externe”).</w:t>
      </w:r>
      <w:bookmarkEnd w:id="945"/>
    </w:p>
    <w:bookmarkStart w:id="946" w:name="paragraph0056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561</w:t>
      </w:r>
      <w:r w:rsidRPr="00472687">
        <w:fldChar w:fldCharType="end"/>
      </w:r>
      <w:bookmarkEnd w:id="946"/>
      <w:r>
        <w:t xml:space="preserve">. </w:t>
      </w:r>
      <w:bookmarkStart w:id="947" w:name="lt_pId4318"/>
      <w:bookmarkStart w:id="948" w:name="lt_pId4319"/>
      <w:bookmarkEnd w:id="947"/>
      <w:r>
        <w:t>Totuși, această propunere de revizuire a Legii din 2011 privind emisiile de CO</w:t>
      </w:r>
      <w:r>
        <w:rPr>
          <w:vertAlign w:val="subscript"/>
        </w:rPr>
        <w:t>2</w:t>
      </w:r>
      <w:r>
        <w:t xml:space="preserve"> a fost respinsă în urma unui referendum organizat în iunie 2021. Potrivit Guvernului, acest lucru nu înseamnă că cetățenii resping necesitatea de a combate încălzirea globală sau de a reduce emisiile naționale de GES, ci mai degrabă că aceștia resping instrumentele propuse în acest scop (supra, pct. </w:t>
      </w:r>
      <w:r w:rsidRPr="00472687">
        <w:fldChar w:fldCharType="begin"/>
      </w:r>
      <w:r w:rsidRPr="00472687">
        <w:instrText xml:space="preserve">REF paragraph00357 \h \* CharFormat  \* MERGEFORMAT </w:instrText>
      </w:r>
      <w:r w:rsidRPr="00472687">
        <w:fldChar w:fldCharType="separate"/>
      </w:r>
      <w:r w:rsidRPr="00472687">
        <w:t>357</w:t>
      </w:r>
      <w:r w:rsidRPr="00472687">
        <w:fldChar w:fldCharType="end"/>
      </w:r>
      <w:r>
        <w:t>). În această privință, Curtea reamintește că, în ceea ce privește alegerea mijloacelor de combatere a schimbărilor climatice, statele dispun de o largă marjă de apreciere (supra, pct. </w:t>
      </w:r>
      <w:r w:rsidRPr="00472687">
        <w:fldChar w:fldCharType="begin"/>
      </w:r>
      <w:r w:rsidRPr="00472687">
        <w:instrText xml:space="preserve">REF paragraph00543 \h \* CharFormat  \* MERGEFORMAT </w:instrText>
      </w:r>
      <w:r w:rsidRPr="00472687">
        <w:fldChar w:fldCharType="separate"/>
      </w:r>
      <w:r w:rsidRPr="00472687">
        <w:t>543</w:t>
      </w:r>
      <w:r w:rsidRPr="00472687">
        <w:fldChar w:fldCharType="end"/>
      </w:r>
      <w:r>
        <w:t>). În orice caz și independent de modul în care este organizat procesul legislativ din punct de vedere constituțional intern [</w:t>
      </w:r>
      <w:r>
        <w:rPr>
          <w:i/>
        </w:rPr>
        <w:t>G.S.B. împotriva Elveției</w:t>
      </w:r>
      <w:r>
        <w:t xml:space="preserve">, nr. 28601/11, pct. 72-73, 22 decembrie 2015; a se vedea și </w:t>
      </w:r>
      <w:r>
        <w:rPr>
          <w:i/>
        </w:rPr>
        <w:t>Humpert și alții împotriva Germaniei </w:t>
      </w:r>
      <w:r>
        <w:t>(MC), nr. 59433/18 și alte 3 cereri, pct. 71-72, 14 decembrie 2023], nu este mai puțin adevărat că referendumul a lăsat un vid legislativ în ceea ce privește perioada ulterioară anului 2020. Statul a încercat să remedieze această situație prin adoptarea, la 17 decembrie 2021, a unei versiuni parțial revizuite a Legii din 2011 privind emisiile de CO</w:t>
      </w:r>
      <w:r>
        <w:rPr>
          <w:vertAlign w:val="subscript"/>
        </w:rPr>
        <w:t>2</w:t>
      </w:r>
      <w:r>
        <w:t xml:space="preserve">, care era în vigoare la momentul respectiv. Acest text prevedea, pentru perioada 2021-2024, un obiectiv de reducere cu 1,5% pe an, față de nivelurile din 1990, </w:t>
      </w:r>
      <w:r>
        <w:lastRenderedPageBreak/>
        <w:t>înțelegându-se că, începând din 2022, maximum un sfert din această reducere ar putea fi obținută prin măsuri puse în aplicare în străinătate (supra, pct. </w:t>
      </w:r>
      <w:r w:rsidRPr="00472687">
        <w:fldChar w:fldCharType="begin"/>
      </w:r>
      <w:r w:rsidRPr="00472687">
        <w:instrText xml:space="preserve">REF paragraph00095 \h \* CharFormat </w:instrText>
      </w:r>
      <w:r w:rsidRPr="00472687">
        <w:fldChar w:fldCharType="separate"/>
      </w:r>
      <w:r w:rsidRPr="00472687">
        <w:t>95</w:t>
      </w:r>
      <w:r w:rsidRPr="00472687">
        <w:fldChar w:fldCharType="end"/>
      </w:r>
      <w:r>
        <w:t>).</w:t>
      </w:r>
      <w:bookmarkEnd w:id="948"/>
      <w:r>
        <w:t xml:space="preserve"> </w:t>
      </w:r>
      <w:bookmarkStart w:id="949" w:name="lt_pId4321"/>
      <w:r>
        <w:t>În plus, textul nu conținea nicio dispoziție privind perioada de după 2024, fiind încălcată obligația ce revine statului pârât de a adopta măsuri generale care să specifice măsurile de atenuare care trebuie luate în conformitate cu un calendar stabilit pentru realizarea neutralității emisiilor nete [supra, pct. </w:t>
      </w:r>
      <w:r w:rsidRPr="00472687">
        <w:fldChar w:fldCharType="begin"/>
      </w:r>
      <w:r w:rsidRPr="00472687">
        <w:instrText xml:space="preserve"> REF paragraph00550 \h  \* CharFormat </w:instrText>
      </w:r>
      <w:r w:rsidRPr="00472687">
        <w:fldChar w:fldCharType="separate"/>
      </w:r>
      <w:r w:rsidRPr="00472687">
        <w:t>550</w:t>
      </w:r>
      <w:r w:rsidRPr="00472687">
        <w:fldChar w:fldCharType="end"/>
      </w:r>
      <w:r>
        <w:t xml:space="preserve"> a)].</w:t>
      </w:r>
      <w:bookmarkEnd w:id="949"/>
    </w:p>
    <w:bookmarkStart w:id="950" w:name="paragraph00562"/>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562</w:t>
      </w:r>
      <w:r w:rsidRPr="00472687">
        <w:fldChar w:fldCharType="end"/>
      </w:r>
      <w:bookmarkEnd w:id="950"/>
      <w:r>
        <w:t xml:space="preserve">. </w:t>
      </w:r>
      <w:bookmarkStart w:id="951" w:name="lt_pId4322"/>
      <w:bookmarkStart w:id="952" w:name="lt_pId4323"/>
      <w:bookmarkEnd w:id="951"/>
      <w:r>
        <w:t>Aceste lacune arată că statul pârât nu și-a îndeplinit obligația pozitivă, care decurge din art. 8, de a elabora un cadru de reglementare care să stabilească scopurile și obiectivele necesare [supra, pct. </w:t>
      </w:r>
      <w:r w:rsidRPr="00472687">
        <w:fldChar w:fldCharType="begin"/>
      </w:r>
      <w:r w:rsidRPr="00472687">
        <w:instrText xml:space="preserve"> REF paragraph00550 \h  \* CharFormat </w:instrText>
      </w:r>
      <w:r w:rsidRPr="00472687">
        <w:fldChar w:fldCharType="separate"/>
      </w:r>
      <w:r w:rsidRPr="00472687">
        <w:t>550</w:t>
      </w:r>
      <w:r w:rsidRPr="00472687">
        <w:fldChar w:fldCharType="end"/>
      </w:r>
      <w:r>
        <w:t xml:space="preserve"> a)-b) ].</w:t>
      </w:r>
      <w:bookmarkEnd w:id="952"/>
      <w:r>
        <w:t xml:space="preserve"> </w:t>
      </w:r>
      <w:bookmarkStart w:id="953" w:name="lt_pId4324"/>
      <w:r>
        <w:t>În această privință, trebui remarcat faptul că, în cel mai recent raport de sinteză al său, AR6 („Climate Change 2023”), IPCC a subliniat că alegerile și acțiunile puse în aplicare în cursul acestui deceniu ar avea repercusiuni în prezent și o perioadă de mii de ani (supra, pct. </w:t>
      </w:r>
      <w:r w:rsidRPr="00472687">
        <w:fldChar w:fldCharType="begin"/>
      </w:r>
      <w:r w:rsidRPr="00472687">
        <w:instrText xml:space="preserve">REF paragraph00118 \h \* CharFormat </w:instrText>
      </w:r>
      <w:r w:rsidRPr="00472687">
        <w:fldChar w:fldCharType="separate"/>
      </w:r>
      <w:r w:rsidRPr="00472687">
        <w:t>118</w:t>
      </w:r>
      <w:r w:rsidRPr="00472687">
        <w:fldChar w:fldCharType="end"/>
      </w:r>
      <w:r>
        <w:noBreakHyphen/>
      </w:r>
      <w:r w:rsidRPr="00472687">
        <w:fldChar w:fldCharType="begin"/>
      </w:r>
      <w:r w:rsidRPr="00472687">
        <w:instrText xml:space="preserve">REF paragraph00119 \h \* CharFormat </w:instrText>
      </w:r>
      <w:r w:rsidRPr="00472687">
        <w:fldChar w:fldCharType="separate"/>
      </w:r>
      <w:r w:rsidRPr="00472687">
        <w:t>119</w:t>
      </w:r>
      <w:r w:rsidRPr="00472687">
        <w:fldChar w:fldCharType="end"/>
      </w:r>
      <w:r>
        <w:t>).</w:t>
      </w:r>
      <w:bookmarkEnd w:id="953"/>
    </w:p>
    <w:p w:rsidR="00F524A5" w:rsidRPr="00472687" w:rsidRDefault="00C71855" w:rsidP="00F524A5">
      <w:pPr>
        <w:pStyle w:val="JuPara"/>
      </w:pPr>
      <w:fldSimple w:instr=" SEQ level0 \*arabic \* MERGEFORMAT ">
        <w:r w:rsidR="00F524A5" w:rsidRPr="00472687">
          <w:t>563</w:t>
        </w:r>
      </w:fldSimple>
      <w:r w:rsidR="00F524A5">
        <w:t xml:space="preserve">. </w:t>
      </w:r>
      <w:bookmarkStart w:id="954" w:name="lt_pId4325"/>
      <w:bookmarkStart w:id="955" w:name="lt_pId4326"/>
      <w:bookmarkEnd w:id="954"/>
      <w:r w:rsidR="00F524A5">
        <w:t>Totuși, la nivel intern, au existat alte evoluții și inițiative de reglementare în materie de schimbări climatice.</w:t>
      </w:r>
      <w:bookmarkEnd w:id="955"/>
      <w:r w:rsidR="00F524A5">
        <w:t xml:space="preserve"> </w:t>
      </w:r>
      <w:bookmarkStart w:id="956" w:name="lt_pId4327"/>
      <w:r w:rsidR="00F524A5">
        <w:t>În decembrie 2021, Elveția a prezentat un CDN actualizat, în care s-a angajat să respecte obiectivele stabilite în Acordul de la Paris.</w:t>
      </w:r>
      <w:bookmarkEnd w:id="956"/>
      <w:r w:rsidR="00F524A5">
        <w:t>.</w:t>
      </w:r>
      <w:r w:rsidR="00F524A5">
        <w:rPr>
          <w:vertAlign w:val="superscript"/>
        </w:rPr>
        <w:footnoteReference w:id="202"/>
      </w:r>
      <w:r w:rsidR="00F524A5">
        <w:t xml:space="preserve"> </w:t>
      </w:r>
      <w:bookmarkStart w:id="958" w:name="lt_pId4328"/>
      <w:r w:rsidR="00F524A5">
        <w:t>Prin urmare, Elveția și-a aliniat politica privind clima la angajamentele internaționale pe care și le-a asumat în temeiul acestui acord.</w:t>
      </w:r>
      <w:bookmarkEnd w:id="958"/>
      <w:r w:rsidR="00F524A5">
        <w:t xml:space="preserve"> </w:t>
      </w:r>
      <w:bookmarkStart w:id="959" w:name="lt_pId4329"/>
      <w:r w:rsidR="00F524A5">
        <w:t>Mai precis, un comunicat</w:t>
      </w:r>
      <w:r w:rsidR="00F524A5">
        <w:rPr>
          <w:vertAlign w:val="superscript"/>
        </w:rPr>
        <w:footnoteReference w:id="203"/>
      </w:r>
      <w:r w:rsidR="00F524A5">
        <w:t xml:space="preserve"> publicat ulterior a rezumat după cum urmează angajamentele care rezultau din acest CDN actualizat:</w:t>
      </w:r>
      <w:bookmarkEnd w:id="959"/>
    </w:p>
    <w:p w:rsidR="00F524A5" w:rsidRPr="00472687" w:rsidRDefault="00F524A5" w:rsidP="00F524A5">
      <w:pPr>
        <w:pStyle w:val="JuQuot"/>
      </w:pPr>
      <w:bookmarkStart w:id="961" w:name="lt_pId4330"/>
      <w:r>
        <w:t>„Elveția este hotărâtă să urmeze recomandările științifice pentru a limita încălzirea la 1,5</w:t>
      </w:r>
      <w:r>
        <w:rPr>
          <w:vertAlign w:val="superscript"/>
        </w:rPr>
        <w:t>o</w:t>
      </w:r>
      <w:r>
        <w:t>C. Ținând seama de obiectivul său de obținere a neutralității emisiilor de dioxid de carbon până în 2050, CDN-ul Elveției constă în reducerea emisiilor sale [de GES] cu cel puțin 50% față de nivelurile din 1990, până în 2030, ceea ce corespunde unei reduceri medii a emisiilor [de GES] de cel puțin 35% pentru perioada 2021-2030.</w:t>
      </w:r>
      <w:bookmarkEnd w:id="961"/>
      <w:r>
        <w:t xml:space="preserve"> </w:t>
      </w:r>
      <w:bookmarkStart w:id="962" w:name="lt_pId4332"/>
      <w:r>
        <w:t>Până în 2025, se preconizează o reducere a [GES] cu cel puțin 35% față de nivelurile din 1990.</w:t>
      </w:r>
      <w:bookmarkEnd w:id="962"/>
      <w:r>
        <w:t xml:space="preserve"> </w:t>
      </w:r>
      <w:bookmarkStart w:id="963" w:name="lt_pId4333"/>
      <w:r>
        <w:t>Rezultatele măsurilor de reducere transferate la nivel internațional (fr. RATI; engl. ITMO), obținute în cadrul cooperării prevăzute la articolul 6 din Acordul de la Paris, vor fi luate în considerare parțial.</w:t>
      </w:r>
      <w:bookmarkEnd w:id="963"/>
      <w:r>
        <w:t> ”</w:t>
      </w:r>
    </w:p>
    <w:bookmarkStart w:id="964" w:name="paragraph0056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564</w:t>
      </w:r>
      <w:r w:rsidRPr="00472687">
        <w:fldChar w:fldCharType="end"/>
      </w:r>
      <w:bookmarkEnd w:id="964"/>
      <w:r>
        <w:t xml:space="preserve">. </w:t>
      </w:r>
      <w:bookmarkStart w:id="965" w:name="lt_pId4334"/>
      <w:bookmarkStart w:id="966" w:name="lt_pId4335"/>
      <w:bookmarkEnd w:id="965"/>
      <w:r>
        <w:t xml:space="preserve"> La 30 septembrie 2022 a fost adoptată Legea privind clima</w:t>
      </w:r>
      <w:r>
        <w:rPr>
          <w:vertAlign w:val="superscript"/>
        </w:rPr>
        <w:footnoteReference w:id="204"/>
      </w:r>
      <w:r>
        <w:t>, în care sunt transpuse angajamentele cuprinse în CDN-ul actualizat (supra, pct. </w:t>
      </w:r>
      <w:r w:rsidRPr="00472687">
        <w:fldChar w:fldCharType="begin"/>
      </w:r>
      <w:r w:rsidRPr="00472687">
        <w:instrText xml:space="preserve">REF paragraph00093 \h \* CharFormat </w:instrText>
      </w:r>
      <w:r w:rsidRPr="00472687">
        <w:fldChar w:fldCharType="separate"/>
      </w:r>
      <w:r w:rsidRPr="00472687">
        <w:t>93</w:t>
      </w:r>
      <w:r w:rsidRPr="00472687">
        <w:fldChar w:fldCharType="end"/>
      </w:r>
      <w:r>
        <w:t>).</w:t>
      </w:r>
      <w:bookmarkEnd w:id="966"/>
      <w:r>
        <w:t xml:space="preserve"> </w:t>
      </w:r>
      <w:bookmarkStart w:id="968" w:name="lt_pId4336"/>
      <w:r>
        <w:t xml:space="preserve">Această lege – care a fost aprobată prin referendum abia la 18 iunie 2023 și care nu a intrat încă în vigoare – menține principiul referitor la obiectivul zero emisii nete, care trebuie atins până în 2050, prevăzând o reducere „cât mai </w:t>
      </w:r>
      <w:r>
        <w:lastRenderedPageBreak/>
        <w:t>importantă” a emisiilor de GES.</w:t>
      </w:r>
      <w:bookmarkEnd w:id="968"/>
      <w:r>
        <w:t xml:space="preserve"> </w:t>
      </w:r>
      <w:bookmarkStart w:id="969" w:name="lt_pId4337"/>
      <w:r>
        <w:t>De asemenea, aceasta stabilește un obiectiv intermediar pentru 2040 (o reducere de 75% față de nivelurile din 1990), precum și pentru perioada 2031-2040 (o reducere medie de cel puțin 64%) și pentru perioada 2041-2050 (o reducere medie de peste 89% față de nivelurile din 1990).</w:t>
      </w:r>
      <w:bookmarkEnd w:id="969"/>
      <w:r>
        <w:t xml:space="preserve"> </w:t>
      </w:r>
      <w:bookmarkStart w:id="970" w:name="lt_pId4338"/>
      <w:r>
        <w:t>În plus, stabilește valori orientative pentru reducerea emisiilor din sectorul construcțiilor, al transporturilor și al industriei pentru anii 2040 și 2050.</w:t>
      </w:r>
      <w:bookmarkEnd w:id="970"/>
    </w:p>
    <w:bookmarkStart w:id="971" w:name="lt_pId4341"/>
    <w:bookmarkStart w:id="972" w:name="paragraph00565"/>
    <w:bookmarkEnd w:id="97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565</w:t>
      </w:r>
      <w:r w:rsidRPr="00472687">
        <w:fldChar w:fldCharType="end"/>
      </w:r>
      <w:bookmarkEnd w:id="972"/>
      <w:r>
        <w:t xml:space="preserve">. În această privință, Curtea observă că Legea privind clima stabilește obiective generale, dar că aceasta nu conține propuneri de măsuri concrete pentru realizarea lor, rămânând ca aceste măsuri să fie stabilite de Consiliul Federal și prezentate „în timp util” Adunării Federale [articolul 11 alineatul (1) din Legea privind clima]. </w:t>
      </w:r>
      <w:bookmarkStart w:id="973" w:name="lt_pId4343"/>
      <w:r>
        <w:t>În plus, propunerile în cauză trebuie să fie prevăzute în Legea din 2011 privind emisiile de CO</w:t>
      </w:r>
      <w:r>
        <w:rPr>
          <w:vertAlign w:val="subscript"/>
        </w:rPr>
        <w:t>2</w:t>
      </w:r>
      <w:r>
        <w:t xml:space="preserve"> [articolul 11 alineatul (2) din Legea privind clima], care, astfel cum se indică  la punctele </w:t>
      </w:r>
      <w:r w:rsidRPr="00472687">
        <w:fldChar w:fldCharType="begin"/>
      </w:r>
      <w:r w:rsidRPr="00472687">
        <w:instrText xml:space="preserve">REF paragraph00558 \h \* CharFormat </w:instrText>
      </w:r>
      <w:r w:rsidRPr="00472687">
        <w:fldChar w:fldCharType="separate"/>
      </w:r>
      <w:r w:rsidRPr="00472687">
        <w:t>558</w:t>
      </w:r>
      <w:r w:rsidRPr="00472687">
        <w:fldChar w:fldCharType="end"/>
      </w:r>
      <w:r>
        <w:t>-</w:t>
      </w:r>
      <w:r w:rsidRPr="00472687">
        <w:fldChar w:fldCharType="begin"/>
      </w:r>
      <w:r w:rsidRPr="00472687">
        <w:instrText xml:space="preserve">REF paragraph00559 \h \* CharFormat </w:instrText>
      </w:r>
      <w:r w:rsidRPr="00472687">
        <w:fldChar w:fldCharType="separate"/>
      </w:r>
      <w:r w:rsidRPr="00472687">
        <w:t>559</w:t>
      </w:r>
      <w:r w:rsidRPr="00472687">
        <w:fldChar w:fldCharType="end"/>
      </w:r>
      <w:r>
        <w:t xml:space="preserve"> de mai sus, nu poate fi considerată, în forma sa actuală, ca oferind un cadru de reglementare suficient.</w:t>
      </w:r>
      <w:bookmarkEnd w:id="973"/>
    </w:p>
    <w:p w:rsidR="00F524A5" w:rsidRPr="00472687" w:rsidRDefault="00C71855" w:rsidP="00F524A5">
      <w:pPr>
        <w:pStyle w:val="JuPara"/>
      </w:pPr>
      <w:fldSimple w:instr=" SEQ level0 \*arabic \* MERGEFORMAT ">
        <w:r w:rsidR="00F524A5" w:rsidRPr="00472687">
          <w:t>566</w:t>
        </w:r>
      </w:fldSimple>
      <w:r w:rsidR="00F524A5">
        <w:t xml:space="preserve">. </w:t>
      </w:r>
      <w:bookmarkStart w:id="974" w:name="lt_pId4344"/>
      <w:bookmarkStart w:id="975" w:name="lt_pId4345"/>
      <w:bookmarkEnd w:id="974"/>
      <w:r w:rsidR="00F524A5">
        <w:t>De asemenea, trebuie subliniat faptul că noile reglementări introduse de Legea privind clima se referă doar la obiectivele intermediare pentru perioada de după 2031.</w:t>
      </w:r>
      <w:bookmarkEnd w:id="975"/>
      <w:r w:rsidR="00F524A5">
        <w:t xml:space="preserve"> </w:t>
      </w:r>
      <w:bookmarkStart w:id="976" w:name="lt_pId4346"/>
      <w:r w:rsidR="00F524A5">
        <w:t>Întrucât Legea din 2011 privind emisiile de CO</w:t>
      </w:r>
      <w:r w:rsidR="00F524A5">
        <w:rPr>
          <w:vertAlign w:val="subscript"/>
        </w:rPr>
        <w:t>2</w:t>
      </w:r>
      <w:r w:rsidR="00F524A5">
        <w:t xml:space="preserve"> stabilește obiective intermediare doar pentru perioada de până în 2024 (supra, pct. </w:t>
      </w:r>
      <w:r w:rsidR="00F524A5" w:rsidRPr="00472687">
        <w:fldChar w:fldCharType="begin"/>
      </w:r>
      <w:r w:rsidR="00F524A5" w:rsidRPr="00472687">
        <w:instrText xml:space="preserve">REF paragraph00561 \h \* CharFormat </w:instrText>
      </w:r>
      <w:r w:rsidR="00F524A5" w:rsidRPr="00472687">
        <w:fldChar w:fldCharType="separate"/>
      </w:r>
      <w:r w:rsidR="00F524A5" w:rsidRPr="00472687">
        <w:t>561</w:t>
      </w:r>
      <w:r w:rsidR="00F524A5" w:rsidRPr="00472687">
        <w:fldChar w:fldCharType="end"/>
      </w:r>
      <w:r w:rsidR="00F524A5">
        <w:t>), înseamnă că, până la adoptarea unei noi legi, perioada 2025-2030 nu intră sub incidența niciunei dispoziții.</w:t>
      </w:r>
      <w:bookmarkEnd w:id="976"/>
    </w:p>
    <w:bookmarkStart w:id="977" w:name="paragraph0056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567</w:t>
      </w:r>
      <w:r w:rsidRPr="00472687">
        <w:fldChar w:fldCharType="end"/>
      </w:r>
      <w:bookmarkEnd w:id="977"/>
      <w:r>
        <w:t xml:space="preserve">. </w:t>
      </w:r>
      <w:bookmarkStart w:id="978" w:name="lt_pId4347"/>
      <w:bookmarkStart w:id="979" w:name="lt_pId4348"/>
      <w:bookmarkEnd w:id="978"/>
      <w:r>
        <w:t>În aceste condiții, având în vedere necesitatea adoptării urgente de măsuri pentru a face față schimbărilor climatice, precum și lipsa actuală a unui cadru de reglementare satisfăcător, Curtea apreciază că este dificil să admită că simplul fapt că Legea privind clima prevede un angajament de a adopta măsuri practice „în timp util” nu este suficient pentru a considera că statul și-a îndeplinit obligația de a oferi persoanelor aflate sub jurisdicția sa o protecție efectivă împotriva efectelor nefaste ale schimbărilor climatice asupra vieții și sănătății lor, și de a o aplica în practică și în mod concret (supra, pct. </w:t>
      </w:r>
      <w:r w:rsidRPr="00472687">
        <w:fldChar w:fldCharType="begin"/>
      </w:r>
      <w:r w:rsidRPr="00472687">
        <w:instrText xml:space="preserve">REF paragraph00555 \h \* CharFormat </w:instrText>
      </w:r>
      <w:r w:rsidRPr="00472687">
        <w:fldChar w:fldCharType="separate"/>
      </w:r>
      <w:r w:rsidRPr="00472687">
        <w:t>555</w:t>
      </w:r>
      <w:r w:rsidRPr="00472687">
        <w:fldChar w:fldCharType="end"/>
      </w:r>
      <w:r>
        <w:t>).</w:t>
      </w:r>
      <w:bookmarkEnd w:id="979"/>
    </w:p>
    <w:p w:rsidR="00F524A5" w:rsidRPr="00472687" w:rsidRDefault="00C71855" w:rsidP="00F524A5">
      <w:pPr>
        <w:pStyle w:val="JuPara"/>
      </w:pPr>
      <w:fldSimple w:instr=" SEQ level0 \*arabic \* MERGEFORMAT ">
        <w:r w:rsidR="00F524A5" w:rsidRPr="00472687">
          <w:t>568</w:t>
        </w:r>
      </w:fldSimple>
      <w:r w:rsidR="00F524A5">
        <w:t>. Deși recunoaște că se așteaptă realizarea de progrese semnificative ca urmare a intrării în vigoare a Legii privind clima – recent adoptată –, Curtea trebuie totuși să concluzioneze că instituirea acestei noi legislații nu este suficientă pentru a remedia deficiențele identificate în cadrul juridic aplicabil până în prezent.</w:t>
      </w:r>
    </w:p>
    <w:p w:rsidR="00F524A5" w:rsidRPr="00472687" w:rsidRDefault="00C71855" w:rsidP="00F524A5">
      <w:pPr>
        <w:pStyle w:val="JuPara"/>
      </w:pPr>
      <w:fldSimple w:instr=" SEQ level0 \*arabic \* MERGEFORMAT ">
        <w:r w:rsidR="00F524A5" w:rsidRPr="00472687">
          <w:t>569</w:t>
        </w:r>
      </w:fldSimple>
      <w:r w:rsidR="00F524A5">
        <w:t xml:space="preserve">. </w:t>
      </w:r>
      <w:bookmarkStart w:id="980" w:name="lt_pId4351"/>
      <w:bookmarkStart w:id="981" w:name="lt_pId4352"/>
      <w:bookmarkEnd w:id="980"/>
      <w:r w:rsidR="00F524A5">
        <w:t>Curtea observă,</w:t>
      </w:r>
      <w:r w:rsidR="00F524A5">
        <w:rPr>
          <w:b/>
        </w:rPr>
        <w:t xml:space="preserve"> </w:t>
      </w:r>
      <w:r w:rsidR="00F524A5">
        <w:t>de asemenea, că asociația reclamantă a prezentat o estimare a bugetului de carbon rămas pentru Elveția în conformitate cu situația sa actuală, care ține seama și de noile obiective și traiectorii care au fost stabilite de Legea privind clima (supra, pct. </w:t>
      </w:r>
      <w:r w:rsidR="00F524A5" w:rsidRPr="00472687">
        <w:fldChar w:fldCharType="begin"/>
      </w:r>
      <w:r w:rsidR="00F524A5" w:rsidRPr="00472687">
        <w:instrText xml:space="preserve">REF paragraph00323 \h \* CharFormat </w:instrText>
      </w:r>
      <w:r w:rsidR="00F524A5" w:rsidRPr="00472687">
        <w:fldChar w:fldCharType="separate"/>
      </w:r>
      <w:r w:rsidR="00F524A5" w:rsidRPr="00472687">
        <w:t>323</w:t>
      </w:r>
      <w:r w:rsidR="00F524A5" w:rsidRPr="00472687">
        <w:fldChar w:fldCharType="end"/>
      </w:r>
      <w:r w:rsidR="00F524A5">
        <w:t>).</w:t>
      </w:r>
      <w:bookmarkEnd w:id="981"/>
      <w:r w:rsidR="00F524A5">
        <w:t xml:space="preserve"> </w:t>
      </w:r>
      <w:bookmarkStart w:id="982" w:name="lt_pId4353"/>
      <w:r w:rsidR="00F524A5">
        <w:t xml:space="preserve">Făcând referire la evaluarea relevantă a IPCC privind bugetul global de carbon și la datele din </w:t>
      </w:r>
      <w:r w:rsidR="00F524A5">
        <w:lastRenderedPageBreak/>
        <w:t>Inventarul GES al Elveției</w:t>
      </w:r>
      <w:r w:rsidR="00F524A5">
        <w:rPr>
          <w:vertAlign w:val="superscript"/>
        </w:rPr>
        <w:footnoteReference w:id="205"/>
      </w:r>
      <w:r w:rsidR="00F524A5">
        <w:t>, asociația reclamantă prezintă o estimare, bazată pe aceeași metodă a repartizării eforturilor pe cap de locuitor pentru reducerea emisiilor produse începând cu 2020, potrivit căreia Elveția ar dispune de un buget de carbon rămas de 0,44 Gt de CO</w:t>
      </w:r>
      <w:r w:rsidR="00F524A5">
        <w:rPr>
          <w:vertAlign w:val="subscript"/>
        </w:rPr>
        <w:t>2</w:t>
      </w:r>
      <w:r w:rsidR="00F524A5">
        <w:t xml:space="preserve"> pentru o probabilitate de 67% de a respecta limita de încălzire de 1,5</w:t>
      </w:r>
      <w:r w:rsidR="00F524A5">
        <w:rPr>
          <w:vertAlign w:val="superscript"/>
        </w:rPr>
        <w:t>o</w:t>
      </w:r>
      <w:r w:rsidR="00F524A5">
        <w:t>C (sau de 0,33 Gt de CO</w:t>
      </w:r>
      <w:r w:rsidR="00F524A5">
        <w:rPr>
          <w:vertAlign w:val="subscript"/>
        </w:rPr>
        <w:t>2</w:t>
      </w:r>
      <w:r w:rsidR="00F524A5">
        <w:t xml:space="preserve"> pentru o probabilitate de 83%).</w:t>
      </w:r>
      <w:bookmarkEnd w:id="982"/>
      <w:r w:rsidR="00F524A5">
        <w:t xml:space="preserve"> </w:t>
      </w:r>
      <w:bookmarkStart w:id="983" w:name="lt_pId4354"/>
      <w:r w:rsidR="00F524A5">
        <w:t>În cadrul unui scenariu care implică o reducere cu 34% a emisiilor de CO</w:t>
      </w:r>
      <w:r w:rsidR="00F524A5">
        <w:rPr>
          <w:vertAlign w:val="subscript"/>
        </w:rPr>
        <w:t>2</w:t>
      </w:r>
      <w:r w:rsidR="00F524A5">
        <w:t xml:space="preserve"> până în 2030 și o reducere cu 75% până în 2040, Elveția și-ar epuiza bugetul rămas în jurul anului 2034 (sau 2030, pentru o probabilitate de 83%).</w:t>
      </w:r>
      <w:bookmarkEnd w:id="983"/>
      <w:r w:rsidR="00F524A5">
        <w:t xml:space="preserve"> </w:t>
      </w:r>
      <w:bookmarkStart w:id="984" w:name="lt_pId4355"/>
      <w:r w:rsidR="00F524A5">
        <w:t xml:space="preserve">Astfel, dacă își menține strategia climatică actuală, Elveția permite producerea mai multor emisii de GES decât ar permite chiar și o metodă de cuantificare bazată pe „repartizarea egală a emisiilor pe cap de locuitor” </w:t>
      </w:r>
      <w:r w:rsidR="00F524A5">
        <w:rPr>
          <w:i/>
        </w:rPr>
        <w:t>(equal per capita emissions).</w:t>
      </w:r>
      <w:bookmarkEnd w:id="984"/>
    </w:p>
    <w:p w:rsidR="00F524A5" w:rsidRPr="00472687" w:rsidRDefault="00C71855" w:rsidP="00F524A5">
      <w:pPr>
        <w:pStyle w:val="JuPara"/>
      </w:pPr>
      <w:fldSimple w:instr=" SEQ level0 \*arabic \* MERGEFORMAT ">
        <w:r w:rsidR="00F524A5" w:rsidRPr="00472687">
          <w:t>570</w:t>
        </w:r>
      </w:fldSimple>
      <w:r w:rsidR="00F524A5">
        <w:t xml:space="preserve">. </w:t>
      </w:r>
      <w:bookmarkStart w:id="985" w:name="lt_pId4356"/>
      <w:bookmarkStart w:id="986" w:name="lt_pId4357"/>
      <w:bookmarkEnd w:id="985"/>
      <w:r w:rsidR="00F524A5">
        <w:t>Curtea observă că Guvernul se bazează pe Nota de orientare din 2012 pentru a justifica absența unui buget de carbon specific pentru Elveția.</w:t>
      </w:r>
      <w:bookmarkEnd w:id="986"/>
      <w:r w:rsidR="00F524A5">
        <w:t xml:space="preserve"> </w:t>
      </w:r>
      <w:bookmarkStart w:id="987" w:name="lt_pId4358"/>
      <w:r w:rsidR="00F524A5">
        <w:t>Făcând referire la această notă de orientare, Guvernul susține că nu există o metodologie stabilită pentru determinarea bugetului de carbon al unei țări și recunoaște că Elveția nu a stabilit un astfel de buget.</w:t>
      </w:r>
      <w:bookmarkEnd w:id="987"/>
      <w:r w:rsidR="00F524A5">
        <w:t xml:space="preserve"> </w:t>
      </w:r>
      <w:bookmarkStart w:id="988" w:name="lt_pId4359"/>
      <w:r w:rsidR="00F524A5">
        <w:t>Acesta susține că politica climatică națională a Elveției urmează o abordare similară celei pentru stabilirea unui buget de carbon și se bazează pe evaluări interne relevante, elaborate în 2020 și exprimate în CDN-urile sale (supra, pct. </w:t>
      </w:r>
      <w:r w:rsidR="00F524A5" w:rsidRPr="00472687">
        <w:fldChar w:fldCharType="begin"/>
      </w:r>
      <w:r w:rsidR="00F524A5" w:rsidRPr="00472687">
        <w:instrText xml:space="preserve"> REF paragraph00360 \h  \* CharFormat  \* MERGEFORMAT </w:instrText>
      </w:r>
      <w:r w:rsidR="00F524A5" w:rsidRPr="00472687">
        <w:fldChar w:fldCharType="separate"/>
      </w:r>
      <w:r w:rsidR="00F524A5" w:rsidRPr="00472687">
        <w:t>360</w:t>
      </w:r>
      <w:r w:rsidR="00F524A5" w:rsidRPr="00472687">
        <w:fldChar w:fldCharType="end"/>
      </w:r>
      <w:r w:rsidR="00F524A5">
        <w:t>).</w:t>
      </w:r>
      <w:bookmarkEnd w:id="988"/>
      <w:r w:rsidR="00F524A5">
        <w:t xml:space="preserve"> </w:t>
      </w:r>
      <w:bookmarkStart w:id="989" w:name="lt_pId4360"/>
      <w:r w:rsidR="00F524A5">
        <w:t>Cu toate acestea, Curtea nu este convinsă că este posibil să fie instituit un cadru de reglementare eficient în domeniul schimbărilor climatice fără cuantificarea, prin intermediul unui buget de carbon sau în alt mod, a limitelor naționale aplicabile emisiilor de GES [supra, pct. </w:t>
      </w:r>
      <w:r w:rsidR="00F524A5" w:rsidRPr="00472687">
        <w:fldChar w:fldCharType="begin"/>
      </w:r>
      <w:r w:rsidR="00F524A5" w:rsidRPr="00472687">
        <w:instrText xml:space="preserve"> REF paragraph00550 \h  \* CharFormat  \* MERGEFORMAT </w:instrText>
      </w:r>
      <w:r w:rsidR="00F524A5" w:rsidRPr="00472687">
        <w:fldChar w:fldCharType="separate"/>
      </w:r>
      <w:r w:rsidR="00F524A5" w:rsidRPr="00472687">
        <w:t>550</w:t>
      </w:r>
      <w:r w:rsidR="00F524A5" w:rsidRPr="00472687">
        <w:fldChar w:fldCharType="end"/>
      </w:r>
      <w:r w:rsidR="00F524A5">
        <w:t xml:space="preserve"> lit. a) ].</w:t>
      </w:r>
      <w:bookmarkEnd w:id="989"/>
    </w:p>
    <w:p w:rsidR="00F524A5" w:rsidRPr="00472687" w:rsidRDefault="00C71855" w:rsidP="00F524A5">
      <w:pPr>
        <w:pStyle w:val="JuPara"/>
      </w:pPr>
      <w:fldSimple w:instr=" SEQ level0 \*arabic \* MERGEFORMAT ">
        <w:r w:rsidR="00F524A5" w:rsidRPr="00472687">
          <w:t>571</w:t>
        </w:r>
      </w:fldSimple>
      <w:r w:rsidR="00F524A5">
        <w:t xml:space="preserve">. </w:t>
      </w:r>
      <w:bookmarkStart w:id="990" w:name="lt_pId4361"/>
      <w:bookmarkStart w:id="991" w:name="lt_pId4362"/>
      <w:bookmarkEnd w:id="990"/>
      <w:r w:rsidR="00F524A5">
        <w:t>În această privință, Curtea trebuie să constate că IPCC a subliniat importanța bugetelor de carbon și a unor politici care vizează atingerea obiectivului zero emisii nete (supra, pct. </w:t>
      </w:r>
      <w:r w:rsidR="00F524A5" w:rsidRPr="00472687">
        <w:fldChar w:fldCharType="begin"/>
      </w:r>
      <w:r w:rsidR="00F524A5" w:rsidRPr="00472687">
        <w:instrText xml:space="preserve">REF paragraph00116 \h \* CharFormat </w:instrText>
      </w:r>
      <w:r w:rsidR="00F524A5" w:rsidRPr="00472687">
        <w:fldChar w:fldCharType="separate"/>
      </w:r>
      <w:r w:rsidR="00F524A5" w:rsidRPr="00472687">
        <w:t>116</w:t>
      </w:r>
      <w:r w:rsidR="00F524A5" w:rsidRPr="00472687">
        <w:fldChar w:fldCharType="end"/>
      </w:r>
      <w:r w:rsidR="00F524A5">
        <w:t>); or, contrar a ceea ce pare să susțină Guvernul, absența acestora poate fi cu greu compensată prin existența unui CDN care reproduce angajamentele asumate de stat în cadrul Acordului de la Paris.</w:t>
      </w:r>
      <w:bookmarkEnd w:id="991"/>
      <w:r w:rsidR="00F524A5">
        <w:t xml:space="preserve"> </w:t>
      </w:r>
      <w:bookmarkStart w:id="992" w:name="lt_pId4363"/>
      <w:r w:rsidR="00F524A5">
        <w:t xml:space="preserve">Curtea consideră de asemenea convingător raționamentul adoptat de Curtea Constituțională Federală Germană (CCFG) pentru a respinge argumentul întemeiat pe imposibilitatea de a stabili bugetul național de carbon, raționament care face referire în special la principiul responsabilităților comune, dar diferențiate, enunțat în UNFCCC și în Acordul de la Paris (hotărârea </w:t>
      </w:r>
      <w:r w:rsidR="00F524A5">
        <w:rPr>
          <w:i/>
        </w:rPr>
        <w:t>Neubauer și alții</w:t>
      </w:r>
      <w:r w:rsidR="00F524A5">
        <w:t>, pct. 215-229, citată supra, pct. </w:t>
      </w:r>
      <w:r w:rsidR="00F524A5" w:rsidRPr="00472687">
        <w:fldChar w:fldCharType="begin"/>
      </w:r>
      <w:r w:rsidR="00F524A5" w:rsidRPr="00472687">
        <w:instrText xml:space="preserve"> REF paragraph00254 \h  \* CharFormat </w:instrText>
      </w:r>
      <w:r w:rsidR="00F524A5" w:rsidRPr="00472687">
        <w:fldChar w:fldCharType="separate"/>
      </w:r>
      <w:r w:rsidR="00F524A5" w:rsidRPr="00472687">
        <w:t>254</w:t>
      </w:r>
      <w:r w:rsidR="00F524A5" w:rsidRPr="00472687">
        <w:fldChar w:fldCharType="end"/>
      </w:r>
      <w:r w:rsidR="00F524A5">
        <w:t>).</w:t>
      </w:r>
      <w:bookmarkEnd w:id="992"/>
      <w:r w:rsidR="00F524A5">
        <w:t xml:space="preserve"> </w:t>
      </w:r>
      <w:bookmarkStart w:id="993" w:name="lt_pId4364"/>
      <w:r w:rsidR="00F524A5">
        <w:t>În fapt,  acest principiu impune statelor să acționeze cu respectarea echității și în funcție de capacitățile lor respective.</w:t>
      </w:r>
      <w:bookmarkEnd w:id="993"/>
      <w:r w:rsidR="00F524A5">
        <w:t xml:space="preserve"> </w:t>
      </w:r>
      <w:bookmarkStart w:id="994" w:name="lt_pId4365"/>
      <w:r w:rsidR="00F524A5">
        <w:t>Astfel, de exemplu, este util, în scop comparativ, să se constate că Legea europeană a climei prevede stabilirea unor bugete orientative privind GES (supra, pct. </w:t>
      </w:r>
      <w:r w:rsidR="00F524A5" w:rsidRPr="00472687">
        <w:fldChar w:fldCharType="begin"/>
      </w:r>
      <w:r w:rsidR="00F524A5" w:rsidRPr="00472687">
        <w:instrText xml:space="preserve">REF paragraph00211 \h \* CharFormat </w:instrText>
      </w:r>
      <w:r w:rsidR="00F524A5" w:rsidRPr="00472687">
        <w:fldChar w:fldCharType="separate"/>
      </w:r>
      <w:r w:rsidR="00F524A5" w:rsidRPr="00472687">
        <w:t>211</w:t>
      </w:r>
      <w:r w:rsidR="00F524A5" w:rsidRPr="00472687">
        <w:fldChar w:fldCharType="end"/>
      </w:r>
      <w:r w:rsidR="00F524A5">
        <w:t>).</w:t>
      </w:r>
      <w:bookmarkEnd w:id="994"/>
    </w:p>
    <w:bookmarkStart w:id="995" w:name="paragraph00572"/>
    <w:p w:rsidR="00F524A5" w:rsidRPr="00472687" w:rsidRDefault="00F524A5" w:rsidP="00F524A5">
      <w:pPr>
        <w:pStyle w:val="JuPara"/>
      </w:pPr>
      <w:r w:rsidRPr="00472687">
        <w:lastRenderedPageBreak/>
        <w:fldChar w:fldCharType="begin"/>
      </w:r>
      <w:r w:rsidRPr="00472687">
        <w:instrText xml:space="preserve"> SEQ level0 \*arabic \* MERGEFORMAT </w:instrText>
      </w:r>
      <w:r w:rsidRPr="00472687">
        <w:fldChar w:fldCharType="separate"/>
      </w:r>
      <w:r w:rsidRPr="00472687">
        <w:t>572</w:t>
      </w:r>
      <w:r w:rsidRPr="00472687">
        <w:fldChar w:fldCharType="end"/>
      </w:r>
      <w:bookmarkEnd w:id="995"/>
      <w:r>
        <w:t xml:space="preserve">. </w:t>
      </w:r>
      <w:bookmarkStart w:id="996" w:name="lt_pId4366"/>
      <w:bookmarkStart w:id="997" w:name="lt_pId4367"/>
      <w:bookmarkEnd w:id="996"/>
      <w:r>
        <w:t>În aceste condiții, deși recunoaște că măsurile și metodele adoptate de stat pentru a defini cu precizie politica sa climatică se încadrează în marja largă de apreciere de care beneficiază statul pârât, Curtea apreciază că este dificil să admită că, în lipsa oricărei măsuri interne în vederea cuantificării bugetului său de carbon rămas, se poate considera că acesta și-a respectat în mod efectiv obligația în materie de reglementare care îi revine în temeiul art. 8 din Convenție (supra, pct. </w:t>
      </w:r>
      <w:r w:rsidRPr="00472687">
        <w:fldChar w:fldCharType="begin"/>
      </w:r>
      <w:r w:rsidRPr="00472687">
        <w:instrText xml:space="preserve"> REF paragraph00550 \h  \* CharFormat </w:instrText>
      </w:r>
      <w:r w:rsidRPr="00472687">
        <w:fldChar w:fldCharType="separate"/>
      </w:r>
      <w:r w:rsidRPr="00472687">
        <w:t>550</w:t>
      </w:r>
      <w:r w:rsidRPr="00472687">
        <w:fldChar w:fldCharType="end"/>
      </w:r>
      <w:r>
        <w:t>).</w:t>
      </w:r>
      <w:bookmarkEnd w:id="997"/>
    </w:p>
    <w:p w:rsidR="00F524A5" w:rsidRPr="00472687" w:rsidRDefault="00F524A5" w:rsidP="00F524A5">
      <w:pPr>
        <w:pStyle w:val="JuHi"/>
        <w:numPr>
          <w:ilvl w:val="5"/>
          <w:numId w:val="18"/>
        </w:numPr>
        <w:tabs>
          <w:tab w:val="clear" w:pos="1077"/>
          <w:tab w:val="clear" w:pos="1134"/>
          <w:tab w:val="clear" w:pos="1191"/>
          <w:tab w:val="clear" w:pos="1247"/>
        </w:tabs>
        <w:ind w:left="1276" w:hanging="425"/>
      </w:pPr>
      <w:bookmarkStart w:id="998" w:name="_Toc199273579"/>
      <w:r>
        <w:t>Concluzie</w:t>
      </w:r>
      <w:bookmarkEnd w:id="998"/>
    </w:p>
    <w:bookmarkStart w:id="999" w:name="paragraph00573"/>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573</w:t>
      </w:r>
      <w:r w:rsidRPr="00472687">
        <w:fldChar w:fldCharType="end"/>
      </w:r>
      <w:bookmarkEnd w:id="999"/>
      <w:r>
        <w:t>. În concluzie, procesul de instituire de către autoritățile elvețiene a cadrului de reglementare intern relevant a implicat deficiențe grave, inclusiv necuantificarea de către autoritățile elvețiene, prin intermediul unui buget de carbon sau în alt mod, a limitelor naționale aplicabile emisiilor de GES. În plus, Curtea a observat că, astfel cum au recunoscut</w:t>
      </w:r>
      <w:r>
        <w:rPr>
          <w:b/>
        </w:rPr>
        <w:t xml:space="preserve"> </w:t>
      </w:r>
      <w:r>
        <w:t>autoritățile competente, statul nu și-a atins obiectivele anterioare de reducere a emisiilor de GES (supra, pct. </w:t>
      </w:r>
      <w:r w:rsidRPr="00472687">
        <w:fldChar w:fldCharType="begin"/>
      </w:r>
      <w:r w:rsidRPr="00472687">
        <w:instrText xml:space="preserve">REF paragraph00558 \h \* CharFormat  \* MERGEFORMAT </w:instrText>
      </w:r>
      <w:r w:rsidRPr="00472687">
        <w:fldChar w:fldCharType="separate"/>
      </w:r>
      <w:r w:rsidRPr="00472687">
        <w:t>558</w:t>
      </w:r>
      <w:r w:rsidRPr="00472687">
        <w:fldChar w:fldCharType="end"/>
      </w:r>
      <w:r>
        <w:t>-</w:t>
      </w:r>
      <w:r w:rsidRPr="00472687">
        <w:fldChar w:fldCharType="begin"/>
      </w:r>
      <w:r w:rsidRPr="00472687">
        <w:instrText xml:space="preserve">REF paragraph00559 \h \* CharFormat  \* MERGEFORMAT </w:instrText>
      </w:r>
      <w:r w:rsidRPr="00472687">
        <w:fldChar w:fldCharType="separate"/>
      </w:r>
      <w:r w:rsidRPr="00472687">
        <w:t>559</w:t>
      </w:r>
      <w:r w:rsidRPr="00472687">
        <w:fldChar w:fldCharType="end"/>
      </w:r>
      <w:r>
        <w:t>). Ca urmare a faptului că nu a acționat în timp util, într-un mod adecvat și consecvent în vederea conceperii, dezvoltării și punerii în aplicare a cadrului legislativ și de reglementare relevant, statul pârât a depășit limitele marjei sale de apreciere și nu și-a îndeplinit obligațiile pozitive care îi reveneau în acest domeniu.</w:t>
      </w:r>
    </w:p>
    <w:bookmarkStart w:id="1000" w:name="paragraph0057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574</w:t>
      </w:r>
      <w:r w:rsidRPr="00472687">
        <w:fldChar w:fldCharType="end"/>
      </w:r>
      <w:bookmarkEnd w:id="1000"/>
      <w:r>
        <w:t>. Constatările precedente îi sunt suficiente Curții pentru a concluziona că a fost încălcat art. 8 din Convenție.</w:t>
      </w:r>
    </w:p>
    <w:p w:rsidR="00F524A5" w:rsidRPr="00472687" w:rsidRDefault="00F524A5" w:rsidP="00F524A5">
      <w:pPr>
        <w:pStyle w:val="JuHIRoman"/>
        <w:numPr>
          <w:ilvl w:val="1"/>
          <w:numId w:val="19"/>
        </w:numPr>
        <w:ind w:left="426" w:hanging="426"/>
      </w:pPr>
      <w:bookmarkStart w:id="1001" w:name="_Toc149127534"/>
      <w:bookmarkStart w:id="1002" w:name="_Toc158019712"/>
      <w:bookmarkStart w:id="1003" w:name="_Toc199273580"/>
      <w:r>
        <w:t>CU PRIVIRE LA PRETINSA ÎNCĂLCARE A ART. 6 § 1 DIN CONVENȚIE</w:t>
      </w:r>
      <w:bookmarkEnd w:id="1001"/>
      <w:bookmarkEnd w:id="1002"/>
      <w:bookmarkEnd w:id="1003"/>
    </w:p>
    <w:p w:rsidR="00F524A5" w:rsidRPr="00472687" w:rsidRDefault="00FD3281" w:rsidP="00F524A5">
      <w:pPr>
        <w:pStyle w:val="JuPara"/>
      </w:pPr>
      <w:r>
        <w:fldChar w:fldCharType="begin"/>
      </w:r>
      <w:r>
        <w:instrText xml:space="preserve"> SEQ level0 \*arabic </w:instrText>
      </w:r>
      <w:r>
        <w:fldChar w:fldCharType="separate"/>
      </w:r>
      <w:r w:rsidR="00F524A5" w:rsidRPr="00472687">
        <w:t>575</w:t>
      </w:r>
      <w:r>
        <w:fldChar w:fldCharType="end"/>
      </w:r>
      <w:r w:rsidR="00F524A5">
        <w:t>. Reclamantele susțin că nu au avut acces la o instanță, în sensul art. 6 § 1 din Convenție, pentru a se plânge de neîndeplinirea de către stat a obligației sale de a adopta măsurile necesare pentru a acționa asupra efectelor nefaste ale schimbărilor climatice.</w:t>
      </w:r>
    </w:p>
    <w:p w:rsidR="00F524A5" w:rsidRPr="00472687" w:rsidRDefault="00FD3281" w:rsidP="00F524A5">
      <w:pPr>
        <w:pStyle w:val="JuPara"/>
      </w:pPr>
      <w:r>
        <w:fldChar w:fldCharType="begin"/>
      </w:r>
      <w:r>
        <w:instrText xml:space="preserve"> SEQ level0 \*arabic </w:instrText>
      </w:r>
      <w:r>
        <w:fldChar w:fldCharType="separate"/>
      </w:r>
      <w:r w:rsidR="00F524A5" w:rsidRPr="00472687">
        <w:t>576</w:t>
      </w:r>
      <w:r>
        <w:fldChar w:fldCharType="end"/>
      </w:r>
      <w:r w:rsidR="00F524A5">
        <w:t>. Partea relevantă a art. 6 § 1 din Convenție are următorul cuprins:</w:t>
      </w:r>
    </w:p>
    <w:p w:rsidR="00F524A5" w:rsidRPr="00472687" w:rsidRDefault="00F524A5" w:rsidP="00F524A5">
      <w:pPr>
        <w:pStyle w:val="JuQuot"/>
        <w:rPr>
          <w:b/>
          <w:bCs/>
        </w:rPr>
      </w:pPr>
      <w:r>
        <w:t>„Orice persoană are dreptul la judecarea în mod echitabil [...] a cauzei sale, de către o instanță [...], care va hotărî [...] asupra încălcării drepturilor și obligațiilor sale cu caracter civil [...] ”</w:t>
      </w:r>
    </w:p>
    <w:p w:rsidR="00F524A5" w:rsidRPr="00472687" w:rsidRDefault="00F524A5" w:rsidP="00F524A5">
      <w:pPr>
        <w:pStyle w:val="JuHA"/>
        <w:numPr>
          <w:ilvl w:val="2"/>
          <w:numId w:val="22"/>
        </w:numPr>
        <w:tabs>
          <w:tab w:val="num" w:pos="567"/>
        </w:tabs>
        <w:ind w:left="567" w:hanging="425"/>
      </w:pPr>
      <w:bookmarkStart w:id="1004" w:name="_Toc158019713"/>
      <w:bookmarkStart w:id="1005" w:name="_Toc199273581"/>
      <w:r>
        <w:t>Argumentele părților</w:t>
      </w:r>
      <w:bookmarkEnd w:id="1004"/>
      <w:bookmarkEnd w:id="1005"/>
    </w:p>
    <w:p w:rsidR="00F524A5" w:rsidRPr="00472687" w:rsidRDefault="00F524A5" w:rsidP="00F524A5">
      <w:pPr>
        <w:pStyle w:val="JuH1"/>
        <w:numPr>
          <w:ilvl w:val="3"/>
          <w:numId w:val="18"/>
        </w:numPr>
        <w:ind w:left="709" w:hanging="360"/>
      </w:pPr>
      <w:bookmarkStart w:id="1006" w:name="_Toc199273582"/>
      <w:r>
        <w:t>Reclamantele</w:t>
      </w:r>
      <w:bookmarkEnd w:id="1006"/>
    </w:p>
    <w:p w:rsidR="00F524A5" w:rsidRPr="00472687" w:rsidRDefault="00FD3281" w:rsidP="00F524A5">
      <w:pPr>
        <w:pStyle w:val="JuPara"/>
      </w:pPr>
      <w:r>
        <w:fldChar w:fldCharType="begin"/>
      </w:r>
      <w:r>
        <w:instrText xml:space="preserve"> SEQ level0 \*arabic </w:instrText>
      </w:r>
      <w:r>
        <w:fldChar w:fldCharType="separate"/>
      </w:r>
      <w:r w:rsidR="00F524A5" w:rsidRPr="00472687">
        <w:t>577</w:t>
      </w:r>
      <w:r>
        <w:fldChar w:fldCharType="end"/>
      </w:r>
      <w:r w:rsidR="00F524A5">
        <w:t>. Reclamantele consideră că accesul la o instanță este crucial în cauzele referitoare la schimbările climatice.</w:t>
      </w:r>
      <w:r w:rsidR="00F524A5">
        <w:rPr>
          <w:rFonts w:ascii="Segoe UI" w:hAnsi="Segoe UI"/>
          <w:color w:val="000000"/>
        </w:rPr>
        <w:t xml:space="preserve"> </w:t>
      </w:r>
      <w:r w:rsidR="00F524A5">
        <w:t>În opinia lor, faptul că au participat la procedura internă le conferă, fără îndoială, calitatea de victimă în privința capătului de cerere formulat de acestea în temeiul art. 6 § 1 din Convenție.</w:t>
      </w:r>
      <w:r w:rsidR="00F524A5">
        <w:rPr>
          <w:rFonts w:ascii="Segoe UI" w:hAnsi="Segoe UI"/>
          <w:color w:val="000000"/>
        </w:rPr>
        <w:t xml:space="preserve"> </w:t>
      </w:r>
      <w:r w:rsidR="00F524A5">
        <w:t xml:space="preserve">Acestea consideră de asemenea că, în speță, latura civilă a art. 6 este </w:t>
      </w:r>
      <w:r w:rsidR="00F524A5">
        <w:lastRenderedPageBreak/>
        <w:t>aplicabilă și, în special, că protecția integrității fizice constituie un „drept cu caracter civil” în sensul art. 6.</w:t>
      </w:r>
      <w:r w:rsidR="00F524A5">
        <w:rPr>
          <w:rFonts w:ascii="Segoe UI" w:hAnsi="Segoe UI"/>
          <w:color w:val="000000"/>
        </w:rPr>
        <w:t xml:space="preserve"> </w:t>
      </w:r>
      <w:r w:rsidR="00F524A5">
        <w:t>Acestea declară că contestația în cauză privește dreptul la viață, garantat de articolul 10 § 1 din Constituția Elveției, precum și drepturile protejate de art. 2 și 8 din Convenție (care, în opinia lor, au o bază legală în dreptul intern), în contextul aplicării necorespunzătoare a Legii privind emisiile de CO</w:t>
      </w:r>
      <w:r w:rsidR="00F524A5">
        <w:rPr>
          <w:vertAlign w:val="subscript"/>
        </w:rPr>
        <w:t>2</w:t>
      </w:r>
      <w:r w:rsidR="00F524A5">
        <w:t xml:space="preserve"> și al unor obiective climatice insuficiente.</w:t>
      </w:r>
      <w:r w:rsidR="00F524A5">
        <w:rPr>
          <w:rFonts w:ascii="Segoe UI" w:hAnsi="Segoe UI"/>
          <w:color w:val="000000"/>
        </w:rPr>
        <w:t xml:space="preserve"> </w:t>
      </w:r>
      <w:r w:rsidR="00F524A5">
        <w:t>În opinia lor, contestația în discuție privește întinderea drepturilor menționate.</w:t>
      </w:r>
    </w:p>
    <w:p w:rsidR="00F524A5" w:rsidRPr="00472687" w:rsidRDefault="00C71855" w:rsidP="00F524A5">
      <w:pPr>
        <w:pStyle w:val="JuPara"/>
      </w:pPr>
      <w:fldSimple w:instr=" SEQ level0 \*arabic \* MERGEFORMAT ">
        <w:r w:rsidR="00F524A5" w:rsidRPr="00472687">
          <w:t>578</w:t>
        </w:r>
      </w:fldSimple>
      <w:r w:rsidR="00F524A5">
        <w:t>. Reclamantele consideră că această contestație este reală și serioasă și că rezultatul procedurii este în mod direct decisiv pentru drepturile în cauză.</w:t>
      </w:r>
      <w:r w:rsidR="00F524A5">
        <w:rPr>
          <w:rFonts w:ascii="Segoe UI" w:hAnsi="Segoe UI"/>
          <w:color w:val="000000"/>
        </w:rPr>
        <w:t xml:space="preserve"> </w:t>
      </w:r>
      <w:r w:rsidR="00F524A5">
        <w:t>Acestea afirmă că există o legătură clară, așadar mai mult decât o legătură slabă sau consecințe îndepărtate, între drepturile invocate, pe de o parte, și reducerea emisiilor de GES (rezultatul preconizat al procedurii), pe de altă parte.</w:t>
      </w:r>
      <w:r w:rsidR="00F524A5">
        <w:rPr>
          <w:rFonts w:ascii="Segoe UI" w:hAnsi="Segoe UI"/>
          <w:color w:val="000000"/>
        </w:rPr>
        <w:t xml:space="preserve"> </w:t>
      </w:r>
      <w:r w:rsidR="00F524A5">
        <w:t>Precizează că, în cadrul procedurii interne, au solicitat emiterea unui ordin prin care statul pârât să fie obligat să ia măsurile necesare pentru a face față pericolelor schimbărilor climatice.</w:t>
      </w:r>
      <w:r w:rsidR="00F524A5">
        <w:rPr>
          <w:rFonts w:ascii="Segoe UI" w:hAnsi="Segoe UI"/>
          <w:color w:val="000000"/>
        </w:rPr>
        <w:t xml:space="preserve"> </w:t>
      </w:r>
      <w:r w:rsidR="00F524A5">
        <w:t>Adaugă că acest lucru ar fi mers mână în mână cu o reducere a emisiilor de GES și a valurilor de căldură asociate acestor emisii, o chestiune care, în opinia lor, are o legătură evidentă cu protecția drepturilor lor.</w:t>
      </w:r>
      <w:r w:rsidR="00F524A5">
        <w:rPr>
          <w:rFonts w:ascii="Segoe UI" w:hAnsi="Segoe UI"/>
          <w:color w:val="000000"/>
        </w:rPr>
        <w:t xml:space="preserve"> </w:t>
      </w:r>
      <w:r w:rsidR="00F524A5">
        <w:t>Reclamantele declară că, în cursul procedurii interne, nu s-au limitat la a se plânge de consecințe ipotetice pentru mediu și pentru sănătatea umană, ci au evidențiat și riscurile concrete pentru sănătate care decurg din emisiile excesive de GES, riscuri la care acestea susțin că sunt expuse, în calitate de membre ale unui grup deosebit de vulnerabil, și care, în opinia lor, s-au materializat în cazul unora dintre reclamante. Astfel, potrivit reclamantelor, rezultatul procedurii interne privea însăși substanța dreptului lor la viață și a dreptului lor la respectarea vieții private.</w:t>
      </w:r>
    </w:p>
    <w:p w:rsidR="00F524A5" w:rsidRPr="00472687" w:rsidRDefault="00C71855" w:rsidP="00F524A5">
      <w:pPr>
        <w:pStyle w:val="JuPara"/>
      </w:pPr>
      <w:fldSimple w:instr=" SEQ level0 \*arabic \* MERGEFORMAT ">
        <w:r w:rsidR="00F524A5" w:rsidRPr="00472687">
          <w:t>579</w:t>
        </w:r>
      </w:fldSimple>
      <w:r w:rsidR="00F524A5">
        <w:t>. Reclamantele afirmă că nu au dispus de o cale de atac jurisdicțională efectivă pentru a-și valorifica drepturile cu caracter civil.</w:t>
      </w:r>
      <w:r w:rsidR="00F524A5">
        <w:rPr>
          <w:rFonts w:ascii="Segoe UI" w:hAnsi="Segoe UI"/>
          <w:color w:val="000000"/>
        </w:rPr>
        <w:t xml:space="preserve"> </w:t>
      </w:r>
      <w:r w:rsidR="00F524A5">
        <w:t>Acestea arată că autoritățile interne au declarat cererile lor inadmisibile, precizând că nu aveau calitate procesuală în temeiul articolului 25a din LPA, și că instanțele naționale au confirmat această decizie.</w:t>
      </w:r>
      <w:r w:rsidR="00F524A5">
        <w:rPr>
          <w:rFonts w:ascii="Segoe UI" w:hAnsi="Segoe UI"/>
          <w:color w:val="000000"/>
        </w:rPr>
        <w:t xml:space="preserve"> </w:t>
      </w:r>
      <w:r w:rsidR="00F524A5">
        <w:t>Potrivit reclamantelor, instanțele respective nu au examinat cererea lor sau au examinat-o doar în mod arbitrar.</w:t>
      </w:r>
      <w:r w:rsidR="00F524A5">
        <w:rPr>
          <w:rFonts w:ascii="Segoe UI" w:hAnsi="Segoe UI"/>
          <w:color w:val="000000"/>
        </w:rPr>
        <w:t xml:space="preserve"> </w:t>
      </w:r>
      <w:r w:rsidR="00F524A5">
        <w:t>Mai precis, niciuna dintre instanțele în cauză nu ar fi analizat pe fond și în mod efectiv probleme cruciale precum cele referitoare la vulnerabilitatea reclamantelor în fața valurilor de căldură extremă, la prejudiciul care rezultă pentru reclamantele nr. 2-5 din afecțiunile, legate de căldură, de care sufereau, precum și la cadrul legislativ și administrativ necesar pentru protecția drepturilor persoanelor interesate la viață și la respectarea vieții lor de familie și private.</w:t>
      </w:r>
    </w:p>
    <w:p w:rsidR="00F524A5" w:rsidRPr="00472687" w:rsidRDefault="00C71855" w:rsidP="00F524A5">
      <w:pPr>
        <w:pStyle w:val="JuPara"/>
      </w:pPr>
      <w:fldSimple w:instr=" SEQ level0 \*arabic \* MERGEFORMAT ">
        <w:r w:rsidR="00F524A5" w:rsidRPr="00472687">
          <w:t>580</w:t>
        </w:r>
      </w:fldSimple>
      <w:r w:rsidR="00F524A5">
        <w:t>. Reclamantele apreciază că instanțele interne au aplicat cerințele privind calitatea procesuală în mod arbitrar și vădit nerezonabil, aducând atingere substanței înseși a dreptului lor de acces la o instanță.</w:t>
      </w:r>
      <w:r w:rsidR="00F524A5">
        <w:rPr>
          <w:rFonts w:ascii="Segoe UI" w:hAnsi="Segoe UI"/>
          <w:color w:val="000000"/>
        </w:rPr>
        <w:t xml:space="preserve"> </w:t>
      </w:r>
      <w:r w:rsidR="00F524A5">
        <w:t>Afirmă că aprecierea TAF, potrivit căreia acestea nu erau afectate „în mod deosebit” de efectele schimbărilor climatice, este în mod evident contrară celor mai bune date științifice disponibile și certificatelor medicale prezentate de acestea.</w:t>
      </w:r>
      <w:r w:rsidR="00F524A5">
        <w:rPr>
          <w:rFonts w:ascii="Segoe UI" w:hAnsi="Segoe UI"/>
          <w:color w:val="000000"/>
        </w:rPr>
        <w:t xml:space="preserve"> </w:t>
      </w:r>
      <w:r w:rsidR="00F524A5">
        <w:lastRenderedPageBreak/>
        <w:t>Adaugă că concluzia TF, potrivit căreia încă mai este timp pentru a combate pericolele schimbărilor climatice, este arbitrară și în contradicție cu toate dovezile științifice. Apreciază că această concluzie este rezultatul stabilirii faptelor de către judecătorii înșiși, fără implicarea oamenilor de știință (specializați în climatologie), în pofida faptului că, potrivit acestora, funcția de instanță de apel a TF se limitează, în mod normal, la examinarea încălcărilor legii.</w:t>
      </w:r>
      <w:r w:rsidR="00F524A5">
        <w:rPr>
          <w:rFonts w:ascii="Segoe UI" w:hAnsi="Segoe UI"/>
          <w:color w:val="000000"/>
        </w:rPr>
        <w:t xml:space="preserve"> </w:t>
      </w:r>
      <w:r w:rsidR="00F524A5">
        <w:t>Acestea consideră că, în orice caz, concluzia TF se întemeiază pe o premisă eronată și este vădit nerezonabilă.</w:t>
      </w:r>
    </w:p>
    <w:p w:rsidR="00F524A5" w:rsidRPr="00472687" w:rsidRDefault="00C71855" w:rsidP="00F524A5">
      <w:pPr>
        <w:pStyle w:val="JuPara"/>
      </w:pPr>
      <w:fldSimple w:instr=" SEQ level0 \*arabic \* MERGEFORMAT ">
        <w:r w:rsidR="00F524A5" w:rsidRPr="00472687">
          <w:t>581</w:t>
        </w:r>
      </w:fldSimple>
      <w:r w:rsidR="00F524A5">
        <w:t>. Reclamantele subliniază de asemenea că instanțele naționale au aplicat în mod disproporționat cerințele privind calitatea procesuală; astfel, persoanele interesate apreciază că instanțele sunt obligate să țină seama de natura drepturilor implicate și că, potrivit interpretării pe care au dat-o cerințelor în discuție, acțiunile și omisiunile statului în ceea ce privește combaterea schimbărilor climatice sunt excluse complet din domeniul de aplicare al legislației privind drepturile omului.</w:t>
      </w:r>
      <w:r w:rsidR="00F524A5">
        <w:rPr>
          <w:rFonts w:ascii="Segoe UI" w:hAnsi="Segoe UI"/>
          <w:color w:val="000000"/>
        </w:rPr>
        <w:t xml:space="preserve"> </w:t>
      </w:r>
      <w:r w:rsidR="00F524A5">
        <w:t>Reclamantele consideră că aceasta este o consecință inacceptabilă, având în vedere amploarea amenințării reprezentate de schimbările climatice și practica urmată în litigiile similare în materie de mediu.</w:t>
      </w:r>
      <w:r w:rsidR="00F524A5">
        <w:rPr>
          <w:rFonts w:ascii="Segoe UI" w:hAnsi="Segoe UI"/>
          <w:color w:val="000000"/>
        </w:rPr>
        <w:t xml:space="preserve"> </w:t>
      </w:r>
      <w:r w:rsidR="00F524A5">
        <w:t>În plus, în opinia acestora, aplicarea de către instanțele interne a normelor privind calitatea procesuală este arbitrară și incompatibilă cu angajamentele asumate de statul pârât în temeiul Convenției de la Aarhus.</w:t>
      </w:r>
    </w:p>
    <w:p w:rsidR="00F524A5" w:rsidRPr="00472687" w:rsidRDefault="00F524A5" w:rsidP="00F524A5">
      <w:pPr>
        <w:pStyle w:val="JuH1"/>
        <w:numPr>
          <w:ilvl w:val="3"/>
          <w:numId w:val="18"/>
        </w:numPr>
        <w:ind w:left="709" w:hanging="360"/>
      </w:pPr>
      <w:bookmarkStart w:id="1007" w:name="_Toc199273583"/>
      <w:r>
        <w:t>Guvernul</w:t>
      </w:r>
      <w:bookmarkEnd w:id="1007"/>
    </w:p>
    <w:bookmarkStart w:id="1008" w:name="paragraph00583"/>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582</w:t>
      </w:r>
      <w:r w:rsidRPr="00472687">
        <w:fldChar w:fldCharType="end"/>
      </w:r>
      <w:bookmarkEnd w:id="1008"/>
      <w:r>
        <w:t>. Guvernul afirmă, pentru motivele expuse mai sus (pct. </w:t>
      </w:r>
      <w:r w:rsidRPr="00472687">
        <w:fldChar w:fldCharType="begin"/>
      </w:r>
      <w:r w:rsidRPr="00472687">
        <w:instrText xml:space="preserve">REF paragraph00340 \h \* CharFormat </w:instrText>
      </w:r>
      <w:r w:rsidRPr="00472687">
        <w:fldChar w:fldCharType="separate"/>
      </w:r>
      <w:r w:rsidRPr="00472687">
        <w:t>340</w:t>
      </w:r>
      <w:r w:rsidRPr="00472687">
        <w:fldChar w:fldCharType="end"/>
      </w:r>
      <w:r>
        <w:t>-</w:t>
      </w:r>
      <w:r w:rsidRPr="00472687">
        <w:fldChar w:fldCharType="begin"/>
      </w:r>
      <w:r w:rsidRPr="00472687">
        <w:instrText xml:space="preserve">REF paragraph00341 \h \* CharFormat </w:instrText>
      </w:r>
      <w:r w:rsidRPr="00472687">
        <w:fldChar w:fldCharType="separate"/>
      </w:r>
      <w:r w:rsidRPr="00472687">
        <w:t>341</w:t>
      </w:r>
      <w:r w:rsidRPr="00472687">
        <w:fldChar w:fldCharType="end"/>
      </w:r>
      <w:r>
        <w:t>) cu privire la calitatea de victimă a asociației reclamante în temeiul dispozițiilor materiale (art. 2 și 8 din Convenție), că nici asociația reclamantă nu poate fi considerată ca având calitatea de victimă în temeiul art. 6 § 1 din Convenție.</w:t>
      </w:r>
      <w:r>
        <w:rPr>
          <w:rFonts w:ascii="Segoe UI" w:hAnsi="Segoe UI"/>
          <w:color w:val="000000"/>
        </w:rPr>
        <w:t xml:space="preserve"> </w:t>
      </w:r>
      <w:r>
        <w:t>Pe de altă parte, Guvernul nu contestă faptul că reclamantele nr. 2-5 se pot prevala de calitatea de victimă în temeiul acestei din urmă dispoziții.</w:t>
      </w:r>
    </w:p>
    <w:bookmarkStart w:id="1009" w:name="paragraph0058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583</w:t>
      </w:r>
      <w:r w:rsidRPr="00472687">
        <w:fldChar w:fldCharType="end"/>
      </w:r>
      <w:bookmarkEnd w:id="1009"/>
      <w:r>
        <w:t>. Întemeindu-se pe concluziile instanțelor naționale, Guvernul susține că reclamantele nu au suferit o încălcare de intensitatea necesară a drepturilor</w:t>
      </w:r>
      <w:r>
        <w:rPr>
          <w:b/>
        </w:rPr>
        <w:t xml:space="preserve"> </w:t>
      </w:r>
      <w:r>
        <w:t>lor care decurg din articolul 10 § 1 din Constituție și din art. 2 și 8 din Convenție pentru a putea să invoce calitatea de victimă în sensul art. 34 din Convenție.</w:t>
      </w:r>
      <w:r>
        <w:rPr>
          <w:rFonts w:ascii="Segoe UI" w:hAnsi="Segoe UI"/>
          <w:color w:val="000000"/>
        </w:rPr>
        <w:t xml:space="preserve"> </w:t>
      </w:r>
      <w:r>
        <w:t xml:space="preserve">În opinia Guvernului, cererea lor era, prin natura sa, o </w:t>
      </w:r>
      <w:r>
        <w:rPr>
          <w:i/>
        </w:rPr>
        <w:t>actio popularis</w:t>
      </w:r>
      <w:r>
        <w:t xml:space="preserve"> și acestea nu pot susține, în mod întemeiat, că exista o contestație cu privire la un drept recunoscut prin legislația internă.</w:t>
      </w:r>
      <w:r>
        <w:rPr>
          <w:rFonts w:ascii="Segoe UI" w:hAnsi="Segoe UI"/>
          <w:color w:val="000000"/>
        </w:rPr>
        <w:t xml:space="preserve"> </w:t>
      </w:r>
      <w:r>
        <w:t>În plus, potrivit Guvernului, nici Constituția Elveției și nici o altă reglementare a acestui stat nu recunoaște dreptul la un mediu curat, sănătos și durabil.</w:t>
      </w:r>
    </w:p>
    <w:bookmarkStart w:id="1010" w:name="paragraph0058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584</w:t>
      </w:r>
      <w:r w:rsidRPr="00472687">
        <w:fldChar w:fldCharType="end"/>
      </w:r>
      <w:bookmarkEnd w:id="1010"/>
      <w:r>
        <w:t>. Guvernul consideră, de asemenea, că reclamantele nu au stabilit existența unei legături suficiente între pretinsele omisiuni și drepturile invocate.</w:t>
      </w:r>
      <w:r>
        <w:rPr>
          <w:rFonts w:ascii="Segoe UI" w:hAnsi="Segoe UI"/>
          <w:color w:val="000000"/>
        </w:rPr>
        <w:t xml:space="preserve"> </w:t>
      </w:r>
      <w:r>
        <w:t>În plus, în opinia sa, acestea nu au demonstrat existența unei amenințări serioase și iminente la adresa drepturilor invocate, iar acțiunile solicitate nu erau de natură să contribuie imediat la reducerea emisiilor de CO</w:t>
      </w:r>
      <w:r>
        <w:rPr>
          <w:vertAlign w:val="subscript"/>
        </w:rPr>
        <w:t>2</w:t>
      </w:r>
      <w:r>
        <w:t xml:space="preserve"> în Elveția.</w:t>
      </w:r>
      <w:r>
        <w:rPr>
          <w:rFonts w:ascii="Segoe UI" w:hAnsi="Segoe UI"/>
          <w:color w:val="000000"/>
        </w:rPr>
        <w:t xml:space="preserve"> </w:t>
      </w:r>
      <w:r>
        <w:t xml:space="preserve">În consecință, nici amenințarea în cauză, nici acțiunile </w:t>
      </w:r>
      <w:r>
        <w:lastRenderedPageBreak/>
        <w:t>solicitate nu prezintă un grad de probabilitate de natură să facă soluția litigiului în mod direct decisivă pentru drepturile invocate de persoanele interesate.</w:t>
      </w:r>
      <w:r>
        <w:rPr>
          <w:rFonts w:ascii="Segoe UI" w:hAnsi="Segoe UI"/>
          <w:color w:val="000000"/>
        </w:rPr>
        <w:t xml:space="preserve"> </w:t>
      </w:r>
      <w:r>
        <w:t>Legătura dintre pretinsele omisiuni și drepturile invocate de reclamante este așadar prea slabă și îndepărtată.</w:t>
      </w:r>
    </w:p>
    <w:p w:rsidR="00F524A5" w:rsidRPr="00472687" w:rsidRDefault="00C71855" w:rsidP="00F524A5">
      <w:pPr>
        <w:pStyle w:val="JuPara"/>
      </w:pPr>
      <w:fldSimple w:instr=" SEQ level0 \*arabic \* MERGEFORMAT ">
        <w:r w:rsidR="00F524A5" w:rsidRPr="00472687">
          <w:t>585</w:t>
        </w:r>
      </w:fldSimple>
      <w:r w:rsidR="00F524A5">
        <w:t>. În speță, reclamantele au încercat, în realitate, să obțină înlocuirea Legii privind emisiile de CO</w:t>
      </w:r>
      <w:r w:rsidR="00F524A5">
        <w:rPr>
          <w:vertAlign w:val="subscript"/>
        </w:rPr>
        <w:t>2</w:t>
      </w:r>
      <w:r w:rsidR="00F524A5">
        <w:t xml:space="preserve"> cu o lege care să prevadă măsuri mai stricte.</w:t>
      </w:r>
      <w:r w:rsidR="00F524A5">
        <w:rPr>
          <w:rFonts w:ascii="Segoe UI" w:hAnsi="Segoe UI"/>
          <w:color w:val="000000"/>
        </w:rPr>
        <w:t xml:space="preserve"> </w:t>
      </w:r>
      <w:r w:rsidR="00F524A5">
        <w:t>Prin urmare, obiectul procedurii în cauză l-a constituit interesul general de protejare a climei, iar nu o contestare a unui drept cu caracter civil al reclamantelor.</w:t>
      </w:r>
      <w:r w:rsidR="00F524A5">
        <w:rPr>
          <w:rFonts w:ascii="Segoe UI" w:hAnsi="Segoe UI"/>
          <w:color w:val="000000"/>
        </w:rPr>
        <w:t xml:space="preserve"> </w:t>
      </w:r>
      <w:r w:rsidR="00F524A5">
        <w:t>Așadar, Guvernul consideră că art. 6 nu este aplicabil.</w:t>
      </w:r>
    </w:p>
    <w:p w:rsidR="00F524A5" w:rsidRPr="00472687" w:rsidRDefault="00C71855" w:rsidP="00F524A5">
      <w:pPr>
        <w:pStyle w:val="JuPara"/>
        <w:rPr>
          <w:rFonts w:ascii="Segoe UI" w:eastAsia="Times New Roman" w:hAnsi="Segoe UI" w:cs="Segoe UI"/>
          <w:color w:val="000000"/>
        </w:rPr>
      </w:pPr>
      <w:fldSimple w:instr=" SEQ level0 \*arabic \* MERGEFORMAT ">
        <w:r w:rsidR="00F524A5" w:rsidRPr="00472687">
          <w:t>586</w:t>
        </w:r>
      </w:fldSimple>
      <w:r w:rsidR="00F524A5">
        <w:t>. În plus, Guvernul</w:t>
      </w:r>
      <w:r w:rsidR="00F524A5">
        <w:rPr>
          <w:b/>
        </w:rPr>
        <w:t xml:space="preserve"> </w:t>
      </w:r>
      <w:r w:rsidR="00F524A5">
        <w:t>subliniază că reclamantele au avut acces la instanțe interne la nivelul a două grade de jurisdicție.</w:t>
      </w:r>
      <w:r w:rsidR="00F524A5">
        <w:rPr>
          <w:rFonts w:ascii="Segoe UI" w:hAnsi="Segoe UI"/>
          <w:color w:val="000000"/>
        </w:rPr>
        <w:t xml:space="preserve"> </w:t>
      </w:r>
      <w:r w:rsidR="00F524A5">
        <w:t>Consideră că atât TAF, cât și TF au examinat cu atenție cauza acestora și au pronunțat hotărâri motivate corespunzător.</w:t>
      </w:r>
      <w:r w:rsidR="00F524A5">
        <w:rPr>
          <w:rFonts w:ascii="Segoe UI" w:hAnsi="Segoe UI"/>
          <w:color w:val="000000"/>
        </w:rPr>
        <w:t xml:space="preserve"> </w:t>
      </w:r>
      <w:r w:rsidR="00F524A5">
        <w:t>În plus, potrivit Guvernului, procedura administrativă internă nu este deosebit de complexă și se bazează pe principiul sistemului inchizitorial, potrivit căruia autoritățile interne încearcă să stabilească faptele din oficiu.</w:t>
      </w:r>
      <w:r w:rsidR="00F524A5">
        <w:rPr>
          <w:rFonts w:ascii="Segoe UI" w:hAnsi="Segoe UI"/>
          <w:color w:val="000000"/>
        </w:rPr>
        <w:t xml:space="preserve"> </w:t>
      </w:r>
      <w:r w:rsidR="00F524A5">
        <w:t xml:space="preserve">Cu toate acestea, Guvernul precizează că, pentru a putea introduce o acțiune în temeiul articolului 25a din LPA, este necesar să fie îndeplinite anumite condiții, astfel încât să se evite o </w:t>
      </w:r>
      <w:r w:rsidR="00F524A5">
        <w:rPr>
          <w:i/>
        </w:rPr>
        <w:t>actio popularis.</w:t>
      </w:r>
    </w:p>
    <w:p w:rsidR="00F524A5" w:rsidRPr="00472687" w:rsidRDefault="00C71855" w:rsidP="00F524A5">
      <w:pPr>
        <w:pStyle w:val="JuPara"/>
      </w:pPr>
      <w:fldSimple w:instr=" SEQ level0 \*arabic \* MERGEFORMAT ">
        <w:r w:rsidR="00F524A5" w:rsidRPr="00472687">
          <w:t>587</w:t>
        </w:r>
      </w:fldSimple>
      <w:r w:rsidR="00F524A5">
        <w:t>. Guvernul apreciază că respectivele condiții prevăzute de dreptul procedural pentru a permite unei autorități să examineze o anumită cauză servesc bunei administrări a justiției.</w:t>
      </w:r>
      <w:r w:rsidR="00F524A5">
        <w:rPr>
          <w:rFonts w:ascii="Segoe UI" w:hAnsi="Segoe UI"/>
          <w:color w:val="000000"/>
        </w:rPr>
        <w:t xml:space="preserve"> </w:t>
      </w:r>
      <w:r w:rsidR="00F524A5">
        <w:t>În opinia sa, cerința ca autorul acțiunii să fie afectat într-o anumită măsură în sfera sa juridică personală rezultă din faptul că articolul 25a din LPA constituie un mijloc de protecție juridică individuală.</w:t>
      </w:r>
      <w:r w:rsidR="00F524A5">
        <w:rPr>
          <w:rFonts w:ascii="Segoe UI" w:hAnsi="Segoe UI"/>
          <w:color w:val="000000"/>
        </w:rPr>
        <w:t xml:space="preserve"> </w:t>
      </w:r>
      <w:r w:rsidR="00F524A5">
        <w:t xml:space="preserve">Această cerință permite stabilirea unor limitele în raport cu </w:t>
      </w:r>
      <w:r w:rsidR="00F524A5">
        <w:rPr>
          <w:i/>
        </w:rPr>
        <w:t>actio popularis.</w:t>
      </w:r>
      <w:r w:rsidR="00F524A5">
        <w:rPr>
          <w:rFonts w:ascii="Segoe UI" w:hAnsi="Segoe UI"/>
          <w:color w:val="000000"/>
        </w:rPr>
        <w:t xml:space="preserve"> </w:t>
      </w:r>
      <w:r w:rsidR="00F524A5">
        <w:t>De asemenea, contribuie la respectarea principiului separării puterilor.</w:t>
      </w:r>
      <w:r w:rsidR="00F524A5">
        <w:rPr>
          <w:rFonts w:ascii="Segoe UI" w:hAnsi="Segoe UI"/>
          <w:color w:val="000000"/>
        </w:rPr>
        <w:t xml:space="preserve"> </w:t>
      </w:r>
      <w:r w:rsidR="00F524A5">
        <w:t>Prin urmare, nu se poate considera că aceasta restrânge accesul la o instanță într-o asemenea măsură încât aduce atingere substanței înseși a dreptului persoanei la o instanță.</w:t>
      </w:r>
      <w:r w:rsidR="00F524A5">
        <w:rPr>
          <w:rFonts w:ascii="Segoe UI" w:hAnsi="Segoe UI"/>
          <w:color w:val="000000"/>
        </w:rPr>
        <w:t xml:space="preserve"> </w:t>
      </w:r>
      <w:r w:rsidR="00F524A5">
        <w:t>În plus, există un raport rezonabil de proporționalitate între această cerință și scopurile urmărite.</w:t>
      </w:r>
    </w:p>
    <w:p w:rsidR="00F524A5" w:rsidRPr="00472687" w:rsidRDefault="00C71855" w:rsidP="00F524A5">
      <w:pPr>
        <w:pStyle w:val="JuPara"/>
      </w:pPr>
      <w:fldSimple w:instr=" SEQ level0 \*arabic \* MERGEFORMAT ">
        <w:r w:rsidR="00F524A5" w:rsidRPr="00472687">
          <w:t>588</w:t>
        </w:r>
      </w:fldSimple>
      <w:r w:rsidR="00F524A5">
        <w:t>. Examinarea atentă consacrată de TF criteriului formal al interesului demn de protecție, precum și caracteristicile sistemului politic specific Elveției, demonstrează că instanțele nu pot juca un rol decisiv în domeniul schimbărilor climatice și că, în mod cert, nu pot defini ele însele măsurile care trebuie luate.</w:t>
      </w:r>
      <w:r w:rsidR="00F524A5">
        <w:rPr>
          <w:rFonts w:ascii="Segoe UI" w:hAnsi="Segoe UI"/>
          <w:color w:val="000000"/>
        </w:rPr>
        <w:t xml:space="preserve"> </w:t>
      </w:r>
      <w:r w:rsidR="00F524A5">
        <w:t>Prin urmare, TF a apreciat în mod întemeiat că nu trebuia să se răspundă cu privire la capete de cerere ale reclamantelor prin mijloace jurisdicționale, ci mai degrabă prin mijloace politice.</w:t>
      </w:r>
      <w:r w:rsidR="00F524A5">
        <w:rPr>
          <w:rFonts w:ascii="Segoe UI" w:hAnsi="Segoe UI"/>
          <w:color w:val="000000"/>
        </w:rPr>
        <w:t xml:space="preserve"> </w:t>
      </w:r>
      <w:r w:rsidR="00F524A5">
        <w:t xml:space="preserve">Acțiunea introdusă de reclamante nu servea obiectivului protecției juridice individuale, ci urmărea să obțină examinarea </w:t>
      </w:r>
      <w:r w:rsidR="00F524A5">
        <w:rPr>
          <w:i/>
          <w:iCs/>
        </w:rPr>
        <w:t xml:space="preserve">in abstracto </w:t>
      </w:r>
      <w:r w:rsidR="00F524A5">
        <w:t>a măsurilor actuale de protecție a climei și a celor planificate până în 2030.</w:t>
      </w:r>
      <w:r w:rsidR="00F524A5">
        <w:rPr>
          <w:rFonts w:ascii="Segoe UI" w:hAnsi="Segoe UI"/>
          <w:color w:val="000000"/>
        </w:rPr>
        <w:t xml:space="preserve"> </w:t>
      </w:r>
      <w:r w:rsidR="00F524A5">
        <w:t xml:space="preserve">În special acest element a determinat TF să califice acțiunea reclamantelor drept </w:t>
      </w:r>
      <w:r w:rsidR="00F524A5">
        <w:rPr>
          <w:i/>
        </w:rPr>
        <w:t>actio popularis,</w:t>
      </w:r>
      <w:r w:rsidR="00F524A5">
        <w:t xml:space="preserve"> un tip de acțiune care este incompatibilă cu mijloacele de protecție juridică individuală.</w:t>
      </w:r>
      <w:r w:rsidR="00F524A5">
        <w:rPr>
          <w:rFonts w:ascii="Segoe UI" w:hAnsi="Segoe UI"/>
          <w:color w:val="000000"/>
        </w:rPr>
        <w:t xml:space="preserve"> </w:t>
      </w:r>
      <w:r w:rsidR="00F524A5">
        <w:t>În opinia Guvernului, aceste concluzii nu sunt nici arbitrare, nici vădit nerezonabile și, prin urmare, Curtea nu trebuie să le repună în discuție.</w:t>
      </w:r>
    </w:p>
    <w:p w:rsidR="00F524A5" w:rsidRPr="00472687" w:rsidRDefault="00C71855" w:rsidP="00F524A5">
      <w:pPr>
        <w:pStyle w:val="JuPara"/>
      </w:pPr>
      <w:fldSimple w:instr=" SEQ level0 \*arabic \* MERGEFORMAT ">
        <w:r w:rsidR="00F524A5" w:rsidRPr="00472687">
          <w:t>589</w:t>
        </w:r>
      </w:fldSimple>
      <w:r w:rsidR="00F524A5">
        <w:t>. Pe scurt, Guvernul consideră că reclamantele nu au suferit, în ceea ce privește dreptul lor de acces la instanțele naționale, o restrângere disproporționată care să fi adus atingere substanței înseși a acestui drept.</w:t>
      </w:r>
      <w:r w:rsidR="00F524A5">
        <w:rPr>
          <w:rFonts w:ascii="Segoe UI" w:hAnsi="Segoe UI"/>
          <w:color w:val="000000"/>
        </w:rPr>
        <w:t xml:space="preserve"> </w:t>
      </w:r>
      <w:r w:rsidR="00F524A5">
        <w:t>În opinia sa, capătul de cerere formulat de reclamante în temeiul art. 6 § 1 este așadar în mod vădit nefondat.</w:t>
      </w:r>
    </w:p>
    <w:p w:rsidR="00F524A5" w:rsidRPr="00472687" w:rsidRDefault="00F524A5" w:rsidP="00F524A5">
      <w:pPr>
        <w:pStyle w:val="JuHA"/>
        <w:numPr>
          <w:ilvl w:val="2"/>
          <w:numId w:val="18"/>
        </w:numPr>
        <w:ind w:left="1080" w:hanging="360"/>
      </w:pPr>
      <w:bookmarkStart w:id="1011" w:name="_Toc158019714"/>
      <w:bookmarkStart w:id="1012" w:name="_Toc199273584"/>
      <w:r>
        <w:t>Motivarea Curții</w:t>
      </w:r>
      <w:bookmarkEnd w:id="1011"/>
      <w:bookmarkEnd w:id="1012"/>
    </w:p>
    <w:p w:rsidR="00F524A5" w:rsidRPr="00472687" w:rsidRDefault="00F524A5" w:rsidP="00F524A5">
      <w:pPr>
        <w:pStyle w:val="JuH1"/>
        <w:numPr>
          <w:ilvl w:val="3"/>
          <w:numId w:val="25"/>
        </w:numPr>
      </w:pPr>
      <w:bookmarkStart w:id="1013" w:name="_Toc199273585"/>
      <w:r>
        <w:t>Cu privire la admisibilitate</w:t>
      </w:r>
      <w:bookmarkEnd w:id="1013"/>
    </w:p>
    <w:p w:rsidR="00F524A5" w:rsidRPr="00472687" w:rsidRDefault="00F524A5" w:rsidP="00F524A5">
      <w:pPr>
        <w:pStyle w:val="JuHa0"/>
        <w:numPr>
          <w:ilvl w:val="4"/>
          <w:numId w:val="18"/>
        </w:numPr>
        <w:ind w:hanging="284"/>
      </w:pPr>
      <w:bookmarkStart w:id="1014" w:name="_Toc199273586"/>
      <w:r>
        <w:t>Calitatea de victimă</w:t>
      </w:r>
      <w:bookmarkEnd w:id="1014"/>
    </w:p>
    <w:p w:rsidR="00F524A5" w:rsidRPr="00472687" w:rsidRDefault="00C71855" w:rsidP="00F524A5">
      <w:pPr>
        <w:pStyle w:val="JuPara"/>
      </w:pPr>
      <w:fldSimple w:instr=" SEQ level0 \*arabic \* MERGEFORMAT ">
        <w:r w:rsidR="00F524A5" w:rsidRPr="00472687">
          <w:t>590</w:t>
        </w:r>
      </w:fldSimple>
      <w:r w:rsidR="00F524A5">
        <w:t>. Pentru a putea pretinde calitatea de victimă, în contextul unui capăt de cerere privind încălcarea art. 6 din Convenție, și pentru a putea să se plângă de deficiențe procedurale din perspectiva acestei dispoziții, este suficient, în mod normal, ca reclamantul să fi fost afectat în calitate de parte la procedura inițiată de acesta în fața instanțelor interne. Acest lucru este valabil pentru persoanele particulare (a se vedea, de exemplu,</w:t>
      </w:r>
      <w:r w:rsidR="00F524A5">
        <w:rPr>
          <w:rFonts w:ascii="Times New Roman" w:hAnsi="Times New Roman"/>
        </w:rPr>
        <w:t xml:space="preserve"> </w:t>
      </w:r>
      <w:r w:rsidR="00F524A5">
        <w:rPr>
          <w:i/>
        </w:rPr>
        <w:t xml:space="preserve">Balmer-Schafroth </w:t>
      </w:r>
      <w:r w:rsidR="00F524A5">
        <w:rPr>
          <w:i/>
          <w:iCs/>
        </w:rPr>
        <w:t>și alții împotriva Elveției</w:t>
      </w:r>
      <w:r w:rsidR="00F524A5">
        <w:t xml:space="preserve">, 26 august 1997, pct. 26, </w:t>
      </w:r>
      <w:r w:rsidR="00F524A5">
        <w:rPr>
          <w:i/>
          <w:iCs/>
        </w:rPr>
        <w:t>Culegere</w:t>
      </w:r>
      <w:r w:rsidR="00F524A5">
        <w:t xml:space="preserve"> 1997-IV, și </w:t>
      </w:r>
      <w:r w:rsidR="00F524A5">
        <w:rPr>
          <w:i/>
        </w:rPr>
        <w:t xml:space="preserve">Çöçelli </w:t>
      </w:r>
      <w:r w:rsidR="00F524A5">
        <w:rPr>
          <w:i/>
          <w:iCs/>
        </w:rPr>
        <w:t>și alții împotriva</w:t>
      </w:r>
      <w:r w:rsidR="00F524A5">
        <w:rPr>
          <w:i/>
        </w:rPr>
        <w:t> Turciei</w:t>
      </w:r>
      <w:r w:rsidR="00F524A5">
        <w:t xml:space="preserve">, nr. 81415/12, pct. 39-40, 11 octombrie 2022) și pentru asociații (a se vedea, de exemplu, </w:t>
      </w:r>
      <w:r w:rsidR="00F524A5">
        <w:rPr>
          <w:i/>
        </w:rPr>
        <w:t>Gorraiz Lizarraga și alții</w:t>
      </w:r>
      <w:r w:rsidR="00F524A5">
        <w:t xml:space="preserve">, citată anterior, pct. 36, și </w:t>
      </w:r>
      <w:r w:rsidR="00F524A5">
        <w:rPr>
          <w:i/>
        </w:rPr>
        <w:t>Yusufeli İlçesini Güzelleştirme Yaşatma Kültür Varlıklarını Koruma Derneği</w:t>
      </w:r>
      <w:r w:rsidR="00F524A5">
        <w:t>, citată anterior, pct. 40, cu trimiterile suplimentare).</w:t>
      </w:r>
    </w:p>
    <w:p w:rsidR="00F524A5" w:rsidRPr="00472687" w:rsidRDefault="00C71855" w:rsidP="00F524A5">
      <w:pPr>
        <w:pStyle w:val="JuPara"/>
      </w:pPr>
      <w:fldSimple w:instr=" SEQ level0 \*arabic \* MERGEFORMAT ">
        <w:r w:rsidR="00F524A5" w:rsidRPr="00472687">
          <w:t>591</w:t>
        </w:r>
      </w:fldSimple>
      <w:r w:rsidR="00F524A5">
        <w:t>. În cazul în care calitatea procesuală a unui reclamant a fost înlăturată la nivel intern (a se vedea, de exemplu,</w:t>
      </w:r>
      <w:r w:rsidR="00F524A5">
        <w:rPr>
          <w:i/>
        </w:rPr>
        <w:t xml:space="preserve"> Bursa Barosu Başkanlığı </w:t>
      </w:r>
      <w:r w:rsidR="00F524A5">
        <w:rPr>
          <w:i/>
          <w:iCs/>
        </w:rPr>
        <w:t>și alții împotriva</w:t>
      </w:r>
      <w:r w:rsidR="00F524A5">
        <w:rPr>
          <w:i/>
        </w:rPr>
        <w:t xml:space="preserve"> Turciei, </w:t>
      </w:r>
      <w:r w:rsidR="00F524A5">
        <w:t>nr. 25680/05, pct. 114-116, 19 iunie 2018)</w:t>
      </w:r>
      <w:r w:rsidR="00F524A5">
        <w:rPr>
          <w:i/>
        </w:rPr>
        <w:t xml:space="preserve">, </w:t>
      </w:r>
      <w:r w:rsidR="00F524A5">
        <w:t>în special atunci când nu a fost recunoscut interesul său de a acționa și când acesta se plânge de lipsa posibilității de acces la o instanță sau de un alt viciu de procedură în materie, ar putea fi mai adecvat ca problema calității de victimă să fie examinată în cadrul aprecierii aplicabilității art. 6 în litigiul în cauză [a se vedea, de exemplu,</w:t>
      </w:r>
      <w:r w:rsidR="00F524A5">
        <w:rPr>
          <w:i/>
        </w:rPr>
        <w:t xml:space="preserve"> Asselbourg și alții, </w:t>
      </w:r>
      <w:r w:rsidR="00F524A5">
        <w:t xml:space="preserve">decizie citată anterior, </w:t>
      </w:r>
      <w:r w:rsidR="00F524A5">
        <w:rPr>
          <w:i/>
        </w:rPr>
        <w:t xml:space="preserve">Folkman și alții împotriva Republicii Cehe </w:t>
      </w:r>
      <w:r w:rsidR="00F524A5">
        <w:t xml:space="preserve">(dec.), nr. 23673/03, 10 iulie 2006, </w:t>
      </w:r>
      <w:r w:rsidR="00F524A5">
        <w:rPr>
          <w:i/>
        </w:rPr>
        <w:t xml:space="preserve">SARL du Parc d’Activités de Blotzheim împotriva Franței, </w:t>
      </w:r>
      <w:r w:rsidR="00F524A5">
        <w:t xml:space="preserve">nr. 72377/01, pct. 18-20, 11 iulie 2006, și </w:t>
      </w:r>
      <w:r w:rsidR="00F524A5">
        <w:rPr>
          <w:i/>
        </w:rPr>
        <w:t xml:space="preserve">Asociația Burestop 55 și altele, </w:t>
      </w:r>
      <w:r w:rsidR="00F524A5">
        <w:t>citată anterior, pct. 52</w:t>
      </w:r>
      <w:r w:rsidR="00F524A5">
        <w:noBreakHyphen/>
        <w:t>60].</w:t>
      </w:r>
    </w:p>
    <w:p w:rsidR="00F524A5" w:rsidRPr="00472687" w:rsidRDefault="00C71855" w:rsidP="00F524A5">
      <w:pPr>
        <w:pStyle w:val="JuPara"/>
      </w:pPr>
      <w:fldSimple w:instr=" SEQ level0 \*arabic \* MERGEFORMAT ">
        <w:r w:rsidR="00F524A5" w:rsidRPr="00472687">
          <w:t>592</w:t>
        </w:r>
      </w:fldSimple>
      <w:r w:rsidR="00F524A5">
        <w:t>. În speță, Guvernul contestă calitatea procesuală/calitatea de victimă a tuturor reclamantelor, în temeiul dispozițiilor materiale ale Convenției (art. 2 și 8), însă nu repune în discuție calitatea de victimă a reclamantelor nr. 2-5 în ceea ce privește dispozițiile procedurale (art. 6 și 13) (supra, pct. </w:t>
      </w:r>
      <w:r w:rsidR="00F524A5" w:rsidRPr="00472687">
        <w:fldChar w:fldCharType="begin"/>
      </w:r>
      <w:r w:rsidR="00F524A5" w:rsidRPr="00472687">
        <w:instrText xml:space="preserve">REF paragraph00341 \h \* CharFormat </w:instrText>
      </w:r>
      <w:r w:rsidR="00F524A5" w:rsidRPr="00472687">
        <w:fldChar w:fldCharType="separate"/>
      </w:r>
      <w:r w:rsidR="00F524A5" w:rsidRPr="00472687">
        <w:t>341</w:t>
      </w:r>
      <w:r w:rsidR="00F524A5" w:rsidRPr="00472687">
        <w:fldChar w:fldCharType="end"/>
      </w:r>
      <w:r w:rsidR="00F524A5">
        <w:t xml:space="preserve"> și </w:t>
      </w:r>
      <w:r w:rsidR="00F524A5" w:rsidRPr="00472687">
        <w:fldChar w:fldCharType="begin"/>
      </w:r>
      <w:r w:rsidR="00F524A5" w:rsidRPr="00472687">
        <w:instrText xml:space="preserve">REF paragraph00345 \h \* CharFormat </w:instrText>
      </w:r>
      <w:r w:rsidR="00F524A5" w:rsidRPr="00472687">
        <w:fldChar w:fldCharType="separate"/>
      </w:r>
      <w:r w:rsidR="00F524A5" w:rsidRPr="00472687">
        <w:t>345</w:t>
      </w:r>
      <w:r w:rsidR="00F524A5" w:rsidRPr="00472687">
        <w:fldChar w:fldCharType="end"/>
      </w:r>
      <w:r w:rsidR="00F524A5">
        <w:t>).</w:t>
      </w:r>
    </w:p>
    <w:bookmarkStart w:id="1015" w:name="paragraph0059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593</w:t>
      </w:r>
      <w:r w:rsidRPr="00472687">
        <w:fldChar w:fldCharType="end"/>
      </w:r>
      <w:bookmarkEnd w:id="1015"/>
      <w:r>
        <w:t>. Întrucât calitatea de victimă în sensul art. 34 este un aspect care, în orice caz, ține de competența Curții și pe care Curtea</w:t>
      </w:r>
      <w:r>
        <w:rPr>
          <w:b/>
        </w:rPr>
        <w:t xml:space="preserve"> </w:t>
      </w:r>
      <w:r>
        <w:t>îl examinează din oficiu (</w:t>
      </w:r>
      <w:r>
        <w:rPr>
          <w:i/>
          <w:iCs/>
        </w:rPr>
        <w:t xml:space="preserve">Fedotova </w:t>
      </w:r>
      <w:r>
        <w:rPr>
          <w:i/>
        </w:rPr>
        <w:t>și alții,</w:t>
      </w:r>
      <w:r>
        <w:t xml:space="preserve"> citată anterior, pct. 88), problema calității de victimă a reclamantelor în temeiul art. 6 § 1 din Convenție va fi conexată cu aprecierea aplicabilității acestei dispoziții.</w:t>
      </w:r>
    </w:p>
    <w:p w:rsidR="00F524A5" w:rsidRPr="00472687" w:rsidRDefault="00F524A5" w:rsidP="00F524A5">
      <w:pPr>
        <w:pStyle w:val="JuHa0"/>
        <w:numPr>
          <w:ilvl w:val="4"/>
          <w:numId w:val="18"/>
        </w:numPr>
        <w:ind w:hanging="284"/>
      </w:pPr>
      <w:bookmarkStart w:id="1016" w:name="_Toc199273587"/>
      <w:r>
        <w:lastRenderedPageBreak/>
        <w:t>Aplicabilitatea art. 6 § 1 din Convenție</w:t>
      </w:r>
      <w:bookmarkEnd w:id="1016"/>
    </w:p>
    <w:p w:rsidR="00F524A5" w:rsidRPr="00472687" w:rsidRDefault="00F524A5" w:rsidP="00F524A5">
      <w:pPr>
        <w:pStyle w:val="JuHi"/>
        <w:numPr>
          <w:ilvl w:val="5"/>
          <w:numId w:val="18"/>
        </w:numPr>
        <w:tabs>
          <w:tab w:val="clear" w:pos="1077"/>
          <w:tab w:val="clear" w:pos="1134"/>
          <w:tab w:val="clear" w:pos="1191"/>
          <w:tab w:val="clear" w:pos="1247"/>
        </w:tabs>
        <w:ind w:left="1276" w:hanging="425"/>
      </w:pPr>
      <w:bookmarkStart w:id="1017" w:name="_Toc199273588"/>
      <w:r>
        <w:t>Principii generale</w:t>
      </w:r>
      <w:bookmarkEnd w:id="1017"/>
    </w:p>
    <w:bookmarkStart w:id="1018" w:name="paragraph0059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594</w:t>
      </w:r>
      <w:r w:rsidRPr="00472687">
        <w:fldChar w:fldCharType="end"/>
      </w:r>
      <w:bookmarkEnd w:id="1018"/>
      <w:r>
        <w:t xml:space="preserve">. Art. 6 din Convenție nu garantează dreptul de acces la o instanță care are competența să invalideze sau să înlocuiască o lege adoptată de puterea legislativă (a se vedea, de exemplu, </w:t>
      </w:r>
      <w:r>
        <w:rPr>
          <w:i/>
        </w:rPr>
        <w:t>Ruiz-Mateos și alții împotriva Spaniei</w:t>
      </w:r>
      <w:r>
        <w:t xml:space="preserve">, nr. 14324/88, decizia Comisiei din 19 aprilie 1991, Decizii și rapoarte 69, p. 22, </w:t>
      </w:r>
      <w:r>
        <w:rPr>
          <w:i/>
        </w:rPr>
        <w:t>Posti și Rahko împotriva Finlandei</w:t>
      </w:r>
      <w:r>
        <w:t xml:space="preserve">, nr. 27824/95, pct. 52, CEDO 2002-VII, și </w:t>
      </w:r>
      <w:r>
        <w:rPr>
          <w:i/>
        </w:rPr>
        <w:t>Project</w:t>
      </w:r>
      <w:r>
        <w:rPr>
          <w:i/>
        </w:rPr>
        <w:noBreakHyphen/>
        <w:t>Trade d.o.o. împotriva Croației</w:t>
      </w:r>
      <w:r>
        <w:t>, nr. 1920/14, pct. 68, 19 noiembrie 2020).</w:t>
      </w:r>
    </w:p>
    <w:bookmarkStart w:id="1019" w:name="paragraph0059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595</w:t>
      </w:r>
      <w:r w:rsidRPr="00472687">
        <w:fldChar w:fldCharType="end"/>
      </w:r>
      <w:bookmarkEnd w:id="1019"/>
      <w:r>
        <w:t>. Pentru ca art. 6 § 1 să fie aplicabil sub aspectul său „civil”, trebuie să existe o „contestare” referitoare la un drept cu privire la care se poate pretinde, cel puțin în mod întemeiat, că este recunoscut în dreptul intern, indiferent dacă acesta este sau nu protejat de Convenție. Această dispoziție nu asigură în sine „drepturilor și obligațiilor” (cu caracter civil) niciun conținut material determinat în ordinea juridică a statelor contractante.</w:t>
      </w:r>
      <w:r>
        <w:rPr>
          <w:rFonts w:ascii="Segoe UI" w:hAnsi="Segoe UI"/>
          <w:color w:val="000000"/>
        </w:rPr>
        <w:t xml:space="preserve"> </w:t>
      </w:r>
      <w:r>
        <w:t xml:space="preserve">Contestarea trebuie să fie reală și serioasă și poate privi atât existența însăși a unui drept, cât și întinderea acestuia sau modalitățile de exercitare a acestuia. În plus, rezultatul procedurii trebuie să fie în mod direct decisiv pentru dreptul în cauză, o legătură slabă ori consecințe îndepărtate nefiind suficiente pentru ca art. 6 § 1 să fie aplicabil. În cele din urmă, dreptul trebuie să aibă un caracter „civil” [a se vedea, pentru un exemplu foarte recent, </w:t>
      </w:r>
      <w:r>
        <w:rPr>
          <w:i/>
        </w:rPr>
        <w:t>Grzęda</w:t>
      </w:r>
      <w:r>
        <w:t xml:space="preserve">, citată anterior, pct. 257, cu trimiterile suplimentare; în domeniul mediului, a se vedea și </w:t>
      </w:r>
      <w:r>
        <w:rPr>
          <w:i/>
        </w:rPr>
        <w:t xml:space="preserve">Athanassoglou </w:t>
      </w:r>
      <w:r>
        <w:rPr>
          <w:i/>
          <w:iCs/>
        </w:rPr>
        <w:t>și alții împotriva Elveției</w:t>
      </w:r>
      <w:r>
        <w:t xml:space="preserve"> (MC), nr. 27644/95, pct. 43, CEDO 2000-IV, și </w:t>
      </w:r>
      <w:r>
        <w:rPr>
          <w:i/>
        </w:rPr>
        <w:t>Asociația Burestop 55 și altele</w:t>
      </w:r>
      <w:r>
        <w:t>, citată anterior, pct. 52].</w:t>
      </w:r>
    </w:p>
    <w:bookmarkStart w:id="1020" w:name="paragraph0059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596</w:t>
      </w:r>
      <w:r w:rsidRPr="00472687">
        <w:fldChar w:fldCharType="end"/>
      </w:r>
      <w:bookmarkEnd w:id="1020"/>
      <w:r>
        <w:t xml:space="preserve">. Astfel cum precizat mai sus, Convenția nu recunoaște </w:t>
      </w:r>
      <w:r>
        <w:rPr>
          <w:i/>
        </w:rPr>
        <w:t>actio popularis,</w:t>
      </w:r>
      <w:r>
        <w:t xml:space="preserve"> iar scopul acestei interdicții este de a evita sesizarea Curții de către persoane particulare pentru a se plânge de simpla existență a unei legi aplicabile oricărui cetățean al unei țări sau a unei hotărâri judecătorești la care acestea nu sunt părți [</w:t>
      </w:r>
      <w:r>
        <w:rPr>
          <w:i/>
        </w:rPr>
        <w:t>L’Erablière A.S.B.L. împotriva Belgiei</w:t>
      </w:r>
      <w:r>
        <w:t>, nr. 49230/07, pct. 29, CEDO 2009 (extrase)].</w:t>
      </w:r>
      <w:r>
        <w:rPr>
          <w:rFonts w:ascii="Segoe UI" w:hAnsi="Segoe UI"/>
          <w:color w:val="000000"/>
        </w:rPr>
        <w:t xml:space="preserve"> </w:t>
      </w:r>
      <w:r>
        <w:t xml:space="preserve">Astfel, o asociație de protecție a mediului care invocă art. 6 trebuie să demonstreze că litigiul sau capătul de cerere formulat de aceasta are o legătură suficientă cu un anumit drept cu caracter civil de care se poate prevala asociația însăși </w:t>
      </w:r>
      <w:r>
        <w:rPr>
          <w:i/>
        </w:rPr>
        <w:t>(Asociația Burestop 55 și altele,</w:t>
      </w:r>
      <w:r>
        <w:t xml:space="preserve"> citată anterior, pct. 55).</w:t>
      </w:r>
    </w:p>
    <w:p w:rsidR="00F524A5" w:rsidRPr="00472687" w:rsidRDefault="00F524A5" w:rsidP="00F524A5">
      <w:pPr>
        <w:pStyle w:val="JuHalpha"/>
        <w:numPr>
          <w:ilvl w:val="6"/>
          <w:numId w:val="18"/>
        </w:numPr>
        <w:tabs>
          <w:tab w:val="clear" w:pos="1361"/>
        </w:tabs>
        <w:ind w:left="1701" w:hanging="425"/>
      </w:pPr>
      <w:r>
        <w:t>Existența unui „drept” și caracterul său „civil”</w:t>
      </w:r>
    </w:p>
    <w:p w:rsidR="00F524A5" w:rsidRPr="00472687" w:rsidRDefault="00C71855" w:rsidP="00F524A5">
      <w:pPr>
        <w:pStyle w:val="JuPara"/>
      </w:pPr>
      <w:fldSimple w:instr=" SEQ level0 \*arabic \* MERGEFORMAT ">
        <w:r w:rsidR="00F524A5" w:rsidRPr="00472687">
          <w:t>597</w:t>
        </w:r>
      </w:fldSimple>
      <w:r w:rsidR="00F524A5">
        <w:t>. Noțiunea de drepturi „cu caracter civil” este autonomă. Curtea a declarat că natura legii în temeiul căreia trebuie soluționată contestația și cea a autorității competente în materie nu prezintă importanță (</w:t>
      </w:r>
      <w:r w:rsidR="00F524A5">
        <w:rPr>
          <w:i/>
        </w:rPr>
        <w:t>Ivan Atanasov,</w:t>
      </w:r>
      <w:r w:rsidR="00F524A5">
        <w:t xml:space="preserve"> citată anterior, pct. 90). Astfel, calificarea legislației (civilă, comercială, administrativă sau de altă natură) sau cea a instanței competente (ordinară, administrativă sau de altă natură) nu sunt decisive în sine. Ceea ce contează </w:t>
      </w:r>
      <w:r w:rsidR="00F524A5">
        <w:lastRenderedPageBreak/>
        <w:t>este ca dreptul să poată fi exercitat de persoana în cauză și să poată fi calificat ca fiind un drept „cu caracter civil”.</w:t>
      </w:r>
    </w:p>
    <w:p w:rsidR="00F524A5" w:rsidRPr="00472687" w:rsidRDefault="00C71855" w:rsidP="00F524A5">
      <w:pPr>
        <w:pStyle w:val="JuPara"/>
      </w:pPr>
      <w:fldSimple w:instr=" SEQ level0 \*arabic \* MERGEFORMAT ">
        <w:r w:rsidR="00F524A5" w:rsidRPr="00472687">
          <w:t>598</w:t>
        </w:r>
      </w:fldSimple>
      <w:r w:rsidR="00F524A5">
        <w:t>. Art. 6 § 1 nu asigură „drepturilor și obligațiilor” (cu caracter civil) niciun conținut material determinat în ordinea juridică a statelor contractante: Curtea nu poate crea, prin interpretarea art. 6 § 1, un drept material care nu are niciun temei juridic în statul respectiv.</w:t>
      </w:r>
      <w:r w:rsidR="00F524A5">
        <w:rPr>
          <w:rFonts w:ascii="Segoe UI" w:hAnsi="Segoe UI"/>
          <w:color w:val="000000"/>
        </w:rPr>
        <w:t xml:space="preserve"> </w:t>
      </w:r>
      <w:r w:rsidR="00F524A5">
        <w:t>Pentru a decide dacă dreptul invocat are un temei în dreptul intern, este necesar să se ia ca punct de plecare dispozițiile legislației naționale și interpretarea pe care instanțele interne o dau acestora.</w:t>
      </w:r>
      <w:r w:rsidR="00F524A5">
        <w:rPr>
          <w:rFonts w:ascii="Segoe UI" w:hAnsi="Segoe UI"/>
          <w:color w:val="000000"/>
        </w:rPr>
        <w:t xml:space="preserve"> </w:t>
      </w:r>
      <w:r w:rsidR="00F524A5">
        <w:t>În primul rând autorităților naționale, în special instanțelor judecătorești, le incumbă sarcina de a interpreta legislația internă.</w:t>
      </w:r>
      <w:r w:rsidR="00F524A5">
        <w:rPr>
          <w:color w:val="000000"/>
        </w:rPr>
        <w:t xml:space="preserve"> </w:t>
      </w:r>
      <w:r w:rsidR="00F524A5">
        <w:t>Cu excepția cazului în care interpretarea reținută este arbitrară sau vădit nerezonabilă, sarcina Curții se limitează la a stabili dacă efectele acesteia sunt compatibile cu Convenția (</w:t>
      </w:r>
      <w:r w:rsidR="00F524A5">
        <w:rPr>
          <w:i/>
        </w:rPr>
        <w:t>Grzęda</w:t>
      </w:r>
      <w:r w:rsidR="00F524A5">
        <w:t>, citată anterior, pct. 258</w:t>
      </w:r>
      <w:r w:rsidR="00F524A5">
        <w:noBreakHyphen/>
        <w:t>259).</w:t>
      </w:r>
    </w:p>
    <w:bookmarkStart w:id="1021" w:name="paragraph0060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599</w:t>
      </w:r>
      <w:r w:rsidRPr="00472687">
        <w:fldChar w:fldCharType="end"/>
      </w:r>
      <w:bookmarkEnd w:id="1021"/>
      <w:r>
        <w:t xml:space="preserve">. În cadrul aprecierii sale, Curtea trebuie să verifice dacă cererea reclamantului nu a fost inutilă, vexatorie sau nefondată în alt mod (a se vedea, de exemplu, </w:t>
      </w:r>
      <w:r>
        <w:rPr>
          <w:i/>
        </w:rPr>
        <w:t>Miller împotriva Suediei</w:t>
      </w:r>
      <w:r>
        <w:t>, nr. 55853/00, pct. 28, 8 februarie 2005).</w:t>
      </w:r>
      <w:r>
        <w:rPr>
          <w:rFonts w:ascii="Segoe UI" w:hAnsi="Segoe UI"/>
          <w:color w:val="000000"/>
        </w:rPr>
        <w:t xml:space="preserve"> </w:t>
      </w:r>
      <w:r>
        <w:t>Pe de altă parte, dincolo de aparențe și de vocabularul utilizat, Curtea trebuie să se concentreze pe stabilirea realității unei situații [</w:t>
      </w:r>
      <w:r>
        <w:rPr>
          <w:i/>
        </w:rPr>
        <w:t>Boulois împotriva Luxemburg</w:t>
      </w:r>
      <w:r>
        <w:rPr>
          <w:i/>
          <w:iCs/>
        </w:rPr>
        <w:t>ului</w:t>
      </w:r>
      <w:r>
        <w:t xml:space="preserve"> (MC), nr. 37575/04, pct. 92, CEDO 2012, cu trimiterile suplimentare].</w:t>
      </w:r>
    </w:p>
    <w:bookmarkStart w:id="1022" w:name="paragraph0060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600</w:t>
      </w:r>
      <w:r w:rsidRPr="00472687">
        <w:fldChar w:fldCharType="end"/>
      </w:r>
      <w:bookmarkEnd w:id="1022"/>
      <w:r>
        <w:t xml:space="preserve">. În materie de mediu, Curtea a recunoscut existența unui drept cu caracter civil atunci când legislația internă prevede un drept individual la protecția mediului, în cazul în care sunt în joc dreptul la viață, dreptul la integritate fizică și dreptul la respectarea bunurilor (a se vedea, de exemplu, </w:t>
      </w:r>
      <w:r>
        <w:rPr>
          <w:i/>
        </w:rPr>
        <w:t>Zander împotriva Suediei</w:t>
      </w:r>
      <w:r>
        <w:t>, 25 noiembrie 1993, pct. 24, seria A nr. 279</w:t>
      </w:r>
      <w:r>
        <w:noBreakHyphen/>
        <w:t xml:space="preserve">B, </w:t>
      </w:r>
      <w:r>
        <w:rPr>
          <w:i/>
        </w:rPr>
        <w:t>Balmer</w:t>
      </w:r>
      <w:r>
        <w:rPr>
          <w:i/>
        </w:rPr>
        <w:noBreakHyphen/>
        <w:t>Schafroth și alții</w:t>
      </w:r>
      <w:r>
        <w:t xml:space="preserve">, citată anterior, pct. 33-34, </w:t>
      </w:r>
      <w:r>
        <w:rPr>
          <w:i/>
        </w:rPr>
        <w:t>Athanassoglou și alții</w:t>
      </w:r>
      <w:r>
        <w:t xml:space="preserve">, citată anterior, pct. 44, și </w:t>
      </w:r>
      <w:r>
        <w:rPr>
          <w:i/>
        </w:rPr>
        <w:t>Taşkın și alții</w:t>
      </w:r>
      <w:r>
        <w:t>, citată anterior, pct. 132-133).</w:t>
      </w:r>
    </w:p>
    <w:bookmarkStart w:id="1023" w:name="paragraph00602"/>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601</w:t>
      </w:r>
      <w:r w:rsidRPr="00472687">
        <w:fldChar w:fldCharType="end"/>
      </w:r>
      <w:bookmarkEnd w:id="1023"/>
      <w:r>
        <w:t>. În ceea ce privește asociațiile, în hotărârea</w:t>
      </w:r>
      <w:r>
        <w:rPr>
          <w:i/>
        </w:rPr>
        <w:t xml:space="preserve"> Gorraiz Lizarraga și alții</w:t>
      </w:r>
      <w:r>
        <w:t xml:space="preserve"> (citată anterior, pct. 45-47), Curtea a statuat că art. 6 era aplicabil în cazul unei proceduri care urmărea apărarea anumitor interese specifice ale membrilor asociației, și anume modul de viață și bunurile acestora. Aceasta a subliniat că asociația reclamantă s-a plâns de o amenințare specifică și directă la adresa stilului de viață și a bunurilor personale ale membrilor săi și a apreciat că acest aspect avea, fără îndoială, o dimensiune patrimonială și civilă. A declarat că, deși procedura internă în cauză „prezenta în mod evident caracteristicile unei proceduri de drept public”, era la fel de adevărat că rezultatul final al acțiunii era decisiv pentru capetele de cerere ale reclamanților referitoare la atingerea adusă bunurilor lor și modului lor de viață. Prin urmare, Curtea a constatat că se putea considera că, în ansamblul său, procedura privea drepturile cu caracter civil ale membrilor asociației (pentru considerații similare, a se vedea și </w:t>
      </w:r>
      <w:r>
        <w:rPr>
          <w:i/>
        </w:rPr>
        <w:t>L’Erablière A.S.B.L.,</w:t>
      </w:r>
      <w:r>
        <w:t xml:space="preserve"> citată anterior, pct. 29</w:t>
      </w:r>
      <w:r>
        <w:noBreakHyphen/>
        <w:t>și 30).</w:t>
      </w:r>
    </w:p>
    <w:bookmarkStart w:id="1024" w:name="paragraph00603"/>
    <w:p w:rsidR="00F524A5" w:rsidRPr="00472687" w:rsidRDefault="00F524A5" w:rsidP="00F524A5">
      <w:pPr>
        <w:pStyle w:val="JuPara"/>
        <w:rPr>
          <w:rFonts w:ascii="Segoe UI" w:eastAsia="Times New Roman" w:hAnsi="Segoe UI" w:cs="Segoe UI"/>
          <w:color w:val="000000"/>
        </w:rPr>
      </w:pPr>
      <w:r w:rsidRPr="00472687">
        <w:fldChar w:fldCharType="begin"/>
      </w:r>
      <w:r w:rsidRPr="00472687">
        <w:instrText xml:space="preserve"> SEQ level0 \*arabic \* MERGEFORMAT </w:instrText>
      </w:r>
      <w:r w:rsidRPr="00472687">
        <w:fldChar w:fldCharType="separate"/>
      </w:r>
      <w:r w:rsidRPr="00472687">
        <w:t>602</w:t>
      </w:r>
      <w:r w:rsidRPr="00472687">
        <w:fldChar w:fldCharType="end"/>
      </w:r>
      <w:bookmarkEnd w:id="1024"/>
      <w:r>
        <w:t>. De asemenea, este evident că asociațiile pot să invoce art. 6 în litigiile referitoare la propriile drepturi „cu caracter civil” (</w:t>
      </w:r>
      <w:r>
        <w:rPr>
          <w:i/>
        </w:rPr>
        <w:t xml:space="preserve">Asociația Burestop 55 și </w:t>
      </w:r>
      <w:r>
        <w:rPr>
          <w:i/>
        </w:rPr>
        <w:lastRenderedPageBreak/>
        <w:t>altele,</w:t>
      </w:r>
      <w:r>
        <w:t xml:space="preserve"> citată anterior, pct. 55).</w:t>
      </w:r>
      <w:r>
        <w:rPr>
          <w:rFonts w:ascii="Segoe UI" w:hAnsi="Segoe UI"/>
          <w:color w:val="000000"/>
        </w:rPr>
        <w:t xml:space="preserve"> </w:t>
      </w:r>
      <w:r>
        <w:t xml:space="preserve">În contextul litigiilor în materie de mediu, Curtea a observat că, potrivit unei interpretări stricte a art. 6, acesta nu ar fi aplicabil procedurilor având ca obiect protecția mediului ca valoare de interes public, întrucât nu ar fi vorba despre o contestație referitoare la un drept cu caracter civil, de care s-ar putea prevala asociația însăși. Cu toate acestea, pe baza jurisprudenței Gorraiz </w:t>
      </w:r>
      <w:r>
        <w:rPr>
          <w:i/>
        </w:rPr>
        <w:t>Lizarraga și alții</w:t>
      </w:r>
      <w:r>
        <w:t xml:space="preserve"> (hotărâre citată anterior), aceasta a considerat că o astfel de abordare nu ar fi conformă cu realitatea societății civile actuale, în care asociațiile joacă un rol important, în special prin apărarea anumitor cauze în fața autorităților sau a instanțelor naționale, în special în domeniul protecției mediului (</w:t>
      </w:r>
      <w:r>
        <w:rPr>
          <w:i/>
        </w:rPr>
        <w:t>Collectif national d’information et d’opposition à l’usine Melox – Collectif Stop Melox et Mox</w:t>
      </w:r>
      <w:r>
        <w:t>, decizie citată anterior).</w:t>
      </w:r>
      <w:r>
        <w:rPr>
          <w:rFonts w:ascii="Segoe UI" w:hAnsi="Segoe UI"/>
          <w:color w:val="000000"/>
        </w:rPr>
        <w:t xml:space="preserve"> </w:t>
      </w:r>
      <w:r>
        <w:t>În această privință, Curtea s‐a întemeiat, de asemenea, pe principiile care decurg din Convenția de la Aarhus (</w:t>
      </w:r>
      <w:r>
        <w:rPr>
          <w:i/>
        </w:rPr>
        <w:t>Asociația Burestop 55 și altele,</w:t>
      </w:r>
      <w:r>
        <w:t xml:space="preserve"> citată anterior, pct. 54; a se vedea și supra, pct. </w:t>
      </w:r>
      <w:r w:rsidRPr="00472687">
        <w:fldChar w:fldCharType="begin"/>
      </w:r>
      <w:r w:rsidRPr="00472687">
        <w:instrText xml:space="preserve">REF paragraph00491 \h \* CharFormat </w:instrText>
      </w:r>
      <w:r w:rsidRPr="00472687">
        <w:fldChar w:fldCharType="separate"/>
      </w:r>
      <w:r w:rsidRPr="00472687">
        <w:t>491</w:t>
      </w:r>
      <w:r w:rsidRPr="00472687">
        <w:fldChar w:fldCharType="end"/>
      </w:r>
      <w:r>
        <w:t>).</w:t>
      </w:r>
    </w:p>
    <w:p w:rsidR="00F524A5" w:rsidRPr="00472687" w:rsidRDefault="00F524A5" w:rsidP="00F524A5">
      <w:pPr>
        <w:pStyle w:val="JuHalpha"/>
        <w:numPr>
          <w:ilvl w:val="6"/>
          <w:numId w:val="18"/>
        </w:numPr>
        <w:tabs>
          <w:tab w:val="clear" w:pos="1361"/>
        </w:tabs>
        <w:ind w:left="1701" w:hanging="425"/>
      </w:pPr>
      <w:r>
        <w:t>Existența unei contestații reale și serioase</w:t>
      </w:r>
    </w:p>
    <w:bookmarkStart w:id="1025" w:name="paragraph00604"/>
    <w:p w:rsidR="00F524A5" w:rsidRPr="00472687" w:rsidRDefault="00F524A5" w:rsidP="00F524A5">
      <w:pPr>
        <w:pStyle w:val="JuPara"/>
        <w:rPr>
          <w:b/>
          <w:bCs/>
        </w:rPr>
      </w:pPr>
      <w:r w:rsidRPr="00472687">
        <w:fldChar w:fldCharType="begin"/>
      </w:r>
      <w:r w:rsidRPr="00472687">
        <w:instrText xml:space="preserve"> SEQ level0 \*arabic \* MERGEFORMAT </w:instrText>
      </w:r>
      <w:r w:rsidRPr="00472687">
        <w:fldChar w:fldCharType="separate"/>
      </w:r>
      <w:r w:rsidRPr="00472687">
        <w:t>603</w:t>
      </w:r>
      <w:r w:rsidRPr="00472687">
        <w:fldChar w:fldCharType="end"/>
      </w:r>
      <w:bookmarkEnd w:id="1025"/>
      <w:r>
        <w:t>. Pentru ca art. 6 să fie aplicabil, este necesar să existe o contestație, care trebuie să fie reală și serioasă și care poate să privească atât existența însăși a unui drept, cât și întinderea acestuia sau modalitățile de exercitare a acestuia (supra, pct. </w:t>
      </w:r>
      <w:r w:rsidRPr="00472687">
        <w:fldChar w:fldCharType="begin"/>
      </w:r>
      <w:r w:rsidRPr="00472687">
        <w:instrText xml:space="preserve">REF paragraph00597 \h \* CharFormat </w:instrText>
      </w:r>
      <w:r w:rsidRPr="00472687">
        <w:fldChar w:fldCharType="separate"/>
      </w:r>
      <w:r w:rsidRPr="00472687">
        <w:t>596</w:t>
      </w:r>
      <w:r w:rsidRPr="00472687">
        <w:fldChar w:fldCharType="end"/>
      </w:r>
      <w:r>
        <w:t>). Existența unei contestații implică faptul că există un dezacord. Cu toate acestea, spiritul Convenției impune ca termenul „contestație” să nu fie interpretat într-un mod prea tehnic și să i se dea o definiție mai degrabă materială decât formală (</w:t>
      </w:r>
      <w:r>
        <w:rPr>
          <w:i/>
        </w:rPr>
        <w:t>Le Compte, Van Leuven și De Meyere împotriva Belgiei</w:t>
      </w:r>
      <w:r>
        <w:t xml:space="preserve">, 23 iunie 1981, pct. 45, seria A nr. 43, și </w:t>
      </w:r>
      <w:r>
        <w:rPr>
          <w:i/>
        </w:rPr>
        <w:t>Cipolletta împotriva Italiei</w:t>
      </w:r>
      <w:r>
        <w:t>, nr. 38259/09, pct. 31</w:t>
      </w:r>
      <w:r>
        <w:noBreakHyphen/>
        <w:t>32, 11 ianuarie 2018, cu trimiterile suplimentare).</w:t>
      </w:r>
    </w:p>
    <w:bookmarkStart w:id="1026" w:name="paragraph0060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604</w:t>
      </w:r>
      <w:r w:rsidRPr="00472687">
        <w:fldChar w:fldCharType="end"/>
      </w:r>
      <w:bookmarkEnd w:id="1026"/>
      <w:r>
        <w:t xml:space="preserve">. Curtea și-a exprimat disponibilitatea de a admite caracterul real și serios al contestațiilor care au ca obiect probleme de mediu. A dedus această concluzie în special din faptul că acțiunea introdusă la nivel intern a fost declarată admisibilă (a se vedea, de exemplu, </w:t>
      </w:r>
      <w:r>
        <w:rPr>
          <w:i/>
        </w:rPr>
        <w:t>Balmer-Schafroth și alții</w:t>
      </w:r>
      <w:r>
        <w:t xml:space="preserve">, citată anterior, pct. 38, și </w:t>
      </w:r>
      <w:r>
        <w:rPr>
          <w:i/>
        </w:rPr>
        <w:t>Athanassoglou și alții</w:t>
      </w:r>
      <w:r>
        <w:t>, citată anterior, pct. 45), din motivele invocate de reclamant, pe fond, în fața instanței interne (</w:t>
      </w:r>
      <w:r>
        <w:rPr>
          <w:i/>
        </w:rPr>
        <w:t>Asociația Burestop 55 și altele</w:t>
      </w:r>
      <w:r>
        <w:t>, citată anterior, pct. 59), sau din motivele reținute de instanța internă pentru a respinge o anumită acțiune (</w:t>
      </w:r>
      <w:r>
        <w:rPr>
          <w:i/>
        </w:rPr>
        <w:t>Collectif national d’information et d’opposition à l’usine Melox – Collectif Stop Melox et Mox</w:t>
      </w:r>
      <w:r>
        <w:t>, decizie citată anterior).</w:t>
      </w:r>
    </w:p>
    <w:p w:rsidR="00F524A5" w:rsidRPr="00472687" w:rsidRDefault="00F524A5" w:rsidP="00F524A5">
      <w:pPr>
        <w:pStyle w:val="JuHalpha"/>
        <w:numPr>
          <w:ilvl w:val="6"/>
          <w:numId w:val="18"/>
        </w:numPr>
        <w:tabs>
          <w:tab w:val="clear" w:pos="1361"/>
        </w:tabs>
        <w:ind w:left="1701" w:hanging="425"/>
      </w:pPr>
      <w:r>
        <w:t>Cu privire la aspectul dacă rezultatul procedurii este „în mod direct decisiv” pentru dreptul reclamantului</w:t>
      </w:r>
    </w:p>
    <w:bookmarkStart w:id="1027" w:name="paragraph00606"/>
    <w:p w:rsidR="00F524A5" w:rsidRPr="00472687" w:rsidRDefault="00F524A5" w:rsidP="00F524A5">
      <w:pPr>
        <w:pStyle w:val="JuPara"/>
        <w:rPr>
          <w:rFonts w:ascii="Segoe UI" w:eastAsia="Times New Roman" w:hAnsi="Segoe UI" w:cs="Segoe UI"/>
          <w:color w:val="000000"/>
        </w:rPr>
      </w:pPr>
      <w:r w:rsidRPr="00472687">
        <w:fldChar w:fldCharType="begin"/>
      </w:r>
      <w:r w:rsidRPr="00472687">
        <w:instrText xml:space="preserve"> SEQ level0 \*arabic \* MERGEFORMAT </w:instrText>
      </w:r>
      <w:r w:rsidRPr="00472687">
        <w:fldChar w:fldCharType="separate"/>
      </w:r>
      <w:r w:rsidRPr="00472687">
        <w:t>605</w:t>
      </w:r>
      <w:r w:rsidRPr="00472687">
        <w:fldChar w:fldCharType="end"/>
      </w:r>
      <w:bookmarkEnd w:id="1027"/>
      <w:r>
        <w:t>. Aspectul dacă rezultatul procedurii poate fi considerat în mod direct decisiv pentru dreptul în cauză depinde de natura dreptului invocat, precum și de obiectul procedurii în cauză.</w:t>
      </w:r>
    </w:p>
    <w:bookmarkStart w:id="1028" w:name="paragraph0060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606</w:t>
      </w:r>
      <w:r w:rsidRPr="00472687">
        <w:fldChar w:fldCharType="end"/>
      </w:r>
      <w:bookmarkEnd w:id="1028"/>
      <w:r>
        <w:t xml:space="preserve">. În materie de mediu, în hotărârea </w:t>
      </w:r>
      <w:r>
        <w:rPr>
          <w:i/>
        </w:rPr>
        <w:t>Balmer-Schafroth</w:t>
      </w:r>
      <w:r>
        <w:t xml:space="preserve"> </w:t>
      </w:r>
      <w:r>
        <w:rPr>
          <w:i/>
        </w:rPr>
        <w:t xml:space="preserve">și alții </w:t>
      </w:r>
      <w:r>
        <w:t xml:space="preserve">(citată anterior, pct. 40), Curtea a considerat că reclamanții nu au demonstrat că erau </w:t>
      </w:r>
      <w:r>
        <w:lastRenderedPageBreak/>
        <w:t>expuși personal, din cauza funcționării unei centrale, unui pericol care era nu doar serios, ci și specific și, mai presus de toate, iminent.</w:t>
      </w:r>
      <w:r>
        <w:rPr>
          <w:rFonts w:ascii="Segoe UI" w:hAnsi="Segoe UI"/>
          <w:color w:val="000000"/>
        </w:rPr>
        <w:t xml:space="preserve"> </w:t>
      </w:r>
      <w:r>
        <w:t xml:space="preserve">Curtea a ajuns la o concluzie similară în hotărârea </w:t>
      </w:r>
      <w:r>
        <w:rPr>
          <w:i/>
        </w:rPr>
        <w:t>Athanassoglou și alții</w:t>
      </w:r>
      <w:r>
        <w:t xml:space="preserve"> (citată anterior, pct. 53-54), în care a apreciat că reclamanții au încercat, în realitate, să conteste însuși principiul utilizării energiei nucleare și că aceasta era o chestiune care trebuia decisă de fiecare stat contractant în funcție de procesul său democratic, și nu o chestiune care trebuia examinată din perspectiva art. 6 § 1. Aceasta a urmat aceeași abordare în multe alte cauze în care reclamanții s-au plâns, în esență, de un impact ipotetic asupra mediului, și nu de o încălcare specifică a drepturilor lor sau de un efect negativ asupra acestora [a se vedea, de exemplu, </w:t>
      </w:r>
      <w:r>
        <w:rPr>
          <w:i/>
        </w:rPr>
        <w:t xml:space="preserve">Folkman </w:t>
      </w:r>
      <w:r>
        <w:rPr>
          <w:i/>
          <w:iCs/>
        </w:rPr>
        <w:t>și alții</w:t>
      </w:r>
      <w:r>
        <w:t xml:space="preserve">, decizie citată anterior; </w:t>
      </w:r>
      <w:r>
        <w:rPr>
          <w:i/>
        </w:rPr>
        <w:t xml:space="preserve">Zapletal împotriva Republicii </w:t>
      </w:r>
      <w:r>
        <w:t xml:space="preserve">Cehe (dec.), nr. 12720/06, 30 noiembrie 2010; și </w:t>
      </w:r>
      <w:r>
        <w:rPr>
          <w:i/>
        </w:rPr>
        <w:t>Ivan Atanasov</w:t>
      </w:r>
      <w:r>
        <w:t>, citată anterior, pct. 92].</w:t>
      </w:r>
    </w:p>
    <w:bookmarkStart w:id="1029" w:name="paragraph0060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607</w:t>
      </w:r>
      <w:r w:rsidRPr="00472687">
        <w:fldChar w:fldCharType="end"/>
      </w:r>
      <w:bookmarkEnd w:id="1029"/>
      <w:r>
        <w:t xml:space="preserve">. În schimb, în cazul în care consecințele negative asupra mediului în ceea ce privește drepturile unui reclamant erau imediate și certe, Curtea a considerat că litigiul în cauză intra sub incidența art. 6 § 1 (a se vedea, de exemplu, </w:t>
      </w:r>
      <w:r>
        <w:rPr>
          <w:i/>
        </w:rPr>
        <w:t>L’Erablière A.S.B.L.</w:t>
      </w:r>
      <w:r>
        <w:t xml:space="preserve">, citată anterior, pct. 28-29; </w:t>
      </w:r>
      <w:r>
        <w:rPr>
          <w:i/>
        </w:rPr>
        <w:t>Zander</w:t>
      </w:r>
      <w:r>
        <w:t xml:space="preserve">, citată anterior, pct. 26; </w:t>
      </w:r>
      <w:r>
        <w:rPr>
          <w:i/>
        </w:rPr>
        <w:t>Taşkın și alții</w:t>
      </w:r>
      <w:r>
        <w:t xml:space="preserve">, citată anterior, pct. 133; și </w:t>
      </w:r>
      <w:r>
        <w:rPr>
          <w:i/>
        </w:rPr>
        <w:t>Asociația Burestop 55 și altele</w:t>
      </w:r>
      <w:r>
        <w:t>, citată anterior, pct. 59).</w:t>
      </w:r>
    </w:p>
    <w:p w:rsidR="00F524A5" w:rsidRPr="00472687" w:rsidRDefault="00F524A5" w:rsidP="00F524A5">
      <w:pPr>
        <w:pStyle w:val="JuHi"/>
        <w:numPr>
          <w:ilvl w:val="5"/>
          <w:numId w:val="18"/>
        </w:numPr>
        <w:tabs>
          <w:tab w:val="clear" w:pos="1077"/>
          <w:tab w:val="clear" w:pos="1134"/>
          <w:tab w:val="clear" w:pos="1191"/>
          <w:tab w:val="clear" w:pos="1247"/>
        </w:tabs>
        <w:ind w:left="1276" w:hanging="425"/>
      </w:pPr>
      <w:bookmarkStart w:id="1030" w:name="_Toc199273589"/>
      <w:r>
        <w:t>Aplicabilitatea art. 6 § 1 în contextul schimbărilor climatice</w:t>
      </w:r>
      <w:bookmarkEnd w:id="1030"/>
    </w:p>
    <w:p w:rsidR="00F524A5" w:rsidRPr="00472687" w:rsidRDefault="00C71855" w:rsidP="00F524A5">
      <w:pPr>
        <w:pStyle w:val="JuPara"/>
      </w:pPr>
      <w:fldSimple w:instr=" SEQ level0 \*arabic \* MERGEFORMAT ">
        <w:r w:rsidR="00F524A5" w:rsidRPr="00472687">
          <w:t>608</w:t>
        </w:r>
      </w:fldSimple>
      <w:r w:rsidR="00F524A5">
        <w:t>. Principiile generale sus-menționate referitoare la aplicabilitatea art. 6 § 1 sunt valabile, de asemenea, în contextul actual al schimbărilor climatice, fiind de la sine înțeles că aplicarea acestor principii poate impune luarea în considerare a particularităților litigiilor privind clima. Cu alte cuvinte, deși caracteristicile acestui domeniu</w:t>
      </w:r>
      <w:r w:rsidR="00F524A5">
        <w:rPr>
          <w:b/>
        </w:rPr>
        <w:t xml:space="preserve"> </w:t>
      </w:r>
      <w:r w:rsidR="00F524A5">
        <w:t>nu determină în prezent Curtea să își revizuiască jurisprudența solidă referitoare la</w:t>
      </w:r>
      <w:r w:rsidR="00F524A5">
        <w:rPr>
          <w:b/>
        </w:rPr>
        <w:t xml:space="preserve"> </w:t>
      </w:r>
      <w:r w:rsidR="00F524A5">
        <w:t>art. 6, acestea vor avea totuși consecințe inevitabile asupra aplicării jurisprudenței respective, în ceea ce privește atât criteriile referitoare la aplicabilitatea art. 6, cât și aprecierea cu privire la respectarea cerințelor care decurg din această dispoziție.</w:t>
      </w:r>
    </w:p>
    <w:bookmarkStart w:id="1031" w:name="paragraph00610"/>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609</w:t>
      </w:r>
      <w:r w:rsidRPr="00472687">
        <w:fldChar w:fldCharType="end"/>
      </w:r>
      <w:bookmarkEnd w:id="1031"/>
      <w:r>
        <w:t>. Astfel cum s-a reamintit mai sus, art. 6 din Convenție nu garantează dreptul de acces la o instanță care are competența să invalideze sau să înlocuiască o lege adoptată de Parlament (supra, pct. </w:t>
      </w:r>
      <w:r w:rsidRPr="00472687">
        <w:fldChar w:fldCharType="begin"/>
      </w:r>
      <w:r w:rsidRPr="00472687">
        <w:instrText xml:space="preserve">REF paragraph00595 \h \* CharFormat </w:instrText>
      </w:r>
      <w:r w:rsidRPr="00472687">
        <w:fldChar w:fldCharType="separate"/>
      </w:r>
      <w:r w:rsidRPr="00472687">
        <w:t>594</w:t>
      </w:r>
      <w:r w:rsidRPr="00472687">
        <w:fldChar w:fldCharType="end"/>
      </w:r>
      <w:r>
        <w:t xml:space="preserve"> și </w:t>
      </w:r>
      <w:r w:rsidRPr="00472687">
        <w:fldChar w:fldCharType="begin"/>
      </w:r>
      <w:r w:rsidRPr="00472687">
        <w:instrText xml:space="preserve">REF paragraph00601 \h \* CharFormat </w:instrText>
      </w:r>
      <w:r w:rsidRPr="00472687">
        <w:fldChar w:fldCharType="separate"/>
      </w:r>
      <w:r w:rsidRPr="00472687">
        <w:t>600</w:t>
      </w:r>
      <w:r w:rsidRPr="00472687">
        <w:fldChar w:fldCharType="end"/>
      </w:r>
      <w:r>
        <w:t>). În consecință, această dispoziție nu poate fi invocată pentru a introduce, în fața unei instanțe, o acțiune care are ca scop obligarea Parlamentului să adopte o lege. În schimb, art. 6 se poate aplica în cazul în care dreptul intern prevede accesul individual la o procedură în fața unei curți constituționale sau a unei alte instanțe superioare similare care este competentă să soluționeze o acțiune îndreptată direct împotriva unei legi (</w:t>
      </w:r>
      <w:r>
        <w:rPr>
          <w:i/>
        </w:rPr>
        <w:t>Xero Flor w Polsce sp. z o.o. împotriva Poloniei</w:t>
      </w:r>
      <w:r>
        <w:t>, nr. 4907/18, pct. 190, 7 mai 2021, cu trimiterile suplimentare).</w:t>
      </w:r>
    </w:p>
    <w:p w:rsidR="00F524A5" w:rsidRPr="00472687" w:rsidRDefault="00C71855" w:rsidP="00F524A5">
      <w:pPr>
        <w:pStyle w:val="JuPara"/>
      </w:pPr>
      <w:fldSimple w:instr=" SEQ level0 \*arabic \* MERGEFORMAT ">
        <w:r w:rsidR="00F524A5" w:rsidRPr="00472687">
          <w:t>610</w:t>
        </w:r>
      </w:fldSimple>
      <w:r w:rsidR="00F524A5">
        <w:t xml:space="preserve">. Astfel cum s-a precizat mai sus, poate exista o legătură de cauzalitate relevantă din punct de vedere juridic între acțiunile și/sau omisiunile statului și prejudiciul sau riscul producerii unui prejudiciu care afectează persoane </w:t>
      </w:r>
      <w:r w:rsidR="00F524A5">
        <w:lastRenderedPageBreak/>
        <w:t>(supra, pct. </w:t>
      </w:r>
      <w:r w:rsidR="00F524A5" w:rsidRPr="00472687">
        <w:fldChar w:fldCharType="begin"/>
      </w:r>
      <w:r w:rsidR="00F524A5" w:rsidRPr="00472687">
        <w:instrText xml:space="preserve"> REF paragraph00431 \h  \* CharFormat </w:instrText>
      </w:r>
      <w:r w:rsidR="00F524A5" w:rsidRPr="00472687">
        <w:fldChar w:fldCharType="separate"/>
      </w:r>
      <w:r w:rsidR="00F524A5" w:rsidRPr="00472687">
        <w:t>431</w:t>
      </w:r>
      <w:r w:rsidR="00F524A5" w:rsidRPr="00472687">
        <w:fldChar w:fldCharType="end"/>
      </w:r>
      <w:r w:rsidR="00F524A5">
        <w:t xml:space="preserve"> și </w:t>
      </w:r>
      <w:r w:rsidR="00F524A5" w:rsidRPr="00472687">
        <w:rPr>
          <w:b/>
        </w:rPr>
        <w:fldChar w:fldCharType="begin"/>
      </w:r>
      <w:r w:rsidR="00F524A5" w:rsidRPr="00472687">
        <w:instrText xml:space="preserve">REF paragraph00519 \h \* CharFormat </w:instrText>
      </w:r>
      <w:r w:rsidR="00F524A5" w:rsidRPr="00472687">
        <w:rPr>
          <w:b/>
        </w:rPr>
      </w:r>
      <w:r w:rsidR="00F524A5" w:rsidRPr="00472687">
        <w:rPr>
          <w:b/>
        </w:rPr>
        <w:fldChar w:fldCharType="separate"/>
      </w:r>
      <w:r w:rsidR="00F524A5" w:rsidRPr="00472687">
        <w:t>519</w:t>
      </w:r>
      <w:r w:rsidR="00F524A5" w:rsidRPr="00472687">
        <w:rPr>
          <w:b/>
        </w:rPr>
        <w:fldChar w:fldCharType="end"/>
      </w:r>
      <w:r w:rsidR="00F524A5">
        <w:t>). În cazul în care drepturile implicate sunt recunoscute în legislația internă, se poate afla în joc un drept „cu caracter civil” în sensul art. 6. În plus, este important de subliniat faptul că, întrucât participarea publicului și accesul la informații referitoare la probleme de mediu (recunoscute pe scară largă în dreptul internațional al mediului) constituie drepturi recunoscute în legislația internă, acest lucru poate conduce la concluzia că există un drept „cu caracter civil” în sensul art. 6. Astfel, prezența acestor drepturi în legislația națională poate conduce, de asemenea, la concluzia că se află în joc un drept „cu caracter civil” în sensul art. 6 § 1.</w:t>
      </w:r>
    </w:p>
    <w:bookmarkStart w:id="1032" w:name="paragraph00612"/>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611</w:t>
      </w:r>
      <w:r w:rsidRPr="00472687">
        <w:fldChar w:fldCharType="end"/>
      </w:r>
      <w:bookmarkEnd w:id="1032"/>
      <w:r>
        <w:t>. În plus, trebuie remarcat faptul că problema stabilirii existenței unei contestații sau a unui dezacord reale și serioase cu privire la modul de asigurare a respectării unui astfel de drept trebuie să fie soluționată în funcție de circumstanțele specifice fiecărei cauze (supra, pct. </w:t>
      </w:r>
      <w:r w:rsidRPr="00472687">
        <w:fldChar w:fldCharType="begin"/>
      </w:r>
      <w:r w:rsidRPr="00472687">
        <w:instrText xml:space="preserve">REF paragraph00604 \h \* CharFormat </w:instrText>
      </w:r>
      <w:r w:rsidRPr="00472687">
        <w:fldChar w:fldCharType="separate"/>
      </w:r>
      <w:r w:rsidRPr="00472687">
        <w:t>603</w:t>
      </w:r>
      <w:r w:rsidRPr="00472687">
        <w:fldChar w:fldCharType="end"/>
      </w:r>
      <w:r>
        <w:t>-</w:t>
      </w:r>
      <w:r w:rsidRPr="00472687">
        <w:fldChar w:fldCharType="begin"/>
      </w:r>
      <w:r w:rsidRPr="00472687">
        <w:instrText xml:space="preserve">REF paragraph00605 \h \* CharFormat </w:instrText>
      </w:r>
      <w:r w:rsidRPr="00472687">
        <w:fldChar w:fldCharType="separate"/>
      </w:r>
      <w:r w:rsidRPr="00472687">
        <w:t>604</w:t>
      </w:r>
      <w:r w:rsidRPr="00472687">
        <w:fldChar w:fldCharType="end"/>
      </w:r>
      <w:r>
        <w:t>).</w:t>
      </w:r>
    </w:p>
    <w:bookmarkStart w:id="1033" w:name="paragraph00613"/>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612</w:t>
      </w:r>
      <w:r w:rsidRPr="00472687">
        <w:fldChar w:fldCharType="end"/>
      </w:r>
      <w:bookmarkEnd w:id="1033"/>
      <w:r>
        <w:t>. În sfârșit, în ceea ce privește cerința potrivit căreia rezultatul procedurii în cauză trebuie să fie „în mod direct decisiv” pentru dreptul reclamantului, Curtea observă că există o anumită legătură între, pe de o parte, cerința care decurge din art. 6, potrivit căreia rezultatul procedurii trebuie să fie în mod direct decisiv pentru drepturile reclamantului invocate în temeiul legislației interne, și, pe de altă parte, elementele de apreciere pe care Curtea le-a considerat relevante pentru definirea criteriilor care permit stabilirea calității de victimă, precum și a celor referitoare la aplicabilitatea art. 8 (a se vedea, de exemplu, abordarea adoptată în</w:t>
      </w:r>
      <w:r>
        <w:rPr>
          <w:i/>
        </w:rPr>
        <w:t xml:space="preserve"> Athanassoglou și alții, </w:t>
      </w:r>
      <w:r>
        <w:t xml:space="preserve">pct. 59, și </w:t>
      </w:r>
      <w:r>
        <w:rPr>
          <w:i/>
        </w:rPr>
        <w:t xml:space="preserve">Ivan Atanasov, </w:t>
      </w:r>
      <w:r>
        <w:t>pct. 78 și 93, hotărâri citate anterior).</w:t>
      </w:r>
    </w:p>
    <w:bookmarkStart w:id="1034" w:name="paragraph0061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613</w:t>
      </w:r>
      <w:r w:rsidRPr="00472687">
        <w:fldChar w:fldCharType="end"/>
      </w:r>
      <w:bookmarkEnd w:id="1034"/>
      <w:r>
        <w:t xml:space="preserve">. În plus, obiectul procedurii are un impact asupra aspectului dacă rezultatul acestei proceduri poate fi considerat decisiv pentru dreptul invocat. În această privință, trebuie subliniat că, în majoritatea cauzelor referitoare la probleme de mediu care au fost examinate de Curte până în prezent, procedura privea aspecte legate de autorizația de exploatare a unei anumite instalații sau de condițiile acestei exploatări. În astfel de situații, în care exploatarea prejudiciabilă sau continuarea acesteia depinde de rezultatul procedurii, de multe ori pare să fie clar faptul că acest rezultat ar fi în mod direct decisiv pentru drepturile invocate de persoanele care sunt afectate și care au calitatea de victimă (a se vedea, de exemplu, </w:t>
      </w:r>
      <w:r>
        <w:rPr>
          <w:i/>
        </w:rPr>
        <w:t>Zander</w:t>
      </w:r>
      <w:r>
        <w:t xml:space="preserve">, citată anterior, pct. 24 </w:t>
      </w:r>
      <w:r>
        <w:rPr>
          <w:i/>
        </w:rPr>
        <w:t>in fine</w:t>
      </w:r>
      <w:r>
        <w:t xml:space="preserve">; a se vedea, de asemenea, </w:t>
      </w:r>
      <w:r>
        <w:rPr>
          <w:i/>
        </w:rPr>
        <w:t>a contrario</w:t>
      </w:r>
      <w:r>
        <w:t xml:space="preserve">, </w:t>
      </w:r>
      <w:r>
        <w:rPr>
          <w:i/>
        </w:rPr>
        <w:t>Balmer-Schafroth și alții</w:t>
      </w:r>
      <w:r>
        <w:t xml:space="preserve">, pct. 40, și </w:t>
      </w:r>
      <w:r>
        <w:rPr>
          <w:i/>
        </w:rPr>
        <w:t xml:space="preserve">Athanassoglou </w:t>
      </w:r>
      <w:r>
        <w:t>și alții, pct. 54</w:t>
      </w:r>
      <w:r>
        <w:noBreakHyphen/>
        <w:t>55, hotărâri citate anterior).</w:t>
      </w:r>
      <w:r>
        <w:rPr>
          <w:rFonts w:ascii="Segoe UI" w:hAnsi="Segoe UI"/>
          <w:color w:val="000000"/>
        </w:rPr>
        <w:t xml:space="preserve"> </w:t>
      </w:r>
      <w:r>
        <w:t>Cu toate acestea, în contextul unui litigiu privind clima, este posibil ca obiectul procedurii să aibă o sferă mai largă, astfel încât problema stabilirii dacă acest obiect poate fi considerat în mod direct decisiv pentru drepturile invocate ocupă un loc distinct și mai important.</w:t>
      </w:r>
    </w:p>
    <w:bookmarkStart w:id="1035" w:name="paragraph00615"/>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614</w:t>
      </w:r>
      <w:r w:rsidRPr="00472687">
        <w:fldChar w:fldCharType="end"/>
      </w:r>
      <w:bookmarkEnd w:id="1035"/>
      <w:r>
        <w:t xml:space="preserve">. În același timp, diferitele elemente ale analizei efectuate cu privire la acest aspect, în special noțiunea de prejudiciu sau de pericol iminent, nu pot fi aplicate fără a se ține seama în mod corespunzător de natura specifică a riscurilor legate de schimbările climatice, în special cea a riscului unor consecințe ireversibile și a corolarului acestora, gravitatea prejudiciului. În </w:t>
      </w:r>
      <w:r>
        <w:lastRenderedPageBreak/>
        <w:t>cazul în care un prejudiciu viitor nu este doar ipotetic, ci este real și foarte probabil (sau, practic, este cert), în lipsa unor măsuri corective adecvate, faptul că acest prejudiciu nu este strict iminent nu trebuie, în sine, să conducă la concluzia că rezultatul procedurii nu ar fi decisiv pentru atenuarea sau reducerea acestuia.</w:t>
      </w:r>
      <w:r>
        <w:rPr>
          <w:rFonts w:ascii="Segoe UI" w:hAnsi="Segoe UI"/>
          <w:color w:val="000000"/>
        </w:rPr>
        <w:t xml:space="preserve"> </w:t>
      </w:r>
      <w:r>
        <w:t>O astfel de abordare ar avea ca efect limitarea nejustificată a accesului la o instanță în ceea ce privește multe dintre riscurile majore asociate schimbărilor climatice. Acest lucru este valabil în special pentru acțiunile în justiție introduse de asociații. În domeniul schimbărilor climatice, aceste acțiuni în justiție trebuie privite în lumina rolului pe care îl joacă asociațiile în măsura în care acestea le permit persoanelor afectate de fenomenul în cauză, inclusiv celor care sunt dezavantajate semnificativ în ceea ce privește reprezentarea, să își apere drepturile prevăzute de Convenție și să solicite obținerea de măsuri corective adecvate pentru pretinsele neîndepliniri ale obligațiilor și omisiuni imputate autorităților în materie.</w:t>
      </w:r>
    </w:p>
    <w:p w:rsidR="00F524A5" w:rsidRPr="00472687" w:rsidRDefault="00F524A5" w:rsidP="00F524A5">
      <w:pPr>
        <w:pStyle w:val="JuHi"/>
        <w:numPr>
          <w:ilvl w:val="5"/>
          <w:numId w:val="18"/>
        </w:numPr>
        <w:tabs>
          <w:tab w:val="clear" w:pos="1077"/>
          <w:tab w:val="clear" w:pos="1134"/>
          <w:tab w:val="clear" w:pos="1191"/>
          <w:tab w:val="clear" w:pos="1247"/>
        </w:tabs>
        <w:ind w:left="1276" w:hanging="425"/>
      </w:pPr>
      <w:bookmarkStart w:id="1036" w:name="_Toc199273590"/>
      <w:r>
        <w:t>Aplicarea în prezenta cauză a principiilor și considerațiilor de mai sus</w:t>
      </w:r>
      <w:bookmarkEnd w:id="1036"/>
    </w:p>
    <w:bookmarkStart w:id="1037" w:name="paragraph0061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615</w:t>
      </w:r>
      <w:r w:rsidRPr="00472687">
        <w:fldChar w:fldCharType="end"/>
      </w:r>
      <w:bookmarkEnd w:id="1037"/>
      <w:r>
        <w:t>. Curtea observă că acțiunea introdusă de reclamante la nivel intern privea, în mare măsură, o cerere de adoptare a unor măsuri legislative și de reglementare, care nu intra în domeniul de aplicare al art. 6 § 1</w:t>
      </w:r>
      <w:r>
        <w:rPr>
          <w:b/>
        </w:rPr>
        <w:t xml:space="preserve"> </w:t>
      </w:r>
      <w:r>
        <w:t>(a se vedea punctele 1-3 și anumite aspecte de la punctul 4 din pretențiile lor, supra, pct. </w:t>
      </w:r>
      <w:r w:rsidRPr="00472687">
        <w:fldChar w:fldCharType="begin"/>
      </w:r>
      <w:r w:rsidRPr="00472687">
        <w:instrText xml:space="preserve">REF paragraph00022 \h \* CharFormat </w:instrText>
      </w:r>
      <w:r w:rsidRPr="00472687">
        <w:fldChar w:fldCharType="separate"/>
      </w:r>
      <w:r w:rsidRPr="00472687">
        <w:t>22</w:t>
      </w:r>
      <w:r w:rsidRPr="00472687">
        <w:fldChar w:fldCharType="end"/>
      </w:r>
      <w:r>
        <w:t>). Cu toate acestea, acțiunea privea de asemenea, parțial, punerea în aplicare a unor măsuri care țineau de competența autorităților</w:t>
      </w:r>
      <w:r>
        <w:rPr>
          <w:b/>
        </w:rPr>
        <w:t xml:space="preserve"> </w:t>
      </w:r>
      <w:r>
        <w:t>în cauză și care se impuneau pentru ca statul să poată realiza obiectivul în vigoare – o reducere cu 20% a GES – și, astfel, să pună capăt omisiunilor nelegale</w:t>
      </w:r>
      <w:r>
        <w:rPr>
          <w:b/>
        </w:rPr>
        <w:t xml:space="preserve"> </w:t>
      </w:r>
      <w:r>
        <w:t>(a se vedea partea introductivă a punctului 4, supra, pct. </w:t>
      </w:r>
      <w:r w:rsidRPr="00472687">
        <w:fldChar w:fldCharType="begin"/>
      </w:r>
      <w:r w:rsidRPr="00472687">
        <w:instrText xml:space="preserve">REF paragraph00022 \h \* CharFormat </w:instrText>
      </w:r>
      <w:r w:rsidRPr="00472687">
        <w:fldChar w:fldCharType="separate"/>
      </w:r>
      <w:r w:rsidRPr="00472687">
        <w:t>22</w:t>
      </w:r>
      <w:r w:rsidRPr="00472687">
        <w:fldChar w:fldCharType="end"/>
      </w:r>
      <w:r>
        <w:t>). Reclamantele au solicitat de asemenea ca pretinsele omisiuni ale autorităților publice în domeniul schimbărilor climatice să fie declarate nelegale (punctul 5 din cererea reclamantelor).</w:t>
      </w:r>
      <w:r>
        <w:rPr>
          <w:rFonts w:ascii="Segoe UI" w:hAnsi="Segoe UI"/>
          <w:color w:val="000000"/>
        </w:rPr>
        <w:t xml:space="preserve"> </w:t>
      </w:r>
      <w:r>
        <w:t>Reclamantele au recunoscut că respectivul capăt de cerere formulat de acestea în cadrul acțiunii lor în fața TAF</w:t>
      </w:r>
      <w:r>
        <w:rPr>
          <w:b/>
        </w:rPr>
        <w:t xml:space="preserve"> </w:t>
      </w:r>
      <w:r>
        <w:t>prezenta aceste două aspecte</w:t>
      </w:r>
      <w:r>
        <w:rPr>
          <w:b/>
        </w:rPr>
        <w:t xml:space="preserve"> </w:t>
      </w:r>
      <w:r>
        <w:t>(supra, pct. </w:t>
      </w:r>
      <w:r w:rsidRPr="00472687">
        <w:fldChar w:fldCharType="begin"/>
      </w:r>
      <w:r w:rsidRPr="00472687">
        <w:instrText xml:space="preserve">REF paragraph00033 \h \* CharFormat </w:instrText>
      </w:r>
      <w:r w:rsidRPr="00472687">
        <w:fldChar w:fldCharType="separate"/>
      </w:r>
      <w:r w:rsidRPr="00472687">
        <w:t>33</w:t>
      </w:r>
      <w:r w:rsidRPr="00472687">
        <w:fldChar w:fldCharType="end"/>
      </w:r>
      <w:r>
        <w:t>).</w:t>
      </w:r>
    </w:p>
    <w:p w:rsidR="00F524A5" w:rsidRPr="00472687" w:rsidRDefault="00C71855" w:rsidP="00F524A5">
      <w:pPr>
        <w:pStyle w:val="JuPara"/>
      </w:pPr>
      <w:fldSimple w:instr=" SEQ level0 \*arabic \* MERGEFORMAT ">
        <w:r w:rsidR="00F524A5" w:rsidRPr="00472687">
          <w:t>616</w:t>
        </w:r>
      </w:fldSimple>
      <w:r w:rsidR="00F524A5">
        <w:t>. Capătul de cerere privind deciziile politice care fac obiectul proceselor democratice relevante nu intră în domeniul de aplicare al art. 6 (supra, pct. </w:t>
      </w:r>
      <w:r w:rsidR="00F524A5" w:rsidRPr="00472687">
        <w:fldChar w:fldCharType="begin"/>
      </w:r>
      <w:r w:rsidR="00F524A5" w:rsidRPr="00472687">
        <w:instrText xml:space="preserve">REF paragraph00595 \h \* CharFormat </w:instrText>
      </w:r>
      <w:r w:rsidR="00F524A5" w:rsidRPr="00472687">
        <w:fldChar w:fldCharType="separate"/>
      </w:r>
      <w:r w:rsidR="00F524A5" w:rsidRPr="00472687">
        <w:t>594</w:t>
      </w:r>
      <w:r w:rsidR="00F524A5" w:rsidRPr="00472687">
        <w:fldChar w:fldCharType="end"/>
      </w:r>
      <w:r w:rsidR="00F524A5">
        <w:t>); în schimb, cererea reclamantelor de punere în aplicare efectivă a măsurilor de atenuare prevăzute de dreptul în vigoare este o chestiune care poate intra în domeniul de aplicare al acestei dispoziții, cu condiția să fie îndeplinite celelalte criterii referitoare la aplicabilitatea art. 6 § 1.</w:t>
      </w:r>
    </w:p>
    <w:bookmarkStart w:id="1038" w:name="paragraph0061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617</w:t>
      </w:r>
      <w:r w:rsidRPr="00472687">
        <w:fldChar w:fldCharType="end"/>
      </w:r>
      <w:bookmarkEnd w:id="1038"/>
      <w:r>
        <w:t>. În ceea ce privește caracterul „civil” al dreptului,</w:t>
      </w:r>
      <w:r>
        <w:rPr>
          <w:b/>
        </w:rPr>
        <w:t xml:space="preserve"> </w:t>
      </w:r>
      <w:r>
        <w:t>reclamantele au invocat în special dreptul garantat de articolul 10 din Constituția Elveției (supra, pct. </w:t>
      </w:r>
      <w:r w:rsidRPr="00472687">
        <w:fldChar w:fldCharType="begin"/>
      </w:r>
      <w:r w:rsidRPr="00472687">
        <w:instrText xml:space="preserve">REF paragraph00121 \h \* CharFormat </w:instrText>
      </w:r>
      <w:r w:rsidRPr="00472687">
        <w:fldChar w:fldCharType="separate"/>
      </w:r>
      <w:r w:rsidRPr="00472687">
        <w:t>121</w:t>
      </w:r>
      <w:r w:rsidRPr="00472687">
        <w:fldChar w:fldCharType="end"/>
      </w:r>
      <w:r>
        <w:t>), referitor la care Curtea a avut deja ocazia să constate că acoperă nu doar dreptul la viață, ci și dreptul la protecția integrității fizice (</w:t>
      </w:r>
      <w:r>
        <w:rPr>
          <w:i/>
        </w:rPr>
        <w:t>Balmer-Schafroth și alții,</w:t>
      </w:r>
      <w:r>
        <w:t xml:space="preserve"> citată anterior, pct. 33</w:t>
      </w:r>
      <w:r>
        <w:noBreakHyphen/>
        <w:t>34).</w:t>
      </w:r>
      <w:r>
        <w:rPr>
          <w:rFonts w:ascii="Segoe UI" w:hAnsi="Segoe UI"/>
          <w:color w:val="000000"/>
        </w:rPr>
        <w:t xml:space="preserve"> </w:t>
      </w:r>
      <w:r>
        <w:t>Potrivit jurisprudenței constante a Curții, acestea constituie drepturi cu caracter civil, în sensul primei părți a analizei referitoare la aplicabilitatea art. 6 (supra, pct. </w:t>
      </w:r>
      <w:r w:rsidRPr="00472687">
        <w:fldChar w:fldCharType="begin"/>
      </w:r>
      <w:r w:rsidRPr="00472687">
        <w:instrText xml:space="preserve">REF paragraph00601 \h \* CharFormat  \* MERGEFORMAT </w:instrText>
      </w:r>
      <w:r w:rsidRPr="00472687">
        <w:fldChar w:fldCharType="separate"/>
      </w:r>
      <w:r w:rsidRPr="00472687">
        <w:t>600</w:t>
      </w:r>
      <w:r w:rsidRPr="00472687">
        <w:fldChar w:fldCharType="end"/>
      </w:r>
      <w:r>
        <w:t>).</w:t>
      </w:r>
    </w:p>
    <w:p w:rsidR="00F524A5" w:rsidRPr="00472687" w:rsidRDefault="00C71855" w:rsidP="00F524A5">
      <w:pPr>
        <w:pStyle w:val="JuPara"/>
      </w:pPr>
      <w:fldSimple w:instr=" SEQ level0 \*arabic \* MERGEFORMAT ">
        <w:r w:rsidR="00F524A5" w:rsidRPr="00472687">
          <w:t>618</w:t>
        </w:r>
      </w:fldSimple>
      <w:r w:rsidR="00F524A5">
        <w:t xml:space="preserve">. În această privință, Curtea observă că TF a respins acțiunea reclamantelor nr. 2-5 nu din cauza faptului că nu exista un drept pe care acestea îl puteau invoca, ci pentru că acesta a considerat că acțiunea inițiată de reclamante era o </w:t>
      </w:r>
      <w:r w:rsidR="00F524A5">
        <w:rPr>
          <w:i/>
        </w:rPr>
        <w:t>actio popularis</w:t>
      </w:r>
      <w:r w:rsidR="00F524A5">
        <w:t xml:space="preserve"> și că reclamantele  erau persoane particulare care nu suferiseră un prejudiciu suficient de grav (supra, pct. </w:t>
      </w:r>
      <w:r w:rsidR="00F524A5" w:rsidRPr="00472687">
        <w:fldChar w:fldCharType="begin"/>
      </w:r>
      <w:r w:rsidR="00F524A5" w:rsidRPr="00472687">
        <w:instrText xml:space="preserve">REF paragraph00059 \h \* CharFormat  \* MERGEFORMAT </w:instrText>
      </w:r>
      <w:r w:rsidR="00F524A5" w:rsidRPr="00472687">
        <w:fldChar w:fldCharType="separate"/>
      </w:r>
      <w:r w:rsidR="00F524A5" w:rsidRPr="00472687">
        <w:t>59</w:t>
      </w:r>
      <w:r w:rsidR="00F524A5" w:rsidRPr="00472687">
        <w:fldChar w:fldCharType="end"/>
      </w:r>
      <w:r w:rsidR="00F524A5">
        <w:t>).</w:t>
      </w:r>
      <w:r w:rsidR="00F524A5">
        <w:rPr>
          <w:rFonts w:ascii="Segoe UI" w:hAnsi="Segoe UI"/>
          <w:color w:val="000000"/>
        </w:rPr>
        <w:t xml:space="preserve"> </w:t>
      </w:r>
      <w:r w:rsidR="00F524A5">
        <w:t>În concluzie, nu se poate afirma că acțiunea reclamantelor individuale era inutilă, vexatorie sau nefondată pentru alte motive, în sensul dreptului intern relevant (supra, pct. </w:t>
      </w:r>
      <w:r w:rsidR="00F524A5" w:rsidRPr="00472687">
        <w:fldChar w:fldCharType="begin"/>
      </w:r>
      <w:r w:rsidR="00F524A5" w:rsidRPr="00472687">
        <w:instrText xml:space="preserve">REF paragraph00600 \h \* CharFormat </w:instrText>
      </w:r>
      <w:r w:rsidR="00F524A5" w:rsidRPr="00472687">
        <w:fldChar w:fldCharType="separate"/>
      </w:r>
      <w:r w:rsidR="00F524A5" w:rsidRPr="00472687">
        <w:t>599</w:t>
      </w:r>
      <w:r w:rsidR="00F524A5" w:rsidRPr="00472687">
        <w:fldChar w:fldCharType="end"/>
      </w:r>
      <w:r w:rsidR="00F524A5">
        <w:t>). Curtea nu poate subscrie la concluzia TF potrivit căreia cererea reclamantelor individuale nu poate fi considerată întemeiată în sensul art. 6 § 1 din Convenție (supra, pct. </w:t>
      </w:r>
      <w:r w:rsidR="00F524A5" w:rsidRPr="00472687">
        <w:fldChar w:fldCharType="begin"/>
      </w:r>
      <w:r w:rsidR="00F524A5" w:rsidRPr="00472687">
        <w:instrText xml:space="preserve">REF paragraph00061 \h \* CharFormat </w:instrText>
      </w:r>
      <w:r w:rsidR="00F524A5" w:rsidRPr="00472687">
        <w:fldChar w:fldCharType="separate"/>
      </w:r>
      <w:r w:rsidR="00F524A5" w:rsidRPr="00472687">
        <w:t>61</w:t>
      </w:r>
      <w:r w:rsidR="00F524A5" w:rsidRPr="00472687">
        <w:fldChar w:fldCharType="end"/>
      </w:r>
      <w:r w:rsidR="00F524A5">
        <w:t>). În plus, în ceea ce privește asociația reclamantă, deși TF nu s-a pronunțat asupra aspectului dacă aceasta avea calitate procesuală în fața sa, Curtea subliniază că acțiunea inițiată de asociație se întemeia pe amenințarea legată de efectele nefaste ale schimbărilor climatice, în măsura în care acestea afectau sănătatea și bunăstarea membrelor sale</w:t>
      </w:r>
      <w:r w:rsidR="00F524A5">
        <w:rPr>
          <w:i/>
        </w:rPr>
        <w:t xml:space="preserve"> (Gorraiz Lizarraga și alții,</w:t>
      </w:r>
      <w:r w:rsidR="00F524A5">
        <w:t xml:space="preserve"> citată anterior, pct. 46). Curtea consideră că interesele apărate de asociația reclamantă sunt de o asemenea natură încât „contestația” formulată de aceasta avea o legătură directă și suficientă cu drepturile în cauză ale membrelor sale, având în vedere rolul specific jucat de asociații în contextul schimbărilor climatice (supra, pct. </w:t>
      </w:r>
      <w:r w:rsidR="00F524A5" w:rsidRPr="00472687">
        <w:fldChar w:fldCharType="begin"/>
      </w:r>
      <w:r w:rsidR="00F524A5" w:rsidRPr="00472687">
        <w:instrText xml:space="preserve"> REF paragraph00615 \h  \* CharFormat  \* MERGEFORMAT </w:instrText>
      </w:r>
      <w:r w:rsidR="00F524A5" w:rsidRPr="00472687">
        <w:fldChar w:fldCharType="separate"/>
      </w:r>
      <w:r w:rsidR="00F524A5" w:rsidRPr="00472687">
        <w:t>614</w:t>
      </w:r>
      <w:r w:rsidR="00F524A5" w:rsidRPr="00472687">
        <w:fldChar w:fldCharType="end"/>
      </w:r>
      <w:r w:rsidR="00F524A5">
        <w:t>).</w:t>
      </w:r>
    </w:p>
    <w:p w:rsidR="00F524A5" w:rsidRPr="00472687" w:rsidRDefault="00C71855" w:rsidP="00F524A5">
      <w:pPr>
        <w:pStyle w:val="JuPara"/>
      </w:pPr>
      <w:fldSimple w:instr=" SEQ level0 \*arabic \* MERGEFORMAT ">
        <w:r w:rsidR="00F524A5" w:rsidRPr="00472687">
          <w:t>619</w:t>
        </w:r>
      </w:fldSimple>
      <w:r w:rsidR="00F524A5">
        <w:t>. Considerațiile precedente sunt de asemenea importante pentru clarificarea celui de-al doilea criteriu de stabilire a aplicabilității art. 6, și anume existența unei contestații sau a unui dezacord reale și serioase cu privire la respectarea dreptului în cauză (supra, pct. </w:t>
      </w:r>
      <w:r w:rsidR="00F524A5" w:rsidRPr="00472687">
        <w:fldChar w:fldCharType="begin"/>
      </w:r>
      <w:r w:rsidR="00F524A5" w:rsidRPr="00472687">
        <w:instrText xml:space="preserve">REF paragraph00612 \h \* CharFormat </w:instrText>
      </w:r>
      <w:r w:rsidR="00F524A5" w:rsidRPr="00472687">
        <w:fldChar w:fldCharType="separate"/>
      </w:r>
      <w:r w:rsidR="00F524A5" w:rsidRPr="00472687">
        <w:t>611</w:t>
      </w:r>
      <w:r w:rsidR="00F524A5" w:rsidRPr="00472687">
        <w:fldChar w:fldCharType="end"/>
      </w:r>
      <w:r w:rsidR="00F524A5">
        <w:t>), condiție care era, fără îndoială, îndeplinită în speță.</w:t>
      </w:r>
    </w:p>
    <w:bookmarkStart w:id="1039" w:name="paragraph0062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620</w:t>
      </w:r>
      <w:r w:rsidRPr="00472687">
        <w:fldChar w:fldCharType="end"/>
      </w:r>
      <w:bookmarkEnd w:id="1039"/>
      <w:r>
        <w:t>. În sfârșit, în ceea ce privește cel de-al treilea criteriu – aspectul dacă rezultatul procedurii era „în mod direct decisiv” pentru drepturile reclamantelor – Curtea observă următoarele.</w:t>
      </w:r>
    </w:p>
    <w:bookmarkStart w:id="1040" w:name="paragraph00622"/>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621</w:t>
      </w:r>
      <w:r w:rsidRPr="00472687">
        <w:fldChar w:fldCharType="end"/>
      </w:r>
      <w:bookmarkEnd w:id="1040"/>
      <w:r>
        <w:t>. În ceea ce privește contestația formulată de asociația reclamantă și în măsura în care aceasta rezultă dintr-o parte relevantă a acțiunii introduse de asociație la nivel național – și anume capătul de cerere întemeiat pe nerespectarea obligației de punere în aplicare efectivă a măsurilor de atenuare prevăzute de dreptul în vigoare (supra, pct. </w:t>
      </w:r>
      <w:r w:rsidRPr="00472687">
        <w:rPr>
          <w:b/>
        </w:rPr>
        <w:fldChar w:fldCharType="begin"/>
      </w:r>
      <w:r w:rsidRPr="00472687">
        <w:instrText xml:space="preserve">REF paragraph00616 \h \* CharFormat </w:instrText>
      </w:r>
      <w:r w:rsidRPr="00472687">
        <w:rPr>
          <w:b/>
        </w:rPr>
      </w:r>
      <w:r w:rsidRPr="00472687">
        <w:rPr>
          <w:b/>
        </w:rPr>
        <w:fldChar w:fldCharType="separate"/>
      </w:r>
      <w:r w:rsidRPr="00472687">
        <w:t>615</w:t>
      </w:r>
      <w:r w:rsidRPr="00472687">
        <w:rPr>
          <w:b/>
        </w:rPr>
        <w:fldChar w:fldCharType="end"/>
      </w:r>
      <w:r>
        <w:t>) –, Curtea subliniază că asociația reclamantă a demonstrat existența unei legături reale și suficient de strânse cu problema în litigiu și cu persoanele care încearcă să obțină protecție împotriva efectelor nefaste ale schimbărilor climatice asupra vieții, sănătății și calității vieții lor. Cu alte cuvinte, asociația reclamantă a făcut eforturi să apere drepturile civile specifice ale membrelor sale în legătură cu efectele negative ale schimbărilor climatice (a se vedea, de asemenea, supra, pct. </w:t>
      </w:r>
      <w:r w:rsidRPr="00472687">
        <w:fldChar w:fldCharType="begin"/>
      </w:r>
      <w:r w:rsidRPr="00472687">
        <w:instrText xml:space="preserve">REF paragraph00521 \h \* CharFormat  \* MERGEFORMAT </w:instrText>
      </w:r>
      <w:r w:rsidRPr="00472687">
        <w:fldChar w:fldCharType="separate"/>
      </w:r>
      <w:r w:rsidRPr="00472687">
        <w:t>521</w:t>
      </w:r>
      <w:r w:rsidRPr="00472687">
        <w:fldChar w:fldCharType="end"/>
      </w:r>
      <w:r>
        <w:noBreakHyphen/>
      </w:r>
      <w:r w:rsidRPr="00472687">
        <w:rPr>
          <w:b/>
        </w:rPr>
        <w:fldChar w:fldCharType="begin"/>
      </w:r>
      <w:r w:rsidRPr="00472687">
        <w:instrText xml:space="preserve">REF paragraph00525 \h \* CharFormat </w:instrText>
      </w:r>
      <w:r w:rsidRPr="00472687">
        <w:rPr>
          <w:b/>
        </w:rPr>
        <w:instrText xml:space="preserve"> \* MERGEFORMAT </w:instrText>
      </w:r>
      <w:r w:rsidRPr="00472687">
        <w:rPr>
          <w:b/>
        </w:rPr>
      </w:r>
      <w:r w:rsidRPr="00472687">
        <w:rPr>
          <w:b/>
        </w:rPr>
        <w:fldChar w:fldCharType="separate"/>
      </w:r>
      <w:r w:rsidRPr="00472687">
        <w:t>526</w:t>
      </w:r>
      <w:r w:rsidRPr="00472687">
        <w:rPr>
          <w:b/>
        </w:rPr>
        <w:fldChar w:fldCharType="end"/>
      </w:r>
      <w:r>
        <w:t>). Aceasta a acționat în calitatea sa de instrument care le permite persoanelor afectate de fenomenul în cauză să își apere drepturile și să încerce să obțină măsuri corective adecvate în cazul în care statul nu își îndeplinește obligația de punere în aplicare efectivă a măsurilor de atenuare prevăzute de dreptul în vigoare (supra, pct. </w:t>
      </w:r>
      <w:r w:rsidRPr="00472687">
        <w:fldChar w:fldCharType="begin"/>
      </w:r>
      <w:r w:rsidRPr="00472687">
        <w:instrText xml:space="preserve"> REF paragraph00615 \h  \* CharFormat  \* MERGEFORMAT </w:instrText>
      </w:r>
      <w:r w:rsidRPr="00472687">
        <w:fldChar w:fldCharType="separate"/>
      </w:r>
      <w:r w:rsidRPr="00472687">
        <w:t>614</w:t>
      </w:r>
      <w:r w:rsidRPr="00472687">
        <w:fldChar w:fldCharType="end"/>
      </w:r>
      <w:r>
        <w:t>).</w:t>
      </w:r>
    </w:p>
    <w:p w:rsidR="00F524A5" w:rsidRPr="00472687" w:rsidRDefault="00C71855" w:rsidP="00F524A5">
      <w:pPr>
        <w:pStyle w:val="JuPara"/>
      </w:pPr>
      <w:fldSimple w:instr=" SEQ level0 \*arabic \* MERGEFORMAT ">
        <w:r w:rsidR="00F524A5" w:rsidRPr="00472687">
          <w:t>622</w:t>
        </w:r>
      </w:fldSimple>
      <w:r w:rsidR="00F524A5">
        <w:t>. În acest sens, Curtea face trimitere la concluziile sale de mai sus referitoare la calitatea procesuală a asociației reclamante în ceea ce privește capătul de cerere întemeiat pe art. 8 din Convenție (pct. </w:t>
      </w:r>
      <w:r w:rsidR="00F524A5" w:rsidRPr="00472687">
        <w:fldChar w:fldCharType="begin"/>
      </w:r>
      <w:r w:rsidR="00F524A5" w:rsidRPr="00472687">
        <w:instrText xml:space="preserve">REF paragraph00521 \h \* CharFormat </w:instrText>
      </w:r>
      <w:r w:rsidR="00F524A5" w:rsidRPr="00472687">
        <w:fldChar w:fldCharType="separate"/>
      </w:r>
      <w:r w:rsidR="00F524A5" w:rsidRPr="00472687">
        <w:t>521</w:t>
      </w:r>
      <w:r w:rsidR="00F524A5" w:rsidRPr="00472687">
        <w:fldChar w:fldCharType="end"/>
      </w:r>
      <w:r w:rsidR="00F524A5">
        <w:t>-</w:t>
      </w:r>
      <w:r w:rsidR="00F524A5" w:rsidRPr="00472687">
        <w:fldChar w:fldCharType="begin"/>
      </w:r>
      <w:r w:rsidR="00F524A5" w:rsidRPr="00472687">
        <w:instrText xml:space="preserve">REF paragraph00525 \h \* CharFormat </w:instrText>
      </w:r>
      <w:r w:rsidR="00F524A5" w:rsidRPr="00472687">
        <w:fldChar w:fldCharType="separate"/>
      </w:r>
      <w:r w:rsidR="00F524A5" w:rsidRPr="00472687">
        <w:t>526</w:t>
      </w:r>
      <w:r w:rsidR="00F524A5" w:rsidRPr="00472687">
        <w:fldChar w:fldCharType="end"/>
      </w:r>
      <w:r w:rsidR="00F524A5">
        <w:t>). Aceasta reamintește importanța rolului pe care îl au asociațiile în ceea ce privește apărarea cauzelor specifice referitoare la protecția mediului, aspect care a fost evidențiat deja în jurisprudența sa (supra, pct. </w:t>
      </w:r>
      <w:r w:rsidR="00F524A5" w:rsidRPr="00472687">
        <w:fldChar w:fldCharType="begin"/>
      </w:r>
      <w:r w:rsidR="00F524A5" w:rsidRPr="00472687">
        <w:instrText xml:space="preserve"> REF paragraph00602 \h  \* CharFormat </w:instrText>
      </w:r>
      <w:r w:rsidR="00F524A5" w:rsidRPr="00472687">
        <w:fldChar w:fldCharType="separate"/>
      </w:r>
      <w:r w:rsidR="00F524A5" w:rsidRPr="00472687">
        <w:t>601</w:t>
      </w:r>
      <w:r w:rsidR="00F524A5" w:rsidRPr="00472687">
        <w:fldChar w:fldCharType="end"/>
      </w:r>
      <w:r w:rsidR="00F524A5">
        <w:t>), precum și relevanța deosebită a acțiunii colective în contextul schimbărilor climatice, fenomen ale cărui consecințe nu sunt limitate în mod specific la anumite persoane. În mod similar, în măsura în care o contestație reflectă această dimensiune colectivă, cerința conform căreia este necesar ca rezultatul acesteia să fie „în mod direct decisiv” trebuie interpretată mai general, în sensul încercării de a obține o formă de corectare a acțiunilor și a omisiunilor autorităților care aduc atingere drepturilor cu caracter civil ale membrilor unei asociații, în temeiul dreptului intern.</w:t>
      </w:r>
    </w:p>
    <w:p w:rsidR="00F524A5" w:rsidRPr="00472687" w:rsidRDefault="00C71855" w:rsidP="00F524A5">
      <w:pPr>
        <w:pStyle w:val="JuPara"/>
      </w:pPr>
      <w:fldSimple w:instr=" SEQ level0 \*arabic \* MERGEFORMAT ">
        <w:r w:rsidR="00F524A5" w:rsidRPr="00472687">
          <w:t>623</w:t>
        </w:r>
      </w:fldSimple>
      <w:r w:rsidR="00F524A5">
        <w:t>. Prin urmare, art. 6 § 1 se aplică în privința capătului de cerere formulat de asociația reclamantă și se poate considera că aceasta are calitatea de victimă în temeiul dispoziției respective în ceea ce privește capătul său de cerere întemeiat pe lipsa posibilității de acces la o instanță (supra, pct. </w:t>
      </w:r>
      <w:r w:rsidR="00F524A5" w:rsidRPr="00472687">
        <w:fldChar w:fldCharType="begin"/>
      </w:r>
      <w:r w:rsidR="00F524A5" w:rsidRPr="00472687">
        <w:instrText xml:space="preserve">REF paragraph00594 \h \* CharFormat </w:instrText>
      </w:r>
      <w:r w:rsidR="00F524A5" w:rsidRPr="00472687">
        <w:fldChar w:fldCharType="separate"/>
      </w:r>
      <w:r w:rsidR="00F524A5" w:rsidRPr="00472687">
        <w:t>593</w:t>
      </w:r>
      <w:r w:rsidR="00F524A5" w:rsidRPr="00472687">
        <w:fldChar w:fldCharType="end"/>
      </w:r>
      <w:r w:rsidR="00F524A5">
        <w:t>). În consecință, excepția preliminară ridicată de Guvern cu privire la acest aspect este respinsă.</w:t>
      </w:r>
    </w:p>
    <w:p w:rsidR="00F524A5" w:rsidRPr="00472687" w:rsidRDefault="00F524A5" w:rsidP="00F524A5">
      <w:pPr>
        <w:pStyle w:val="JuPara"/>
      </w:pPr>
      <w:r w:rsidRPr="00472687">
        <w:fldChar w:fldCharType="begin"/>
      </w:r>
      <w:r>
        <w:instrText xml:space="preserve"> SEQ level0 \*arabic \* MERGEFORMAT </w:instrText>
      </w:r>
      <w:r w:rsidRPr="00472687">
        <w:fldChar w:fldCharType="separate"/>
      </w:r>
      <w:r w:rsidRPr="00472687">
        <w:t>624</w:t>
      </w:r>
      <w:r w:rsidRPr="00472687">
        <w:fldChar w:fldCharType="end"/>
      </w:r>
      <w:r>
        <w:t>. În ceea ce le privește pe reclamantele nr. 2-5, nu se poate considera că respectiva contestație formulată de acestea cu privire la neîndeplinirea obligației de punere în aplicare efectivă a măsurilor de atenuare prevăzute de dreptul în vigoare era sau ar fi putut să fie în mod direct decisivă pentru drepturile lor specifice. Pentru motive similare celor expuse anterior în legătură cu art. 8 (pct. </w:t>
      </w:r>
      <w:r w:rsidRPr="00472687">
        <w:fldChar w:fldCharType="begin"/>
      </w:r>
      <w:r w:rsidRPr="00472687">
        <w:instrText xml:space="preserve"> REF paragraph00527 \h  \* CharFormat </w:instrText>
      </w:r>
      <w:r w:rsidRPr="00472687">
        <w:fldChar w:fldCharType="separate"/>
      </w:r>
      <w:r w:rsidRPr="00472687">
        <w:t>527</w:t>
      </w:r>
      <w:r w:rsidRPr="00472687">
        <w:fldChar w:fldCharType="end"/>
      </w:r>
      <w:r>
        <w:t>-</w:t>
      </w:r>
      <w:r w:rsidRPr="00472687">
        <w:fldChar w:fldCharType="begin"/>
      </w:r>
      <w:r w:rsidRPr="00472687">
        <w:instrText xml:space="preserve">REF paragraph00535 \h \* CharFormat </w:instrText>
      </w:r>
      <w:r w:rsidRPr="00472687">
        <w:fldChar w:fldCharType="separate"/>
      </w:r>
      <w:r w:rsidRPr="00472687">
        <w:t>535</w:t>
      </w:r>
      <w:r w:rsidRPr="00472687">
        <w:fldChar w:fldCharType="end"/>
      </w:r>
      <w:r>
        <w:t xml:space="preserve">), nu se poate considera că reclamantele nr. 2-5 au reușit să stabilească faptul că acțiunea necesară din partea autorităților – punerea în aplicare efectivă a măsurilor de atenuare prevăzute de dreptul intern în vigoare – ar fi creat, de sine stătătoare, efecte suficient de imediate și certe asupra drepturilor lor individuale în contextul schimbărilor climatice. Rezultă că respectiva contestație formulată de reclamante avea doar o legătură slabă cu drepturile invocate, sau consecințe îndepărtate asupra acestora, în temeiul dreptului național (a se compara cu </w:t>
      </w:r>
      <w:r>
        <w:rPr>
          <w:i/>
        </w:rPr>
        <w:t>Balmer</w:t>
      </w:r>
      <w:r>
        <w:rPr>
          <w:i/>
        </w:rPr>
        <w:noBreakHyphen/>
        <w:t>Schafroth,</w:t>
      </w:r>
      <w:r>
        <w:t xml:space="preserve"> citată anterior). Astfel, rezultatul contestației nu era în mod direct decisiv pentru drepturile lor cu caracter civil (supra, pct. </w:t>
      </w:r>
      <w:r w:rsidRPr="00472687">
        <w:fldChar w:fldCharType="begin"/>
      </w:r>
      <w:r w:rsidRPr="00472687">
        <w:instrText xml:space="preserve">REF paragraph00613 \h \* CharFormat </w:instrText>
      </w:r>
      <w:r w:rsidRPr="00472687">
        <w:fldChar w:fldCharType="separate"/>
      </w:r>
      <w:r w:rsidRPr="00472687">
        <w:t>612</w:t>
      </w:r>
      <w:r w:rsidRPr="00472687">
        <w:fldChar w:fldCharType="end"/>
      </w:r>
      <w:r>
        <w:t>).</w:t>
      </w:r>
    </w:p>
    <w:bookmarkStart w:id="1041" w:name="paragraph0062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625</w:t>
      </w:r>
      <w:r w:rsidRPr="00472687">
        <w:fldChar w:fldCharType="end"/>
      </w:r>
      <w:bookmarkEnd w:id="1041"/>
      <w:r>
        <w:t xml:space="preserve">. Având în vedere considerațiile precedente, Curtea concluzionează că respectivul capăt de cerere formulat de reclamantele nr. 2-5 este inadmisibil pentru incompatibilitate </w:t>
      </w:r>
      <w:r>
        <w:rPr>
          <w:i/>
        </w:rPr>
        <w:t>ratione materiae</w:t>
      </w:r>
      <w:r>
        <w:t xml:space="preserve"> cu dispozițiile Convenției și că acesta trebuie să fie respins în temeiul art. 35 § 3 și § 4 din Convenție.</w:t>
      </w:r>
    </w:p>
    <w:p w:rsidR="00F524A5" w:rsidRPr="00472687" w:rsidRDefault="00F524A5" w:rsidP="00F524A5">
      <w:pPr>
        <w:pStyle w:val="JuH1"/>
        <w:numPr>
          <w:ilvl w:val="3"/>
          <w:numId w:val="18"/>
        </w:numPr>
        <w:ind w:left="709" w:hanging="360"/>
      </w:pPr>
      <w:bookmarkStart w:id="1042" w:name="_Toc199273591"/>
      <w:r>
        <w:lastRenderedPageBreak/>
        <w:t>Cu privire la fond</w:t>
      </w:r>
      <w:bookmarkEnd w:id="1042"/>
    </w:p>
    <w:p w:rsidR="00F524A5" w:rsidRPr="00472687" w:rsidRDefault="00F524A5" w:rsidP="00F524A5">
      <w:pPr>
        <w:pStyle w:val="JuHa0"/>
        <w:numPr>
          <w:ilvl w:val="4"/>
          <w:numId w:val="18"/>
        </w:numPr>
        <w:ind w:left="1800" w:hanging="360"/>
      </w:pPr>
      <w:bookmarkStart w:id="1043" w:name="_Toc199273592"/>
      <w:r>
        <w:t>Principii generale</w:t>
      </w:r>
      <w:bookmarkEnd w:id="1043"/>
    </w:p>
    <w:bookmarkStart w:id="1044" w:name="paragraph00627"/>
    <w:p w:rsidR="00F524A5" w:rsidRPr="00472687" w:rsidRDefault="00F524A5" w:rsidP="00F524A5">
      <w:pPr>
        <w:pStyle w:val="JuPara"/>
        <w:rPr>
          <w:rFonts w:eastAsia="Times New Roman"/>
        </w:rPr>
      </w:pPr>
      <w:r w:rsidRPr="00472687">
        <w:rPr>
          <w:rFonts w:eastAsia="Times New Roman"/>
        </w:rPr>
        <w:fldChar w:fldCharType="begin"/>
      </w:r>
      <w:r w:rsidRPr="00472687">
        <w:rPr>
          <w:rFonts w:eastAsia="Times New Roman"/>
        </w:rPr>
        <w:instrText xml:space="preserve"> SEQ level0 \*arabic \* MERGEFORMAT </w:instrText>
      </w:r>
      <w:r w:rsidRPr="00472687">
        <w:rPr>
          <w:rFonts w:eastAsia="Times New Roman"/>
        </w:rPr>
        <w:fldChar w:fldCharType="separate"/>
      </w:r>
      <w:r w:rsidRPr="00472687">
        <w:rPr>
          <w:rFonts w:eastAsia="Times New Roman"/>
        </w:rPr>
        <w:t>626</w:t>
      </w:r>
      <w:r w:rsidRPr="00472687">
        <w:rPr>
          <w:rFonts w:eastAsia="Times New Roman"/>
        </w:rPr>
        <w:fldChar w:fldCharType="end"/>
      </w:r>
      <w:bookmarkEnd w:id="1044"/>
      <w:r>
        <w:t>. În prezenta cauză, se ridică o problemă din perspectiva art. 6 § 1, în ceea ce privește cerința dreptului de acces la o instanță. Principiile generale relevante în materie sunt următoarele [</w:t>
      </w:r>
      <w:r>
        <w:rPr>
          <w:i/>
        </w:rPr>
        <w:t>Zubac împotriva Croației</w:t>
      </w:r>
      <w:r>
        <w:t xml:space="preserve"> (MC), nr. 40160/12, pct. 76</w:t>
      </w:r>
      <w:r>
        <w:noBreakHyphen/>
        <w:t>79, 5 aprilie 2018]:</w:t>
      </w:r>
    </w:p>
    <w:p w:rsidR="00F524A5" w:rsidRPr="00472687" w:rsidRDefault="00F524A5" w:rsidP="00F524A5">
      <w:pPr>
        <w:pStyle w:val="JuQuot"/>
        <w:rPr>
          <w:rFonts w:eastAsia="Times New Roman"/>
        </w:rPr>
      </w:pPr>
      <w:r>
        <w:t>„76. Dreptul de acces la o instanță a fost definit, în hotărârea </w:t>
      </w:r>
      <w:r>
        <w:rPr>
          <w:i/>
        </w:rPr>
        <w:t xml:space="preserve">Golder împotriva Regatului Unit </w:t>
      </w:r>
      <w:r>
        <w:t>(21</w:t>
      </w:r>
      <w:r>
        <w:rPr>
          <w:i/>
        </w:rPr>
        <w:t> </w:t>
      </w:r>
      <w:r>
        <w:t>februarie 1975, pct. 28-36, seria A nr. 18), ca fiind un aspect al dreptului la o instanță în sensul art. 6 § 1 din Convenție. Referindu-se la principiile preeminenței dreptului și interzicerii puterii arbitrare, care stau la baza Convenției în general, Curtea a ajuns la concluzia că dreptul de acces la o instanță este un element inerent al garanțiilor consacrate de art. 6. Astfel, art. 6 § 1 garantează oricărei persoane dreptul la judecarea cauzei sale de către o instanță care va hotărî asupra încălcării drepturilor și obligațiilor sale cu caracter civil [</w:t>
      </w:r>
      <w:r>
        <w:rPr>
          <w:i/>
        </w:rPr>
        <w:t>Roche împotriva Regatului Unit</w:t>
      </w:r>
      <w:r>
        <w:t> (MC), nr. 32555/96, pct. 116, CEDO 2005</w:t>
      </w:r>
      <w:r>
        <w:noBreakHyphen/>
        <w:t xml:space="preserve">X; a se vedea și </w:t>
      </w:r>
      <w:r>
        <w:rPr>
          <w:i/>
        </w:rPr>
        <w:t>Z și alții împotriva Regatului Unit </w:t>
      </w:r>
      <w:r>
        <w:t>(MC), nr. 29392/95, pct. 91, CEDO 2001</w:t>
      </w:r>
      <w:r>
        <w:noBreakHyphen/>
        <w:t>V, </w:t>
      </w:r>
      <w:r>
        <w:rPr>
          <w:i/>
        </w:rPr>
        <w:t>Cudak împotriva Lituaniei</w:t>
      </w:r>
      <w:r>
        <w:t> (MC), nr. 15869/02, pct. 54, CEDO 2010, și</w:t>
      </w:r>
      <w:r>
        <w:rPr>
          <w:i/>
        </w:rPr>
        <w:t xml:space="preserve"> Parohia Greco-Catolică Lupeni și alții împotriva României </w:t>
      </w:r>
      <w:r>
        <w:t>(MC), nr. 76943/11, pct. 84, CEDO 2016 (extrase)].</w:t>
      </w:r>
    </w:p>
    <w:p w:rsidR="00F524A5" w:rsidRPr="00472687" w:rsidRDefault="00F524A5" w:rsidP="00F524A5">
      <w:pPr>
        <w:pStyle w:val="JuQuot"/>
        <w:rPr>
          <w:rFonts w:eastAsia="Times New Roman"/>
        </w:rPr>
      </w:pPr>
      <w:r>
        <w:t>77. Dreptul de acces la o instanță trebuie să fie «concret și efectiv», nu «teoretic și iluzoriu» (a se vedea în acest sens</w:t>
      </w:r>
      <w:r>
        <w:rPr>
          <w:i/>
        </w:rPr>
        <w:t xml:space="preserve"> Bellet împotriva Franței, </w:t>
      </w:r>
      <w:r>
        <w:t>4 decembrie 1995, pct. 36, seria A nr. 333</w:t>
      </w:r>
      <w:r>
        <w:noBreakHyphen/>
        <w:t>B). Observația este valabilă mai ales pentru garanțiile prevăzute la art. 6, având în vedere locul important pe care îl ocupă dreptul la un proces echitabil într-o societate democratică</w:t>
      </w:r>
      <w:r>
        <w:rPr>
          <w:i/>
        </w:rPr>
        <w:t xml:space="preserve"> </w:t>
      </w:r>
      <w:r>
        <w:t>[</w:t>
      </w:r>
      <w:r>
        <w:rPr>
          <w:i/>
        </w:rPr>
        <w:t xml:space="preserve">Principele Hans-Adam II de Liechtenstein împotriva Germaniei </w:t>
      </w:r>
      <w:r>
        <w:t>(MC), nr. 42527/98, pct. 45, CEDO 2001</w:t>
      </w:r>
      <w:r>
        <w:noBreakHyphen/>
        <w:t xml:space="preserve">VIII, și </w:t>
      </w:r>
      <w:r>
        <w:rPr>
          <w:i/>
        </w:rPr>
        <w:t xml:space="preserve">Parohia Greco-Catolică Lupeni și alții, </w:t>
      </w:r>
      <w:r>
        <w:t>citată anterior, pct. 86].</w:t>
      </w:r>
    </w:p>
    <w:p w:rsidR="00F524A5" w:rsidRPr="00472687" w:rsidRDefault="00F524A5" w:rsidP="00F524A5">
      <w:pPr>
        <w:pStyle w:val="JuQuot"/>
        <w:rPr>
          <w:rFonts w:eastAsia="Times New Roman"/>
        </w:rPr>
      </w:pPr>
      <w:r>
        <w:t>78. Întrucât dreptul de acces la instanță nu este absolut, se poate preta la limitări admise implicit deoarece acest drept, prin natura sa, presupune reglementarea de către stat, reglementare care poate varia în timp și spațiu, în concordanță cu nevoile și resursele comunității și ale persoanelor [</w:t>
      </w:r>
      <w:r>
        <w:rPr>
          <w:i/>
        </w:rPr>
        <w:t>Stanev împotriva Bulgariei</w:t>
      </w:r>
      <w:r>
        <w:t> (MC), nr. 36760/06, pct. 230, CEDO 2012]. În procesul de elaborare a unei astfel de reglementări, statele contractante se bucură de o anumită marjă de apreciere. Deși este de competența Curții să se pronunțe în ultimă instanță cu privire la respectarea cerințelor Convenției, aceasta nu are calitatea de a substitui aprecierii autorităților naționale o altă apreciere privind ceea ce ar putea constitui cea mai bună politică în materie. Totuși, limitările aplicate nu trebuie să restrângă accesul liber al persoanei într-o asemenea măsură sau până la un asemenea nivel încât să fie afectată însăși substanța dreptului. Mai mult, limitările sunt compatibile cu art. 6 § 1 doar dacă urmăresc un scop legitim și dacă există un raport rezonabil de proporționalitate între mijloacele folosite și scopul urmărit (</w:t>
      </w:r>
      <w:r>
        <w:rPr>
          <w:i/>
        </w:rPr>
        <w:t>Parohia Greco-Catolică Lupeni și alții,</w:t>
      </w:r>
      <w:r>
        <w:t xml:space="preserve"> citată anterior,</w:t>
      </w:r>
      <w:r>
        <w:rPr>
          <w:i/>
        </w:rPr>
        <w:t> </w:t>
      </w:r>
      <w:r>
        <w:t>pct. 89 și jurisprudența citată).</w:t>
      </w:r>
    </w:p>
    <w:p w:rsidR="00F524A5" w:rsidRPr="00472687" w:rsidRDefault="00F524A5" w:rsidP="00F524A5">
      <w:pPr>
        <w:pStyle w:val="JuQuot"/>
        <w:rPr>
          <w:rFonts w:eastAsia="Times New Roman"/>
        </w:rPr>
      </w:pPr>
      <w:r>
        <w:t xml:space="preserve">79. Curtea reamintește că nu este de competența sa să se pronunțe asupra erorilor de fapt sau de drept eventual comise de o instanță națională, cu excepția cazului în care și în măsura în care este posibil ca acestea să fi adus atingere drepturilor și libertăților protejate de Convenție [a se vedea, de exemplu, </w:t>
      </w:r>
      <w:r>
        <w:rPr>
          <w:i/>
        </w:rPr>
        <w:t>García Ruiz împotriva </w:t>
      </w:r>
      <w:r>
        <w:rPr>
          <w:i/>
          <w:iCs/>
        </w:rPr>
        <w:t>Spaniei</w:t>
      </w:r>
      <w:r>
        <w:t xml:space="preserve"> (MC), nr. 30544/96, pct. 28, CEDO 1999</w:t>
      </w:r>
      <w:r>
        <w:noBreakHyphen/>
        <w:t xml:space="preserve">I, și </w:t>
      </w:r>
      <w:r>
        <w:rPr>
          <w:i/>
        </w:rPr>
        <w:t>Perez împotriva Franței</w:t>
      </w:r>
      <w:r>
        <w:t xml:space="preserve"> (MC), nr. 47287/99, pct. 82, CEDO 2004</w:t>
      </w:r>
      <w:r>
        <w:noBreakHyphen/>
        <w:t xml:space="preserve">I]. În principiu, chestiuni precum importanța acordată de instanțele naționale diverselor mijloace de probă, concluzii sau aprecieri pe care le-au examinat nu intră în sfera controlului exercitat de Curte. Aceasta nu are obligația să țină locul </w:t>
      </w:r>
      <w:r>
        <w:lastRenderedPageBreak/>
        <w:t>unei instanțe de al patrulea grad de jurisdicție și să conteste aprecierea instanțelor interne, în temeiul art. 6 § 1, cu excepția cazurilor în care concluziile acestora pot fi considerate arbitrare sau vădit nerezonabile [</w:t>
      </w:r>
      <w:r>
        <w:rPr>
          <w:i/>
        </w:rPr>
        <w:t xml:space="preserve">Bochan împotriva Ucrainei </w:t>
      </w:r>
      <w:r>
        <w:t>(nr. 2) (MC), nr. 22251/08, pct. 61, CEDO 2015]. ”</w:t>
      </w:r>
    </w:p>
    <w:bookmarkStart w:id="1045" w:name="paragraph00628"/>
    <w:p w:rsidR="00F524A5" w:rsidRPr="00472687" w:rsidRDefault="00F524A5" w:rsidP="00F524A5">
      <w:pPr>
        <w:pStyle w:val="JuPara"/>
        <w:rPr>
          <w:rFonts w:eastAsia="Times New Roman"/>
        </w:rPr>
      </w:pPr>
      <w:r w:rsidRPr="00472687">
        <w:rPr>
          <w:rFonts w:eastAsia="Times New Roman"/>
        </w:rPr>
        <w:fldChar w:fldCharType="begin"/>
      </w:r>
      <w:r w:rsidRPr="00472687">
        <w:rPr>
          <w:rFonts w:eastAsia="Times New Roman"/>
        </w:rPr>
        <w:instrText xml:space="preserve"> SEQ level0 \*arabic \* MERGEFORMAT </w:instrText>
      </w:r>
      <w:r w:rsidRPr="00472687">
        <w:rPr>
          <w:rFonts w:eastAsia="Times New Roman"/>
        </w:rPr>
        <w:fldChar w:fldCharType="separate"/>
      </w:r>
      <w:r w:rsidRPr="00472687">
        <w:rPr>
          <w:rFonts w:eastAsia="Times New Roman"/>
        </w:rPr>
        <w:t>627</w:t>
      </w:r>
      <w:r w:rsidRPr="00472687">
        <w:rPr>
          <w:rFonts w:eastAsia="Times New Roman"/>
        </w:rPr>
        <w:fldChar w:fldCharType="end"/>
      </w:r>
      <w:bookmarkEnd w:id="1045"/>
      <w:r>
        <w:t>. De asemenea, trebuie să se reamintească faptul că art. 6 nu merge până acolo încât să impună o cale de atac prin care legile unui stat contractant pot fi denunțate, în fața unei autorități naționale, ca fiind incompatibile cu dispozițiile Convenției sau cu normele juridice naționale echivalente (</w:t>
      </w:r>
      <w:r>
        <w:rPr>
          <w:i/>
        </w:rPr>
        <w:t>Berger</w:t>
      </w:r>
      <w:r>
        <w:rPr>
          <w:i/>
        </w:rPr>
        <w:noBreakHyphen/>
        <w:t>Krall și alții</w:t>
      </w:r>
      <w:r>
        <w:t>, citată anterior, pct. 322, cu trimiterile suplimentare; a se vedea și supra, pct. </w:t>
      </w:r>
      <w:r w:rsidRPr="00472687">
        <w:rPr>
          <w:rFonts w:eastAsia="Times New Roman"/>
        </w:rPr>
        <w:fldChar w:fldCharType="begin"/>
      </w:r>
      <w:r w:rsidRPr="00472687">
        <w:rPr>
          <w:rFonts w:eastAsia="Times New Roman"/>
        </w:rPr>
        <w:instrText xml:space="preserve">REF paragraph00601 \h \* CharFormat </w:instrText>
      </w:r>
      <w:r w:rsidRPr="00472687">
        <w:rPr>
          <w:rFonts w:eastAsia="Times New Roman"/>
        </w:rPr>
      </w:r>
      <w:r w:rsidRPr="00472687">
        <w:rPr>
          <w:rFonts w:eastAsia="Times New Roman"/>
        </w:rPr>
        <w:fldChar w:fldCharType="separate"/>
      </w:r>
      <w:r w:rsidRPr="00472687">
        <w:rPr>
          <w:rFonts w:eastAsia="Times New Roman"/>
        </w:rPr>
        <w:t>600</w:t>
      </w:r>
      <w:r w:rsidRPr="00472687">
        <w:rPr>
          <w:rFonts w:eastAsia="Times New Roman"/>
        </w:rPr>
        <w:fldChar w:fldCharType="end"/>
      </w:r>
      <w:r>
        <w:t>). În plus, Curtea a admis – deși într-un alt context – că menținerea separării puterilor între cea legislativă și cea judecătorească reprezintă un scop legitim în ceea ce privește limitarea dreptului de acces la o instanță (</w:t>
      </w:r>
      <w:r>
        <w:rPr>
          <w:i/>
        </w:rPr>
        <w:t>A. împotriva Regatului Unit</w:t>
      </w:r>
      <w:r>
        <w:t>, nr. 35373/97, pct. 77, CEDO 2002-X).</w:t>
      </w:r>
    </w:p>
    <w:bookmarkStart w:id="1046" w:name="paragraph00629"/>
    <w:p w:rsidR="00F524A5" w:rsidRPr="00472687" w:rsidRDefault="00F524A5" w:rsidP="00F524A5">
      <w:pPr>
        <w:pStyle w:val="JuPara"/>
        <w:rPr>
          <w:rFonts w:eastAsia="Times New Roman"/>
        </w:rPr>
      </w:pPr>
      <w:r w:rsidRPr="00472687">
        <w:rPr>
          <w:rFonts w:eastAsia="Times New Roman"/>
        </w:rPr>
        <w:fldChar w:fldCharType="begin"/>
      </w:r>
      <w:r w:rsidRPr="00472687">
        <w:rPr>
          <w:rFonts w:eastAsia="Times New Roman"/>
        </w:rPr>
        <w:instrText xml:space="preserve"> SEQ level0 \*arabic \* MERGEFORMAT </w:instrText>
      </w:r>
      <w:r w:rsidRPr="00472687">
        <w:rPr>
          <w:rFonts w:eastAsia="Times New Roman"/>
        </w:rPr>
        <w:fldChar w:fldCharType="separate"/>
      </w:r>
      <w:r w:rsidRPr="00472687">
        <w:rPr>
          <w:rFonts w:eastAsia="Times New Roman"/>
        </w:rPr>
        <w:t>628</w:t>
      </w:r>
      <w:r w:rsidRPr="00472687">
        <w:rPr>
          <w:rFonts w:eastAsia="Times New Roman"/>
        </w:rPr>
        <w:fldChar w:fldCharType="end"/>
      </w:r>
      <w:bookmarkEnd w:id="1046"/>
      <w:r>
        <w:t>. Principiile referitoare la restrângerea dreptului de acces la o instanță reflectă procesul, inerent misiunii pe care Convenția o atribuie Curții, de menținere a unui just echilibru între cerințele interesului general al comunității și imperativele apărării drepturilor fundamentale ale persoanei (</w:t>
      </w:r>
      <w:r>
        <w:rPr>
          <w:i/>
        </w:rPr>
        <w:t>Fayed,</w:t>
      </w:r>
      <w:r>
        <w:t xml:space="preserve"> citată anterior, pct. 65 </w:t>
      </w:r>
      <w:r>
        <w:rPr>
          <w:i/>
        </w:rPr>
        <w:t>in fine</w:t>
      </w:r>
      <w:r>
        <w:t>). Prin urmare, rămâne să se stabilească, având în vedere circumstanțele cauzei în discuție, dacă a existat o restrângere disproporționată a dreptului de acces la o instanță (</w:t>
      </w:r>
      <w:r>
        <w:rPr>
          <w:i/>
        </w:rPr>
        <w:t>Asociația Burestop 55 și altele,</w:t>
      </w:r>
      <w:r>
        <w:t xml:space="preserve"> citată anterior, pct. 71-72).</w:t>
      </w:r>
    </w:p>
    <w:p w:rsidR="00F524A5" w:rsidRPr="00472687" w:rsidRDefault="00F524A5" w:rsidP="00F524A5">
      <w:pPr>
        <w:pStyle w:val="JuHa0"/>
        <w:numPr>
          <w:ilvl w:val="4"/>
          <w:numId w:val="18"/>
        </w:numPr>
        <w:ind w:left="1800" w:hanging="360"/>
        <w:rPr>
          <w:rFonts w:eastAsia="Times New Roman"/>
        </w:rPr>
      </w:pPr>
      <w:bookmarkStart w:id="1047" w:name="_Toc199273593"/>
      <w:r>
        <w:t>Aplicarea acestor principii în prezenta cauză</w:t>
      </w:r>
      <w:bookmarkEnd w:id="1047"/>
    </w:p>
    <w:p w:rsidR="00F524A5" w:rsidRPr="00472687" w:rsidRDefault="00F524A5" w:rsidP="00F524A5">
      <w:pPr>
        <w:pStyle w:val="JuPara"/>
      </w:pPr>
      <w:r w:rsidRPr="00472687">
        <w:fldChar w:fldCharType="begin"/>
      </w:r>
      <w:r>
        <w:instrText xml:space="preserve"> SEQ level0 \*arabic \* MERGEFORMAT </w:instrText>
      </w:r>
      <w:r w:rsidRPr="00472687">
        <w:fldChar w:fldCharType="separate"/>
      </w:r>
      <w:r w:rsidRPr="00472687">
        <w:t>629</w:t>
      </w:r>
      <w:r w:rsidRPr="00472687">
        <w:fldChar w:fldCharType="end"/>
      </w:r>
      <w:r>
        <w:t xml:space="preserve">. Curtea reamintește, în primul rând, că dreptul de acces la o instanță include nu doar dreptul de a introduce o acțiune, ci și dreptul la soluționarea pe cale judecătorească a litigiului. Acest lucru rezultă din faptul că dreptul de acces la o instanță trebuie să fie „concret și efectiv”, iar u teoretic și iluzoriu (a se vedea, de exemplu, </w:t>
      </w:r>
      <w:r>
        <w:rPr>
          <w:i/>
        </w:rPr>
        <w:t>Parohia Greco-Catolică Lupeni și alții împotriva României,</w:t>
      </w:r>
      <w:r>
        <w:t xml:space="preserve"> citată anterior, pct. 86).</w:t>
      </w:r>
    </w:p>
    <w:p w:rsidR="00F524A5" w:rsidRPr="00472687" w:rsidRDefault="00C71855" w:rsidP="00F524A5">
      <w:pPr>
        <w:pStyle w:val="JuPara"/>
        <w:rPr>
          <w:iCs/>
        </w:rPr>
      </w:pPr>
      <w:fldSimple w:instr=" SEQ level0 \*arabic \* MERGEFORMAT ">
        <w:r w:rsidR="00F524A5" w:rsidRPr="00472687">
          <w:t>630</w:t>
        </w:r>
      </w:fldSimple>
      <w:r w:rsidR="00F524A5">
        <w:t>. În speță, acțiunea introdusă de asociația reclamantă a fost respinsă, mai întâi de o autoritate administrativă – DETEC – și apoi de instanțele interne, prin parcurgerea a două grade de jurisdicție diferite, fără ca organismele respective să fi examinat pe fond capetele de cerere formulate de partea în cauză (supra, pct. </w:t>
      </w:r>
      <w:r w:rsidR="00F524A5" w:rsidRPr="00472687">
        <w:fldChar w:fldCharType="begin"/>
      </w:r>
      <w:r w:rsidR="00F524A5" w:rsidRPr="00472687">
        <w:instrText xml:space="preserve">REF paragraph00028 \h \* CharFormat  \* MERGEFORMAT </w:instrText>
      </w:r>
      <w:r w:rsidR="00F524A5" w:rsidRPr="00472687">
        <w:fldChar w:fldCharType="separate"/>
      </w:r>
      <w:r w:rsidR="00F524A5" w:rsidRPr="00472687">
        <w:t>28</w:t>
      </w:r>
      <w:r w:rsidR="00F524A5" w:rsidRPr="00472687">
        <w:fldChar w:fldCharType="end"/>
      </w:r>
      <w:r w:rsidR="00F524A5">
        <w:noBreakHyphen/>
      </w:r>
      <w:r w:rsidR="00F524A5" w:rsidRPr="00472687">
        <w:fldChar w:fldCharType="begin"/>
      </w:r>
      <w:r w:rsidR="00F524A5" w:rsidRPr="00472687">
        <w:instrText xml:space="preserve">REF paragraph00031 \h \* CharFormat  \* MERGEFORMAT </w:instrText>
      </w:r>
      <w:r w:rsidR="00F524A5" w:rsidRPr="00472687">
        <w:fldChar w:fldCharType="separate"/>
      </w:r>
      <w:r w:rsidR="00F524A5" w:rsidRPr="00472687">
        <w:t>31</w:t>
      </w:r>
      <w:r w:rsidR="00F524A5" w:rsidRPr="00472687">
        <w:fldChar w:fldCharType="end"/>
      </w:r>
      <w:r w:rsidR="00F524A5">
        <w:t xml:space="preserve">, </w:t>
      </w:r>
      <w:r w:rsidR="00F524A5" w:rsidRPr="00472687">
        <w:fldChar w:fldCharType="begin"/>
      </w:r>
      <w:r w:rsidR="00F524A5" w:rsidRPr="00472687">
        <w:instrText xml:space="preserve">REF paragraph00034 \h \* CharFormat  \* MERGEFORMAT </w:instrText>
      </w:r>
      <w:r w:rsidR="00F524A5" w:rsidRPr="00472687">
        <w:fldChar w:fldCharType="separate"/>
      </w:r>
      <w:r w:rsidR="00F524A5" w:rsidRPr="00472687">
        <w:t>34</w:t>
      </w:r>
      <w:r w:rsidR="00F524A5" w:rsidRPr="00472687">
        <w:fldChar w:fldCharType="end"/>
      </w:r>
      <w:r w:rsidR="00F524A5">
        <w:noBreakHyphen/>
      </w:r>
      <w:r w:rsidR="00F524A5" w:rsidRPr="00472687">
        <w:fldChar w:fldCharType="begin"/>
      </w:r>
      <w:r w:rsidR="00F524A5" w:rsidRPr="00472687">
        <w:instrText xml:space="preserve">REF paragraph00042 \h \* CharFormat  \* MERGEFORMAT </w:instrText>
      </w:r>
      <w:r w:rsidR="00F524A5" w:rsidRPr="00472687">
        <w:fldChar w:fldCharType="separate"/>
      </w:r>
      <w:r w:rsidR="00F524A5" w:rsidRPr="00472687">
        <w:t>42</w:t>
      </w:r>
      <w:r w:rsidR="00F524A5" w:rsidRPr="00472687">
        <w:fldChar w:fldCharType="end"/>
      </w:r>
      <w:r w:rsidR="00F524A5">
        <w:t xml:space="preserve"> și </w:t>
      </w:r>
      <w:r w:rsidR="00F524A5" w:rsidRPr="00472687">
        <w:fldChar w:fldCharType="begin"/>
      </w:r>
      <w:r w:rsidR="00F524A5" w:rsidRPr="00472687">
        <w:instrText xml:space="preserve">REF paragraph00052 \h \* CharFormat  \* MERGEFORMAT </w:instrText>
      </w:r>
      <w:r w:rsidR="00F524A5" w:rsidRPr="00472687">
        <w:fldChar w:fldCharType="separate"/>
      </w:r>
      <w:r w:rsidR="00F524A5" w:rsidRPr="00472687">
        <w:t>52</w:t>
      </w:r>
      <w:r w:rsidR="00F524A5" w:rsidRPr="00472687">
        <w:fldChar w:fldCharType="end"/>
      </w:r>
      <w:r w:rsidR="00F524A5">
        <w:noBreakHyphen/>
      </w:r>
      <w:r w:rsidR="00F524A5" w:rsidRPr="00472687">
        <w:fldChar w:fldCharType="begin"/>
      </w:r>
      <w:r w:rsidR="00F524A5" w:rsidRPr="00472687">
        <w:instrText xml:space="preserve">REF paragraph00063 \h \* CharFormat  \* MERGEFORMAT </w:instrText>
      </w:r>
      <w:r w:rsidR="00F524A5" w:rsidRPr="00472687">
        <w:fldChar w:fldCharType="separate"/>
      </w:r>
      <w:r w:rsidR="00F524A5" w:rsidRPr="00472687">
        <w:t>63</w:t>
      </w:r>
      <w:r w:rsidR="00F524A5" w:rsidRPr="00472687">
        <w:fldChar w:fldCharType="end"/>
      </w:r>
      <w:r w:rsidR="00F524A5">
        <w:t>). În consecință, a existat într-adevăr o restrângere a dreptului de acces la o instanță și Curtea trebuie să examineze așadar dacă modul în care a operat această restrângere în speță a avut ca efect limitarea accesului asociației reclamante la o instanță într-o asemenea măsură sau până în punctul în care să fie afectată însăși substanța dreptului respectiv (supra, pct. </w:t>
      </w:r>
      <w:r w:rsidR="00F524A5" w:rsidRPr="00472687">
        <w:fldChar w:fldCharType="begin"/>
      </w:r>
      <w:r w:rsidR="00F524A5" w:rsidRPr="00472687">
        <w:instrText xml:space="preserve">REF paragraph00627 \h \* CharFormat  \* MERGEFORMAT </w:instrText>
      </w:r>
      <w:r w:rsidR="00F524A5" w:rsidRPr="00472687">
        <w:fldChar w:fldCharType="separate"/>
      </w:r>
      <w:r w:rsidR="00F524A5" w:rsidRPr="00472687">
        <w:t>626</w:t>
      </w:r>
      <w:r w:rsidR="00F524A5" w:rsidRPr="00472687">
        <w:fldChar w:fldCharType="end"/>
      </w:r>
      <w:r w:rsidR="00F524A5">
        <w:noBreakHyphen/>
      </w:r>
      <w:r w:rsidR="00F524A5" w:rsidRPr="00472687">
        <w:fldChar w:fldCharType="begin"/>
      </w:r>
      <w:r w:rsidR="00F524A5" w:rsidRPr="00472687">
        <w:instrText xml:space="preserve">REF paragraph00629 \h \* CharFormat  \* MERGEFORMAT </w:instrText>
      </w:r>
      <w:r w:rsidR="00F524A5" w:rsidRPr="00472687">
        <w:fldChar w:fldCharType="separate"/>
      </w:r>
      <w:r w:rsidR="00F524A5" w:rsidRPr="00472687">
        <w:t>628</w:t>
      </w:r>
      <w:r w:rsidR="00F524A5" w:rsidRPr="00472687">
        <w:fldChar w:fldCharType="end"/>
      </w:r>
      <w:r w:rsidR="00F524A5">
        <w:t>).</w:t>
      </w:r>
    </w:p>
    <w:p w:rsidR="00F524A5" w:rsidRPr="00472687" w:rsidRDefault="00C71855" w:rsidP="00F524A5">
      <w:pPr>
        <w:pStyle w:val="JuPara"/>
        <w:rPr>
          <w:iCs/>
        </w:rPr>
      </w:pPr>
      <w:fldSimple w:instr=" SEQ level0 \*arabic \* MERGEFORMAT ">
        <w:r w:rsidR="00F524A5" w:rsidRPr="00472687">
          <w:t>631</w:t>
        </w:r>
      </w:fldSimple>
      <w:r w:rsidR="00F524A5">
        <w:t xml:space="preserve">. În ceea ce privește aspectul dacă restrângerea în cauză urmărea un scop legitim și ținând seama de faptul că, în deciziile lor, instanțele interne au încercat să facă o distincție între, pe de o parte, problema protecției drepturilor individuale și, pe de altă parte, procesele democratice relevante și acțiunile </w:t>
      </w:r>
      <w:r w:rsidR="00F524A5">
        <w:lastRenderedPageBreak/>
        <w:t xml:space="preserve">generale de contestare a legislației, excluzând astfel acțiunile care prezintă caracteristicile unei </w:t>
      </w:r>
      <w:r w:rsidR="00F524A5">
        <w:rPr>
          <w:i/>
        </w:rPr>
        <w:t>actio popularis,</w:t>
      </w:r>
      <w:r w:rsidR="00F524A5">
        <w:t xml:space="preserve"> trebuie reamintit faptul că s-a hotărât deja de către Curte că menținerea separării puterilor între cea legislativă și cea judecătorească reprezintă un scop legitim în ceea ce privește limitarea dreptului de acces la o instanță (supra, pct. </w:t>
      </w:r>
      <w:r w:rsidR="00F524A5" w:rsidRPr="00472687">
        <w:fldChar w:fldCharType="begin"/>
      </w:r>
      <w:r w:rsidR="00F524A5" w:rsidRPr="00472687">
        <w:instrText xml:space="preserve">REF paragraph00628 \h \* CharFormat  \* MERGEFORMAT </w:instrText>
      </w:r>
      <w:r w:rsidR="00F524A5" w:rsidRPr="00472687">
        <w:fldChar w:fldCharType="separate"/>
      </w:r>
      <w:r w:rsidR="00F524A5" w:rsidRPr="00472687">
        <w:t>627</w:t>
      </w:r>
      <w:r w:rsidR="00F524A5" w:rsidRPr="00472687">
        <w:fldChar w:fldCharType="end"/>
      </w:r>
      <w:r w:rsidR="00F524A5">
        <w:t>).</w:t>
      </w:r>
      <w:r w:rsidR="00F524A5">
        <w:rPr>
          <w:rFonts w:ascii="Segoe UI" w:hAnsi="Segoe UI"/>
          <w:color w:val="000000"/>
        </w:rPr>
        <w:t xml:space="preserve"> </w:t>
      </w:r>
      <w:r w:rsidR="00F524A5">
        <w:t>În plus, astfel cum s-a arătat deja (supra, pct. </w:t>
      </w:r>
      <w:r w:rsidR="00F524A5" w:rsidRPr="00472687">
        <w:fldChar w:fldCharType="begin"/>
      </w:r>
      <w:r w:rsidR="00F524A5" w:rsidRPr="00472687">
        <w:instrText xml:space="preserve">REF paragraph00597 \h \* CharFormat  \* MERGEFORMAT </w:instrText>
      </w:r>
      <w:r w:rsidR="00F524A5" w:rsidRPr="00472687">
        <w:fldChar w:fldCharType="separate"/>
      </w:r>
      <w:r w:rsidR="00F524A5" w:rsidRPr="00472687">
        <w:t>596</w:t>
      </w:r>
      <w:r w:rsidR="00F524A5" w:rsidRPr="00472687">
        <w:fldChar w:fldCharType="end"/>
      </w:r>
      <w:r w:rsidR="00F524A5">
        <w:t xml:space="preserve"> și </w:t>
      </w:r>
      <w:r w:rsidR="00F524A5" w:rsidRPr="00472687">
        <w:fldChar w:fldCharType="begin"/>
      </w:r>
      <w:r w:rsidR="00F524A5" w:rsidRPr="00472687">
        <w:instrText xml:space="preserve">REF paragraph00628 \h \* CharFormat  \* MERGEFORMAT </w:instrText>
      </w:r>
      <w:r w:rsidR="00F524A5" w:rsidRPr="00472687">
        <w:fldChar w:fldCharType="separate"/>
      </w:r>
      <w:r w:rsidR="00F524A5" w:rsidRPr="00472687">
        <w:t>627</w:t>
      </w:r>
      <w:r w:rsidR="00F524A5" w:rsidRPr="00472687">
        <w:fldChar w:fldCharType="end"/>
      </w:r>
      <w:r w:rsidR="00F524A5">
        <w:noBreakHyphen/>
      </w:r>
      <w:r w:rsidR="00F524A5" w:rsidRPr="00472687">
        <w:fldChar w:fldCharType="begin"/>
      </w:r>
      <w:r w:rsidR="00F524A5" w:rsidRPr="00472687">
        <w:instrText xml:space="preserve">REF paragraph00629 \h \* CharFormat  \* MERGEFORMAT </w:instrText>
      </w:r>
      <w:r w:rsidR="00F524A5" w:rsidRPr="00472687">
        <w:fldChar w:fldCharType="separate"/>
      </w:r>
      <w:r w:rsidR="00F524A5" w:rsidRPr="00472687">
        <w:t>628</w:t>
      </w:r>
      <w:r w:rsidR="00F524A5" w:rsidRPr="00472687">
        <w:fldChar w:fldCharType="end"/>
      </w:r>
      <w:r w:rsidR="00F524A5">
        <w:t xml:space="preserve">), art. 6 § 1 nu impune accesul la o instanță în cazul acțiunilor de contestare a legislației interne în vigoare și nici în cazul acțiunilor care prezintă caracteristicile unei </w:t>
      </w:r>
      <w:r w:rsidR="00F524A5">
        <w:rPr>
          <w:i/>
        </w:rPr>
        <w:t>actio popularis.</w:t>
      </w:r>
    </w:p>
    <w:p w:rsidR="00F524A5" w:rsidRPr="00472687" w:rsidRDefault="00C71855" w:rsidP="00F524A5">
      <w:pPr>
        <w:pStyle w:val="JuPara"/>
        <w:rPr>
          <w:iCs/>
        </w:rPr>
      </w:pPr>
      <w:fldSimple w:instr=" SEQ level0 \*arabic \* MERGEFORMAT ">
        <w:r w:rsidR="00F524A5" w:rsidRPr="00472687">
          <w:t>632</w:t>
        </w:r>
      </w:fldSimple>
      <w:r w:rsidR="00F524A5">
        <w:t>. Cu toate acestea, ultimul element al analizei relevante este aspectul dacă, în măsura în care procedura nu era exclusă din domeniul de aplicare al art. 6, restrângerea dreptului de acces la o instanță al asociației reclamante a fost proporțională, adică dacă a existat un raport rezonabil de proporționalitate între mijloacele folosite și scopul legitim urmărit (supra, pct. </w:t>
      </w:r>
      <w:r w:rsidR="00F524A5" w:rsidRPr="00472687">
        <w:fldChar w:fldCharType="begin"/>
      </w:r>
      <w:r w:rsidR="00F524A5" w:rsidRPr="00472687">
        <w:instrText xml:space="preserve">REF paragraph00627 \h \* CharFormat  \* MERGEFORMAT </w:instrText>
      </w:r>
      <w:r w:rsidR="00F524A5" w:rsidRPr="00472687">
        <w:fldChar w:fldCharType="separate"/>
      </w:r>
      <w:r w:rsidR="00F524A5" w:rsidRPr="00472687">
        <w:t>626</w:t>
      </w:r>
      <w:r w:rsidR="00F524A5" w:rsidRPr="00472687">
        <w:fldChar w:fldCharType="end"/>
      </w:r>
      <w:r w:rsidR="00F524A5">
        <w:t>).</w:t>
      </w:r>
    </w:p>
    <w:bookmarkStart w:id="1048" w:name="paragraph00634"/>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633</w:t>
      </w:r>
      <w:r w:rsidRPr="00472687">
        <w:fldChar w:fldCharType="end"/>
      </w:r>
      <w:bookmarkEnd w:id="1048"/>
      <w:r>
        <w:t>. În această privință, trebuie reamintit faptul că se poate considera că acțiunea inițiată de asociația reclamantă la nivel intern are un caracter hibrid. În mod evident, aceasta privea, în principal, chestiuni legate de procesul legislativ democratic, care nu intrau sub incidența art. 6 § 1, dar, ridica de asemenea probleme care priveau în mod specific posibile încălcări în ceea ce privește aplicarea dreptului intern în vigoare, care au afectat protecția drepturilor apărate de asociația reclamantă. Unele dintre capetele de cerere formulate se refereau așadar la legalitatea pretinselor acțiuni sau omisiuni ale autorităților și făceau referire la efecte negative asupra dreptului la viață și a dreptului la protecția integrității fizice, care sunt consacrate în dreptul intern, în special la articolul 10 din Constituție (supra, pct. </w:t>
      </w:r>
      <w:r w:rsidRPr="00472687">
        <w:fldChar w:fldCharType="begin"/>
      </w:r>
      <w:r w:rsidRPr="00472687">
        <w:instrText xml:space="preserve">REF paragraph00616 \h \* CharFormat  \* MERGEFORMAT </w:instrText>
      </w:r>
      <w:r w:rsidRPr="00472687">
        <w:fldChar w:fldCharType="separate"/>
      </w:r>
      <w:r w:rsidRPr="00472687">
        <w:t>615</w:t>
      </w:r>
      <w:r w:rsidRPr="00472687">
        <w:fldChar w:fldCharType="end"/>
      </w:r>
      <w:r>
        <w:noBreakHyphen/>
      </w:r>
      <w:r w:rsidRPr="00472687">
        <w:fldChar w:fldCharType="begin"/>
      </w:r>
      <w:r w:rsidRPr="00472687">
        <w:instrText xml:space="preserve">REF paragraph00618 \h \* CharFormat  \* MERGEFORMAT </w:instrText>
      </w:r>
      <w:r w:rsidRPr="00472687">
        <w:fldChar w:fldCharType="separate"/>
      </w:r>
      <w:r w:rsidRPr="00472687">
        <w:t>617</w:t>
      </w:r>
      <w:r w:rsidRPr="00472687">
        <w:fldChar w:fldCharType="end"/>
      </w:r>
      <w:r>
        <w:t>).</w:t>
      </w:r>
    </w:p>
    <w:p w:rsidR="00F524A5" w:rsidRPr="00472687" w:rsidRDefault="00C71855" w:rsidP="00F524A5">
      <w:pPr>
        <w:pStyle w:val="JuPara"/>
      </w:pPr>
      <w:fldSimple w:instr=" SEQ level0 \*arabic \* MERGEFORMAT ">
        <w:r w:rsidR="00F524A5" w:rsidRPr="00472687">
          <w:t>634</w:t>
        </w:r>
      </w:fldSimple>
      <w:r w:rsidR="00F524A5">
        <w:t>. În măsura în care asociația reclamantă urmărea să se prevaleze de aceste drepturi în legătură cu amenințările ce rezultau din pretinsul caracter neadecvat sau insuficient al acțiunii autorităților în ceea ce privește punerea în aplicare a măsurilor de atenuare a schimbărilor climatice care erau deja impuse de dreptul intern în vigoare, o astfel de acțiune</w:t>
      </w:r>
      <w:r w:rsidR="00F524A5">
        <w:rPr>
          <w:b/>
        </w:rPr>
        <w:t xml:space="preserve"> </w:t>
      </w:r>
      <w:r w:rsidR="00F524A5">
        <w:t xml:space="preserve">nu poate fi considerată automat nici o </w:t>
      </w:r>
      <w:r w:rsidR="00F524A5">
        <w:rPr>
          <w:i/>
        </w:rPr>
        <w:t>actio popularis,</w:t>
      </w:r>
      <w:r w:rsidR="00F524A5">
        <w:t xml:space="preserve"> nici o acțiune ce ridică o problemă politică pe care instanțele nu ar trebui să o examineze.</w:t>
      </w:r>
      <w:r w:rsidR="00F524A5">
        <w:rPr>
          <w:b/>
        </w:rPr>
        <w:t xml:space="preserve"> </w:t>
      </w:r>
      <w:r w:rsidR="00F524A5">
        <w:t>Această poziție este în concordanță cu raționamentul expus mai sus (pct. </w:t>
      </w:r>
      <w:r w:rsidR="00F524A5" w:rsidRPr="00472687">
        <w:fldChar w:fldCharType="begin"/>
      </w:r>
      <w:r w:rsidR="00F524A5" w:rsidRPr="00472687">
        <w:instrText xml:space="preserve"> REF paragraph00436 \h  \* CharFormat </w:instrText>
      </w:r>
      <w:r w:rsidR="00F524A5" w:rsidRPr="00472687">
        <w:fldChar w:fldCharType="separate"/>
      </w:r>
      <w:r w:rsidR="00F524A5" w:rsidRPr="00472687">
        <w:t>436</w:t>
      </w:r>
      <w:r w:rsidR="00F524A5" w:rsidRPr="00472687">
        <w:fldChar w:fldCharType="end"/>
      </w:r>
      <w:r w:rsidR="00F524A5">
        <w:t>) referitor, pe de o parte, la modul în care schimbările climatice pot să afecteze drepturile omului și, pe de altă parte, la nevoia imperioasă de a aborda amenințările reprezentate de acest fenomen.</w:t>
      </w:r>
    </w:p>
    <w:p w:rsidR="00F524A5" w:rsidRPr="00472687" w:rsidRDefault="00C71855" w:rsidP="00F524A5">
      <w:pPr>
        <w:pStyle w:val="JuPara"/>
      </w:pPr>
      <w:fldSimple w:instr=" SEQ level0 \*arabic \* MERGEFORMAT ">
        <w:r w:rsidR="00F524A5" w:rsidRPr="00472687">
          <w:t>635</w:t>
        </w:r>
      </w:fldSimple>
      <w:r w:rsidR="00F524A5">
        <w:t>. Curtea nu este convinsă de concluzia instanțelor interne potrivit căreia încă ar mai fi timp pentru a împiedica atingerea unei limite critice a încălzirii globale (supra, pct. </w:t>
      </w:r>
      <w:r w:rsidR="00F524A5" w:rsidRPr="00472687">
        <w:fldChar w:fldCharType="begin"/>
      </w:r>
      <w:r w:rsidR="00F524A5" w:rsidRPr="00472687">
        <w:instrText xml:space="preserve">REF paragraph00056 \h \* CharFormat </w:instrText>
      </w:r>
      <w:r w:rsidR="00F524A5" w:rsidRPr="00472687">
        <w:fldChar w:fldCharType="separate"/>
      </w:r>
      <w:r w:rsidR="00F524A5" w:rsidRPr="00472687">
        <w:t>56</w:t>
      </w:r>
      <w:r w:rsidR="00F524A5" w:rsidRPr="00472687">
        <w:fldChar w:fldCharType="end"/>
      </w:r>
      <w:r w:rsidR="00F524A5">
        <w:noBreakHyphen/>
      </w:r>
      <w:r w:rsidR="00F524A5" w:rsidRPr="00472687">
        <w:fldChar w:fldCharType="begin"/>
      </w:r>
      <w:r w:rsidR="00F524A5" w:rsidRPr="00472687">
        <w:instrText xml:space="preserve">REF paragraph00059 \h \* CharFormat </w:instrText>
      </w:r>
      <w:r w:rsidR="00F524A5" w:rsidRPr="00472687">
        <w:fldChar w:fldCharType="separate"/>
      </w:r>
      <w:r w:rsidR="00F524A5" w:rsidRPr="00472687">
        <w:t>59</w:t>
      </w:r>
      <w:r w:rsidR="00F524A5" w:rsidRPr="00472687">
        <w:fldChar w:fldCharType="end"/>
      </w:r>
      <w:r w:rsidR="00F524A5">
        <w:t>). Această concluzie nu se bazează pe o examinare suficientă a dovezilor științifice privind schimbările climatice, care erau deja disponibile la momentul respectiv, și nici nu ține seama de consensul larg cu privire la urgența abordării efectelor pe care acest fenomen le are deja și le va avea, în mod inevitabil, în viitor asupra diferitelor aspecte ale drepturilor omului (supra, pct. </w:t>
      </w:r>
      <w:r w:rsidR="00F524A5" w:rsidRPr="00472687">
        <w:fldChar w:fldCharType="begin"/>
      </w:r>
      <w:r w:rsidR="00F524A5" w:rsidRPr="00472687">
        <w:instrText xml:space="preserve"> REF paragraph00436 \h  \* CharFormat </w:instrText>
      </w:r>
      <w:r w:rsidR="00F524A5" w:rsidRPr="00472687">
        <w:fldChar w:fldCharType="separate"/>
      </w:r>
      <w:r w:rsidR="00F524A5" w:rsidRPr="00472687">
        <w:t>436</w:t>
      </w:r>
      <w:r w:rsidR="00F524A5" w:rsidRPr="00472687">
        <w:fldChar w:fldCharType="end"/>
      </w:r>
      <w:r w:rsidR="00F524A5">
        <w:t>; a se vedea și pct. </w:t>
      </w:r>
      <w:r w:rsidR="00F524A5" w:rsidRPr="00472687">
        <w:fldChar w:fldCharType="begin"/>
      </w:r>
      <w:r w:rsidR="00F524A5" w:rsidRPr="00472687">
        <w:instrText xml:space="preserve">REF paragraph00337 \h \* CharFormat </w:instrText>
      </w:r>
      <w:r w:rsidR="00F524A5" w:rsidRPr="00472687">
        <w:fldChar w:fldCharType="separate"/>
      </w:r>
      <w:r w:rsidR="00F524A5" w:rsidRPr="00472687">
        <w:t>337</w:t>
      </w:r>
      <w:r w:rsidR="00F524A5" w:rsidRPr="00472687">
        <w:fldChar w:fldCharType="end"/>
      </w:r>
      <w:r w:rsidR="00F524A5">
        <w:t xml:space="preserve"> de mai sus </w:t>
      </w:r>
      <w:r w:rsidR="00F524A5">
        <w:lastRenderedPageBreak/>
        <w:t>referitor la recunoașterea de către Guvernul pârât a existenței unei urgențe climatice). În fapt, datele disponibile și concluziile științifice referitoare la urgența combaterii efectelor negative ale schimbărilor climatice și,</w:t>
      </w:r>
      <w:r w:rsidR="00F524A5">
        <w:rPr>
          <w:b/>
        </w:rPr>
        <w:t xml:space="preserve"> </w:t>
      </w:r>
      <w:r w:rsidR="00F524A5">
        <w:t>în special, a riscului grav ca aceste efecte să devină inevitabile și ireversibile, sugerează că exista</w:t>
      </w:r>
      <w:r w:rsidR="00F524A5">
        <w:rPr>
          <w:b/>
        </w:rPr>
        <w:t xml:space="preserve"> </w:t>
      </w:r>
      <w:r w:rsidR="00F524A5">
        <w:t>o nevoie imperioasă de a asigura protecția juridică a drepturilor omului în legătură cu pretinsele acțiuni neadecvate întreprinse de autorități în scopul combaterii schimbărilor climatice.</w:t>
      </w:r>
    </w:p>
    <w:p w:rsidR="00F524A5" w:rsidRPr="00472687" w:rsidRDefault="00C71855" w:rsidP="00F524A5">
      <w:pPr>
        <w:pStyle w:val="JuPara"/>
      </w:pPr>
      <w:fldSimple w:instr=" SEQ level0 \*arabic \* MERGEFORMAT ">
        <w:r w:rsidR="00F524A5" w:rsidRPr="00472687">
          <w:t>636</w:t>
        </w:r>
      </w:fldSimple>
      <w:r w:rsidR="00F524A5">
        <w:t>. În plus, Curtea observă că instanțele naționale nu s-au pronunțat cu privire la problema calității procesuale a asociației reclamante, care necesita o examinare separată, indiferent de poziția adoptată de acestea cu privire la capetele de cerere formulate de reclamantele individuale. Instanțele naționale nu au analizat cu atenție, sau nu au analizat deloc, acțiunea introdusă de asociația reclamantă.</w:t>
      </w:r>
    </w:p>
    <w:bookmarkStart w:id="1049" w:name="paragraph00638"/>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637</w:t>
      </w:r>
      <w:r w:rsidRPr="00472687">
        <w:fldChar w:fldCharType="end"/>
      </w:r>
      <w:bookmarkEnd w:id="1049"/>
      <w:r>
        <w:t>. Curtea subliniază de asemenea că,</w:t>
      </w:r>
      <w:r>
        <w:rPr>
          <w:b/>
        </w:rPr>
        <w:t xml:space="preserve"> </w:t>
      </w:r>
      <w:r>
        <w:t>înainte de a sesiza instanțele, asociația reclamantă și membrele sale au prezentat plângerile lor în fața a diferite organe și servicii administrative specializate, însă niciunul dintre acestea nu s-a pronunțat cu privire la fondul plângerilor în cauză (supra, pct. </w:t>
      </w:r>
      <w:r w:rsidRPr="00472687">
        <w:fldChar w:fldCharType="begin"/>
      </w:r>
      <w:r w:rsidRPr="00472687">
        <w:instrText xml:space="preserve">REF paragraph00022 \h \* CharFormat  \* MERGEFORMAT </w:instrText>
      </w:r>
      <w:r w:rsidRPr="00472687">
        <w:fldChar w:fldCharType="separate"/>
      </w:r>
      <w:r w:rsidRPr="00472687">
        <w:t>22</w:t>
      </w:r>
      <w:r w:rsidRPr="00472687">
        <w:fldChar w:fldCharType="end"/>
      </w:r>
      <w:r>
        <w:t>). Deși o astfel de examinare, efectuată doar de autoritățile administrative, nu ar fi putut îndeplini cerința privind accesul la o instanță, care decurge din art. 6, Curtea observă totuși că, în urma analizei deciziei DETEC, reiese că respingerea acțiunii reclamantelor de către autoritățile administrative s-a întemeiat pe considerații neadecvate și insuficiente, similare celor invocate de instanțele interne (supra, pct. </w:t>
      </w:r>
      <w:r w:rsidRPr="00472687">
        <w:fldChar w:fldCharType="begin"/>
      </w:r>
      <w:r w:rsidRPr="00472687">
        <w:instrText xml:space="preserve">REF paragraph00028 \h \* CharFormat  \* MERGEFORMAT </w:instrText>
      </w:r>
      <w:r w:rsidRPr="00472687">
        <w:fldChar w:fldCharType="separate"/>
      </w:r>
      <w:r w:rsidRPr="00472687">
        <w:t>28</w:t>
      </w:r>
      <w:r w:rsidRPr="00472687">
        <w:fldChar w:fldCharType="end"/>
      </w:r>
      <w:r>
        <w:noBreakHyphen/>
      </w:r>
      <w:r w:rsidRPr="00472687">
        <w:fldChar w:fldCharType="begin"/>
      </w:r>
      <w:r w:rsidRPr="00472687">
        <w:instrText xml:space="preserve">REF paragraph00031 \h \* CharFormat  \* MERGEFORMAT </w:instrText>
      </w:r>
      <w:r w:rsidRPr="00472687">
        <w:fldChar w:fldCharType="separate"/>
      </w:r>
      <w:r w:rsidRPr="00472687">
        <w:t>31</w:t>
      </w:r>
      <w:r w:rsidRPr="00472687">
        <w:fldChar w:fldCharType="end"/>
      </w:r>
      <w:r>
        <w:t>). Curtea observă, de asemenea, că reclamantele individuale/membrele asociației nu au avut acces la o instanță și că dreptul intern nu prevedea nicio altă cale de atac care să le fi permis să își prezinte capetele de cerere în fața unei instanțe. Prin urmare, nu existau alte garanții relevante care să fie luate în considerare la aprecierea de către Curte a proporționalității restrângerii dreptului de acces la o instanță al asociației reclamante (supra, pct. </w:t>
      </w:r>
      <w:r w:rsidRPr="00472687">
        <w:fldChar w:fldCharType="begin"/>
      </w:r>
      <w:r w:rsidRPr="00472687">
        <w:instrText xml:space="preserve">REF paragraph00629 \h \* CharFormat  \* MERGEFORMAT </w:instrText>
      </w:r>
      <w:r w:rsidRPr="00472687">
        <w:fldChar w:fldCharType="separate"/>
      </w:r>
      <w:r w:rsidRPr="00472687">
        <w:t>628</w:t>
      </w:r>
      <w:r w:rsidRPr="00472687">
        <w:fldChar w:fldCharType="end"/>
      </w:r>
      <w:r>
        <w:t>).</w:t>
      </w:r>
    </w:p>
    <w:p w:rsidR="00F524A5" w:rsidRPr="00472687" w:rsidRDefault="00C71855" w:rsidP="00F524A5">
      <w:pPr>
        <w:pStyle w:val="JuPara"/>
      </w:pPr>
      <w:fldSimple w:instr=" SEQ level0 \*arabic \* MERGEFORMAT ">
        <w:r w:rsidR="00F524A5" w:rsidRPr="00472687">
          <w:t>638</w:t>
        </w:r>
      </w:fldSimple>
      <w:r w:rsidR="00F524A5">
        <w:t>. Considerațiile care precedă sunt suficiente pentru a-i permite Curții să concluzioneze că, în măsura în care capetele de cerere formulate de asociația reclamantă intrau sub incidența art. 6 § 1, dreptul acesteia de acces la o instanță a fost restrâns într-o asemenea măsură și până în punctul în care a fost afectată însăși substanța acestui drept.</w:t>
      </w:r>
    </w:p>
    <w:p w:rsidR="00F524A5" w:rsidRPr="00472687" w:rsidRDefault="00C71855" w:rsidP="00F524A5">
      <w:pPr>
        <w:pStyle w:val="JuPara"/>
      </w:pPr>
      <w:fldSimple w:instr=" SEQ level0 \*arabic \* MERGEFORMAT ">
        <w:r w:rsidR="00F524A5" w:rsidRPr="00472687">
          <w:t>639</w:t>
        </w:r>
      </w:fldSimple>
      <w:r w:rsidR="00F524A5">
        <w:t>. În această privință, Curtea consideră că este esențial să evidențieze rolul fundamental pe care l-au jucat și îl vor juca instanțele naționale în litigiile referitoare la schimbările climatice, astfel cum reiese din jurisprudența actuală a anumitor state membre ale Consiliului Europei, care subliniază importanța accesului la justiție în acest domeniu În plus, având în vedere principiile responsabilității comune și subsidiarității, sarcina de a asigura respectarea obligațiilor care decurg din Convenție revine, în primul rând, autorităților naționale, în special instanțelor.</w:t>
      </w:r>
    </w:p>
    <w:bookmarkStart w:id="1050" w:name="paragraph00641"/>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640</w:t>
      </w:r>
      <w:r w:rsidRPr="00472687">
        <w:fldChar w:fldCharType="end"/>
      </w:r>
      <w:bookmarkEnd w:id="1050"/>
      <w:r>
        <w:t>. În speță, Curtea concluzionează că a fost încălcat art. 6 § 1 din Convenție.</w:t>
      </w:r>
    </w:p>
    <w:p w:rsidR="00F524A5" w:rsidRPr="00472687" w:rsidRDefault="00F524A5" w:rsidP="00F524A5">
      <w:pPr>
        <w:pStyle w:val="JuHIRoman"/>
        <w:numPr>
          <w:ilvl w:val="1"/>
          <w:numId w:val="24"/>
        </w:numPr>
        <w:ind w:left="709" w:hanging="425"/>
        <w:rPr>
          <w:rFonts w:eastAsia="Times New Roman"/>
          <w:caps w:val="0"/>
        </w:rPr>
      </w:pPr>
      <w:bookmarkStart w:id="1051" w:name="_Toc158019715"/>
      <w:bookmarkStart w:id="1052" w:name="_Toc199273594"/>
      <w:r>
        <w:rPr>
          <w:caps w:val="0"/>
        </w:rPr>
        <w:lastRenderedPageBreak/>
        <w:t>CU PRIVIRE LA PRETINSA ÎNCĂLCARE A ART. 13 DIN CONVENȚIE</w:t>
      </w:r>
      <w:bookmarkEnd w:id="1051"/>
      <w:bookmarkEnd w:id="1052"/>
    </w:p>
    <w:p w:rsidR="00F524A5" w:rsidRPr="00472687" w:rsidRDefault="00F524A5" w:rsidP="00F524A5">
      <w:pPr>
        <w:pStyle w:val="JuPara"/>
      </w:pPr>
      <w:r w:rsidRPr="00472687">
        <w:fldChar w:fldCharType="begin"/>
      </w:r>
      <w:r>
        <w:instrText xml:space="preserve"> SEQ level0 \*arabic \* MERGEFORMAT </w:instrText>
      </w:r>
      <w:r w:rsidRPr="00472687">
        <w:fldChar w:fldCharType="separate"/>
      </w:r>
      <w:r w:rsidRPr="00472687">
        <w:t>641</w:t>
      </w:r>
      <w:r w:rsidRPr="00472687">
        <w:fldChar w:fldCharType="end"/>
      </w:r>
      <w:r>
        <w:t>. Reclamantele susțin că nu au dispus de o cale de atac efectivă, în sensul art. 13 din Convenție, pentru a se plânge cu privire la neîndeplinirea de către autorități a obligației lor de a acționa în vederea combaterii efectelor nefaste ale schimbărilor climatice.</w:t>
      </w:r>
    </w:p>
    <w:bookmarkStart w:id="1053" w:name="paragraph00643"/>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642</w:t>
      </w:r>
      <w:r w:rsidRPr="00472687">
        <w:fldChar w:fldCharType="end"/>
      </w:r>
      <w:bookmarkEnd w:id="1053"/>
      <w:r>
        <w:t>. Art. 13 are următorul cuprins:</w:t>
      </w:r>
    </w:p>
    <w:p w:rsidR="00F524A5" w:rsidRPr="00472687" w:rsidRDefault="00F524A5" w:rsidP="00F524A5">
      <w:pPr>
        <w:pStyle w:val="JuQuot"/>
      </w:pPr>
      <w:r>
        <w:t>„Orice persoană, ale cărei drepturi și libertăți recunoscute de […] Convenție au fost încălcate, are dreptul sa se adreseze efectiv unei instanțe naționale, chiar și atunci când încălcarea s-ar datora unor persoane care au acționat în exercitarea atribuțiilor lor oficiale. ”</w:t>
      </w:r>
    </w:p>
    <w:p w:rsidR="00F524A5" w:rsidRPr="00472687" w:rsidRDefault="00C71855" w:rsidP="00F524A5">
      <w:pPr>
        <w:pStyle w:val="JuPara"/>
      </w:pPr>
      <w:fldSimple w:instr=" SEQ level0 \*arabic \* MERGEFORMAT ">
        <w:r w:rsidR="00F524A5" w:rsidRPr="00472687">
          <w:t>643</w:t>
        </w:r>
      </w:fldSimple>
      <w:r w:rsidR="00F524A5">
        <w:t>. Guvernul contestă capătul de cerere formulat de reclamante.</w:t>
      </w:r>
    </w:p>
    <w:p w:rsidR="00F524A5" w:rsidRPr="00472687" w:rsidRDefault="00C71855" w:rsidP="00F524A5">
      <w:pPr>
        <w:pStyle w:val="JuPara"/>
      </w:pPr>
      <w:fldSimple w:instr=" SEQ level0 \*arabic \* MERGEFORMAT ">
        <w:r w:rsidR="00F524A5" w:rsidRPr="00472687">
          <w:t>644</w:t>
        </w:r>
      </w:fldSimple>
      <w:r w:rsidR="00F524A5">
        <w:t xml:space="preserve">. Curtea reamintește că rolul art. 6 în raport cu art. 13 este acela al unei </w:t>
      </w:r>
      <w:r w:rsidR="00F524A5">
        <w:rPr>
          <w:i/>
          <w:iCs/>
        </w:rPr>
        <w:t>lex specialis</w:t>
      </w:r>
      <w:r w:rsidR="00F524A5">
        <w:t xml:space="preserve">, cerințele art. 13 fiind înglobate în cerințele mai stricte ale art. 6 [a se vedea, de exemplu, </w:t>
      </w:r>
      <w:r w:rsidR="00F524A5">
        <w:rPr>
          <w:i/>
        </w:rPr>
        <w:t>Baka împotriva </w:t>
      </w:r>
      <w:r w:rsidR="00F524A5">
        <w:rPr>
          <w:i/>
          <w:iCs/>
        </w:rPr>
        <w:t>Ungariei</w:t>
      </w:r>
      <w:r w:rsidR="00F524A5">
        <w:t xml:space="preserve"> (MC), nr. 20261/12, pct. 181, 23 iunie 2016].</w:t>
      </w:r>
      <w:r w:rsidR="00F524A5">
        <w:rPr>
          <w:rFonts w:ascii="Segoe UI" w:hAnsi="Segoe UI"/>
          <w:color w:val="000000"/>
        </w:rPr>
        <w:t xml:space="preserve"> </w:t>
      </w:r>
      <w:r w:rsidR="00F524A5">
        <w:t>Având în vedere concluziile la care a ajuns cu privire la asociația reclamantă, în temeiul art. 6 § 1 din Convenție (supra, pct. </w:t>
      </w:r>
      <w:r w:rsidR="00F524A5" w:rsidRPr="00472687">
        <w:fldChar w:fldCharType="begin"/>
      </w:r>
      <w:r w:rsidR="00F524A5" w:rsidRPr="00472687">
        <w:instrText xml:space="preserve">REF paragraph00641 \h \* CharFormat </w:instrText>
      </w:r>
      <w:r w:rsidR="00F524A5" w:rsidRPr="00472687">
        <w:fldChar w:fldCharType="separate"/>
      </w:r>
      <w:r w:rsidR="00F524A5" w:rsidRPr="00472687">
        <w:t>640</w:t>
      </w:r>
      <w:r w:rsidR="00F524A5" w:rsidRPr="00472687">
        <w:fldChar w:fldCharType="end"/>
      </w:r>
      <w:r w:rsidR="00F524A5">
        <w:t>), aceasta consideră că respectivul capăt de cerere formulat în temeiul art. 13 nu ridică nicio problemă distinctă referitoare la partea în cauză. În consecință, aceasta constată că nu este necesar să examineze separat capătul de cerere formulat în temeiul art. 13 din Convenție.</w:t>
      </w:r>
    </w:p>
    <w:bookmarkStart w:id="1054" w:name="paragraph00646"/>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645</w:t>
      </w:r>
      <w:r w:rsidRPr="00472687">
        <w:fldChar w:fldCharType="end"/>
      </w:r>
      <w:bookmarkEnd w:id="1054"/>
      <w:r>
        <w:t xml:space="preserve">. În ceea ce le privește pe reclamantele nr. 2-5, ținând seama de concluziile formulate de Curte la punctele </w:t>
      </w:r>
      <w:r w:rsidRPr="00472687">
        <w:fldChar w:fldCharType="begin"/>
      </w:r>
      <w:r w:rsidRPr="00472687">
        <w:instrText xml:space="preserve"> REF paragraph00527 \h  \* CharFormat </w:instrText>
      </w:r>
      <w:r w:rsidRPr="00472687">
        <w:fldChar w:fldCharType="separate"/>
      </w:r>
      <w:r w:rsidRPr="00472687">
        <w:t>527</w:t>
      </w:r>
      <w:r w:rsidRPr="00472687">
        <w:fldChar w:fldCharType="end"/>
      </w:r>
      <w:r>
        <w:t>-</w:t>
      </w:r>
      <w:r w:rsidRPr="00472687">
        <w:fldChar w:fldCharType="begin"/>
      </w:r>
      <w:r w:rsidRPr="00472687">
        <w:instrText xml:space="preserve"> REF paragraph00535 \h  \* CharFormat </w:instrText>
      </w:r>
      <w:r w:rsidRPr="00472687">
        <w:fldChar w:fldCharType="separate"/>
      </w:r>
      <w:r w:rsidRPr="00472687">
        <w:t>535</w:t>
      </w:r>
      <w:r w:rsidRPr="00472687">
        <w:fldChar w:fldCharType="end"/>
      </w:r>
      <w:r>
        <w:t xml:space="preserve"> și </w:t>
      </w:r>
      <w:r w:rsidRPr="00472687">
        <w:fldChar w:fldCharType="begin"/>
      </w:r>
      <w:r w:rsidRPr="00472687">
        <w:instrText xml:space="preserve">REF paragraph00626 \h \* CharFormat </w:instrText>
      </w:r>
      <w:r w:rsidRPr="00472687">
        <w:fldChar w:fldCharType="separate"/>
      </w:r>
      <w:r w:rsidRPr="00472687">
        <w:t>625</w:t>
      </w:r>
      <w:r w:rsidRPr="00472687">
        <w:fldChar w:fldCharType="end"/>
      </w:r>
      <w:r>
        <w:t xml:space="preserve"> de mai sus, aceasta apreciază că reclamantele nu au nicio pretenție întemeiată în temeiul art. 13 și că plângerea prezentată de acestea este</w:t>
      </w:r>
      <w:r>
        <w:rPr>
          <w:i/>
        </w:rPr>
        <w:t xml:space="preserve"> </w:t>
      </w:r>
      <w:r>
        <w:t>incompatibilă</w:t>
      </w:r>
      <w:r>
        <w:rPr>
          <w:i/>
        </w:rPr>
        <w:t xml:space="preserve"> ratione materiae </w:t>
      </w:r>
      <w:r>
        <w:t xml:space="preserve">cu dispozițiile Convenției (a se vedea, de exemplu, </w:t>
      </w:r>
      <w:r>
        <w:rPr>
          <w:i/>
        </w:rPr>
        <w:t>Athanassoglou și alții,</w:t>
      </w:r>
      <w:r>
        <w:t xml:space="preserve"> citată anterior, pct. 59 și 60) și trebuie să fie respinsă în temeiul art. 35 § 4 din Convenție.</w:t>
      </w:r>
    </w:p>
    <w:p w:rsidR="00F524A5" w:rsidRPr="00472687" w:rsidRDefault="00F524A5" w:rsidP="00F524A5">
      <w:pPr>
        <w:pStyle w:val="JuHIRoman"/>
        <w:numPr>
          <w:ilvl w:val="1"/>
          <w:numId w:val="20"/>
        </w:numPr>
        <w:ind w:left="709" w:hanging="425"/>
        <w:rPr>
          <w:caps w:val="0"/>
        </w:rPr>
      </w:pPr>
      <w:bookmarkStart w:id="1055" w:name="_Toc158019716"/>
      <w:bookmarkStart w:id="1056" w:name="_Toc149127537"/>
      <w:bookmarkStart w:id="1057" w:name="_Toc199273595"/>
      <w:r>
        <w:rPr>
          <w:caps w:val="0"/>
        </w:rPr>
        <w:t>CU PRIVIRE LA APLICAREA ART. 41 ȘI 46 DIN CONVENȚIE</w:t>
      </w:r>
      <w:bookmarkEnd w:id="1055"/>
      <w:bookmarkEnd w:id="1056"/>
      <w:bookmarkEnd w:id="1057"/>
    </w:p>
    <w:p w:rsidR="00F524A5" w:rsidRPr="00472687" w:rsidRDefault="00F524A5" w:rsidP="00F524A5">
      <w:pPr>
        <w:pStyle w:val="JuHA"/>
        <w:numPr>
          <w:ilvl w:val="2"/>
          <w:numId w:val="18"/>
        </w:numPr>
        <w:ind w:left="1080" w:hanging="360"/>
      </w:pPr>
      <w:bookmarkStart w:id="1058" w:name="_Toc158019717"/>
      <w:bookmarkStart w:id="1059" w:name="_Toc199273596"/>
      <w:r>
        <w:t>Art. 41 din Convenție</w:t>
      </w:r>
      <w:bookmarkEnd w:id="1058"/>
      <w:bookmarkEnd w:id="1059"/>
    </w:p>
    <w:p w:rsidR="00F524A5" w:rsidRPr="00472687" w:rsidRDefault="00FD3281" w:rsidP="00F524A5">
      <w:pPr>
        <w:pStyle w:val="JuPara"/>
      </w:pPr>
      <w:r>
        <w:fldChar w:fldCharType="begin"/>
      </w:r>
      <w:r>
        <w:instrText xml:space="preserve"> SEQ level0 \*a</w:instrText>
      </w:r>
      <w:r>
        <w:instrText xml:space="preserve">rabic </w:instrText>
      </w:r>
      <w:r>
        <w:fldChar w:fldCharType="separate"/>
      </w:r>
      <w:r w:rsidR="00F524A5" w:rsidRPr="00472687">
        <w:t>646</w:t>
      </w:r>
      <w:r>
        <w:fldChar w:fldCharType="end"/>
      </w:r>
      <w:r w:rsidR="00F524A5">
        <w:t>. În temeiul art. 41 din Convenție,</w:t>
      </w:r>
    </w:p>
    <w:p w:rsidR="00F524A5" w:rsidRPr="00472687" w:rsidRDefault="00F524A5" w:rsidP="00F524A5">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 ”</w:t>
      </w:r>
    </w:p>
    <w:p w:rsidR="00F524A5" w:rsidRPr="00472687" w:rsidRDefault="00F524A5" w:rsidP="00F524A5">
      <w:pPr>
        <w:pStyle w:val="JuH1"/>
        <w:numPr>
          <w:ilvl w:val="3"/>
          <w:numId w:val="25"/>
        </w:numPr>
      </w:pPr>
      <w:bookmarkStart w:id="1060" w:name="_Toc199273597"/>
      <w:r>
        <w:t>Prejudiciu</w:t>
      </w:r>
      <w:bookmarkEnd w:id="1060"/>
    </w:p>
    <w:p w:rsidR="00F524A5" w:rsidRPr="00472687" w:rsidRDefault="00FD3281" w:rsidP="00F524A5">
      <w:pPr>
        <w:pStyle w:val="JuPara"/>
      </w:pPr>
      <w:r>
        <w:fldChar w:fldCharType="begin"/>
      </w:r>
      <w:r>
        <w:instrText xml:space="preserve"> SEQ level0 \*arabic </w:instrText>
      </w:r>
      <w:r>
        <w:fldChar w:fldCharType="separate"/>
      </w:r>
      <w:r w:rsidR="00F524A5" w:rsidRPr="00472687">
        <w:t>647</w:t>
      </w:r>
      <w:r>
        <w:fldChar w:fldCharType="end"/>
      </w:r>
      <w:r w:rsidR="00F524A5">
        <w:t>. Asociația reclamantă nu a formulat nicio cerere de despăgubire. În consecință, Curtea nu acordă nicio sumă cu acest titlu.</w:t>
      </w:r>
    </w:p>
    <w:p w:rsidR="00F524A5" w:rsidRPr="00472687" w:rsidRDefault="00F524A5" w:rsidP="00F524A5">
      <w:pPr>
        <w:pStyle w:val="JuH1"/>
        <w:numPr>
          <w:ilvl w:val="3"/>
          <w:numId w:val="18"/>
        </w:numPr>
        <w:ind w:left="709" w:hanging="360"/>
      </w:pPr>
      <w:bookmarkStart w:id="1061" w:name="_Toc199273598"/>
      <w:r>
        <w:lastRenderedPageBreak/>
        <w:t>Cheltuieli de judecată</w:t>
      </w:r>
      <w:bookmarkEnd w:id="1061"/>
    </w:p>
    <w:p w:rsidR="00F524A5" w:rsidRPr="00472687" w:rsidRDefault="00C71855" w:rsidP="00F524A5">
      <w:pPr>
        <w:pStyle w:val="JuPara"/>
      </w:pPr>
      <w:fldSimple w:instr=" SEQ level0 \*arabic \* MERGEFORMAT ">
        <w:r w:rsidR="00F524A5" w:rsidRPr="00472687">
          <w:t>648</w:t>
        </w:r>
      </w:fldSimple>
      <w:r w:rsidR="00F524A5">
        <w:t>. În cadrul procedurii desfășurate în fața Camerei, asociația reclamantă a solicitat suma totală de 324 249,25 de franci elvețieni (CHF) pentru cheltuielile de judecată. Această sumă includea, pe de o parte, onorariile avocaților (315 249,25 CHF) și, pe de altă parte, costurile impuse la nivel intern de instanțele elvețiene (adică 9 000 CHF în total). În fața Marii Camere, aceasta solicită 187 988,45 CHF pentru cheltuielile de judecată suportate în cadrul acestei proceduri. De asemenea, aceasta a prezentat facturi și documente justificative referitoare la plățile pe care le-a efectuat. Ulterior, asociația reclamantă a prezentat note de onorarii și facturi suplimentare pentru serviciile care i-au fost oferite de reprezentanții săi legali, în valoare totală de 79 181,50 CHF, 63 057,92 de euro (EUR) și 27 504,50 de lire sterline (GBP).</w:t>
      </w:r>
    </w:p>
    <w:p w:rsidR="00F524A5" w:rsidRPr="00472687" w:rsidRDefault="00C71855" w:rsidP="00F524A5">
      <w:pPr>
        <w:pStyle w:val="JuPara"/>
      </w:pPr>
      <w:fldSimple w:instr=" SEQ level0 \*arabic \* MERGEFORMAT ">
        <w:r w:rsidR="00F524A5" w:rsidRPr="00472687">
          <w:t>649</w:t>
        </w:r>
      </w:fldSimple>
      <w:r w:rsidR="00F524A5">
        <w:t>. Guvernul s-a opus cererii asociației reclamante, pe care o consideră excesivă și nefondată. Acesta apreciază că ar trebui să fie respinsă sau, în subsidiar, să se acorde suma maximă de 13 000 CHF.</w:t>
      </w:r>
    </w:p>
    <w:p w:rsidR="00F524A5" w:rsidRPr="00472687" w:rsidRDefault="00C71855" w:rsidP="00F524A5">
      <w:pPr>
        <w:pStyle w:val="JuPara"/>
      </w:pPr>
      <w:fldSimple w:instr=" SEQ level0 \*arabic \* MERGEFORMAT ">
        <w:r w:rsidR="00F524A5" w:rsidRPr="00472687">
          <w:t>650</w:t>
        </w:r>
      </w:fldSimple>
      <w:r w:rsidR="00F524A5">
        <w:t xml:space="preserve">. În conformitate cu jurisprudența Curții, un reclamant nu poate obține rambursarea cheltuielilor de judecată decât în măsura în care se stabilește caracterul real, necesar și rezonabil al acestora (a se vedea, de exemplu, </w:t>
      </w:r>
      <w:bookmarkStart w:id="1062" w:name="_cl42310"/>
      <w:r w:rsidR="00F524A5">
        <w:rPr>
          <w:i/>
        </w:rPr>
        <w:t>Halet împotriva Luxemburgului</w:t>
      </w:r>
      <w:bookmarkEnd w:id="1062"/>
      <w:r w:rsidR="00F524A5">
        <w:t xml:space="preserve"> (MC), nr. 21884/18, pct. 214, 14 februarie 2023]. Având în vedere criteriile de mai sus, Curtea nu este convinsă că toate cheltuielile de judecată aferente procedurii în fața sa au fost efectuate în mod necesar și consideră că este rezonabil să acorde suma de 80 000 EUR, pentru toate cheltuielile de judecată. Aceasta respinge cererea asociației reclamante de acordare a cheltuielilor de judecată în privința celorlalte capete de cerere.</w:t>
      </w:r>
    </w:p>
    <w:p w:rsidR="00F524A5" w:rsidRPr="00472687" w:rsidRDefault="00F524A5" w:rsidP="00F524A5">
      <w:pPr>
        <w:pStyle w:val="JuH1"/>
        <w:numPr>
          <w:ilvl w:val="3"/>
          <w:numId w:val="18"/>
        </w:numPr>
        <w:ind w:left="709" w:hanging="360"/>
      </w:pPr>
      <w:bookmarkStart w:id="1063" w:name="_Toc199273599"/>
      <w:r>
        <w:t>Dobânzi moratorii</w:t>
      </w:r>
      <w:bookmarkEnd w:id="1063"/>
    </w:p>
    <w:p w:rsidR="00F524A5" w:rsidRPr="00472687" w:rsidRDefault="00C71855" w:rsidP="00F524A5">
      <w:pPr>
        <w:pStyle w:val="JuPara"/>
      </w:pPr>
      <w:fldSimple w:instr=" SEQ level0 \*arabic \* MERGEFORMAT ">
        <w:r w:rsidR="00F524A5" w:rsidRPr="00472687">
          <w:t>651</w:t>
        </w:r>
      </w:fldSimple>
      <w:r w:rsidR="00F524A5">
        <w:t>. Curtea consideră necesar ca rata dobânzilor moratorii să se întemeieze pe rata dobânzii facilității de împrumut marginal practicată de Banca Centrală Europeană, majorată cu trei puncte procentuale.</w:t>
      </w:r>
    </w:p>
    <w:p w:rsidR="00F524A5" w:rsidRPr="00472687" w:rsidRDefault="00F524A5" w:rsidP="00F524A5">
      <w:pPr>
        <w:pStyle w:val="JuHA"/>
        <w:numPr>
          <w:ilvl w:val="2"/>
          <w:numId w:val="18"/>
        </w:numPr>
        <w:ind w:left="1080" w:hanging="360"/>
      </w:pPr>
      <w:bookmarkStart w:id="1064" w:name="_Toc158019718"/>
      <w:bookmarkStart w:id="1065" w:name="_Toc199273600"/>
      <w:r>
        <w:t>Art. 46 din Convenție</w:t>
      </w:r>
      <w:bookmarkEnd w:id="1064"/>
      <w:bookmarkEnd w:id="1065"/>
    </w:p>
    <w:p w:rsidR="00F524A5" w:rsidRPr="00472687" w:rsidRDefault="00C71855" w:rsidP="00F524A5">
      <w:pPr>
        <w:pStyle w:val="JuPara"/>
      </w:pPr>
      <w:fldSimple w:instr=" SEQ level0 \*arabic \* MERGEFORMAT ">
        <w:r w:rsidR="00F524A5" w:rsidRPr="00472687">
          <w:t>652</w:t>
        </w:r>
      </w:fldSimple>
      <w:r w:rsidR="00F524A5">
        <w:t>. Părțile relevante din art. 46 din Convenție au următorul cuprins:</w:t>
      </w:r>
    </w:p>
    <w:p w:rsidR="00F524A5" w:rsidRPr="00472687" w:rsidRDefault="00F524A5" w:rsidP="00F524A5">
      <w:pPr>
        <w:pStyle w:val="JuQuot"/>
      </w:pPr>
      <w:r>
        <w:t>„1. Înaltele părți contractante se obligă să se conformeze hotărârilor definitive ale Curții, pronunțate în cauzele în care sunt părți.</w:t>
      </w:r>
    </w:p>
    <w:p w:rsidR="00F524A5" w:rsidRPr="00472687" w:rsidRDefault="00F524A5" w:rsidP="00F524A5">
      <w:pPr>
        <w:pStyle w:val="JuQuot"/>
      </w:pPr>
      <w:r>
        <w:t>2. Hotărârea definitivă a Curții se transmite Comitetului de Miniștri, care supraveghează executarea acesteia. ”</w:t>
      </w:r>
    </w:p>
    <w:p w:rsidR="00F524A5" w:rsidRPr="00472687" w:rsidRDefault="00F524A5" w:rsidP="00F524A5">
      <w:pPr>
        <w:pStyle w:val="JuH1"/>
        <w:numPr>
          <w:ilvl w:val="3"/>
          <w:numId w:val="25"/>
        </w:numPr>
      </w:pPr>
      <w:bookmarkStart w:id="1066" w:name="_Toc199273601"/>
      <w:r>
        <w:t>Argumentele părților</w:t>
      </w:r>
      <w:bookmarkEnd w:id="1066"/>
    </w:p>
    <w:p w:rsidR="00F524A5" w:rsidRPr="00472687" w:rsidRDefault="00C71855" w:rsidP="00F524A5">
      <w:pPr>
        <w:pStyle w:val="JuPara"/>
      </w:pPr>
      <w:fldSimple w:instr=" SEQ level0 \*arabic \* MERGEFORMAT ">
        <w:r w:rsidR="00F524A5" w:rsidRPr="00472687">
          <w:t>653</w:t>
        </w:r>
      </w:fldSimple>
      <w:r w:rsidR="00F524A5">
        <w:t xml:space="preserve">. Reclamantele susțin că, în cazul constatării de către Curte a unei încălcări a Convenției, ar trebui să se aplice art. 46. Totuși, acestea afirmă că, întrucât alegerea mijloacelor care trebuie folosite pentru a pune în executare </w:t>
      </w:r>
      <w:r w:rsidR="00F524A5">
        <w:lastRenderedPageBreak/>
        <w:t>hotărârea Curții revine, în primul rând, statului pârât, Curtea nu ar trebui să specifice măsurile care trebuie luate. În opinia lor, ar fi preferabil ca aceasta să indice statului toate măsurile adecvate pe care trebuie să le adopte pentru a-i permite să atingă un nivel al emisiilor anuale care să fie compatibil cu obiectivul său de reducere a emisiilor de GES cu cel puțin 40% până în 2030, precum și să realizeze obiectivul de obținere a neutralității emisiilor de dioxid de carbon până în 2050.</w:t>
      </w:r>
    </w:p>
    <w:p w:rsidR="00F524A5" w:rsidRPr="00472687" w:rsidRDefault="00C71855" w:rsidP="00F524A5">
      <w:pPr>
        <w:pStyle w:val="JuPara"/>
      </w:pPr>
      <w:fldSimple w:instr=" SEQ level0 \*arabic \* MERGEFORMAT ">
        <w:r w:rsidR="00F524A5" w:rsidRPr="00472687">
          <w:t>654</w:t>
        </w:r>
      </w:fldSimple>
      <w:r w:rsidR="00F524A5">
        <w:t>. Guvernul subliniază că reclamantele nu au solicitat, nici în fața instanțelor interne, nici în fața Curții, să se indice statului adoptarea anumitor măsuri generale concrete. În opinia acestuia, părțile interesate au admis, în fapt, că statul pârât dispunea de diferite măsuri care îi permiteau să asigure respectarea bugetul de carbon relevant. Guvernul ia act, de asemenea, de faptul că diverse măsuri de atenuare au fost elaborate la nivel internațional, în special de către IPCC. În opinia sa, este de asemenea important să se țină seama de marja amplă de apreciere acordată statului într-un domeniu atât de complex și tehnic precum cel al schimbărilor climatice. Adaugă că indicarea unor măsuri concrete în temeiul art. 46 ar contraveni principiului subsidiarității și separării necesare a puterilor. Acesta consideră că, în orice caz, la nivel intern, nu existau probleme sistemice care să justifice aplicarea art. 46. Prin urmare, apreciază că nu ar trebui să se indice de către Curte adoptarea de măsuri generale în temeiul acestei dispoziții.</w:t>
      </w:r>
    </w:p>
    <w:p w:rsidR="00F524A5" w:rsidRPr="00472687" w:rsidRDefault="00F524A5" w:rsidP="00F524A5">
      <w:pPr>
        <w:pStyle w:val="JuH1"/>
        <w:numPr>
          <w:ilvl w:val="3"/>
          <w:numId w:val="18"/>
        </w:numPr>
        <w:ind w:left="709" w:hanging="360"/>
      </w:pPr>
      <w:bookmarkStart w:id="1067" w:name="_Toc199273602"/>
      <w:r>
        <w:t>Motivarea Curții</w:t>
      </w:r>
      <w:bookmarkEnd w:id="1067"/>
    </w:p>
    <w:p w:rsidR="00F524A5" w:rsidRPr="00472687" w:rsidRDefault="00C71855" w:rsidP="00F524A5">
      <w:pPr>
        <w:pStyle w:val="JuPara"/>
      </w:pPr>
      <w:fldSimple w:instr=" SEQ level0 \*arabic \* MERGEFORMAT ">
        <w:r w:rsidR="00F524A5" w:rsidRPr="00472687">
          <w:t>655</w:t>
        </w:r>
      </w:fldSimple>
      <w:r w:rsidR="00F524A5">
        <w:t xml:space="preserve">. Curtea reamintește că, în temeiul art. 46 din Convenție, înaltele părți contractante se obligă să se conformeze hotărârilor definitive ale Curții, pronunțate în cauzele în care sunt părți, iar Comitetul de Miniștri este responsabil pentru supravegherea executării acestor hotărâri. Rezultă, în special, că statul pârât declarat responsabil pentru încălcarea Convenției sau a protocoalelor sale nu are doar obligația de a plăti părților în cauză sumele acordate cu titlu de reparație echitabilă, ci și de a alege, sub supravegherea Comitetului de Miniștri, măsurile generale și/sau, după caz, individuale pe care trebuie să le adopte în ordinea sa juridică internă pentru a pune capăt încălcării constatate de Curte și pentru a elimina, pe cât posibil, efectele acesteia [a se vedea, printre altele, </w:t>
      </w:r>
      <w:r w:rsidR="00F524A5">
        <w:rPr>
          <w:i/>
        </w:rPr>
        <w:t xml:space="preserve">H.F. și alții împotriva Franței </w:t>
      </w:r>
      <w:r w:rsidR="00F524A5">
        <w:t>(MC), nr. 24384/19 și 44234/20, pct. 293, 14 septembrie 2022].</w:t>
      </w:r>
    </w:p>
    <w:bookmarkStart w:id="1068" w:name="paragraph00657"/>
    <w:p w:rsidR="00F524A5" w:rsidRPr="00472687" w:rsidRDefault="00F524A5" w:rsidP="00F524A5">
      <w:pPr>
        <w:pStyle w:val="JuPara"/>
      </w:pPr>
      <w:r w:rsidRPr="00472687">
        <w:fldChar w:fldCharType="begin"/>
      </w:r>
      <w:r w:rsidRPr="00472687">
        <w:instrText xml:space="preserve"> SEQ level0 \*arabic \* MERGEFORMAT </w:instrText>
      </w:r>
      <w:r w:rsidRPr="00472687">
        <w:fldChar w:fldCharType="separate"/>
      </w:r>
      <w:r w:rsidRPr="00472687">
        <w:t>656</w:t>
      </w:r>
      <w:r w:rsidRPr="00472687">
        <w:fldChar w:fldCharType="end"/>
      </w:r>
      <w:bookmarkEnd w:id="1068"/>
      <w:r>
        <w:t xml:space="preserve">. În plus, Curtea reamintește că hotărârile sale au, în esență, un caracter declarativ și că, în principiu, revine în primul rând statului în cauză sarcina de a alege, sub supravegherea Comitetului de Miniștri, mijloacele care trebuie folosite în ordinea sa juridică internă pentru a-și îndeplini obligația în temeiul art. 46 din Convenție, în măsura în care aceste mijloace sunt compatibile cu concluziile și cu spiritul hotărârii Curții. Cu toate acestea, în anumite circumstanțe specifice, Curtea a considerat că este util să indice statului pârât tipul de măsuri, individuale și/sau generale, pe care le-ar putea lua pentru a </w:t>
      </w:r>
      <w:r>
        <w:lastRenderedPageBreak/>
        <w:t>pune capăt problemei care a condus la constatarea încălcării în cauză (</w:t>
      </w:r>
      <w:r>
        <w:rPr>
          <w:i/>
        </w:rPr>
        <w:t>ibidem</w:t>
      </w:r>
      <w:r>
        <w:t>, pct. 294).</w:t>
      </w:r>
    </w:p>
    <w:p w:rsidR="00F524A5" w:rsidRPr="00472687" w:rsidRDefault="00C71855" w:rsidP="00F524A5">
      <w:pPr>
        <w:pStyle w:val="JuPara"/>
      </w:pPr>
      <w:fldSimple w:instr=" SEQ level0 \*arabic \* MERGEFORMAT ">
        <w:r w:rsidR="00F524A5" w:rsidRPr="00472687">
          <w:t>657</w:t>
        </w:r>
      </w:fldSimple>
      <w:r w:rsidR="00F524A5">
        <w:t>. În speță, având în vedere complexitatea și natura chestiunilor implicate, Curtea nu poate să indice măsurile precise sau prescriptive care trebuie puse în aplicare de stat pentru a se conforma în mod efectiv prezentei hotărâri. Ținând seama de marja de apreciere diferențiată acordată statului în domeniul în cauză (supra, pct. </w:t>
      </w:r>
      <w:r w:rsidR="00F524A5" w:rsidRPr="00472687">
        <w:fldChar w:fldCharType="begin"/>
      </w:r>
      <w:r w:rsidR="00F524A5" w:rsidRPr="00472687">
        <w:instrText xml:space="preserve"> REF paragraph00543 \h  \* CharFormat  \* MERGEFORMAT </w:instrText>
      </w:r>
      <w:r w:rsidR="00F524A5" w:rsidRPr="00472687">
        <w:fldChar w:fldCharType="separate"/>
      </w:r>
      <w:r w:rsidR="00F524A5" w:rsidRPr="00472687">
        <w:t>543</w:t>
      </w:r>
      <w:r w:rsidR="00F524A5" w:rsidRPr="00472687">
        <w:fldChar w:fldCharType="end"/>
      </w:r>
      <w:r w:rsidR="00F524A5">
        <w:t>), Curtea consideră că statul pârât, cu asistența Comitetului de Miniștri, este mai în măsură decât aceasta să stabilească măsurile specifice care trebuie luate. Prin urmare, Comitetului de Miniștri îi revine sarcina de a verifica, pe baza informațiilor furnizate de statul pârât, că au fost adoptate măsurile prin care se urmărește să se asigure că autoritățile naționale se conformează cerințelor Convenției, astfel cum au fost clarificate în prezenta hotărâre.</w:t>
      </w:r>
    </w:p>
    <w:p w:rsidR="00F524A5" w:rsidRPr="00472687" w:rsidRDefault="00F524A5" w:rsidP="00F524A5">
      <w:pPr>
        <w:pStyle w:val="JuHHead"/>
        <w:numPr>
          <w:ilvl w:val="0"/>
          <w:numId w:val="18"/>
        </w:numPr>
        <w:ind w:left="360" w:hanging="360"/>
      </w:pPr>
      <w:bookmarkStart w:id="1069" w:name="_Toc149127544"/>
      <w:bookmarkStart w:id="1070" w:name="_Toc158019720"/>
      <w:bookmarkStart w:id="1071" w:name="_Toc199273603"/>
      <w:r>
        <w:t>PENTRU ACESTE MOTIVE, CURTEA</w:t>
      </w:r>
      <w:bookmarkEnd w:id="1069"/>
      <w:bookmarkEnd w:id="1070"/>
      <w:bookmarkEnd w:id="1071"/>
    </w:p>
    <w:p w:rsidR="00F524A5" w:rsidRPr="00472687" w:rsidRDefault="00F524A5" w:rsidP="00F524A5">
      <w:pPr>
        <w:pStyle w:val="JuList"/>
        <w:numPr>
          <w:ilvl w:val="0"/>
          <w:numId w:val="21"/>
        </w:numPr>
      </w:pPr>
      <w:r>
        <w:rPr>
          <w:i/>
        </w:rPr>
        <w:t>hotărăște,</w:t>
      </w:r>
      <w:r>
        <w:t xml:space="preserve"> în unanimitate, că fiul și moștenitorul celei de-a doua reclamante are calitatea procesuală de a continua prezenta procedură în locul reclamantei;</w:t>
      </w:r>
    </w:p>
    <w:p w:rsidR="00F524A5" w:rsidRPr="00472687" w:rsidRDefault="00F524A5" w:rsidP="00F524A5">
      <w:pPr>
        <w:pStyle w:val="JuList"/>
        <w:numPr>
          <w:ilvl w:val="0"/>
          <w:numId w:val="21"/>
        </w:numPr>
      </w:pPr>
      <w:r>
        <w:rPr>
          <w:i/>
        </w:rPr>
        <w:t>respinge,</w:t>
      </w:r>
      <w:r>
        <w:t xml:space="preserve"> în unanimitate, excepțiile preliminare ridicate de Guvern cu privire la obiectul cererii, jurisdicție și respectarea termenului de șase luni;</w:t>
      </w:r>
    </w:p>
    <w:p w:rsidR="00F524A5" w:rsidRPr="00472687" w:rsidRDefault="00F524A5" w:rsidP="00F524A5">
      <w:pPr>
        <w:pStyle w:val="JuList"/>
        <w:numPr>
          <w:ilvl w:val="0"/>
          <w:numId w:val="21"/>
        </w:numPr>
      </w:pPr>
      <w:r>
        <w:rPr>
          <w:i/>
        </w:rPr>
        <w:t>conexează,</w:t>
      </w:r>
      <w:r>
        <w:t xml:space="preserve"> cu șaisprezece voturi la unu, problema calității de victimă/calității procesuale a reclamantelor, în temeiul art. 2 și 8 din Convenție, cu aprecierea aplicabilității acestor dispoziții;</w:t>
      </w:r>
    </w:p>
    <w:p w:rsidR="00F524A5" w:rsidRPr="00472687" w:rsidRDefault="00F524A5" w:rsidP="00F524A5">
      <w:pPr>
        <w:pStyle w:val="JuList"/>
        <w:numPr>
          <w:ilvl w:val="0"/>
          <w:numId w:val="21"/>
        </w:numPr>
      </w:pPr>
      <w:r>
        <w:rPr>
          <w:i/>
        </w:rPr>
        <w:t xml:space="preserve">hotărăște, </w:t>
      </w:r>
      <w:r>
        <w:t xml:space="preserve">cu șaisprezece voturi la unu, că asociația reclamantă are calitatea procesuală de a acționa în prezenta procedură și că respectivul capăt de cerere formulat de aceasta trebuie să fie examinat doar din perspectiva art. 8 din Convenție, și </w:t>
      </w:r>
      <w:r>
        <w:rPr>
          <w:i/>
        </w:rPr>
        <w:t xml:space="preserve">respinge </w:t>
      </w:r>
      <w:r>
        <w:t>excepția ridicată de Guvern cu privire la acest aspect;</w:t>
      </w:r>
    </w:p>
    <w:p w:rsidR="00F524A5" w:rsidRPr="00472687" w:rsidRDefault="00F524A5" w:rsidP="00F524A5">
      <w:pPr>
        <w:pStyle w:val="JuList"/>
        <w:numPr>
          <w:ilvl w:val="0"/>
          <w:numId w:val="21"/>
        </w:numPr>
      </w:pPr>
      <w:r>
        <w:rPr>
          <w:i/>
        </w:rPr>
        <w:t xml:space="preserve">admite, </w:t>
      </w:r>
      <w:r>
        <w:t xml:space="preserve">în unanimitate, excepția ridicată de Guvern cu privire la calitatea de victimă a reclamantelor nr. 2-5, în temeiul art. 2 și 8 din Convenție, și </w:t>
      </w:r>
      <w:r>
        <w:rPr>
          <w:i/>
        </w:rPr>
        <w:t xml:space="preserve">declară </w:t>
      </w:r>
      <w:r>
        <w:t>inadmisibile capetele de cerere formulate de aceste reclamante;</w:t>
      </w:r>
    </w:p>
    <w:p w:rsidR="00F524A5" w:rsidRPr="00472687" w:rsidRDefault="00F524A5" w:rsidP="00F524A5">
      <w:pPr>
        <w:pStyle w:val="JuList"/>
        <w:numPr>
          <w:ilvl w:val="0"/>
          <w:numId w:val="21"/>
        </w:numPr>
      </w:pPr>
      <w:r>
        <w:rPr>
          <w:i/>
        </w:rPr>
        <w:t>hotărăște</w:t>
      </w:r>
      <w:r>
        <w:t>,</w:t>
      </w:r>
      <w:r>
        <w:rPr>
          <w:i/>
        </w:rPr>
        <w:t xml:space="preserve"> </w:t>
      </w:r>
      <w:r>
        <w:t>în unanimitate, că nu este necesar să se examineze aplicabilitatea art. 2 din Convenție;</w:t>
      </w:r>
    </w:p>
    <w:p w:rsidR="00F524A5" w:rsidRPr="00472687" w:rsidRDefault="00F524A5" w:rsidP="00F524A5">
      <w:pPr>
        <w:pStyle w:val="JuList"/>
        <w:numPr>
          <w:ilvl w:val="0"/>
          <w:numId w:val="21"/>
        </w:numPr>
      </w:pPr>
      <w:r>
        <w:rPr>
          <w:i/>
        </w:rPr>
        <w:t>hotărăște,</w:t>
      </w:r>
      <w:r>
        <w:t xml:space="preserve"> cu șaisprezece voturi la unu, că a fost încălcat art. 8 din Convenție;</w:t>
      </w:r>
    </w:p>
    <w:p w:rsidR="00F524A5" w:rsidRPr="00472687" w:rsidRDefault="00F524A5" w:rsidP="00F524A5">
      <w:pPr>
        <w:pStyle w:val="JuList"/>
        <w:numPr>
          <w:ilvl w:val="0"/>
          <w:numId w:val="21"/>
        </w:numPr>
      </w:pPr>
      <w:r>
        <w:rPr>
          <w:i/>
        </w:rPr>
        <w:lastRenderedPageBreak/>
        <w:t>conexează,</w:t>
      </w:r>
      <w:r>
        <w:t xml:space="preserve"> cu șaisprezece voturi la unu, problema calității de victimă a reclamantelor, în temeiul art. 6 § 1 din Convenție, cu aprecierea aplicabilității acestei dispoziții;</w:t>
      </w:r>
    </w:p>
    <w:p w:rsidR="00F524A5" w:rsidRPr="00472687" w:rsidRDefault="00F524A5" w:rsidP="00F524A5">
      <w:pPr>
        <w:pStyle w:val="JuList"/>
        <w:numPr>
          <w:ilvl w:val="0"/>
          <w:numId w:val="21"/>
        </w:numPr>
      </w:pPr>
      <w:r>
        <w:rPr>
          <w:i/>
        </w:rPr>
        <w:t>hotărăște,</w:t>
      </w:r>
      <w:r>
        <w:t xml:space="preserve"> cu șaisprezece voturi la unu, că art. 6 § 1 din Convenție se aplică în privința capătului de cerere formulat de asociația reclamantă și că se poate considera că aceasta are calitatea de victimă în temeiul dispoziției în cauză și </w:t>
      </w:r>
      <w:r>
        <w:rPr>
          <w:i/>
        </w:rPr>
        <w:t xml:space="preserve">respinge </w:t>
      </w:r>
      <w:r>
        <w:t>excepția ridicată de Guvern cu privire la acest aspect;</w:t>
      </w:r>
    </w:p>
    <w:p w:rsidR="00F524A5" w:rsidRPr="00472687" w:rsidRDefault="00F524A5" w:rsidP="00F524A5">
      <w:pPr>
        <w:pStyle w:val="JuList"/>
        <w:numPr>
          <w:ilvl w:val="0"/>
          <w:numId w:val="21"/>
        </w:numPr>
      </w:pPr>
      <w:r>
        <w:rPr>
          <w:i/>
        </w:rPr>
        <w:t xml:space="preserve">hotărăște, </w:t>
      </w:r>
      <w:r>
        <w:t xml:space="preserve">cu șaisprezece voturi la unu, că art. 6 § 1 din Convenție nu se aplică în privința capătului de cerere formulat de reclamantele nr. 2-5 și </w:t>
      </w:r>
      <w:r>
        <w:rPr>
          <w:i/>
        </w:rPr>
        <w:t>declară</w:t>
      </w:r>
      <w:r>
        <w:t xml:space="preserve"> inadmisibil capătul lor de cerere;</w:t>
      </w:r>
    </w:p>
    <w:p w:rsidR="00F524A5" w:rsidRPr="00472687" w:rsidRDefault="00F524A5" w:rsidP="00F524A5">
      <w:pPr>
        <w:pStyle w:val="JuList"/>
        <w:numPr>
          <w:ilvl w:val="0"/>
          <w:numId w:val="21"/>
        </w:numPr>
      </w:pPr>
      <w:r>
        <w:rPr>
          <w:i/>
        </w:rPr>
        <w:t xml:space="preserve">hotărăște, </w:t>
      </w:r>
      <w:r>
        <w:t>în unanimitate, că a fost încălcat art. 6 § 1 din Convenție;</w:t>
      </w:r>
    </w:p>
    <w:p w:rsidR="00F524A5" w:rsidRPr="00472687" w:rsidRDefault="00F524A5" w:rsidP="00F524A5">
      <w:pPr>
        <w:pStyle w:val="JuList"/>
        <w:numPr>
          <w:ilvl w:val="0"/>
          <w:numId w:val="21"/>
        </w:numPr>
      </w:pPr>
      <w:r>
        <w:rPr>
          <w:i/>
        </w:rPr>
        <w:t>hotărăște</w:t>
      </w:r>
      <w:r>
        <w:t>,</w:t>
      </w:r>
      <w:r>
        <w:rPr>
          <w:i/>
        </w:rPr>
        <w:t xml:space="preserve"> </w:t>
      </w:r>
      <w:r>
        <w:t xml:space="preserve">în unanimitate, că nu este necesar să se examineze separat capătul de cerere formulat de asociația reclamantă în temeiul art. 13 din Convenție și </w:t>
      </w:r>
      <w:r>
        <w:rPr>
          <w:i/>
        </w:rPr>
        <w:t xml:space="preserve">declară </w:t>
      </w:r>
      <w:r>
        <w:t>inadmisibile capetele de cerere formulate de reclamantele nr. 2-5;</w:t>
      </w:r>
    </w:p>
    <w:p w:rsidR="00F524A5" w:rsidRPr="00472687" w:rsidRDefault="00F524A5" w:rsidP="00F524A5">
      <w:pPr>
        <w:pStyle w:val="JuList"/>
        <w:numPr>
          <w:ilvl w:val="0"/>
          <w:numId w:val="21"/>
        </w:numPr>
      </w:pPr>
      <w:r>
        <w:rPr>
          <w:i/>
        </w:rPr>
        <w:t>hotărăște,</w:t>
      </w:r>
      <w:r>
        <w:t xml:space="preserve"> în unanimitate,</w:t>
      </w:r>
    </w:p>
    <w:p w:rsidR="00F524A5" w:rsidRPr="00472687" w:rsidRDefault="00F524A5" w:rsidP="00F524A5">
      <w:pPr>
        <w:pStyle w:val="JuLista"/>
        <w:numPr>
          <w:ilvl w:val="1"/>
          <w:numId w:val="21"/>
        </w:numPr>
      </w:pPr>
      <w:r>
        <w:t>că statul pârât trebuie să plătească asociației reclamante, în termen de trei luni, suma de 80 000 EUR (optzeci de mii de euro), plus orice sumă ce poate fi datorată cu titlu de impozit, pentru cheltuielile de judecată;</w:t>
      </w:r>
    </w:p>
    <w:p w:rsidR="00F524A5" w:rsidRPr="00472687" w:rsidRDefault="00F524A5" w:rsidP="00F524A5">
      <w:pPr>
        <w:pStyle w:val="JuLista"/>
        <w:numPr>
          <w:ilvl w:val="1"/>
          <w:numId w:val="21"/>
        </w:numPr>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și majorată cu trei puncte procentuale;</w:t>
      </w:r>
    </w:p>
    <w:p w:rsidR="00F524A5" w:rsidRPr="00472687" w:rsidRDefault="00F524A5" w:rsidP="00F524A5">
      <w:pPr>
        <w:pStyle w:val="JuList"/>
        <w:numPr>
          <w:ilvl w:val="0"/>
          <w:numId w:val="21"/>
        </w:numPr>
      </w:pPr>
      <w:r>
        <w:rPr>
          <w:i/>
        </w:rPr>
        <w:t xml:space="preserve">respinge, </w:t>
      </w:r>
      <w:r>
        <w:t>în unanimitate, cererea asociației reclamante de acordare a unei reparații echitabile pentru celelalte capete de cerere.</w:t>
      </w:r>
    </w:p>
    <w:p w:rsidR="00F524A5" w:rsidRPr="00472687" w:rsidRDefault="00F524A5" w:rsidP="00F524A5">
      <w:pPr>
        <w:pStyle w:val="JuParaLast"/>
        <w:keepNext w:val="0"/>
        <w:keepLines w:val="0"/>
      </w:pPr>
      <w:r>
        <w:t>Redactată în limbile franceză și engleză, apoi pronunțată în ședință publică la Palatul Drepturilor Omului din Strasbourg, la 9 aprilie 2024, în temeiul art. 77 § 2 și art. 77 § 3 din Regulament.</w:t>
      </w:r>
    </w:p>
    <w:p w:rsidR="00F524A5" w:rsidRPr="00472687" w:rsidRDefault="00F524A5" w:rsidP="00F524A5">
      <w:pPr>
        <w:pStyle w:val="JuParaLast"/>
        <w:keepNext w:val="0"/>
        <w:keepLines w:val="0"/>
      </w:pPr>
    </w:p>
    <w:p w:rsidR="00F524A5" w:rsidRPr="00472687" w:rsidRDefault="00F524A5" w:rsidP="00F524A5">
      <w:pPr>
        <w:pStyle w:val="JuSigned"/>
      </w:pPr>
      <w:r>
        <w:lastRenderedPageBreak/>
        <w:tab/>
        <w:t>Søren Prebensen</w:t>
      </w:r>
      <w:r>
        <w:tab/>
        <w:t>Síofra O’Leary</w:t>
      </w:r>
      <w:r>
        <w:br/>
      </w:r>
      <w:r>
        <w:tab/>
        <w:t>Grefier adjunct</w:t>
      </w:r>
      <w:r>
        <w:tab/>
        <w:t>Președinte</w:t>
      </w:r>
    </w:p>
    <w:p w:rsidR="00F524A5" w:rsidRPr="00472687" w:rsidRDefault="00F524A5" w:rsidP="00F524A5"/>
    <w:p w:rsidR="00F524A5" w:rsidRPr="00472687" w:rsidRDefault="00F524A5" w:rsidP="00F524A5"/>
    <w:p w:rsidR="00F524A5" w:rsidRPr="00472687" w:rsidRDefault="00F524A5" w:rsidP="00F524A5">
      <w:pPr>
        <w:pStyle w:val="JuParaLast"/>
      </w:pPr>
      <w:r>
        <w:t>La prezenta hotărâre este anexată, în conformitate cu art. 45 § 2 din Convenție și art. 74 § 2 din Regulament, opinia separată a domnului judecător Eicke.</w:t>
      </w:r>
    </w:p>
    <w:p w:rsidR="00F524A5" w:rsidRPr="00472687" w:rsidRDefault="00F524A5" w:rsidP="00F524A5">
      <w:pPr>
        <w:pStyle w:val="JuPara"/>
      </w:pPr>
    </w:p>
    <w:p w:rsidR="00F524A5" w:rsidRPr="00472687" w:rsidRDefault="00F524A5" w:rsidP="00F524A5">
      <w:pPr>
        <w:pStyle w:val="JuInitialled"/>
      </w:pPr>
      <w:r>
        <w:t>S.O.L.</w:t>
      </w:r>
      <w:r>
        <w:br/>
        <w:t>S.P.R.</w:t>
      </w:r>
      <w:r>
        <w:br/>
      </w:r>
    </w:p>
    <w:p w:rsidR="00690E9D" w:rsidRPr="008D4EA9" w:rsidRDefault="00690E9D" w:rsidP="00690E9D">
      <w:pPr>
        <w:pStyle w:val="JuHHead"/>
        <w:jc w:val="center"/>
        <w:rPr>
          <w:rFonts w:eastAsia="Times New Roman"/>
        </w:rPr>
      </w:pPr>
      <w:bookmarkStart w:id="1072" w:name="lt_pId002"/>
      <w:bookmarkStart w:id="1073" w:name="_Toc188017936"/>
      <w:bookmarkStart w:id="1074" w:name="_Toc199273604"/>
      <w:r>
        <w:t>OPINIA PARȚIAL CONCORDANTĂ ȘI PARȚIAL SEPARATĂ A JUDECĂTORULUI EICKE</w:t>
      </w:r>
      <w:bookmarkEnd w:id="1072"/>
      <w:bookmarkEnd w:id="1073"/>
      <w:bookmarkEnd w:id="1074"/>
    </w:p>
    <w:p w:rsidR="00690E9D" w:rsidRPr="008D4EA9" w:rsidRDefault="00690E9D" w:rsidP="00690E9D">
      <w:pPr>
        <w:pStyle w:val="ECHRCoverTitle4"/>
        <w:rPr>
          <w:rFonts w:eastAsia="Times New Roman"/>
        </w:rPr>
      </w:pPr>
      <w:bookmarkStart w:id="1075" w:name="lt_pId003"/>
      <w:r>
        <w:t>(Traducere</w:t>
      </w:r>
      <w:bookmarkEnd w:id="1075"/>
      <w:r>
        <w:t>)</w:t>
      </w:r>
    </w:p>
    <w:p w:rsidR="00690E9D" w:rsidRPr="008D4EA9" w:rsidRDefault="00690E9D" w:rsidP="00690E9D">
      <w:pPr>
        <w:pStyle w:val="JuHHead"/>
        <w:numPr>
          <w:ilvl w:val="0"/>
          <w:numId w:val="1"/>
        </w:numPr>
        <w:rPr>
          <w:rFonts w:eastAsia="Times New Roman"/>
        </w:rPr>
      </w:pPr>
      <w:bookmarkStart w:id="1076" w:name="lt_pId004"/>
      <w:bookmarkStart w:id="1077" w:name="_Toc188017937"/>
      <w:bookmarkStart w:id="1078" w:name="_Toc199273605"/>
      <w:r>
        <w:t>Introducere</w:t>
      </w:r>
      <w:bookmarkEnd w:id="1076"/>
      <w:bookmarkEnd w:id="1077"/>
      <w:bookmarkEnd w:id="1078"/>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1</w:t>
      </w:r>
      <w:r w:rsidRPr="008D4EA9">
        <w:rPr>
          <w:rFonts w:eastAsia="Times New Roman"/>
        </w:rPr>
        <w:fldChar w:fldCharType="end"/>
      </w:r>
      <w:r>
        <w:t>.  </w:t>
      </w:r>
      <w:bookmarkStart w:id="1079" w:name="lt_pId006"/>
      <w:r>
        <w:t>Cu profund regret, nu pot să fiu de acord cu majoritatea, nici în legătură cu metodologia adoptată de aceasta, nici în privința concluziilor la care a ajuns, atât în ceea ce privește admisibilitatea (și în special problema calității de „victimă”), cât și fondul cauzei.</w:t>
      </w:r>
      <w:bookmarkEnd w:id="1079"/>
      <w:r>
        <w:t xml:space="preserve"> </w:t>
      </w:r>
      <w:bookmarkStart w:id="1080" w:name="lt_pId007"/>
      <w:r>
        <w:t>În măsura în care am votat în favoarea constatării unei încălcări a art. 6, adică a dreptului de acces la o instanță, așa cum voi explica mai în detaliu în continuare, am ajuns la această concluzie pe baza unei abordări foarte diferite (și, poate, mai ortodoxe) a Convenției și a jurisprudenței aferente.</w:t>
      </w:r>
      <w:bookmarkEnd w:id="1080"/>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2</w:t>
      </w:r>
      <w:r w:rsidRPr="008D4EA9">
        <w:rPr>
          <w:rFonts w:eastAsia="Times New Roman"/>
        </w:rPr>
        <w:fldChar w:fldCharType="end"/>
      </w:r>
      <w:r>
        <w:t>.  </w:t>
      </w:r>
      <w:bookmarkStart w:id="1081" w:name="lt_pId009"/>
      <w:r>
        <w:t xml:space="preserve">În pofida unei examinări atente și detaliate a argumentelor prezentate atât de părțile, cât și de intervenienții din această cauză [și de părțile și intervenienții din cele două cauze conexe </w:t>
      </w:r>
      <w:r>
        <w:rPr>
          <w:i/>
        </w:rPr>
        <w:t>Carême împotriva Franței</w:t>
      </w:r>
      <w:r>
        <w:t xml:space="preserve"> (cererea nr. 7189/21) și </w:t>
      </w:r>
      <w:r>
        <w:rPr>
          <w:i/>
        </w:rPr>
        <w:t>Duarte Agostinho și alții împotriva Portugaliei și a altor 32 de state</w:t>
      </w:r>
      <w:r>
        <w:t xml:space="preserve"> (cererea nr. 39371/20)], precum și de către colegii mei în cursul deliberărilor, mă aflu într-o situație în care dezacordul meu reprezintă mai mult decât o simplă diferență de apreciere a probelor sau un dezacord minor cu privire la o chestiune de drept.</w:t>
      </w:r>
      <w:bookmarkEnd w:id="1081"/>
      <w:r>
        <w:t xml:space="preserve"> </w:t>
      </w:r>
      <w:bookmarkStart w:id="1082" w:name="lt_pId010"/>
      <w:r>
        <w:t xml:space="preserve">Acest dezacord este de natură mai profundă și, cel puțin în parte, privește esența însăși a rolului Curții în cadrul sistemului Convenției și, mai general, a rolului instanțelor în contextul provocărilor unice și fără precedent pe care schimbările climatice antropice le reprezintă </w:t>
      </w:r>
      <w:r>
        <w:lastRenderedPageBreak/>
        <w:t>pentru omenire (nu doar în cadrul societăților noastre, ci și la nivel transnațional).</w:t>
      </w:r>
      <w:bookmarkEnd w:id="1082"/>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3</w:t>
      </w:r>
      <w:r w:rsidRPr="008D4EA9">
        <w:rPr>
          <w:rFonts w:eastAsia="Times New Roman"/>
        </w:rPr>
        <w:fldChar w:fldCharType="end"/>
      </w:r>
      <w:r>
        <w:t>.  </w:t>
      </w:r>
      <w:bookmarkStart w:id="1083" w:name="lt_pId015"/>
      <w:bookmarkStart w:id="1084" w:name="lt_pId016"/>
      <w:bookmarkEnd w:id="1083"/>
      <w:r>
        <w:t>Desigur, este pe deplin înțeles și acceptat faptul că, în temeiul art. 32 din Convenție, competența Curții acoperă „toate problemele privind interpretarea și aplicarea Convenției” (art. 32 § 1) și că „în caz de contestare a competenței sale, Curtea hotărăște” (art. 32 § 2).</w:t>
      </w:r>
      <w:bookmarkEnd w:id="1084"/>
      <w:r>
        <w:t xml:space="preserve"> </w:t>
      </w:r>
      <w:bookmarkStart w:id="1085" w:name="lt_pId017"/>
      <w:r>
        <w:t>Cu toate acestea, este la fel de clar că această competență supremă de interpretare este însoțită de o responsabilitate imensă, care, în opinia mea, se reflectă în abordarea, în mod normal prudentă, circumspectă și graduală pe care Curtea o adoptă atunci când realizează o interpretare evolutivă a Convenției, în conformitate cu ceea ce numim adesea doctrina „instrumentului viu”.</w:t>
      </w:r>
      <w:bookmarkEnd w:id="1085"/>
      <w:r>
        <w:t xml:space="preserve"> </w:t>
      </w:r>
      <w:bookmarkStart w:id="1086" w:name="lt_pId018"/>
      <w:r>
        <w:t>Din păcate, din motivele prezentate mai detaliat în continuare, am ajuns la concluzia că majoritatea din prezenta cauză a depășit cu mult ceea ce eu consider ca fiind, din perspectiva dreptului internațional, limitele admisibile ale unei interpretări evolutive.</w:t>
      </w:r>
      <w:bookmarkEnd w:id="1086"/>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4</w:t>
      </w:r>
      <w:r w:rsidRPr="008D4EA9">
        <w:rPr>
          <w:rFonts w:eastAsia="Times New Roman"/>
        </w:rPr>
        <w:fldChar w:fldCharType="end"/>
      </w:r>
      <w:r>
        <w:t>.  </w:t>
      </w:r>
      <w:bookmarkStart w:id="1087" w:name="lt_pId019"/>
      <w:bookmarkStart w:id="1088" w:name="lt_pId020"/>
      <w:bookmarkStart w:id="1089" w:name="_Hlk161654333"/>
      <w:bookmarkEnd w:id="1087"/>
      <w:r>
        <w:t xml:space="preserve">Astfel, în special, majoritatea a extins inutil noțiunea de „victimă”/calitate procesuală în sensul art. 34 din Convenție și a creat un nou drept (care decurge din art. 8 și, posibil, din art. 2) la o „protecție efectivă, din partea autorităților statului, împotriva efectelor negative grave asupra vieții, sănătății, bunăstării și calității vieții lor, care rezultă din consecințele negative ale schimbărilor climatice și din riscurile asociate acestora” (pct. 519 și 544 din hotărâre) sau a impus părților contractante o nouă „obligație primordială” „de a adopta și de a aplica în mod efectiv și </w:t>
      </w:r>
      <w:bookmarkStart w:id="1090" w:name="_Hlk162517089"/>
      <w:r>
        <w:t xml:space="preserve">concret reglementări și măsuri de natură să atenueze efectele actuale și </w:t>
      </w:r>
      <w:bookmarkEnd w:id="1090"/>
      <w:r>
        <w:t>viitoare, potențial ireversibile, ale schimbărilor climatice” (pct. 545, subliniere adăugată), care să acopere atât emisiile generate pe teritorii aflate sub jurisdicția lor teritorială, cât și „emisiile încorporate” (adică emisiile generate de importul de bunuri și de consumul acestora); or, un astfel de drept sau o astfel de obligație nu are niciun temei în raport cu art. 8 sau orice altă dispoziție din Convenție sau din protocoalele la aceasta.</w:t>
      </w:r>
      <w:bookmarkEnd w:id="1088"/>
      <w:bookmarkEnd w:id="1089"/>
    </w:p>
    <w:p w:rsidR="00690E9D" w:rsidRPr="008D4EA9" w:rsidRDefault="00690E9D" w:rsidP="00690E9D">
      <w:pPr>
        <w:pStyle w:val="JuHHead"/>
        <w:numPr>
          <w:ilvl w:val="0"/>
          <w:numId w:val="1"/>
        </w:numPr>
        <w:rPr>
          <w:rFonts w:eastAsia="Times New Roman"/>
        </w:rPr>
      </w:pPr>
      <w:bookmarkStart w:id="1091" w:name="lt_pId021"/>
      <w:bookmarkStart w:id="1092" w:name="_Toc188017938"/>
      <w:bookmarkStart w:id="1093" w:name="_Toc199273606"/>
      <w:r>
        <w:t>Context</w:t>
      </w:r>
      <w:bookmarkEnd w:id="1091"/>
      <w:bookmarkEnd w:id="1092"/>
      <w:bookmarkEnd w:id="1093"/>
    </w:p>
    <w:p w:rsidR="00690E9D" w:rsidRPr="008D4EA9" w:rsidRDefault="00690E9D" w:rsidP="00690E9D">
      <w:pPr>
        <w:pStyle w:val="JuPara"/>
        <w:rPr>
          <w:rFonts w:eastAsia="Times New Roman"/>
          <w:i/>
          <w:iCs/>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5</w:t>
      </w:r>
      <w:r w:rsidRPr="008D4EA9">
        <w:rPr>
          <w:rFonts w:eastAsia="Times New Roman"/>
        </w:rPr>
        <w:fldChar w:fldCharType="end"/>
      </w:r>
      <w:r>
        <w:t>.  </w:t>
      </w:r>
      <w:bookmarkStart w:id="1094" w:name="lt_pId022"/>
      <w:bookmarkStart w:id="1095" w:name="lt_pId023"/>
      <w:bookmarkEnd w:id="1094"/>
      <w:r>
        <w:t>Merită reiterat faptul că dezacordul meu cu majoritatea nu se referă în niciun fel la natura sau amploarea riscurilor și provocărilor generate de schimbările climatice antropice</w:t>
      </w:r>
      <w:bookmarkEnd w:id="1095"/>
      <w:r>
        <w:rPr>
          <w:rStyle w:val="FootnoteReference"/>
          <w:rFonts w:eastAsia="Times New Roman"/>
        </w:rPr>
        <w:footnoteReference w:id="206"/>
      </w:r>
      <w:r>
        <w:t xml:space="preserve">. </w:t>
      </w:r>
      <w:bookmarkStart w:id="1096" w:name="lt_pId024"/>
      <w:r>
        <w:t xml:space="preserve">Împărtășesc opinia majorității cu privire la nevoia urgentă de a aborda această chestiune, atât separat, cât și, poate la fel de important, ca element (major) al „triplei crize planetare a poluării, a schimbărilor climatice și a pierderii biodiversității” – formulare utilizată în Declarația de la Reykjavík, „Uniți în jurul valorilor noastre”, care a fost adoptată la finalul celui de al patrulea Summit al șefilor de stat și de guvern </w:t>
      </w:r>
      <w:r>
        <w:lastRenderedPageBreak/>
        <w:t>ai statelor membre ale Consiliului Europei (Reykjavík, 16-17 mai 2023) – (punctul 200 din hotărâre), cu care se confruntă în prezent omenirea.</w:t>
      </w:r>
      <w:bookmarkEnd w:id="1096"/>
      <w:r>
        <w:t xml:space="preserve"> </w:t>
      </w:r>
      <w:bookmarkStart w:id="1097" w:name="lt_pId025"/>
      <w:r>
        <w:t>În fapt, mi se pare evident că nu este vorba doar despre îndeplinirea, în cele din urmă, a obiectivului de limitare a creșterii temperaturii la 1,5°C peste nivelurile preindustriale identificate în Acordul de la Paris (deși este important și acest lucru).</w:t>
      </w:r>
      <w:bookmarkEnd w:id="1097"/>
      <w:r>
        <w:t xml:space="preserve"> </w:t>
      </w:r>
      <w:bookmarkStart w:id="1098" w:name="lt_pId026"/>
      <w:r>
        <w:t>Până la urmă, fiecare zecime de grad cu care temperatura crește are un impact imediat și se traduce prin sporirea daunelor și pericolelor generate de schimbările climatice și, în fapt, cu toții avem obligația de a lua măsuri imediate și eficiente pentru a evita orice nouă creștere.</w:t>
      </w:r>
      <w:bookmarkEnd w:id="1098"/>
      <w:r>
        <w:t xml:space="preserve"> </w:t>
      </w:r>
      <w:bookmarkStart w:id="1099" w:name="lt_pId027"/>
      <w:r>
        <w:t>Așadar, principalul meu dezacord cu majoritatea se referă exclusiv la rolul pe care Curtea îl poate juca în această etapă în identificarea și adoptarea măsurilor necesare – care ar fi trebuit luate de multă vreme – pentru a asigura supraviețuirea planetei noastre.</w:t>
      </w:r>
      <w:bookmarkEnd w:id="1099"/>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6</w:t>
      </w:r>
      <w:r w:rsidRPr="008D4EA9">
        <w:rPr>
          <w:rFonts w:eastAsia="Times New Roman"/>
        </w:rPr>
        <w:fldChar w:fldCharType="end"/>
      </w:r>
      <w:r>
        <w:t>.  </w:t>
      </w:r>
      <w:bookmarkStart w:id="1100" w:name="lt_pId028"/>
      <w:bookmarkStart w:id="1101" w:name="lt_pId029"/>
      <w:bookmarkEnd w:id="1100"/>
      <w:r>
        <w:t>În fapt, rezultatele prezentate de Agenția Europeană de Mediu („AEM”) în raportul său privind Evaluarea riscurilor legate de schimbările climatice la nivel european (</w:t>
      </w:r>
      <w:r>
        <w:rPr>
          <w:i/>
        </w:rPr>
        <w:t>European climate risk assessment</w:t>
      </w:r>
      <w:r>
        <w:t>), publicat la scurt timp după adoptarea prezentei hotărâri</w:t>
      </w:r>
      <w:bookmarkStart w:id="1102" w:name="lt_pId029_leftovers"/>
      <w:r>
        <w:rPr>
          <w:rStyle w:val="FootnoteReference"/>
          <w:rFonts w:eastAsia="Times New Roman"/>
        </w:rPr>
        <w:footnoteReference w:id="207"/>
      </w:r>
      <w:bookmarkEnd w:id="1102"/>
      <w:r>
        <w:t>, confirmă viziunea noastră comună.</w:t>
      </w:r>
      <w:bookmarkEnd w:id="1101"/>
      <w:r>
        <w:t xml:space="preserve"> </w:t>
      </w:r>
      <w:bookmarkStart w:id="1103" w:name="lt_pId030"/>
      <w:r>
        <w:t>În rezumatul său analitic, AEM a formulat următoarele „concluzii”:</w:t>
      </w:r>
      <w:bookmarkEnd w:id="1103"/>
    </w:p>
    <w:p w:rsidR="00690E9D" w:rsidRPr="008D4EA9" w:rsidRDefault="00690E9D" w:rsidP="00690E9D">
      <w:pPr>
        <w:pStyle w:val="JuQuot"/>
        <w:rPr>
          <w:rFonts w:eastAsia="Times New Roman"/>
        </w:rPr>
      </w:pPr>
      <w:r>
        <w:t>„-</w:t>
      </w:r>
      <w:bookmarkStart w:id="1104" w:name="lt_pId031"/>
      <w:bookmarkStart w:id="1105" w:name="lt_pId032"/>
      <w:bookmarkEnd w:id="1104"/>
      <w:r>
        <w:t>  Schimbările climatice provocate de om afectează planeta. La nivel global, 2023 a fost cel mai cald an înregistrat vreodată, iar temperatura medie globală din cursul perioadei de 12 luni cuprinsă între februarie 2023 și ianuarie 2024 a depășit nivelurile preindustriale cu 1,5°C.</w:t>
      </w:r>
      <w:bookmarkEnd w:id="1105"/>
    </w:p>
    <w:p w:rsidR="00690E9D" w:rsidRPr="008D4EA9" w:rsidRDefault="00690E9D" w:rsidP="00690E9D">
      <w:pPr>
        <w:pStyle w:val="JuQuot"/>
        <w:rPr>
          <w:rFonts w:eastAsia="Times New Roman"/>
        </w:rPr>
      </w:pPr>
      <w:r>
        <w:t>-</w:t>
      </w:r>
      <w:bookmarkStart w:id="1106" w:name="lt_pId033"/>
      <w:bookmarkStart w:id="1107" w:name="lt_pId034"/>
      <w:bookmarkEnd w:id="1106"/>
      <w:r>
        <w:t>  Europa este continentul care înregistrează cea mai rapidă creștere a temperaturii din lume. Episoadele de căldură extremă, relativ rare în trecut, sunt tot mai frecvente, în timp ce regimurile de precipitații se schimbă. Ploile torențiale și alte precipitații extreme sunt din ce în ce mai frecvente, și, în ultimii ani, s-au înregistrat inundații catastrofale în diferite regiuni. În același timp, în sudul Europei ne putem aștepta la o scădere considerabilă a precipitațiilor globale și la secete mai severe.</w:t>
      </w:r>
      <w:bookmarkEnd w:id="1107"/>
    </w:p>
    <w:p w:rsidR="00690E9D" w:rsidRPr="008D4EA9" w:rsidRDefault="00690E9D" w:rsidP="00690E9D">
      <w:pPr>
        <w:pStyle w:val="JuQuot"/>
        <w:rPr>
          <w:rFonts w:eastAsia="Times New Roman"/>
        </w:rPr>
      </w:pPr>
      <w:r>
        <w:t>-</w:t>
      </w:r>
      <w:bookmarkStart w:id="1108" w:name="lt_pId038"/>
      <w:bookmarkStart w:id="1109" w:name="lt_pId039"/>
      <w:bookmarkEnd w:id="1108"/>
      <w:r>
        <w:t>  Aceste evenimente, combinate cu factorii de risc sociali și de mediu, constituie provocări majore în întreaga Europă. Mai exact, acestea compromit securitatea alimentară și a apei, securitatea energetică și stabilitatea financiară, precum și sănătatea populației în general și a lucrătorilor care își desfășoară activitatea în aer liber; la rândul lor, acestea afectează coeziunea și stabilitatea socială. În paralel, schimbările climatice au efecte asupra ecosistemelor terestre, de apă dulce și marine.</w:t>
      </w:r>
      <w:bookmarkEnd w:id="1109"/>
    </w:p>
    <w:p w:rsidR="00690E9D" w:rsidRPr="008D4EA9" w:rsidRDefault="00690E9D" w:rsidP="00690E9D">
      <w:pPr>
        <w:pStyle w:val="JuQuot"/>
        <w:rPr>
          <w:rFonts w:eastAsia="Times New Roman"/>
        </w:rPr>
      </w:pPr>
      <w:r>
        <w:t>-</w:t>
      </w:r>
      <w:bookmarkStart w:id="1110" w:name="lt_pId042"/>
      <w:bookmarkStart w:id="1111" w:name="lt_pId043"/>
      <w:bookmarkEnd w:id="1110"/>
      <w:r>
        <w:t>  Schimbările climatice constituie un factor de multiplicare a riscurilor, care poate exacerba riscurile și crizele existente. Riscurile climatice se pot extinde în cascadă, de la un sistem la altul sau de la o regiune la alta, inclusiv din alte continente către Europa. Riscurile climatice în cascadă pot conduce la apariția unor probleme sistemice care afectează societăți întregi, grupurile sociale vulnerabile fiind afectate în mod deosebit. Printre exemple se numără „mega-secetele” care au avut ca rezultat insecuritatea aprovizionării cu apă și alimente, perturbări ale infrastructurilor critice și amenințări la adresa piețelor financiare și a stabilității financiare.</w:t>
      </w:r>
      <w:bookmarkEnd w:id="1111"/>
    </w:p>
    <w:p w:rsidR="00690E9D" w:rsidRPr="008D4EA9" w:rsidRDefault="00690E9D" w:rsidP="00690E9D">
      <w:pPr>
        <w:pStyle w:val="JuQuot"/>
        <w:rPr>
          <w:rFonts w:eastAsia="Times New Roman"/>
        </w:rPr>
      </w:pPr>
      <w:r>
        <w:t>-</w:t>
      </w:r>
      <w:bookmarkStart w:id="1112" w:name="lt_pId047"/>
      <w:bookmarkStart w:id="1113" w:name="lt_pId048"/>
      <w:bookmarkEnd w:id="1112"/>
      <w:r>
        <w:t xml:space="preserve">  Raportându-ne la clasele de gravitate utilizate în evaluarea europeană a riscurilor climatice, observăm că mai multe riscuri climatice au atins deja niveluri critice. Dacă nu se iau măsuri decisive acum, majoritatea riscurilor climatice identificate ar putea </w:t>
      </w:r>
      <w:r>
        <w:lastRenderedPageBreak/>
        <w:t>atinge niveluri critice sau chiar catastrofale până la sfârșitul acestui secol. Sute de mii de persoane riscă să moară din cauza valurilor de căldură, iar pierderile economice cauzate exclusiv de inundațiile costiere ar putea depăși 1 trilion euro (EUR) pe an.</w:t>
      </w:r>
      <w:bookmarkEnd w:id="1113"/>
    </w:p>
    <w:p w:rsidR="00690E9D" w:rsidRPr="008D4EA9" w:rsidRDefault="00690E9D" w:rsidP="00690E9D">
      <w:pPr>
        <w:pStyle w:val="JuQuot"/>
        <w:rPr>
          <w:rFonts w:eastAsia="Times New Roman"/>
        </w:rPr>
      </w:pPr>
      <w:r>
        <w:t>-</w:t>
      </w:r>
      <w:bookmarkStart w:id="1114" w:name="lt_pId051"/>
      <w:bookmarkStart w:id="1115" w:name="lt_pId052"/>
      <w:bookmarkEnd w:id="1114"/>
      <w:r>
        <w:t>  Riscurile (asociate schimbărilor) climatice care afectează ecosistemele, oamenii și economia depind atât de factorii de risc non-climatici, cât și de pericolele climatice în sine. Prin urmare, politicile și acțiunile eficiente la nivel european și național pot contribui la reducerea considerabilă a acestor riscuri. Măsura în care vom putea evita daunele va depinde în mare parte de cât de repede vom putea reduce emisiile de gaze cu efect de seră la nivel mondial, precum și de rapiditatea și eficiența cu care vom putea să pregătim și să adaptăm societățile noastre la consecințele inevitabile ale schimbărilor climatice.</w:t>
      </w:r>
      <w:bookmarkEnd w:id="1115"/>
    </w:p>
    <w:p w:rsidR="00690E9D" w:rsidRPr="008D4EA9" w:rsidRDefault="00690E9D" w:rsidP="00690E9D">
      <w:pPr>
        <w:pStyle w:val="JuQuot"/>
        <w:rPr>
          <w:rFonts w:eastAsia="Times New Roman"/>
        </w:rPr>
      </w:pPr>
      <w:r>
        <w:t>-</w:t>
      </w:r>
      <w:bookmarkStart w:id="1116" w:name="lt_pId055"/>
      <w:bookmarkStart w:id="1117" w:name="lt_pId056"/>
      <w:bookmarkEnd w:id="1116"/>
      <w:r>
        <w:t>  UE și statele sale membre au înregistrat progrese considerabile în ceea ce privește înțelegerea riscurilor climatice cu care se confruntă și pregătirea lor pentru a le face față. Evaluările naționale ale riscurilor climatice sunt folosite din ce în ce mai des pentru a fundamenta elaborarea politicilor de adaptare. Cu toate acestea, nivelul de pregătire al societății este încă scăzut, întrucât există întârzieri considerabile în ceea ce privește punerea în aplicare a politicilor, în raport cu creșterea rapidă a nivelurilor de risc. Majoritatea riscurilor climatice sunt asumate în comun de UE și de statele sale membre; prin urmare, este necesar să fie puse în aplicare măsuri suplimentare coordonate și urgente la toate nivelurile de guvernanță.</w:t>
      </w:r>
      <w:bookmarkEnd w:id="1117"/>
    </w:p>
    <w:p w:rsidR="00690E9D" w:rsidRPr="008D4EA9" w:rsidRDefault="00690E9D" w:rsidP="00690E9D">
      <w:pPr>
        <w:pStyle w:val="JuQuot"/>
        <w:rPr>
          <w:rFonts w:eastAsia="Times New Roman"/>
        </w:rPr>
      </w:pPr>
      <w:r>
        <w:t>-</w:t>
      </w:r>
      <w:bookmarkStart w:id="1118" w:name="lt_pId060"/>
      <w:bookmarkStart w:id="1119" w:name="lt_pId061"/>
      <w:bookmarkEnd w:id="1118"/>
      <w:r>
        <w:t>  Majoritatea politicilor și măsurilor de consolidare a rezilienței Europei la schimbările climatice sunt concepute pe termen lung și, în paralel, unele măsuri sunt puse în aplicare pe parcursul unor perioade îndelungate. Trebuie să se acționeze de urgență pentru a evita recurgerea la măsuri drastice, neadaptate la viitor, având în vedere condițiile climatice în continuă schimbare, în special în ceea ce privește amenajarea teritoriului și infrastructurile cu durată lungă de viață. Trebuie să evităm să ne cramponăm de soluții neadecvate și să prevenim riscurile potențial catastrofale.</w:t>
      </w:r>
      <w:bookmarkEnd w:id="1119"/>
    </w:p>
    <w:p w:rsidR="00690E9D" w:rsidRPr="008D4EA9" w:rsidRDefault="00690E9D" w:rsidP="00690E9D">
      <w:pPr>
        <w:pStyle w:val="JuQuot"/>
        <w:rPr>
          <w:rFonts w:eastAsia="Times New Roman"/>
        </w:rPr>
      </w:pPr>
      <w:r>
        <w:t>-</w:t>
      </w:r>
      <w:bookmarkStart w:id="1120" w:name="lt_pId064"/>
      <w:bookmarkStart w:id="1121" w:name="lt_pId065"/>
      <w:bookmarkEnd w:id="1120"/>
      <w:r>
        <w:t>  Politicile de adaptare pot să susțină alte obiective politice de mediu, sociale și economice, dar și să intre în conflict cu acestea. Prin urmare, este esențial să se adopte o abordare politică integrată, care să țină seama de mai multe obiective politice, astfel încât să se asigure o adaptare eficientă.</w:t>
      </w:r>
      <w:bookmarkEnd w:id="1121"/>
      <w:r>
        <w:t>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7</w:t>
      </w:r>
      <w:r w:rsidRPr="008D4EA9">
        <w:rPr>
          <w:rFonts w:eastAsia="Times New Roman"/>
        </w:rPr>
        <w:fldChar w:fldCharType="end"/>
      </w:r>
      <w:r>
        <w:t>.  </w:t>
      </w:r>
      <w:bookmarkStart w:id="1122" w:name="lt_pId067"/>
      <w:bookmarkStart w:id="1123" w:name="lt_pId068"/>
      <w:bookmarkEnd w:id="1122"/>
      <w:r>
        <w:t>Totuși, din toate informațiile de care dispunem putem desprinde două aspecte esențiale ale acestei probleme căreia trebuie să îi facem față: a) necesitatea absolută de a acționa urgent și b) complexitatea extremă a provocărilor pe care schimbările climatice (dar și celelalte aspecte ale „triplei crize planetare”) le ridică din punct de vedere (geo)politic, practic, logistic și juridic.</w:t>
      </w:r>
      <w:bookmarkEnd w:id="1123"/>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8</w:t>
      </w:r>
      <w:r w:rsidRPr="008D4EA9">
        <w:rPr>
          <w:rFonts w:eastAsia="Times New Roman"/>
        </w:rPr>
        <w:fldChar w:fldCharType="end"/>
      </w:r>
      <w:r>
        <w:t>.  </w:t>
      </w:r>
      <w:bookmarkStart w:id="1124" w:name="lt_pId069"/>
      <w:bookmarkStart w:id="1125" w:name="lt_pId070"/>
      <w:bookmarkEnd w:id="1124"/>
      <w:r>
        <w:t>În ceea ce privește cel din urmă aspect, Sir David Attenborough, biolog, naturalist, crainic și autor britanic, a expus după cum urmează, în termeni duri (dar realiști), dificultățile cu care ne vom confrunta, în cadrul discursului său adresat Consiliului de Securitate al ONU, la 23 februarie 2021</w:t>
      </w:r>
      <w:bookmarkStart w:id="1126" w:name="lt_pId070_leftovers"/>
      <w:r>
        <w:rPr>
          <w:rStyle w:val="FootnoteReference"/>
          <w:rFonts w:eastAsia="Times New Roman"/>
        </w:rPr>
        <w:footnoteReference w:id="208"/>
      </w:r>
      <w:bookmarkEnd w:id="1126"/>
      <w:r>
        <w:t>:</w:t>
      </w:r>
      <w:bookmarkEnd w:id="1125"/>
    </w:p>
    <w:p w:rsidR="00690E9D" w:rsidRPr="008D4EA9" w:rsidRDefault="00690E9D" w:rsidP="00690E9D">
      <w:pPr>
        <w:pStyle w:val="JuQuot"/>
        <w:rPr>
          <w:rFonts w:eastAsia="Times New Roman"/>
        </w:rPr>
      </w:pPr>
      <w:bookmarkStart w:id="1127" w:name="lt_pId071"/>
      <w:r>
        <w:t>„Poate că lecția cea mai importantă pe care o putem învăța din aceste ultime 12 luni este aceea că nu mai suntem națiuni separate, fiecăreia fiindu-i mai bine dacă se preocupă de propriile nevoi și de propria siguranță.</w:t>
      </w:r>
      <w:bookmarkEnd w:id="1127"/>
      <w:r>
        <w:t xml:space="preserve"> </w:t>
      </w:r>
      <w:bookmarkStart w:id="1128" w:name="lt_pId072"/>
      <w:r>
        <w:t xml:space="preserve">Facem parte din aceeași specie, cu </w:t>
      </w:r>
      <w:r>
        <w:lastRenderedPageBreak/>
        <w:t>adevărat globală, ne confruntăm cu aceleași amenințări majore și, pentru a fi în siguranță, trebuie să acționăm împreună, în interesul tuturor.</w:t>
      </w:r>
      <w:bookmarkEnd w:id="1128"/>
    </w:p>
    <w:p w:rsidR="00690E9D" w:rsidRPr="008D4EA9" w:rsidRDefault="00690E9D" w:rsidP="00690E9D">
      <w:pPr>
        <w:pStyle w:val="JuQuot"/>
        <w:rPr>
          <w:rFonts w:eastAsia="Times New Roman"/>
        </w:rPr>
      </w:pPr>
      <w:bookmarkStart w:id="1129" w:name="lt_pId073"/>
      <w:r>
        <w:t>Schimbările climatice constituie o amenințare la adresa securității mondiale, care poate fi combătută doar printr-o cooperare internațională fără precedent.</w:t>
      </w:r>
      <w:bookmarkEnd w:id="1129"/>
      <w:r>
        <w:t xml:space="preserve"> </w:t>
      </w:r>
      <w:bookmarkStart w:id="1130" w:name="lt_pId074"/>
      <w:r>
        <w:t>Acestea ne vor obliga să punem la îndoială modelele noastre economice și să ne gândim care sunt lucrurile pe care le considerăm valoroase, să inventăm industrii complet noi, să recunoaștem responsabilitatea morală pe care națiunile bogate o au față de restul lumii și să îi atribuim naturii o valoare care o depășește cu mult pe cea financiară.</w:t>
      </w:r>
      <w:bookmarkEnd w:id="1130"/>
      <w:r>
        <w:t>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9</w:t>
      </w:r>
      <w:r w:rsidRPr="008D4EA9">
        <w:rPr>
          <w:rFonts w:eastAsia="Times New Roman"/>
        </w:rPr>
        <w:fldChar w:fldCharType="end"/>
      </w:r>
      <w:r>
        <w:t>.  </w:t>
      </w:r>
      <w:bookmarkStart w:id="1131" w:name="lt_pId075"/>
      <w:bookmarkStart w:id="1132" w:name="lt_pId076"/>
      <w:bookmarkEnd w:id="1131"/>
      <w:r>
        <w:t>De asemenea, acest spirit de cooperare mondială (și nu doar regională sau bilaterală) este cel care a stat la baza elaborării unui regim convențional din ce în ce mai detaliat, prin care sunt reglementate acțiunile în domeniul schimbărilor climatice, precum și alte aspecte ale „triplei crize planetare”, care, de multe ori, sunt interconectate sau se suprapun.</w:t>
      </w:r>
      <w:bookmarkEnd w:id="1132"/>
      <w:r>
        <w:t xml:space="preserve"> </w:t>
      </w:r>
      <w:bookmarkStart w:id="1133" w:name="lt_pId077"/>
      <w:r>
        <w:t>Printre textele incluse în acest regim se numără, desigur, Convenția-cadru a Națiunilor Unite asupra schimbărilor climatice („UNFCCC”) și protocoalele ulterioare, precum și alte acorduri încheiate de către sau sub egida Conferinței anuale a părților („COP”), inclusiv Acordul de la Paris, adoptat în cadrul COP21.</w:t>
      </w:r>
      <w:bookmarkEnd w:id="1133"/>
      <w:r>
        <w:t xml:space="preserve"> </w:t>
      </w:r>
      <w:bookmarkStart w:id="1134" w:name="lt_pId078"/>
      <w:r>
        <w:t>Astfel cum a subliniat în mod întemeiat Curtea Constituțională Federală a Germaniei (</w:t>
      </w:r>
      <w:r>
        <w:rPr>
          <w:i/>
        </w:rPr>
        <w:t>Bundesverfassungsgericht</w:t>
      </w:r>
      <w:r>
        <w:t xml:space="preserve">), la punctul 204 din hotărârea pronunțată de aceasta la 24 martie 2021 (la care se face referire în hotărâre sub denumirea </w:t>
      </w:r>
      <w:r>
        <w:rPr>
          <w:i/>
        </w:rPr>
        <w:t>Neubauer și alții împotriva Republicii Federale Germania</w:t>
      </w:r>
      <w:r>
        <w:t>):</w:t>
      </w:r>
      <w:bookmarkEnd w:id="1134"/>
    </w:p>
    <w:p w:rsidR="00690E9D" w:rsidRPr="008D4EA9" w:rsidRDefault="00690E9D" w:rsidP="00690E9D">
      <w:pPr>
        <w:pStyle w:val="JuQuot"/>
        <w:rPr>
          <w:rFonts w:eastAsia="Times New Roman"/>
        </w:rPr>
      </w:pPr>
      <w:bookmarkStart w:id="1135" w:name="lt_pId079"/>
      <w:r>
        <w:t>„Acordul de la Paris se bazează în mare măsură pe crearea încrederii reciproce ca o condiție prealabilă pentru o punere în aplicare eficace.</w:t>
      </w:r>
      <w:bookmarkEnd w:id="1135"/>
      <w:r>
        <w:t xml:space="preserve"> </w:t>
      </w:r>
      <w:bookmarkStart w:id="1136" w:name="lt_pId080"/>
      <w:r>
        <w:t>La articolul 2 alineatul (1) litera (a) din Acordul de la Paris, părțile au convenit asupra unui obiectiv climatic (menținerea creșterii temperaturii medii globale cu mult sub 2°C peste nivelurile preindustriale și, de preferat, sub 1,5°C) fără a se angaja să ia măsuri specifice de limitare a creșterii temperaturii.</w:t>
      </w:r>
      <w:bookmarkEnd w:id="1136"/>
      <w:r>
        <w:t xml:space="preserve"> </w:t>
      </w:r>
      <w:bookmarkStart w:id="1137" w:name="lt_pId081"/>
      <w:r>
        <w:t>În acest sens, Acordul de la Paris instituie un mecanism voluntar prin care părțile stabilesc măsurile pe care intenționează să le adopte pentru atingerea obiectivului convenit în ceea ce privește limitarea creșterii temperaturii.</w:t>
      </w:r>
      <w:bookmarkEnd w:id="1137"/>
      <w:r>
        <w:t xml:space="preserve"> </w:t>
      </w:r>
      <w:bookmarkStart w:id="1138" w:name="lt_pId082"/>
      <w:r>
        <w:t>Cu toate acestea, părțile trebuie să dea dovadă de transparență în privința acestor măsuri.</w:t>
      </w:r>
      <w:bookmarkEnd w:id="1138"/>
      <w:r>
        <w:t xml:space="preserve"> </w:t>
      </w:r>
      <w:bookmarkStart w:id="1139" w:name="lt_pId083"/>
      <w:r>
        <w:t>Scopul acestei obligații privind transparența este acela de a garanta că toate statele pot avea încredere că celelalte state vor acționa în conformitate cu obiectivul [...].</w:t>
      </w:r>
      <w:bookmarkEnd w:id="1139"/>
      <w:r>
        <w:t xml:space="preserve"> </w:t>
      </w:r>
      <w:bookmarkStart w:id="1140" w:name="lt_pId084"/>
      <w:r>
        <w:t>Prin urmare, pentru a asigura efectivitatea Acordului de la Paris, este esențial să fie stabilită și promovată încrederea în voința părților de a atinge obiectivul stabilit.</w:t>
      </w:r>
      <w:bookmarkEnd w:id="1140"/>
      <w:r>
        <w:t xml:space="preserve"> </w:t>
      </w:r>
      <w:bookmarkStart w:id="1141" w:name="lt_pId085"/>
      <w:r>
        <w:t>Într-adevăr, acordul depinde în mare măsură de contribuțiile individuale ale fiecărui stat.</w:t>
      </w:r>
      <w:bookmarkEnd w:id="1141"/>
      <w:r>
        <w:t>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10</w:t>
      </w:r>
      <w:r w:rsidRPr="008D4EA9">
        <w:rPr>
          <w:rFonts w:eastAsia="Times New Roman"/>
        </w:rPr>
        <w:fldChar w:fldCharType="end"/>
      </w:r>
      <w:r>
        <w:t>.  </w:t>
      </w:r>
      <w:bookmarkStart w:id="1142" w:name="lt_pId086"/>
      <w:bookmarkStart w:id="1143" w:name="lt_pId087"/>
      <w:bookmarkEnd w:id="1142"/>
      <w:r>
        <w:t>În acest context și având în vedere nevoia de a promova, în scopul unei abordări eficiente a problemei, încrederea reciprocă și cooperarea între toate națiunile lumii sau cel puțin între cele 198 de părți contractante la UNFCCC (inclusiv alți mari generatori de GES, cum ar fi Statele Unite, China și India), consider că această Curte ar trebui să acționeze cu extremă precauție și prudență, cu atât mai mult având în vedere că</w:t>
      </w:r>
      <w:bookmarkStart w:id="1144" w:name="lt_pId088"/>
      <w:bookmarkEnd w:id="1143"/>
      <w:r>
        <w:t>:</w:t>
      </w:r>
      <w:bookmarkEnd w:id="1144"/>
    </w:p>
    <w:p w:rsidR="00690E9D" w:rsidRPr="008D4EA9" w:rsidRDefault="00690E9D" w:rsidP="00690E9D">
      <w:pPr>
        <w:pStyle w:val="JuPara"/>
        <w:rPr>
          <w:rFonts w:eastAsia="Times New Roman"/>
        </w:rPr>
      </w:pPr>
      <w:bookmarkStart w:id="1145" w:name="lt_pId089"/>
      <w:r>
        <w:t>a)</w:t>
      </w:r>
      <w:bookmarkStart w:id="1146" w:name="lt_pId090"/>
      <w:bookmarkEnd w:id="1145"/>
      <w:r>
        <w:t xml:space="preserve">  astfel cum Curtea a admis în mod repetat, Convenția „nu garantează în mod specific protecția generală a mediului ca atare; alte instrumente internaționale și legislațiile naționale reprezintă cadre mai adecvate pentru abordarea acestei probleme particulare - ridicate în cauza </w:t>
      </w:r>
      <w:r>
        <w:rPr>
          <w:i/>
          <w:sz w:val="28"/>
        </w:rPr>
        <w:t xml:space="preserve">Verein </w:t>
      </w:r>
      <w:r>
        <w:rPr>
          <w:i/>
          <w:sz w:val="28"/>
        </w:rPr>
        <w:lastRenderedPageBreak/>
        <w:t>Klimaseniorinnen</w:t>
      </w:r>
      <w:r>
        <w:t xml:space="preserve"> - privind protecția” [</w:t>
      </w:r>
      <w:bookmarkStart w:id="1147" w:name="_cl30079"/>
      <w:r>
        <w:rPr>
          <w:i/>
        </w:rPr>
        <w:t>Kyrtatos împotriva Greciei</w:t>
      </w:r>
      <w:bookmarkEnd w:id="1147"/>
      <w:r>
        <w:t>, nr.</w:t>
      </w:r>
      <w:bookmarkStart w:id="1148" w:name="lt_pId091"/>
      <w:bookmarkEnd w:id="1146"/>
      <w:r>
        <w:t xml:space="preserve"> 41666/98, pct. 52, CEDO 2003-VI (extrase)]; </w:t>
      </w:r>
      <w:bookmarkEnd w:id="1148"/>
      <w:r>
        <w:t>și</w:t>
      </w:r>
    </w:p>
    <w:p w:rsidR="00690E9D" w:rsidRPr="008D4EA9" w:rsidRDefault="00690E9D" w:rsidP="00690E9D">
      <w:pPr>
        <w:pStyle w:val="JuPara"/>
        <w:rPr>
          <w:rFonts w:eastAsia="Times New Roman"/>
        </w:rPr>
      </w:pPr>
      <w:bookmarkStart w:id="1149" w:name="lt_pId092"/>
      <w:r>
        <w:t>b)</w:t>
      </w:r>
      <w:bookmarkStart w:id="1150" w:name="lt_pId093"/>
      <w:bookmarkEnd w:id="1149"/>
      <w:r>
        <w:t>  niciuna dintre propunerile Adunării Parlamentare a Consiliului Europei („APCE”)</w:t>
      </w:r>
      <w:r>
        <w:rPr>
          <w:rStyle w:val="FootnoteReference"/>
          <w:rFonts w:eastAsia="Times New Roman"/>
        </w:rPr>
        <w:footnoteReference w:id="209"/>
      </w:r>
      <w:r>
        <w:t>, de a conferi Curții o competență expresă în ceea ce privește dreptul la un mediu curat și sănătos, fie prin adoptarea unui protocol, fie în alt mod, nu a obținut, până în prezent</w:t>
      </w:r>
      <w:r>
        <w:rPr>
          <w:rStyle w:val="FootnoteReference"/>
          <w:rFonts w:eastAsia="Times New Roman"/>
        </w:rPr>
        <w:footnoteReference w:id="210"/>
      </w:r>
      <w:r>
        <w:t>, aprobarea părților contractante la Convenție.</w:t>
      </w:r>
      <w:bookmarkEnd w:id="1150"/>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11</w:t>
      </w:r>
      <w:r w:rsidRPr="008D4EA9">
        <w:rPr>
          <w:rFonts w:eastAsia="Times New Roman"/>
        </w:rPr>
        <w:fldChar w:fldCharType="end"/>
      </w:r>
      <w:r>
        <w:t>.  </w:t>
      </w:r>
      <w:bookmarkStart w:id="1152" w:name="lt_pId094"/>
      <w:bookmarkStart w:id="1153" w:name="lt_pId095"/>
      <w:bookmarkEnd w:id="1152"/>
      <w:r>
        <w:t>În plus, consider că complexitatea potențial enormă a probelor și a aspectelor științifice, care, prin definiție, trebuie să fundamenteze orice angajament efectiv – transsectorial și transfrontalier – cu privire la problema schimbărilor climatice antropice ridică, de asemenea, o întrebare foarte reală, și anume dacă Curtea (și, în cazul unui răspuns afirmativ, în ce fel) (și, conform abordării majorității, Comitetul de Miniștri, în contextul executării hotărârilor în temeiul art. 46 din Convenție) poate să aducă o contribuție adecvată sau orice fel de contribuție la lupta împotriva schimbărilor climatice (mai degrabă decât să o împiedice), în absența oricăror măsuri sau orientări clare sau convenite.</w:t>
      </w:r>
      <w:bookmarkEnd w:id="1153"/>
      <w:r>
        <w:t xml:space="preserve"> </w:t>
      </w:r>
      <w:bookmarkStart w:id="1154" w:name="lt_pId096"/>
      <w:r>
        <w:t xml:space="preserve">La urma urmei, examinarea necesară (și aprofundată) a dovezilor științifice în contextul a ceea ce Curtea a descris, în hotărârea </w:t>
      </w:r>
      <w:r>
        <w:rPr>
          <w:i/>
        </w:rPr>
        <w:t>Powell și Rayner împotriva Regatului Unit</w:t>
      </w:r>
      <w:r>
        <w:t xml:space="preserve"> (21 februarie 1990, pct. 44, seria A nr. 172), ca fiind „un domeniu social și tehnic dificil” (în legătură cu problema, evident mai puțin complexă, a poluării fonice cauzate de zgomotul produs de aeronave) nu face parte, în prezent, din practicile de lucru ale Curții.</w:t>
      </w:r>
      <w:bookmarkEnd w:id="1154"/>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12</w:t>
      </w:r>
      <w:r w:rsidRPr="008D4EA9">
        <w:rPr>
          <w:rFonts w:eastAsia="Times New Roman"/>
        </w:rPr>
        <w:fldChar w:fldCharType="end"/>
      </w:r>
      <w:r>
        <w:t>.  </w:t>
      </w:r>
      <w:bookmarkStart w:id="1155" w:name="lt_pId097"/>
      <w:bookmarkStart w:id="1156" w:name="lt_pId098"/>
      <w:bookmarkEnd w:id="1155"/>
      <w:r>
        <w:t xml:space="preserve">Cu titlu de exemplu, menționez că, în săptămâna 29 ianuarie-2 februarie 2024, și anume cu puțin timp înainte de adoptarea prezentei hotărâri, o echipă de experți din cadrul Organismului subsidiar de punere în </w:t>
      </w:r>
      <w:r>
        <w:lastRenderedPageBreak/>
        <w:t>aplicare (</w:t>
      </w:r>
      <w:r>
        <w:rPr>
          <w:i/>
          <w:iCs/>
        </w:rPr>
        <w:t>Subsidiary Body for Implementation</w:t>
      </w:r>
      <w:r>
        <w:t>, „SBI”)</w:t>
      </w:r>
      <w:r>
        <w:rPr>
          <w:rFonts w:eastAsia="Times New Roman"/>
          <w:vertAlign w:val="superscript"/>
        </w:rPr>
        <w:footnoteReference w:id="211"/>
      </w:r>
      <w:r>
        <w:t>, instituit cu scopul de a asista organismele de conducere ale UNFCCC</w:t>
      </w:r>
      <w:r>
        <w:rPr>
          <w:rFonts w:eastAsia="Times New Roman"/>
          <w:vertAlign w:val="superscript"/>
        </w:rPr>
        <w:footnoteReference w:id="212"/>
      </w:r>
      <w:r>
        <w:t>, ale Protocolului de la Kyoto</w:t>
      </w:r>
      <w:r>
        <w:rPr>
          <w:rFonts w:eastAsia="Times New Roman"/>
          <w:vertAlign w:val="superscript"/>
        </w:rPr>
        <w:footnoteReference w:id="213"/>
      </w:r>
      <w:r>
        <w:t xml:space="preserve"> și ale Acordului de la Paris</w:t>
      </w:r>
      <w:r>
        <w:rPr>
          <w:rFonts w:eastAsia="Times New Roman"/>
          <w:vertAlign w:val="superscript"/>
        </w:rPr>
        <w:footnoteReference w:id="214"/>
      </w:r>
      <w:r>
        <w:t>, urma să revizuiască cea de a opta Comunicare națională a Elveției și cel de al cincilea Raport bienal al Elveției în temeiul UNFCCC/cea de a cincea comunicare națională în temeiul Protocolului de la Kyoto la UNFCCC, din 16 septembrie 2022</w:t>
      </w:r>
      <w:bookmarkEnd w:id="1156"/>
      <w:r>
        <w:rPr>
          <w:rFonts w:eastAsia="Times New Roman"/>
          <w:vertAlign w:val="superscript"/>
        </w:rPr>
        <w:footnoteReference w:id="215"/>
      </w:r>
      <w:r>
        <w:t xml:space="preserve">. </w:t>
      </w:r>
      <w:bookmarkStart w:id="1162" w:name="lt_pId099"/>
      <w:r>
        <w:t>Acest raport, care se întinde pe 297 de pagini stufoase, cuprinde, printre altele, dovezi detaliate care arată că Elveția a respectat angajamentele cuantificate clar, pe care și le-a asumat în favoarea limitării și reducerii emisiilor, în calitate de parte la Protocolul de la Kyoto, menționată în anexa I la acesta.</w:t>
      </w:r>
      <w:bookmarkEnd w:id="1162"/>
      <w:r>
        <w:t xml:space="preserve"> </w:t>
      </w:r>
      <w:bookmarkStart w:id="1163" w:name="lt_pId100"/>
      <w:r>
        <w:t>Echipa de experți însărcinată cu examinarea comunicărilor anterioare ale Elveției (2022), care a întocmit rapoarte cu privire la acestea, a fost compusă din douăzeci și unu de experți originari din diferite părți contractante, acoperind șase domenii de specialitate [„General”, „Energie”, „IPPU” (</w:t>
      </w:r>
      <w:r>
        <w:rPr>
          <w:i/>
          <w:iCs/>
        </w:rPr>
        <w:t>industrial processes and product use</w:t>
      </w:r>
      <w:r>
        <w:t xml:space="preserve"> - procese industriale și alte produse), „Agricultură”, „LULUCF și KP LULUCF” (</w:t>
      </w:r>
      <w:r>
        <w:rPr>
          <w:i/>
          <w:iCs/>
        </w:rPr>
        <w:t>land use, land-use change and forestry</w:t>
      </w:r>
      <w:r>
        <w:t xml:space="preserve"> -  exploatarea terenurilor, schimbarea destinației terenurilor și silvicultură; și activitățile prevăzute la articolul 3 alineatele 3-4 din Protocolul de la Kyoto) și „Deșeuri”] alături de doi examinatori principali</w:t>
      </w:r>
      <w:r>
        <w:rPr>
          <w:rFonts w:eastAsia="Times New Roman"/>
          <w:vertAlign w:val="superscript"/>
        </w:rPr>
        <w:footnoteReference w:id="216"/>
      </w:r>
      <w:bookmarkEnd w:id="1163"/>
      <w:r>
        <w:t>.</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13</w:t>
      </w:r>
      <w:r w:rsidRPr="008D4EA9">
        <w:rPr>
          <w:rFonts w:eastAsia="Times New Roman"/>
        </w:rPr>
        <w:fldChar w:fldCharType="end"/>
      </w:r>
      <w:r>
        <w:t>.  </w:t>
      </w:r>
      <w:bookmarkStart w:id="1165" w:name="lt_pId101"/>
      <w:bookmarkStart w:id="1166" w:name="lt_pId102"/>
      <w:bookmarkEnd w:id="1165"/>
      <w:r>
        <w:t>Mi se pare evident faptul că Curtea (sau Comitetul de Miniștri) nu are, de fapt, capacitatea de a se angaja într-un proces similar unei astfel de proceduri de control, pentru a se asigura, așa cum pare să considere majoritatea, că părțile contractante au „adopta[t] și [...] [pus] în aplicare în mod efectiv și concret reglementări și măsuri de natură să atenueze efectele actuale și viitoare, potențial ireversibile, ale schimbărilor climatice”.</w:t>
      </w:r>
      <w:bookmarkEnd w:id="1166"/>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14</w:t>
      </w:r>
      <w:r w:rsidRPr="008D4EA9">
        <w:rPr>
          <w:rFonts w:eastAsia="Times New Roman"/>
        </w:rPr>
        <w:fldChar w:fldCharType="end"/>
      </w:r>
      <w:r>
        <w:t>.  </w:t>
      </w:r>
      <w:bookmarkStart w:id="1167" w:name="lt_pId103"/>
      <w:bookmarkStart w:id="1168" w:name="lt_pId104"/>
      <w:bookmarkEnd w:id="1167"/>
      <w:r>
        <w:t>În paranteză fiind spus, este, de asemenea, relevant de remarcat – aspect care contribuie la consolidarea argumentului Curții Constituționale Federale (</w:t>
      </w:r>
      <w:r>
        <w:rPr>
          <w:i/>
        </w:rPr>
        <w:t>Bundesverfassungsgericht</w:t>
      </w:r>
      <w:r>
        <w:t xml:space="preserve">) (a se vedea mai sus) – faptul că trecerea, în contextul Acordului de la Paris, de la măsuri de reducere obligatorii și specifice (obligatorii doar pentru unele părți contractante, și anume părțile menționate în anexa I la Protocolul de la Kyoto) la un mecanism voluntar, prin care (toate) părțile contractante își stabilesc propriile contribuții determinate la nivel național (CDN-uri), pare să fi fost o schimbare </w:t>
      </w:r>
      <w:r>
        <w:lastRenderedPageBreak/>
        <w:t>deliberată în abordare. Or, scopul acestui reviriment era</w:t>
      </w:r>
      <w:bookmarkStart w:id="1169" w:name="lt_pId105"/>
      <w:bookmarkEnd w:id="1168"/>
      <w:r>
        <w:t xml:space="preserve"> acela de a garanta că toate statele iau măsuri în ceea ce privește această „preocupare comună a omenirii”, în conformitate cu „principiul responsabilităților comune, dar diferențiate, și al capacităților aferente, în funcție de diferitele circumstanțe naționale” [articolul 2 alineatul (2) din Acordul de la Paris], principiu sau noțiune care pare dificil (dacă nu chiar imposibil) de conciliat cu rolul principal al Curții, care constă în a asigura respectarea unui standard minim comun de protecție, aplicabil în mod egal tuturor părților contractante [a se vedea infra, pct. </w:t>
      </w:r>
      <w:r w:rsidRPr="008D4EA9">
        <w:rPr>
          <w:rFonts w:eastAsia="Times New Roman"/>
        </w:rPr>
        <w:fldChar w:fldCharType="begin"/>
      </w:r>
      <w:r w:rsidRPr="008D4EA9">
        <w:rPr>
          <w:rFonts w:eastAsia="Times New Roman"/>
        </w:rPr>
        <w:instrText xml:space="preserve"> REF paragraph00020 \h  \* CharFormat </w:instrText>
      </w:r>
      <w:r>
        <w:rPr>
          <w:rFonts w:eastAsia="Times New Roman"/>
        </w:rPr>
        <w:instrText xml:space="preserve"> \* MERGEFORMAT </w:instrText>
      </w:r>
      <w:r w:rsidRPr="008D4EA9">
        <w:rPr>
          <w:rFonts w:eastAsia="Times New Roman"/>
        </w:rPr>
      </w:r>
      <w:r w:rsidRPr="008D4EA9">
        <w:rPr>
          <w:rFonts w:eastAsia="Times New Roman"/>
        </w:rPr>
        <w:fldChar w:fldCharType="separate"/>
      </w:r>
      <w:r w:rsidRPr="008D4EA9">
        <w:rPr>
          <w:rFonts w:eastAsia="Times New Roman"/>
        </w:rPr>
        <w:t>20</w:t>
      </w:r>
      <w:r w:rsidRPr="008D4EA9">
        <w:rPr>
          <w:rFonts w:eastAsia="Times New Roman"/>
        </w:rPr>
        <w:fldChar w:fldCharType="end"/>
      </w:r>
      <w:r>
        <w:t xml:space="preserve"> b)].</w:t>
      </w:r>
      <w:bookmarkEnd w:id="1169"/>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15</w:t>
      </w:r>
      <w:r w:rsidRPr="008D4EA9">
        <w:rPr>
          <w:rFonts w:eastAsia="Times New Roman"/>
        </w:rPr>
        <w:fldChar w:fldCharType="end"/>
      </w:r>
      <w:r>
        <w:t>.  </w:t>
      </w:r>
      <w:bookmarkStart w:id="1170" w:name="lt_pId106"/>
      <w:bookmarkStart w:id="1171" w:name="lt_pId107"/>
      <w:bookmarkEnd w:id="1170"/>
      <w:r>
        <w:t>În ceea ce privește necesitatea evidentă de a acționa „urgent”, apreciez că, în special având în vedere aspectele politice complexe care apar în contextul identificării și al punerii în aplicare a măsurilor necesare pentru a contracara schimbările climatice în mod eficient și rapid, este negreșit necesar să existe îndoieli serioase cu privire la faptul că procedura în fața Curții poate aduce o contribuție semnificativă.</w:t>
      </w:r>
      <w:bookmarkEnd w:id="1171"/>
      <w:r>
        <w:t xml:space="preserve"> </w:t>
      </w:r>
      <w:bookmarkStart w:id="1172" w:name="lt_pId108"/>
      <w:r>
        <w:t>În fapt, există un risc real ca:</w:t>
      </w:r>
      <w:bookmarkEnd w:id="1172"/>
    </w:p>
    <w:p w:rsidR="00690E9D" w:rsidRPr="008D4EA9" w:rsidRDefault="00690E9D" w:rsidP="00690E9D">
      <w:pPr>
        <w:pStyle w:val="JuPara"/>
        <w:rPr>
          <w:rFonts w:eastAsia="Times New Roman"/>
        </w:rPr>
      </w:pPr>
      <w:r>
        <w:t>a)  așa cum se întâmplă frecvent atunci când Curții i se solicită să procedeze „</w:t>
      </w:r>
      <w:r>
        <w:rPr>
          <w:i/>
          <w:iCs/>
        </w:rPr>
        <w:t>in abstracto</w:t>
      </w:r>
      <w:r>
        <w:t xml:space="preserve">” la controlul unui regim legislativ sau de reglementare, respectivul regim supus examinării Curții (care a fost analizat, după caz, de către instanțele naționale în cadrul procesului de epuizare a căilor de atac interne, în conformitate cu art. 35 § 1 din Convenție) să fi fost deja înlocuit sau modificat substanțial [a se vedea, de exemplu, </w:t>
      </w:r>
      <w:r>
        <w:rPr>
          <w:i/>
        </w:rPr>
        <w:t>Big Brother Watch și alții împotriva Regatului Unit</w:t>
      </w:r>
      <w:r>
        <w:t xml:space="preserve"> (MC), nr.</w:t>
      </w:r>
      <w:bookmarkStart w:id="1173" w:name="lt_pId111"/>
      <w:r>
        <w:t> 58170/13 și alte 2, pct. 269-270, 25 mai 2021];</w:t>
      </w:r>
      <w:bookmarkEnd w:id="1173"/>
      <w:r>
        <w:t xml:space="preserve"> sau</w:t>
      </w:r>
    </w:p>
    <w:p w:rsidR="00690E9D" w:rsidRPr="008D4EA9" w:rsidRDefault="00690E9D" w:rsidP="00690E9D">
      <w:pPr>
        <w:pStyle w:val="JuPara"/>
        <w:rPr>
          <w:rFonts w:eastAsia="Times New Roman"/>
        </w:rPr>
      </w:pPr>
      <w:r>
        <w:t>b)</w:t>
      </w:r>
      <w:bookmarkStart w:id="1174" w:name="lt_pId113"/>
      <w:r>
        <w:t>  în orice caz, procedura în fața Curții să fie mult mai susceptibilă să distragă părțile contractante și să încetinească procesele necesare; în plus, chiar dacă se pronunță o hotărâre, orice întârziere în executarea acestei hotărâri sau neîndeplinire a obligației de executare nu poate avea ca efect decât subminarea acțiunilor urgente necesare și, potențial, amenințarea statului de drept.</w:t>
      </w:r>
      <w:bookmarkEnd w:id="1174"/>
    </w:p>
    <w:p w:rsidR="00690E9D" w:rsidRPr="008D4EA9" w:rsidRDefault="00690E9D" w:rsidP="00690E9D">
      <w:pPr>
        <w:pStyle w:val="JuHHead"/>
        <w:numPr>
          <w:ilvl w:val="0"/>
          <w:numId w:val="1"/>
        </w:numPr>
        <w:rPr>
          <w:rFonts w:eastAsia="Times New Roman"/>
        </w:rPr>
      </w:pPr>
      <w:bookmarkStart w:id="1175" w:name="_Toc188017939"/>
      <w:bookmarkStart w:id="1176" w:name="_Toc199273607"/>
      <w:r>
        <w:t>Rolul Curții și interpretarea evolutivă</w:t>
      </w:r>
      <w:bookmarkEnd w:id="1175"/>
      <w:bookmarkEnd w:id="1176"/>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16</w:t>
      </w:r>
      <w:r w:rsidRPr="008D4EA9">
        <w:rPr>
          <w:rFonts w:eastAsia="Times New Roman"/>
        </w:rPr>
        <w:fldChar w:fldCharType="end"/>
      </w:r>
      <w:r>
        <w:t xml:space="preserve">.  Astfel cum a explicat în mod constant Curtea, rolul său principal este acela „de a asigura respectarea angajamentelor asumate de statele contractante” (art. 19 din Convenție). </w:t>
      </w:r>
      <w:bookmarkStart w:id="1177" w:name="_cl43939"/>
      <w:bookmarkStart w:id="1178" w:name="lt_pId117"/>
      <w:r>
        <w:t xml:space="preserve">În conformitate cu art. 32 din Convenție, Curtea oferă o interpretare autentică și definitivă a drepturilor și a libertăților enumerate în Titlul I din Convenție [a se vedea, foarte recent, </w:t>
      </w:r>
      <w:r>
        <w:rPr>
          <w:i/>
        </w:rPr>
        <w:t>Humpert și alții împotriva</w:t>
      </w:r>
      <w:bookmarkEnd w:id="1177"/>
      <w:r>
        <w:rPr>
          <w:i/>
        </w:rPr>
        <w:t xml:space="preserve">Germaniei </w:t>
      </w:r>
      <w:r>
        <w:t>(MC), nr.</w:t>
      </w:r>
      <w:bookmarkStart w:id="1179" w:name="lt_pId118"/>
      <w:bookmarkEnd w:id="1178"/>
      <w:r>
        <w:t> 59433/18 și alte 3 cereri, pct. 69, 14 decembrie 2023].</w:t>
      </w:r>
      <w:bookmarkEnd w:id="1179"/>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17</w:t>
      </w:r>
      <w:r w:rsidRPr="008D4EA9">
        <w:rPr>
          <w:rFonts w:eastAsia="Times New Roman"/>
        </w:rPr>
        <w:fldChar w:fldCharType="end"/>
      </w:r>
      <w:r>
        <w:t>.  </w:t>
      </w:r>
      <w:bookmarkStart w:id="1180" w:name="lt_pId119"/>
      <w:bookmarkStart w:id="1181" w:name="lt_pId120"/>
      <w:bookmarkEnd w:id="1180"/>
      <w:r>
        <w:t xml:space="preserve">Principiile de interpretare aplicabile urmate de Curte în acest context au fost rezumate recent în cauza </w:t>
      </w:r>
      <w:r>
        <w:rPr>
          <w:i/>
        </w:rPr>
        <w:t>Slovenia împotriva Croației</w:t>
      </w:r>
      <w:r>
        <w:t xml:space="preserve"> (dec.) (MC), nr.</w:t>
      </w:r>
      <w:bookmarkEnd w:id="1181"/>
      <w:r>
        <w:t xml:space="preserve"> 54155/16, pct. 60, 18 noiembrie 2020 [pe baza hotărârii din cauza </w:t>
      </w:r>
      <w:r>
        <w:rPr>
          <w:i/>
        </w:rPr>
        <w:t>Magyar Helsinki Bizottság împotriva</w:t>
      </w:r>
      <w:r>
        <w:t xml:space="preserve"> </w:t>
      </w:r>
      <w:r>
        <w:rPr>
          <w:i/>
          <w:iCs/>
        </w:rPr>
        <w:t>Ungariei</w:t>
      </w:r>
      <w:r>
        <w:t> (MC), nr.</w:t>
      </w:r>
      <w:bookmarkStart w:id="1182" w:name="lt_pId122"/>
      <w:r>
        <w:t> 18030/11, pct. 118-122 și 125, 8 noiembrie 2016, și trimiterile citate]:</w:t>
      </w:r>
      <w:bookmarkEnd w:id="1182"/>
    </w:p>
    <w:p w:rsidR="00690E9D" w:rsidRPr="008D4EA9" w:rsidRDefault="00690E9D" w:rsidP="00690E9D">
      <w:pPr>
        <w:pStyle w:val="JuQuot"/>
        <w:rPr>
          <w:rFonts w:eastAsia="Times New Roman"/>
        </w:rPr>
      </w:pPr>
      <w:bookmarkStart w:id="1183" w:name="lt_pId123"/>
      <w:r>
        <w:lastRenderedPageBreak/>
        <w:t>a)</w:t>
      </w:r>
      <w:bookmarkEnd w:id="1183"/>
      <w:r>
        <w:t>  </w:t>
      </w:r>
      <w:bookmarkStart w:id="1184" w:name="lt_pId124"/>
      <w:r>
        <w:t>În calitate de tratat internațional, Convenția trebuie interpretată prin prisma normelor de interpretare prevăzute la articolele 31-33 din Convenția de la Viena din 23 mai 1969 cu privire la dreptul tratatelor (supra, pct. 22).</w:t>
      </w:r>
      <w:bookmarkEnd w:id="1184"/>
      <w:r>
        <w:t xml:space="preserve"> </w:t>
      </w:r>
      <w:bookmarkStart w:id="1185" w:name="lt_pId125"/>
      <w:r>
        <w:t>În conformitate cu aceste norme, Curtea trebuie să stabilească sensul obișnuit ce urmează a fi atribuit termenilor în contextul lor și în lumina obiectului și scopului dispoziției din care provin aceștia.</w:t>
      </w:r>
      <w:bookmarkEnd w:id="1185"/>
    </w:p>
    <w:p w:rsidR="00690E9D" w:rsidRPr="008D4EA9" w:rsidRDefault="00690E9D" w:rsidP="00690E9D">
      <w:pPr>
        <w:pStyle w:val="JuQuot"/>
        <w:rPr>
          <w:rFonts w:eastAsia="Times New Roman"/>
        </w:rPr>
      </w:pPr>
      <w:bookmarkStart w:id="1186" w:name="lt_pId126"/>
      <w:r>
        <w:t>b)</w:t>
      </w:r>
      <w:bookmarkEnd w:id="1186"/>
      <w:r>
        <w:t>  </w:t>
      </w:r>
      <w:bookmarkStart w:id="1187" w:name="lt_pId127"/>
      <w:r>
        <w:t>De asemenea, trebuie să se țină seama de faptul că și contextul dispoziției este cel al unui tratat menit să asigure protecția efectivă a drepturilor omului și că această Convenție trebuie să fie citită în ansamblul său și interpretată respectând armonia și coerența internă a diferitelor sale dispoziții.</w:t>
      </w:r>
      <w:bookmarkEnd w:id="1187"/>
    </w:p>
    <w:p w:rsidR="00690E9D" w:rsidRPr="008D4EA9" w:rsidRDefault="00690E9D" w:rsidP="00690E9D">
      <w:pPr>
        <w:pStyle w:val="JuQuot"/>
        <w:rPr>
          <w:rFonts w:eastAsia="Times New Roman"/>
        </w:rPr>
      </w:pPr>
      <w:bookmarkStart w:id="1188" w:name="lt_pId128"/>
      <w:r>
        <w:t>c)</w:t>
      </w:r>
      <w:bookmarkEnd w:id="1188"/>
      <w:r>
        <w:t>  </w:t>
      </w:r>
      <w:bookmarkStart w:id="1189" w:name="lt_pId129"/>
      <w:r>
        <w:t>Obiectul și scopul Convenției, ca instrument de protecție a drepturilor omului, impun înțelegerea și aplicarea dispozițiilor sale astfel încât aceste drepturi să devină reale și efective, nu teoretice și iluzorii.</w:t>
      </w:r>
      <w:bookmarkEnd w:id="1189"/>
      <w:r>
        <w:t xml:space="preserve"> </w:t>
      </w:r>
      <w:bookmarkStart w:id="1190" w:name="lt_pId130"/>
      <w:r>
        <w:t>În plus, în această calitate, Convenția depășește cadrul simplei reciprocități între statele contractante.</w:t>
      </w:r>
      <w:bookmarkEnd w:id="1190"/>
    </w:p>
    <w:p w:rsidR="00690E9D" w:rsidRPr="008D4EA9" w:rsidRDefault="00690E9D" w:rsidP="00690E9D">
      <w:pPr>
        <w:pStyle w:val="JuQuot"/>
        <w:rPr>
          <w:rFonts w:eastAsia="Times New Roman"/>
        </w:rPr>
      </w:pPr>
      <w:bookmarkStart w:id="1191" w:name="lt_pId131"/>
      <w:r>
        <w:t>d)</w:t>
      </w:r>
      <w:bookmarkEnd w:id="1191"/>
      <w:r>
        <w:t>  </w:t>
      </w:r>
      <w:bookmarkStart w:id="1192" w:name="lt_pId132"/>
      <w:r>
        <w:t>Pentru interpretarea Convenției, se poate recurge, de asemenea, la mijloace complementare de interpretare, îndeosebi la lucrările pregătitoare pentru tratat, fie pentru a se confirma sensul stabilit în conformitate cu alte metode, fie pentru a se determina sensul atunci când acesta este ambiguu, obscur sau duce la un rezultat vădit absurd sau nerațional.</w:t>
      </w:r>
      <w:bookmarkEnd w:id="1192"/>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18</w:t>
      </w:r>
      <w:r w:rsidRPr="008D4EA9">
        <w:rPr>
          <w:rFonts w:eastAsia="Times New Roman"/>
        </w:rPr>
        <w:fldChar w:fldCharType="end"/>
      </w:r>
      <w:r>
        <w:t>.  </w:t>
      </w:r>
      <w:bookmarkStart w:id="1193" w:name="lt_pId133"/>
      <w:bookmarkStart w:id="1194" w:name="lt_pId134"/>
      <w:bookmarkEnd w:id="1193"/>
      <w:r>
        <w:t>Cu toate acestea, Curtea a explicat întotdeauna că există limite clare cu privire la ceea ce se poate obține în mod legitim prin intermediul interpretării, limite care decurg din faptul că rolul Curții este limitat la interpretarea dispozițiilor Convenției (și a protocoalelor sale):</w:t>
      </w:r>
      <w:bookmarkEnd w:id="1194"/>
    </w:p>
    <w:p w:rsidR="00690E9D" w:rsidRPr="008D4EA9" w:rsidRDefault="00690E9D" w:rsidP="00690E9D">
      <w:pPr>
        <w:pStyle w:val="JuPara"/>
        <w:rPr>
          <w:rFonts w:eastAsia="Times New Roman"/>
        </w:rPr>
      </w:pPr>
      <w:bookmarkStart w:id="1195" w:name="lt_pId135"/>
      <w:r>
        <w:t>a)</w:t>
      </w:r>
      <w:bookmarkStart w:id="1196" w:name="lt_pId136"/>
      <w:bookmarkEnd w:id="1195"/>
      <w:r>
        <w:t>  deși Curtea trebuie să țină seama de orice norme și principii de drept internațional aplicabile în relațiile dintre părțile contractante și Convenția trebuie, pe cât posibil, să fie interpretată astfel încât să fie compatibilă cu celelalte norme de drept internațional din care face parte integrantă [</w:t>
      </w:r>
      <w:bookmarkStart w:id="1197" w:name="_cl27154"/>
      <w:r>
        <w:rPr>
          <w:i/>
        </w:rPr>
        <w:t>Güzelyurtlu și alții împotriva Ciprului și Turciei</w:t>
      </w:r>
      <w:bookmarkEnd w:id="1197"/>
      <w:r>
        <w:rPr>
          <w:i/>
        </w:rPr>
        <w:t xml:space="preserve"> </w:t>
      </w:r>
      <w:r>
        <w:t>(MC), nr.</w:t>
      </w:r>
      <w:bookmarkEnd w:id="1196"/>
      <w:r>
        <w:t> </w:t>
      </w:r>
      <w:bookmarkStart w:id="1198" w:name="lt_pId137"/>
      <w:r>
        <w:t>36925/07, pct. 235, 29 ianuarie 2019, și trimiterile citate; a se vedea, de asemenea, articolul 31 alineatul 3 litera c) din Convenția de la Viena din 23 mai 1969 cu privire la dreptul tratatelor]; Curtea are doar „competența de a asigura respectarea textului Convenției europene a drepturilor omului [...].</w:t>
      </w:r>
      <w:bookmarkEnd w:id="1198"/>
      <w:r>
        <w:t xml:space="preserve"> </w:t>
      </w:r>
      <w:bookmarkStart w:id="1199" w:name="lt_pId138"/>
      <w:r>
        <w:t>Curtea poate să interpreteze și să aplice dispozițiile Convenției; nu are competența de a asigura respectarea altor tratate sau obligații internaționale în afara Convenției [...] ” (</w:t>
      </w:r>
      <w:bookmarkStart w:id="1200" w:name="_cl40707"/>
      <w:r>
        <w:rPr>
          <w:i/>
        </w:rPr>
        <w:t>Caamaño Valle împotriva Spaniei</w:t>
      </w:r>
      <w:bookmarkEnd w:id="1200"/>
      <w:r>
        <w:t>, nr. 43564/17, pct. 53, 11 mai 2021</w:t>
      </w:r>
      <w:bookmarkStart w:id="1201" w:name="lt_pId139"/>
      <w:bookmarkEnd w:id="1199"/>
      <w:r>
        <w:t>)</w:t>
      </w:r>
      <w:bookmarkEnd w:id="1201"/>
      <w:r>
        <w:t>; și</w:t>
      </w:r>
    </w:p>
    <w:p w:rsidR="00690E9D" w:rsidRPr="008D4EA9" w:rsidRDefault="00690E9D" w:rsidP="00690E9D">
      <w:pPr>
        <w:pStyle w:val="JuPara"/>
        <w:rPr>
          <w:rFonts w:eastAsia="Times New Roman"/>
        </w:rPr>
      </w:pPr>
      <w:bookmarkStart w:id="1202" w:name="lt_pId140"/>
      <w:r>
        <w:t>b)</w:t>
      </w:r>
      <w:bookmarkStart w:id="1203" w:name="lt_pId141"/>
      <w:bookmarkEnd w:id="1202"/>
      <w:r>
        <w:t>  „Curtea nu poate [...] să deducă [din aceste instrumente], prin intermediul unei interpretări evolutive, un drept care nu a fost inclus de la bun început în Convenție.</w:t>
      </w:r>
      <w:bookmarkEnd w:id="1203"/>
      <w:r>
        <w:t xml:space="preserve"> </w:t>
      </w:r>
      <w:bookmarkStart w:id="1204" w:name="lt_pId142"/>
      <w:r>
        <w:t xml:space="preserve">Acest lucru este valabil în special atunci când este vorba, precum în cazul de față, despre o omisiune deliberată” </w:t>
      </w:r>
      <w:bookmarkStart w:id="1205" w:name="_cl28405"/>
      <w:r>
        <w:t>” [</w:t>
      </w:r>
      <w:bookmarkStart w:id="1206" w:name="_cl8390"/>
      <w:r>
        <w:rPr>
          <w:i/>
        </w:rPr>
        <w:t>Johnston și alții împotriva Irlandei</w:t>
      </w:r>
      <w:bookmarkEnd w:id="1206"/>
      <w:r>
        <w:t>, 18 decembrie 1986, pct. 53, seria A nr. 112</w:t>
      </w:r>
      <w:bookmarkEnd w:id="1205"/>
      <w:r>
        <w:t xml:space="preserve">, </w:t>
      </w:r>
      <w:bookmarkStart w:id="1207" w:name="_cl21335"/>
      <w:r>
        <w:rPr>
          <w:i/>
        </w:rPr>
        <w:t>Austin și alții împotriva </w:t>
      </w:r>
      <w:bookmarkEnd w:id="1207"/>
      <w:r>
        <w:rPr>
          <w:i/>
        </w:rPr>
        <w:t xml:space="preserve">Regatului Unit </w:t>
      </w:r>
      <w:r>
        <w:t>(MC), nr. </w:t>
      </w:r>
      <w:bookmarkStart w:id="1208" w:name="lt_pId143"/>
      <w:bookmarkEnd w:id="1204"/>
      <w:r>
        <w:t> 39692/09 și alte 2 cereri, pct. 53, CEDO 2012</w:t>
      </w:r>
      <w:bookmarkStart w:id="1209" w:name="_cl25705"/>
      <w:r>
        <w:t xml:space="preserve">, și </w:t>
      </w:r>
      <w:r>
        <w:rPr>
          <w:i/>
        </w:rPr>
        <w:t>Ferrazzini împotriva </w:t>
      </w:r>
      <w:bookmarkEnd w:id="1209"/>
      <w:r>
        <w:rPr>
          <w:i/>
        </w:rPr>
        <w:t xml:space="preserve">Italiei </w:t>
      </w:r>
      <w:r>
        <w:t>(MC), nr.</w:t>
      </w:r>
      <w:bookmarkStart w:id="1210" w:name="lt_pId144"/>
      <w:bookmarkEnd w:id="1208"/>
      <w:r>
        <w:t> 44759/98, pct. 30, CEDO 2001</w:t>
      </w:r>
      <w:r>
        <w:noBreakHyphen/>
        <w:t>VII].</w:t>
      </w:r>
      <w:bookmarkEnd w:id="1210"/>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19</w:t>
      </w:r>
      <w:r w:rsidRPr="008D4EA9">
        <w:rPr>
          <w:rFonts w:eastAsia="Times New Roman"/>
        </w:rPr>
        <w:fldChar w:fldCharType="end"/>
      </w:r>
      <w:r>
        <w:t>.  </w:t>
      </w:r>
      <w:bookmarkStart w:id="1211" w:name="lt_pId145"/>
      <w:bookmarkStart w:id="1212" w:name="lt_pId146"/>
      <w:bookmarkEnd w:id="1211"/>
      <w:r>
        <w:t xml:space="preserve">Așa cum reiese din refuzul istoric al părților contractante la Convenție de a răspunde pozitiv la apelurile repetate adresate de Adunarea Parlamentară </w:t>
      </w:r>
      <w:r>
        <w:lastRenderedPageBreak/>
        <w:t>a Consiliului Europei, în scopul adoptării unui protocol adițional la Convenție care să consacre un drept la un mediu curat și sănătos (și să confere Curții competența de a asigura respectarea acestui drept; a se vedea supra), și astfel cum reiese clar și din observațiile părților contractante care au intervenit în calitate de terți în prezenta cauză</w:t>
      </w:r>
      <w:r>
        <w:rPr>
          <w:rStyle w:val="FootnoteReference"/>
          <w:rFonts w:eastAsia="Times New Roman"/>
        </w:rPr>
        <w:footnoteReference w:id="217"/>
      </w:r>
      <w:r>
        <w:t xml:space="preserve"> sau ale pârâtelor în cauza </w:t>
      </w:r>
      <w:r>
        <w:rPr>
          <w:i/>
        </w:rPr>
        <w:t xml:space="preserve">Duarte Agostinho și alții </w:t>
      </w:r>
      <w:r>
        <w:t>(decizie citată anterior)</w:t>
      </w:r>
      <w:r>
        <w:rPr>
          <w:rFonts w:eastAsia="Times New Roman"/>
          <w:vertAlign w:val="superscript"/>
        </w:rPr>
        <w:footnoteReference w:id="218"/>
      </w:r>
      <w:r>
        <w:t>, chiar dacă acest aspect nu a fost, probabil, examinat la momentul redactării Convenției adoptate inițial, omiterea unui astfel de drept din Convenție, în forma sa actuală, nu a fost întâmplătoare.</w:t>
      </w:r>
      <w:bookmarkEnd w:id="1212"/>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20</w:t>
      </w:r>
      <w:r w:rsidRPr="008D4EA9">
        <w:rPr>
          <w:rFonts w:eastAsia="Times New Roman"/>
        </w:rPr>
        <w:fldChar w:fldCharType="end"/>
      </w:r>
      <w:r>
        <w:t>.  </w:t>
      </w:r>
      <w:bookmarkStart w:id="1214" w:name="lt_pId147"/>
      <w:bookmarkStart w:id="1215" w:name="lt_pId148"/>
      <w:bookmarkEnd w:id="1214"/>
      <w:r>
        <w:t>În contextul prezentei cauze, este important să se țină seama și de următoarele aspecte:</w:t>
      </w:r>
      <w:bookmarkEnd w:id="1215"/>
    </w:p>
    <w:p w:rsidR="00690E9D" w:rsidRPr="008D4EA9" w:rsidRDefault="00690E9D" w:rsidP="00690E9D">
      <w:pPr>
        <w:pStyle w:val="JuPara"/>
        <w:rPr>
          <w:rFonts w:eastAsia="Times New Roman"/>
        </w:rPr>
      </w:pPr>
      <w:bookmarkStart w:id="1216" w:name="lt_pId149"/>
      <w:r>
        <w:t>a)</w:t>
      </w:r>
      <w:bookmarkStart w:id="1217" w:name="lt_pId150"/>
      <w:bookmarkEnd w:id="1216"/>
      <w:r>
        <w:t>  Curtea a recunoscut întotdeauna importanța fundamentală (esențială), în cadrul sistemului Convenției, a noțiunii de „regim politic cu adevărat democratic”, guvernat de preeminența dreptului, astfel cum se reflectă în abordarea Curții în ceea ce privește principiul subsidiarității și principiul marjei de apreciere (în general, largă):</w:t>
      </w:r>
      <w:bookmarkEnd w:id="1217"/>
      <w:r>
        <w:t xml:space="preserve"> </w:t>
      </w:r>
      <w:bookmarkStart w:id="1218" w:name="lt_pId151"/>
    </w:p>
    <w:p w:rsidR="00690E9D" w:rsidRPr="008D4EA9" w:rsidRDefault="00690E9D" w:rsidP="00690E9D">
      <w:pPr>
        <w:pStyle w:val="JuQuot"/>
        <w:rPr>
          <w:rFonts w:eastAsia="Times New Roman"/>
          <w:i/>
          <w:iCs/>
        </w:rPr>
      </w:pPr>
      <w:r>
        <w:t>„[...] Curtea reamintește totodată rolul în esență subsidiar al mecanismului Convenției.</w:t>
      </w:r>
      <w:bookmarkEnd w:id="1218"/>
      <w:r>
        <w:t xml:space="preserve"> </w:t>
      </w:r>
      <w:bookmarkStart w:id="1219" w:name="lt_pId152"/>
      <w:r>
        <w:t>Autoritățile naționale beneficiază de o legitimitate democratică directă și sunt, în principiu, mai în măsură decât instanța internațională să se pronunțe cu privire la necesitățile și contextele locale [...]</w:t>
      </w:r>
      <w:bookmarkEnd w:id="1219"/>
      <w:r>
        <w:t xml:space="preserve"> </w:t>
      </w:r>
      <w:bookmarkStart w:id="1220" w:name="lt_pId153"/>
      <w:r>
        <w:t>În cazul în care sunt în joc probleme de politică generală, în privința cărora pot să existe, în mod rezonabil, divergențe profunde într-un stat democratic, este necesar să se acorde o importanță deosebită rolului decidentului național (</w:t>
      </w:r>
      <w:r>
        <w:rPr>
          <w:i/>
          <w:iCs/>
        </w:rPr>
        <w:t>James și alții împotriva Regatului Unit</w:t>
      </w:r>
      <w:r>
        <w:t>, hotărârea din 21 februarie 1986, seria A nr. 98, p. 32, pct. 46, în care Curtea a considerat că este normal ca «legiuitorul să dispună de o marjă largă de apreciere în ceea ce privește punerea în aplicare a politicilor sociale și economice»). ”</w:t>
      </w:r>
      <w:r>
        <w:rPr>
          <w:i/>
        </w:rPr>
        <w:t xml:space="preserve"> </w:t>
      </w:r>
      <w:r>
        <w:t>[</w:t>
      </w:r>
      <w:bookmarkStart w:id="1221" w:name="_cl27418"/>
      <w:r>
        <w:rPr>
          <w:i/>
        </w:rPr>
        <w:t xml:space="preserve">Hatton și alții împotriva </w:t>
      </w:r>
      <w:bookmarkEnd w:id="1221"/>
      <w:r>
        <w:rPr>
          <w:i/>
        </w:rPr>
        <w:t xml:space="preserve">Regatului Unit </w:t>
      </w:r>
      <w:r>
        <w:t>(MC), nr.</w:t>
      </w:r>
      <w:bookmarkStart w:id="1222" w:name="lt_pId154"/>
      <w:bookmarkEnd w:id="1220"/>
      <w:r>
        <w:t xml:space="preserve"> 36022/97, pct. 97, CEDO 2003-VIII, și trimiterile citate; a se vedea și </w:t>
      </w:r>
      <w:bookmarkStart w:id="1223" w:name="_cl21299"/>
      <w:r>
        <w:rPr>
          <w:i/>
        </w:rPr>
        <w:t xml:space="preserve">Athanassoglou și alții împotriva </w:t>
      </w:r>
      <w:bookmarkEnd w:id="1223"/>
      <w:r>
        <w:rPr>
          <w:i/>
        </w:rPr>
        <w:t xml:space="preserve">Elveției </w:t>
      </w:r>
      <w:r>
        <w:t>(MC), nr.</w:t>
      </w:r>
      <w:bookmarkStart w:id="1224" w:name="lt_pId155"/>
      <w:bookmarkEnd w:id="1222"/>
      <w:r>
        <w:t> 27644/95, pct. 54, CEDO 2000-IV]</w:t>
      </w:r>
      <w:bookmarkEnd w:id="1224"/>
      <w:r>
        <w:t>;</w:t>
      </w:r>
    </w:p>
    <w:p w:rsidR="00690E9D" w:rsidRPr="008D4EA9" w:rsidRDefault="00690E9D" w:rsidP="00690E9D">
      <w:pPr>
        <w:pStyle w:val="JuPara"/>
        <w:rPr>
          <w:rFonts w:eastAsia="Times New Roman"/>
        </w:rPr>
      </w:pPr>
      <w:bookmarkStart w:id="1225" w:name="lt_pId156"/>
      <w:r>
        <w:t>b)</w:t>
      </w:r>
      <w:bookmarkStart w:id="1226" w:name="lt_pId157"/>
      <w:bookmarkEnd w:id="1225"/>
      <w:r>
        <w:t> deși „nimic nu împiedică statele contractante să adopte o interpretare mai largă, care să garanteze o protecție sporită a drepturilor și a libertăților în cauză în cadrul sistemelor lor juridice interne (art. 53 din Convenție)” [</w:t>
      </w:r>
      <w:bookmarkStart w:id="1227" w:name="_cl40283"/>
      <w:r>
        <w:t xml:space="preserve">a se vedea, de exemplu, </w:t>
      </w:r>
      <w:r>
        <w:rPr>
          <w:i/>
        </w:rPr>
        <w:t>Gestur Jónsson și Ragnar Halldór Hall împotriva Islandei</w:t>
      </w:r>
      <w:bookmarkEnd w:id="1227"/>
      <w:r>
        <w:t xml:space="preserve"> (MC), nr.</w:t>
      </w:r>
      <w:bookmarkStart w:id="1228" w:name="lt_pId158"/>
      <w:bookmarkEnd w:id="1226"/>
      <w:r>
        <w:t> 68273/14 și 68271/14, pct. 93, 22 decembrie 2020] sau prin intermediul altor tratate internaționale sau al dreptului Uniunii Europene [</w:t>
      </w:r>
      <w:r>
        <w:rPr>
          <w:i/>
        </w:rPr>
        <w:t>Krombach împotriva Franței</w:t>
      </w:r>
      <w:r>
        <w:t xml:space="preserve"> (dec.), nr.</w:t>
      </w:r>
      <w:bookmarkStart w:id="1229" w:name="lt_pId159"/>
      <w:bookmarkEnd w:id="1228"/>
      <w:r>
        <w:t xml:space="preserve"> 67521/14, pct. 39, 20 februarie 2018], rolul Convenției (și, în cadrul acesteia, al Curții) este în mod clar acela de a stabili (și de a asigura respectarea) standardelor minime de protecție a drepturilor omului; </w:t>
      </w:r>
      <w:bookmarkEnd w:id="1229"/>
      <w:r>
        <w:t>și</w:t>
      </w:r>
    </w:p>
    <w:p w:rsidR="00690E9D" w:rsidRPr="008D4EA9" w:rsidRDefault="00690E9D" w:rsidP="00690E9D">
      <w:pPr>
        <w:pStyle w:val="JuPara"/>
        <w:rPr>
          <w:rFonts w:eastAsia="Times New Roman"/>
        </w:rPr>
      </w:pPr>
      <w:bookmarkStart w:id="1230" w:name="lt_pId160"/>
      <w:r>
        <w:t>c)</w:t>
      </w:r>
      <w:bookmarkStart w:id="1231" w:name="lt_pId161"/>
      <w:bookmarkEnd w:id="1230"/>
      <w:r>
        <w:t xml:space="preserve"> din principiul subsidiarității și principiul marjei de apreciere [ambele prevăzute acum în preambulul Convenției, ca urmare a intrării în vigoare a Protocolului nr. 15, și care se reflectă, chiar dacă nu cu exactitate, în dreptul intern, în cadrul principiului separării puterii legislative de cea judecătorească </w:t>
      </w:r>
      <w:bookmarkStart w:id="1232" w:name="_cl20041"/>
      <w:r>
        <w:t xml:space="preserve"> </w:t>
      </w:r>
      <w:r>
        <w:lastRenderedPageBreak/>
        <w:t>(</w:t>
      </w:r>
      <w:r>
        <w:rPr>
          <w:i/>
        </w:rPr>
        <w:t xml:space="preserve">A. împotriva </w:t>
      </w:r>
      <w:bookmarkEnd w:id="1232"/>
      <w:r>
        <w:rPr>
          <w:i/>
        </w:rPr>
        <w:t>Regatului Unit</w:t>
      </w:r>
      <w:r>
        <w:t>, nr.</w:t>
      </w:r>
      <w:bookmarkStart w:id="1233" w:name="lt_pId162"/>
      <w:bookmarkEnd w:id="1231"/>
      <w:r>
        <w:t> 35373/97, pct. 77, CEDO 2002-X)] reiese clar faptul că, în ceea ce privește chestiunile de politică socială și economică, care necesită o punere în balanță atentă a drepturilor și intereselor concurente (frecvent, dacă nu chiar invariabil, în acest context, inclusiv a drepturilor și intereselor persoanelor care nu sunt părți în fața Curții), într-o democrație care funcționează în conformitate cu dispozițiile Convenției, Curtea (și instanțele în general) joacă un rol subsidiar în raport cu puterea legislativă și cea executivă, care sunt legitimate de procesul democratic (sau autoritățile părților contractante, în contextul unui tratat internațional).</w:t>
      </w:r>
      <w:bookmarkEnd w:id="1233"/>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21</w:t>
      </w:r>
      <w:r w:rsidRPr="008D4EA9">
        <w:rPr>
          <w:rFonts w:eastAsia="Times New Roman"/>
        </w:rPr>
        <w:fldChar w:fldCharType="end"/>
      </w:r>
      <w:r>
        <w:t>.  </w:t>
      </w:r>
      <w:bookmarkStart w:id="1234" w:name="lt_pId163"/>
      <w:bookmarkStart w:id="1235" w:name="lt_pId164"/>
      <w:bookmarkEnd w:id="1234"/>
      <w:r>
        <w:t>Acest din urmă aspect este, desigur, deosebit de important în prezenta cauză, în care cea mai recentă (cea de a treia) lege din 2020 privind emisiile de CO</w:t>
      </w:r>
      <w:r>
        <w:rPr>
          <w:vertAlign w:val="subscript"/>
        </w:rPr>
        <w:t>2</w:t>
      </w:r>
      <w:r>
        <w:t>, deși a fost adoptată de Parlament, a fost respinsă în mod expres printr-un vot popular, în urma unui referendum organizat în iunie 2021 (a se vedea, de exemplu, punctele 92 și 94 din hotărâre).</w:t>
      </w:r>
      <w:bookmarkEnd w:id="1235"/>
      <w:r>
        <w:t xml:space="preserve"> </w:t>
      </w:r>
      <w:bookmarkStart w:id="1236" w:name="lt_pId165"/>
      <w:r>
        <w:t>În opinia mea, într-o astfel de situație, este necesară o prudență deosebită din partea Curții, astfel încât să nu lase impresia că, pentru a constata existența unei încălcări a art. 8, se bazează, cel puțin în parte, pe însăși expresia voinței democratice a poporului elvețian.</w:t>
      </w:r>
      <w:bookmarkEnd w:id="1236"/>
    </w:p>
    <w:p w:rsidR="00690E9D" w:rsidRPr="008D4EA9" w:rsidRDefault="00690E9D" w:rsidP="00690E9D">
      <w:pPr>
        <w:pStyle w:val="JuHHead"/>
        <w:numPr>
          <w:ilvl w:val="0"/>
          <w:numId w:val="1"/>
        </w:numPr>
        <w:rPr>
          <w:rFonts w:eastAsia="Times New Roman"/>
        </w:rPr>
      </w:pPr>
      <w:bookmarkStart w:id="1237" w:name="lt_pId166"/>
      <w:bookmarkStart w:id="1238" w:name="_Toc188017940"/>
      <w:bookmarkStart w:id="1239" w:name="_Toc199273608"/>
      <w:r>
        <w:t>Cu privire la calitatea de „victimă”</w:t>
      </w:r>
      <w:bookmarkEnd w:id="1237"/>
      <w:r>
        <w:t xml:space="preserve"> / calitatea procesuală</w:t>
      </w:r>
      <w:bookmarkEnd w:id="1238"/>
      <w:bookmarkEnd w:id="1239"/>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22</w:t>
      </w:r>
      <w:r w:rsidRPr="008D4EA9">
        <w:rPr>
          <w:rFonts w:eastAsia="Times New Roman"/>
        </w:rPr>
        <w:fldChar w:fldCharType="end"/>
      </w:r>
      <w:r>
        <w:t>.  </w:t>
      </w:r>
      <w:bookmarkStart w:id="1240" w:name="lt_pId167"/>
      <w:bookmarkStart w:id="1241" w:name="lt_pId168"/>
      <w:bookmarkEnd w:id="1240"/>
      <w:r>
        <w:t>În scopul examinării chestiunii calității de „victimă” în speță, este important să se observe, de la bun început, că, în fapt, nu a existat nicio controversă și nicio incertitudine cu privire la calitatea de „victimă” a reclamantelor individuale în legătură cu respectivul capăt de cerere formulat în temeiul art. 6 § 1 și că, prin urmare, nu era necesară conexarea acestei chestiuni cu fondul cauzei.</w:t>
      </w:r>
      <w:bookmarkEnd w:id="1241"/>
      <w:r>
        <w:t xml:space="preserve"> </w:t>
      </w:r>
      <w:bookmarkStart w:id="1242" w:name="lt_pId169"/>
      <w:r>
        <w:t>Singura problemă reală pe care o ridica această chestiune privea capetele de cerere formulate în temeiul art. 2 sau 8 din Convenție.</w:t>
      </w:r>
      <w:bookmarkEnd w:id="1242"/>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23</w:t>
      </w:r>
      <w:r w:rsidRPr="008D4EA9">
        <w:rPr>
          <w:rFonts w:eastAsia="Times New Roman"/>
        </w:rPr>
        <w:fldChar w:fldCharType="end"/>
      </w:r>
      <w:r>
        <w:t>.  </w:t>
      </w:r>
      <w:bookmarkStart w:id="1243" w:name="lt_pId170"/>
      <w:bookmarkStart w:id="1244" w:name="lt_pId171"/>
      <w:bookmarkEnd w:id="1243"/>
      <w:r>
        <w:t>Evident că acest lucru nu este surprinzător.</w:t>
      </w:r>
      <w:bookmarkEnd w:id="1244"/>
      <w:r>
        <w:t xml:space="preserve"> </w:t>
      </w:r>
      <w:bookmarkStart w:id="1245" w:name="lt_pId172"/>
      <w:r>
        <w:t xml:space="preserve">Până la urmă, astfel cum a subliniat majoritatea la punctul 590 din hotărâre, bazându-se în special pe hotărârea </w:t>
      </w:r>
      <w:r>
        <w:rPr>
          <w:i/>
        </w:rPr>
        <w:t>Balmer-Schafroth și alții împotriva Elveției</w:t>
      </w:r>
      <w:r>
        <w:t xml:space="preserve"> (26 august 1997, pct. 26, </w:t>
      </w:r>
      <w:r>
        <w:rPr>
          <w:i/>
        </w:rPr>
        <w:t>Culegere de hotărâri și decizii</w:t>
      </w:r>
      <w:r>
        <w:t xml:space="preserve"> 1997-IV), „[p]entru a putea pretinde că este «victimă», în contextul unui capăt de cerere privind încălcarea art. 6 din Convenție, și pentru a se plânge de pretinse deficiențe procedurale în temeiul acestei dispoziții, este suficient, în mod normal, ca reclamantul să fi fost afectat în calitate de parte la procedura inițiată de acesta în fața instanțelor naționale”.</w:t>
      </w:r>
      <w:bookmarkEnd w:id="1245"/>
      <w:r>
        <w:t xml:space="preserve"> </w:t>
      </w:r>
      <w:bookmarkStart w:id="1246" w:name="lt_pId173"/>
      <w:r>
        <w:t xml:space="preserve">În hotărârea </w:t>
      </w:r>
      <w:r>
        <w:rPr>
          <w:i/>
        </w:rPr>
        <w:t>Balmer-Schafroth</w:t>
      </w:r>
      <w:r>
        <w:t xml:space="preserve"> </w:t>
      </w:r>
      <w:r>
        <w:rPr>
          <w:i/>
          <w:iCs/>
        </w:rPr>
        <w:t>și alții</w:t>
      </w:r>
      <w:r>
        <w:t>, Curtea a trebuit să examineze o acțiune împotriva prelungirii unei autorizații de exploatare a unei centrale nucleare.</w:t>
      </w:r>
      <w:bookmarkEnd w:id="1246"/>
      <w:r>
        <w:t xml:space="preserve"> </w:t>
      </w:r>
      <w:bookmarkStart w:id="1247" w:name="lt_pId174"/>
      <w:r>
        <w:t>Respingând excepția ridicată de Guvern, potrivit căreia reclamanții din această cauză nu erau victime, Curtea a confirmat în mod expres următoarele:</w:t>
      </w:r>
      <w:bookmarkEnd w:id="1247"/>
    </w:p>
    <w:p w:rsidR="00690E9D" w:rsidRPr="008D4EA9" w:rsidRDefault="00690E9D" w:rsidP="00690E9D">
      <w:pPr>
        <w:pStyle w:val="JuQuot"/>
        <w:rPr>
          <w:rFonts w:eastAsia="Times New Roman"/>
        </w:rPr>
      </w:pPr>
      <w:bookmarkStart w:id="1248" w:name="lt_pId175"/>
      <w:r>
        <w:lastRenderedPageBreak/>
        <w:t>„Potrivit jurisprudenței (Curții), în sensul art. [34], «victimă» înseamnă o persoană direct vizată de actul sau omisiunea în litigiu [...].</w:t>
      </w:r>
      <w:bookmarkEnd w:id="1248"/>
    </w:p>
    <w:p w:rsidR="00690E9D" w:rsidRPr="008D4EA9" w:rsidRDefault="00690E9D" w:rsidP="00690E9D">
      <w:pPr>
        <w:pStyle w:val="JuQuot"/>
        <w:rPr>
          <w:rFonts w:eastAsia="Times New Roman"/>
        </w:rPr>
      </w:pPr>
      <w:r>
        <w:t>În speță, considerarea reclamanților ca fiind victime este justificată de faptul că acțiunea lor, a cărei examinare de către o instanță intenționează să o obțină, a fost declarată admisibilă de către Consiliul Federal [...]. Prin urmare, excepția preliminară în discuție trebuie să fie respinsă.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24</w:t>
      </w:r>
      <w:r w:rsidRPr="008D4EA9">
        <w:rPr>
          <w:rFonts w:eastAsia="Times New Roman"/>
        </w:rPr>
        <w:fldChar w:fldCharType="end"/>
      </w:r>
      <w:r>
        <w:t>.  </w:t>
      </w:r>
      <w:bookmarkStart w:id="1249" w:name="lt_pId178"/>
      <w:bookmarkStart w:id="1250" w:name="lt_pId179"/>
      <w:bookmarkEnd w:id="1249"/>
      <w:r>
        <w:t>Evident că acest raționament este valabil și în prezenta cauză, în care Tribunalul Administrativ Federal, a recunoscut în mod expres, în primă instanță, că reclamantele individuale aveau „«un interes demn de protecție» de a obține anularea sau modificarea deciziei în litigiu a DETEC și că, din acest punct de vedere, acțiunea era admisibilă» (punctul 35 din hotărâre).</w:t>
      </w:r>
      <w:bookmarkEnd w:id="1250"/>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25</w:t>
      </w:r>
      <w:r w:rsidRPr="008D4EA9">
        <w:rPr>
          <w:rFonts w:eastAsia="Times New Roman"/>
        </w:rPr>
        <w:fldChar w:fldCharType="end"/>
      </w:r>
      <w:r>
        <w:t>.  </w:t>
      </w:r>
      <w:bookmarkStart w:id="1251" w:name="lt_pId180"/>
      <w:bookmarkStart w:id="1252" w:name="lt_pId181"/>
      <w:bookmarkEnd w:id="1251"/>
      <w:r>
        <w:t>În plus și în orice caz,</w:t>
      </w:r>
      <w:bookmarkEnd w:id="1252"/>
      <w:r>
        <w:t xml:space="preserve"> </w:t>
      </w:r>
    </w:p>
    <w:p w:rsidR="00690E9D" w:rsidRPr="008D4EA9" w:rsidRDefault="00690E9D" w:rsidP="00690E9D">
      <w:pPr>
        <w:pStyle w:val="JuPara"/>
        <w:rPr>
          <w:rFonts w:eastAsia="Times New Roman"/>
        </w:rPr>
      </w:pPr>
      <w:bookmarkStart w:id="1253" w:name="lt_pId182"/>
      <w:r>
        <w:t>a)</w:t>
      </w:r>
      <w:bookmarkStart w:id="1254" w:name="lt_pId183"/>
      <w:bookmarkEnd w:id="1253"/>
      <w:r>
        <w:t xml:space="preserve">  guvernul elvețian (poate ca urmare a hotărârii </w:t>
      </w:r>
      <w:r>
        <w:rPr>
          <w:i/>
        </w:rPr>
        <w:t>Balmer-Schafroth</w:t>
      </w:r>
      <w:r>
        <w:t xml:space="preserve"> </w:t>
      </w:r>
      <w:r>
        <w:rPr>
          <w:i/>
          <w:iCs/>
        </w:rPr>
        <w:t>și alții</w:t>
      </w:r>
      <w:r>
        <w:t>) nu a contestat, în fapt, calitatea de „victimă” a reclamantelor individuale (punctul 592 din hotărâre); și</w:t>
      </w:r>
      <w:bookmarkEnd w:id="1254"/>
    </w:p>
    <w:p w:rsidR="00690E9D" w:rsidRPr="008D4EA9" w:rsidRDefault="00690E9D" w:rsidP="00690E9D">
      <w:pPr>
        <w:pStyle w:val="JuPara"/>
        <w:rPr>
          <w:rFonts w:eastAsia="Times New Roman"/>
        </w:rPr>
      </w:pPr>
      <w:bookmarkStart w:id="1255" w:name="lt_pId184"/>
      <w:r>
        <w:t>b)</w:t>
      </w:r>
      <w:bookmarkStart w:id="1256" w:name="lt_pId185"/>
      <w:bookmarkEnd w:id="1255"/>
      <w:r>
        <w:t>  majoritatea afirmă în mod expres că „interesele apărate de asociația reclamantă sunt de o asemenea natură încât «contestația» formulată de aceasta avea o legătură directă și suficientă cu drepturile în cauză ale membrelor sale”, legătură care era suficientă pentru a confirma că acestea din urmă erau „victime” reale (a se vedea și punctul 621 din hotărâre).</w:t>
      </w:r>
      <w:bookmarkEnd w:id="1256"/>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26</w:t>
      </w:r>
      <w:r w:rsidRPr="008D4EA9">
        <w:rPr>
          <w:rFonts w:eastAsia="Times New Roman"/>
        </w:rPr>
        <w:fldChar w:fldCharType="end"/>
      </w:r>
      <w:r>
        <w:t>.  </w:t>
      </w:r>
      <w:bookmarkStart w:id="1257" w:name="lt_pId186"/>
      <w:bookmarkStart w:id="1258" w:name="lt_pId187"/>
      <w:bookmarkEnd w:id="1257"/>
      <w:r>
        <w:t>Având în vedere această poziție clară și necontestată cu privire la calitatea de „victimă” a reclamantelor individuale în temeiul art. 6 § 1, în opinia mea, ar fi fost mai evident și mai adecvat să se examineze mai întâi capătul de cerere referitor la refuzul accesului la o instanță și, dacă era necesar, să se continue cu examinarea capătului sau capetelor de cerere formulate în temeiul art. 2 și 8 din Convenție.</w:t>
      </w:r>
      <w:bookmarkEnd w:id="1258"/>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27</w:t>
      </w:r>
      <w:r w:rsidRPr="008D4EA9">
        <w:rPr>
          <w:rFonts w:eastAsia="Times New Roman"/>
        </w:rPr>
        <w:fldChar w:fldCharType="end"/>
      </w:r>
      <w:r>
        <w:t>.  </w:t>
      </w:r>
      <w:bookmarkStart w:id="1259" w:name="lt_pId188"/>
      <w:bookmarkStart w:id="1260" w:name="lt_pId189"/>
      <w:bookmarkEnd w:id="1259"/>
      <w:r>
        <w:t>Cu toate acestea, majoritatea a decis să abordeze mai întâi acest ultim aspect (aceste ultime aspecte) și, prin urmare, odată ce a examinat art. 6, a fost inevitabil obligată să unească problema calității de „victimă”, în temeiul art. 6 § 1, cu aprecierea aplicabilității acestei dispoziții (punctul 593 din hotărâre) și să concluzioneze, în cele din urmă, că doar asociația are calitatea de „victimă” (punctul 623 din hotărâre).</w:t>
      </w:r>
      <w:bookmarkEnd w:id="1260"/>
      <w:r>
        <w:t xml:space="preserve">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28</w:t>
      </w:r>
      <w:r w:rsidRPr="008D4EA9">
        <w:rPr>
          <w:rFonts w:eastAsia="Times New Roman"/>
        </w:rPr>
        <w:fldChar w:fldCharType="end"/>
      </w:r>
      <w:r>
        <w:t>.  </w:t>
      </w:r>
      <w:bookmarkStart w:id="1261" w:name="lt_pId190"/>
      <w:bookmarkStart w:id="1262" w:name="lt_pId191"/>
      <w:bookmarkEnd w:id="1261"/>
      <w:r>
        <w:t>În opinia mea, această abordare și această concluzie au fost consecința inevitabilă, pe de o parte, a abordării inedite pe care majoritatea a decis să o adopte cu privire la chestiunea calității de „victimă” în temeiul (art. 2 și) art. 8 și, pe de altă parte, necesitatea care a rezultat de a găsi o modalitate de a reconcilia această abordare atât cu jurisprudența existentă referitoare la calitatea de „victimă”, cât și cu calitatea necontestată de „victimă” a reclamantelor individuale, în temeiul art. 6.</w:t>
      </w:r>
      <w:bookmarkEnd w:id="1262"/>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29</w:t>
      </w:r>
      <w:r w:rsidRPr="008D4EA9">
        <w:rPr>
          <w:rFonts w:eastAsia="Times New Roman"/>
        </w:rPr>
        <w:fldChar w:fldCharType="end"/>
      </w:r>
      <w:r>
        <w:t>.  </w:t>
      </w:r>
      <w:bookmarkStart w:id="1263" w:name="lt_pId192"/>
      <w:bookmarkStart w:id="1264" w:name="lt_pId193"/>
      <w:bookmarkEnd w:id="1263"/>
      <w:r>
        <w:t>În ceea ce privește chestiunea mai generală a abordării calității de „victimă”, hotărârea subliniază în mod întemeiat (punctul 460 din hotărâre) următoarele:</w:t>
      </w:r>
      <w:bookmarkEnd w:id="1264"/>
    </w:p>
    <w:p w:rsidR="00690E9D" w:rsidRPr="008D4EA9" w:rsidRDefault="00690E9D" w:rsidP="00690E9D">
      <w:pPr>
        <w:pStyle w:val="JuQuot"/>
        <w:rPr>
          <w:rFonts w:eastAsia="Times New Roman"/>
        </w:rPr>
      </w:pPr>
      <w:r>
        <w:t xml:space="preserve">„Convenția nu recunoaște </w:t>
      </w:r>
      <w:r>
        <w:rPr>
          <w:i/>
        </w:rPr>
        <w:t>actio popularis</w:t>
      </w:r>
      <w:r>
        <w:t xml:space="preserve">. În mod normal, Curtea nu are sarcina de a examina in abstracto legislația și practica relevante, ci de a verifica dacă modul în care </w:t>
      </w:r>
      <w:r>
        <w:lastRenderedPageBreak/>
        <w:t xml:space="preserve">acestea au fost aplicate reclamantului sau modul în care l-au afectat a dus la o încălcare a Convenției [a se vedea, de exemplu, </w:t>
      </w:r>
      <w:r>
        <w:rPr>
          <w:i/>
          <w:iCs/>
        </w:rPr>
        <w:t>Roman Zaharov</w:t>
      </w:r>
      <w:r>
        <w:t xml:space="preserve"> </w:t>
      </w:r>
      <w:r>
        <w:rPr>
          <w:i/>
          <w:iCs/>
        </w:rPr>
        <w:t>împotriva Rusiei</w:t>
      </w:r>
      <w:r>
        <w:t xml:space="preserve"> (MC), nr. 47143/06, pct. 164, CEDO 2015, cu trimiterile suplimentare]. Prin urmare, o persoană fizică, o organizație neguvernamentală sau un grup de persoane trebuie să poată pretinde că este victima unei încălcări a drepturilor recunoscute prin Convenție. Convenția nu le permite unor persoane sau grupuri de persoane să se plângă de o dispoziție din dreptul intern pentru simplul motiv că, deși nu le-a afectat în mod direct, consideră că aceasta încalcă Convenția [</w:t>
      </w:r>
      <w:r>
        <w:rPr>
          <w:i/>
          <w:iCs/>
        </w:rPr>
        <w:t>Aksu împotriva Turciei</w:t>
      </w:r>
      <w:r>
        <w:t xml:space="preserve"> (MC), nr. 4149/04 și 41029/04, pct. 50-51, CEDO 2012].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30</w:t>
      </w:r>
      <w:r w:rsidRPr="008D4EA9">
        <w:rPr>
          <w:rFonts w:eastAsia="Times New Roman"/>
        </w:rPr>
        <w:fldChar w:fldCharType="end"/>
      </w:r>
      <w:r>
        <w:t>.  </w:t>
      </w:r>
      <w:bookmarkStart w:id="1265" w:name="lt_pId201"/>
      <w:r>
        <w:t xml:space="preserve">Întrucât Curtea a confirmat din nou această poziție în cauza </w:t>
      </w:r>
      <w:r>
        <w:rPr>
          <w:i/>
        </w:rPr>
        <w:t>Yusufeli İlçesini Güzelleştirme Yaşatma Kültür Varlıklarını Koruma Derneği împotriva Turciei</w:t>
      </w:r>
      <w:r>
        <w:t xml:space="preserve"> (dec.), nr.</w:t>
      </w:r>
      <w:bookmarkStart w:id="1266" w:name="lt_pId202"/>
      <w:bookmarkEnd w:id="1265"/>
      <w:r>
        <w:t> 37857/14, pct. 41, 7 decembrie 2021, de data aceasta în legătură cu asociațiile:</w:t>
      </w:r>
      <w:bookmarkEnd w:id="1266"/>
    </w:p>
    <w:p w:rsidR="00690E9D" w:rsidRPr="008D4EA9" w:rsidRDefault="00690E9D" w:rsidP="00690E9D">
      <w:pPr>
        <w:pStyle w:val="JuQuot"/>
        <w:rPr>
          <w:rFonts w:eastAsia="Times New Roman"/>
        </w:rPr>
      </w:pPr>
      <w:bookmarkStart w:id="1267" w:name="lt_pId203"/>
      <w:r>
        <w:t>„[...] există două motive principale pentru care o asociație nu poate fi considerată drept victima directă a unei pretinse încălcări a Convenției.</w:t>
      </w:r>
      <w:bookmarkEnd w:id="1267"/>
      <w:r>
        <w:t xml:space="preserve"> Primul motiv este legat de interdicția privind </w:t>
      </w:r>
      <w:r>
        <w:rPr>
          <w:i/>
          <w:iCs/>
        </w:rPr>
        <w:t>actio popularis</w:t>
      </w:r>
      <w:r>
        <w:t xml:space="preserve"> din cadrul sistemului Convenției, ceea ce înseamnă că un reclamant nu poate introduce o acțiune de interes public sau general dacă măsura sau actul în litigiu nu îl afectează în mod direct. Rezultă că, pentru ca un reclamant să poată pretinde că este victimă, acesta trebuie să prezinte probe plauzibile și convingătoare privind probabilitatea producerii unei încălcări care l-ar afecta personal; simplele suspiciuni sau presupuneri nu sunt suficiente în această privință [...].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31</w:t>
      </w:r>
      <w:r w:rsidRPr="008D4EA9">
        <w:rPr>
          <w:rFonts w:eastAsia="Times New Roman"/>
        </w:rPr>
        <w:fldChar w:fldCharType="end"/>
      </w:r>
      <w:r>
        <w:t>.  </w:t>
      </w:r>
      <w:bookmarkStart w:id="1268" w:name="lt_pId208"/>
      <w:r>
        <w:t xml:space="preserve">În hotărârea din cauza </w:t>
      </w:r>
      <w:r>
        <w:rPr>
          <w:i/>
        </w:rPr>
        <w:t xml:space="preserve">Asselbourg și alții împotriva Luxemburgului (dec.), </w:t>
      </w:r>
      <w:r>
        <w:t>nr.</w:t>
      </w:r>
      <w:bookmarkStart w:id="1269" w:name="lt_pId209"/>
      <w:bookmarkEnd w:id="1268"/>
      <w:r>
        <w:t> 29121/95, CEDO 1999-VI, în contextul specific al protecției mediului, Curtea a precizat următoarele:</w:t>
      </w:r>
      <w:bookmarkEnd w:id="1269"/>
    </w:p>
    <w:p w:rsidR="00690E9D" w:rsidRPr="008D4EA9" w:rsidRDefault="00690E9D" w:rsidP="00690E9D">
      <w:pPr>
        <w:pStyle w:val="JuQuot"/>
        <w:rPr>
          <w:rFonts w:eastAsia="Times New Roman"/>
        </w:rPr>
      </w:pPr>
      <w:bookmarkStart w:id="1270" w:name="lt_pId210"/>
      <w:r>
        <w:t>„Or, din termenii «victimă» și «încălcare» folosiți la art. 34 din Convenție, ca și din filozofia care stă la baza obligației prevăzute la art. 35, de epuizare a tuturor căilor de atac interne, se poate deduce că, în sistemul de protecție a drepturilor omului, astfel cum a fost imaginat de autorii Convenției, exercitarea dreptului de a introduce o cerere individuală nu poate avea ca obiect prevenirea unei încălcări a Convenției.</w:t>
      </w:r>
      <w:bookmarkEnd w:id="1270"/>
      <w:r>
        <w:t xml:space="preserve"> </w:t>
      </w:r>
      <w:bookmarkStart w:id="1271" w:name="lt_pId211"/>
      <w:r>
        <w:t xml:space="preserve">Cu toate acestea, riscul unei încălcări viitoare poate conferi totuși calitatea de «victimă» unui reclamant individual numai în circumstanțe cu totul excepționale și </w:t>
      </w:r>
      <w:r>
        <w:rPr>
          <w:b/>
          <w:bCs/>
        </w:rPr>
        <w:t>doar dacă acesta prezintă indicii rezonabile și convingătoare cu privire la probabilitatea producerii unei încălcări care îl privește personal: simplele suspiciuni sau presupuneri nu sunt suficiente în această privință.</w:t>
      </w:r>
      <w:bookmarkEnd w:id="1271"/>
    </w:p>
    <w:p w:rsidR="00690E9D" w:rsidRPr="008D4EA9" w:rsidRDefault="00690E9D" w:rsidP="00690E9D">
      <w:pPr>
        <w:pStyle w:val="JuQuot"/>
        <w:rPr>
          <w:rFonts w:eastAsia="Times New Roman"/>
        </w:rPr>
      </w:pPr>
      <w:bookmarkStart w:id="1272" w:name="lt_pId212"/>
      <w:r>
        <w:t>În prezenta cauză, Curtea apreciază că simpla menționare a unor riscuri legate de poluare, inerente producerii de oțel din fier vechi, nu este suficientă pentru a le permite reclamanților să pretindă că sunt victimele unei încălcări a Convenției.</w:t>
      </w:r>
      <w:bookmarkEnd w:id="1272"/>
      <w:r>
        <w:t xml:space="preserve"> </w:t>
      </w:r>
      <w:bookmarkStart w:id="1273" w:name="lt_pId213"/>
      <w:r>
        <w:rPr>
          <w:b/>
          <w:bCs/>
        </w:rPr>
        <w:t>Aceștia trebuie să fie în măsură să pretindă, în mod credibil și detaliat, că, în lipsa luării de precauții suficiente de către autorități, gradul de probabilitate a producerii unui prejudiciu este atât de mare încât se poate considera că acest prejudiciu constituie o încălcare, cu condiția ca repercusiunile actului denunțat să nu fie prea îndepărtate</w:t>
      </w:r>
      <w:r>
        <w:t xml:space="preserve"> (</w:t>
      </w:r>
      <w:r>
        <w:rPr>
          <w:i/>
        </w:rPr>
        <w:t>mutatis mutandis</w:t>
      </w:r>
      <w:r>
        <w:t xml:space="preserve">, hotărârea </w:t>
      </w:r>
      <w:r>
        <w:rPr>
          <w:i/>
        </w:rPr>
        <w:t>Soering împotriva Regatului Unit</w:t>
      </w:r>
      <w:r>
        <w:t xml:space="preserve"> din 7 iulie 1989, seria A nr. 161, p. 33, pct. 85).</w:t>
      </w:r>
      <w:bookmarkEnd w:id="1273"/>
      <w:r>
        <w:t xml:space="preserve"> (subliniere adăugată)”</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32</w:t>
      </w:r>
      <w:r w:rsidRPr="008D4EA9">
        <w:rPr>
          <w:rFonts w:eastAsia="Times New Roman"/>
        </w:rPr>
        <w:fldChar w:fldCharType="end"/>
      </w:r>
      <w:r>
        <w:t>.  </w:t>
      </w:r>
      <w:bookmarkStart w:id="1274" w:name="lt_pId216"/>
      <w:r>
        <w:t xml:space="preserve">Această abordare a fost dezvoltată mai în detaliu, în ceea ce privește organizațiile neguvernamentale, în cauza </w:t>
      </w:r>
      <w:r>
        <w:rPr>
          <w:i/>
        </w:rPr>
        <w:t xml:space="preserve">Yusufeli İlçesini Güzelleştirme Yaşatma Kültür Varlıklarını Koruma Derneği împotriva Turciei </w:t>
      </w:r>
      <w:r>
        <w:t>(decizie citată anterior, pct. 41):</w:t>
      </w:r>
      <w:bookmarkEnd w:id="1274"/>
    </w:p>
    <w:p w:rsidR="00690E9D" w:rsidRPr="008D4EA9" w:rsidRDefault="00690E9D" w:rsidP="00690E9D">
      <w:pPr>
        <w:pStyle w:val="JuQuot"/>
        <w:rPr>
          <w:rFonts w:eastAsia="Times New Roman"/>
        </w:rPr>
      </w:pPr>
      <w:bookmarkStart w:id="1275" w:name="lt_pId217"/>
      <w:r>
        <w:lastRenderedPageBreak/>
        <w:t>„[...] există două motive principale pentru care o asociație nu poate fi considerată victima directă a unei pretinse încălcări a Convenției.</w:t>
      </w:r>
      <w:bookmarkEnd w:id="1275"/>
      <w:r>
        <w:rPr>
          <w:i/>
        </w:rPr>
        <w:t xml:space="preserve"> </w:t>
      </w:r>
      <w:r>
        <w:t xml:space="preserve">[...] Al doilea motiv are legătură cu natura dreptului garantat de Convenție aflat în joc și cu modul în care acesta a fost invocat de asociația reclamantă în cauză. Anumite drepturi garantate de Convenție, precum cele protejate de art. 2, 3 și 5, prin natura lor, nu pot fi exercitate de o asociație, ci numai de către membrii unei asociații [...]. În decizia </w:t>
      </w:r>
      <w:r>
        <w:rPr>
          <w:i/>
        </w:rPr>
        <w:t>Asselbourg și alții</w:t>
      </w:r>
      <w:r>
        <w:t xml:space="preserve"> (citată anterior), atunci când a refuzat să îi acorde asociației reclamante calitatea de victimă, Curtea a observat că aceasta nu putea să acționeze decât în calitate de reprezentantă a membrilor sau a angajaților săi, în același fel ca, de exemplu, un avocat care își reprezenta clientul, dar nu putea pretinde că ea însăși era victima unei încălcări a art. 8.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33</w:t>
      </w:r>
      <w:r w:rsidRPr="008D4EA9">
        <w:rPr>
          <w:rFonts w:eastAsia="Times New Roman"/>
        </w:rPr>
        <w:fldChar w:fldCharType="end"/>
      </w:r>
      <w:r>
        <w:t>.  </w:t>
      </w:r>
      <w:bookmarkStart w:id="1276" w:name="lt_pId223"/>
      <w:r>
        <w:t xml:space="preserve">În fapt, Curtea și-a justificat astfel concluzia din decizia pronunțată în cauza </w:t>
      </w:r>
      <w:r>
        <w:rPr>
          <w:i/>
        </w:rPr>
        <w:t xml:space="preserve">Asselbourg </w:t>
      </w:r>
      <w:r>
        <w:rPr>
          <w:i/>
          <w:iCs/>
        </w:rPr>
        <w:t>și alții</w:t>
      </w:r>
      <w:r>
        <w:t>, citată anterior:</w:t>
      </w:r>
      <w:bookmarkEnd w:id="1276"/>
    </w:p>
    <w:p w:rsidR="00690E9D" w:rsidRPr="008D4EA9" w:rsidRDefault="00690E9D" w:rsidP="00690E9D">
      <w:pPr>
        <w:pStyle w:val="JuQuot"/>
        <w:rPr>
          <w:rFonts w:eastAsia="Times New Roman"/>
        </w:rPr>
      </w:pPr>
      <w:bookmarkStart w:id="1277" w:name="lt_pId224"/>
      <w:r>
        <w:t>„În ceea ce privește asociația Greenpeace-Luxemburg, Curtea apreciază că o asociație neguvernamentală nu poate pretinde că este victima unei încălcări a dreptului la respectarea «domiciliului» său, în sensul art. 8 din Convenție, pentru simplul motiv că își are sediul social în apropierea oțelăriei pe care o critică, atunci când încălcarea dreptului la respectarea domiciliului rezultă, astfel cum se pretinde în speță, din efectele nocive sau problemele cu care doar persoanele fizice se pot confrunta.</w:t>
      </w:r>
      <w:bookmarkEnd w:id="1277"/>
      <w:r>
        <w:t xml:space="preserve"> </w:t>
      </w:r>
      <w:bookmarkStart w:id="1278" w:name="lt_pId225"/>
      <w:r>
        <w:t>În măsura în care Greenpeace-Luxemburg a intenționat să se prevaleze de problemele cu care se confruntă membrii sau angajații săi care lucrează sau petrec timp la sediul social din Esch-sur-Alzette, Curtea consideră că această asociație poate să acționeze doar în calitate de reprezentantă a membrilor sau a angajaților săi, în același fel în care, de exemplu, un avocat își reprezintă clientul, dar nu poate pretinde că ea însăși este victima unei încălcări a art. 8 [...]</w:t>
      </w:r>
      <w:bookmarkEnd w:id="1278"/>
      <w:r>
        <w:t>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34</w:t>
      </w:r>
      <w:r w:rsidRPr="008D4EA9">
        <w:rPr>
          <w:rFonts w:eastAsia="Times New Roman"/>
        </w:rPr>
        <w:fldChar w:fldCharType="end"/>
      </w:r>
      <w:r>
        <w:t>.  </w:t>
      </w:r>
      <w:bookmarkStart w:id="1279" w:name="lt_pId226"/>
      <w:bookmarkStart w:id="1280" w:name="lt_pId227"/>
      <w:bookmarkEnd w:id="1279"/>
      <w:r>
        <w:t xml:space="preserve">Prin urmare, doar în „circumstanțe excepționale” o persoană poate fie a) să solicite o examinare </w:t>
      </w:r>
      <w:r>
        <w:rPr>
          <w:i/>
        </w:rPr>
        <w:t>in abstracto</w:t>
      </w:r>
      <w:r>
        <w:t xml:space="preserve"> a legislației și practicii relevante, fie b) să pretindă că este „victima” unui risc de producere a unei „încălcări viitoare”.</w:t>
      </w:r>
      <w:bookmarkEnd w:id="1280"/>
      <w:r>
        <w:t xml:space="preserve"> </w:t>
      </w:r>
      <w:bookmarkStart w:id="1281" w:name="lt_pId228"/>
      <w:r>
        <w:t xml:space="preserve">Astfel cum a rezumat Curtea poziția sa cu privire la acest ultim aspect, în hotărârea din cauza </w:t>
      </w:r>
      <w:r>
        <w:rPr>
          <w:i/>
        </w:rPr>
        <w:t>Berger-Krall și alții împotriva Sloveniei</w:t>
      </w:r>
      <w:r>
        <w:t xml:space="preserve"> (nr. </w:t>
      </w:r>
      <w:bookmarkEnd w:id="1281"/>
      <w:r>
        <w:t xml:space="preserve"> </w:t>
      </w:r>
      <w:bookmarkStart w:id="1282" w:name="lt_pId229"/>
      <w:r>
        <w:t>14717/04), pct. 258, 12 iunie 2014:</w:t>
      </w:r>
      <w:bookmarkEnd w:id="1282"/>
    </w:p>
    <w:p w:rsidR="00690E9D" w:rsidRPr="008D4EA9" w:rsidRDefault="00690E9D" w:rsidP="00690E9D">
      <w:pPr>
        <w:pStyle w:val="JuQuot"/>
        <w:rPr>
          <w:rFonts w:eastAsia="Times New Roman"/>
        </w:rPr>
      </w:pPr>
      <w:bookmarkStart w:id="1283" w:name="lt_pId230"/>
      <w:r>
        <w:t xml:space="preserve">„[…] </w:t>
      </w:r>
      <w:bookmarkEnd w:id="1283"/>
      <w:r>
        <w:t xml:space="preserve">exercitarea dreptului de a introduce o cerere individuală [în temeiul art. 34] nu poate avea ca obiect prevenirea unei încălcări a Convenției: în principiu, Curtea nu poate examina o încălcare decât </w:t>
      </w:r>
      <w:r>
        <w:rPr>
          <w:i/>
          <w:iCs/>
        </w:rPr>
        <w:t>a posteriori</w:t>
      </w:r>
      <w:r>
        <w:t>, odată ce aceasta a avut loc. ”</w:t>
      </w:r>
    </w:p>
    <w:p w:rsidR="00690E9D" w:rsidRPr="008D4EA9" w:rsidRDefault="00690E9D" w:rsidP="00690E9D">
      <w:pPr>
        <w:pStyle w:val="JuPara"/>
        <w:rPr>
          <w:rFonts w:eastAsia="Times New Roman"/>
        </w:rPr>
      </w:pPr>
      <w:bookmarkStart w:id="1284" w:name="lt_pId231"/>
      <w:r>
        <w:t xml:space="preserve">Prin urmare, doar în „circumstanțe cu totul excepționale”, reclamantele din prezenta cauză pot să pretindă că sunt victimele unui „risc viitor”, în sensul art. 2 și/sau 8, sau să solicite o examinare </w:t>
      </w:r>
      <w:r>
        <w:rPr>
          <w:i/>
          <w:iCs/>
        </w:rPr>
        <w:t>in abstracto</w:t>
      </w:r>
      <w:r>
        <w:t xml:space="preserve"> a legislației și practicii relevante.</w:t>
      </w:r>
      <w:bookmarkEnd w:id="1284"/>
      <w:r>
        <w:t xml:space="preserve">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35</w:t>
      </w:r>
      <w:r w:rsidRPr="008D4EA9">
        <w:rPr>
          <w:rFonts w:eastAsia="Times New Roman"/>
        </w:rPr>
        <w:fldChar w:fldCharType="end"/>
      </w:r>
      <w:r>
        <w:t>.  </w:t>
      </w:r>
      <w:bookmarkStart w:id="1285" w:name="lt_pId232"/>
      <w:bookmarkStart w:id="1286" w:name="lt_pId233"/>
      <w:bookmarkEnd w:id="1285"/>
      <w:r>
        <w:t>Principalele exemple de cazuri în care existența unor astfel de „circumstanțe cu totul excepționale” a fost recunoscută până în prezent sunt:</w:t>
      </w:r>
      <w:bookmarkEnd w:id="1286"/>
      <w:r>
        <w:t xml:space="preserve"> </w:t>
      </w:r>
    </w:p>
    <w:p w:rsidR="00690E9D" w:rsidRPr="008D4EA9" w:rsidRDefault="00690E9D" w:rsidP="00690E9D">
      <w:pPr>
        <w:pStyle w:val="JuPara"/>
        <w:rPr>
          <w:rFonts w:eastAsia="Times New Roman"/>
        </w:rPr>
      </w:pPr>
      <w:bookmarkStart w:id="1287" w:name="lt_pId234"/>
      <w:r>
        <w:t>a)</w:t>
      </w:r>
      <w:bookmarkStart w:id="1288" w:name="lt_pId235"/>
      <w:bookmarkEnd w:id="1287"/>
      <w:r>
        <w:t>  în ceea ce privește un risc „viitor”</w:t>
      </w:r>
      <w:bookmarkEnd w:id="1288"/>
      <w:r>
        <w:t>,</w:t>
      </w:r>
    </w:p>
    <w:p w:rsidR="00690E9D" w:rsidRPr="008D4EA9" w:rsidRDefault="00690E9D" w:rsidP="00690E9D">
      <w:pPr>
        <w:pStyle w:val="JuPara"/>
        <w:ind w:left="284" w:firstLine="283"/>
        <w:rPr>
          <w:rFonts w:eastAsia="Times New Roman"/>
        </w:rPr>
      </w:pPr>
      <w:bookmarkStart w:id="1289" w:name="lt_pId236"/>
      <w:r>
        <w:t>i)</w:t>
      </w:r>
      <w:bookmarkStart w:id="1290" w:name="lt_pId237"/>
      <w:bookmarkEnd w:id="1289"/>
      <w:r>
        <w:t xml:space="preserve">  în contextul unor capete de cerere care privesc un început de dovadă referitor la existența riscului ca reclamantul individual să fie supus la tratamente inumane și degradante în țara de destinație, în cazul expulzării sau extrădării acestuia (începând cu hotărârea </w:t>
      </w:r>
      <w:r>
        <w:rPr>
          <w:i/>
        </w:rPr>
        <w:t>Soering împotriva Regatului Unit</w:t>
      </w:r>
      <w:r>
        <w:t>, 7 iulie 1989, seria A nr. 161); și</w:t>
      </w:r>
      <w:bookmarkEnd w:id="1290"/>
    </w:p>
    <w:p w:rsidR="00690E9D" w:rsidRPr="008D4EA9" w:rsidRDefault="00690E9D" w:rsidP="00690E9D">
      <w:pPr>
        <w:pStyle w:val="JuPara"/>
        <w:ind w:left="284" w:firstLine="283"/>
        <w:rPr>
          <w:rFonts w:eastAsia="Times New Roman"/>
        </w:rPr>
      </w:pPr>
      <w:bookmarkStart w:id="1291" w:name="lt_pId238"/>
      <w:r>
        <w:lastRenderedPageBreak/>
        <w:t>ii)</w:t>
      </w:r>
      <w:bookmarkStart w:id="1292" w:name="lt_pId239"/>
      <w:bookmarkEnd w:id="1291"/>
      <w:r>
        <w:t>  atunci când, în contextul unei obligații negative care decurge din Convenție, „o persoană [...] [susține] că o lege îi încalcă drepturile, în absența unui act individual de executare, dacă aceasta este obligată fie să își schimbe comportamentul, în caz contrar urmând să fie urmărită penal [...] sau dacă aceasta aparține unei categorii de persoane expuse riscului de a fi afectate în mod direct de efectele legislației [</w:t>
      </w:r>
      <w:bookmarkStart w:id="1293" w:name="_cl22780"/>
      <w:r>
        <w:rPr>
          <w:i/>
        </w:rPr>
        <w:t xml:space="preserve">Burden </w:t>
      </w:r>
      <w:bookmarkEnd w:id="1293"/>
      <w:r>
        <w:rPr>
          <w:i/>
        </w:rPr>
        <w:t>împotriva </w:t>
      </w:r>
      <w:r>
        <w:rPr>
          <w:i/>
          <w:iCs/>
        </w:rPr>
        <w:t>Regatului Unit</w:t>
      </w:r>
      <w:r>
        <w:t xml:space="preserve"> (MC), nr. </w:t>
      </w:r>
      <w:bookmarkStart w:id="1294" w:name="lt_pId240"/>
      <w:bookmarkEnd w:id="1292"/>
      <w:r>
        <w:t xml:space="preserve"> 13378/05, pct. 34, CEDO 2008; </w:t>
      </w:r>
      <w:bookmarkStart w:id="1295" w:name="_cl32965"/>
      <w:r>
        <w:t xml:space="preserve">a se vedea și </w:t>
      </w:r>
      <w:r>
        <w:rPr>
          <w:i/>
        </w:rPr>
        <w:t>Norris împotriva Irlandei</w:t>
      </w:r>
      <w:bookmarkEnd w:id="1295"/>
      <w:r>
        <w:t xml:space="preserve">, 26 octombrie 1988, pct. 32, seria A nr. 142]; </w:t>
      </w:r>
      <w:bookmarkEnd w:id="1294"/>
      <w:r>
        <w:t xml:space="preserve">și </w:t>
      </w:r>
    </w:p>
    <w:p w:rsidR="00690E9D" w:rsidRPr="008D4EA9" w:rsidRDefault="00690E9D" w:rsidP="00690E9D">
      <w:pPr>
        <w:pStyle w:val="JuPara"/>
        <w:rPr>
          <w:rFonts w:eastAsia="Times New Roman"/>
        </w:rPr>
      </w:pPr>
      <w:bookmarkStart w:id="1296" w:name="lt_pId241"/>
      <w:r>
        <w:t xml:space="preserve">b)  în legătură cu un pretins risc prezent sau trecut, în cazul unor măsuri de supraveghere secretă (care ridică, de asemenea, în principal, chestiunea obligației negative a statului de a nu aduce atingere dreptului reclamantului la respectarea vieții sale private), în care „derogarea de la regula potrivit căreia persoanele particulare nu au dreptul să se plângă de o lege </w:t>
      </w:r>
      <w:r>
        <w:rPr>
          <w:i/>
          <w:iCs/>
        </w:rPr>
        <w:t>in abstracto</w:t>
      </w:r>
      <w:r>
        <w:t xml:space="preserve"> este justificată [...] numai dacă [persoana în cauză] este în măsură să demonstreze că, din cauza situației sale personale, [aceasta] este potențial expusă riscului de a i se aplica astfel de măsuri” [a se vedea, de exemplu, </w:t>
      </w:r>
      <w:r>
        <w:rPr>
          <w:i/>
        </w:rPr>
        <w:t>Roman Zaharov</w:t>
      </w:r>
      <w:r>
        <w:t xml:space="preserve"> </w:t>
      </w:r>
      <w:r>
        <w:rPr>
          <w:i/>
        </w:rPr>
        <w:t>împotriva Rusiei</w:t>
      </w:r>
      <w:r>
        <w:t xml:space="preserve"> (MC), nr.</w:t>
      </w:r>
      <w:bookmarkStart w:id="1297" w:name="lt_pId242"/>
      <w:bookmarkEnd w:id="1296"/>
      <w:r>
        <w:t> 47143/06, pct. 171, CEDO 2015].</w:t>
      </w:r>
      <w:bookmarkEnd w:id="1297"/>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36</w:t>
      </w:r>
      <w:r w:rsidRPr="008D4EA9">
        <w:rPr>
          <w:rFonts w:eastAsia="Times New Roman"/>
        </w:rPr>
        <w:fldChar w:fldCharType="end"/>
      </w:r>
      <w:r>
        <w:t>.  </w:t>
      </w:r>
      <w:bookmarkStart w:id="1298" w:name="lt_pId244"/>
      <w:r>
        <w:t xml:space="preserve">În schimb, în cauza </w:t>
      </w:r>
      <w:r>
        <w:rPr>
          <w:i/>
        </w:rPr>
        <w:t>Noël Narvii Tauira și alte 18 persoane împotriva Franței</w:t>
      </w:r>
      <w:r>
        <w:t xml:space="preserve"> [cererea nr.</w:t>
      </w:r>
      <w:bookmarkStart w:id="1299" w:name="lt_pId245"/>
      <w:bookmarkEnd w:id="1298"/>
      <w:r>
        <w:t xml:space="preserve"> 28204/95, decizia Comisiei din 4 decembrie 1995, Decizii și rapoarte (DR) 83-B, p. 112], pe care Curtea s-a întemeiat în mod expres în cauza </w:t>
      </w:r>
      <w:r>
        <w:rPr>
          <w:i/>
        </w:rPr>
        <w:t>Berger-Krall și alții</w:t>
      </w:r>
      <w:r>
        <w:t>, nu exista niciun element care să se încadreze în categoria „circumstanțelor cu totul excepționale”, menționată mai sus.</w:t>
      </w:r>
      <w:bookmarkEnd w:id="1299"/>
      <w:r>
        <w:t xml:space="preserve"> </w:t>
      </w:r>
      <w:bookmarkStart w:id="1300" w:name="lt_pId246"/>
      <w:r>
        <w:t>În această cauză, Comisia a declarat inadmisibile capetele de cerere referitoare la decizia președintelui francez de a relua testele nucleare în Tahiti, pe motivul absenței calității de victimă.</w:t>
      </w:r>
      <w:bookmarkEnd w:id="1300"/>
      <w:r>
        <w:t xml:space="preserve"> </w:t>
      </w:r>
      <w:bookmarkStart w:id="1301" w:name="lt_pId247"/>
      <w:r>
        <w:t xml:space="preserve">Aceasta a explicat că, pentru ca reclamanții să poată pretinde că sunt victime ale unei încălcări a Convenției, aceștia trebuie să poată pretinde </w:t>
      </w:r>
      <w:bookmarkStart w:id="1302" w:name="_Hlk163140750"/>
      <w:r>
        <w:t xml:space="preserve"> „în mod credibil și detaliat, că, în lipsa luării de precauții suficiente de către autorități, gradul de probabilitate a producerii unui prejudiciu este atât de mare încât se poate considera că acest prejudiciu constituie o încălcare, cu condiția ca repercusiunile actului denunțat să nu fie prea îndepărtate”. Deși i s-a prezentat o serie întreagă de rapoarte științifice și dovezi cu privire la testele nucleare anterioare, Comisia a concluzionat că reclamanții nu au </w:t>
      </w:r>
      <w:r>
        <w:rPr>
          <w:u w:val="single"/>
        </w:rPr>
        <w:t>îndeplinit acest criteriu</w:t>
      </w:r>
      <w:r>
        <w:t xml:space="preserve"> și că, prin urmare, cererea era inadmisibilă pe motivul absenței „calității de victimă”.</w:t>
      </w:r>
      <w:bookmarkEnd w:id="1301"/>
      <w:bookmarkEnd w:id="1302"/>
      <w:r>
        <w:t xml:space="preserve">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37</w:t>
      </w:r>
      <w:r w:rsidRPr="008D4EA9">
        <w:rPr>
          <w:rFonts w:eastAsia="Times New Roman"/>
        </w:rPr>
        <w:fldChar w:fldCharType="end"/>
      </w:r>
      <w:r>
        <w:t>.  </w:t>
      </w:r>
      <w:bookmarkStart w:id="1303" w:name="lt_pId249"/>
      <w:r>
        <w:t>Elementul identificat de judecătorul Clarke, președintele de la acea vreme al Curții Supreme a Irlandei (</w:t>
      </w:r>
      <w:r>
        <w:rPr>
          <w:i/>
          <w:iCs/>
        </w:rPr>
        <w:t>Chief Justice of Ireland</w:t>
      </w:r>
      <w:r>
        <w:t xml:space="preserve">), în hotărârea </w:t>
      </w:r>
      <w:r>
        <w:rPr>
          <w:i/>
        </w:rPr>
        <w:t>Friends of</w:t>
      </w:r>
      <w:r>
        <w:t xml:space="preserve"> </w:t>
      </w:r>
      <w:r>
        <w:rPr>
          <w:i/>
        </w:rPr>
        <w:t>the Irish Environment v The Government of Ireland &amp; Ors</w:t>
      </w:r>
      <w:r>
        <w:t xml:space="preserve"> ([2020] IESC 49 [31 iulie 2020], pct. 7.21) pare să fie principalul factor pe care îl au în comun aceste foarte rare cazuri recunoscute și legitime de „circumstanțe cu totul excepționale”, care pot permite o derogare aparentă de la obligația potrivit căreia pretinsa victimă trebuie să fi fost „direct afectată” (în trecut) </w:t>
      </w:r>
      <w:r>
        <w:lastRenderedPageBreak/>
        <w:t>de măsura în cauză sau, după caz, în contextul unor obligații pozitive, de inacțiunea Guvernului pârât:</w:t>
      </w:r>
      <w:bookmarkEnd w:id="1303"/>
    </w:p>
    <w:p w:rsidR="00690E9D" w:rsidRPr="008D4EA9" w:rsidRDefault="00690E9D" w:rsidP="00690E9D">
      <w:pPr>
        <w:pStyle w:val="JuQuot"/>
        <w:rPr>
          <w:rFonts w:eastAsia="Times New Roman"/>
        </w:rPr>
      </w:pPr>
      <w:bookmarkStart w:id="1304" w:name="lt_pId250"/>
      <w:r>
        <w:t>„[...] în unele cazuri, o abordare prea strictă a calității procesuale ar putea avea ca rezultat neasigurarea protecției unor drepturi importante.</w:t>
      </w:r>
      <w:bookmarkEnd w:id="1304"/>
      <w:r>
        <w:t xml:space="preserve"> </w:t>
      </w:r>
      <w:bookmarkStart w:id="1305" w:name="lt_pId251"/>
      <w:r>
        <w:t>Totuși, acest lucru nu diminuează în niciun fel importanța normelor privind calitatea procesuală care există în ordinea noastră constituțională.</w:t>
      </w:r>
      <w:bookmarkEnd w:id="1305"/>
      <w:r>
        <w:t xml:space="preserve"> </w:t>
      </w:r>
      <w:bookmarkStart w:id="1306" w:name="lt_pId252"/>
      <w:r>
        <w:t xml:space="preserve">Instanța de față a reiterat această poziție în decizia sa recentă pronunțată în cauza </w:t>
      </w:r>
      <w:r>
        <w:rPr>
          <w:i/>
          <w:iCs/>
        </w:rPr>
        <w:t>Mohan</w:t>
      </w:r>
      <w:r>
        <w:t>: a reamintit că, în mod normal, este necesar ca un reclamant să poată demonstra că a fost afectat, în realitate sau în fapt, de măsura pe care dorește să o conteste pe motiv că, în opinia lui, încalcă anumite drepturi.</w:t>
      </w:r>
      <w:bookmarkEnd w:id="1306"/>
      <w:r>
        <w:t xml:space="preserve"> </w:t>
      </w:r>
      <w:bookmarkStart w:id="1307" w:name="lt_pId253"/>
      <w:r>
        <w:t>Acesta rămâne principiul fundamental.</w:t>
      </w:r>
      <w:bookmarkEnd w:id="1307"/>
      <w:r>
        <w:t xml:space="preserve"> </w:t>
      </w:r>
      <w:bookmarkStart w:id="1308" w:name="lt_pId254"/>
      <w:r>
        <w:t>Circumstanțele în care este permisă acordarea calității procesuale în afara cadrului acestui principiu de bază trebuie să fie în mod necesar limitate și să se aplice exclusiv unor situații în care ar exista un risc real ca anumite drepturi importante să nu fie protejate dacă nu s-ar adopta o atitudine mai relaxată în ceea ce privește chestiunea calității procesuale.</w:t>
      </w:r>
      <w:bookmarkEnd w:id="1308"/>
      <w:r>
        <w:t>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38</w:t>
      </w:r>
      <w:r w:rsidRPr="008D4EA9">
        <w:rPr>
          <w:rFonts w:eastAsia="Times New Roman"/>
        </w:rPr>
        <w:fldChar w:fldCharType="end"/>
      </w:r>
      <w:r>
        <w:t>.  </w:t>
      </w:r>
      <w:bookmarkStart w:id="1309" w:name="lt_pId256"/>
      <w:r>
        <w:t xml:space="preserve">Desigur, acesta este și raționamentul urmat de Curte pentru a-și justifica decizia de acordare a calității de victimă unor asociații care nu sunt (și nu pot să fie) victime directe, în special în cauza </w:t>
      </w:r>
      <w:bookmarkStart w:id="1310" w:name="_cl23277"/>
      <w:r>
        <w:rPr>
          <w:i/>
        </w:rPr>
        <w:t>Centrul de Resurse Juridice în numele lui Valentin Câmpeanu împotriva României</w:t>
      </w:r>
      <w:r>
        <w:t xml:space="preserve"> [(MC), nr. 47848/08, pct. 111-113, CEDO 2014</w:t>
      </w:r>
      <w:bookmarkEnd w:id="1309"/>
      <w:bookmarkEnd w:id="1310"/>
      <w:r>
        <w:t>]</w:t>
      </w:r>
      <w:bookmarkStart w:id="1311" w:name="lt_pId257"/>
      <w:r>
        <w:t>, în care Curtea a afirmat că era „convinsă că, având în vedere circumstanțele excepționale ale cauzei și gravitatea acuzațiilor formulate, trebuie să i se recunoască CRJ calitatea procesuală în calitate de reprezentant al domnului Câmpeanu, chiar dacă nu a primit procură pentru a acționa în numele tânărului și chiar dacă acesta a decedat înainte de introducerea cererii în temeiul Convenției”.</w:t>
      </w:r>
      <w:bookmarkEnd w:id="1311"/>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39</w:t>
      </w:r>
      <w:r w:rsidRPr="008D4EA9">
        <w:rPr>
          <w:rFonts w:eastAsia="Times New Roman"/>
        </w:rPr>
        <w:fldChar w:fldCharType="end"/>
      </w:r>
      <w:r>
        <w:t>.  </w:t>
      </w:r>
      <w:bookmarkStart w:id="1312" w:name="lt_pId258"/>
      <w:bookmarkStart w:id="1313" w:name="lt_pId259"/>
      <w:bookmarkEnd w:id="1312"/>
      <w:r>
        <w:t>În consecință, accept pe deplin că, în principiu, ar putea fi permisă – în mod excepțional și sub rezerva unor condiții clare, în special în ceea ce privește disponibilitatea și efectivitatea căilor de atac interne – recunoașterea de către Curte a unei excepții de la normele stabilite cu privire la calitatea de „victimă” și calitatea procesuală în temeiul art. 34 din Convenție.</w:t>
      </w:r>
      <w:bookmarkEnd w:id="1313"/>
      <w:r>
        <w:t xml:space="preserve"> </w:t>
      </w:r>
      <w:bookmarkStart w:id="1314" w:name="lt_pId260"/>
      <w:r>
        <w:t xml:space="preserve"> Desigur, aici nu este vorba decât despre o expresie a principiului efectivității, al cărui scop este să asigure faptul că „garanțiile [prevăzute de Convenție] devin concrete și efective, nu teoretice și iluzorii” [</w:t>
      </w:r>
      <w:r>
        <w:rPr>
          <w:i/>
        </w:rPr>
        <w:t xml:space="preserve">Muhammad și Muhammad împotriva României </w:t>
      </w:r>
      <w:r>
        <w:t>(MC), nr. </w:t>
      </w:r>
      <w:bookmarkEnd w:id="1314"/>
      <w:r>
        <w:t>80982/12, pct. 122, 15 octombrie 2020, cu trimiterile citate].</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40</w:t>
      </w:r>
      <w:r w:rsidRPr="008D4EA9">
        <w:rPr>
          <w:rFonts w:eastAsia="Times New Roman"/>
        </w:rPr>
        <w:fldChar w:fldCharType="end"/>
      </w:r>
      <w:r>
        <w:t>.  </w:t>
      </w:r>
      <w:bookmarkStart w:id="1315" w:name="lt_pId262"/>
      <w:bookmarkStart w:id="1316" w:name="lt_pId263"/>
      <w:bookmarkEnd w:id="1315"/>
      <w:r>
        <w:t>Cu toate acestea, din jurisprudența Curții reiese, de asemenea, foarte clar că acest lucru ar putea fi valabil (din nou, dacă se urmează abordarea reținută) numai în cazul în care s-ar admite – așa cum consider că este necesar în contextul schimbărilor climatice – că, în fapt, probabil că niciun reclamant care se plânge de neadoptarea de către un stat a unor măsuri de atenuare adecvate nu va fi niciodată în măsură să stabilească faptul că „în lipsa luării de precauții suficiente de către autorități, gradul de probabilitate a producerii unui prejudiciu este atât de mare încât se poate considera că acest prejudiciu constituie o încălcare, cu condiția ca repercusiunile actului denunțat să nu fie prea îndepărtate” (</w:t>
      </w:r>
      <w:r>
        <w:rPr>
          <w:i/>
        </w:rPr>
        <w:t>Asselbourg și alții</w:t>
      </w:r>
      <w:r>
        <w:t xml:space="preserve">, citată anterior, și </w:t>
      </w:r>
      <w:r>
        <w:rPr>
          <w:i/>
        </w:rPr>
        <w:t xml:space="preserve">Noël Narvii Tauira și alte 18 </w:t>
      </w:r>
      <w:r>
        <w:t>persoane).</w:t>
      </w:r>
      <w:bookmarkEnd w:id="1316"/>
      <w:r>
        <w:t xml:space="preserve"> </w:t>
      </w:r>
    </w:p>
    <w:p w:rsidR="00690E9D" w:rsidRPr="008D4EA9" w:rsidRDefault="00690E9D" w:rsidP="00690E9D">
      <w:pPr>
        <w:pStyle w:val="JuPara"/>
        <w:rPr>
          <w:rFonts w:eastAsia="Times New Roman"/>
        </w:rPr>
      </w:pPr>
      <w:r w:rsidRPr="008D4EA9">
        <w:rPr>
          <w:rFonts w:eastAsia="Times New Roman"/>
        </w:rPr>
        <w:lastRenderedPageBreak/>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41</w:t>
      </w:r>
      <w:r w:rsidRPr="008D4EA9">
        <w:rPr>
          <w:rFonts w:eastAsia="Times New Roman"/>
        </w:rPr>
        <w:fldChar w:fldCharType="end"/>
      </w:r>
      <w:r>
        <w:t>.  </w:t>
      </w:r>
      <w:bookmarkStart w:id="1317" w:name="lt_pId264"/>
      <w:bookmarkStart w:id="1318" w:name="lt_pId265"/>
      <w:bookmarkEnd w:id="1317"/>
      <w:r>
        <w:t>Din păcate, în loc să urmeze această cale, majoritatea a ales, în opinia mea, cea mai nepotrivită variantă dintre cele două posibile.</w:t>
      </w:r>
      <w:bookmarkEnd w:id="1318"/>
      <w:r>
        <w:t xml:space="preserve"> </w:t>
      </w:r>
      <w:bookmarkStart w:id="1319" w:name="lt_pId266"/>
      <w:r>
        <w:t>La urma urmei, majoritatea a admis (cel puțin implicit) că aplicarea criteriului stabilit cu privire la calitatea de „victimă” nu ar conduce, în fapt, la constatarea existenței unui risc real ca drepturi importante ale reclamantelor individuale „să nu fie protejate” deloc, întrucât</w:t>
      </w:r>
      <w:bookmarkEnd w:id="1319"/>
    </w:p>
    <w:p w:rsidR="00690E9D" w:rsidRPr="008D4EA9" w:rsidRDefault="00690E9D" w:rsidP="00690E9D">
      <w:pPr>
        <w:pStyle w:val="JuPara"/>
        <w:rPr>
          <w:rFonts w:eastAsia="Times New Roman"/>
        </w:rPr>
      </w:pPr>
      <w:bookmarkStart w:id="1320" w:name="lt_pId267"/>
      <w:r>
        <w:t>a)</w:t>
      </w:r>
      <w:bookmarkStart w:id="1321" w:name="lt_pId268"/>
      <w:bookmarkEnd w:id="1320"/>
      <w:r>
        <w:t>  motivele invocate pentru a concluziona că reclamantele individuale din speță nu îndeplinesc criteriul referitor la calitatea de „victimă” nu se bazează pe o astfel de imposibilitate și nici nu o stabilesc.</w:t>
      </w:r>
      <w:bookmarkEnd w:id="1321"/>
      <w:r>
        <w:t xml:space="preserve"> </w:t>
      </w:r>
      <w:bookmarkStart w:id="1322" w:name="lt_pId269"/>
      <w:r>
        <w:t>În fapt, singurul motiv reținut de majoritate este faptul că reclamantele individuale din speță nu au prezentat suficiente probe pentru a stabili existența unui „efect direct”, care era necesară [pct. 532-533 („[…] cu privire la reclamantele nr.</w:t>
      </w:r>
      <w:bookmarkStart w:id="1323" w:name="lt_pId270"/>
      <w:bookmarkEnd w:id="1322"/>
      <w:r>
        <w:t> 2-4 […] documentele disponibile nu arată că persoanele în cauză au fost expuse efectelor nefaste ale schimbărilor climatice sau că acestea riscă să fie expuse unor astfel de efecte, la un moment dat în viitor, într-o măsură care să dea naștere unei nevoi imperioase de a asigura protecția lor individuală”) și pct. 534 („[…]  cea de-a cincea reclamantă a furnizat o declarație foarte generală, în care nu se menționează niciun factor special de morbiditate sau alte efecte negative grave cauzate de valurile de căldură, care ar depăși efectele obișnuite pe care este probabil să le experimenteze orice persoană din categoria femeilor în vârstă.</w:t>
      </w:r>
      <w:bookmarkEnd w:id="1323"/>
      <w:r>
        <w:t xml:space="preserve"> […] </w:t>
      </w:r>
      <w:bookmarkStart w:id="1324" w:name="lt_pId272"/>
      <w:r>
        <w:t xml:space="preserve">Prin urmare, este imposibil să se stabilească existența unei legături între starea de sănătate a celei de-a cincea reclamante și capetele de cerere formulate de aceasta în fața Curții”) din hotărâre]; </w:t>
      </w:r>
      <w:bookmarkEnd w:id="1324"/>
      <w:r>
        <w:t>și</w:t>
      </w:r>
    </w:p>
    <w:p w:rsidR="00690E9D" w:rsidRPr="008D4EA9" w:rsidRDefault="00690E9D" w:rsidP="00690E9D">
      <w:pPr>
        <w:pStyle w:val="JuPara"/>
        <w:rPr>
          <w:rFonts w:eastAsia="Times New Roman"/>
        </w:rPr>
      </w:pPr>
      <w:bookmarkStart w:id="1325" w:name="lt_pId273"/>
      <w:r>
        <w:t>b)</w:t>
      </w:r>
      <w:bookmarkStart w:id="1326" w:name="lt_pId274"/>
      <w:bookmarkEnd w:id="1325"/>
      <w:r>
        <w:t xml:space="preserve">  Deși, la punctul 488, este calificat ca fiind „deosebit de ridicat”, apreciez că, în realitate, pragul care trebuie atins pentru îndeplinirea criteriilor enunțate la punctele 486-488 din hotărâre, care se bazează pe existența unui „risc real de «efect direct» asupra reclamantului”, nu diferă semnificativ (sau chiar deloc) de criteriile enunțate în hotărârea </w:t>
      </w:r>
      <w:r>
        <w:rPr>
          <w:i/>
        </w:rPr>
        <w:t>Asselbourg și alții</w:t>
      </w:r>
      <w:r>
        <w:t>, citată anterior.</w:t>
      </w:r>
      <w:bookmarkEnd w:id="1326"/>
      <w:r>
        <w:t xml:space="preserve">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42</w:t>
      </w:r>
      <w:r w:rsidRPr="008D4EA9">
        <w:rPr>
          <w:rFonts w:eastAsia="Times New Roman"/>
        </w:rPr>
        <w:fldChar w:fldCharType="end"/>
      </w:r>
      <w:r>
        <w:t>.  </w:t>
      </w:r>
      <w:bookmarkStart w:id="1327" w:name="lt_pId275"/>
      <w:bookmarkStart w:id="1328" w:name="lt_pId276"/>
      <w:bookmarkEnd w:id="1327"/>
      <w:r>
        <w:t>Desigur, în principiu, și eu înțeleg perfect (și împărtășesc) dorința majorității de a asigura echitatea între generații și de „a evita impunerea unei sarcini disproporționate asupra generațiilor viitoare” (pct. 549 din hotărâre).</w:t>
      </w:r>
      <w:bookmarkEnd w:id="1328"/>
      <w:r>
        <w:t xml:space="preserve"> </w:t>
      </w:r>
      <w:bookmarkStart w:id="1329" w:name="lt_pId277"/>
      <w:r>
        <w:t>Cu toate acestea, având în vedere că majoritatea nu a încercat (sau nu a fost în măsură) să stabilească existența unor „circumstanțele cu totul excepționale”, care să justifice necesitatea îndepărtării de la criteriile folosite în mod tradițional pentru aprecierea calității de „victimă”, și că în Convenție nu este prevăzută o dispoziție expresă, asemănătoare cu articolul 20a din Legea fundamentală germană (</w:t>
      </w:r>
      <w:r>
        <w:rPr>
          <w:i/>
        </w:rPr>
        <w:t>Grundgesetz</w:t>
      </w:r>
      <w:r>
        <w:t xml:space="preserve">) (astfel cum a fost examinată de </w:t>
      </w:r>
      <w:r>
        <w:rPr>
          <w:i/>
        </w:rPr>
        <w:t>Bundesverfassungsgericht</w:t>
      </w:r>
      <w:r>
        <w:t xml:space="preserve"> în cauza </w:t>
      </w:r>
      <w:r>
        <w:rPr>
          <w:i/>
        </w:rPr>
        <w:t>Neubauer</w:t>
      </w:r>
      <w:r>
        <w:t xml:space="preserve">) sau cu articolele 2 și 3 din proiectul de text pentru un protocol adițional la Convenția europeană a drepturilor omului, inclus în anexa la Recomandarea 2211 (2021) a APCE, intitulată </w:t>
      </w:r>
      <w:r>
        <w:rPr>
          <w:i/>
          <w:iCs/>
        </w:rPr>
        <w:t>Anchoring the right to a healthy environment: need for enhanced action by the Council of Europe</w:t>
      </w:r>
      <w:r>
        <w:t xml:space="preserve"> (Consolidarea dreptului la un mediu sănătos: </w:t>
      </w:r>
      <w:r>
        <w:lastRenderedPageBreak/>
        <w:t>necesitatea unor acțiuni ferme din partea Consiliului Europei), concluzia inevitabilă este aceea că nimic nu permite să se deducă din textul actual al Convenției existența vreunei obligații opozabile de a combate un „risc viitor” la care sunt expuse reclamantele în fața Curții și, cu atât mai puțin, de a combate un „risc viitor” la care sunt expuse „generațiile viitoare”, adică în privința sau în numele unor persoane care, prin definiție, nici măcar nu au sesizat Curtea.</w:t>
      </w:r>
      <w:bookmarkEnd w:id="1329"/>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43</w:t>
      </w:r>
      <w:r w:rsidRPr="008D4EA9">
        <w:rPr>
          <w:rFonts w:eastAsia="Times New Roman"/>
        </w:rPr>
        <w:fldChar w:fldCharType="end"/>
      </w:r>
      <w:r>
        <w:t>.  </w:t>
      </w:r>
      <w:bookmarkStart w:id="1330" w:name="lt_pId278"/>
      <w:bookmarkStart w:id="1331" w:name="lt_pId279"/>
      <w:bookmarkEnd w:id="1330"/>
      <w:r>
        <w:t>În aceste condiții, concluziile formulate la punctele 532-534 din hotărâre ar fi trebuit să determine Curtea să declare inadmisibilă această parte a cererii (în temeiul art. 2 sau 8) și să lase nesoluționate problemele ridicate în legătură cu pretinsa neadoptare a măsurilor de atenuare necesare sau adecvate pentru abordarea riscurilor generate de schimbările climatice, în așteptarea unei viitoare cauze adecvate, în care reclamanții ar fi în măsură să demonstreze, prin referire fie la criteriul tradițional, fie la criteriul identificat în hotărâre, că au fost „direct afectați” (sau, desigur, în contextul unei cereri de aviz consultativ în temeiul Protocolului nr. 16).</w:t>
      </w:r>
      <w:bookmarkEnd w:id="1331"/>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44</w:t>
      </w:r>
      <w:r w:rsidRPr="008D4EA9">
        <w:rPr>
          <w:rFonts w:eastAsia="Times New Roman"/>
        </w:rPr>
        <w:fldChar w:fldCharType="end"/>
      </w:r>
      <w:r>
        <w:t>.  </w:t>
      </w:r>
      <w:bookmarkStart w:id="1332" w:name="lt_pId280"/>
      <w:bookmarkStart w:id="1333" w:name="lt_pId281"/>
      <w:bookmarkEnd w:id="1332"/>
      <w:r>
        <w:t>O altă consecință a abordării adoptate de majoritate în privința reclamantelor individuale este aceea că nu era necesară și nici justificată abordarea inovatoare constând în acordarea calității de „victimă” / calității procesuale a asociației reclamante, fie „pentru ca aceasta să reprezinte în fața Curții aderentele sale, ale căror drepturi [susține că] au fost sau vor fi afectate” (art. 498), fie din alt motiv: În fapt:</w:t>
      </w:r>
      <w:bookmarkEnd w:id="1333"/>
    </w:p>
    <w:p w:rsidR="00690E9D" w:rsidRPr="008D4EA9" w:rsidRDefault="00690E9D" w:rsidP="00690E9D">
      <w:pPr>
        <w:pStyle w:val="JuPara"/>
        <w:rPr>
          <w:rFonts w:eastAsia="Times New Roman"/>
        </w:rPr>
      </w:pPr>
      <w:bookmarkStart w:id="1334" w:name="lt_pId282"/>
      <w:r>
        <w:t>a)</w:t>
      </w:r>
      <w:bookmarkStart w:id="1335" w:name="lt_pId283"/>
      <w:bookmarkEnd w:id="1334"/>
      <w:r>
        <w:t>  o astfel de evoluție nu are niciun temei în textul art. 34 din Convenție, care subordonează în mod expres calitatea procesuală a „[oricărei] organizați[i] neguvernamental[e] sau [a oricărui] grup de particulari” condiției ca aceștia „[să pretindă că sunt ei înșiși] [victime ale] unei încălcări”;</w:t>
      </w:r>
      <w:bookmarkEnd w:id="1335"/>
    </w:p>
    <w:p w:rsidR="00690E9D" w:rsidRPr="008D4EA9" w:rsidRDefault="00690E9D" w:rsidP="00690E9D">
      <w:pPr>
        <w:pStyle w:val="JuPara"/>
        <w:rPr>
          <w:rFonts w:eastAsia="Times New Roman"/>
        </w:rPr>
      </w:pPr>
      <w:bookmarkStart w:id="1336" w:name="lt_pId284"/>
      <w:r>
        <w:t>b)</w:t>
      </w:r>
      <w:bookmarkStart w:id="1337" w:name="lt_pId285"/>
      <w:bookmarkEnd w:id="1336"/>
      <w:r>
        <w:t>  </w:t>
      </w:r>
      <w:bookmarkStart w:id="1338" w:name="_Hlk163140906"/>
      <w:r>
        <w:t>pentru motivele expuse mai sus, crearea pe cale normativă, mai degrabă decât pe cale interpretativă, a unui astfel de drept de a sesiza Curtea nu se justifică în ceea ce privește necesitatea de a asigura accesul efectiv la Curte</w:t>
      </w:r>
      <w:bookmarkEnd w:id="1338"/>
      <w:r>
        <w:t>; și</w:t>
      </w:r>
      <w:bookmarkEnd w:id="1337"/>
    </w:p>
    <w:p w:rsidR="00690E9D" w:rsidRPr="008D4EA9" w:rsidRDefault="00690E9D" w:rsidP="00690E9D">
      <w:pPr>
        <w:pStyle w:val="JuPara"/>
        <w:rPr>
          <w:rFonts w:eastAsia="Times New Roman"/>
        </w:rPr>
      </w:pPr>
      <w:bookmarkStart w:id="1339" w:name="lt_pId286"/>
      <w:r>
        <w:t>c)</w:t>
      </w:r>
      <w:bookmarkStart w:id="1340" w:name="lt_pId287"/>
      <w:bookmarkEnd w:id="1339"/>
      <w:r>
        <w:t>  </w:t>
      </w:r>
      <w:bookmarkStart w:id="1341" w:name="_Hlk163140997"/>
      <w:r>
        <w:t>faptul că „litigiile referitoare la acest fenomen implică deseori chestiuni complexe de drept și de fapt, care necesită resurse financiare și logistice semnificative și o bună coordonare [și că] rezultatul unui litigiu are în mod necesar un impact asupra situației multor persoane” poate să justifice decizia Curții de a le permite asociațiilor să acționeze în calitate de reprezentante legale ale „victimelor” individuale (ceea ce, bineînțeles, acestea pot să facă și o fac deja), dar nu poate să justifice să li se acorde asociațiilor calitatea procesuală de a acționa în nume propriu (și, cu atât mai puțin, să li se acorde calitatea procesuală fără să se țină seama dacă membrii acestora sunt sau nu „victime”).</w:t>
      </w:r>
      <w:bookmarkEnd w:id="1340"/>
      <w:bookmarkEnd w:id="1341"/>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45</w:t>
      </w:r>
      <w:r w:rsidRPr="008D4EA9">
        <w:rPr>
          <w:rFonts w:eastAsia="Times New Roman"/>
        </w:rPr>
        <w:fldChar w:fldCharType="end"/>
      </w:r>
      <w:r>
        <w:t>.  </w:t>
      </w:r>
      <w:bookmarkStart w:id="1342" w:name="lt_pId288"/>
      <w:bookmarkStart w:id="1343" w:name="lt_pId289"/>
      <w:bookmarkEnd w:id="1342"/>
      <w:r>
        <w:t xml:space="preserve">Totuși, majoritatea a făcut exact acest lucru și, în opinia mea, în acest fel, a creat tocmai ceea ce se afirmă în hotărâre, în repetate rânduri, că se dorește să se evite, și anume un fundament pentru introducerea unor capete </w:t>
      </w:r>
      <w:r>
        <w:lastRenderedPageBreak/>
        <w:t xml:space="preserve">de cerere specifice unei </w:t>
      </w:r>
      <w:r>
        <w:rPr>
          <w:i/>
        </w:rPr>
        <w:t>actio popularis</w:t>
      </w:r>
      <w:r>
        <w:t xml:space="preserve"> (a se vedea, de exemplu, punctele 446, 481, 484, 488, 500 și 596 din hotărâre).</w:t>
      </w:r>
      <w:bookmarkEnd w:id="1343"/>
      <w:r>
        <w:t xml:space="preserve"> </w:t>
      </w:r>
      <w:bookmarkStart w:id="1344" w:name="lt_pId290"/>
      <w:r>
        <w:t>Până la urmă:</w:t>
      </w:r>
      <w:bookmarkEnd w:id="1344"/>
    </w:p>
    <w:p w:rsidR="00690E9D" w:rsidRPr="008D4EA9" w:rsidRDefault="00690E9D" w:rsidP="00690E9D">
      <w:pPr>
        <w:pStyle w:val="JuPara"/>
        <w:rPr>
          <w:rFonts w:eastAsia="Times New Roman"/>
        </w:rPr>
      </w:pPr>
      <w:bookmarkStart w:id="1345" w:name="lt_pId291"/>
      <w:r>
        <w:t>a)</w:t>
      </w:r>
      <w:bookmarkStart w:id="1346" w:name="lt_pId292"/>
      <w:bookmarkEnd w:id="1345"/>
      <w:r>
        <w:t>  majoritatea recunoaște că</w:t>
      </w:r>
      <w:bookmarkEnd w:id="1346"/>
    </w:p>
    <w:p w:rsidR="00690E9D" w:rsidRPr="008D4EA9" w:rsidRDefault="00690E9D" w:rsidP="00690E9D">
      <w:pPr>
        <w:pStyle w:val="JuPara"/>
        <w:ind w:firstLine="568"/>
        <w:rPr>
          <w:rFonts w:eastAsia="Times New Roman"/>
        </w:rPr>
      </w:pPr>
      <w:bookmarkStart w:id="1347" w:name="lt_pId293"/>
      <w:r>
        <w:t>i)</w:t>
      </w:r>
      <w:bookmarkStart w:id="1348" w:name="lt_pId294"/>
      <w:bookmarkEnd w:id="1347"/>
      <w:r>
        <w:t xml:space="preserve">  „[a]vând în vedere natura schimbărilor climatice, diferitele efecte nefaste ale acestora și riscurile viitoare pe care le implică, numărul persoanelor care sunt afectate de aceste schimbări, în diferite moduri și în grade diferite, este nedeterminat” </w:t>
      </w:r>
      <w:bookmarkEnd w:id="1348"/>
    </w:p>
    <w:p w:rsidR="00690E9D" w:rsidRPr="008D4EA9" w:rsidRDefault="00690E9D" w:rsidP="00690E9D">
      <w:pPr>
        <w:pStyle w:val="JuPara"/>
        <w:ind w:firstLine="568"/>
        <w:rPr>
          <w:rFonts w:eastAsia="Times New Roman"/>
        </w:rPr>
      </w:pPr>
      <w:bookmarkStart w:id="1349" w:name="lt_pId295"/>
      <w:r>
        <w:t>ii)</w:t>
      </w:r>
      <w:bookmarkStart w:id="1350" w:name="lt_pId296"/>
      <w:bookmarkEnd w:id="1349"/>
      <w:r>
        <w:t>  „</w:t>
      </w:r>
      <w:bookmarkStart w:id="1351" w:name="lt_pId297"/>
      <w:bookmarkEnd w:id="1350"/>
      <w:r>
        <w:t>plângerile pot avea ca obiect acțiuni sau omisiuni referitoare la diferite tipuri de măsuri generale, ale căror consecințe nu se limitează la anumite persoane sau grupuri identificabile, ci afectează populația în sens mai larg. În acest context, rezultatul unei proceduri judiciare are în mod necesar efecte care depășesc drepturile și interesele unei anumite persoane sau ale unui anumit grup de persoane și este, prin natura sa, orientat spre viitor, adică spre ceea ce trebuie să se facă pentru a asigura atenuarea eficientă a efectelor nefaste ale schimbărilor climatice sau adaptarea la consecințele acestora. ” (punctul 479 din hotărâre);</w:t>
      </w:r>
      <w:bookmarkEnd w:id="1351"/>
    </w:p>
    <w:p w:rsidR="00690E9D" w:rsidRPr="008D4EA9" w:rsidRDefault="00690E9D" w:rsidP="00690E9D">
      <w:pPr>
        <w:pStyle w:val="JuPara"/>
        <w:ind w:firstLine="568"/>
        <w:rPr>
          <w:rFonts w:eastAsia="Times New Roman"/>
        </w:rPr>
      </w:pPr>
      <w:bookmarkStart w:id="1352" w:name="lt_pId298"/>
      <w:r>
        <w:t>iii)</w:t>
      </w:r>
      <w:bookmarkStart w:id="1353" w:name="lt_pId299"/>
      <w:bookmarkEnd w:id="1352"/>
      <w:r>
        <w:t>  „</w:t>
      </w:r>
      <w:bookmarkStart w:id="1354" w:name="lt_pId300"/>
      <w:bookmarkEnd w:id="1353"/>
      <w:r>
        <w:t xml:space="preserve">în domeniul schimbărilor climatice, orice persoană poate să fie direct afectată sau să fie expusă unui risc real de a fi direct afectată, într-un fel sau altul și într-o anumită măsură, de efectele nefaste ale fenomenului în cauză. Făcând abstracție de problema jurisdicției, este la fel de adevărat că un număr foarte mare de persoane ar putea, pe această bază, să se prevaleze de calitatea de victimă în temeiul Convenției” (punctul 483 din hotărâre); </w:t>
      </w:r>
      <w:bookmarkEnd w:id="1354"/>
      <w:r>
        <w:t>și</w:t>
      </w:r>
    </w:p>
    <w:p w:rsidR="00690E9D" w:rsidRPr="008D4EA9" w:rsidRDefault="00690E9D" w:rsidP="00690E9D">
      <w:pPr>
        <w:pStyle w:val="JuPara"/>
        <w:rPr>
          <w:rFonts w:eastAsia="Times New Roman"/>
        </w:rPr>
      </w:pPr>
      <w:bookmarkStart w:id="1355" w:name="lt_pId301"/>
      <w:r>
        <w:t>b)</w:t>
      </w:r>
      <w:bookmarkStart w:id="1356" w:name="lt_pId302"/>
      <w:bookmarkEnd w:id="1355"/>
      <w:r>
        <w:t>  deși susține că nu repune în discuție principiul jurisprudențial potrivit căruia o asociație nu poate să invoce considerente de sănătate sau efecte nocive și probleme legate de schimbările climatice pe care doar persoanele fizice le pot resimți (pct. 496 din hotărâre), majoritatea acordă în prezent asociațiilor calitatea procesuală cât mai largă posibil, pentru a le permite acestora „[să obțină] protecția drepturilor fundamentale ale unor persoane care sunt sau riscă să fie afectate de efectele nefaste ale schimbărilor climatice, mai degrabă decât să se bazeze exclusiv pe proceduri inițiate în nume propriu de fiecare persoană în parte” (pct. 499 din hotărâre), fără măcar să limiteze sfera lor de acțiune la protejarea drepturilor membrilor acestora sau la reprezentarea membrilor acestora.</w:t>
      </w:r>
      <w:bookmarkEnd w:id="1356"/>
      <w:r>
        <w:t xml:space="preserve"> </w:t>
      </w:r>
      <w:bookmarkStart w:id="1357" w:name="lt_pId303"/>
      <w:r>
        <w:t>Până la urmă, criteriul dezvoltat la punctul 502 din hotărâre, referitor la calitatea procesuală,</w:t>
      </w:r>
      <w:bookmarkEnd w:id="1357"/>
      <w:r>
        <w:t xml:space="preserve"> </w:t>
      </w:r>
    </w:p>
    <w:p w:rsidR="00690E9D" w:rsidRPr="008D4EA9" w:rsidRDefault="00690E9D" w:rsidP="00690E9D">
      <w:pPr>
        <w:pStyle w:val="JuPara"/>
        <w:rPr>
          <w:rFonts w:eastAsia="Times New Roman"/>
        </w:rPr>
      </w:pPr>
      <w:bookmarkStart w:id="1358" w:name="lt_pId304"/>
      <w:r>
        <w:t>i)</w:t>
      </w:r>
      <w:bookmarkStart w:id="1359" w:name="lt_pId305"/>
      <w:bookmarkEnd w:id="1358"/>
      <w:r>
        <w:t>  extinde în mod expres sfera de aplicare a calității procesuale a asociațiilor, recunoscând posibilitatea acestora de a reprezenta „[membrii lor] sau [alte] persoane afectate aflate sub jurisdicția țării în cauză”</w:t>
      </w:r>
      <w:bookmarkEnd w:id="1359"/>
      <w:r>
        <w:t>; și</w:t>
      </w:r>
    </w:p>
    <w:p w:rsidR="00690E9D" w:rsidRPr="008D4EA9" w:rsidRDefault="00690E9D" w:rsidP="00690E9D">
      <w:pPr>
        <w:pStyle w:val="JuPara"/>
        <w:rPr>
          <w:rFonts w:eastAsia="Times New Roman"/>
        </w:rPr>
      </w:pPr>
      <w:bookmarkStart w:id="1360" w:name="lt_pId306"/>
      <w:r>
        <w:t>ii)</w:t>
      </w:r>
      <w:bookmarkStart w:id="1361" w:name="lt_pId307"/>
      <w:bookmarkEnd w:id="1360"/>
      <w:r>
        <w:t>  </w:t>
      </w:r>
      <w:r>
        <w:rPr>
          <w:u w:val="single"/>
        </w:rPr>
        <w:t>nu</w:t>
      </w:r>
      <w:r>
        <w:t xml:space="preserve"> impune în mod expres ca „[membrii] sau [alte persoane] afectate aflate sub jurisdicția țării în cauză”, în numele cărora a fost introdusă cauza în fața Curții, să îndeplinească cerințele pentru acordarea calității de „victimă”, care se aplică persoanelor fizice.</w:t>
      </w:r>
      <w:bookmarkEnd w:id="1361"/>
      <w:r>
        <w:t xml:space="preserve"> </w:t>
      </w:r>
      <w:bookmarkStart w:id="1362" w:name="lt_pId308"/>
      <w:r>
        <w:t xml:space="preserve">Acest aspect este evidențiat și de faptul că, în ceea ce privește asociația reclamantă în speță, majoritatea consideră că este suficient să se constate că asociația „reprezintă un mijloc de a introduce o acțiune colectivă pentru apărarea drepturilor </w:t>
      </w:r>
      <w:r>
        <w:rPr>
          <w:u w:val="single"/>
        </w:rPr>
        <w:t>și a intereselor</w:t>
      </w:r>
      <w:r>
        <w:t xml:space="preserve"> </w:t>
      </w:r>
      <w:r>
        <w:lastRenderedPageBreak/>
        <w:t>unor persoane particulare împotriva amenințărilor reprezentate de schimbările climatice din statul pârât” (pct. 523 din hotărâre, subliniere adăugată).</w:t>
      </w:r>
      <w:bookmarkEnd w:id="1362"/>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46</w:t>
      </w:r>
      <w:r w:rsidRPr="008D4EA9">
        <w:rPr>
          <w:rFonts w:eastAsia="Times New Roman"/>
        </w:rPr>
        <w:fldChar w:fldCharType="end"/>
      </w:r>
      <w:r>
        <w:t>.  </w:t>
      </w:r>
      <w:bookmarkStart w:id="1363" w:name="lt_pId310"/>
      <w:r>
        <w:t>Bineînțeles că acest lucru trebuie interpretat în lumina raționamentului general urmat de majoritate (pct. 499 din hotărâre), potrivit căruia „</w:t>
      </w:r>
      <w:bookmarkEnd w:id="1363"/>
      <w:r>
        <w:t>[a]vând în vedere urgența combaterii efectelor nefaste ale schimbărilor climatice și gravitatea consecințelor acestui fenomen, inclusiv riscul grav ca acesta să fie ireversibil, statele trebuie să întreprindă acțiuni adecvate, în special prin adoptarea de măsuri generale care să poată garanta drepturile prevăzute de Convenție nu doar persoanelor afectate de schimbările climatice în prezent, ci și celor aflate sub jurisdicția lor și a căror exercitare a acestor drepturi ar putea fi compromisă în mod grav și irevocabil în viitor dacă nu se ia nicio măsură în timp util.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bookmarkStart w:id="1364" w:name="paragraph00044"/>
      <w:r w:rsidRPr="008D4EA9">
        <w:rPr>
          <w:rFonts w:eastAsia="Times New Roman"/>
        </w:rPr>
        <w:t>47</w:t>
      </w:r>
      <w:bookmarkEnd w:id="1364"/>
      <w:r w:rsidRPr="008D4EA9">
        <w:rPr>
          <w:rFonts w:eastAsia="Times New Roman"/>
        </w:rPr>
        <w:fldChar w:fldCharType="end"/>
      </w:r>
      <w:r>
        <w:t>.  </w:t>
      </w:r>
      <w:bookmarkStart w:id="1365" w:name="lt_pId312"/>
      <w:r>
        <w:t>Mai este un alt aspect al chestiunii calității de „victimă” / calității procesuale a asociațiilor, evocat la punctul 503 din hotărâre, care merită menționat.</w:t>
      </w:r>
      <w:bookmarkEnd w:id="1365"/>
      <w:r>
        <w:t xml:space="preserve"> </w:t>
      </w:r>
      <w:bookmarkStart w:id="1366" w:name="lt_pId313"/>
      <w:r>
        <w:t>În cadrul acestui punct, majoritatea admite că mai multe părți contractante au instituit „restricții privind calitatea procesuală în fața instanțelor naționale a unei asociații”, ceea ce</w:t>
      </w:r>
      <w:bookmarkStart w:id="1367" w:name="lt_pId314"/>
      <w:bookmarkEnd w:id="1366"/>
      <w:r>
        <w:t>, desigur, poate cauza dificultăți în ceea ce privește cerința (prevăzută la art. 35 § 1 din Convenție) conform căreia „Curtea nu poate fi sesizată decât după epuizarea căilor de recurs interne”, o componentă esențială a principiului subsidiarității.</w:t>
      </w:r>
      <w:bookmarkEnd w:id="1367"/>
      <w:r>
        <w:t xml:space="preserve"> </w:t>
      </w:r>
      <w:bookmarkStart w:id="1368" w:name="lt_pId315"/>
      <w:r>
        <w:t>Cum poate Curtea să soluționeze o cerere introdusă în fața sa de o asociație și îndreptată împotriva unei părți contractante al cărei drept procedural intern nu conferă calitate procesuală asociațiilor (în general sau, cel puțin, în afara limitelor foarte clare și stricte stabilite de Convenția de la Aarhus)?</w:t>
      </w:r>
      <w:bookmarkEnd w:id="1368"/>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48</w:t>
      </w:r>
      <w:r w:rsidRPr="008D4EA9">
        <w:rPr>
          <w:rFonts w:eastAsia="Times New Roman"/>
        </w:rPr>
        <w:fldChar w:fldCharType="end"/>
      </w:r>
      <w:r>
        <w:t>.  </w:t>
      </w:r>
      <w:bookmarkStart w:id="1369" w:name="lt_pId316"/>
      <w:bookmarkStart w:id="1370" w:name="lt_pId317"/>
      <w:bookmarkEnd w:id="1369"/>
      <w:r>
        <w:t>Răspunsul tradițional ar fi, evident, că, exceptând cazurile în care, la momentul faptelor, existau căi de atac interne disponibile atât în teorie, cât și în practică, iar reclamanta (asociația) însăși a avut posibilitatea să exercite în mod direct aceste căi de atac, o cerere ar putea fi introdusă direct în fața Curții, care ar acționa apoi, în practică, în calitate de instanță de prim grad.</w:t>
      </w:r>
      <w:bookmarkEnd w:id="1370"/>
      <w:r>
        <w:t xml:space="preserve"> </w:t>
      </w:r>
      <w:bookmarkStart w:id="1371" w:name="lt_pId318"/>
      <w:r>
        <w:t xml:space="preserve">Cu toate acestea, majoritatea încearcă să răspundă la această întrebare afirmând că „Curtea </w:t>
      </w:r>
      <w:r>
        <w:rPr>
          <w:u w:val="single"/>
        </w:rPr>
        <w:t>poate</w:t>
      </w:r>
      <w:r>
        <w:t xml:space="preserve">, de asemenea, în interesul unei bune administrări a justiției, să țină seama dacă și în ce măsură membrii săi individuali </w:t>
      </w:r>
      <w:r>
        <w:rPr>
          <w:u w:val="single"/>
        </w:rPr>
        <w:t>sau alte persoane afectate</w:t>
      </w:r>
      <w:r>
        <w:t xml:space="preserve"> au putut să aibă acces la o instanță în cadrul aceleiași proceduri interne sau al unei proceduri interne conexe” (pct. 503 din hotărâre, subliniere adăugată).</w:t>
      </w:r>
      <w:bookmarkEnd w:id="1371"/>
      <w:r>
        <w:t xml:space="preserve"> </w:t>
      </w:r>
      <w:bookmarkStart w:id="1372" w:name="lt_pId319"/>
      <w:r>
        <w:t>Slăbiciunea acestui „poate” este demonstrată în mod clar de faptele din prezenta cauză.</w:t>
      </w:r>
      <w:bookmarkEnd w:id="1372"/>
      <w:r>
        <w:t xml:space="preserve"> </w:t>
      </w:r>
      <w:bookmarkStart w:id="1373" w:name="lt_pId320"/>
      <w:r>
        <w:t>Până la urmă, nu numai că asociației reclamante i se acordă calitatea procesuală în pofida faptului că nici aceasta, nici „membrii săi individuali sau alte persoane afectate” nu au beneficiat de un acces efectiv la o instanță înainte de a sesiza Curtea, dar, în plus, însăși absența accesului la o instanță al reclamantelor individuale în speță este invocată pentru a justifica, în cele din urmă, acordarea calității procesuale asociației reclamante „în interesul unei bune administrări a justiției” (pct. 523 din hotărâre).</w:t>
      </w:r>
      <w:bookmarkEnd w:id="1373"/>
    </w:p>
    <w:p w:rsidR="00690E9D" w:rsidRPr="008D4EA9" w:rsidRDefault="00690E9D" w:rsidP="00690E9D">
      <w:pPr>
        <w:pStyle w:val="JuPara"/>
        <w:rPr>
          <w:rFonts w:eastAsia="Times New Roman"/>
        </w:rPr>
      </w:pPr>
      <w:r w:rsidRPr="008D4EA9">
        <w:rPr>
          <w:rFonts w:eastAsia="Times New Roman"/>
        </w:rPr>
        <w:lastRenderedPageBreak/>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49</w:t>
      </w:r>
      <w:r w:rsidRPr="008D4EA9">
        <w:rPr>
          <w:rFonts w:eastAsia="Times New Roman"/>
        </w:rPr>
        <w:fldChar w:fldCharType="end"/>
      </w:r>
      <w:r>
        <w:t>.  </w:t>
      </w:r>
      <w:bookmarkStart w:id="1374" w:name="lt_pId321"/>
      <w:bookmarkStart w:id="1375" w:name="lt_pId322"/>
      <w:bookmarkEnd w:id="1374"/>
      <w:r>
        <w:t xml:space="preserve">În plus, chiar dacă acest criteriu ar fi luat „în considerare” în cauze viitoare, rămâne de văzut dacă (și, în cazul unui răspuns afirmativ, în ce fel) Curtea va stabili dacă a fost îndeplinită condiția epuizării căilor de atac interne, făcând referire la eventuale litigii interne introduse de „alte persoane afectate”, litigii asupra cărora asociația, prin însăși natura sa, nu va avea niciun control și nicio influență [pentru un exemplu de situație inversă în acest context, a se vedea </w:t>
      </w:r>
      <w:r>
        <w:rPr>
          <w:i/>
        </w:rPr>
        <w:t>Kósa împotriva Ungariei</w:t>
      </w:r>
      <w:r>
        <w:t xml:space="preserve"> (dec.), nr.</w:t>
      </w:r>
      <w:bookmarkStart w:id="1376" w:name="lt_pId323"/>
      <w:bookmarkEnd w:id="1375"/>
      <w:r>
        <w:t> 53461/15, pct. 59-63, 21 noiembrie 2017].</w:t>
      </w:r>
      <w:bookmarkEnd w:id="1376"/>
      <w:r>
        <w:t xml:space="preserve"> </w:t>
      </w:r>
      <w:bookmarkStart w:id="1377" w:name="lt_pId324"/>
      <w:r>
        <w:t>Până la urmă, Marea Cameră a avut recent ocazia să reafirme că „[p]entru a putea introduce o cerere în temeiul art. 34 din Convenție, o persoană trebuie să poată demonstra că a suportat în mod direct efectele măsurii de care se plânge, aceasta fiind o condiție necesară pentru declanșarea mecanismului de protecție prevăzut de Convenție [...] În aceeași ordine de idei, Curtea nu se poate pronunța decât asupra faptelor de care se plânge reclamantul [...]. Prin urmare, nu este suficient ca existența unei încălcări a Convenției să fie «evidentă» având în vedere faptele cauzei sau observațiile prezentate de reclamant. Dimpotrivă, reclamantul are obligația să denunțe o acțiune sau omisiune ca fiind contrară unor drepturi recunoscute în Convenție sau în protocoalele sale [...], astfel încât Curtea să nu fie nevoită să facă speculații cu privire la clarificarea chestiunii dacă a fost sau nu formulat un capăt de cerere</w:t>
      </w:r>
      <w:bookmarkStart w:id="1378" w:name="lt_pId327"/>
      <w:bookmarkEnd w:id="1377"/>
      <w:r>
        <w:t xml:space="preserve"> [...]” [</w:t>
      </w:r>
      <w:bookmarkStart w:id="1379" w:name="_cl42558"/>
      <w:r>
        <w:rPr>
          <w:i/>
        </w:rPr>
        <w:t>Grosam împotriva</w:t>
      </w:r>
      <w:bookmarkEnd w:id="1379"/>
      <w:r>
        <w:rPr>
          <w:i/>
        </w:rPr>
        <w:t xml:space="preserve"> Republicii Cehe </w:t>
      </w:r>
      <w:r>
        <w:t>(MC), nr.</w:t>
      </w:r>
      <w:bookmarkStart w:id="1380" w:name="lt_pId328"/>
      <w:bookmarkEnd w:id="1378"/>
      <w:r>
        <w:t> 19750/13, pct. 90, 1 iunie 2023].</w:t>
      </w:r>
      <w:bookmarkEnd w:id="1380"/>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50</w:t>
      </w:r>
      <w:r w:rsidRPr="008D4EA9">
        <w:rPr>
          <w:rFonts w:eastAsia="Times New Roman"/>
        </w:rPr>
        <w:fldChar w:fldCharType="end"/>
      </w:r>
      <w:r>
        <w:t>.  </w:t>
      </w:r>
      <w:bookmarkStart w:id="1381" w:name="lt_pId329"/>
      <w:bookmarkStart w:id="1382" w:name="lt_pId330"/>
      <w:bookmarkEnd w:id="1381"/>
      <w:r>
        <w:t>În consecință, apreciez că, în speță, se ridică o întrebare foarte pertinentă, și anume dacă abordarea adoptată de majoritate înseamnă că:</w:t>
      </w:r>
      <w:bookmarkEnd w:id="1382"/>
    </w:p>
    <w:p w:rsidR="00690E9D" w:rsidRPr="008D4EA9" w:rsidRDefault="00690E9D" w:rsidP="00690E9D">
      <w:pPr>
        <w:pStyle w:val="JuPara"/>
        <w:rPr>
          <w:rFonts w:eastAsia="Times New Roman"/>
        </w:rPr>
      </w:pPr>
      <w:bookmarkStart w:id="1383" w:name="lt_pId331"/>
      <w:bookmarkStart w:id="1384" w:name="_Hlk163141199"/>
      <w:bookmarkEnd w:id="1383"/>
      <w:r>
        <w:t>a)</w:t>
      </w:r>
      <w:bookmarkStart w:id="1385" w:name="lt_pId332"/>
      <w:r>
        <w:t>  în cele din urmă, părțile contractante vor simți nevoia, sau chiar vor fi obligate, să introducă în dreptul lor național norme privind acordarea calității procesuale asociațiilor, fie că aceste norme intră sub incidența unei obligații juridice stricte (în temeiul art. 2, 8 sau 13), fie că acestea au ca scop „doar” să garanteze că instanțele lor naționale pot să examineze capătul de cerere formulat în temeiul Convenției înainte ca acesta să fie prezentat în fața Curții și examinat de aceasta (în temeiul principiului subsidiarității); sau</w:t>
      </w:r>
      <w:bookmarkEnd w:id="1384"/>
      <w:bookmarkEnd w:id="1385"/>
    </w:p>
    <w:p w:rsidR="00690E9D" w:rsidRPr="008D4EA9" w:rsidRDefault="00690E9D" w:rsidP="00690E9D">
      <w:pPr>
        <w:pStyle w:val="JuPara"/>
        <w:rPr>
          <w:rFonts w:eastAsia="Times New Roman"/>
        </w:rPr>
      </w:pPr>
      <w:bookmarkStart w:id="1386" w:name="lt_pId333"/>
      <w:r>
        <w:t>b)</w:t>
      </w:r>
      <w:bookmarkStart w:id="1387" w:name="lt_pId334"/>
      <w:bookmarkEnd w:id="1386"/>
      <w:r>
        <w:t>  în cazul în care dreptul național nu conferă unei asociații calitatea procesuală, Curtea va fi, în fapt, nevoită să examineze aceste cereri în calitate de instanță de prim grad, fără să poată beneficia de o examinare prealabilă de către instanțele naționale.</w:t>
      </w:r>
      <w:bookmarkEnd w:id="1387"/>
      <w:r>
        <w:t xml:space="preserve"> </w:t>
      </w:r>
      <w:bookmarkStart w:id="1388" w:name="lt_pId335"/>
      <w:r>
        <w:t>Deși aici este vorba, în mod evident, de un rol pe care Curtea nu a fost menită și, în general, nu este în măsură să îl îndeplinească, nedispunând de mijloacele adecvate în acest scop, dificultățile cauzate de o astfel de situație ar fi și mai mari în cazul în care Curtea ar fi chemată să examineze probe care, în mod inevitabil, nu ar putea fi decât detaliate și complexe, astfel încât să permită să se stabilească dacă statul pârât și-a îndeplinit sau nu obligația „de a adopta și de a aplica în mod efectiv și concret reglementări și măsuri de natură să atenueze efectele actuale și viitoare, potențial ireversibile, ale schimbărilor climatice”, așa cum consideră majoritatea.</w:t>
      </w:r>
      <w:bookmarkEnd w:id="1388"/>
    </w:p>
    <w:p w:rsidR="00690E9D" w:rsidRPr="008D4EA9" w:rsidRDefault="00690E9D" w:rsidP="00690E9D">
      <w:pPr>
        <w:pStyle w:val="JuPara"/>
        <w:rPr>
          <w:rFonts w:eastAsia="Times New Roman"/>
        </w:rPr>
      </w:pPr>
      <w:r w:rsidRPr="008D4EA9">
        <w:rPr>
          <w:rFonts w:eastAsia="Times New Roman"/>
        </w:rPr>
        <w:lastRenderedPageBreak/>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51</w:t>
      </w:r>
      <w:r w:rsidRPr="008D4EA9">
        <w:rPr>
          <w:rFonts w:eastAsia="Times New Roman"/>
        </w:rPr>
        <w:fldChar w:fldCharType="end"/>
      </w:r>
      <w:r>
        <w:t>.  </w:t>
      </w:r>
      <w:bookmarkStart w:id="1389" w:name="lt_pId336"/>
      <w:bookmarkStart w:id="1390" w:name="lt_pId337"/>
      <w:bookmarkEnd w:id="1389"/>
      <w:r>
        <w:t>Această dilemă, desigur, capătă o relevanță și mai mare – în special în ceea ce privește chestiunea „adoptării” de reglementări și măsuri – pentru cele 27 de părți contractante la Convenție, care sunt și state membre ale Uniunii Europene („UE”), și, în cazul aderării UE la Convenție, astfel cum s-a prevăzut, pentru UE în ansamblu.</w:t>
      </w:r>
      <w:bookmarkEnd w:id="1390"/>
      <w:r>
        <w:t xml:space="preserve"> </w:t>
      </w:r>
      <w:bookmarkStart w:id="1391" w:name="lt_pId338"/>
      <w:r>
        <w:t>Până la urmă:</w:t>
      </w:r>
      <w:bookmarkEnd w:id="1391"/>
    </w:p>
    <w:p w:rsidR="00690E9D" w:rsidRPr="008D4EA9" w:rsidRDefault="00690E9D" w:rsidP="00690E9D">
      <w:pPr>
        <w:pStyle w:val="JuPara"/>
        <w:rPr>
          <w:rFonts w:eastAsia="Times New Roman"/>
        </w:rPr>
      </w:pPr>
      <w:bookmarkStart w:id="1392" w:name="lt_pId339"/>
      <w:r>
        <w:t>a)</w:t>
      </w:r>
      <w:bookmarkStart w:id="1393" w:name="lt_pId340"/>
      <w:bookmarkEnd w:id="1392"/>
      <w:r>
        <w:t xml:space="preserve">  după cum a precizat Comisia Europeană în intervenția sa în cauza </w:t>
      </w:r>
      <w:r>
        <w:rPr>
          <w:i/>
        </w:rPr>
        <w:t>Duarte Agostinho și alții</w:t>
      </w:r>
      <w:r>
        <w:t>, „UE stabilește, la nivelul Uniunii, obiective obligatorii în materie de climă și energie, pe care toate statele membre trebuie să le respecte și să le atingă prin punerea în aplicare de măsuri la nivel național”, printre altele, în cadrul Regulamentului (UE) 2018/1999 privind guvernanța uniunii energetice și a acțiunilor climatice sau al Regulamentului (UE) 2021/1119 de instituire a cadrului pentru realizarea neutralității climatice („Legea europeană a climei”), precum și în cadrul unei game largi de texte legislative individuale (generale și sectoriale)</w:t>
      </w:r>
      <w:r>
        <w:rPr>
          <w:rStyle w:val="FootnoteReference"/>
          <w:rFonts w:eastAsia="Times New Roman"/>
        </w:rPr>
        <w:footnoteReference w:id="219"/>
      </w:r>
      <w:r>
        <w:t>; și</w:t>
      </w:r>
      <w:bookmarkEnd w:id="1393"/>
    </w:p>
    <w:p w:rsidR="00690E9D" w:rsidRPr="008D4EA9" w:rsidRDefault="00690E9D" w:rsidP="00690E9D">
      <w:pPr>
        <w:pStyle w:val="JuPara"/>
        <w:rPr>
          <w:rFonts w:eastAsia="Times New Roman"/>
        </w:rPr>
      </w:pPr>
      <w:bookmarkStart w:id="1394" w:name="lt_pId341"/>
      <w:r>
        <w:t>b)</w:t>
      </w:r>
      <w:bookmarkStart w:id="1395" w:name="lt_pId342"/>
      <w:bookmarkEnd w:id="1394"/>
      <w:r>
        <w:t>  astfel cum se menționează la punctele 215-220 din hotărâre, se pare că, în stadiul actual al dreptului, persoanelor particulare și asociațiilor li se recunoaște o calitate procesuală foarte limitată în fața Curții de Justiție a Uniunii Europene („CJUE”) în temeiul articolului 263 TFUE.</w:t>
      </w:r>
      <w:bookmarkEnd w:id="1395"/>
    </w:p>
    <w:p w:rsidR="00690E9D" w:rsidRPr="008D4EA9" w:rsidRDefault="00690E9D" w:rsidP="00690E9D">
      <w:pPr>
        <w:pStyle w:val="JuHHead"/>
        <w:numPr>
          <w:ilvl w:val="0"/>
          <w:numId w:val="1"/>
        </w:numPr>
        <w:rPr>
          <w:rFonts w:eastAsia="Times New Roman"/>
        </w:rPr>
      </w:pPr>
      <w:bookmarkStart w:id="1396" w:name="lt_pId343"/>
      <w:bookmarkStart w:id="1397" w:name="_Toc188017941"/>
      <w:bookmarkStart w:id="1398" w:name="_Toc199273609"/>
      <w:r>
        <w:t>Art. 6 – accesul la o instanță</w:t>
      </w:r>
      <w:bookmarkEnd w:id="1396"/>
      <w:bookmarkEnd w:id="1397"/>
      <w:bookmarkEnd w:id="1398"/>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52</w:t>
      </w:r>
      <w:r w:rsidRPr="008D4EA9">
        <w:rPr>
          <w:rFonts w:eastAsia="Times New Roman"/>
        </w:rPr>
        <w:fldChar w:fldCharType="end"/>
      </w:r>
      <w:r>
        <w:t>.  </w:t>
      </w:r>
      <w:bookmarkStart w:id="1399" w:name="lt_pId344"/>
      <w:bookmarkStart w:id="1400" w:name="lt_pId345"/>
      <w:bookmarkEnd w:id="1399"/>
      <w:r>
        <w:t xml:space="preserve">În ceea ce privește plângerea formulată pe fond în temeiul art. 6 cu privire la pretinsul refuz al accesului la o instanță, poate că este util să subliniez faptul că textele de referință referitoare la acest aspect sunt, în fapt, două cauze examinate de Marea Cameră, îndreptate împotriva Elveției (și în contextul dreptului mediului): </w:t>
      </w:r>
      <w:r>
        <w:rPr>
          <w:i/>
        </w:rPr>
        <w:t xml:space="preserve">Balmer-Schafroth </w:t>
      </w:r>
      <w:r>
        <w:rPr>
          <w:i/>
          <w:iCs/>
        </w:rPr>
        <w:t>și alții</w:t>
      </w:r>
      <w:r>
        <w:t xml:space="preserve"> și </w:t>
      </w:r>
      <w:r>
        <w:rPr>
          <w:i/>
        </w:rPr>
        <w:t>Athanassoglou și alții</w:t>
      </w:r>
      <w:r>
        <w:t>, ambele citate anterior.</w:t>
      </w:r>
      <w:bookmarkEnd w:id="1400"/>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53</w:t>
      </w:r>
      <w:r w:rsidRPr="008D4EA9">
        <w:rPr>
          <w:rFonts w:eastAsia="Times New Roman"/>
        </w:rPr>
        <w:fldChar w:fldCharType="end"/>
      </w:r>
      <w:r>
        <w:t>.  </w:t>
      </w:r>
      <w:bookmarkStart w:id="1401" w:name="lt_pId346"/>
      <w:bookmarkStart w:id="1402" w:name="lt_pId347"/>
      <w:bookmarkEnd w:id="1401"/>
      <w:r>
        <w:t>Înainte de a analiza (pe scurt) diferitele elemente care trebuie să fie îndeplinite pentru a putea constata aplicabilitatea art. 6 § 1 și o încălcare a acestei dispoziții, țin să precizez că sunt de acord cu majoritatea (a se vedea, de exemplu, pct. 594, 609, 616 și 627 din hotărâre) în ceea ce privește faptul că art. 6 § 1 nu garantează un drept de acces la o instanță care are competența de a invalida sau de a înlocui o lege adoptată de Parlament sau de a impune adoptarea de legi.</w:t>
      </w:r>
      <w:bookmarkEnd w:id="1402"/>
      <w:r>
        <w:t xml:space="preserve"> </w:t>
      </w:r>
      <w:bookmarkStart w:id="1403" w:name="lt_pId348"/>
      <w:r>
        <w:t xml:space="preserve">În fapt, Marea Cameră a subliniat în mod expres, în hotărârea </w:t>
      </w:r>
      <w:r>
        <w:rPr>
          <w:i/>
        </w:rPr>
        <w:t>Athanassoglou și alții</w:t>
      </w:r>
      <w:r>
        <w:t xml:space="preserve"> (citată anterior, pct. 54), că „fiecare stat contractant trebuie să decidă, în conformitate cu procesele sale democratice, </w:t>
      </w:r>
      <w:r>
        <w:lastRenderedPageBreak/>
        <w:t>care este cea mai bună modalitate de a reglementa utilizarea energiei nucleare”.</w:t>
      </w:r>
      <w:bookmarkEnd w:id="1403"/>
      <w:r>
        <w:t xml:space="preserve"> </w:t>
      </w:r>
      <w:bookmarkStart w:id="1404" w:name="lt_pId349"/>
      <w:r>
        <w:t>Prin urmare, sunt de acord și cu faptul că doar „cererea reclamantelor privind punerea efectivă în aplicare a măsurilor de atenuare prevăzute de legislația în vigoare este o chestiune care poate intra sub incidența acestei dispoziții” (pct. 616 din hotărâre), în timp ce respectiva cerere de adoptare a unor „măsuri legislative și de reglementare” nu intră în domeniul de aplicare al art. 6 § 1 (pct. 615 din hotărâre, care face trimitere, de exemplu, la punctele 1-3 și la unele aspecte de la punctul 4 din pretențiile reclamantelor, citate la punctul 22 din hotărâre).</w:t>
      </w:r>
      <w:bookmarkEnd w:id="1404"/>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54</w:t>
      </w:r>
      <w:r w:rsidRPr="008D4EA9">
        <w:rPr>
          <w:rFonts w:eastAsia="Times New Roman"/>
        </w:rPr>
        <w:fldChar w:fldCharType="end"/>
      </w:r>
      <w:r>
        <w:t>.  </w:t>
      </w:r>
      <w:bookmarkStart w:id="1405" w:name="lt_pId350"/>
      <w:bookmarkStart w:id="1406" w:name="lt_pId351"/>
      <w:bookmarkEnd w:id="1405"/>
      <w:r>
        <w:t>La majoritatea întrebărilor referitoare la aplicabilitatea art. 6 § 1 (sub aspect civil) se poate răspunde ușor, făcându-se referire la hotărârile pronunțate de Curte în cele două cauze anterioare îndreptate împotriva Elveției, citate mai sus și care sunt la fel de importante în prezenta cauză:</w:t>
      </w:r>
      <w:bookmarkEnd w:id="1406"/>
    </w:p>
    <w:p w:rsidR="00690E9D" w:rsidRPr="008D4EA9" w:rsidRDefault="00690E9D" w:rsidP="00690E9D">
      <w:pPr>
        <w:pStyle w:val="JuPara"/>
        <w:rPr>
          <w:rFonts w:eastAsia="Times New Roman"/>
        </w:rPr>
      </w:pPr>
      <w:bookmarkStart w:id="1407" w:name="lt_pId352"/>
      <w:r>
        <w:t>a)</w:t>
      </w:r>
      <w:bookmarkStart w:id="1408" w:name="lt_pId353"/>
      <w:bookmarkEnd w:id="1407"/>
      <w:r>
        <w:t xml:space="preserve">  a) în ceea ce privește necesitatea „existenței unuia sau mai multor «drepturi» recunoscute în dreptul intern”, Curtea a declarat, în hotărârea </w:t>
      </w:r>
      <w:r>
        <w:rPr>
          <w:i/>
        </w:rPr>
        <w:t>Balmer</w:t>
      </w:r>
      <w:r>
        <w:rPr>
          <w:i/>
        </w:rPr>
        <w:noBreakHyphen/>
        <w:t>Schafroth și alții</w:t>
      </w:r>
      <w:r>
        <w:t xml:space="preserve"> (citată anterior, pct. 34) că „dreptul [reclamanților] de a obține o protecție adecvată a integrității lor fizice”, în acest caz împotriva riscurilor pe care le implică utilizarea energiei nucleare, „este recunoscut în dreptul elvețian, astfel cum reiese în special din art. 5 § 1 din Legea privind energia atomică – la care au făcut referire în mod explicit atât reclamanții, cât și Consiliul Federal – și din dreptul constituțional la viață, cu privire la care Consiliul Federal a formulat observații în decizia sa.</w:t>
      </w:r>
      <w:bookmarkEnd w:id="1408"/>
      <w:r>
        <w:t xml:space="preserve"> </w:t>
      </w:r>
      <w:bookmarkStart w:id="1409" w:name="lt_pId354"/>
      <w:r>
        <w:t xml:space="preserve">Această necesitate a fost confirmată, din nou, în cauza </w:t>
      </w:r>
      <w:r>
        <w:rPr>
          <w:i/>
        </w:rPr>
        <w:t xml:space="preserve">Athanassoglou și alții </w:t>
      </w:r>
      <w:r>
        <w:t>(citată anterior, pct. 44), în care Curtea a subliniat că „ordinea juridică elvețiană, în special Constituția și dispozițiile Codului civil care reglementează drepturile vecinilor, recunoaște oricărei persoane drepturile [în cauză], ceea ce Guvernul a admis întotdeauna”.</w:t>
      </w:r>
      <w:bookmarkEnd w:id="1409"/>
      <w:r>
        <w:t xml:space="preserve"> </w:t>
      </w:r>
      <w:bookmarkStart w:id="1410" w:name="lt_pId355"/>
      <w:r>
        <w:t xml:space="preserve">La fel ca în cauzele </w:t>
      </w:r>
      <w:r>
        <w:rPr>
          <w:i/>
        </w:rPr>
        <w:t>Balmer</w:t>
      </w:r>
      <w:r>
        <w:rPr>
          <w:i/>
        </w:rPr>
        <w:noBreakHyphen/>
        <w:t>Schafroth și alții</w:t>
      </w:r>
      <w:r>
        <w:t xml:space="preserve"> și </w:t>
      </w:r>
      <w:r>
        <w:rPr>
          <w:i/>
        </w:rPr>
        <w:t>Athanassoglou și alții</w:t>
      </w:r>
      <w:r>
        <w:t>, consider că nu există niciun motiv pentru care „dreptul cu caracter civil” care face obiectul prezentei cauze nu ar putea fi definit nu doar ca un drept consacrat la articolul 10 din Constituția federală (dreptul la viață și la libertatea persoanei), ci și prin referire la legislația privind CO</w:t>
      </w:r>
      <w:r>
        <w:rPr>
          <w:vertAlign w:val="subscript"/>
        </w:rPr>
        <w:t>2</w:t>
      </w:r>
      <w:r>
        <w:t xml:space="preserve"> (și anume Legea privind emisiile de CO</w:t>
      </w:r>
      <w:r>
        <w:rPr>
          <w:vertAlign w:val="subscript"/>
        </w:rPr>
        <w:t>2</w:t>
      </w:r>
      <w:r>
        <w:t xml:space="preserve"> și Ordonanța privind emisiile de CO</w:t>
      </w:r>
      <w:r>
        <w:rPr>
          <w:vertAlign w:val="subscript"/>
        </w:rPr>
        <w:t>2</w:t>
      </w:r>
      <w:r>
        <w:t>), care a fost invocată de reclamante în fața autorităților și instanțelor naționale și rezumată la punctele 123-126 din hotărâre; și</w:t>
      </w:r>
      <w:bookmarkEnd w:id="1410"/>
    </w:p>
    <w:p w:rsidR="00690E9D" w:rsidRPr="008D4EA9" w:rsidRDefault="00690E9D" w:rsidP="00690E9D">
      <w:pPr>
        <w:pStyle w:val="JuPara"/>
        <w:rPr>
          <w:rFonts w:eastAsia="Times New Roman"/>
        </w:rPr>
      </w:pPr>
      <w:bookmarkStart w:id="1411" w:name="lt_pId356"/>
      <w:r>
        <w:t>b)</w:t>
      </w:r>
      <w:bookmarkStart w:id="1412" w:name="lt_pId357"/>
      <w:bookmarkEnd w:id="1411"/>
      <w:r>
        <w:t xml:space="preserve">  În ceea ce privește existența unei contestații „reale și serioase”, care poate să fie formulată în fața unei instanțe, cu privire la aceste „drepturi”, Curtea a confirmat, în hotărârea </w:t>
      </w:r>
      <w:r>
        <w:rPr>
          <w:i/>
        </w:rPr>
        <w:t>Balmer-Schafroth și alții</w:t>
      </w:r>
      <w:r>
        <w:t xml:space="preserve"> (citată anterior, pct. 37-38) că „[î]n măsura în care avea ca scop să verifice respectarea unor cerințe legale, decizia Consiliului Federal echivala așadar mai degrabă cu un act judiciar decât cu o decizie de politică generală [...]</w:t>
      </w:r>
      <w:bookmarkStart w:id="1413" w:name="lt_pId359"/>
      <w:bookmarkEnd w:id="1412"/>
      <w:r>
        <w:t xml:space="preserve"> Nu există nicio îndoială în ceea ce privește caracterul real și serios al contestației, având în vedere considerentele sus-menționate și faptul că acțiunea reclamanților a fost declarată admisibilă de Consiliul Federal. ”</w:t>
      </w:r>
      <w:bookmarkEnd w:id="1413"/>
      <w:r>
        <w:t xml:space="preserve"> </w:t>
      </w:r>
      <w:bookmarkStart w:id="1414" w:name="lt_pId360"/>
      <w:r>
        <w:t xml:space="preserve">În hotărârea </w:t>
      </w:r>
      <w:r>
        <w:rPr>
          <w:i/>
        </w:rPr>
        <w:t>Athanassoglou și alții</w:t>
      </w:r>
      <w:r>
        <w:t xml:space="preserve"> (citată anterior, pct. 45), Curtea a reținut că „Guvernul nu contestă, în </w:t>
      </w:r>
      <w:r>
        <w:lastRenderedPageBreak/>
        <w:t xml:space="preserve">lumina hotărârii pronunțate în cauza </w:t>
      </w:r>
      <w:r>
        <w:rPr>
          <w:i/>
        </w:rPr>
        <w:t xml:space="preserve">Balmer-Schafroth </w:t>
      </w:r>
      <w:r>
        <w:rPr>
          <w:i/>
          <w:iCs/>
        </w:rPr>
        <w:t>și alții</w:t>
      </w:r>
      <w:r>
        <w:t>, faptul că exista un litigiu «real și serios», care putea fi adus în fața unei instanțe, între reclamanți și autoritățile decizionale [...]”.</w:t>
      </w:r>
      <w:bookmarkEnd w:id="1414"/>
      <w:r>
        <w:t xml:space="preserve"> </w:t>
      </w:r>
      <w:bookmarkStart w:id="1415" w:name="lt_pId361"/>
      <w:r>
        <w:t>Aplicând aceste afirmații în prezenta cauză, reiese în mod clar din situația de fapt că „</w:t>
      </w:r>
      <w:bookmarkStart w:id="1416" w:name="lt_pId362"/>
      <w:bookmarkEnd w:id="1415"/>
      <w:r>
        <w:t>TAF a apreciat că reclamantele nr. 2-5 aveau un «interes demn de protecție» de a obține anularea sau modificarea deciziei în litigiu a DETEC și că, din acest punct de vedere, acțiunea era admisibilă” (pct. 35 din hotărâre).</w:t>
      </w:r>
      <w:bookmarkEnd w:id="1416"/>
      <w:r>
        <w:t xml:space="preserve"> </w:t>
      </w:r>
      <w:bookmarkStart w:id="1417" w:name="lt_pId363"/>
      <w:r>
        <w:t>Tribunalul federal a adoptat o abordare similară: „[TF] a apreciat că reclamantele nr. 2-5 aveau calitatea procesuală pentru a introduce o acțiune împotriva hotărârii TAF. În schimb, acesta nu s-a pronunțat cu privire la aspectul dacă asociația reclamantă avea, de asemenea, calitate procesuală și a hotărât că era mai adecvat să își limiteze considerațiile la reclamantele nr. 2-5</w:t>
      </w:r>
      <w:bookmarkEnd w:id="1417"/>
      <w:r>
        <w:t>. ” (pct. 53 din hotărâre).</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55</w:t>
      </w:r>
      <w:r w:rsidRPr="008D4EA9">
        <w:rPr>
          <w:rFonts w:eastAsia="Times New Roman"/>
        </w:rPr>
        <w:fldChar w:fldCharType="end"/>
      </w:r>
      <w:r>
        <w:t>.  </w:t>
      </w:r>
      <w:bookmarkStart w:id="1418" w:name="lt_pId367"/>
      <w:bookmarkStart w:id="1419" w:name="lt_pId368"/>
      <w:bookmarkEnd w:id="1418"/>
      <w:r>
        <w:t xml:space="preserve">Întrucât Curtea a răspuns negativ la această întrebare în hotărârile </w:t>
      </w:r>
      <w:r>
        <w:rPr>
          <w:i/>
        </w:rPr>
        <w:t xml:space="preserve">Balmer-Schafroth </w:t>
      </w:r>
      <w:r>
        <w:rPr>
          <w:i/>
          <w:iCs/>
        </w:rPr>
        <w:t>și alții</w:t>
      </w:r>
      <w:r>
        <w:t xml:space="preserve"> și </w:t>
      </w:r>
      <w:r>
        <w:rPr>
          <w:i/>
        </w:rPr>
        <w:t xml:space="preserve">Athanassoglou </w:t>
      </w:r>
      <w:r>
        <w:rPr>
          <w:i/>
          <w:iCs/>
        </w:rPr>
        <w:t>și alții</w:t>
      </w:r>
      <w:r>
        <w:t>, singura întrebare care rămâne deschisă este dacă modul de soluționare a „litigiului”/procedurii era direct decisiv pentru aceste drepturi care decurgeau din dreptul intern.</w:t>
      </w:r>
      <w:bookmarkEnd w:id="1419"/>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56</w:t>
      </w:r>
      <w:r w:rsidRPr="008D4EA9">
        <w:rPr>
          <w:rFonts w:eastAsia="Times New Roman"/>
        </w:rPr>
        <w:fldChar w:fldCharType="end"/>
      </w:r>
      <w:r>
        <w:t>.  </w:t>
      </w:r>
      <w:bookmarkStart w:id="1420" w:name="lt_pId370"/>
      <w:r>
        <w:t xml:space="preserve">În hotărârea </w:t>
      </w:r>
      <w:r>
        <w:rPr>
          <w:i/>
        </w:rPr>
        <w:t xml:space="preserve">Balmer-Schafroth </w:t>
      </w:r>
      <w:r>
        <w:rPr>
          <w:i/>
          <w:iCs/>
        </w:rPr>
        <w:t>și alții</w:t>
      </w:r>
      <w:r>
        <w:t xml:space="preserve"> (citată anterior, pct. 40), Curtea și-a întemeiat concluzia pe faptul că reclamanții „nu [au stabilit] totuși o legătură directă între condițiile de exploatare a centralei, pe care le [contestaseră], și dreptul lor la protecția integrității lor fizice, întrucât nu au demonstrat că, din cauza funcționării centralei de la Mühleberg, aceștia erau expuși personal unui pericol nu doar grav, ci și specific și, mai presus de toate, iminent. În lipsa unei astfel de constatări, efectele asupra populației ale măsurilor pe care Consiliul Federal ar fi putut să le dispună în speță rămâneau, așadar, ipotetice</w:t>
      </w:r>
      <w:bookmarkStart w:id="1421" w:name="lt_pId371"/>
      <w:bookmarkEnd w:id="1420"/>
      <w:r>
        <w:t>. ”</w:t>
      </w:r>
      <w:bookmarkEnd w:id="1421"/>
      <w:r>
        <w:t xml:space="preserve"> </w:t>
      </w:r>
      <w:bookmarkStart w:id="1422" w:name="lt_pId372"/>
      <w:r>
        <w:t xml:space="preserve">În hotărârea </w:t>
      </w:r>
      <w:r>
        <w:rPr>
          <w:i/>
        </w:rPr>
        <w:t>Athanassoglou și alții</w:t>
      </w:r>
      <w:r>
        <w:t xml:space="preserve"> (citată anterior, pct. 48), Curtea a considerat că criteriul folosit pentru a determina dacă legătura existentă era prea „îndepărtată” presupunea să se stabilească dacă teza reclamanților era suficient de solidă și nu dacă aceasta se justifica în temeiul legislației elvețiene aplicabile”.</w:t>
      </w:r>
      <w:bookmarkEnd w:id="1422"/>
      <w:r>
        <w:t xml:space="preserve"> </w:t>
      </w:r>
      <w:bookmarkStart w:id="1423" w:name="lt_pId373"/>
      <w:r>
        <w:t xml:space="preserve">După o analiză detaliată a rapoartelor de evaluare și de inspecție referitoare la centrala nucleară în cauză, precum și a lucrărilor de modernizare care au fost realizate pentru a se ține seama de progresele majore ale tehnologiei în materie de siguranță a centralelor nucleare, Curtea, contrar concluziei la care a ajuns Comisia [în cauza </w:t>
      </w:r>
      <w:r>
        <w:rPr>
          <w:i/>
        </w:rPr>
        <w:t xml:space="preserve">Greenpeace Schweiz și alții împotriva Elveției </w:t>
      </w:r>
      <w:r>
        <w:t>(dec.), nr.</w:t>
      </w:r>
      <w:bookmarkStart w:id="1424" w:name="lt_pId374"/>
      <w:bookmarkEnd w:id="1423"/>
      <w:r>
        <w:t xml:space="preserve"> 27644/95, 7 aprilie 1997], a constatat totuși că „faptele din prezenta speță nu permit să se facă distincție între aceasta și cauza </w:t>
      </w:r>
      <w:r>
        <w:rPr>
          <w:i/>
        </w:rPr>
        <w:t>Balmer</w:t>
      </w:r>
      <w:r>
        <w:rPr>
          <w:i/>
        </w:rPr>
        <w:noBreakHyphen/>
        <w:t xml:space="preserve">Schafroth </w:t>
      </w:r>
      <w:r>
        <w:rPr>
          <w:i/>
          <w:iCs/>
        </w:rPr>
        <w:t>și alții</w:t>
      </w:r>
      <w:r>
        <w:t>”.</w:t>
      </w:r>
      <w:bookmarkEnd w:id="1424"/>
      <w:r>
        <w:t xml:space="preserve"> </w:t>
      </w:r>
      <w:bookmarkStart w:id="1425" w:name="lt_pId375"/>
      <w:r>
        <w:t xml:space="preserve">În schimb, Comisia, bazându-se pe hotărârea pronunțată de Curte în cauza </w:t>
      </w:r>
      <w:r>
        <w:rPr>
          <w:i/>
          <w:iCs/>
        </w:rPr>
        <w:t>Zander împotriva Suediei</w:t>
      </w:r>
      <w:r>
        <w:t xml:space="preserve"> (25 noiembrie 1993, pct. 25, seria A nr. 279-B), a concluzionat că „puterea discreționară de care beneficia Consiliul Federal nu era nelimitată și [că] exista un dezacord profund între autorități și reclamanți. </w:t>
      </w:r>
      <w:bookmarkStart w:id="1426" w:name="lt_pId376"/>
      <w:bookmarkEnd w:id="1425"/>
      <w:r>
        <w:t>În sfârșit, rezultatul litigiului era direct decisiv pentru dreptul reclamanților de a beneficia de protecție împotriva efectelor centralei nucleare</w:t>
      </w:r>
      <w:bookmarkEnd w:id="1426"/>
      <w:r>
        <w:t>. ”</w:t>
      </w:r>
    </w:p>
    <w:p w:rsidR="00690E9D" w:rsidRPr="008D4EA9" w:rsidRDefault="00690E9D" w:rsidP="00690E9D">
      <w:pPr>
        <w:pStyle w:val="JuPara"/>
        <w:rPr>
          <w:rFonts w:eastAsia="Times New Roman"/>
        </w:rPr>
      </w:pPr>
      <w:r w:rsidRPr="008D4EA9">
        <w:rPr>
          <w:rFonts w:eastAsia="Times New Roman"/>
        </w:rPr>
        <w:lastRenderedPageBreak/>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57</w:t>
      </w:r>
      <w:r w:rsidRPr="008D4EA9">
        <w:rPr>
          <w:rFonts w:eastAsia="Times New Roman"/>
        </w:rPr>
        <w:fldChar w:fldCharType="end"/>
      </w:r>
      <w:r>
        <w:t>.  </w:t>
      </w:r>
      <w:bookmarkStart w:id="1427" w:name="lt_pId377"/>
      <w:bookmarkStart w:id="1428" w:name="lt_pId378"/>
      <w:bookmarkEnd w:id="1427"/>
      <w:r>
        <w:t>În contextul prezentei cauze, consider că respectiva concluzie enunțată de majoritate la punctul 618 din hotărâre ar justifica în egală măsură – </w:t>
      </w:r>
      <w:r>
        <w:rPr>
          <w:i/>
        </w:rPr>
        <w:t>mutatis mutandis</w:t>
      </w:r>
      <w:r>
        <w:t> – concluzia Curții potrivit căreia rezultatul procedurii inițiate de reclamanții individuali a fost direct decisiv pentru aceste drepturi «cu caracter civil» consacrate de dreptul intern.</w:t>
      </w:r>
      <w:bookmarkEnd w:id="1428"/>
      <w:r>
        <w:t xml:space="preserve"> </w:t>
      </w:r>
      <w:bookmarkStart w:id="1429" w:name="lt_pId379"/>
      <w:r>
        <w:t>La acest punct, majoritatea a subliniat că „acțiunea inițiată de asociație se întemeia pe amenințarea legată de efectele nefaste ale schimbărilor climatice, în măsura în care acestea afectau sănătatea și bunăstarea membrilor săi [</w:t>
      </w:r>
      <w:r>
        <w:rPr>
          <w:i/>
        </w:rPr>
        <w:t xml:space="preserve">Gorraiz Lizarraga și alții împotriva Spaniei </w:t>
      </w:r>
      <w:r>
        <w:t>(nr. </w:t>
      </w:r>
      <w:bookmarkEnd w:id="1429"/>
      <w:r>
        <w:t xml:space="preserve"> </w:t>
      </w:r>
      <w:bookmarkStart w:id="1430" w:name="lt_pId380"/>
      <w:r>
        <w:t>62543/00, pct. 46, CEDO 2004-III)].</w:t>
      </w:r>
      <w:bookmarkEnd w:id="1430"/>
      <w:r>
        <w:t xml:space="preserve"> </w:t>
      </w:r>
      <w:bookmarkStart w:id="1431" w:name="lt_pId381"/>
      <w:r>
        <w:t>Curtea consideră că interesele apărate de asociația reclamantă sunt de așa natură încât «contestația» formulată de aceasta avea o legătură directă și suficientă cu drepturile în cauză ale aderentelor sale [adică ale reclamantelor individuale]. ”</w:t>
      </w:r>
      <w:bookmarkEnd w:id="1431"/>
      <w:r>
        <w:t xml:space="preserve"> </w:t>
      </w:r>
      <w:bookmarkStart w:id="1432" w:name="_Hlk163142739"/>
      <w:bookmarkStart w:id="1433" w:name="lt_pId382"/>
      <w:r>
        <w:t>Acest lucru este evidențiat și de faptul că, în cele din urmă, doar în cadrul acestei proceduri în fața instanțelor naționale, reclamantele ar fi putut solicita o reparație, de exemplu în legătură cu faptul că, așa cum au recunoscut autoritățile elvețiene, acestea nu și-au îndeplinit obligația de a atinge cel puțin obiectivul de reducere a emisiilor de gaze cu efect de seră pentru 2020 (menționat la pct. 559 din hotărâre)</w:t>
      </w:r>
      <w:bookmarkEnd w:id="1432"/>
      <w:r>
        <w:t>.</w:t>
      </w:r>
      <w:bookmarkEnd w:id="1433"/>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58</w:t>
      </w:r>
      <w:r w:rsidRPr="008D4EA9">
        <w:rPr>
          <w:rFonts w:eastAsia="Times New Roman"/>
        </w:rPr>
        <w:fldChar w:fldCharType="end"/>
      </w:r>
      <w:r>
        <w:t>.  </w:t>
      </w:r>
      <w:bookmarkStart w:id="1434" w:name="lt_pId383"/>
      <w:bookmarkStart w:id="1435" w:name="lt_pId384"/>
      <w:bookmarkEnd w:id="1434"/>
      <w:r>
        <w:t xml:space="preserve">Întrucât Curtea a stabilit că art. 6 § 1, care consacră dreptul de acces la o instanță, se aplica, în principiu, în cazul reclamantelor individuale, consider că, aplicând </w:t>
      </w:r>
      <w:r>
        <w:rPr>
          <w:i/>
          <w:iCs/>
        </w:rPr>
        <w:t>mutatis mutandis</w:t>
      </w:r>
      <w:r>
        <w:t xml:space="preserve"> raționamentul majorității de la punctele 629-637, în măsura în care capetele de cerere formulate de reclamante intrau sub incidența art. 6 § 1, „dreptul [lor] de acces la o instanță a fost restrâns într-o asemenea măsură și până în punctul în care a fost afectată însăși substanța acestui drept” (pct. 638 din hotărâre).</w:t>
      </w:r>
      <w:bookmarkEnd w:id="1435"/>
    </w:p>
    <w:p w:rsidR="00690E9D" w:rsidRPr="008D4EA9" w:rsidRDefault="00690E9D" w:rsidP="00690E9D">
      <w:pPr>
        <w:pStyle w:val="JuHHead"/>
        <w:numPr>
          <w:ilvl w:val="0"/>
          <w:numId w:val="1"/>
        </w:numPr>
        <w:rPr>
          <w:rFonts w:eastAsia="Times New Roman"/>
        </w:rPr>
      </w:pPr>
      <w:bookmarkStart w:id="1436" w:name="lt_pId385"/>
      <w:bookmarkStart w:id="1437" w:name="_Toc188017942"/>
      <w:bookmarkStart w:id="1438" w:name="_Toc199273610"/>
      <w:r>
        <w:t>Art. 2 și 8 – crearea unui nou drept</w:t>
      </w:r>
      <w:bookmarkEnd w:id="1436"/>
      <w:bookmarkEnd w:id="1437"/>
      <w:bookmarkEnd w:id="1438"/>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59</w:t>
      </w:r>
      <w:r w:rsidRPr="008D4EA9">
        <w:rPr>
          <w:rFonts w:eastAsia="Times New Roman"/>
        </w:rPr>
        <w:fldChar w:fldCharType="end"/>
      </w:r>
      <w:r>
        <w:t>.  </w:t>
      </w:r>
      <w:bookmarkStart w:id="1439" w:name="lt_pId386"/>
      <w:bookmarkStart w:id="1440" w:name="lt_pId387"/>
      <w:bookmarkEnd w:id="1439"/>
      <w:r>
        <w:t xml:space="preserve">Revenind la capetele de cerere formulate pe fond în temeiul art. 2 sau 8, din abordarea globală adoptată de majoritate, în contextul art. 2, reiese clar faptul că raționamentul său pornește de la un citat extras din hotărârea </w:t>
      </w:r>
      <w:bookmarkStart w:id="1441" w:name="_cl12820"/>
      <w:r>
        <w:rPr>
          <w:i/>
        </w:rPr>
        <w:t>Nicolae Virgiliu Tănase împotriva României</w:t>
      </w:r>
      <w:bookmarkEnd w:id="1441"/>
      <w:r>
        <w:t xml:space="preserve"> [(MC), nr.</w:t>
      </w:r>
      <w:r>
        <w:rPr>
          <w:vertAlign w:val="superscript"/>
        </w:rPr>
        <w:t>o</w:t>
      </w:r>
      <w:r>
        <w:t>41720/13, 25 iunie 2019</w:t>
      </w:r>
      <w:bookmarkStart w:id="1442" w:name="lt_pId388"/>
      <w:bookmarkEnd w:id="1440"/>
      <w:r>
        <w:t xml:space="preserve">; pct. 507 din hotărâre], în care Curtea impune să se demonstreze că persoana în cauză a fost „victima unei activități, publice sau private, care, prin însăși natura sa, a constituit un risc </w:t>
      </w:r>
      <w:r>
        <w:rPr>
          <w:u w:val="single"/>
        </w:rPr>
        <w:t>real și iminent pentru viața sa</w:t>
      </w:r>
      <w:r>
        <w:t>” (pct. 140, subliniere adăugată) și se abate de la acesta, ajungându-se la (prima) concluzie (care, în opinia mea, este discutabilă) (la pct. 509 din hotărâre), potrivit căreia „pretinsa neîndeplinire de către stat a obligației sale de a combate schimbările climatice se încadrează perfect în categoria cauzelor având ca obiect o activitate care, prin însăși natura sa, poate să pună în pericol viața unei persoane”.</w:t>
      </w:r>
      <w:bookmarkEnd w:id="1442"/>
      <w:r>
        <w:t xml:space="preserve"> </w:t>
      </w:r>
      <w:bookmarkStart w:id="1443" w:name="lt_pId389"/>
      <w:r>
        <w:t>În măsura în care ar exista vreo legătură de cauzalitate, din motivele expuse mai sus (atunci când se examinează problema calității de „victimă” sau a calității procesuale), această legătură este în mod evident prea îndepărtată pentru ca art. 2 să fie aplicabil.</w:t>
      </w:r>
      <w:bookmarkEnd w:id="1443"/>
    </w:p>
    <w:p w:rsidR="00690E9D" w:rsidRPr="008D4EA9" w:rsidRDefault="00690E9D" w:rsidP="00690E9D">
      <w:pPr>
        <w:pStyle w:val="JuPara"/>
        <w:rPr>
          <w:rFonts w:eastAsia="Times New Roman"/>
        </w:rPr>
      </w:pPr>
      <w:r w:rsidRPr="008D4EA9">
        <w:rPr>
          <w:rFonts w:eastAsia="Times New Roman"/>
        </w:rPr>
        <w:lastRenderedPageBreak/>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60</w:t>
      </w:r>
      <w:r w:rsidRPr="008D4EA9">
        <w:rPr>
          <w:rFonts w:eastAsia="Times New Roman"/>
        </w:rPr>
        <w:fldChar w:fldCharType="end"/>
      </w:r>
      <w:r>
        <w:t>.  </w:t>
      </w:r>
      <w:bookmarkStart w:id="1444" w:name="lt_pId390"/>
      <w:bookmarkStart w:id="1445" w:name="lt_pId391"/>
      <w:bookmarkEnd w:id="1444"/>
      <w:r>
        <w:t xml:space="preserve">Așadar, în acest stadiu timpuriu, majoritatea a minimizat considerabil (dacă nu chiar a ignorat) importanța necesității ca un astfel de risc la adresa vieții să fie „real și iminent” pentru a putea intra în sfera de competență a Curții, abordând această chestiune ulterior, la punctele 512-513 din hotărâre, dar fără să facă referire la clarificările suplimentare furnizate de Curte în cauza </w:t>
      </w:r>
      <w:r>
        <w:rPr>
          <w:i/>
        </w:rPr>
        <w:t>Nicolae Virgiliu Tănase</w:t>
      </w:r>
      <w:r>
        <w:t xml:space="preserve"> (citată anterior, pct. 142).</w:t>
      </w:r>
      <w:bookmarkEnd w:id="1445"/>
      <w:r>
        <w:t xml:space="preserve"> </w:t>
      </w:r>
      <w:bookmarkStart w:id="1446" w:name="lt_pId392"/>
      <w:r>
        <w:t>În această cauză, Curtea a recapitulat și raționalizat jurisprudența acesteia existentă la momentul respectiv (în 2019), precizând că „[î]n cazul în care nu este evident că, prin însăși natura sa, o activitate implică un risc real și iminent de deces, gravitatea vătămării suferite de reclamant are o și mai mare importanță.</w:t>
      </w:r>
      <w:bookmarkEnd w:id="1446"/>
      <w:r>
        <w:t xml:space="preserve"> </w:t>
      </w:r>
      <w:bookmarkStart w:id="1447" w:name="lt_pId393"/>
      <w:r>
        <w:t>În astfel de cazuri, un capăt de cerere trebuie examinat în raport cu art. 2 doar atunci când gravitatea vătămării este de așa natură încât viața victimei a fost pusă în grav pericol. ”</w:t>
      </w:r>
      <w:bookmarkEnd w:id="1447"/>
      <w:r>
        <w:t xml:space="preserve"> </w:t>
      </w:r>
      <w:bookmarkStart w:id="1448" w:name="lt_pId394"/>
      <w:r>
        <w:t>Din nou, este clar că nu acesta este scenariul prezentat de reclamantele în speță.</w:t>
      </w:r>
      <w:bookmarkEnd w:id="1448"/>
      <w:r>
        <w:t xml:space="preserve"> </w:t>
      </w:r>
      <w:bookmarkStart w:id="1449" w:name="lt_pId395"/>
      <w:r>
        <w:t xml:space="preserve">Pe plan juridic, această problemă nu este rezolvată de majoritate nici prin trimiterea (la pct. 512 din hotărâre) la deciziile pronunțate în cauza </w:t>
      </w:r>
      <w:r>
        <w:rPr>
          <w:i/>
        </w:rPr>
        <w:t>Koliadenko și alții împotriva Rusiei</w:t>
      </w:r>
      <w:r>
        <w:t xml:space="preserve"> (nr.</w:t>
      </w:r>
      <w:bookmarkStart w:id="1450" w:name="lt_pId396"/>
      <w:bookmarkEnd w:id="1449"/>
      <w:r>
        <w:t xml:space="preserve"> 17423/05 și alte 5, 28 februarie 2012), în care Curtea a încercat să determine dacă riscul era „iminent” stabilind dacă reclamanții erau prezenți sau absenți în momentul inundării domiciliului lor la 7 august 2001, sau în cauza </w:t>
      </w:r>
      <w:bookmarkStart w:id="1451" w:name="_cl22626"/>
      <w:r>
        <w:rPr>
          <w:i/>
        </w:rPr>
        <w:t>Brincat și alții împotriva Malt</w:t>
      </w:r>
      <w:bookmarkEnd w:id="1451"/>
      <w:r>
        <w:t>ei (nr.</w:t>
      </w:r>
      <w:bookmarkStart w:id="1452" w:name="lt_pId397"/>
      <w:bookmarkEnd w:id="1450"/>
      <w:r>
        <w:t> 60908/11 și alte 4, 24 iulie 2014), în care Curtea a respins un capăt de cerere cu privire la expunerea la azbest pe motiv că era imposibil să se afirme „că problemele lor de sănătate [constituiau] semne premergătoare inerente diagnosticării bolii respective, nici că problemele lor de sănătate [de la acea vreme] constitui[au] o amenințare la adresa vieții lor”.</w:t>
      </w:r>
      <w:bookmarkEnd w:id="1452"/>
      <w:r>
        <w:t xml:space="preserve"> </w:t>
      </w:r>
      <w:bookmarkStart w:id="1453" w:name="lt_pId398"/>
      <w:r>
        <w:t>În fapt, aceste decizii confirmă mai degrabă faptul că nu orice risc ce decurge din pretinsa inacțiune din speță poate îndeplini criteriul existenței unui risc „real și iminent”.</w:t>
      </w:r>
      <w:bookmarkEnd w:id="1453"/>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61</w:t>
      </w:r>
      <w:r w:rsidRPr="008D4EA9">
        <w:rPr>
          <w:rFonts w:eastAsia="Times New Roman"/>
        </w:rPr>
        <w:fldChar w:fldCharType="end"/>
      </w:r>
      <w:r>
        <w:t>.  </w:t>
      </w:r>
      <w:bookmarkStart w:id="1454" w:name="lt_pId399"/>
      <w:bookmarkStart w:id="1455" w:name="lt_pId400"/>
      <w:bookmarkEnd w:id="1454"/>
      <w:r>
        <w:t xml:space="preserve">În plus, chiar și atunci când se aplică acest prag mai ridicat, criteriul menționat – având în vedere poziția ocupată de acesta în cadrul raționamentului urmat de Curte în hotărârea pronunțată în cauza </w:t>
      </w:r>
      <w:r>
        <w:rPr>
          <w:i/>
          <w:iCs/>
        </w:rPr>
        <w:t>Nicolae Virgiliu Tănase</w:t>
      </w:r>
      <w:r>
        <w:t xml:space="preserve"> – se referă în mod evident doar la „o astfel de obligație [...] procedurală” (pct. 141), și anume „obligația [...] procedurală” identificată la pct. 137 din această hotărâre: „Curtea reamintește de asemenea că obligația care îi revine statului de a proteja dreptul la viață nu include doar aceste obligații pozitive materiale, ci și obligația pozitivă procedurală de a se asigura că, în cazurile de deces, există un sistem judiciar eficace și independent. ”</w:t>
      </w:r>
      <w:bookmarkEnd w:id="1455"/>
      <w:r>
        <w:t xml:space="preserve"> </w:t>
      </w:r>
      <w:bookmarkStart w:id="1456" w:name="lt_pId401"/>
      <w:r>
        <w:t xml:space="preserve">Acest criteriu nu are și nu poate avea legătură cu „obligația pozitivă materială” distinctă - care implică pentru stat „o îndatorire esențială de a asigura dreptul la viață prin crearea unui cadru legislativ și administrativ care să descurajeze punerea în pericol a dreptului respectiv” -, care a fost definită cu mult timp înainte, la punctul 135 din hotărârea </w:t>
      </w:r>
      <w:r>
        <w:rPr>
          <w:i/>
        </w:rPr>
        <w:t>Nicolae Virgiliu Tănase</w:t>
      </w:r>
      <w:r>
        <w:t>, dar care constituie fundamentul pe care se întemeiază obligația pozitivă pe care o impune majoritatea, în cele din urmă, în temeiul art. 8.</w:t>
      </w:r>
      <w:bookmarkEnd w:id="1456"/>
    </w:p>
    <w:p w:rsidR="00690E9D" w:rsidRPr="008D4EA9" w:rsidRDefault="00690E9D" w:rsidP="00690E9D">
      <w:pPr>
        <w:pStyle w:val="JuPara"/>
        <w:rPr>
          <w:rFonts w:eastAsia="Times New Roman"/>
        </w:rPr>
      </w:pPr>
      <w:r w:rsidRPr="008D4EA9">
        <w:rPr>
          <w:rFonts w:eastAsia="Times New Roman"/>
        </w:rPr>
        <w:lastRenderedPageBreak/>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62</w:t>
      </w:r>
      <w:r w:rsidRPr="008D4EA9">
        <w:rPr>
          <w:rFonts w:eastAsia="Times New Roman"/>
        </w:rPr>
        <w:fldChar w:fldCharType="end"/>
      </w:r>
      <w:r>
        <w:t>.  </w:t>
      </w:r>
      <w:bookmarkStart w:id="1457" w:name="lt_pId402"/>
      <w:bookmarkStart w:id="1458" w:name="lt_pId403"/>
      <w:bookmarkEnd w:id="1457"/>
      <w:r>
        <w:t xml:space="preserve">Prin urmare, se poate afirma că (pornind tot de la ipoteza admisibilității) că examinarea „obligației procedurale” menționate la punctul 507 din hotărâre (prin trimiterea la punctele 140-141 din hotărârea </w:t>
      </w:r>
      <w:r>
        <w:rPr>
          <w:i/>
        </w:rPr>
        <w:t>Nicolae Virgiliu Tănase</w:t>
      </w:r>
      <w:r>
        <w:t>) ar fi putut fi unită cu examinarea capătului de cerere formulat în temeiul art. 6 din Convenție și că, dacă ar fi dorit, majoritatea ar fi putut să ajungă astfel la o constatare privind încălcarea aspectului procedural al art. 2 sau 8.</w:t>
      </w:r>
      <w:bookmarkEnd w:id="1458"/>
      <w:r>
        <w:t xml:space="preserve"> </w:t>
      </w:r>
      <w:bookmarkStart w:id="1459" w:name="lt_pId404"/>
      <w:r>
        <w:t>Cu toate acestea, încălcarea aspectului material al art. 8, pe care majoritatea încearcă să o stabilească pornind de la această ipoteză, nu are niciun temei nici în textul Convenției, nici în jurisprudența Curții.</w:t>
      </w:r>
      <w:bookmarkEnd w:id="1459"/>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63</w:t>
      </w:r>
      <w:r w:rsidRPr="008D4EA9">
        <w:rPr>
          <w:rFonts w:eastAsia="Times New Roman"/>
        </w:rPr>
        <w:fldChar w:fldCharType="end"/>
      </w:r>
      <w:r>
        <w:t>.  </w:t>
      </w:r>
      <w:bookmarkStart w:id="1460" w:name="lt_pId406"/>
      <w:r>
        <w:t>Astfel cum a evidențiat în mod judicios majoritatea, la punctul 445 din hotărâre, Curtea a subliniat în repetate rânduri că niciun articol din Convenție nu garantează în mod specific o protecție generală a mediului ca atare [</w:t>
      </w:r>
      <w:r>
        <w:rPr>
          <w:i/>
        </w:rPr>
        <w:t>Kyrtatos împotriva Greciei</w:t>
      </w:r>
      <w:r>
        <w:t>, nr.</w:t>
      </w:r>
      <w:bookmarkStart w:id="1461" w:name="lt_pId407"/>
      <w:bookmarkEnd w:id="1460"/>
      <w:r>
        <w:t> 41666/98, pct. 52, CEDO 2003</w:t>
      </w:r>
      <w:r>
        <w:noBreakHyphen/>
        <w:t xml:space="preserve">VI (extrase), și </w:t>
      </w:r>
      <w:r>
        <w:rPr>
          <w:i/>
        </w:rPr>
        <w:t>Cordella și alții</w:t>
      </w:r>
      <w:r>
        <w:t>, citată anterior, pct. 100] și că, în acest sens, alte instrumente internaționale și legislații naționale reprezintă cadre mai adaptate pentru abordarea acestei probleme privind protecția.</w:t>
      </w:r>
      <w:bookmarkEnd w:id="1461"/>
      <w:r>
        <w:t xml:space="preserve"> </w:t>
      </w:r>
      <w:bookmarkStart w:id="1462" w:name="_cl28449"/>
      <w:bookmarkStart w:id="1463" w:name="lt_pId408"/>
      <w:r>
        <w:t xml:space="preserve">În hotărârea </w:t>
      </w:r>
      <w:r>
        <w:rPr>
          <w:i/>
        </w:rPr>
        <w:t>Jugheli și alții împotriva Georgiei</w:t>
      </w:r>
      <w:bookmarkEnd w:id="1462"/>
      <w:r>
        <w:t xml:space="preserve"> (nr.</w:t>
      </w:r>
      <w:bookmarkStart w:id="1464" w:name="lt_pId409"/>
      <w:bookmarkEnd w:id="1463"/>
      <w:r>
        <w:t> 38342/05, pct. 62, 13 iulie 2017), Curtea a mai făcut următoarele precizări:</w:t>
      </w:r>
      <w:bookmarkEnd w:id="1464"/>
    </w:p>
    <w:p w:rsidR="00690E9D" w:rsidRPr="008D4EA9" w:rsidRDefault="00690E9D" w:rsidP="00690E9D">
      <w:pPr>
        <w:pStyle w:val="JuQuot"/>
        <w:rPr>
          <w:rFonts w:eastAsia="Times New Roman"/>
        </w:rPr>
      </w:pPr>
      <w:bookmarkStart w:id="1465" w:name="lt_pId410"/>
      <w:r>
        <w:t>„Curtea reamintește de la bun început că art. 8 nu este aplicabil de fiecare dată când apare o situație de poluare a mediului.</w:t>
      </w:r>
      <w:bookmarkEnd w:id="1465"/>
      <w:r>
        <w:t xml:space="preserve"> </w:t>
      </w:r>
      <w:bookmarkStart w:id="1466" w:name="lt_pId411"/>
      <w:r>
        <w:t>Convenția nu recunoaște în mod expres dreptul la un mediu curat și liniștit, însă atunci când o persoană este afectată în mod direct și grav de zgomot sau de alte tipuri de poluare, poate apărea o problemă în temeiul art. 8 [...].</w:t>
      </w:r>
      <w:bookmarkStart w:id="1467" w:name="lt_pId412"/>
      <w:bookmarkEnd w:id="1466"/>
      <w:r>
        <w:t xml:space="preserve"> În plus, consecințele nefaste ale poluării mediului trebuie să atingă un nivel minim de gravitate pentru a intra sub incidența art. 8 [...].</w:t>
      </w:r>
      <w:bookmarkEnd w:id="1467"/>
      <w:r>
        <w:t xml:space="preserve"> </w:t>
      </w:r>
      <w:bookmarkStart w:id="1468" w:name="lt_pId413"/>
      <w:r>
        <w:t>Aprecierea acestui nivel minim este relativă și depinde de toate circumstanțele cauzei, cum ar fi intensitatea și durata poluării, precum și de efectele fizice sau psihologice ale acesteia.</w:t>
      </w:r>
      <w:bookmarkEnd w:id="1468"/>
      <w:r>
        <w:t xml:space="preserve"> </w:t>
      </w:r>
      <w:bookmarkStart w:id="1469" w:name="lt_pId414"/>
      <w:r>
        <w:t>Nu poate exista o pretenție întemeiată din perspectiva art. 8 dacă prejudiciul pretins este neglijabil în raport cu riscurile de mediu inerente vieții în orice oraș modern [...].</w:t>
      </w:r>
      <w:bookmarkEnd w:id="1469"/>
      <w:r>
        <w:t> ”</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64</w:t>
      </w:r>
      <w:r w:rsidRPr="008D4EA9">
        <w:rPr>
          <w:rFonts w:eastAsia="Times New Roman"/>
        </w:rPr>
        <w:fldChar w:fldCharType="end"/>
      </w:r>
      <w:r>
        <w:t>.  </w:t>
      </w:r>
      <w:bookmarkStart w:id="1470" w:name="lt_pId415"/>
      <w:bookmarkStart w:id="1471" w:name="lt_pId416"/>
      <w:bookmarkEnd w:id="1470"/>
      <w:r>
        <w:t>Desigur, una dintre caracteristicile schimbărilor climatice este aceea că, în realitate, efectele acestora au devenit – cel puțin în raport cu orice eventuale elemente de comparație din cadrul statului pârât – „riscuri de mediu inerente vieții în orice oraș modern” și, ca atare, nu se poate deduce că art. 8 este aplicabil pe baza unei astfel de comparații, care, în jurisprudența Curții, tindea să aibă legătură cu o sursă identificată de poluare (potențială), situată în imediata vecinătate</w:t>
      </w:r>
      <w:bookmarkEnd w:id="1471"/>
      <w:r>
        <w:t>, sau să decurgă din aceasta.</w:t>
      </w:r>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65</w:t>
      </w:r>
      <w:r w:rsidRPr="008D4EA9">
        <w:rPr>
          <w:rFonts w:eastAsia="Times New Roman"/>
        </w:rPr>
        <w:fldChar w:fldCharType="end"/>
      </w:r>
      <w:r>
        <w:t>.  </w:t>
      </w:r>
      <w:bookmarkStart w:id="1472" w:name="lt_pId417"/>
      <w:bookmarkStart w:id="1473" w:name="lt_pId418"/>
      <w:bookmarkEnd w:id="1472"/>
      <w:r>
        <w:t>Cu toate acestea, făcând trimitere la o parte din această jurisprudență, majoritatea:</w:t>
      </w:r>
      <w:bookmarkEnd w:id="1473"/>
    </w:p>
    <w:p w:rsidR="00690E9D" w:rsidRPr="008D4EA9" w:rsidRDefault="00690E9D" w:rsidP="00690E9D">
      <w:pPr>
        <w:pStyle w:val="JuPara"/>
        <w:rPr>
          <w:rFonts w:eastAsia="Times New Roman"/>
        </w:rPr>
      </w:pPr>
      <w:bookmarkStart w:id="1474" w:name="lt_pId419"/>
      <w:r>
        <w:t>a)</w:t>
      </w:r>
      <w:bookmarkStart w:id="1475" w:name="lt_pId420"/>
      <w:bookmarkEnd w:id="1474"/>
      <w:r>
        <w:t>  creează un nou „[drept al] persoanelor la o protecție efectivă, din partea autorităților statului, împotriva efectelor nefaste grave ale schimbărilor climatice asupra vieții, sănătății, bunăstării și calității vieții acestora” (pct. 519 și 544 din hotărâre); și</w:t>
      </w:r>
      <w:bookmarkEnd w:id="1475"/>
    </w:p>
    <w:p w:rsidR="00690E9D" w:rsidRPr="008D4EA9" w:rsidRDefault="00690E9D" w:rsidP="00690E9D">
      <w:pPr>
        <w:pStyle w:val="JuPara"/>
        <w:rPr>
          <w:rFonts w:eastAsia="Times New Roman"/>
        </w:rPr>
      </w:pPr>
      <w:bookmarkStart w:id="1476" w:name="lt_pId421"/>
      <w:r>
        <w:t>b)</w:t>
      </w:r>
      <w:bookmarkStart w:id="1477" w:name="lt_pId422"/>
      <w:bookmarkEnd w:id="1476"/>
      <w:r>
        <w:t xml:space="preserve">  impune înaltelor părți contractante o nouă „obligație primordială [...] de a adopta </w:t>
      </w:r>
      <w:r>
        <w:rPr>
          <w:u w:val="single"/>
        </w:rPr>
        <w:t>și</w:t>
      </w:r>
      <w:r>
        <w:t xml:space="preserve"> de a aplica în mod efectiv și concret reglementări și măsuri de natură să atenueze efectele actuale și viitoare, potențial ireversibile, ale </w:t>
      </w:r>
      <w:r>
        <w:lastRenderedPageBreak/>
        <w:t>schimbărilor climatice” (pct. 545 din hotărâre, subliniere adăugată), obligație cu privire la care majoritatea deduce că este impusă de Convenție și potrivit căreia „[fiecare] stat contractant [trebuie] să ia măsuri în vederea unei reduceri semnificative și progresive a nivelurilor sale de emisii de GES, în vederea realizării obiectivului neutralității nete, în principiu în cursul următoarelor trei decenii” (pct. 548); or, niciuna dintre aceste obligații nu are niciun temei în art. 8 sau în orice altă dispoziție din Convenție sau din protocoalele sale.</w:t>
      </w:r>
      <w:bookmarkEnd w:id="1477"/>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66</w:t>
      </w:r>
      <w:r w:rsidRPr="008D4EA9">
        <w:rPr>
          <w:rFonts w:eastAsia="Times New Roman"/>
        </w:rPr>
        <w:fldChar w:fldCharType="end"/>
      </w:r>
      <w:r>
        <w:t>.  </w:t>
      </w:r>
      <w:bookmarkStart w:id="1478" w:name="lt_pId423"/>
      <w:bookmarkStart w:id="1479" w:name="lt_pId424"/>
      <w:bookmarkEnd w:id="1478"/>
      <w:r>
        <w:t xml:space="preserve">Nu doar atât, dar majoritatea, în cadrul unei abordări pe care o consider drept o abatere clară de la abordarea tradițională a Curții în ceea ce privește „domeniile sociale și tehnice dificile”, dezvoltate în contextul unor domenii despre care se poate spune că sunt (mult) mai puțin complexe decât lupta împotriva schimbărilor climatice antropice [a se vedea, de exemplu, </w:t>
      </w:r>
      <w:r>
        <w:rPr>
          <w:i/>
        </w:rPr>
        <w:t>Powell și Rayner împotriva Regatului Unit</w:t>
      </w:r>
      <w:r>
        <w:t xml:space="preserve"> (citată anterior, pct. 44), și </w:t>
      </w:r>
      <w:r>
        <w:rPr>
          <w:i/>
        </w:rPr>
        <w:t>Hatton și alții</w:t>
      </w:r>
      <w:r>
        <w:t xml:space="preserve"> (citată anterior, pct. 100)], a considerat de asemenea că, în privința acestei noi obligații impuse statelor contractante - cel puțin în ceea ce privește „angajamentul statului față de necesitatea combaterii schimbărilor climatice și a efectelor nefaste ale acestora și stabilirea scopurilor și obiectivelor necesare în această privință” -, statelor contractante li se va acorda doar o „marj[ă] redus[ă] de apreciere” (punctul 543 din hotărâre).</w:t>
      </w:r>
      <w:bookmarkEnd w:id="1479"/>
      <w:r>
        <w:t xml:space="preserve"> </w:t>
      </w:r>
      <w:bookmarkStart w:id="1480" w:name="lt_pId425"/>
      <w:r>
        <w:t>Majoritatea le acordă statelor o „largă marjă de apreciere” doar în ceea ce privește „alegerea mijloacelor, inclusiv alegerile operaționale și politicile adoptate în scopul atingerii obiectivelor și respectării angajamentelor stabilite pe plan internațional în lumina priorităților și resurselor”.</w:t>
      </w:r>
      <w:bookmarkEnd w:id="1480"/>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67</w:t>
      </w:r>
      <w:r w:rsidRPr="008D4EA9">
        <w:rPr>
          <w:rFonts w:eastAsia="Times New Roman"/>
        </w:rPr>
        <w:fldChar w:fldCharType="end"/>
      </w:r>
      <w:r>
        <w:t>.  </w:t>
      </w:r>
      <w:bookmarkStart w:id="1481" w:name="lt_pId426"/>
      <w:bookmarkStart w:id="1482" w:name="lt_pId427"/>
      <w:bookmarkEnd w:id="1481"/>
      <w:r>
        <w:t xml:space="preserve">Respectarea oricăreia dintre aceste marje de apreciere va fi de acum înainte controlată de către Curte (prin intermediul unei evaluări globale referitoare atât la măsurile de atenuare, cât și la măsurile de adaptare) și, este de presupus [având în vedere obligația de epuizare a căilor de atac interne, care decurge din art. 35 § 1 din Convenție (a se vedea analiza realizată la punctul </w:t>
      </w:r>
      <w:r w:rsidRPr="008D4EA9">
        <w:rPr>
          <w:rFonts w:eastAsia="Times New Roman"/>
        </w:rPr>
        <w:fldChar w:fldCharType="begin"/>
      </w:r>
      <w:r w:rsidRPr="008D4EA9">
        <w:rPr>
          <w:rFonts w:eastAsia="Times New Roman"/>
        </w:rPr>
        <w:instrText xml:space="preserve"> REF paragraph00044 \h  \* CharFormat </w:instrText>
      </w:r>
      <w:r>
        <w:rPr>
          <w:rFonts w:eastAsia="Times New Roman"/>
        </w:rPr>
        <w:instrText xml:space="preserve"> \* MERGEFORMAT </w:instrText>
      </w:r>
      <w:r w:rsidRPr="008D4EA9">
        <w:rPr>
          <w:rFonts w:eastAsia="Times New Roman"/>
        </w:rPr>
      </w:r>
      <w:r w:rsidRPr="008D4EA9">
        <w:rPr>
          <w:rFonts w:eastAsia="Times New Roman"/>
        </w:rPr>
        <w:fldChar w:fldCharType="separate"/>
      </w:r>
      <w:r w:rsidRPr="008D4EA9">
        <w:rPr>
          <w:rFonts w:eastAsia="Times New Roman"/>
        </w:rPr>
        <w:t>47</w:t>
      </w:r>
      <w:r w:rsidRPr="008D4EA9">
        <w:rPr>
          <w:rFonts w:eastAsia="Times New Roman"/>
        </w:rPr>
        <w:fldChar w:fldCharType="end"/>
      </w:r>
      <w:r>
        <w:t xml:space="preserve"> și următoarele de mai sus) și principiul subsidiarității], și de către instanțele naționale.</w:t>
      </w:r>
      <w:bookmarkEnd w:id="1482"/>
      <w:r>
        <w:t xml:space="preserve"> </w:t>
      </w:r>
      <w:bookmarkStart w:id="1483" w:name="lt_pId428"/>
      <w:r>
        <w:t>Această evaluare trebuie efectuată ținând seama de o serie detaliată de criterii, care sunt enunțate la punctul 550, inclusiv de „necesitatea [...] de actualizare a obiectivelor relevante de reducere a emisiilor de GES cu diligența necesară și pe baza celor mai bune cunoștințe disponibile” [pct. 550 lit. d) din hotărâre]; or, cu tot respectul, apreciez că această Curte nu este nici în măsură și nici nu dispune de mijloacele adecvate pentru realizarea unei astfel de aprecieri.</w:t>
      </w:r>
      <w:bookmarkEnd w:id="1483"/>
      <w:r>
        <w:t xml:space="preserve"> </w:t>
      </w:r>
      <w:bookmarkStart w:id="1484" w:name="lt_pId429"/>
      <w:r>
        <w:t xml:space="preserve">Prin însăși natura sa, această parte a criteriului demonstrează, în mod evident, motivul pentru care „natura și gravitatea amenințării, precum și consensul general cu privire la mizele legate de realizarea obiectivului primordial de protecție efectivă a climei, prin stabilirea unor obiective globale de reducere a emisiilor de GES, în conformitate cu angajamentele asumate de părțile contractante în ceea ce privește neutralitatea emisiilor de dioxid de carbon” (pct. 543 din hotărâre) nu oferă niciun fel de explicație sau justificare pentru adoptarea de către Curte </w:t>
      </w:r>
      <w:r>
        <w:lastRenderedPageBreak/>
        <w:t>a unei astfel de abordări, în ceea ce privește marja de apreciere, fundamental diferită față de cea adoptată până în prezent.</w:t>
      </w:r>
      <w:bookmarkEnd w:id="1484"/>
    </w:p>
    <w:p w:rsidR="00690E9D" w:rsidRPr="008D4EA9" w:rsidRDefault="00690E9D" w:rsidP="00690E9D">
      <w:pPr>
        <w:pStyle w:val="JuHHead"/>
        <w:numPr>
          <w:ilvl w:val="0"/>
          <w:numId w:val="1"/>
        </w:numPr>
        <w:rPr>
          <w:rFonts w:eastAsia="Times New Roman"/>
        </w:rPr>
      </w:pPr>
      <w:bookmarkStart w:id="1485" w:name="lt_pId430"/>
      <w:bookmarkStart w:id="1486" w:name="_Toc188017943"/>
      <w:bookmarkStart w:id="1487" w:name="_Toc199273611"/>
      <w:r>
        <w:t>Concluzie</w:t>
      </w:r>
      <w:bookmarkEnd w:id="1485"/>
      <w:bookmarkEnd w:id="1486"/>
      <w:bookmarkEnd w:id="1487"/>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68</w:t>
      </w:r>
      <w:r w:rsidRPr="008D4EA9">
        <w:rPr>
          <w:rFonts w:eastAsia="Times New Roman"/>
        </w:rPr>
        <w:fldChar w:fldCharType="end"/>
      </w:r>
      <w:r>
        <w:t>.  </w:t>
      </w:r>
      <w:bookmarkStart w:id="1488" w:name="lt_pId431"/>
      <w:bookmarkStart w:id="1489" w:name="lt_pId432"/>
      <w:bookmarkEnd w:id="1488"/>
      <w:r>
        <w:t>Având în vedere cele de mai sus și recunoscând în mod clar natura sau amploarea riscurilor și provocărilor generate de schimbările climatice antropice, precum și necesitatea urgentă de a le aborda, Curtea ar fi adus deja o contribuție majoră dacă s-ar fi concentrat asupra unei încălcări a art. 6 din Convenție și, la limită, asupra unei încălcări a aspectului procedural al art. 8 în ceea ce privește în special (din nou) dreptul de acces la o instanță și dreptul de acces la informațiile necesare pentru a permite participarea efectivă a publicului la procesul de elaborare a politicilor și a reglementărilor necesare și pentru a asigura respectarea și aplicarea corespunzătoare a acestor politici și reglementări, precum și a celor deja adoptate în temeiul dreptului intern.</w:t>
      </w:r>
      <w:bookmarkStart w:id="1490" w:name="lt_pId433"/>
      <w:bookmarkEnd w:id="1489"/>
      <w:r>
        <w:t xml:space="preserve"> Cu toate acestea, în opinia mea, majoritatea a încercat, în mod evident, să pună carul înaintea boilor și, astfel, a depășit ceea ce putea să facă în mod legitim, în calitate de instanță însărcinată să asigure „respectarea angajamentelor care decurg pentru înaltele părți contractante din [...] Convenție” (art. 19) prin „interpretarea și aplicarea Convenției” (art. 32).</w:t>
      </w:r>
      <w:bookmarkEnd w:id="1490"/>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69</w:t>
      </w:r>
      <w:r w:rsidRPr="008D4EA9">
        <w:rPr>
          <w:rFonts w:eastAsia="Times New Roman"/>
        </w:rPr>
        <w:fldChar w:fldCharType="end"/>
      </w:r>
      <w:r>
        <w:t>.  </w:t>
      </w:r>
      <w:bookmarkStart w:id="1491" w:name="lt_pId434"/>
      <w:bookmarkStart w:id="1492" w:name="lt_pId435"/>
      <w:bookmarkEnd w:id="1491"/>
      <w:r>
        <w:t>De asemenea, mă tem că, având în vederea această abordare și această concluzie, majoritatea creează, de fapt, speranța (falsă) că litigiile și instanțele pot să ofere „răspunsul necesar” deși, în fapt, nu există nicio perspectivă ca, prin intermediul litigiilor (în special în fața Curții) să fie accelerat procesul de adoptare a măsurilor necesare pentru combaterea schimbărilor climatice antropice.</w:t>
      </w:r>
      <w:bookmarkEnd w:id="1492"/>
      <w:r>
        <w:t xml:space="preserve"> </w:t>
      </w:r>
      <w:bookmarkStart w:id="1493" w:name="lt_pId436"/>
      <w:r>
        <w:t>În realitate, există un risc semnificativ ca noul drept/noua obligație create de majoritate (de sine stătătoare sau coroborate cu normele cu privire la calitatea procesuală a asociațiilor, a căror sferă a fost extinsă considerabil) să se dovedească a fi o distragere nedorită și inutilă pentru autoritățile naționale și internaționale, atât executive, cât și legislative, în măsura în care acestea le distrag atenția de la eforturile legislative și de negociere depuse în prezent</w:t>
      </w:r>
      <w:r>
        <w:rPr>
          <w:rStyle w:val="FootnoteReference"/>
          <w:rFonts w:eastAsia="Times New Roman"/>
        </w:rPr>
        <w:footnoteReference w:id="220"/>
      </w:r>
      <w:r>
        <w:t xml:space="preserve"> pentru a face față necesității – general acceptate – a urgenței de a acționa.</w:t>
      </w:r>
      <w:bookmarkEnd w:id="1493"/>
      <w:r>
        <w:t xml:space="preserve"> </w:t>
      </w:r>
      <w:bookmarkStart w:id="1494" w:name="lt_pId437"/>
      <w:r>
        <w:t xml:space="preserve">Nu numai că aceste autorități vor fi nevoite, de acum înainte, să evalueze și, dacă se consideră necesar, să elaboreze și să adopte (sau să fi adoptat) noi „reglementări și [...] măsuri de natură să atenueze efectele actuale și viitoare, potențial ireversibile, ale schimbărilor climatice”, dar există, de asemenea, un risc semnificativ ca acestea să fie implicate în litigii referitoare la reglementările și măsurile pe care le-au adoptat (fie pe cale de consecință, fie în mod independent) sau la modul în care aceste reglementări și măsuri au </w:t>
      </w:r>
      <w:r>
        <w:lastRenderedPageBreak/>
        <w:t>fost aplicate în practică și, în cazul în care un reclamant a obținut câștig de cauză, în proceduri îndelungate și incerte de executare a hotărârilor judecătorești pronunțate.</w:t>
      </w:r>
      <w:bookmarkEnd w:id="1494"/>
      <w:r>
        <w:t xml:space="preserve"> </w:t>
      </w:r>
      <w:bookmarkStart w:id="1495" w:name="lt_pId438"/>
      <w:r>
        <w:t>La urma urmei, în temeiul art. 46 § 2 din Convenție, supravegherea executării hotărârilor Curții revine Comitetului de Miniștri, adică reprezentanților statelor, care, contrar „intenției” lor, astfel cum reiese din textul Convenției, se află în situația în care le sunt impuse noi obligații semnificative de către Curte.</w:t>
      </w:r>
      <w:bookmarkEnd w:id="1495"/>
      <w:r>
        <w:t xml:space="preserve"> </w:t>
      </w:r>
      <w:bookmarkStart w:id="1496" w:name="lt_pId439"/>
      <w:r>
        <w:t>În acest context, doresc să subliniez că, probabil, caracterul general al concluziei la care a ajuns majoritatea în temeiul art. 46 (pct. 657 din hotărârea) nu va fi de folos în niciun fel Comitetului de Miniștri.</w:t>
      </w:r>
      <w:bookmarkEnd w:id="1496"/>
    </w:p>
    <w:p w:rsidR="00690E9D" w:rsidRPr="008D4EA9" w:rsidRDefault="00690E9D" w:rsidP="00690E9D">
      <w:pPr>
        <w:pStyle w:val="JuPara"/>
        <w:rPr>
          <w:rFonts w:eastAsia="Times New Roman"/>
        </w:rPr>
      </w:pPr>
      <w:r w:rsidRPr="008D4EA9">
        <w:rPr>
          <w:rFonts w:eastAsia="Times New Roman"/>
        </w:rPr>
        <w:fldChar w:fldCharType="begin"/>
      </w:r>
      <w:r w:rsidRPr="008D4EA9">
        <w:rPr>
          <w:rFonts w:eastAsia="Times New Roman"/>
        </w:rPr>
        <w:instrText xml:space="preserve"> SEQ level0 \*arabic \* MERGEFORMAT </w:instrText>
      </w:r>
      <w:r w:rsidRPr="008D4EA9">
        <w:rPr>
          <w:rFonts w:eastAsia="Times New Roman"/>
        </w:rPr>
        <w:fldChar w:fldCharType="separate"/>
      </w:r>
      <w:r w:rsidRPr="008D4EA9">
        <w:rPr>
          <w:rFonts w:eastAsia="Times New Roman"/>
        </w:rPr>
        <w:t>70</w:t>
      </w:r>
      <w:r w:rsidRPr="008D4EA9">
        <w:rPr>
          <w:rFonts w:eastAsia="Times New Roman"/>
        </w:rPr>
        <w:fldChar w:fldCharType="end"/>
      </w:r>
      <w:r>
        <w:t>.  </w:t>
      </w:r>
      <w:bookmarkStart w:id="1497" w:name="lt_pId440"/>
      <w:bookmarkStart w:id="1498" w:name="lt_pId441"/>
      <w:bookmarkEnd w:id="1497"/>
      <w:r>
        <w:t>În consecință, deși înțeleg și împărtășesc sentimentul foarte real de urgență și necesitatea de a acționa fără întârziere pentru combaterea schimbărilor climatice antropice, mă tem că, în această hotărâre, majoritatea a depășit ceea ce era justificat în mod legitim să facă și că, din păcate, procedând astfel, este posibil să fi obținut exact efectul opus celui dorit.</w:t>
      </w:r>
      <w:bookmarkEnd w:id="1498"/>
      <w:r>
        <w:t xml:space="preserve"> </w:t>
      </w:r>
    </w:p>
    <w:p w:rsidR="00690E9D" w:rsidRPr="00B067BE" w:rsidRDefault="00690E9D" w:rsidP="00690E9D"/>
    <w:p w:rsidR="00690E9D" w:rsidRPr="00B067BE" w:rsidRDefault="00690E9D" w:rsidP="00690E9D"/>
    <w:p w:rsidR="00690E9D" w:rsidRDefault="00690E9D" w:rsidP="00690E9D"/>
    <w:p w:rsidR="00F524A5" w:rsidRPr="00472687" w:rsidRDefault="00F524A5" w:rsidP="00472687">
      <w:pPr>
        <w:pStyle w:val="JuPara"/>
      </w:pPr>
    </w:p>
    <w:sectPr w:rsidR="00F524A5" w:rsidRPr="00472687" w:rsidSect="008E4199">
      <w:headerReference w:type="even" r:id="rId12"/>
      <w:headerReference w:type="default" r:id="rId13"/>
      <w:footerReference w:type="default" r:id="rId14"/>
      <w:endnotePr>
        <w:numFmt w:val="decimal"/>
      </w:end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281" w:rsidRDefault="00FD3281">
      <w:r>
        <w:separator/>
      </w:r>
    </w:p>
  </w:endnote>
  <w:endnote w:type="continuationSeparator" w:id="0">
    <w:p w:rsidR="00FD3281" w:rsidRDefault="00FD3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978" w:rsidRDefault="00E51978">
    <w:pPr>
      <w:pStyle w:val="Footer0"/>
      <w:jc w:val="center"/>
    </w:pPr>
    <w:r>
      <w:fldChar w:fldCharType="begin"/>
    </w:r>
    <w:r>
      <w:instrText xml:space="preserve"> PAGE   \* MERGEFORMAT </w:instrText>
    </w:r>
    <w:r>
      <w:fldChar w:fldCharType="separate"/>
    </w:r>
    <w:r w:rsidR="00690E9D">
      <w:rPr>
        <w:noProof/>
      </w:rPr>
      <w:t>18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978" w:rsidRPr="00150BFA" w:rsidRDefault="00E51978" w:rsidP="0020718E">
    <w:pPr>
      <w:jc w:val="center"/>
    </w:pPr>
    <w:r>
      <w:rPr>
        <w:noProof/>
        <w:lang w:eastAsia="ro-RO"/>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E51978" w:rsidRPr="00F27D13" w:rsidRDefault="00E51978"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978" w:rsidRPr="008E4199" w:rsidRDefault="00E51978" w:rsidP="0020718E">
    <w:pPr>
      <w:jc w:val="center"/>
      <w:rPr>
        <w:sz w:val="18"/>
        <w:szCs w:val="18"/>
      </w:rPr>
    </w:pPr>
    <w:r w:rsidRPr="008E4199">
      <w:rPr>
        <w:sz w:val="18"/>
      </w:rPr>
      <w:fldChar w:fldCharType="begin"/>
    </w:r>
    <w:r w:rsidRPr="008E4199">
      <w:rPr>
        <w:sz w:val="18"/>
      </w:rPr>
      <w:instrText xml:space="preserve"> PAGE   \* MERGEFORMAT </w:instrText>
    </w:r>
    <w:r w:rsidRPr="008E4199">
      <w:rPr>
        <w:sz w:val="18"/>
      </w:rPr>
      <w:fldChar w:fldCharType="separate"/>
    </w:r>
    <w:r w:rsidR="00690E9D">
      <w:rPr>
        <w:noProof/>
        <w:sz w:val="18"/>
      </w:rPr>
      <w:t>19</w:t>
    </w:r>
    <w:r w:rsidRPr="008E4199">
      <w:rPr>
        <w:sz w:val="18"/>
      </w:rPr>
      <w:fldChar w:fldCharType="end"/>
    </w:r>
  </w:p>
  <w:p w:rsidR="00E51978" w:rsidRPr="00F27D13" w:rsidRDefault="00E51978" w:rsidP="00F27D13">
    <w:pPr>
      <w:pStyle w:val="Footer0"/>
      <w:jc w:val="cen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281" w:rsidRPr="00D7218E" w:rsidRDefault="00FD3281">
      <w:r w:rsidRPr="00D7218E">
        <w:separator/>
      </w:r>
    </w:p>
  </w:footnote>
  <w:footnote w:type="continuationSeparator" w:id="0">
    <w:p w:rsidR="00FD3281" w:rsidRPr="00D7218E" w:rsidRDefault="00FD3281">
      <w:r w:rsidRPr="00D7218E">
        <w:continuationSeparator/>
      </w:r>
    </w:p>
  </w:footnote>
  <w:footnote w:id="1">
    <w:p w:rsidR="00E51978" w:rsidRPr="004E097F" w:rsidRDefault="00E51978" w:rsidP="00F47ACE">
      <w:pPr>
        <w:pStyle w:val="FootnoteText"/>
        <w:rPr>
          <w:strike/>
        </w:rPr>
      </w:pPr>
      <w:r>
        <w:rPr>
          <w:rStyle w:val="FootnoteReference"/>
        </w:rPr>
        <w:footnoteRef/>
      </w:r>
      <w:r>
        <w:t xml:space="preserve"> Convenția privind accesul la informație, participarea publicului la luarea deciziei și accesul la justiție în probleme de mediu, Organizația Națiunilor Unite, </w:t>
      </w:r>
      <w:r>
        <w:rPr>
          <w:i/>
        </w:rPr>
        <w:t>Culegere de tratate,</w:t>
      </w:r>
      <w:r>
        <w:t xml:space="preserve"> vol. 2161, p. 447. Această convenție a fost adoptată la Aarhus (Danemarca) la 25 iunie 1998 și a intrat în vigoare la 30 octombrie 2001.</w:t>
      </w:r>
    </w:p>
    <w:p w:rsidR="00E51978" w:rsidRPr="004E097F" w:rsidRDefault="00E51978" w:rsidP="00F47ACE">
      <w:pPr>
        <w:pStyle w:val="FootnoteText"/>
        <w:rPr>
          <w:b/>
          <w:bCs/>
        </w:rPr>
      </w:pPr>
    </w:p>
  </w:footnote>
  <w:footnote w:id="2">
    <w:p w:rsidR="00E51978" w:rsidRPr="004E097F" w:rsidRDefault="00E51978" w:rsidP="00F47ACE">
      <w:pPr>
        <w:pStyle w:val="FootnoteText"/>
      </w:pPr>
      <w:r>
        <w:rPr>
          <w:rStyle w:val="FootnoteReference"/>
        </w:rPr>
        <w:footnoteRef/>
      </w:r>
      <w:r>
        <w:t xml:space="preserve"> Acordul de la Paris, 12 decembrie 2015, Organizația Națiunilor Unite, </w:t>
      </w:r>
      <w:r>
        <w:rPr>
          <w:i/>
          <w:iCs/>
        </w:rPr>
        <w:t>Culegere de tratate</w:t>
      </w:r>
      <w:r>
        <w:t>, vol. 3156.</w:t>
      </w:r>
    </w:p>
  </w:footnote>
  <w:footnote w:id="3">
    <w:p w:rsidR="00E51978" w:rsidRPr="004E097F" w:rsidRDefault="00E51978" w:rsidP="00F47ACE">
      <w:pPr>
        <w:pStyle w:val="FootnoteText"/>
        <w:rPr>
          <w:b/>
          <w:bCs/>
        </w:rPr>
      </w:pPr>
      <w:r>
        <w:rPr>
          <w:rStyle w:val="FootnoteReference"/>
        </w:rPr>
        <w:footnoteRef/>
      </w:r>
      <w:r>
        <w:t xml:space="preserve"> Trimitere la raportul IPCC „Climate Change 2021: The Physical Science Basis”. Contribuția Grupului de lucru I la cel de-al șaselea Raport de evaluare al Grupului interguvernamental privind schimbările climatice („AR6 WGI”).</w:t>
      </w:r>
    </w:p>
  </w:footnote>
  <w:footnote w:id="4">
    <w:p w:rsidR="00E51978" w:rsidRPr="004E097F" w:rsidRDefault="00E51978" w:rsidP="00F47ACE">
      <w:pPr>
        <w:pStyle w:val="FootnoteText"/>
      </w:pPr>
      <w:r>
        <w:rPr>
          <w:rStyle w:val="FootnoteReference"/>
        </w:rPr>
        <w:footnoteRef/>
      </w:r>
      <w:r>
        <w:t xml:space="preserve"> Trimitere la „AR6 Synthesis Report: Climate Change 2023” („AR6 SR”).</w:t>
      </w:r>
    </w:p>
  </w:footnote>
  <w:footnote w:id="5">
    <w:p w:rsidR="00E51978" w:rsidRPr="004E097F" w:rsidRDefault="00E51978" w:rsidP="00F47ACE">
      <w:pPr>
        <w:pStyle w:val="FootnoteText"/>
      </w:pPr>
      <w:r>
        <w:rPr>
          <w:rStyle w:val="FootnoteReference"/>
        </w:rPr>
        <w:footnoteRef/>
      </w:r>
      <w:r>
        <w:t xml:space="preserve"> Trimitere, în special, la raportul IPCC „Climate Change 2022: Impacts, Adaptation and Vulnerability”. Contribuția Grupului de lucru II la cel de-al șaselea Raport de evaluare al IPCC („AR6 WGII”); și la studiul elaborat de Vicedo-Cabrera, Scovronick, Sera ș.a. „The burden of heat-related mortality attributable to recent human-induced climate change”, </w:t>
      </w:r>
      <w:r>
        <w:rPr>
          <w:i/>
        </w:rPr>
        <w:t>Nature Climate Change</w:t>
      </w:r>
      <w:r>
        <w:t xml:space="preserve"> 11, 492-500 (2021).</w:t>
      </w:r>
    </w:p>
  </w:footnote>
  <w:footnote w:id="6">
    <w:p w:rsidR="00E51978" w:rsidRPr="004E097F" w:rsidRDefault="00E51978" w:rsidP="00F47ACE">
      <w:pPr>
        <w:pStyle w:val="FootnoteText"/>
      </w:pPr>
      <w:r>
        <w:rPr>
          <w:rStyle w:val="FootnoteReference"/>
        </w:rPr>
        <w:footnoteRef/>
      </w:r>
      <w:r>
        <w:t xml:space="preserve"> Trimitere, în special, la raportul AR6 WGII (citat anterior); și la studiul elaborat de Evan De Schrijver, Sidharth Sivaraj, Christoph Raible ș.a., „Nationwide Projections of Heat and Cold</w:t>
      </w:r>
      <w:r>
        <w:noBreakHyphen/>
        <w:t>Related Mortality under Different Climate Change and Population Development Scenarios in Switzerland” (2003).</w:t>
      </w:r>
    </w:p>
  </w:footnote>
  <w:footnote w:id="7">
    <w:p w:rsidR="00E51978" w:rsidRPr="00E60304" w:rsidRDefault="00E51978" w:rsidP="00F47ACE">
      <w:pPr>
        <w:pStyle w:val="FootnoteText"/>
      </w:pPr>
      <w:r>
        <w:rPr>
          <w:rStyle w:val="FootnoteReference"/>
        </w:rPr>
        <w:footnoteRef/>
      </w:r>
      <w:r>
        <w:t xml:space="preserve"> Trimitere la „The 2022 report of the Lancet Countdown on health and climate change: health at the mercy of fossil fuels”.</w:t>
      </w:r>
    </w:p>
  </w:footnote>
  <w:footnote w:id="8">
    <w:p w:rsidR="00E51978" w:rsidRPr="004E097F" w:rsidRDefault="00E51978" w:rsidP="00F47ACE">
      <w:pPr>
        <w:pStyle w:val="FootnoteText"/>
      </w:pPr>
      <w:r>
        <w:rPr>
          <w:rStyle w:val="FootnoteReference"/>
        </w:rPr>
        <w:footnoteRef/>
      </w:r>
      <w:r>
        <w:t xml:space="preserve"> Trimitere la raportul AR6 WGII (citat anterior).</w:t>
      </w:r>
    </w:p>
  </w:footnote>
  <w:footnote w:id="9">
    <w:p w:rsidR="00E51978" w:rsidRPr="004E097F" w:rsidRDefault="00E51978" w:rsidP="00F47ACE">
      <w:pPr>
        <w:pStyle w:val="FootnoteText"/>
      </w:pPr>
      <w:r>
        <w:rPr>
          <w:rStyle w:val="FootnoteReference"/>
        </w:rPr>
        <w:footnoteRef/>
      </w:r>
      <w:r>
        <w:t xml:space="preserve"> Trimitere, în special, la raportul FOEN „Climate Change in Switzerland” (2020); la raportul FOEN „La canicule et la sécheresse de l’été 2018” (2019); la raportul elaborat de Martina S. Ragettli și Martin Röösli, the Swiss Tropical and Public Health Institute (Institutul Elvețian Tropical și de Sănătate Publică) (2020); și la raportul AR6 WGII (citat anterior).</w:t>
      </w:r>
    </w:p>
  </w:footnote>
  <w:footnote w:id="10">
    <w:p w:rsidR="00E51978" w:rsidRPr="004E097F" w:rsidRDefault="00E51978" w:rsidP="00F47ACE">
      <w:pPr>
        <w:pStyle w:val="FootnoteText"/>
      </w:pPr>
      <w:r>
        <w:rPr>
          <w:rStyle w:val="FootnoteReference"/>
        </w:rPr>
        <w:footnoteRef/>
      </w:r>
      <w:r>
        <w:t xml:space="preserve"> Trimitere, în special, la raportul special al IPCC publicat în 2018 (citat anterior); la raportul AR6 WGII (citat anterior); și la studiul elaborat de Ana M. Vicedo-Cabrera, Evan De Schrijver, Dominik Schumacher ș.a., „The Footprint of Anthropogenic Climate Change on Heat-Related Deaths in Summer 2022 in Switzerland” (2003).</w:t>
      </w:r>
    </w:p>
  </w:footnote>
  <w:footnote w:id="11">
    <w:p w:rsidR="00E51978" w:rsidRPr="004E097F" w:rsidRDefault="00E51978" w:rsidP="00F47ACE">
      <w:pPr>
        <w:pStyle w:val="FootnoteText"/>
      </w:pPr>
      <w:r>
        <w:rPr>
          <w:rStyle w:val="FootnoteReference"/>
        </w:rPr>
        <w:footnoteRef/>
      </w:r>
      <w:r>
        <w:t xml:space="preserve"> Trimitere, în special, la raportul Swiss Tropical and Public Health Institute, „Hitze und Gesundheit” (2022); la studiul elaborat de Saucy ș.a., „The role of extreme temperature in cause-specific acute cardiovascular mortality in Switzerland: A case-crossover study”, </w:t>
      </w:r>
      <w:r>
        <w:rPr>
          <w:i/>
        </w:rPr>
        <w:t>Science of The Total Environment</w:t>
      </w:r>
      <w:r>
        <w:t>, vol. 790, 10 octombrie 2021; și la raportul elaborat de Martina S. Ragettli și Martin Röösli, Swiss Tropical and Public Health Institute (2021).</w:t>
      </w:r>
    </w:p>
  </w:footnote>
  <w:footnote w:id="12">
    <w:p w:rsidR="00E51978" w:rsidRPr="004E097F" w:rsidRDefault="00E51978" w:rsidP="00F47ACE">
      <w:pPr>
        <w:pStyle w:val="FootnoteText"/>
      </w:pPr>
      <w:r>
        <w:rPr>
          <w:rStyle w:val="FootnoteReference"/>
        </w:rPr>
        <w:footnoteRef/>
      </w:r>
      <w:r>
        <w:t xml:space="preserve"> Trimitere îndeosebi la Raportul special al IPCC publicat în 2018 (citat anterior);</w:t>
      </w:r>
    </w:p>
  </w:footnote>
  <w:footnote w:id="13">
    <w:p w:rsidR="00E51978" w:rsidRPr="00E60304" w:rsidRDefault="00E51978" w:rsidP="00F47ACE">
      <w:pPr>
        <w:pStyle w:val="FootnoteText"/>
      </w:pPr>
      <w:r>
        <w:rPr>
          <w:rStyle w:val="FootnoteReference"/>
        </w:rPr>
        <w:footnoteRef/>
      </w:r>
      <w:r>
        <w:t xml:space="preserve"> Trimitere la raportul FOEN, „Kenngrössen zur Entwicklung der Treibhausgasemissionen in der Schweiz 1990-2020”.</w:t>
      </w:r>
    </w:p>
  </w:footnote>
  <w:footnote w:id="14">
    <w:p w:rsidR="00E51978" w:rsidRPr="004E097F" w:rsidRDefault="00E51978" w:rsidP="00F47ACE">
      <w:pPr>
        <w:pStyle w:val="FootnoteText"/>
      </w:pPr>
      <w:r>
        <w:rPr>
          <w:rStyle w:val="FootnoteReference"/>
        </w:rPr>
        <w:footnoteRef/>
      </w:r>
      <w:r>
        <w:t xml:space="preserve"> Trimitere la portalul Our World in Data (1 octombrie 2019), disponibil la adresa www.ourworldindata.org (ultima consultare la 14.02.2024).</w:t>
      </w:r>
    </w:p>
  </w:footnote>
  <w:footnote w:id="15">
    <w:p w:rsidR="00E51978" w:rsidRPr="004E097F" w:rsidRDefault="00E51978" w:rsidP="00F47ACE">
      <w:pPr>
        <w:pStyle w:val="FootnoteText"/>
      </w:pPr>
      <w:r>
        <w:rPr>
          <w:rStyle w:val="FootnoteReference"/>
        </w:rPr>
        <w:footnoteRef/>
      </w:r>
      <w:r>
        <w:t xml:space="preserve"> Trimitere la raportul FOEN „Greenhouse gas emissions from aviation” (2022).</w:t>
      </w:r>
    </w:p>
  </w:footnote>
  <w:footnote w:id="16">
    <w:p w:rsidR="00E51978" w:rsidRPr="004E097F" w:rsidRDefault="00E51978" w:rsidP="00F47ACE">
      <w:pPr>
        <w:pStyle w:val="FootnoteText"/>
      </w:pPr>
      <w:r>
        <w:rPr>
          <w:rStyle w:val="FootnoteReference"/>
        </w:rPr>
        <w:footnoteRef/>
      </w:r>
      <w:r>
        <w:t xml:space="preserve"> Trimitere la un grafic din Our World in Data.</w:t>
      </w:r>
    </w:p>
  </w:footnote>
  <w:footnote w:id="17">
    <w:p w:rsidR="00E51978" w:rsidRPr="004E097F" w:rsidRDefault="00E51978" w:rsidP="00F47ACE">
      <w:pPr>
        <w:pStyle w:val="FootnoteText"/>
      </w:pPr>
      <w:r>
        <w:rPr>
          <w:rStyle w:val="FootnoteReference"/>
        </w:rPr>
        <w:footnoteRef/>
      </w:r>
      <w:r>
        <w:t xml:space="preserve"> Trimitere la raportul FOEN pentru perioada 1990-2020 (citat anterior).</w:t>
      </w:r>
    </w:p>
  </w:footnote>
  <w:footnote w:id="18">
    <w:p w:rsidR="00E51978" w:rsidRPr="004E097F" w:rsidRDefault="00E51978" w:rsidP="00F47ACE">
      <w:pPr>
        <w:pStyle w:val="FootnoteText"/>
      </w:pPr>
      <w:r>
        <w:rPr>
          <w:rStyle w:val="FootnoteReference"/>
        </w:rPr>
        <w:footnoteRef/>
      </w:r>
      <w:r>
        <w:t xml:space="preserve"> Trimitere la raportul FOEN „Indicator Economy and Consumption, GHG footprint”, care se referă în special la amprenta de GES (2021).</w:t>
      </w:r>
    </w:p>
  </w:footnote>
  <w:footnote w:id="19">
    <w:p w:rsidR="00E51978" w:rsidRPr="00E60304" w:rsidRDefault="00E51978" w:rsidP="00F47ACE">
      <w:pPr>
        <w:pStyle w:val="FootnoteText"/>
      </w:pPr>
      <w:r>
        <w:rPr>
          <w:rStyle w:val="FootnoteReference"/>
        </w:rPr>
        <w:footnoteRef/>
      </w:r>
      <w:r>
        <w:t xml:space="preserve"> Trimitere la raportul „Kohlenstoffrisiken für den Finanzplatz Schweiz” (2015).</w:t>
      </w:r>
    </w:p>
  </w:footnote>
  <w:footnote w:id="20">
    <w:p w:rsidR="00E51978" w:rsidRPr="004E097F" w:rsidRDefault="00E51978" w:rsidP="00F47ACE">
      <w:pPr>
        <w:pStyle w:val="FootnoteText"/>
      </w:pPr>
      <w:r>
        <w:rPr>
          <w:rStyle w:val="FootnoteReference"/>
        </w:rPr>
        <w:footnoteRef/>
      </w:r>
      <w:r>
        <w:t xml:space="preserve"> Trimitere la comunicatul FOEN, „Le test climatique 2022 révèle le potentiel du marché financier” (2022).</w:t>
      </w:r>
    </w:p>
  </w:footnote>
  <w:footnote w:id="21">
    <w:p w:rsidR="00E51978" w:rsidRPr="004E097F" w:rsidRDefault="00E51978" w:rsidP="00F47ACE">
      <w:pPr>
        <w:pStyle w:val="FootnoteText"/>
      </w:pPr>
      <w:r>
        <w:rPr>
          <w:rStyle w:val="FootnoteReference"/>
        </w:rPr>
        <w:footnoteRef/>
      </w:r>
      <w:r>
        <w:t xml:space="preserve"> Trimitere la portalul privind schimbările climatice al Oficiului Federal de Meteorologie și Climatologie MeteoSwiss (Federal Office of Meteorology and Climatology MeteoSwiss portal on Climate Change) (modificat ultima dată la 14 ianuarie 2022).</w:t>
      </w:r>
    </w:p>
  </w:footnote>
  <w:footnote w:id="22">
    <w:p w:rsidR="00E51978" w:rsidRPr="004E097F" w:rsidRDefault="00E51978" w:rsidP="00F47ACE">
      <w:pPr>
        <w:pStyle w:val="FootnoteText"/>
      </w:pPr>
      <w:r>
        <w:rPr>
          <w:rStyle w:val="FootnoteReference"/>
        </w:rPr>
        <w:footnoteRef/>
      </w:r>
      <w:r>
        <w:t xml:space="preserve"> Trimitere la raportul FOEN „La canicule et la sécheresse de l’été 2018” (2019); la „Climate Report 2019” elaborat de MétéoSuisse (2020); la articolul elaborat de F. Michel, „Ein Tödlicher Sommer”, </w:t>
      </w:r>
      <w:r>
        <w:rPr>
          <w:i/>
        </w:rPr>
        <w:t>Die Republik</w:t>
      </w:r>
      <w:r>
        <w:t xml:space="preserve"> (2022).</w:t>
      </w:r>
    </w:p>
  </w:footnote>
  <w:footnote w:id="23">
    <w:p w:rsidR="00E51978" w:rsidRPr="004E097F" w:rsidRDefault="00E51978" w:rsidP="00F47ACE">
      <w:pPr>
        <w:pStyle w:val="FootnoteText"/>
      </w:pPr>
      <w:r>
        <w:rPr>
          <w:rStyle w:val="FootnoteReference"/>
        </w:rPr>
        <w:footnoteRef/>
      </w:r>
      <w:r>
        <w:t xml:space="preserve"> Trimitere la raportul FOEN „La canicule et la sécheresse” (citat anterior).</w:t>
      </w:r>
    </w:p>
  </w:footnote>
  <w:footnote w:id="24">
    <w:p w:rsidR="00E51978" w:rsidRPr="004E097F" w:rsidRDefault="00E51978" w:rsidP="00F47ACE">
      <w:pPr>
        <w:pStyle w:val="FootnoteText"/>
      </w:pPr>
      <w:r>
        <w:rPr>
          <w:rStyle w:val="FootnoteReference"/>
        </w:rPr>
        <w:footnoteRef/>
      </w:r>
      <w:r>
        <w:t xml:space="preserve"> Trimitere la raportul FOEN „Climate Change in Switzerland” (2020) (citat anterior); la raportul elaborat de Martina S. Ragettli și Martin Röösli, 2020 (citat anterior); și la articolul lui F. Michel (citat anterior).</w:t>
      </w:r>
    </w:p>
  </w:footnote>
  <w:footnote w:id="25">
    <w:p w:rsidR="00E51978" w:rsidRPr="004E097F" w:rsidRDefault="00E51978" w:rsidP="00F47ACE">
      <w:pPr>
        <w:pStyle w:val="FootnoteText"/>
        <w:rPr>
          <w:highlight w:val="lightGray"/>
        </w:rPr>
      </w:pPr>
      <w:r>
        <w:rPr>
          <w:rStyle w:val="FootnoteReference"/>
        </w:rPr>
        <w:footnoteRef/>
      </w:r>
      <w:r>
        <w:t xml:space="preserve"> </w:t>
      </w:r>
      <w:bookmarkStart w:id="73" w:name="lt_pId4995"/>
      <w:r>
        <w:t>Trimitere la raportul IPCC „Climate Change 2014: Impacts, Adaptation, and Vulnerability”, Contribuția Grupului de lucru II la cel de-al cincilea Raport de evaluare al IPCC („AR5 WGII”); la raportul FOEN „Hitze und Trockenheit im Sommer 2015” (2016); la raportul FOEN „La canicule et la sécheresse” (citat anterior); la raportul elaborat de Martina S. Ragettli și Martin Röösli, 2020 (citat anterior); și la articolul lui F. Michel (citat anterior).</w:t>
      </w:r>
      <w:bookmarkEnd w:id="73"/>
    </w:p>
  </w:footnote>
  <w:footnote w:id="26">
    <w:p w:rsidR="00E51978" w:rsidRPr="004E097F" w:rsidRDefault="00E51978" w:rsidP="00F47ACE">
      <w:pPr>
        <w:pStyle w:val="FootnoteText"/>
      </w:pPr>
      <w:r>
        <w:rPr>
          <w:rStyle w:val="FootnoteReference"/>
        </w:rPr>
        <w:footnoteRef/>
      </w:r>
      <w:r>
        <w:t xml:space="preserve"> FF 2020 7607 – Legea federală privind reducerea emisiilor de gaze cu efect de seră (Loi fédérale sur la réduction des émissions de gaz à effet de serre) (Legea privind emisiile de CO</w:t>
      </w:r>
      <w:r>
        <w:rPr>
          <w:vertAlign w:val="subscript"/>
        </w:rPr>
        <w:t>2</w:t>
      </w:r>
      <w:r>
        <w:t>).</w:t>
      </w:r>
    </w:p>
  </w:footnote>
  <w:footnote w:id="27">
    <w:p w:rsidR="00E51978" w:rsidRPr="004E097F" w:rsidRDefault="00E51978" w:rsidP="00F47ACE">
      <w:pPr>
        <w:pStyle w:val="FootnoteText"/>
      </w:pPr>
      <w:r>
        <w:rPr>
          <w:rStyle w:val="FootnoteReference"/>
        </w:rPr>
        <w:footnoteRef/>
      </w:r>
      <w:r>
        <w:t xml:space="preserve"> FF 2022 2652 – Legea federală privind reducerea emisiilor de CO</w:t>
      </w:r>
      <w:r>
        <w:rPr>
          <w:vertAlign w:val="subscript"/>
        </w:rPr>
        <w:t>2</w:t>
      </w:r>
      <w:r>
        <w:t xml:space="preserve"> (Loi fédérale sur la réduction des émissions de CO2 )(Legea privind emisiile de CO</w:t>
      </w:r>
      <w:r>
        <w:rPr>
          <w:vertAlign w:val="subscript"/>
        </w:rPr>
        <w:t>2</w:t>
      </w:r>
      <w:r>
        <w:t>) (proiect).</w:t>
      </w:r>
    </w:p>
  </w:footnote>
  <w:footnote w:id="28">
    <w:p w:rsidR="00E51978" w:rsidRPr="004E097F" w:rsidRDefault="00E51978" w:rsidP="00F47ACE">
      <w:pPr>
        <w:pStyle w:val="FootnoteText"/>
      </w:pPr>
      <w:r>
        <w:rPr>
          <w:rStyle w:val="FootnoteReference"/>
        </w:rPr>
        <w:footnoteRef/>
      </w:r>
      <w:r>
        <w:t xml:space="preserve"> Trimitere la comunicatul „Politique climatique: le Conseil fédéral adopte le message relatif à la révision de la loi sur le CO</w:t>
      </w:r>
      <w:r>
        <w:rPr>
          <w:vertAlign w:val="subscript"/>
        </w:rPr>
        <w:t>2</w:t>
      </w:r>
      <w:r>
        <w:t>”.</w:t>
      </w:r>
    </w:p>
  </w:footnote>
  <w:footnote w:id="29">
    <w:p w:rsidR="00E51978" w:rsidRPr="004E097F" w:rsidRDefault="00E51978" w:rsidP="00F47ACE">
      <w:pPr>
        <w:pStyle w:val="FootnoteText"/>
      </w:pPr>
      <w:r>
        <w:rPr>
          <w:rStyle w:val="FootnoteReference"/>
        </w:rPr>
        <w:footnoteRef/>
      </w:r>
      <w:r>
        <w:t xml:space="preserve"> Prezentat de Global Glacier Initiative.</w:t>
      </w:r>
    </w:p>
  </w:footnote>
  <w:footnote w:id="30">
    <w:p w:rsidR="00E51978" w:rsidRPr="004E097F" w:rsidRDefault="00E51978" w:rsidP="00F47ACE">
      <w:pPr>
        <w:pStyle w:val="FootnoteText"/>
      </w:pPr>
      <w:r>
        <w:rPr>
          <w:rStyle w:val="FootnoteReference"/>
        </w:rPr>
        <w:footnoteRef/>
      </w:r>
      <w:r>
        <w:t xml:space="preserve"> Trimitere la raportul IPCC „Climate Change 2007: Mitigation of Climate Change”. Contribuția Grupului de lucru III la cel de-al patrulea Raport de evaluare al IPCC. </w:t>
      </w:r>
    </w:p>
  </w:footnote>
  <w:footnote w:id="31">
    <w:p w:rsidR="00E51978" w:rsidRPr="004E097F" w:rsidRDefault="00E51978" w:rsidP="00F47ACE">
      <w:pPr>
        <w:pStyle w:val="FootnoteText"/>
      </w:pPr>
      <w:r>
        <w:rPr>
          <w:rStyle w:val="FootnoteReference"/>
        </w:rPr>
        <w:footnoteRef/>
      </w:r>
      <w:r>
        <w:t xml:space="preserve"> Trimitere la FF 2009 6723 – „Message relatif à la politique climatique suisse après 2012 (Révision de la loi sur le CO</w:t>
      </w:r>
      <w:r>
        <w:rPr>
          <w:vertAlign w:val="subscript"/>
        </w:rPr>
        <w:t>2</w:t>
      </w:r>
      <w:r>
        <w:t xml:space="preserve"> et initiative populaire fédérale « pour un climat sain »)”; și la FF 2012 1857 – „Message concernant l’évolution future de la politique agricole dans les années 2014–2017 (Politique agricole 2014–2017)”. </w:t>
      </w:r>
    </w:p>
  </w:footnote>
  <w:footnote w:id="32">
    <w:p w:rsidR="00E51978" w:rsidRPr="004E097F" w:rsidRDefault="00E51978" w:rsidP="00F47ACE">
      <w:pPr>
        <w:pStyle w:val="FootnoteText"/>
      </w:pPr>
      <w:r>
        <w:rPr>
          <w:rStyle w:val="FootnoteReference"/>
        </w:rPr>
        <w:footnoteRef/>
      </w:r>
      <w:r>
        <w:t xml:space="preserve"> Trimitere la FF 2018 229 – „Message relatif à la révision totale de la loi sur le CO</w:t>
      </w:r>
      <w:r>
        <w:rPr>
          <w:vertAlign w:val="subscript"/>
        </w:rPr>
        <w:t>2</w:t>
      </w:r>
      <w:r>
        <w:t xml:space="preserve"> pour la période postérieure à 2020”; și la FF 2018 373 – Legea federală privind reducerea emisiilor de gaze cu efect de seră (Legea privind emisiile de CO</w:t>
      </w:r>
      <w:r>
        <w:rPr>
          <w:vertAlign w:val="subscript"/>
        </w:rPr>
        <w:t>2</w:t>
      </w:r>
      <w:r>
        <w:t>).</w:t>
      </w:r>
    </w:p>
  </w:footnote>
  <w:footnote w:id="33">
    <w:p w:rsidR="00E51978" w:rsidRPr="004E097F" w:rsidRDefault="00E51978" w:rsidP="00F47ACE">
      <w:pPr>
        <w:pStyle w:val="FootnoteText"/>
      </w:pPr>
      <w:r>
        <w:rPr>
          <w:rStyle w:val="FootnoteReference"/>
        </w:rPr>
        <w:footnoteRef/>
      </w:r>
      <w:r>
        <w:t xml:space="preserve"> Trimitere la raportul AR5 WGII (citat anterior).</w:t>
      </w:r>
    </w:p>
  </w:footnote>
  <w:footnote w:id="34">
    <w:p w:rsidR="00E51978" w:rsidRPr="004E097F" w:rsidRDefault="00E51978" w:rsidP="00F47ACE">
      <w:pPr>
        <w:pStyle w:val="FootnoteText"/>
      </w:pPr>
      <w:r>
        <w:rPr>
          <w:rStyle w:val="FootnoteReference"/>
        </w:rPr>
        <w:footnoteRef/>
      </w:r>
      <w:r>
        <w:t xml:space="preserve"> Trimitere la „Switzerland’s submissions within the framework of international climate negotiations (UNFCCC): 2020”.</w:t>
      </w:r>
    </w:p>
  </w:footnote>
  <w:footnote w:id="35">
    <w:p w:rsidR="00E51978" w:rsidRPr="004E097F" w:rsidRDefault="00E51978" w:rsidP="00F47ACE">
      <w:pPr>
        <w:pStyle w:val="FootnoteText"/>
      </w:pPr>
      <w:r>
        <w:rPr>
          <w:rStyle w:val="FootnoteReference"/>
        </w:rPr>
        <w:footnoteRef/>
      </w:r>
      <w:r>
        <w:t xml:space="preserve"> Trimitere la „Emissions Gap Report 2022” (disponibil la adresa www.unep.org; ultima consultare la 14.02.2024), figura 3.1; și la publicația „A 1.5°C compatible Switzerland” (2021), Climate Analytics.</w:t>
      </w:r>
    </w:p>
  </w:footnote>
  <w:footnote w:id="36">
    <w:p w:rsidR="00E51978" w:rsidRPr="004E097F" w:rsidRDefault="00E51978" w:rsidP="00F47ACE">
      <w:pPr>
        <w:pStyle w:val="FootnoteText"/>
      </w:pPr>
      <w:r>
        <w:rPr>
          <w:rStyle w:val="FootnoteReference"/>
        </w:rPr>
        <w:footnoteRef/>
      </w:r>
      <w:r>
        <w:t xml:space="preserve"> Trimitere la FF 2021 2252 – Initiative parlementaire. Prolongation de l’objectif de réduction de la loi sur le CO</w:t>
      </w:r>
      <w:r>
        <w:rPr>
          <w:vertAlign w:val="subscript"/>
        </w:rPr>
        <w:t>2</w:t>
      </w:r>
      <w:r>
        <w:t>. Projet et rapport explicatif de la Commission de l’environnement, de l’aménagement du territoire et de l’énergie du Conseil national.</w:t>
      </w:r>
    </w:p>
  </w:footnote>
  <w:footnote w:id="37">
    <w:p w:rsidR="00E51978" w:rsidRPr="004E097F" w:rsidRDefault="00E51978" w:rsidP="00F47ACE">
      <w:pPr>
        <w:pStyle w:val="FootnoteText"/>
      </w:pPr>
      <w:r>
        <w:rPr>
          <w:rStyle w:val="FootnoteReference"/>
        </w:rPr>
        <w:footnoteRef/>
      </w:r>
      <w:r>
        <w:t xml:space="preserve"> Trimitere la „Message relatif à la révision de la loi sur le CO</w:t>
      </w:r>
      <w:r>
        <w:rPr>
          <w:vertAlign w:val="subscript"/>
        </w:rPr>
        <w:t>2</w:t>
      </w:r>
      <w:r>
        <w:t xml:space="preserve"> pour la période postérieure à 2024”.</w:t>
      </w:r>
    </w:p>
  </w:footnote>
  <w:footnote w:id="38">
    <w:p w:rsidR="00E51978" w:rsidRPr="004E097F" w:rsidRDefault="00E51978" w:rsidP="00F47ACE">
      <w:pPr>
        <w:pStyle w:val="FootnoteText"/>
      </w:pPr>
      <w:r>
        <w:rPr>
          <w:rStyle w:val="FootnoteReference"/>
        </w:rPr>
        <w:footnoteRef/>
      </w:r>
      <w:r>
        <w:t xml:space="preserve"> Trimitere la FF 2022 1537 – Loi fédérale relative aux objectifs en matière de protection du climat (LCl) (projet) [Legea federală privind obiectivele în materie de protecție a climei (LCI) (proiect)], articolele 3 § 3 și 4.</w:t>
      </w:r>
    </w:p>
  </w:footnote>
  <w:footnote w:id="39">
    <w:p w:rsidR="00E51978" w:rsidRPr="004E097F" w:rsidRDefault="00E51978" w:rsidP="00F47ACE">
      <w:pPr>
        <w:pStyle w:val="FootnoteText"/>
        <w:rPr>
          <w:strike/>
        </w:rPr>
      </w:pPr>
      <w:r>
        <w:rPr>
          <w:rStyle w:val="FootnoteReference"/>
        </w:rPr>
        <w:footnoteRef/>
      </w:r>
      <w:r>
        <w:t xml:space="preserve"> Trimitere la raportul IPCC, „Climate Change 2022: Mitigation of Climate Change”. Contribuția Grupului de lucru III la cel de-al șaselea Raport de evaluare al IPCC („AR6 WGIII”).</w:t>
      </w:r>
    </w:p>
  </w:footnote>
  <w:footnote w:id="40">
    <w:p w:rsidR="00E51978" w:rsidRPr="004E097F" w:rsidRDefault="00E51978" w:rsidP="00F47ACE">
      <w:pPr>
        <w:pStyle w:val="FootnoteText"/>
      </w:pPr>
      <w:r>
        <w:rPr>
          <w:rStyle w:val="FootnoteReference"/>
        </w:rPr>
        <w:footnoteRef/>
      </w:r>
      <w:r>
        <w:t xml:space="preserve"> Trimitere la AR6 WGI (citată anterior).</w:t>
      </w:r>
    </w:p>
  </w:footnote>
  <w:footnote w:id="41">
    <w:p w:rsidR="00E51978" w:rsidRPr="004E097F" w:rsidRDefault="00E51978" w:rsidP="00F47ACE">
      <w:pPr>
        <w:pStyle w:val="FootnoteText"/>
      </w:pPr>
      <w:r>
        <w:rPr>
          <w:rStyle w:val="FootnoteReference"/>
        </w:rPr>
        <w:footnoteRef/>
      </w:r>
      <w:r>
        <w:t xml:space="preserve"> Evaluare disponibilă la adresa www.climateactiontracker.org (ultima consultare la 14.02.2024)</w:t>
      </w:r>
    </w:p>
  </w:footnote>
  <w:footnote w:id="42">
    <w:p w:rsidR="00E51978" w:rsidRPr="004E097F" w:rsidRDefault="00E51978" w:rsidP="00F47ACE">
      <w:pPr>
        <w:pStyle w:val="FootnoteText"/>
      </w:pPr>
      <w:r>
        <w:rPr>
          <w:rStyle w:val="FootnoteReference"/>
        </w:rPr>
        <w:footnoteRef/>
      </w:r>
      <w:r>
        <w:rPr>
          <w:i/>
        </w:rPr>
        <w:t xml:space="preserve"> Ibidem</w:t>
      </w:r>
      <w:r>
        <w:t>.</w:t>
      </w:r>
    </w:p>
  </w:footnote>
  <w:footnote w:id="43">
    <w:p w:rsidR="00E51978" w:rsidRPr="004E097F" w:rsidRDefault="00E51978" w:rsidP="00F47ACE">
      <w:pPr>
        <w:pStyle w:val="FootnoteText"/>
      </w:pPr>
      <w:r>
        <w:rPr>
          <w:rStyle w:val="FootnoteReference"/>
        </w:rPr>
        <w:footnoteRef/>
      </w:r>
      <w:r>
        <w:t xml:space="preserve"> </w:t>
      </w:r>
      <w:r>
        <w:rPr>
          <w:i/>
        </w:rPr>
        <w:t>Ibidem</w:t>
      </w:r>
      <w:r>
        <w:t xml:space="preserve">; trimitere și la Rajamani și alții, „National «fair shares» in reducing greenhouse gas emissions within the principled framework of international environmental law”, </w:t>
      </w:r>
      <w:r>
        <w:rPr>
          <w:i/>
        </w:rPr>
        <w:t>Climate Policy</w:t>
      </w:r>
      <w:r>
        <w:t xml:space="preserve"> 21:8, pp. 983-1004, 2021.</w:t>
      </w:r>
    </w:p>
  </w:footnote>
  <w:footnote w:id="44">
    <w:p w:rsidR="00E51978" w:rsidRPr="004E097F" w:rsidRDefault="00E51978" w:rsidP="00F47ACE">
      <w:pPr>
        <w:pStyle w:val="FootnoteText"/>
      </w:pPr>
      <w:r>
        <w:rPr>
          <w:rStyle w:val="FootnoteReference"/>
        </w:rPr>
        <w:footnoteRef/>
      </w:r>
      <w:r>
        <w:t xml:space="preserve"> Trimitere la publicația „A 1.5°C compatible Switzerland”, Climate Analytics.</w:t>
      </w:r>
    </w:p>
  </w:footnote>
  <w:footnote w:id="45">
    <w:p w:rsidR="00E51978" w:rsidRPr="004E097F" w:rsidRDefault="00E51978" w:rsidP="00F47ACE">
      <w:pPr>
        <w:pStyle w:val="FootnoteText"/>
      </w:pPr>
      <w:r>
        <w:rPr>
          <w:rStyle w:val="FootnoteReference"/>
        </w:rPr>
        <w:footnoteRef/>
      </w:r>
      <w:r>
        <w:t xml:space="preserve"> Trimitere la „Emissions Gap Report 2022” (citat anterior); și la Raportul special al IPCC, publicat în 2018 (citat anterior).</w:t>
      </w:r>
    </w:p>
  </w:footnote>
  <w:footnote w:id="46">
    <w:p w:rsidR="00E51978" w:rsidRPr="004E097F" w:rsidRDefault="00E51978" w:rsidP="00F47ACE">
      <w:pPr>
        <w:pStyle w:val="FootnoteText"/>
      </w:pPr>
      <w:r>
        <w:rPr>
          <w:rStyle w:val="FootnoteReference"/>
        </w:rPr>
        <w:footnoteRef/>
      </w:r>
      <w:r>
        <w:t xml:space="preserve"> Trimitere la mesajul FF 2018 229 (citat anterior).</w:t>
      </w:r>
    </w:p>
  </w:footnote>
  <w:footnote w:id="47">
    <w:p w:rsidR="00E51978" w:rsidRPr="00E60304" w:rsidRDefault="00E51978" w:rsidP="00F47ACE">
      <w:pPr>
        <w:pStyle w:val="FootnoteText"/>
      </w:pPr>
      <w:r>
        <w:rPr>
          <w:rStyle w:val="FootnoteReference"/>
        </w:rPr>
        <w:footnoteRef/>
      </w:r>
      <w:r>
        <w:t xml:space="preserve"> Trimitere la „Switzerland’s information necessary for clarity, transparency and understanding in accordance with decision 1/CP.21 of its updated and enhanced nationally determined contribution (NDC) under the Paris Agreement (2021-2030)”. </w:t>
      </w:r>
    </w:p>
  </w:footnote>
  <w:footnote w:id="48">
    <w:p w:rsidR="00E51978" w:rsidRPr="004E097F" w:rsidRDefault="00E51978" w:rsidP="00F47ACE">
      <w:pPr>
        <w:pStyle w:val="FootnoteText"/>
      </w:pPr>
      <w:r>
        <w:rPr>
          <w:rStyle w:val="FootnoteReference"/>
        </w:rPr>
        <w:footnoteRef/>
      </w:r>
      <w:r>
        <w:t xml:space="preserve"> Trimitere la FOEN, „Climate and financial markets” (2020) și „Testing for climate goal alignment” (2022).</w:t>
      </w:r>
    </w:p>
  </w:footnote>
  <w:footnote w:id="49">
    <w:p w:rsidR="00E51978" w:rsidRPr="004E097F" w:rsidRDefault="00E51978" w:rsidP="00F47ACE">
      <w:pPr>
        <w:pStyle w:val="FootnoteText"/>
      </w:pPr>
      <w:r>
        <w:rPr>
          <w:rStyle w:val="FootnoteReference"/>
        </w:rPr>
        <w:footnoteRef/>
      </w:r>
      <w:r>
        <w:t xml:space="preserve"> Trimitere la FOEN, „Inventaire des gaz à effet de serre 2020 : la Suisse manque de peu son objectif climatique”. </w:t>
      </w:r>
    </w:p>
  </w:footnote>
  <w:footnote w:id="50">
    <w:p w:rsidR="00E51978" w:rsidRPr="004E097F" w:rsidRDefault="00E51978" w:rsidP="00F47ACE">
      <w:pPr>
        <w:pStyle w:val="FootnoteText"/>
      </w:pPr>
      <w:r>
        <w:rPr>
          <w:rStyle w:val="FootnoteReference"/>
        </w:rPr>
        <w:footnoteRef/>
      </w:r>
      <w:r>
        <w:t xml:space="preserve"> Trimitere la publicația elaborată de Climate Analytics (citată anterior) și la evaluarea CAT (citată anterior).</w:t>
      </w:r>
    </w:p>
  </w:footnote>
  <w:footnote w:id="51">
    <w:p w:rsidR="00E51978" w:rsidRPr="004E097F" w:rsidRDefault="00E51978" w:rsidP="00F47ACE">
      <w:pPr>
        <w:pStyle w:val="FootnoteText"/>
      </w:pPr>
      <w:r>
        <w:rPr>
          <w:rStyle w:val="FootnoteReference"/>
        </w:rPr>
        <w:footnoteRef/>
      </w:r>
      <w:r>
        <w:t xml:space="preserve"> Trimitere la CAT Targets (obiectivele CAT) (a se vedea supra).</w:t>
      </w:r>
    </w:p>
  </w:footnote>
  <w:footnote w:id="52">
    <w:p w:rsidR="00E51978" w:rsidRPr="004E097F" w:rsidRDefault="00E51978" w:rsidP="00F47ACE">
      <w:pPr>
        <w:pStyle w:val="FootnoteText"/>
      </w:pPr>
      <w:r>
        <w:rPr>
          <w:rStyle w:val="FootnoteReference"/>
        </w:rPr>
        <w:footnoteRef/>
      </w:r>
      <w:r>
        <w:t xml:space="preserve"> Protocolul de la Kyoto din 11 decembrie 1997 la Convenția-cadru a Națiunilor Unite asupra schimbărilor climatice, Organizația Națiunilor Unite </w:t>
      </w:r>
      <w:r>
        <w:rPr>
          <w:i/>
          <w:iCs/>
        </w:rPr>
        <w:t>Culegere de tratate</w:t>
      </w:r>
      <w:r>
        <w:t>, vol. 2303, p. 162.</w:t>
      </w:r>
    </w:p>
  </w:footnote>
  <w:footnote w:id="53">
    <w:p w:rsidR="00E51978" w:rsidRPr="004E097F" w:rsidRDefault="00E51978" w:rsidP="00F47ACE">
      <w:pPr>
        <w:pStyle w:val="FootnoteText"/>
      </w:pPr>
      <w:r>
        <w:rPr>
          <w:rStyle w:val="FootnoteReference"/>
        </w:rPr>
        <w:footnoteRef/>
      </w:r>
      <w:r>
        <w:t xml:space="preserve"> Trimitere la IPCC, cel de-al patrulea Raport de evaluare, AR4 „Climate Change 2007” („AR4”). </w:t>
      </w:r>
    </w:p>
  </w:footnote>
  <w:footnote w:id="54">
    <w:p w:rsidR="00E51978" w:rsidRPr="004E097F" w:rsidRDefault="00E51978" w:rsidP="00F47ACE">
      <w:pPr>
        <w:pStyle w:val="FootnoteText"/>
      </w:pPr>
      <w:r>
        <w:rPr>
          <w:rStyle w:val="FootnoteReference"/>
        </w:rPr>
        <w:footnoteRef/>
      </w:r>
      <w:r>
        <w:t xml:space="preserve"> Schema UE de comercializare a certificatelor de emisii de gaze cu efect de seră (EU ETS - EU Emissions Trading System) (disponibilă la adresa www.europa.eu; ultima consultare la 14.02.2024).</w:t>
      </w:r>
    </w:p>
  </w:footnote>
  <w:footnote w:id="55">
    <w:p w:rsidR="00E51978" w:rsidRPr="004E097F" w:rsidRDefault="00E51978" w:rsidP="00F47ACE">
      <w:pPr>
        <w:pStyle w:val="FootnoteText"/>
      </w:pPr>
      <w:r>
        <w:rPr>
          <w:rStyle w:val="FootnoteReference"/>
        </w:rPr>
        <w:footnoteRef/>
      </w:r>
      <w:r>
        <w:t xml:space="preserve"> Trimitere la raportul FOEN „Examen de l’objectif 2020 (pour la période de 2013 à 2020)”.</w:t>
      </w:r>
    </w:p>
  </w:footnote>
  <w:footnote w:id="56">
    <w:p w:rsidR="00E51978" w:rsidRPr="004E097F" w:rsidRDefault="00E51978" w:rsidP="00F47ACE">
      <w:pPr>
        <w:pStyle w:val="FootnoteText"/>
      </w:pPr>
      <w:r>
        <w:rPr>
          <w:rStyle w:val="FootnoteReference"/>
        </w:rPr>
        <w:footnoteRef/>
      </w:r>
      <w:r>
        <w:t xml:space="preserve"> Trimitere la FOEN, „Federal Council strategy for adaptation to climate change in Switzerland”.</w:t>
      </w:r>
    </w:p>
  </w:footnote>
  <w:footnote w:id="57">
    <w:p w:rsidR="00E51978" w:rsidRPr="004E097F" w:rsidRDefault="00E51978" w:rsidP="00F47ACE">
      <w:pPr>
        <w:pStyle w:val="FootnoteText"/>
      </w:pPr>
      <w:r>
        <w:rPr>
          <w:rStyle w:val="FootnoteReference"/>
        </w:rPr>
        <w:footnoteRef/>
      </w:r>
      <w:r>
        <w:t xml:space="preserve"> Trimitere la raportul „Boîte à outils contre la chaleur” (2021), elaborat de Swiss Tropical and Public Health Institute, sub autoritatea Oficiului Federal pentru Sănătate Publică (Federal Office for Public Health); și la raportul FOEN „Quand la ville surchauffe” (2018).</w:t>
      </w:r>
    </w:p>
  </w:footnote>
  <w:footnote w:id="58">
    <w:p w:rsidR="00E51978" w:rsidRPr="004E097F" w:rsidRDefault="00E51978" w:rsidP="00F47ACE">
      <w:pPr>
        <w:pStyle w:val="FootnoteText"/>
      </w:pPr>
      <w:r>
        <w:rPr>
          <w:rStyle w:val="FootnoteReference"/>
        </w:rPr>
        <w:footnoteRef/>
      </w:r>
      <w:r>
        <w:t xml:space="preserve"> Trimitere la studiul FOEN „Climate-related risks and opportunities” (2018).</w:t>
      </w:r>
    </w:p>
  </w:footnote>
  <w:footnote w:id="59">
    <w:p w:rsidR="00E51978" w:rsidRPr="004E097F" w:rsidRDefault="00E51978" w:rsidP="00F47ACE">
      <w:pPr>
        <w:pStyle w:val="FootnoteText"/>
      </w:pPr>
      <w:r>
        <w:rPr>
          <w:rStyle w:val="FootnoteReference"/>
        </w:rPr>
        <w:footnoteRef/>
      </w:r>
      <w:r>
        <w:t xml:space="preserve"> Trimitere la Programul-pilot al FOEN „Adaptation to climate change”.</w:t>
      </w:r>
    </w:p>
  </w:footnote>
  <w:footnote w:id="60">
    <w:p w:rsidR="00E51978" w:rsidRPr="004E097F" w:rsidRDefault="00E51978" w:rsidP="00F47ACE">
      <w:pPr>
        <w:pStyle w:val="FootnoteText"/>
      </w:pPr>
      <w:r>
        <w:rPr>
          <w:rStyle w:val="FootnoteReference"/>
        </w:rPr>
        <w:footnoteRef/>
      </w:r>
      <w:r>
        <w:t> Trimitere</w:t>
      </w:r>
      <w:bookmarkStart w:id="85" w:name="_cp_change_502"/>
      <w:r>
        <w:t xml:space="preserve"> la publicația FOEN „Chaleur”, disponibilă la adresa www.bag.admin.ch </w:t>
      </w:r>
      <w:bookmarkEnd w:id="85"/>
      <w:r>
        <w:t>(ultima consultare la 14.02.2024).</w:t>
      </w:r>
    </w:p>
  </w:footnote>
  <w:footnote w:id="61">
    <w:p w:rsidR="00E51978" w:rsidRPr="004E097F" w:rsidRDefault="00E51978" w:rsidP="00F47ACE">
      <w:pPr>
        <w:pStyle w:val="FootnoteText"/>
      </w:pPr>
      <w:r>
        <w:rPr>
          <w:rStyle w:val="FootnoteReference"/>
        </w:rPr>
        <w:footnoteRef/>
      </w:r>
      <w:r>
        <w:t xml:space="preserve"> Trimitere la comunicatul Consiliului Federal „Switzerland targets 50% reduction in greenhouse gas emissions by 2030”.</w:t>
      </w:r>
    </w:p>
  </w:footnote>
  <w:footnote w:id="62">
    <w:p w:rsidR="00E51978" w:rsidRPr="004E097F" w:rsidRDefault="00E51978" w:rsidP="00F47ACE">
      <w:pPr>
        <w:pStyle w:val="FootnoteText"/>
      </w:pPr>
      <w:r>
        <w:rPr>
          <w:rStyle w:val="FootnoteReference"/>
        </w:rPr>
        <w:footnoteRef/>
      </w:r>
      <w:r>
        <w:t xml:space="preserve"> Cel de-al cincilea raport de evaluare al IPCC, AR5 Climate Change 2014 („AR5”).</w:t>
      </w:r>
    </w:p>
  </w:footnote>
  <w:footnote w:id="63">
    <w:p w:rsidR="00E51978" w:rsidRPr="004E097F" w:rsidRDefault="00E51978" w:rsidP="00F47ACE">
      <w:pPr>
        <w:pStyle w:val="FootnoteText"/>
      </w:pPr>
      <w:r>
        <w:rPr>
          <w:rStyle w:val="FootnoteReference"/>
        </w:rPr>
        <w:footnoteRef/>
      </w:r>
      <w:r>
        <w:t xml:space="preserve"> Trimitere la comunicatul Consiliului Federal „Federal Council aims for a climate-neutral Switzerland by 2050”.</w:t>
      </w:r>
    </w:p>
  </w:footnote>
  <w:footnote w:id="64">
    <w:p w:rsidR="00E51978" w:rsidRPr="004E097F" w:rsidRDefault="00E51978" w:rsidP="00F47ACE">
      <w:pPr>
        <w:pStyle w:val="FootnoteText"/>
      </w:pPr>
      <w:r>
        <w:rPr>
          <w:rStyle w:val="FootnoteReference"/>
        </w:rPr>
        <w:footnoteRef/>
      </w:r>
      <w:r>
        <w:t xml:space="preserve"> Trimitere la comunicatul „Prolongation de l’objectif de réduction de la loi sur le CO</w:t>
      </w:r>
      <w:r>
        <w:rPr>
          <w:vertAlign w:val="subscript"/>
        </w:rPr>
        <w:t>2</w:t>
      </w:r>
      <w:r>
        <w:t>” (2021).</w:t>
      </w:r>
    </w:p>
  </w:footnote>
  <w:footnote w:id="65">
    <w:p w:rsidR="00E51978" w:rsidRPr="004E097F" w:rsidRDefault="00E51978" w:rsidP="00F47ACE">
      <w:pPr>
        <w:pStyle w:val="FootnoteText"/>
        <w:rPr>
          <w:b/>
          <w:bCs/>
        </w:rPr>
      </w:pPr>
      <w:r>
        <w:rPr>
          <w:rStyle w:val="FootnoteReference"/>
        </w:rPr>
        <w:footnoteRef/>
      </w:r>
      <w:r>
        <w:t xml:space="preserve"> Trimitere la comunicatul Consiliului Federal „Politique climatique: le Conseil fédéral pose les jalons pour un nouveau projet de loi”.</w:t>
      </w:r>
    </w:p>
  </w:footnote>
  <w:footnote w:id="66">
    <w:p w:rsidR="00E51978" w:rsidRPr="004E097F" w:rsidRDefault="00E51978" w:rsidP="00F47ACE">
      <w:pPr>
        <w:pStyle w:val="FootnoteText"/>
      </w:pPr>
      <w:r>
        <w:rPr>
          <w:rStyle w:val="FootnoteReference"/>
        </w:rPr>
        <w:footnoteRef/>
      </w:r>
      <w:r>
        <w:t xml:space="preserve"> Trimitere la comunicatul Consiliului Federal „Politique climatique: le Conseil fédéral met la loi révisée sur le CO</w:t>
      </w:r>
      <w:r>
        <w:rPr>
          <w:vertAlign w:val="subscript"/>
        </w:rPr>
        <w:t>2</w:t>
      </w:r>
      <w:r>
        <w:t xml:space="preserve"> en consultation”.</w:t>
      </w:r>
    </w:p>
  </w:footnote>
  <w:footnote w:id="67">
    <w:p w:rsidR="00E51978" w:rsidRPr="004E097F" w:rsidRDefault="00E51978" w:rsidP="00F47ACE">
      <w:pPr>
        <w:pStyle w:val="FootnoteText"/>
      </w:pPr>
      <w:r>
        <w:rPr>
          <w:rStyle w:val="FootnoteReference"/>
        </w:rPr>
        <w:footnoteRef/>
      </w:r>
      <w:r>
        <w:t xml:space="preserve"> Trimitere la comunicatul Consiliului Federal FF 2022 2651 „Message relatif à la révision de la loi sur le CO</w:t>
      </w:r>
      <w:r>
        <w:rPr>
          <w:vertAlign w:val="subscript"/>
        </w:rPr>
        <w:t>2</w:t>
      </w:r>
      <w:r>
        <w:t xml:space="preserve"> pour la période postérieure à 2024”.</w:t>
      </w:r>
    </w:p>
  </w:footnote>
  <w:footnote w:id="68">
    <w:p w:rsidR="00E51978" w:rsidRPr="004E097F" w:rsidRDefault="00E51978" w:rsidP="00F47ACE">
      <w:pPr>
        <w:pStyle w:val="FootnoteText"/>
      </w:pPr>
      <w:r>
        <w:rPr>
          <w:rStyle w:val="FootnoteReference"/>
        </w:rPr>
        <w:footnoteRef/>
      </w:r>
      <w:r>
        <w:t xml:space="preserve"> Trimitere la FF 2022 2403 – Legea federală privind obiectivele de protecție a climei, inovarea și consolidarea securității energetice (Loi fédérale sur les objectifs en matière de protection du climat, sur l’innovation et sur le renforcement de la sécurité énergétique).</w:t>
      </w:r>
    </w:p>
  </w:footnote>
  <w:footnote w:id="69">
    <w:p w:rsidR="00E51978" w:rsidRPr="004E097F" w:rsidRDefault="00E51978" w:rsidP="00F47ACE">
      <w:pPr>
        <w:pStyle w:val="FootnoteText"/>
      </w:pPr>
      <w:r>
        <w:rPr>
          <w:rStyle w:val="FootnoteReference"/>
        </w:rPr>
        <w:footnoteRef/>
      </w:r>
      <w:r>
        <w:t xml:space="preserve"> Trimitere la FOEN, „Long-term climate strategy to 2050”.</w:t>
      </w:r>
    </w:p>
  </w:footnote>
  <w:footnote w:id="70">
    <w:p w:rsidR="00E51978" w:rsidRPr="004E097F" w:rsidRDefault="00E51978" w:rsidP="00F47ACE">
      <w:pPr>
        <w:pStyle w:val="FootnoteText"/>
      </w:pPr>
      <w:r>
        <w:rPr>
          <w:rStyle w:val="FootnoteReference"/>
        </w:rPr>
        <w:footnoteRef/>
      </w:r>
      <w:r>
        <w:t xml:space="preserve"> Trimitere la cel de-al șaselea Raport de evaluare al IPCC.</w:t>
      </w:r>
    </w:p>
  </w:footnote>
  <w:footnote w:id="71">
    <w:p w:rsidR="00E51978" w:rsidRPr="004E097F" w:rsidRDefault="00E51978" w:rsidP="00F47ACE">
      <w:pPr>
        <w:pStyle w:val="FootnoteText"/>
      </w:pPr>
      <w:r>
        <w:rPr>
          <w:rStyle w:val="FootnoteReference"/>
        </w:rPr>
        <w:footnoteRef/>
      </w:r>
      <w:r>
        <w:t xml:space="preserve"> Trimitere la FOEN, „Adaptation aux changements climatiques en Suisse : Plan d’action 2020-2025”.</w:t>
      </w:r>
    </w:p>
  </w:footnote>
  <w:footnote w:id="72">
    <w:p w:rsidR="00E51978" w:rsidRPr="004E097F" w:rsidRDefault="00E51978" w:rsidP="00F47ACE">
      <w:pPr>
        <w:pStyle w:val="FootnoteText"/>
      </w:pPr>
      <w:r>
        <w:rPr>
          <w:rStyle w:val="FootnoteReference"/>
        </w:rPr>
        <w:footnoteRef/>
      </w:r>
      <w:r>
        <w:t xml:space="preserve"> Trimitere la FOEN, „Protection du climat : cinq ans après l’Accord de Paris”.</w:t>
      </w:r>
    </w:p>
  </w:footnote>
  <w:footnote w:id="73">
    <w:p w:rsidR="00E51978" w:rsidRPr="004E097F" w:rsidRDefault="00E51978" w:rsidP="00F47ACE">
      <w:pPr>
        <w:pStyle w:val="FootnoteText"/>
        <w:rPr>
          <w:rFonts w:cstheme="minorHAnsi"/>
        </w:rPr>
      </w:pPr>
      <w:r>
        <w:rPr>
          <w:rStyle w:val="FootnoteReference"/>
        </w:rPr>
        <w:footnoteRef/>
      </w:r>
      <w:r>
        <w:t xml:space="preserve"> Convenția-cadru a Națiunilor Unite asupra schimbărilor climatice, 9 mai 1992, Organizația Națiunilor Unite, </w:t>
      </w:r>
      <w:r>
        <w:rPr>
          <w:i/>
          <w:iCs/>
        </w:rPr>
        <w:t>Culegere de tratate</w:t>
      </w:r>
      <w:r>
        <w:t>, vol. 1771, p.107. Toate statele membre ale Consiliului Europei sunt membre ale sistemului UNFCCC.</w:t>
      </w:r>
    </w:p>
  </w:footnote>
  <w:footnote w:id="74">
    <w:p w:rsidR="00E51978" w:rsidRPr="003261CA" w:rsidRDefault="00E51978" w:rsidP="00F47ACE">
      <w:pPr>
        <w:pStyle w:val="FootnoteText"/>
      </w:pPr>
      <w:r>
        <w:rPr>
          <w:rStyle w:val="FootnoteReference"/>
        </w:rPr>
        <w:footnoteRef/>
      </w:r>
      <w:r>
        <w:t> </w:t>
      </w:r>
      <w:bookmarkStart w:id="97" w:name="_cp_change_588"/>
      <w:r>
        <w:t>Disponibil la adresa unfccc.int/process-and-meetings/the-paris-agreement/the-glasgow-climate-pact-key-outcomes-from-cop26</w:t>
      </w:r>
      <w:bookmarkEnd w:id="97"/>
      <w:r>
        <w:t>; ultima consultare la 14.02.2024.</w:t>
      </w:r>
    </w:p>
  </w:footnote>
  <w:footnote w:id="75">
    <w:p w:rsidR="00E51978" w:rsidRPr="004E097F" w:rsidRDefault="00E51978" w:rsidP="00F47ACE">
      <w:pPr>
        <w:pStyle w:val="FootnoteText"/>
      </w:pPr>
      <w:r>
        <w:rPr>
          <w:rStyle w:val="FootnoteReference"/>
        </w:rPr>
        <w:footnoteRef/>
      </w:r>
      <w:r>
        <w:t xml:space="preserve"> Rezoluția Adunării Generale a Organizației Națiunilor Unite privind dreptul la un mediu curat, sănătos și durabil, A/RES/76/300, 28 iulie 2022.</w:t>
      </w:r>
    </w:p>
  </w:footnote>
  <w:footnote w:id="76">
    <w:p w:rsidR="00E51978" w:rsidRPr="004E097F" w:rsidRDefault="00E51978" w:rsidP="00F47ACE">
      <w:pPr>
        <w:pStyle w:val="FootnoteText"/>
      </w:pPr>
      <w:r>
        <w:rPr>
          <w:rStyle w:val="FootnoteReference"/>
        </w:rPr>
        <w:footnoteRef/>
      </w:r>
      <w:r>
        <w:t xml:space="preserve"> Capitolul 1, Rezumat executiv, p. 51-52.</w:t>
      </w:r>
    </w:p>
  </w:footnote>
  <w:footnote w:id="77">
    <w:p w:rsidR="00E51978" w:rsidRPr="004E097F" w:rsidRDefault="00E51978" w:rsidP="00F47ACE">
      <w:pPr>
        <w:pStyle w:val="FootnoteText"/>
      </w:pPr>
      <w:r>
        <w:rPr>
          <w:rStyle w:val="FootnoteReference"/>
        </w:rPr>
        <w:footnoteRef/>
      </w:r>
      <w:r>
        <w:t xml:space="preserve"> Capitolul 3, Rezumat executiv, p. 177.</w:t>
      </w:r>
    </w:p>
  </w:footnote>
  <w:footnote w:id="78">
    <w:p w:rsidR="00E51978" w:rsidRPr="004E097F" w:rsidRDefault="00E51978" w:rsidP="00F47ACE">
      <w:pPr>
        <w:pStyle w:val="FootnoteText"/>
      </w:pPr>
      <w:r>
        <w:rPr>
          <w:rStyle w:val="FootnoteReference"/>
        </w:rPr>
        <w:footnoteRef/>
      </w:r>
      <w:r>
        <w:t xml:space="preserve"> Capitolul 2, Rezumat executiv, p. 95.</w:t>
      </w:r>
    </w:p>
  </w:footnote>
  <w:footnote w:id="79">
    <w:p w:rsidR="00E51978" w:rsidRPr="004E097F" w:rsidRDefault="00E51978" w:rsidP="00F47ACE">
      <w:pPr>
        <w:pStyle w:val="FootnoteText"/>
      </w:pPr>
      <w:r>
        <w:rPr>
          <w:rStyle w:val="FootnoteReference"/>
        </w:rPr>
        <w:footnoteRef/>
      </w:r>
      <w:r>
        <w:t xml:space="preserve"> </w:t>
      </w:r>
      <w:r>
        <w:rPr>
          <w:i/>
        </w:rPr>
        <w:t>Ibidem</w:t>
      </w:r>
      <w:r>
        <w:t>, p. 96.</w:t>
      </w:r>
    </w:p>
  </w:footnote>
  <w:footnote w:id="80">
    <w:p w:rsidR="00E51978" w:rsidRPr="004E097F" w:rsidRDefault="00E51978" w:rsidP="00F47ACE">
      <w:pPr>
        <w:pStyle w:val="FootnoteText"/>
      </w:pPr>
      <w:r>
        <w:rPr>
          <w:rStyle w:val="FootnoteReference"/>
        </w:rPr>
        <w:footnoteRef/>
      </w:r>
      <w:r>
        <w:t xml:space="preserve"> Rezumat destinat decidenților, p. 14 și 24.</w:t>
      </w:r>
    </w:p>
  </w:footnote>
  <w:footnote w:id="81">
    <w:p w:rsidR="00E51978" w:rsidRPr="004E097F" w:rsidRDefault="00E51978" w:rsidP="00F47ACE">
      <w:pPr>
        <w:pStyle w:val="FootnoteText"/>
      </w:pPr>
      <w:r>
        <w:rPr>
          <w:rStyle w:val="FootnoteReference"/>
        </w:rPr>
        <w:footnoteRef/>
      </w:r>
      <w:r>
        <w:t xml:space="preserve"> </w:t>
      </w:r>
      <w:r>
        <w:rPr>
          <w:i/>
        </w:rPr>
        <w:t>Ibidem</w:t>
      </w:r>
      <w:r>
        <w:t>, p. 27-29.</w:t>
      </w:r>
    </w:p>
  </w:footnote>
  <w:footnote w:id="82">
    <w:p w:rsidR="00E51978" w:rsidRPr="004E097F" w:rsidRDefault="00E51978" w:rsidP="00F47ACE">
      <w:pPr>
        <w:pStyle w:val="FootnoteText"/>
      </w:pPr>
      <w:r>
        <w:rPr>
          <w:rStyle w:val="FootnoteReference"/>
        </w:rPr>
        <w:footnoteRef/>
      </w:r>
      <w:r>
        <w:t xml:space="preserve"> Rezumat destinat decidenților, p. 6, 8 și 14.</w:t>
      </w:r>
    </w:p>
  </w:footnote>
  <w:footnote w:id="83">
    <w:p w:rsidR="00E51978" w:rsidRPr="004E097F" w:rsidRDefault="00E51978" w:rsidP="00F47ACE">
      <w:pPr>
        <w:pStyle w:val="FootnoteText"/>
      </w:pPr>
      <w:r>
        <w:rPr>
          <w:rStyle w:val="FootnoteReference"/>
        </w:rPr>
        <w:footnoteRef/>
      </w:r>
      <w:r>
        <w:t xml:space="preserve"> </w:t>
      </w:r>
      <w:r>
        <w:rPr>
          <w:i/>
        </w:rPr>
        <w:t>Ibidem</w:t>
      </w:r>
      <w:r>
        <w:t>, p.17.</w:t>
      </w:r>
    </w:p>
  </w:footnote>
  <w:footnote w:id="84">
    <w:p w:rsidR="00E51978" w:rsidRPr="004E097F" w:rsidRDefault="00E51978" w:rsidP="00F47ACE">
      <w:pPr>
        <w:pStyle w:val="FootnoteText"/>
      </w:pPr>
      <w:r>
        <w:rPr>
          <w:rStyle w:val="FootnoteReference"/>
        </w:rPr>
        <w:footnoteRef/>
      </w:r>
      <w:r>
        <w:t xml:space="preserve"> </w:t>
      </w:r>
      <w:r>
        <w:rPr>
          <w:i/>
        </w:rPr>
        <w:t>Ibidem</w:t>
      </w:r>
      <w:r>
        <w:t>, p. 23.</w:t>
      </w:r>
    </w:p>
  </w:footnote>
  <w:footnote w:id="85">
    <w:p w:rsidR="00E51978" w:rsidRPr="004E097F" w:rsidRDefault="00E51978" w:rsidP="00F47ACE">
      <w:pPr>
        <w:pStyle w:val="FootnoteText"/>
      </w:pPr>
      <w:r>
        <w:rPr>
          <w:rStyle w:val="FootnoteReference"/>
        </w:rPr>
        <w:footnoteRef/>
      </w:r>
      <w:r>
        <w:t xml:space="preserve"> Rezumat destinat decidenților, p. 4-5.</w:t>
      </w:r>
    </w:p>
  </w:footnote>
  <w:footnote w:id="86">
    <w:p w:rsidR="00E51978" w:rsidRPr="00E60304" w:rsidRDefault="00E51978" w:rsidP="00F47ACE">
      <w:pPr>
        <w:pStyle w:val="FootnoteText"/>
      </w:pPr>
      <w:r>
        <w:rPr>
          <w:rStyle w:val="FootnoteReference"/>
        </w:rPr>
        <w:footnoteRef/>
      </w:r>
      <w:r>
        <w:t xml:space="preserve"> </w:t>
      </w:r>
      <w:r>
        <w:rPr>
          <w:i/>
        </w:rPr>
        <w:t>Ibidem</w:t>
      </w:r>
      <w:r>
        <w:t>, p. 10-19.</w:t>
      </w:r>
    </w:p>
  </w:footnote>
  <w:footnote w:id="87">
    <w:p w:rsidR="00E51978" w:rsidRPr="00E60304" w:rsidRDefault="00E51978" w:rsidP="00F47ACE">
      <w:pPr>
        <w:pStyle w:val="FootnoteText"/>
      </w:pPr>
      <w:r>
        <w:rPr>
          <w:rStyle w:val="FootnoteReference"/>
        </w:rPr>
        <w:footnoteRef/>
      </w:r>
      <w:r>
        <w:t xml:space="preserve"> </w:t>
      </w:r>
      <w:r>
        <w:rPr>
          <w:i/>
        </w:rPr>
        <w:t>Ibidem</w:t>
      </w:r>
      <w:r>
        <w:t>, p. 20-23.</w:t>
      </w:r>
    </w:p>
  </w:footnote>
  <w:footnote w:id="88">
    <w:p w:rsidR="00E51978" w:rsidRPr="00E60304" w:rsidRDefault="00E51978" w:rsidP="00F47ACE">
      <w:pPr>
        <w:pStyle w:val="FootnoteText"/>
      </w:pPr>
      <w:r>
        <w:rPr>
          <w:rStyle w:val="FootnoteReference"/>
        </w:rPr>
        <w:footnoteRef/>
      </w:r>
      <w:r>
        <w:t xml:space="preserve"> </w:t>
      </w:r>
      <w:r>
        <w:rPr>
          <w:i/>
        </w:rPr>
        <w:t>Ibidem</w:t>
      </w:r>
      <w:r>
        <w:t>, p. 24.</w:t>
      </w:r>
    </w:p>
  </w:footnote>
  <w:footnote w:id="89">
    <w:p w:rsidR="00E51978" w:rsidRPr="00E60304" w:rsidRDefault="00E51978" w:rsidP="00F47ACE">
      <w:pPr>
        <w:pStyle w:val="FootnoteText"/>
      </w:pPr>
      <w:r>
        <w:rPr>
          <w:rStyle w:val="FootnoteReference"/>
        </w:rPr>
        <w:footnoteRef/>
      </w:r>
      <w:r>
        <w:t xml:space="preserve"> </w:t>
      </w:r>
      <w:r>
        <w:rPr>
          <w:i/>
        </w:rPr>
        <w:t>Ibidem</w:t>
      </w:r>
      <w:r>
        <w:t>, p. 25.</w:t>
      </w:r>
    </w:p>
  </w:footnote>
  <w:footnote w:id="90">
    <w:p w:rsidR="00E51978" w:rsidRPr="00E60304" w:rsidRDefault="00E51978" w:rsidP="00F47ACE">
      <w:pPr>
        <w:pStyle w:val="FootnoteText"/>
      </w:pPr>
      <w:r>
        <w:rPr>
          <w:rStyle w:val="FootnoteReference"/>
        </w:rPr>
        <w:footnoteRef/>
      </w:r>
      <w:r>
        <w:t xml:space="preserve"> </w:t>
      </w:r>
      <w:r>
        <w:rPr>
          <w:i/>
        </w:rPr>
        <w:t>Ibidem</w:t>
      </w:r>
      <w:r>
        <w:t>, p. 27-29.</w:t>
      </w:r>
    </w:p>
  </w:footnote>
  <w:footnote w:id="91">
    <w:p w:rsidR="00E51978" w:rsidRPr="00E60304" w:rsidRDefault="00E51978" w:rsidP="00F47ACE">
      <w:pPr>
        <w:pStyle w:val="FootnoteText"/>
      </w:pPr>
      <w:r>
        <w:rPr>
          <w:rStyle w:val="FootnoteReference"/>
        </w:rPr>
        <w:footnoteRef/>
      </w:r>
      <w:r>
        <w:t xml:space="preserve"> </w:t>
      </w:r>
      <w:r>
        <w:rPr>
          <w:i/>
        </w:rPr>
        <w:t>Ibidem</w:t>
      </w:r>
      <w:r>
        <w:t>, p. 34.</w:t>
      </w:r>
    </w:p>
  </w:footnote>
  <w:footnote w:id="92">
    <w:p w:rsidR="00E51978" w:rsidRPr="004E097F" w:rsidRDefault="00E51978" w:rsidP="00F47ACE">
      <w:pPr>
        <w:pStyle w:val="FootnoteText"/>
      </w:pPr>
      <w:r>
        <w:rPr>
          <w:rStyle w:val="FootnoteReference"/>
        </w:rPr>
        <w:footnoteRef/>
      </w:r>
      <w:r>
        <w:t xml:space="preserve"> FCCC/SB/2023/9, 8 septembrie 2023.</w:t>
      </w:r>
    </w:p>
  </w:footnote>
  <w:footnote w:id="93">
    <w:p w:rsidR="00E51978" w:rsidRPr="004E097F" w:rsidRDefault="00E51978" w:rsidP="00F47ACE">
      <w:pPr>
        <w:pStyle w:val="FootnoteText"/>
      </w:pPr>
      <w:r>
        <w:rPr>
          <w:rStyle w:val="FootnoteReference"/>
        </w:rPr>
        <w:footnoteRef/>
      </w:r>
      <w:r>
        <w:t xml:space="preserve"> FCCC/PA/CMA/2023/L.17, 13 decembrie 2023.</w:t>
      </w:r>
    </w:p>
  </w:footnote>
  <w:footnote w:id="94">
    <w:p w:rsidR="00E51978" w:rsidRPr="004E097F" w:rsidRDefault="00E51978" w:rsidP="00F47ACE">
      <w:pPr>
        <w:pStyle w:val="FootnoteText"/>
      </w:pPr>
      <w:r>
        <w:rPr>
          <w:rStyle w:val="FootnoteReference"/>
        </w:rPr>
        <w:footnoteRef/>
      </w:r>
      <w:r>
        <w:t xml:space="preserve"> Comisia Economică pentru Europa a Organizației Națiunilor Unite, </w:t>
      </w:r>
      <w:r>
        <w:rPr>
          <w:i/>
          <w:iCs/>
        </w:rPr>
        <w:t>Convenția de la Aarhus</w:t>
      </w:r>
      <w:r>
        <w:t>:</w:t>
      </w:r>
      <w:r>
        <w:rPr>
          <w:i/>
        </w:rPr>
        <w:t xml:space="preserve"> </w:t>
      </w:r>
      <w:r>
        <w:rPr>
          <w:i/>
          <w:iCs/>
        </w:rPr>
        <w:t>Ghid de aplicare</w:t>
      </w:r>
      <w:r>
        <w:t>, ediția a doua, 2014.</w:t>
      </w:r>
    </w:p>
  </w:footnote>
  <w:footnote w:id="95">
    <w:p w:rsidR="00E51978" w:rsidRPr="004E097F" w:rsidRDefault="00E51978" w:rsidP="00F47ACE">
      <w:pPr>
        <w:pStyle w:val="FootnoteText"/>
      </w:pPr>
      <w:r>
        <w:rPr>
          <w:rStyle w:val="FootnoteReference"/>
        </w:rPr>
        <w:footnoteRef/>
      </w:r>
      <w:r>
        <w:t xml:space="preserve"> Comisia Economică pentru Europa a Organizației Națiunilor Unite, </w:t>
      </w:r>
      <w:r>
        <w:rPr>
          <w:i/>
        </w:rPr>
        <w:t>Recomandările de la Maastricht privind modalitățile de promovare a participării efective a publicului la luarea deciziilor în materie de mediu</w:t>
      </w:r>
      <w:r>
        <w:t>, 2015</w:t>
      </w:r>
    </w:p>
  </w:footnote>
  <w:footnote w:id="96">
    <w:p w:rsidR="00E51978" w:rsidRPr="004E097F" w:rsidRDefault="00E51978" w:rsidP="00F47ACE">
      <w:pPr>
        <w:pStyle w:val="FootnoteText"/>
      </w:pPr>
      <w:r>
        <w:rPr>
          <w:rStyle w:val="FootnoteReference"/>
        </w:rPr>
        <w:footnoteRef/>
      </w:r>
      <w:r>
        <w:t xml:space="preserve"> Belarus, Cambodgia, China, Etiopia, Iran, Kârgâzstan, Federația Rusă și Siria.</w:t>
      </w:r>
    </w:p>
  </w:footnote>
  <w:footnote w:id="97">
    <w:p w:rsidR="00E51978" w:rsidRPr="004E097F" w:rsidRDefault="00E51978" w:rsidP="00F47ACE">
      <w:pPr>
        <w:pStyle w:val="FootnoteText"/>
      </w:pPr>
      <w:r>
        <w:rPr>
          <w:rStyle w:val="FootnoteReference"/>
        </w:rPr>
        <w:footnoteRef/>
      </w:r>
      <w:r>
        <w:t xml:space="preserve"> Documente oficiale:</w:t>
      </w:r>
      <w:r>
        <w:rPr>
          <w:rFonts w:ascii="Times New Roman" w:hAnsi="Times New Roman"/>
        </w:rPr>
        <w:t xml:space="preserve"> </w:t>
      </w:r>
      <w:r>
        <w:t>A/76/PV.97.</w:t>
      </w:r>
    </w:p>
  </w:footnote>
  <w:footnote w:id="98">
    <w:p w:rsidR="00E51978" w:rsidRPr="004E097F" w:rsidRDefault="00E51978" w:rsidP="00F47ACE">
      <w:pPr>
        <w:pStyle w:val="FootnoteText"/>
      </w:pPr>
      <w:r>
        <w:rPr>
          <w:rStyle w:val="FootnoteReference"/>
        </w:rPr>
        <w:footnoteRef/>
      </w:r>
      <w:r>
        <w:t xml:space="preserve"> În documentul oficial, Turcia nu este menționată printre statele care au votat.</w:t>
      </w:r>
    </w:p>
  </w:footnote>
  <w:footnote w:id="99">
    <w:p w:rsidR="00E51978" w:rsidRPr="004E097F" w:rsidRDefault="00E51978" w:rsidP="00F47ACE">
      <w:pPr>
        <w:pStyle w:val="FootnoteText"/>
        <w:rPr>
          <w:b/>
          <w:bCs/>
        </w:rPr>
      </w:pPr>
      <w:r>
        <w:rPr>
          <w:rStyle w:val="FootnoteReference"/>
        </w:rPr>
        <w:footnoteRef/>
      </w:r>
      <w:r>
        <w:t xml:space="preserve"> Rezoluțiile nr. 43/53, 6 decembrie 1988; 44/207, 22 decembrie 1989; 45/212, 21 decembrie 1990; 46/169, 19 decembrie 1991; 47/195, 22 decembrie 1992; 48/189, „Convenția-cadru a Națiunilor Unite asupra schimbărilor climatice”, 21 decembrie 1993; 49/120, 19 decembrie 1994; 50/115, 20 decembrie 1995; 51/184, 16 decembrie 1996; 52/199, 18 decembrie 1997; 54/222, 22 decembrie 1999; Decizia nr. 55/443, 20 decembrie 2000; Rezoluțiile nr. 56/199, 21 decembrie 2001; 57/257, 20 decembrie 2002; 58/243, 23 decembrie 2003; 59/234, 22 decembrie 2004; 60/197, 22 decembrie 2005; 61/201, 20 decembrie 2006; 62/86, 10 decembrie 2007; 63/32, 26 noiembrie 2008; 64/73, 7 decembrie 2009; 65/159, 20 decembrie 2010; 66/200, 22 decembrie 2011; 67/210, 21 decembrie 2012; 68/212, 20 decembrie 2013; 69/220, 19 decembrie 2014; 70/205, 22 decembrie 2015; 71/228, 21 decembrie 2016; 72/219, 20 decembrie 2017; 73/232, 20 decembrie 2018; 74/219, 19 decembrie 2019; 75/217, 21 decembrie 2020; 76/205, 17 decembrie 2021.</w:t>
      </w:r>
    </w:p>
  </w:footnote>
  <w:footnote w:id="100">
    <w:p w:rsidR="00E51978" w:rsidRPr="004E097F" w:rsidRDefault="00E51978" w:rsidP="00F47ACE">
      <w:pPr>
        <w:pStyle w:val="FootnoteText"/>
      </w:pPr>
      <w:r>
        <w:rPr>
          <w:rStyle w:val="FootnoteReference"/>
        </w:rPr>
        <w:footnoteRef/>
      </w:r>
      <w:r>
        <w:t xml:space="preserve"> </w:t>
      </w:r>
      <w:bookmarkStart w:id="151" w:name="lt_pId5084"/>
      <w:r>
        <w:t>În special în cea mai recentă rezoluție pe această temă, Rezoluția 76/205 privind protecția climei mondiale pentru generațiile prezente și viitoare, 17 decembrie 2021.</w:t>
      </w:r>
      <w:bookmarkEnd w:id="151"/>
      <w:r>
        <w:t xml:space="preserve"> </w:t>
      </w:r>
    </w:p>
  </w:footnote>
  <w:footnote w:id="101">
    <w:p w:rsidR="00E51978" w:rsidRPr="004E097F" w:rsidRDefault="00E51978" w:rsidP="00F47ACE">
      <w:pPr>
        <w:pStyle w:val="FootnoteText"/>
      </w:pPr>
      <w:r>
        <w:rPr>
          <w:rStyle w:val="FootnoteReference"/>
        </w:rPr>
        <w:footnoteRef/>
      </w:r>
      <w:r>
        <w:t xml:space="preserve"> </w:t>
      </w:r>
      <w:bookmarkStart w:id="153" w:name="lt_pId5085"/>
      <w:r>
        <w:t>„Climate change and its possible security implications” (Schimbările climatice și posibilele consecințe ale acestora asupra securității), Raportul Secretarului General adresat Adunării Generale, A/64/350, distrib.</w:t>
      </w:r>
      <w:bookmarkEnd w:id="153"/>
      <w:r>
        <w:t xml:space="preserve"> </w:t>
      </w:r>
      <w:bookmarkStart w:id="154" w:name="lt_pId5086"/>
      <w:r>
        <w:t>11 septembrie 2009.</w:t>
      </w:r>
      <w:bookmarkEnd w:id="154"/>
    </w:p>
  </w:footnote>
  <w:footnote w:id="102">
    <w:p w:rsidR="00E51978" w:rsidRPr="004E097F" w:rsidRDefault="00E51978" w:rsidP="00F47ACE">
      <w:pPr>
        <w:pStyle w:val="FootnoteText"/>
      </w:pPr>
      <w:r>
        <w:rPr>
          <w:rStyle w:val="FootnoteReference"/>
        </w:rPr>
        <w:footnoteRef/>
      </w:r>
      <w:r>
        <w:t xml:space="preserve"> Rezoluția 47/24 a Consiliului Drepturilor Omului, adoptată la 14 iulie 2021.</w:t>
      </w:r>
    </w:p>
  </w:footnote>
  <w:footnote w:id="103">
    <w:p w:rsidR="00E51978" w:rsidRPr="004E097F" w:rsidRDefault="00E51978" w:rsidP="00F47ACE">
      <w:pPr>
        <w:pStyle w:val="FootnoteText"/>
      </w:pPr>
      <w:r>
        <w:rPr>
          <w:rStyle w:val="FootnoteReference"/>
        </w:rPr>
        <w:footnoteRef/>
      </w:r>
      <w:r>
        <w:t xml:space="preserve"> „Efectele schimbărilor climatice asupra drepturilor omului în cazul persoanelor aflate în situații vulnerabile”, raport al Secretarului General, A/HRC/50/57, distrib. 6 mai 2022.</w:t>
      </w:r>
    </w:p>
  </w:footnote>
  <w:footnote w:id="104">
    <w:p w:rsidR="00E51978" w:rsidRPr="004E097F" w:rsidRDefault="00E51978" w:rsidP="00F47ACE">
      <w:pPr>
        <w:pStyle w:val="FootnoteText"/>
      </w:pPr>
      <w:r>
        <w:rPr>
          <w:rStyle w:val="FootnoteReference"/>
        </w:rPr>
        <w:footnoteRef/>
      </w:r>
      <w:r>
        <w:t xml:space="preserve"> </w:t>
      </w:r>
      <w:bookmarkStart w:id="157" w:name="lt_pId5090"/>
      <w:r>
        <w:t>Rezoluția 37/8 a Consiliului Drepturilor Omului, adoptată la 22 martie 2018, A/HRC/RES/37/8, ultimul paragraf din preambul.</w:t>
      </w:r>
      <w:bookmarkEnd w:id="157"/>
    </w:p>
  </w:footnote>
  <w:footnote w:id="105">
    <w:p w:rsidR="00E51978" w:rsidRPr="004E097F" w:rsidRDefault="00E51978" w:rsidP="00F47ACE">
      <w:pPr>
        <w:pStyle w:val="FootnoteText"/>
      </w:pPr>
      <w:r>
        <w:rPr>
          <w:rStyle w:val="FootnoteReference"/>
        </w:rPr>
        <w:footnoteRef/>
      </w:r>
      <w:r>
        <w:t xml:space="preserve"> Rezoluția 46/7 a Consiliului Drepturilor Omului, intitulată „Drepturile omului și mediul”, 20 martie 2021, A/HRC/RES/46/7.</w:t>
      </w:r>
    </w:p>
  </w:footnote>
  <w:footnote w:id="106">
    <w:p w:rsidR="00E51978" w:rsidRPr="004E097F" w:rsidRDefault="00E51978" w:rsidP="00F47ACE">
      <w:pPr>
        <w:pStyle w:val="FootnoteText"/>
      </w:pPr>
      <w:r>
        <w:rPr>
          <w:rStyle w:val="FootnoteReference"/>
        </w:rPr>
        <w:footnoteRef/>
      </w:r>
      <w:r>
        <w:t xml:space="preserve"> Principiile-cadru referitoare la drepturile omului și mediu sunt anexate la raportul Raportorului special, A/HRC/37/59, distrib. 24 ianuarie 2018.</w:t>
      </w:r>
    </w:p>
  </w:footnote>
  <w:footnote w:id="107">
    <w:p w:rsidR="00E51978" w:rsidRPr="004E097F" w:rsidRDefault="00E51978" w:rsidP="00F47ACE">
      <w:pPr>
        <w:pStyle w:val="FootnoteText"/>
      </w:pPr>
      <w:r>
        <w:rPr>
          <w:rStyle w:val="FootnoteReference"/>
        </w:rPr>
        <w:footnoteRef/>
      </w:r>
      <w:r>
        <w:t xml:space="preserve"> „Toxic air pollution: UN rights experts urge tighter rules to combat ‘invisible threat’”, comunicat de presă, 24 februarie 2017.</w:t>
      </w:r>
    </w:p>
  </w:footnote>
  <w:footnote w:id="108">
    <w:p w:rsidR="00E51978" w:rsidRPr="004E097F" w:rsidRDefault="00E51978" w:rsidP="00DB7E5A">
      <w:pPr>
        <w:pStyle w:val="FootnoteText"/>
      </w:pPr>
      <w:r>
        <w:rPr>
          <w:rStyle w:val="FootnoteReference"/>
        </w:rPr>
        <w:footnoteRef/>
      </w:r>
      <w:r>
        <w:t xml:space="preserve"> Pactul internațional cu privire la drepturile civile și politice, New York, 16 decembrie 1966, Organizația Națiunilor Unite</w:t>
      </w:r>
      <w:r>
        <w:rPr>
          <w:i/>
        </w:rPr>
        <w:t>, Culegere de tratate</w:t>
      </w:r>
      <w:r>
        <w:t>, vol. 999, p. 171, și vol. 1057, p. 407.</w:t>
      </w:r>
    </w:p>
  </w:footnote>
  <w:footnote w:id="109">
    <w:p w:rsidR="00E51978" w:rsidRPr="004E097F" w:rsidRDefault="00E51978" w:rsidP="00DB7E5A">
      <w:pPr>
        <w:pStyle w:val="FootnoteText"/>
        <w:rPr>
          <w:color w:val="0072BC" w:themeColor="hyperlink"/>
          <w:u w:val="single"/>
        </w:rPr>
      </w:pPr>
      <w:r>
        <w:rPr>
          <w:rStyle w:val="FootnoteReference"/>
        </w:rPr>
        <w:footnoteRef/>
      </w:r>
      <w:r>
        <w:t xml:space="preserve"> CDO,</w:t>
      </w:r>
      <w:r>
        <w:rPr>
          <w:rFonts w:ascii="Times New Roman" w:hAnsi="Times New Roman"/>
        </w:rPr>
        <w:t xml:space="preserve"> </w:t>
      </w:r>
      <w:r>
        <w:t>Comentariul general nr. 36 cu privire la articolul 6: dreptul la viață, CCPR/C/GC/36, 3 septembrie 2019.</w:t>
      </w:r>
    </w:p>
  </w:footnote>
  <w:footnote w:id="110">
    <w:p w:rsidR="00E51978" w:rsidRPr="004E097F" w:rsidRDefault="00E51978" w:rsidP="00DB7E5A">
      <w:pPr>
        <w:pStyle w:val="FootnoteText"/>
      </w:pPr>
      <w:r>
        <w:rPr>
          <w:rStyle w:val="FootnoteReference"/>
        </w:rPr>
        <w:footnoteRef/>
      </w:r>
      <w:bookmarkStart w:id="173" w:name="lt_pId5100"/>
      <w:r>
        <w:t> </w:t>
      </w:r>
      <w:r>
        <w:rPr>
          <w:i/>
        </w:rPr>
        <w:t>Portillo Cárceres împotriva Paraguay</w:t>
      </w:r>
      <w:r>
        <w:rPr>
          <w:i/>
          <w:iCs/>
        </w:rPr>
        <w:t>ului</w:t>
      </w:r>
      <w:r>
        <w:t>, comunicarea nr. 2751/2016, CCPR/C/126/D/2751/2016, 20 septembrie 2019.</w:t>
      </w:r>
      <w:bookmarkEnd w:id="173"/>
    </w:p>
  </w:footnote>
  <w:footnote w:id="111">
    <w:p w:rsidR="00E51978" w:rsidRPr="004E097F" w:rsidRDefault="00E51978" w:rsidP="00DB7E5A">
      <w:pPr>
        <w:pStyle w:val="FootnoteText"/>
      </w:pPr>
      <w:r>
        <w:rPr>
          <w:rStyle w:val="FootnoteReference"/>
        </w:rPr>
        <w:footnoteRef/>
      </w:r>
      <w:bookmarkStart w:id="174" w:name="lt_pId5101"/>
      <w:r>
        <w:t xml:space="preserve"> </w:t>
      </w:r>
      <w:r>
        <w:rPr>
          <w:i/>
        </w:rPr>
        <w:t>Teitiota împotriva Noii Zeelande</w:t>
      </w:r>
      <w:r>
        <w:t>, comunicarea nr. 2728/2016, CCPR/C/127/D/2728/2016, 23 septembrie 2019.</w:t>
      </w:r>
      <w:bookmarkEnd w:id="174"/>
    </w:p>
  </w:footnote>
  <w:footnote w:id="112">
    <w:p w:rsidR="00E51978" w:rsidRPr="004E097F" w:rsidRDefault="00E51978" w:rsidP="00DB7E5A">
      <w:pPr>
        <w:pStyle w:val="FootnoteText"/>
      </w:pPr>
      <w:r>
        <w:rPr>
          <w:rStyle w:val="FootnoteReference"/>
        </w:rPr>
        <w:footnoteRef/>
      </w:r>
      <w:r>
        <w:t xml:space="preserve"> A se vedea, de exemplu, </w:t>
      </w:r>
      <w:r>
        <w:rPr>
          <w:i/>
        </w:rPr>
        <w:t>Teitiota împotriva Noii Zeelande</w:t>
      </w:r>
      <w:r>
        <w:t xml:space="preserve"> (CCPR/C/127/D/2728/2016), pct. 9.4, și </w:t>
      </w:r>
      <w:r>
        <w:rPr>
          <w:i/>
        </w:rPr>
        <w:t>Toussaint împotriva Canadei</w:t>
      </w:r>
      <w:r>
        <w:t>, pct. 11.3.</w:t>
      </w:r>
    </w:p>
  </w:footnote>
  <w:footnote w:id="113">
    <w:p w:rsidR="00E51978" w:rsidRPr="004E097F" w:rsidRDefault="00E51978" w:rsidP="00DB7E5A">
      <w:pPr>
        <w:pStyle w:val="FootnoteText"/>
      </w:pPr>
      <w:r>
        <w:rPr>
          <w:rStyle w:val="FootnoteReference"/>
        </w:rPr>
        <w:footnoteRef/>
      </w:r>
      <w:r>
        <w:t xml:space="preserve"> A se vedea, de asemenea, </w:t>
      </w:r>
      <w:r>
        <w:rPr>
          <w:i/>
        </w:rPr>
        <w:t xml:space="preserve">Portillo Cáceres și alții împotriva Paraguayului </w:t>
      </w:r>
      <w:r>
        <w:t xml:space="preserve">(CCPR/C/126/D/2751/2016), pct. 7.3. </w:t>
      </w:r>
    </w:p>
  </w:footnote>
  <w:footnote w:id="114">
    <w:p w:rsidR="00E51978" w:rsidRPr="004E097F" w:rsidRDefault="00E51978" w:rsidP="00DB7E5A">
      <w:pPr>
        <w:pStyle w:val="FootnoteText"/>
      </w:pPr>
      <w:r>
        <w:rPr>
          <w:rStyle w:val="FootnoteReference"/>
        </w:rPr>
        <w:footnoteRef/>
      </w:r>
      <w:r>
        <w:t xml:space="preserve"> </w:t>
      </w:r>
      <w:r>
        <w:rPr>
          <w:i/>
        </w:rPr>
        <w:t xml:space="preserve">Toussaint împotriva Canadei </w:t>
      </w:r>
      <w:r>
        <w:t xml:space="preserve">(CCPR/C/123/D/2348/2014), pct. 11.3, și </w:t>
      </w:r>
      <w:r>
        <w:rPr>
          <w:i/>
        </w:rPr>
        <w:t>Portillo Cáceres și alții împotriva Paraguayului</w:t>
      </w:r>
      <w:r>
        <w:t xml:space="preserve">, pct. 7.5. </w:t>
      </w:r>
    </w:p>
  </w:footnote>
  <w:footnote w:id="115">
    <w:p w:rsidR="00E51978" w:rsidRPr="004E097F" w:rsidRDefault="00E51978" w:rsidP="00DB7E5A">
      <w:pPr>
        <w:pStyle w:val="FootnoteText"/>
      </w:pPr>
      <w:r>
        <w:rPr>
          <w:rStyle w:val="FootnoteReference"/>
        </w:rPr>
        <w:footnoteRef/>
      </w:r>
      <w:r>
        <w:t xml:space="preserve"> </w:t>
      </w:r>
      <w:bookmarkStart w:id="177" w:name="lt_pId5107"/>
      <w:r>
        <w:t>CEDAW, Recomandarea generală nr. 37 privind aspectele de gen ale reducerii riscurilor de dezastre în contextul schimbărilor climatice, CEDAW/C/GC/37, distrib.</w:t>
      </w:r>
      <w:bookmarkEnd w:id="177"/>
      <w:r>
        <w:t xml:space="preserve"> </w:t>
      </w:r>
      <w:bookmarkStart w:id="178" w:name="lt_pId5108"/>
      <w:r>
        <w:t>13 martie 2018.</w:t>
      </w:r>
      <w:bookmarkEnd w:id="178"/>
    </w:p>
  </w:footnote>
  <w:footnote w:id="116">
    <w:p w:rsidR="00E51978" w:rsidRPr="004E097F" w:rsidRDefault="00E51978" w:rsidP="00DB7E5A">
      <w:pPr>
        <w:pStyle w:val="FootnoteText"/>
      </w:pPr>
      <w:r>
        <w:rPr>
          <w:rStyle w:val="FootnoteReference"/>
        </w:rPr>
        <w:footnoteRef/>
      </w:r>
      <w:r>
        <w:t xml:space="preserve"> Comentariul general nr. 26 (2023) privind drepturile copiilor și mediul, cu accent special pe schimbările climatice, CRC/C/GC/26, 23 august 2023.</w:t>
      </w:r>
    </w:p>
  </w:footnote>
  <w:footnote w:id="117">
    <w:p w:rsidR="00E51978" w:rsidRPr="004E097F" w:rsidRDefault="00E51978" w:rsidP="00DB7E5A">
      <w:pPr>
        <w:pStyle w:val="FootnoteText"/>
      </w:pPr>
      <w:r>
        <w:rPr>
          <w:rStyle w:val="FootnoteReference"/>
        </w:rPr>
        <w:footnoteRef/>
      </w:r>
      <w:r>
        <w:t xml:space="preserve"> În temeiul Protocolului facultativ la Convenția cu privire la drepturile copilului, referitor la procedura de comunicare, A/RES/66/138, 19 decembrie 2011.</w:t>
      </w:r>
    </w:p>
  </w:footnote>
  <w:footnote w:id="118">
    <w:p w:rsidR="00E51978" w:rsidRPr="004E097F" w:rsidRDefault="00E51978" w:rsidP="00DB7E5A">
      <w:pPr>
        <w:pStyle w:val="FootnoteText"/>
      </w:pPr>
      <w:r>
        <w:rPr>
          <w:rStyle w:val="FootnoteReference"/>
        </w:rPr>
        <w:footnoteRef/>
      </w:r>
      <w:r>
        <w:t xml:space="preserve"> </w:t>
      </w:r>
      <w:bookmarkStart w:id="181" w:name="lt_pId5121"/>
      <w:r>
        <w:t>OHCHR (Oficiul Înaltului Comisar al Națiunilor Unite pentru Drepturile Omului), „Climate change and the International Covenant on Economic, Social and Cultural Rights” (Schimbările climatice și Pactul internațional cu privire la drepturile economice, sociale și culturale), declarația Comitetului pentru drepturile economice, sociale și culturale, 8 octombrie 2018.</w:t>
      </w:r>
      <w:bookmarkEnd w:id="181"/>
    </w:p>
  </w:footnote>
  <w:footnote w:id="119">
    <w:p w:rsidR="00E51978" w:rsidRPr="004E097F" w:rsidRDefault="00E51978" w:rsidP="00DB7E5A">
      <w:pPr>
        <w:pStyle w:val="FootnoteText"/>
      </w:pPr>
      <w:r>
        <w:rPr>
          <w:rStyle w:val="FootnoteReference"/>
        </w:rPr>
        <w:footnoteRef/>
      </w:r>
      <w:r>
        <w:t xml:space="preserve"> </w:t>
      </w:r>
      <w:bookmarkStart w:id="182" w:name="lt_pId5122"/>
      <w:r>
        <w:t>Comitetul pentru drepturile economice, sociale și culturale, Comentariul general nr. 25 (2020) cu privire la știință și drepturile economice, sociale și culturale, E/C.12/GC/25, 30 aprilie 2020.</w:t>
      </w:r>
      <w:bookmarkEnd w:id="182"/>
    </w:p>
  </w:footnote>
  <w:footnote w:id="120">
    <w:p w:rsidR="00E51978" w:rsidRPr="004E097F" w:rsidRDefault="00E51978" w:rsidP="00DB7E5A">
      <w:pPr>
        <w:pStyle w:val="FootnoteText"/>
      </w:pPr>
      <w:r>
        <w:rPr>
          <w:rStyle w:val="FootnoteReference"/>
        </w:rPr>
        <w:footnoteRef/>
      </w:r>
      <w:r>
        <w:t xml:space="preserve"> </w:t>
      </w:r>
      <w:bookmarkStart w:id="183" w:name="lt_pId5123"/>
      <w:r>
        <w:t>Comitetul pentru drepturile economice, sociale și culturale, Comentariul general nr. 14 (2020) privind dreptul la cel mai înalt standard realizabil de sănătate, E/C.12/2000/4, 11 august 2000.</w:t>
      </w:r>
      <w:bookmarkEnd w:id="183"/>
    </w:p>
  </w:footnote>
  <w:footnote w:id="121">
    <w:p w:rsidR="00E51978" w:rsidRPr="004E097F" w:rsidRDefault="00E51978" w:rsidP="00DB7E5A">
      <w:pPr>
        <w:pStyle w:val="FootnoteText"/>
      </w:pPr>
      <w:r>
        <w:rPr>
          <w:rStyle w:val="FootnoteReference"/>
        </w:rPr>
        <w:footnoteRef/>
      </w:r>
      <w:r>
        <w:t xml:space="preserve"> </w:t>
      </w:r>
      <w:bookmarkStart w:id="184" w:name="lt_pId5124"/>
      <w:r>
        <w:t>Comitetul pentru drepturile economice, sociale și culturale, Comentariul general nr. 26 (2022) privind terenurile și drepturile economice, sociale și culturale, E/C.12/GC/26, 24 ianuarie 2023.</w:t>
      </w:r>
      <w:bookmarkEnd w:id="184"/>
    </w:p>
  </w:footnote>
  <w:footnote w:id="122">
    <w:p w:rsidR="00E51978" w:rsidRPr="004E097F" w:rsidRDefault="00E51978" w:rsidP="00DB7E5A">
      <w:pPr>
        <w:pStyle w:val="FootnoteText"/>
      </w:pPr>
      <w:r>
        <w:rPr>
          <w:rStyle w:val="FootnoteReference"/>
        </w:rPr>
        <w:footnoteRef/>
      </w:r>
      <w:r>
        <w:t xml:space="preserve"> </w:t>
      </w:r>
      <w:bookmarkStart w:id="186" w:name="lt_pId5111"/>
      <w:r>
        <w:t>Studiu analitic privind promovarea și protecția drepturilor persoanelor cu dizabilități în contextul schimbărilor climatice, A/HRC/44/30, distrib.</w:t>
      </w:r>
      <w:bookmarkEnd w:id="186"/>
      <w:r>
        <w:t xml:space="preserve"> </w:t>
      </w:r>
      <w:bookmarkStart w:id="187" w:name="lt_pId5112"/>
      <w:r>
        <w:t>2 aprilie 2020.</w:t>
      </w:r>
      <w:bookmarkEnd w:id="187"/>
    </w:p>
  </w:footnote>
  <w:footnote w:id="123">
    <w:p w:rsidR="00E51978" w:rsidRPr="004E097F" w:rsidRDefault="00E51978" w:rsidP="00DB7E5A">
      <w:pPr>
        <w:pStyle w:val="FootnoteText"/>
      </w:pPr>
      <w:r>
        <w:rPr>
          <w:rStyle w:val="FootnoteReference"/>
        </w:rPr>
        <w:footnoteRef/>
      </w:r>
      <w:r>
        <w:t xml:space="preserve"> </w:t>
      </w:r>
      <w:bookmarkStart w:id="188" w:name="lt_pId5113"/>
      <w:r>
        <w:t>Studiu analitic privind acțiunile climatice axate pe exercitarea deplină și efectivă a drepturilor femeilor și care țin seama de dimensiunea de gen, A/HRC/41/26, distrib.</w:t>
      </w:r>
      <w:bookmarkEnd w:id="188"/>
      <w:r>
        <w:t xml:space="preserve"> </w:t>
      </w:r>
      <w:bookmarkStart w:id="189" w:name="lt_pId5114"/>
      <w:r>
        <w:t>1 mai 2019.</w:t>
      </w:r>
      <w:bookmarkEnd w:id="189"/>
    </w:p>
  </w:footnote>
  <w:footnote w:id="124">
    <w:p w:rsidR="00E51978" w:rsidRPr="004E097F" w:rsidRDefault="00E51978" w:rsidP="00DB7E5A">
      <w:pPr>
        <w:pStyle w:val="FootnoteText"/>
      </w:pPr>
      <w:r>
        <w:rPr>
          <w:rStyle w:val="FootnoteReference"/>
        </w:rPr>
        <w:footnoteRef/>
      </w:r>
      <w:r>
        <w:t xml:space="preserve"> </w:t>
      </w:r>
      <w:bookmarkStart w:id="190" w:name="lt_pId5115"/>
      <w:r>
        <w:t>Modalități de remediere a deficiențelor în ceea ce privește protecția drepturilor omului în contextul migrației și al strămutării persoanelor dintr-o țară în alta din cauza efectelor nefaste, bruște sau lente, ale schimbărilor climatice și modalități de punere în aplicare a planurilor de adaptare și atenuare de care au nevoie țările în curs de dezvoltare pentru remedierea acestor deficiențe, A/HRC/38/21, distrib.</w:t>
      </w:r>
      <w:bookmarkEnd w:id="190"/>
      <w:r>
        <w:t xml:space="preserve"> </w:t>
      </w:r>
      <w:bookmarkStart w:id="191" w:name="lt_pId5116"/>
      <w:r>
        <w:t>23 aprilie 2018.</w:t>
      </w:r>
      <w:bookmarkEnd w:id="191"/>
    </w:p>
  </w:footnote>
  <w:footnote w:id="125">
    <w:p w:rsidR="00E51978" w:rsidRPr="004E097F" w:rsidRDefault="00E51978" w:rsidP="00DB7E5A">
      <w:pPr>
        <w:pStyle w:val="FootnoteText"/>
      </w:pPr>
      <w:r>
        <w:rPr>
          <w:rStyle w:val="FootnoteReference"/>
        </w:rPr>
        <w:footnoteRef/>
      </w:r>
      <w:r>
        <w:t xml:space="preserve"> </w:t>
      </w:r>
      <w:bookmarkStart w:id="192" w:name="lt_pId5117"/>
      <w:r>
        <w:t>Studiul analitic privind relația dintre schimbările climatice și exercitarea deplină și efectivă a drepturilor copiilor, A/HRC/35/13, distrib.</w:t>
      </w:r>
      <w:bookmarkEnd w:id="192"/>
      <w:r>
        <w:t xml:space="preserve"> </w:t>
      </w:r>
      <w:bookmarkStart w:id="193" w:name="lt_pId5118"/>
      <w:r>
        <w:t>4 mai 2017.</w:t>
      </w:r>
      <w:bookmarkEnd w:id="193"/>
    </w:p>
  </w:footnote>
  <w:footnote w:id="126">
    <w:p w:rsidR="00E51978" w:rsidRPr="00757104" w:rsidRDefault="00E51978" w:rsidP="00DB7E5A">
      <w:pPr>
        <w:pStyle w:val="FootnoteText"/>
      </w:pPr>
      <w:r>
        <w:rPr>
          <w:rStyle w:val="FootnoteReference"/>
        </w:rPr>
        <w:footnoteRef/>
      </w:r>
      <w:r>
        <w:t xml:space="preserve"> </w:t>
      </w:r>
      <w:bookmarkStart w:id="194" w:name="lt_pId5119"/>
      <w:r>
        <w:t>Studiul analitic privind legăturile dintre schimbările climatice și dreptul tuturor de a se bucura de cel mai înalt standard realizabil de sănătate fizică și mintală, A/HRC/32/23, distrib.</w:t>
      </w:r>
      <w:bookmarkEnd w:id="194"/>
      <w:r>
        <w:t xml:space="preserve"> </w:t>
      </w:r>
      <w:bookmarkStart w:id="195" w:name="lt_pId5120"/>
      <w:r>
        <w:t>6 mai 2016.</w:t>
      </w:r>
      <w:bookmarkEnd w:id="195"/>
    </w:p>
  </w:footnote>
  <w:footnote w:id="127">
    <w:p w:rsidR="00E51978" w:rsidRPr="00757104" w:rsidRDefault="00E51978" w:rsidP="00DB7E5A">
      <w:pPr>
        <w:pStyle w:val="FootnoteText"/>
      </w:pPr>
      <w:r>
        <w:rPr>
          <w:rStyle w:val="FootnoteReference"/>
        </w:rPr>
        <w:footnoteRef/>
      </w:r>
      <w:r>
        <w:t xml:space="preserve"> </w:t>
      </w:r>
      <w:bookmarkStart w:id="197" w:name="lt_pId5125"/>
      <w:r>
        <w:t>OHCHR, Joint Statement on human rights and climate change (Declarație comună privind drepturile omului și schimbările climatice), HRI/2019/1, 16 septembrie 2019.</w:t>
      </w:r>
      <w:bookmarkEnd w:id="197"/>
    </w:p>
  </w:footnote>
  <w:footnote w:id="128">
    <w:p w:rsidR="00E51978" w:rsidRPr="004E097F" w:rsidRDefault="00E51978" w:rsidP="00DB7E5A">
      <w:pPr>
        <w:pStyle w:val="FootnoteText"/>
      </w:pPr>
      <w:r>
        <w:rPr>
          <w:rStyle w:val="FootnoteReference"/>
        </w:rPr>
        <w:footnoteRef/>
      </w:r>
      <w:r>
        <w:t xml:space="preserve"> </w:t>
      </w:r>
      <w:bookmarkStart w:id="198" w:name="lt_pId5126"/>
      <w:r>
        <w:t>Întrebările detaliate și obligațiile în cauză sunt prezentate în comunicatul de presă ITLOS/Press 327, 12 decembrie 2022.</w:t>
      </w:r>
      <w:bookmarkEnd w:id="198"/>
    </w:p>
  </w:footnote>
  <w:footnote w:id="129">
    <w:p w:rsidR="00E51978" w:rsidRPr="004E097F" w:rsidRDefault="00E51978" w:rsidP="00DB7E5A">
      <w:pPr>
        <w:pStyle w:val="FootnoteText"/>
      </w:pPr>
      <w:r>
        <w:rPr>
          <w:rStyle w:val="FootnoteReference"/>
        </w:rPr>
        <w:footnoteRef/>
      </w:r>
      <w:r>
        <w:t xml:space="preserve"> Rezoluția A/RES/77/276, 29 martie 2023.</w:t>
      </w:r>
    </w:p>
  </w:footnote>
  <w:footnote w:id="130">
    <w:p w:rsidR="00E51978" w:rsidRPr="004E097F" w:rsidRDefault="00E51978" w:rsidP="00DB7E5A">
      <w:pPr>
        <w:pStyle w:val="FootnoteText"/>
      </w:pPr>
      <w:r>
        <w:rPr>
          <w:rStyle w:val="FootnoteReference"/>
        </w:rPr>
        <w:footnoteRef/>
      </w:r>
      <w:r>
        <w:t xml:space="preserve"> </w:t>
      </w:r>
      <w:bookmarkStart w:id="203" w:name="lt_pId5128"/>
      <w:r>
        <w:t>APCE, Recomandarea 2211 (2021), adoptată la 29 septembrie 2021.</w:t>
      </w:r>
      <w:bookmarkEnd w:id="203"/>
    </w:p>
  </w:footnote>
  <w:footnote w:id="131">
    <w:p w:rsidR="00E51978" w:rsidRPr="004E097F" w:rsidRDefault="00E51978" w:rsidP="00DB7E5A">
      <w:pPr>
        <w:pStyle w:val="FootnoteText"/>
      </w:pPr>
      <w:r>
        <w:rPr>
          <w:rStyle w:val="FootnoteReference"/>
        </w:rPr>
        <w:footnoteRef/>
      </w:r>
      <w:bookmarkStart w:id="204" w:name="lt_pId5129"/>
      <w:r>
        <w:t xml:space="preserve"> APCE, Rezoluția 2396 (2021), adoptată la 29 septembrie 2021.</w:t>
      </w:r>
      <w:bookmarkEnd w:id="204"/>
    </w:p>
  </w:footnote>
  <w:footnote w:id="132">
    <w:p w:rsidR="00E51978" w:rsidRPr="004E097F" w:rsidRDefault="00E51978" w:rsidP="00DB7E5A">
      <w:pPr>
        <w:pStyle w:val="FootnoteText"/>
      </w:pPr>
      <w:r>
        <w:rPr>
          <w:rStyle w:val="FootnoteReference"/>
        </w:rPr>
        <w:footnoteRef/>
      </w:r>
      <w:bookmarkStart w:id="206" w:name="lt_pId5130"/>
      <w:r>
        <w:t xml:space="preserve"> APCE, Recomandarea 2211 (2021), adoptată la 29 septembrie 2021.</w:t>
      </w:r>
      <w:bookmarkEnd w:id="206"/>
    </w:p>
  </w:footnote>
  <w:footnote w:id="133">
    <w:p w:rsidR="00E51978" w:rsidRPr="004E097F" w:rsidRDefault="00E51978" w:rsidP="00DB7E5A">
      <w:pPr>
        <w:pStyle w:val="FootnoteText"/>
      </w:pPr>
      <w:r>
        <w:rPr>
          <w:rStyle w:val="FootnoteReference"/>
        </w:rPr>
        <w:footnoteRef/>
      </w:r>
      <w:r>
        <w:t xml:space="preserve"> </w:t>
      </w:r>
      <w:bookmarkStart w:id="207" w:name="lt_pId5131"/>
      <w:r>
        <w:t>APCE, Recomandarea 2214 (2021), adoptată la 29 septembrie 2021.</w:t>
      </w:r>
      <w:bookmarkEnd w:id="207"/>
    </w:p>
  </w:footnote>
  <w:footnote w:id="134">
    <w:p w:rsidR="00E51978" w:rsidRPr="004E097F" w:rsidRDefault="00E51978" w:rsidP="00DB7E5A">
      <w:pPr>
        <w:pStyle w:val="FootnoteText"/>
      </w:pPr>
      <w:r>
        <w:rPr>
          <w:rStyle w:val="FootnoteReference"/>
        </w:rPr>
        <w:footnoteRef/>
      </w:r>
      <w:bookmarkStart w:id="208" w:name="lt_pId5132"/>
      <w:r>
        <w:t xml:space="preserve"> APCE, Rezoluția 2399 (2021), adoptată la 29 septembrie 2021.</w:t>
      </w:r>
      <w:bookmarkEnd w:id="208"/>
    </w:p>
  </w:footnote>
  <w:footnote w:id="135">
    <w:p w:rsidR="00E51978" w:rsidRPr="004E097F" w:rsidRDefault="00E51978" w:rsidP="00DB7E5A">
      <w:pPr>
        <w:pStyle w:val="FootnoteText"/>
      </w:pPr>
      <w:r>
        <w:rPr>
          <w:rStyle w:val="FootnoteReference"/>
        </w:rPr>
        <w:footnoteRef/>
      </w:r>
      <w:r>
        <w:t xml:space="preserve"> Comitetul de Miniștri, Răspuns la Recomandarea 2211(2021), doc. 15623, adoptată în cadrul celei de-a 1444-a reuniuni a Delegaților Miniștrilor (27 septembrie 2022), 4 octombrie 2022, punctele 3-4.</w:t>
      </w:r>
    </w:p>
  </w:footnote>
  <w:footnote w:id="136">
    <w:p w:rsidR="00E51978" w:rsidRPr="004E097F" w:rsidRDefault="00E51978" w:rsidP="00DB7E5A">
      <w:pPr>
        <w:pStyle w:val="FootnoteText"/>
      </w:pPr>
      <w:r>
        <w:rPr>
          <w:rStyle w:val="FootnoteReference"/>
        </w:rPr>
        <w:footnoteRef/>
      </w:r>
      <w:bookmarkStart w:id="211" w:name="lt_pId5135"/>
      <w:r>
        <w:t xml:space="preserve"> CM(2022)141-add3final, 27 septembrie 2022.</w:t>
      </w:r>
      <w:bookmarkEnd w:id="211"/>
    </w:p>
  </w:footnote>
  <w:footnote w:id="137">
    <w:p w:rsidR="00E51978" w:rsidRPr="004E097F" w:rsidRDefault="00E51978" w:rsidP="00DB7E5A">
      <w:pPr>
        <w:pStyle w:val="FootnoteText"/>
      </w:pPr>
      <w:r>
        <w:rPr>
          <w:rStyle w:val="FootnoteReference"/>
        </w:rPr>
        <w:footnoteRef/>
      </w:r>
      <w:r>
        <w:t xml:space="preserve"> Comisarul pentru Drepturile Omului, Comentariul privind drepturile omului „Living in a clean environment: a neglected human rights concern for all of us”, 4 iunie 2019.</w:t>
      </w:r>
    </w:p>
  </w:footnote>
  <w:footnote w:id="138">
    <w:p w:rsidR="00E51978" w:rsidRPr="004E097F" w:rsidRDefault="00E51978" w:rsidP="00DB7E5A">
      <w:pPr>
        <w:jc w:val="both"/>
      </w:pPr>
      <w:r>
        <w:rPr>
          <w:rStyle w:val="FootnoteReference"/>
          <w:sz w:val="20"/>
          <w:szCs w:val="20"/>
        </w:rPr>
        <w:footnoteRef/>
      </w:r>
      <w:r>
        <w:rPr>
          <w:sz w:val="20"/>
        </w:rPr>
        <w:t xml:space="preserve"> </w:t>
      </w:r>
      <w:bookmarkStart w:id="214" w:name="lt_pId5137"/>
      <w:r>
        <w:rPr>
          <w:sz w:val="20"/>
        </w:rPr>
        <w:t>Comisia Europeană pentru Democrație prin drept, Avizul nr. </w:t>
      </w:r>
      <w:bookmarkEnd w:id="214"/>
      <w:r>
        <w:rPr>
          <w:sz w:val="20"/>
          <w:vertAlign w:val="superscript"/>
        </w:rPr>
        <w:t> </w:t>
      </w:r>
      <w:r>
        <w:rPr>
          <w:sz w:val="20"/>
        </w:rPr>
        <w:t>997/2020, 9 octombrie 2020, CDL-AD(2020)020-e. Avizul are ca obiect patru proiecte de lege constituționale privind protecția mediului, resursele naturale, referendumurile și președintele Islandei, guvernul, funcțiile executivului și alte chestiuni instituționale.</w:t>
      </w:r>
    </w:p>
  </w:footnote>
  <w:footnote w:id="139">
    <w:p w:rsidR="00E51978" w:rsidRPr="004E097F" w:rsidRDefault="00E51978" w:rsidP="00DB7E5A">
      <w:pPr>
        <w:pStyle w:val="FootnoteText"/>
      </w:pPr>
      <w:r>
        <w:rPr>
          <w:rStyle w:val="FootnoteReference"/>
        </w:rPr>
        <w:footnoteRef/>
      </w:r>
      <w:r>
        <w:t xml:space="preserve"> Declarația celei de-a patra Reuniuni la nivel înalt a șefilor de stat și de guvern a Consiliului Europei (Reykjavík, Islanda, 16-17 mai 2023).</w:t>
      </w:r>
    </w:p>
  </w:footnote>
  <w:footnote w:id="140">
    <w:p w:rsidR="00E51978" w:rsidRPr="004E097F" w:rsidRDefault="00E51978" w:rsidP="00DB7E5A">
      <w:pPr>
        <w:pStyle w:val="FootnoteText"/>
      </w:pPr>
      <w:r>
        <w:rPr>
          <w:rStyle w:val="FootnoteReference"/>
        </w:rPr>
        <w:footnoteRef/>
      </w:r>
      <w:r>
        <w:t xml:space="preserve"> Concluzii și recomandări cu privire la Comunicarea ACCC/C/2008/32 (partea II) referitoare la respectarea de către Uniunea Europeană a dispozițiilor Convenției de la Aarhus, adoptate la 17 martie 2017 de Comitetul pentru examinarea respectării dispozițiilor Convenției de la Aarhus, ECE/MP.PP/C.1/2017.7.</w:t>
      </w:r>
    </w:p>
  </w:footnote>
  <w:footnote w:id="141">
    <w:p w:rsidR="00E51978" w:rsidRPr="004E097F" w:rsidRDefault="00E51978" w:rsidP="00DB7E5A">
      <w:pPr>
        <w:pStyle w:val="FootnoteText"/>
      </w:pPr>
      <w:r>
        <w:rPr>
          <w:rStyle w:val="FootnoteReference"/>
        </w:rPr>
        <w:footnoteRef/>
      </w:r>
      <w:r>
        <w:t xml:space="preserve"> </w:t>
      </w:r>
      <w:bookmarkStart w:id="230" w:name="lt_pId5140"/>
      <w:r>
        <w:rPr>
          <w:i/>
        </w:rPr>
        <w:t>Armando Carvalho și alții împotriva Parlamentului European și a Consiliului Uniunii Europene</w:t>
      </w:r>
      <w:r>
        <w:t>, C</w:t>
      </w:r>
      <w:r>
        <w:noBreakHyphen/>
        <w:t>565/19 P, EU:C:2021:252.</w:t>
      </w:r>
      <w:bookmarkEnd w:id="230"/>
    </w:p>
  </w:footnote>
  <w:footnote w:id="142">
    <w:p w:rsidR="00E51978" w:rsidRPr="004E097F" w:rsidRDefault="00E51978" w:rsidP="00DB7E5A">
      <w:pPr>
        <w:pStyle w:val="FootnoteText"/>
      </w:pPr>
      <w:r>
        <w:rPr>
          <w:rStyle w:val="FootnoteReference"/>
        </w:rPr>
        <w:footnoteRef/>
      </w:r>
      <w:r>
        <w:t xml:space="preserve"> </w:t>
      </w:r>
      <w:bookmarkStart w:id="231" w:name="lt_pId5141"/>
      <w:r>
        <w:rPr>
          <w:i/>
        </w:rPr>
        <w:t>Peter Sabo și alții împotriva Parlamentului European și a Consiliului Uniunii Europene</w:t>
      </w:r>
      <w:r>
        <w:t>, C-297/20 P, EU:C:2021:24.</w:t>
      </w:r>
      <w:bookmarkEnd w:id="231"/>
    </w:p>
  </w:footnote>
  <w:footnote w:id="143">
    <w:p w:rsidR="00E51978" w:rsidRPr="004E097F" w:rsidRDefault="00E51978" w:rsidP="00DB7E5A">
      <w:pPr>
        <w:pStyle w:val="FootnoteText"/>
      </w:pPr>
      <w:r>
        <w:rPr>
          <w:rStyle w:val="FootnoteReference"/>
        </w:rPr>
        <w:footnoteRef/>
      </w:r>
      <w:r>
        <w:t xml:space="preserve"> C-873/19, EU:C:2022:857.</w:t>
      </w:r>
    </w:p>
  </w:footnote>
  <w:footnote w:id="144">
    <w:p w:rsidR="00E51978" w:rsidRPr="004E097F" w:rsidRDefault="00E51978" w:rsidP="00DB7E5A">
      <w:pPr>
        <w:pStyle w:val="FootnoteText"/>
      </w:pPr>
      <w:r>
        <w:rPr>
          <w:rStyle w:val="FootnoteReference"/>
        </w:rPr>
        <w:footnoteRef/>
      </w:r>
      <w:r>
        <w:t xml:space="preserve"> </w:t>
      </w:r>
      <w:bookmarkStart w:id="239" w:name="lt_pId5143"/>
      <w:r>
        <w:t>Convenția americană privind drepturile omului, adoptată la 22 noiembrie 1969 și intrată în vigoare la 18 iulie 1978, Seria tratatelor OAS (Organizația Statelor Americane), nr. 36.</w:t>
      </w:r>
      <w:bookmarkEnd w:id="239"/>
    </w:p>
  </w:footnote>
  <w:footnote w:id="145">
    <w:p w:rsidR="00E51978" w:rsidRPr="004E097F" w:rsidRDefault="00E51978" w:rsidP="00DB7E5A">
      <w:pPr>
        <w:pStyle w:val="FootnoteText"/>
      </w:pPr>
      <w:r>
        <w:rPr>
          <w:rStyle w:val="FootnoteReference"/>
        </w:rPr>
        <w:footnoteRef/>
      </w:r>
      <w:r>
        <w:t xml:space="preserve"> </w:t>
      </w:r>
      <w:bookmarkStart w:id="240" w:name="lt_pId5144"/>
      <w:r>
        <w:t>Protocolul adițional la Convenția americană privind drepturile omului în domeniul drepturilor economice, sociale și culturale, „Protocolul de la San Salvador”, adoptat la 17 noiembrie 1988 și intrat în vigoare la 16 noiembrie 1999, Seria tratatelor OAS, nr. 69.</w:t>
      </w:r>
      <w:bookmarkEnd w:id="240"/>
    </w:p>
  </w:footnote>
  <w:footnote w:id="146">
    <w:p w:rsidR="00E51978" w:rsidRPr="004E097F" w:rsidRDefault="00E51978" w:rsidP="00DB7E5A">
      <w:pPr>
        <w:pStyle w:val="FootnoteText"/>
      </w:pPr>
      <w:r>
        <w:rPr>
          <w:rStyle w:val="FootnoteReference"/>
        </w:rPr>
        <w:footnoteRef/>
      </w:r>
      <w:r>
        <w:t xml:space="preserve"> </w:t>
      </w:r>
      <w:bookmarkStart w:id="241" w:name="lt_pId5145"/>
      <w:r>
        <w:t>Convenția interamericană privind protecția drepturilor omului ale persoanelor în vârstă, adoptată la Washington la 15 iunie 2015 și intrată în vigoare la 11 ianuarie 2017.</w:t>
      </w:r>
      <w:bookmarkEnd w:id="241"/>
    </w:p>
  </w:footnote>
  <w:footnote w:id="147">
    <w:p w:rsidR="00E51978" w:rsidRPr="00757104" w:rsidRDefault="00E51978" w:rsidP="00DB7E5A">
      <w:pPr>
        <w:pStyle w:val="FootnoteText"/>
      </w:pPr>
      <w:r>
        <w:rPr>
          <w:rStyle w:val="FootnoteReference"/>
        </w:rPr>
        <w:footnoteRef/>
      </w:r>
      <w:r>
        <w:t xml:space="preserve"> </w:t>
      </w:r>
      <w:bookmarkStart w:id="244" w:name="lt_pId5146"/>
      <w:r>
        <w:t>Curtea Interamericană a Drepturilor Omului, „</w:t>
      </w:r>
      <w:r>
        <w:rPr>
          <w:i/>
        </w:rPr>
        <w:t>State Obligations in relation to the environment in the context of the protection and guarantee of the rights to life and to personal integrity: Interpretation and scope of Articles 4(1) and 5(1) in relation to Articles 1(1) and 2</w:t>
      </w:r>
      <w:r>
        <w:t>” [Obligațiile statului în materie de mediu în contextul protecției și garantării drepturilor la viață și la integritate personală: Interpretarea și domeniul de aplicare ale articolului 4 alineatul (1) și ale articolului 5 alineatul (1) în raport cu articolul 1 alineatele (1) și (2)], Avizul consultativ OC-23/17 privind mediul și drepturile omului, 15 noiembrie 2017.</w:t>
      </w:r>
      <w:bookmarkEnd w:id="244"/>
    </w:p>
  </w:footnote>
  <w:footnote w:id="148">
    <w:p w:rsidR="00E51978" w:rsidRPr="00757104" w:rsidRDefault="00E51978" w:rsidP="00DB7E5A">
      <w:pPr>
        <w:pStyle w:val="FootnoteText"/>
      </w:pPr>
      <w:r>
        <w:rPr>
          <w:rStyle w:val="FootnoteReference"/>
        </w:rPr>
        <w:footnoteRef/>
      </w:r>
      <w:r>
        <w:t xml:space="preserve"> </w:t>
      </w:r>
      <w:bookmarkStart w:id="246" w:name="lt_pId5147"/>
      <w:r>
        <w:rPr>
          <w:i/>
        </w:rPr>
        <w:t>Case of the indigenous communities of the Lhaka Honhat Association (Our Land) v. Argentina</w:t>
      </w:r>
      <w:r>
        <w:t>, 6 februarie 2020.</w:t>
      </w:r>
      <w:bookmarkEnd w:id="246"/>
    </w:p>
  </w:footnote>
  <w:footnote w:id="149">
    <w:p w:rsidR="00E51978" w:rsidRPr="004E097F" w:rsidRDefault="00E51978" w:rsidP="00DB7E5A">
      <w:pPr>
        <w:pStyle w:val="FootnoteText"/>
      </w:pPr>
      <w:r>
        <w:rPr>
          <w:rStyle w:val="FootnoteReference"/>
        </w:rPr>
        <w:footnoteRef/>
      </w:r>
      <w:r>
        <w:t xml:space="preserve"> </w:t>
      </w:r>
      <w:bookmarkStart w:id="247" w:name="lt_pId5211"/>
      <w:r>
        <w:t>Cerere de aviz consultativ cu privire la situația de urgență climatică și drepturile omului, înaintată Curții Interamericane a Drepturilor Omului de către Republica Columbia și Republica Chile, 9 ianuarie 2023.</w:t>
      </w:r>
      <w:bookmarkEnd w:id="247"/>
    </w:p>
  </w:footnote>
  <w:footnote w:id="150">
    <w:p w:rsidR="00E51978" w:rsidRPr="00757104" w:rsidRDefault="00E51978" w:rsidP="00DB7E5A">
      <w:pPr>
        <w:pStyle w:val="FootnoteText"/>
      </w:pPr>
      <w:r>
        <w:rPr>
          <w:rStyle w:val="FootnoteReference"/>
        </w:rPr>
        <w:footnoteRef/>
      </w:r>
      <w:r>
        <w:t xml:space="preserve"> </w:t>
      </w:r>
      <w:bookmarkStart w:id="249" w:name="lt_pId5148"/>
      <w:r>
        <w:t>Rezoluția nr. 3/21, intitulată „Climate Emergency: Scope of Inter-American human rights obligations</w:t>
      </w:r>
      <w:bookmarkEnd w:id="249"/>
      <w:r>
        <w:t>”.</w:t>
      </w:r>
    </w:p>
  </w:footnote>
  <w:footnote w:id="151">
    <w:p w:rsidR="00E51978" w:rsidRPr="004E097F" w:rsidRDefault="00E51978" w:rsidP="00DB7E5A">
      <w:pPr>
        <w:pStyle w:val="FootnoteText"/>
      </w:pPr>
      <w:r>
        <w:rPr>
          <w:rStyle w:val="FootnoteReference"/>
        </w:rPr>
        <w:footnoteRef/>
      </w:r>
      <w:r>
        <w:t xml:space="preserve"> </w:t>
      </w:r>
      <w:bookmarkStart w:id="251" w:name="lt_pId5149"/>
      <w:r>
        <w:t>Carta Africană a Drepturilor Omului și ale Popoarelor, adoptată la Nairobi la 1 iunie 1981 și intrată în vigoare la 21 octombrie 1981.</w:t>
      </w:r>
      <w:bookmarkEnd w:id="251"/>
    </w:p>
  </w:footnote>
  <w:footnote w:id="152">
    <w:p w:rsidR="00E51978" w:rsidRPr="004E097F" w:rsidRDefault="00E51978" w:rsidP="00DB7E5A">
      <w:pPr>
        <w:pStyle w:val="FootnoteText"/>
      </w:pPr>
      <w:r>
        <w:rPr>
          <w:rStyle w:val="FootnoteReference"/>
        </w:rPr>
        <w:footnoteRef/>
      </w:r>
      <w:r>
        <w:t xml:space="preserve"> </w:t>
      </w:r>
      <w:bookmarkStart w:id="252" w:name="lt_pId5150"/>
      <w:r>
        <w:t>ACHPR/Res. 417 (LXIV) 2019, adoptată în cadrul celei de a 64-a sesiuni ordinare a Comisiei, care a avut loc la Sharm el-Sheikh, Republica Arabă Egipt, în perioada 24 aprilie-14 mai 2019.</w:t>
      </w:r>
      <w:bookmarkEnd w:id="252"/>
    </w:p>
  </w:footnote>
  <w:footnote w:id="153">
    <w:p w:rsidR="00E51978" w:rsidRPr="004E097F" w:rsidRDefault="00E51978" w:rsidP="00DB7E5A">
      <w:pPr>
        <w:pStyle w:val="FootnoteText"/>
      </w:pPr>
      <w:r>
        <w:rPr>
          <w:rStyle w:val="FootnoteReference"/>
        </w:rPr>
        <w:footnoteRef/>
      </w:r>
      <w:r>
        <w:t xml:space="preserve"> </w:t>
      </w:r>
      <w:bookmarkStart w:id="253" w:name="lt_pId5215"/>
      <w:r>
        <w:t xml:space="preserve">Comisia Africană pentru Drepturile Omului și ale Popoarelor, </w:t>
      </w:r>
      <w:r>
        <w:rPr>
          <w:i/>
        </w:rPr>
        <w:t>Social and Economic Rights Action Center &amp; the Center for Economic and Social Rights împotriva Nigeriei</w:t>
      </w:r>
      <w:r>
        <w:t>, comunicarea nr. 155/96, 27 mai 2002.</w:t>
      </w:r>
      <w:bookmarkEnd w:id="253"/>
    </w:p>
  </w:footnote>
  <w:footnote w:id="154">
    <w:p w:rsidR="00E51978" w:rsidRPr="00757104" w:rsidRDefault="00E51978" w:rsidP="00DB7E5A">
      <w:pPr>
        <w:pStyle w:val="FootnoteText"/>
      </w:pPr>
      <w:r>
        <w:rPr>
          <w:rStyle w:val="FootnoteReference"/>
        </w:rPr>
        <w:footnoteRef/>
      </w:r>
      <w:r>
        <w:t xml:space="preserve"> Andorra, Liechtenstein, Monaco, San Marino și Turcia.</w:t>
      </w:r>
    </w:p>
  </w:footnote>
  <w:footnote w:id="155">
    <w:p w:rsidR="00E51978" w:rsidRPr="00757104" w:rsidRDefault="00E51978" w:rsidP="00DB7E5A">
      <w:pPr>
        <w:pStyle w:val="FootnoteText"/>
        <w:rPr>
          <w:highlight w:val="lightGray"/>
        </w:rPr>
      </w:pPr>
      <w:r>
        <w:rPr>
          <w:rStyle w:val="FootnoteReference"/>
        </w:rPr>
        <w:footnoteRef/>
      </w:r>
      <w:r>
        <w:t xml:space="preserve"> Armenia, Austria, Belgia, Bosnia și Herțegovina, Croația, Danemarca, Estonia, Finlanda, Franța, Georgia, Germania, Grecia, Irlanda, Islanda, Italia, Letonia, Liechtenstein, Lituania, Luxemburg, Macedonia de Nord, Malta, Muntenegru, Norvegia, Polonia, Portugalia, Regatul Unit, Republica Cehă, Republica Moldova, România, San-Marino, Serbia, Slovacia, Slovenia, Spania, Turcia, Țările de Jos, Ungaria și Ucraina.</w:t>
      </w:r>
    </w:p>
  </w:footnote>
  <w:footnote w:id="156">
    <w:p w:rsidR="00E51978" w:rsidRPr="004E097F" w:rsidRDefault="00E51978" w:rsidP="00DB7E5A">
      <w:pPr>
        <w:pStyle w:val="FootnoteText"/>
      </w:pPr>
      <w:r>
        <w:rPr>
          <w:rStyle w:val="FootnoteReference"/>
        </w:rPr>
        <w:footnoteRef/>
      </w:r>
      <w:r>
        <w:t xml:space="preserve"> Directiva 2008/50/CE a Parlamentului European și a Consiliului din 21 mai 2008 privind calitatea aerului înconjurător și un aer mai curat pentru Europa, JO 2008/L 152, p. 1-44.</w:t>
      </w:r>
    </w:p>
  </w:footnote>
  <w:footnote w:id="157">
    <w:p w:rsidR="00E51978" w:rsidRPr="004E097F" w:rsidRDefault="00E51978" w:rsidP="00DB7E5A">
      <w:pPr>
        <w:pStyle w:val="FootnoteText"/>
      </w:pPr>
      <w:r>
        <w:rPr>
          <w:rStyle w:val="FootnoteReference"/>
        </w:rPr>
        <w:footnoteRef/>
      </w:r>
      <w:r>
        <w:t xml:space="preserve"> Poate fi consultat la adresa: </w:t>
      </w:r>
      <w:bookmarkStart w:id="271" w:name="_cp_change_1864"/>
      <w:r>
        <w:t>www.conseil-etat.fr; ultima consultare la 14.02.2024</w:t>
      </w:r>
      <w:bookmarkEnd w:id="271"/>
      <w:r>
        <w:t>.</w:t>
      </w:r>
    </w:p>
  </w:footnote>
  <w:footnote w:id="158">
    <w:p w:rsidR="00E51978" w:rsidRPr="004E097F" w:rsidRDefault="00E51978" w:rsidP="00DB7E5A">
      <w:pPr>
        <w:pStyle w:val="FootnoteText"/>
      </w:pPr>
      <w:r>
        <w:rPr>
          <w:rStyle w:val="FootnoteReference"/>
        </w:rPr>
        <w:footnoteRef/>
      </w:r>
      <w:bookmarkStart w:id="276" w:name="lt_pId5153"/>
      <w:r>
        <w:t> Hotărârea Camerei Întâi din 24 martie 2021, 1 BvR 2656/18 DE:BVerfG:2021:rs20210324.1bvr265618.</w:t>
      </w:r>
      <w:bookmarkEnd w:id="276"/>
    </w:p>
  </w:footnote>
  <w:footnote w:id="159">
    <w:p w:rsidR="00E51978" w:rsidRPr="00757104" w:rsidRDefault="00E51978" w:rsidP="00DB7E5A">
      <w:pPr>
        <w:pStyle w:val="FootnoteText"/>
      </w:pPr>
      <w:r>
        <w:rPr>
          <w:rStyle w:val="FootnoteReference"/>
        </w:rPr>
        <w:footnoteRef/>
      </w:r>
      <w:r>
        <w:t xml:space="preserve"> Curtea Supremă a Irlandei, </w:t>
      </w:r>
      <w:r>
        <w:rPr>
          <w:i/>
        </w:rPr>
        <w:t>Friends of the Irish Environment CLG v. the Government of Ireland, Ireland and the Attorney General</w:t>
      </w:r>
      <w:r>
        <w:t xml:space="preserve">, recursul nr. 205/19, 31 iulie 2020. </w:t>
      </w:r>
    </w:p>
  </w:footnote>
  <w:footnote w:id="160">
    <w:p w:rsidR="00E51978" w:rsidRPr="004E097F" w:rsidRDefault="00E51978" w:rsidP="00DB7E5A">
      <w:pPr>
        <w:pStyle w:val="FootnoteText"/>
      </w:pPr>
      <w:r>
        <w:rPr>
          <w:rStyle w:val="FootnoteReference"/>
        </w:rPr>
        <w:footnoteRef/>
      </w:r>
      <w:r>
        <w:t xml:space="preserve"> Curtea Supremă a Norvegiei, </w:t>
      </w:r>
      <w:r>
        <w:rPr>
          <w:i/>
          <w:iCs/>
        </w:rPr>
        <w:t>Nature and Youth Norway and Greenpeace Nordic v. the Ministry of Petroleum and Energy</w:t>
      </w:r>
      <w:r>
        <w:t>, HR-2020-2472-P, (cauza nr. 20-051052SIV-HRET).</w:t>
      </w:r>
    </w:p>
  </w:footnote>
  <w:footnote w:id="161">
    <w:p w:rsidR="00E51978" w:rsidRPr="00757104" w:rsidRDefault="00E51978" w:rsidP="00DB7E5A">
      <w:pPr>
        <w:pStyle w:val="FootnoteText"/>
      </w:pPr>
      <w:r>
        <w:rPr>
          <w:rStyle w:val="FootnoteReference"/>
        </w:rPr>
        <w:footnoteRef/>
      </w:r>
      <w:r>
        <w:t xml:space="preserve"> </w:t>
      </w:r>
      <w:r>
        <w:rPr>
          <w:i/>
        </w:rPr>
        <w:t>High Court of Justice</w:t>
      </w:r>
      <w:r>
        <w:t>, 21 decembrie 2021, [2021] EWHC 3469 (Admin).</w:t>
      </w:r>
    </w:p>
  </w:footnote>
  <w:footnote w:id="162">
    <w:p w:rsidR="00E51978" w:rsidRPr="004E097F" w:rsidRDefault="00E51978" w:rsidP="00DB7E5A">
      <w:pPr>
        <w:pStyle w:val="FootnoteText"/>
      </w:pPr>
      <w:r>
        <w:rPr>
          <w:rStyle w:val="FootnoteReference"/>
        </w:rPr>
        <w:footnoteRef/>
      </w:r>
      <w:r>
        <w:t xml:space="preserve"> Curtea de apel, 18 martie 2022, CA-2021-003448.</w:t>
      </w:r>
    </w:p>
  </w:footnote>
  <w:footnote w:id="163">
    <w:p w:rsidR="00E51978" w:rsidRPr="004E097F" w:rsidRDefault="00E51978" w:rsidP="00F524A5">
      <w:pPr>
        <w:pStyle w:val="FootnoteText"/>
      </w:pPr>
      <w:r>
        <w:t>FOEN, „Climate Change in Switzerland” (2020).</w:t>
      </w:r>
    </w:p>
  </w:footnote>
  <w:footnote w:id="164">
    <w:p w:rsidR="00E51978" w:rsidRPr="005E6EA2" w:rsidRDefault="00E51978" w:rsidP="00F524A5">
      <w:pPr>
        <w:pStyle w:val="FootnoteText"/>
      </w:pPr>
      <w:r>
        <w:rPr>
          <w:rStyle w:val="FootnoteReference"/>
        </w:rPr>
        <w:footnoteRef/>
      </w:r>
      <w:r>
        <w:t xml:space="preserve"> </w:t>
      </w:r>
      <w:bookmarkStart w:id="306" w:name="_cp_change_2073"/>
      <w:r>
        <w:t>Our World in Data, „CO</w:t>
      </w:r>
      <w:r>
        <w:rPr>
          <w:vertAlign w:val="subscript"/>
        </w:rPr>
        <w:t>2</w:t>
      </w:r>
      <w:r>
        <w:t xml:space="preserve"> emissions embedded in trade” (document disponibil la adresa www.ourworldindata.org; ultima consultare la 14.02.2024</w:t>
      </w:r>
      <w:bookmarkEnd w:id="306"/>
      <w:r>
        <w:t>).</w:t>
      </w:r>
    </w:p>
  </w:footnote>
  <w:footnote w:id="165">
    <w:p w:rsidR="00E51978" w:rsidRPr="004E097F" w:rsidRDefault="00E51978" w:rsidP="00F524A5">
      <w:pPr>
        <w:pStyle w:val="FootnoteText"/>
      </w:pPr>
      <w:r>
        <w:rPr>
          <w:rStyle w:val="FootnoteReference"/>
        </w:rPr>
        <w:footnoteRef/>
      </w:r>
      <w:r>
        <w:t xml:space="preserve"> FOEN, „Climate Change in Switzerland” (2020), p. 6.</w:t>
      </w:r>
    </w:p>
  </w:footnote>
  <w:footnote w:id="166">
    <w:p w:rsidR="00E51978" w:rsidRPr="005E6EA2" w:rsidRDefault="00E51978" w:rsidP="00F524A5">
      <w:pPr>
        <w:pStyle w:val="FootnoteText"/>
        <w:jc w:val="left"/>
      </w:pPr>
      <w:r>
        <w:rPr>
          <w:rStyle w:val="FootnoteReference"/>
        </w:rPr>
        <w:footnoteRef/>
      </w:r>
      <w:r>
        <w:t xml:space="preserve"> FOEN, „Indicator Economy and Consumption” (document disponibil la adresa www.admin.ch; ultima consultare la 14.02.2024).</w:t>
      </w:r>
    </w:p>
  </w:footnote>
  <w:footnote w:id="167">
    <w:p w:rsidR="00E51978" w:rsidRPr="004E097F" w:rsidRDefault="00E51978" w:rsidP="00F524A5">
      <w:pPr>
        <w:pStyle w:val="FootnoteText"/>
        <w:rPr>
          <w:color w:val="0072BC" w:themeColor="hyperlink"/>
          <w:highlight w:val="cyan"/>
          <w:u w:val="single"/>
        </w:rPr>
      </w:pPr>
      <w:r>
        <w:rPr>
          <w:rStyle w:val="FootnoteReference"/>
        </w:rPr>
        <w:footnoteRef/>
      </w:r>
      <w:r>
        <w:t xml:space="preserve"> </w:t>
      </w:r>
      <w:bookmarkStart w:id="333" w:name="lt_pId5227"/>
      <w:r>
        <w:t>Declarația de la Rio privind mediul și dezvoltarea, 1992</w:t>
      </w:r>
      <w:bookmarkEnd w:id="333"/>
    </w:p>
  </w:footnote>
  <w:footnote w:id="168">
    <w:p w:rsidR="00E51978" w:rsidRPr="004E097F" w:rsidRDefault="00E51978" w:rsidP="00F524A5">
      <w:pPr>
        <w:pStyle w:val="FootnoteText"/>
      </w:pPr>
      <w:r>
        <w:rPr>
          <w:rStyle w:val="FootnoteReference"/>
        </w:rPr>
        <w:footnoteRef/>
      </w:r>
      <w:r>
        <w:t xml:space="preserve"> Trimitere la raportul AR6 (citat anterior), Rezumat destinat decidenților, B.1 și nota de subsol 29.</w:t>
      </w:r>
    </w:p>
  </w:footnote>
  <w:footnote w:id="169">
    <w:p w:rsidR="00E51978" w:rsidRPr="004E097F" w:rsidRDefault="00E51978" w:rsidP="00F524A5">
      <w:pPr>
        <w:pStyle w:val="FootnoteText"/>
      </w:pPr>
      <w:r>
        <w:rPr>
          <w:rStyle w:val="FootnoteReference"/>
        </w:rPr>
        <w:footnoteRef/>
      </w:r>
      <w:r>
        <w:t xml:space="preserve"> </w:t>
      </w:r>
      <w:bookmarkStart w:id="358" w:name="lt_pId5229"/>
      <w:r>
        <w:t>Comisia de drept internațional (CDI), Proiectul de articole privind responsabilitatea statelor pentru acte internaționale ilicite (</w:t>
      </w:r>
      <w:r>
        <w:rPr>
          <w:i/>
          <w:iCs/>
        </w:rPr>
        <w:t>Draft Articles on Responsibility of States for Internationally Wrongful Acts</w:t>
      </w:r>
      <w:r>
        <w:t>), 2001 („Articolele CDI”).</w:t>
      </w:r>
      <w:bookmarkEnd w:id="358"/>
      <w:r>
        <w:t xml:space="preserve"> </w:t>
      </w:r>
    </w:p>
  </w:footnote>
  <w:footnote w:id="170">
    <w:p w:rsidR="00E51978" w:rsidRPr="004E097F" w:rsidRDefault="00E51978" w:rsidP="00F524A5">
      <w:pPr>
        <w:pStyle w:val="FootnoteText"/>
      </w:pPr>
      <w:r>
        <w:rPr>
          <w:rStyle w:val="FootnoteReference"/>
        </w:rPr>
        <w:footnoteRef/>
      </w:r>
      <w:r>
        <w:t xml:space="preserve"> </w:t>
      </w:r>
      <w:bookmarkStart w:id="390" w:name="lt_pId5230"/>
      <w:r>
        <w:t>Trimitere, în special, la Principiile de la Oslo din 2015 privind obligațiile globale de combatere a schimbărilor climatice.</w:t>
      </w:r>
      <w:bookmarkEnd w:id="390"/>
    </w:p>
  </w:footnote>
  <w:footnote w:id="171">
    <w:p w:rsidR="00E51978" w:rsidRPr="004E097F" w:rsidRDefault="00E51978" w:rsidP="00F524A5">
      <w:pPr>
        <w:pStyle w:val="FootnoteText"/>
      </w:pPr>
      <w:r>
        <w:rPr>
          <w:rStyle w:val="FootnoteReference"/>
        </w:rPr>
        <w:footnoteRef/>
      </w:r>
      <w:r>
        <w:t xml:space="preserve"> </w:t>
      </w:r>
      <w:bookmarkStart w:id="402" w:name="lt_pId5231"/>
      <w:r>
        <w:t>Robiou du Pont și Nicholls, „Calculation of an emissions budget for Switzerland based on Bretschger’s (2012) methodology” (2023).</w:t>
      </w:r>
      <w:bookmarkEnd w:id="402"/>
    </w:p>
  </w:footnote>
  <w:footnote w:id="172">
    <w:p w:rsidR="00E51978" w:rsidRPr="004E097F" w:rsidRDefault="00E51978" w:rsidP="00F524A5">
      <w:pPr>
        <w:pStyle w:val="FootnoteText"/>
      </w:pPr>
      <w:r>
        <w:rPr>
          <w:rStyle w:val="FootnoteReference"/>
        </w:rPr>
        <w:footnoteRef/>
      </w:r>
      <w:r>
        <w:t xml:space="preserve"> </w:t>
      </w:r>
      <w:bookmarkStart w:id="403" w:name="lt_pId5232"/>
      <w:r>
        <w:t xml:space="preserve">A se vedea infra, nota de subsol de la pagina </w:t>
      </w:r>
      <w:r w:rsidRPr="00A155E1">
        <w:fldChar w:fldCharType="begin"/>
      </w:r>
      <w:r w:rsidRPr="00A155E1">
        <w:instrText xml:space="preserve"> NOTEREF _Ref161664872 \h  \* MERGEFORMAT </w:instrText>
      </w:r>
      <w:r w:rsidRPr="00A155E1">
        <w:fldChar w:fldCharType="separate"/>
      </w:r>
      <w:r>
        <w:t>180</w:t>
      </w:r>
      <w:r w:rsidRPr="00A155E1">
        <w:fldChar w:fldCharType="end"/>
      </w:r>
      <w:r>
        <w:t>.</w:t>
      </w:r>
      <w:bookmarkEnd w:id="403"/>
    </w:p>
  </w:footnote>
  <w:footnote w:id="173">
    <w:p w:rsidR="00E51978" w:rsidRPr="004E097F" w:rsidRDefault="00E51978" w:rsidP="00F524A5">
      <w:pPr>
        <w:pStyle w:val="FootnoteText"/>
      </w:pPr>
      <w:r>
        <w:rPr>
          <w:rStyle w:val="FootnoteReference"/>
        </w:rPr>
        <w:footnoteRef/>
      </w:r>
      <w:r>
        <w:t xml:space="preserve"> </w:t>
      </w:r>
      <w:bookmarkStart w:id="412" w:name="lt_pId5233"/>
      <w:r>
        <w:t>Trimitere la raportul AR6 WGIII (raport complet), p. 1468.</w:t>
      </w:r>
      <w:bookmarkEnd w:id="412"/>
    </w:p>
  </w:footnote>
  <w:footnote w:id="174">
    <w:p w:rsidR="00E51978" w:rsidRPr="004E097F" w:rsidRDefault="00E51978" w:rsidP="00F524A5">
      <w:pPr>
        <w:pStyle w:val="FootnoteText"/>
      </w:pPr>
      <w:r>
        <w:rPr>
          <w:rStyle w:val="FootnoteReference"/>
        </w:rPr>
        <w:footnoteRef/>
      </w:r>
      <w:r>
        <w:t xml:space="preserve"> </w:t>
      </w:r>
      <w:bookmarkStart w:id="415" w:name="lt_pId5234"/>
      <w:r>
        <w:t>AR6 SYR (citat anterior), p. 29.</w:t>
      </w:r>
      <w:bookmarkEnd w:id="415"/>
    </w:p>
  </w:footnote>
  <w:footnote w:id="175">
    <w:p w:rsidR="00E51978" w:rsidRPr="004E097F" w:rsidRDefault="00E51978" w:rsidP="00F524A5">
      <w:pPr>
        <w:pStyle w:val="FootnoteText"/>
      </w:pPr>
      <w:r>
        <w:rPr>
          <w:rStyle w:val="FootnoteReference"/>
        </w:rPr>
        <w:footnoteRef/>
      </w:r>
      <w:r>
        <w:t xml:space="preserve"> </w:t>
      </w:r>
      <w:bookmarkStart w:id="420" w:name="lt_pId5235"/>
      <w:r>
        <w:t>Reclamantele au furnizat scrisori din partea Climate Analytics și CAT, din 26 aprilie 2023, care oferă detalii suplimentare cu privire la metodologiile folosite.</w:t>
      </w:r>
      <w:bookmarkEnd w:id="420"/>
      <w:r>
        <w:t xml:space="preserve"> </w:t>
      </w:r>
    </w:p>
  </w:footnote>
  <w:footnote w:id="176">
    <w:p w:rsidR="00E51978" w:rsidRPr="004E097F" w:rsidRDefault="00E51978" w:rsidP="00F524A5">
      <w:pPr>
        <w:pStyle w:val="FootnoteText"/>
      </w:pPr>
      <w:r>
        <w:rPr>
          <w:rStyle w:val="FootnoteReference"/>
        </w:rPr>
        <w:footnoteRef/>
      </w:r>
      <w:r>
        <w:t xml:space="preserve"> </w:t>
      </w:r>
      <w:bookmarkStart w:id="452" w:name="lt_pId5236"/>
      <w:r>
        <w:t>Comisia de drept internațional, Proiect de articole privind prevenirea daunelor transfrontaliere cauzate de activități periculoase, 2001.</w:t>
      </w:r>
      <w:bookmarkEnd w:id="452"/>
    </w:p>
  </w:footnote>
  <w:footnote w:id="177">
    <w:p w:rsidR="00E51978" w:rsidRPr="004E097F" w:rsidRDefault="00E51978" w:rsidP="00F524A5">
      <w:pPr>
        <w:pStyle w:val="FootnoteText"/>
      </w:pPr>
      <w:r>
        <w:rPr>
          <w:rStyle w:val="FootnoteReference"/>
        </w:rPr>
        <w:footnoteRef/>
      </w:r>
      <w:r>
        <w:t xml:space="preserve"> </w:t>
      </w:r>
      <w:bookmarkStart w:id="461" w:name="lt_pId5237"/>
      <w:r>
        <w:t>Regulamentul (UE) 2021/1119</w:t>
      </w:r>
      <w:bookmarkEnd w:id="461"/>
      <w:r>
        <w:t>, citat anterior.</w:t>
      </w:r>
    </w:p>
  </w:footnote>
  <w:footnote w:id="178">
    <w:p w:rsidR="00E51978" w:rsidRPr="00757104" w:rsidRDefault="00E51978" w:rsidP="00F524A5">
      <w:pPr>
        <w:pStyle w:val="FootnoteText"/>
      </w:pPr>
      <w:r>
        <w:rPr>
          <w:rStyle w:val="FootnoteReference"/>
        </w:rPr>
        <w:footnoteRef/>
      </w:r>
      <w:r>
        <w:t xml:space="preserve"> </w:t>
      </w:r>
      <w:bookmarkStart w:id="471" w:name="lt_pId5238"/>
      <w:r>
        <w:t>Trimitere la raportul AR6 WGII (citat anterior); și la studiul elaborat de Rupert Stuart-Smith, Ana Vicedo-Cabrera, Sihan Li și alții, „Quantifying heat-related mortality attributable to human-induced climate change” (2023).</w:t>
      </w:r>
      <w:bookmarkEnd w:id="471"/>
    </w:p>
  </w:footnote>
  <w:footnote w:id="179">
    <w:p w:rsidR="00E51978" w:rsidRPr="004E097F" w:rsidRDefault="00E51978" w:rsidP="00F524A5">
      <w:pPr>
        <w:pStyle w:val="FootnoteText"/>
      </w:pPr>
      <w:r>
        <w:rPr>
          <w:rStyle w:val="FootnoteReference"/>
        </w:rPr>
        <w:footnoteRef/>
      </w:r>
      <w:r>
        <w:t xml:space="preserve"> </w:t>
      </w:r>
      <w:bookmarkStart w:id="475" w:name="lt_pId5239"/>
      <w:r>
        <w:t xml:space="preserve">Trimitere la CDO, cauza </w:t>
      </w:r>
      <w:r>
        <w:rPr>
          <w:i/>
          <w:iCs/>
        </w:rPr>
        <w:t>Daniel Billy</w:t>
      </w:r>
      <w:r>
        <w:rPr>
          <w:i/>
        </w:rPr>
        <w:t xml:space="preserve"> și alții împotriva Australiei,</w:t>
      </w:r>
      <w:r>
        <w:t xml:space="preserve"> citată anterior.</w:t>
      </w:r>
      <w:bookmarkEnd w:id="475"/>
    </w:p>
  </w:footnote>
  <w:footnote w:id="180">
    <w:p w:rsidR="00E51978" w:rsidRPr="004E097F" w:rsidRDefault="00E51978" w:rsidP="00F524A5">
      <w:pPr>
        <w:pStyle w:val="FootnoteText"/>
      </w:pPr>
      <w:r>
        <w:rPr>
          <w:rStyle w:val="FootnoteReference"/>
        </w:rPr>
        <w:footnoteRef/>
      </w:r>
      <w:r>
        <w:t xml:space="preserve"> </w:t>
      </w:r>
      <w:bookmarkStart w:id="544" w:name="lt_pId5241"/>
      <w:r>
        <w:t>Trimitere la studiul elaborat de L. Bretschger, „Climate Policy and Equity Principles: Fair Burden Sharing in a Dynamic World”, Center of Economic Research, ETH Zurich, Notă de orientare (</w:t>
      </w:r>
      <w:r>
        <w:rPr>
          <w:i/>
        </w:rPr>
        <w:t>Policy Brief</w:t>
      </w:r>
      <w:r>
        <w:t>) 12/16, martie 2012.</w:t>
      </w:r>
      <w:bookmarkEnd w:id="544"/>
    </w:p>
  </w:footnote>
  <w:footnote w:id="181">
    <w:p w:rsidR="00E51978" w:rsidRPr="004E097F" w:rsidRDefault="00E51978" w:rsidP="00F524A5">
      <w:pPr>
        <w:pStyle w:val="FootnoteText"/>
      </w:pPr>
      <w:r>
        <w:rPr>
          <w:rStyle w:val="FootnoteReference"/>
        </w:rPr>
        <w:footnoteRef/>
      </w:r>
      <w:r>
        <w:t xml:space="preserve"> </w:t>
      </w:r>
      <w:bookmarkStart w:id="545" w:name="lt_pId5242"/>
      <w:r>
        <w:t xml:space="preserve">Trimitere la un document intern (pus la dispoziția Curții): „Klimawandel und das Pariser Abkommen: Welcher NDC der Schweiz ist </w:t>
      </w:r>
      <w:bookmarkStart w:id="546" w:name="_cp_change_2244"/>
      <w:r>
        <w:t>«</w:t>
      </w:r>
      <w:bookmarkEnd w:id="546"/>
      <w:r>
        <w:t>fair und ambitiös</w:t>
      </w:r>
      <w:bookmarkStart w:id="547" w:name="_cp_change_2246"/>
      <w:r>
        <w:t>’</w:t>
      </w:r>
      <w:bookmarkEnd w:id="547"/>
      <w:r>
        <w:t>?»” (2020).</w:t>
      </w:r>
      <w:bookmarkEnd w:id="545"/>
    </w:p>
  </w:footnote>
  <w:footnote w:id="182">
    <w:p w:rsidR="00E51978" w:rsidRPr="004E097F" w:rsidRDefault="00E51978" w:rsidP="00F524A5">
      <w:pPr>
        <w:pStyle w:val="FootnoteText"/>
      </w:pPr>
      <w:r>
        <w:rPr>
          <w:rStyle w:val="FootnoteReference"/>
        </w:rPr>
        <w:footnoteRef/>
      </w:r>
      <w:r>
        <w:t xml:space="preserve"> Pactul internațional cu privire la drepturile civile și politice,</w:t>
      </w:r>
      <w:r>
        <w:rPr>
          <w:b/>
        </w:rPr>
        <w:t xml:space="preserve"> </w:t>
      </w:r>
      <w:r>
        <w:t>Comentariul general nr. 36 privind articolul 6: dreptul la viață, CCPR/C/GC/36, 3 septembrie 2019, pct. 26.</w:t>
      </w:r>
    </w:p>
  </w:footnote>
  <w:footnote w:id="183">
    <w:p w:rsidR="00E51978" w:rsidRPr="004E097F" w:rsidRDefault="00E51978" w:rsidP="00F524A5">
      <w:pPr>
        <w:pStyle w:val="FootnoteText"/>
      </w:pPr>
      <w:r>
        <w:rPr>
          <w:rStyle w:val="FootnoteReference"/>
        </w:rPr>
        <w:footnoteRef/>
      </w:r>
      <w:bookmarkStart w:id="588" w:name="lt_pId5244"/>
      <w:r>
        <w:t xml:space="preserve"> Convenția de la Viena privind dreptul tratatelor, 1969.</w:t>
      </w:r>
      <w:bookmarkEnd w:id="588"/>
    </w:p>
  </w:footnote>
  <w:footnote w:id="184">
    <w:p w:rsidR="00E51978" w:rsidRPr="004E097F" w:rsidRDefault="00E51978" w:rsidP="00F524A5">
      <w:pPr>
        <w:pStyle w:val="FootnoteText"/>
      </w:pPr>
      <w:r>
        <w:rPr>
          <w:rStyle w:val="FootnoteReference"/>
        </w:rPr>
        <w:footnoteRef/>
      </w:r>
      <w:r>
        <w:t xml:space="preserve"> A se vedea, de exemplu, AR6 WGIII,</w:t>
      </w:r>
      <w:r>
        <w:rPr>
          <w:sz w:val="24"/>
        </w:rPr>
        <w:t xml:space="preserve"> </w:t>
      </w:r>
      <w:r>
        <w:t>Rezumat destinat decidenților, p. 8.</w:t>
      </w:r>
    </w:p>
  </w:footnote>
  <w:footnote w:id="185">
    <w:p w:rsidR="00E51978" w:rsidRPr="00757104" w:rsidRDefault="00E51978" w:rsidP="00F524A5">
      <w:pPr>
        <w:pStyle w:val="FootnoteText"/>
      </w:pPr>
      <w:r>
        <w:rPr>
          <w:rStyle w:val="FootnoteReference"/>
        </w:rPr>
        <w:footnoteRef/>
      </w:r>
      <w:r>
        <w:t xml:space="preserve"> IPCC, „Carbon Dioxide Capture and Storage” (2005), anexa I, pp. 385-395.</w:t>
      </w:r>
    </w:p>
  </w:footnote>
  <w:footnote w:id="186">
    <w:p w:rsidR="00E51978" w:rsidRPr="004E097F" w:rsidRDefault="00E51978" w:rsidP="00F524A5">
      <w:pPr>
        <w:pStyle w:val="FootnoteText"/>
      </w:pPr>
      <w:r>
        <w:rPr>
          <w:rStyle w:val="FootnoteReference"/>
        </w:rPr>
        <w:footnoteRef/>
      </w:r>
      <w:r>
        <w:t xml:space="preserve"> A se vedea, de asemenea, AR6 WGIII.</w:t>
      </w:r>
    </w:p>
  </w:footnote>
  <w:footnote w:id="187">
    <w:p w:rsidR="00E51978" w:rsidRPr="004E097F" w:rsidRDefault="00E51978" w:rsidP="00F524A5">
      <w:pPr>
        <w:pStyle w:val="FootnoteText"/>
        <w:rPr>
          <w:strike/>
        </w:rPr>
      </w:pPr>
      <w:r>
        <w:rPr>
          <w:rStyle w:val="FootnoteReference"/>
        </w:rPr>
        <w:footnoteRef/>
      </w:r>
      <w:r>
        <w:t xml:space="preserve"> A se vedea, de asemenea, AR6 WGII.</w:t>
      </w:r>
    </w:p>
  </w:footnote>
  <w:footnote w:id="188">
    <w:p w:rsidR="00E51978" w:rsidRPr="004E097F" w:rsidRDefault="00E51978" w:rsidP="00F524A5">
      <w:pPr>
        <w:pStyle w:val="FootnoteText"/>
      </w:pPr>
      <w:r>
        <w:rPr>
          <w:rStyle w:val="FootnoteReference"/>
        </w:rPr>
        <w:footnoteRef/>
      </w:r>
      <w:r>
        <w:t xml:space="preserve"> Pentru mai multe informații, a se vedea </w:t>
      </w:r>
      <w:bookmarkStart w:id="617" w:name="_cp_change_2370"/>
      <w:r>
        <w:t>www.ipcc.ch/about</w:t>
      </w:r>
      <w:bookmarkEnd w:id="617"/>
      <w:r>
        <w:t>; ultima consultare la 14.02.2024.</w:t>
      </w:r>
    </w:p>
  </w:footnote>
  <w:footnote w:id="189">
    <w:p w:rsidR="00E51978" w:rsidRPr="004E097F" w:rsidRDefault="00E51978" w:rsidP="00F524A5">
      <w:pPr>
        <w:pStyle w:val="FootnoteText"/>
      </w:pPr>
      <w:r>
        <w:rPr>
          <w:rStyle w:val="FootnoteReference"/>
        </w:rPr>
        <w:footnoteRef/>
      </w:r>
      <w:r>
        <w:t xml:space="preserve"> Pentru o bază de date mondială privind legislația în domeniul climei, a se vedea</w:t>
      </w:r>
      <w:r>
        <w:rPr>
          <w:b/>
        </w:rPr>
        <w:t xml:space="preserve"> </w:t>
      </w:r>
      <w:r>
        <w:t>www.climate-laws.org; ultima consultare la 14.02.2024.</w:t>
      </w:r>
    </w:p>
  </w:footnote>
  <w:footnote w:id="190">
    <w:p w:rsidR="00E51978" w:rsidRPr="004E097F" w:rsidRDefault="00E51978" w:rsidP="00F524A5">
      <w:pPr>
        <w:pStyle w:val="FootnoteText"/>
        <w:rPr>
          <w:color w:val="0072BC" w:themeColor="hyperlink"/>
          <w:highlight w:val="yellow"/>
          <w:u w:val="single"/>
        </w:rPr>
      </w:pPr>
      <w:r>
        <w:rPr>
          <w:rStyle w:val="FootnoteReference"/>
        </w:rPr>
        <w:footnoteRef/>
      </w:r>
      <w:r>
        <w:t xml:space="preserve"> </w:t>
      </w:r>
      <w:bookmarkStart w:id="677" w:name="lt_pId5262"/>
      <w:r>
        <w:t>Citat anterior, p. 57-58 și 194-195; a se vedea și Recomandările de la Maastricht, citate anterior, p. 12.</w:t>
      </w:r>
      <w:bookmarkEnd w:id="677"/>
    </w:p>
  </w:footnote>
  <w:footnote w:id="191">
    <w:p w:rsidR="00E51978" w:rsidRPr="004E097F" w:rsidRDefault="00E51978" w:rsidP="00F524A5">
      <w:pPr>
        <w:pStyle w:val="FootnoteText"/>
      </w:pPr>
      <w:r>
        <w:rPr>
          <w:rStyle w:val="FootnoteReference"/>
        </w:rPr>
        <w:footnoteRef/>
      </w:r>
      <w:r>
        <w:t xml:space="preserve"> </w:t>
      </w:r>
      <w:bookmarkStart w:id="682" w:name="lt_pId5265"/>
      <w:r>
        <w:t xml:space="preserve">Hotărâre pronunțată la 20 decembrie 2017 în cauza </w:t>
      </w:r>
      <w:r>
        <w:rPr>
          <w:i/>
        </w:rPr>
        <w:t>Protect Natur-, Arten- und Landschaftsschutz Umweltorganisation c. Bezirkshauptmannschaft Gmünd</w:t>
      </w:r>
      <w:r>
        <w:t>, C</w:t>
      </w:r>
      <w:r>
        <w:noBreakHyphen/>
        <w:t>664/15, EU:C:2017:987, punctul 58.</w:t>
      </w:r>
      <w:bookmarkEnd w:id="682"/>
      <w:r>
        <w:t xml:space="preserve"> </w:t>
      </w:r>
      <w:bookmarkStart w:id="683" w:name="lt_pId5266"/>
      <w:r>
        <w:t xml:space="preserve">A se vedea de asemenea, mai recent, hotărârea din 8 noiembrie 2022, pronunțată în cauza </w:t>
      </w:r>
      <w:r>
        <w:rPr>
          <w:i/>
        </w:rPr>
        <w:t>Deutsche Umwelthilfe eV c. Bundesrepublik Deutschland</w:t>
      </w:r>
      <w:r>
        <w:t>, C</w:t>
      </w:r>
      <w:r>
        <w:noBreakHyphen/>
        <w:t>873/19, EU:C:2022:857, punctul 81.</w:t>
      </w:r>
      <w:bookmarkEnd w:id="683"/>
    </w:p>
  </w:footnote>
  <w:footnote w:id="192">
    <w:p w:rsidR="00E51978" w:rsidRPr="00757104" w:rsidRDefault="00E51978" w:rsidP="00F524A5">
      <w:pPr>
        <w:pStyle w:val="FootnoteText"/>
      </w:pPr>
      <w:r>
        <w:rPr>
          <w:rStyle w:val="FootnoteReference"/>
        </w:rPr>
        <w:footnoteRef/>
      </w:r>
      <w:r>
        <w:t xml:space="preserve"> </w:t>
      </w:r>
      <w:bookmarkStart w:id="687" w:name="lt_pId5267"/>
      <w:r>
        <w:t>Studiu privind punerea în aplicare, citat anterior, p. 102-106.</w:t>
      </w:r>
      <w:bookmarkEnd w:id="687"/>
    </w:p>
  </w:footnote>
  <w:footnote w:id="193">
    <w:p w:rsidR="00E51978" w:rsidRPr="00757104" w:rsidRDefault="00E51978" w:rsidP="00F524A5">
      <w:pPr>
        <w:pStyle w:val="FootnoteText"/>
      </w:pPr>
      <w:r>
        <w:rPr>
          <w:rStyle w:val="FootnoteReference"/>
        </w:rPr>
        <w:footnoteRef/>
      </w:r>
      <w:r>
        <w:t xml:space="preserve"> </w:t>
      </w:r>
      <w:bookmarkStart w:id="689" w:name="lt_pId5268"/>
      <w:r>
        <w:t>„Effective Justice?”, Synthesis report of the study on the Implementation of Articles 9.3 and 9.4 of the Aarhus Convention in the Member States of the European Union (Raport de sinteză a studiului privind punerea în aplicare a articolelor 9.3 și 9.4 din Convenția de la Aarhus în statele membre ale Uniunii Europene) (2013), p. 14</w:t>
      </w:r>
      <w:r>
        <w:noBreakHyphen/>
        <w:t>15.</w:t>
      </w:r>
      <w:bookmarkEnd w:id="689"/>
    </w:p>
  </w:footnote>
  <w:footnote w:id="194">
    <w:p w:rsidR="00E51978" w:rsidRPr="004E097F" w:rsidRDefault="00E51978" w:rsidP="00F524A5">
      <w:pPr>
        <w:pStyle w:val="FootnoteText"/>
      </w:pPr>
      <w:r>
        <w:rPr>
          <w:rStyle w:val="FootnoteReference"/>
        </w:rPr>
        <w:footnoteRef/>
      </w:r>
      <w:r>
        <w:t xml:space="preserve"> AR6 WGII, Rezumat destinat decidenților, p. 9.</w:t>
      </w:r>
    </w:p>
  </w:footnote>
  <w:footnote w:id="195">
    <w:p w:rsidR="00E51978" w:rsidRPr="004E097F" w:rsidRDefault="00E51978" w:rsidP="00F524A5">
      <w:pPr>
        <w:pStyle w:val="FootnoteText"/>
      </w:pPr>
      <w:r>
        <w:rPr>
          <w:rStyle w:val="FootnoteReference"/>
        </w:rPr>
        <w:footnoteRef/>
      </w:r>
      <w:r>
        <w:t xml:space="preserve"> Agenția Europeană de Mediu (European Environment Agency), „Extreme temperatures and health” (2021). A se vedea și studiul publicat de </w:t>
      </w:r>
      <w:r>
        <w:rPr>
          <w:i/>
        </w:rPr>
        <w:t>Lancet Countdown</w:t>
      </w:r>
      <w:r>
        <w:t xml:space="preserve"> (vol. 400, 2022, p. 1619), care constată că, la nivel mondial, decesele cauzate de căldură au crescut cu 68% între 2000-2004 și 2017-2021 și că acest bilanț a fost agravat semnificativ de pandemia de Covid-19.</w:t>
      </w:r>
    </w:p>
  </w:footnote>
  <w:footnote w:id="196">
    <w:p w:rsidR="00E51978" w:rsidRPr="004E097F" w:rsidRDefault="00E51978" w:rsidP="00F524A5">
      <w:pPr>
        <w:pStyle w:val="FootnoteText"/>
      </w:pPr>
      <w:r>
        <w:rPr>
          <w:rStyle w:val="FootnoteReference"/>
        </w:rPr>
        <w:footnoteRef/>
      </w:r>
      <w:r>
        <w:t xml:space="preserve"> IPCC, Raportul special pe 2018, p. 240-241. </w:t>
      </w:r>
    </w:p>
  </w:footnote>
  <w:footnote w:id="197">
    <w:p w:rsidR="00E51978" w:rsidRPr="004E097F" w:rsidRDefault="00E51978" w:rsidP="00F524A5">
      <w:pPr>
        <w:pStyle w:val="FootnoteText"/>
      </w:pPr>
      <w:r>
        <w:rPr>
          <w:rStyle w:val="FootnoteReference"/>
        </w:rPr>
        <w:footnoteRef/>
      </w:r>
      <w:r>
        <w:t xml:space="preserve"> </w:t>
      </w:r>
      <w:bookmarkStart w:id="780" w:name="lt_pId5275"/>
      <w:r>
        <w:t>AR6 WGII, Rezumat tehnic, p. 50.</w:t>
      </w:r>
      <w:bookmarkEnd w:id="780"/>
    </w:p>
  </w:footnote>
  <w:footnote w:id="198">
    <w:p w:rsidR="00E51978" w:rsidRPr="004E097F" w:rsidRDefault="00E51978" w:rsidP="00F524A5">
      <w:pPr>
        <w:pStyle w:val="FootnoteText"/>
      </w:pPr>
      <w:r>
        <w:rPr>
          <w:rStyle w:val="FootnoteReference"/>
        </w:rPr>
        <w:footnoteRef/>
      </w:r>
      <w:r>
        <w:t xml:space="preserve"> FOEN, „Climate change in Switzerland”, rezumat (2020), p. 7.</w:t>
      </w:r>
    </w:p>
  </w:footnote>
  <w:footnote w:id="199">
    <w:p w:rsidR="00E51978" w:rsidRPr="004E097F" w:rsidRDefault="00E51978" w:rsidP="00F524A5">
      <w:pPr>
        <w:pStyle w:val="FootnoteText"/>
      </w:pPr>
      <w:r>
        <w:rPr>
          <w:rStyle w:val="FootnoteReference"/>
        </w:rPr>
        <w:footnoteRef/>
      </w:r>
      <w:r>
        <w:t xml:space="preserve"> </w:t>
      </w:r>
      <w:bookmarkStart w:id="784" w:name="lt_pId5277"/>
      <w:r>
        <w:t>A se vedea, de exemplu, rapoartele Oficiului Înaltului Comisar al Națiunilor Unite pentru Drepturile Omului: „Studiu analitic privind acțiunile climatice axate pe exercitarea deplină și efectivă a drepturilor femeilor și care țin seama de dimensiunea de gen”, A/HRC/41/26, 1 mai 2019, și „Studiu analitic privind promovarea și protecția drepturilor persoanelor în vârstă în contextul schimbărilor climatice”, A/HRC/47/46, 30 aprilie 2021; Nota Secretarului General, „Drepturile fundamentale ale femeilor în vârstă: intersecția dintre îmbătrânire și gen”, A/76/157, 16 iulie 2021, punctul 61; și Raportul Secretarului General, „Efectele schimbărilor climatice asupra drepturilor omului în cazul persoanelor aflate în situații vulnerabile”, A/HRC/50/57, 6 mai 2022, punctul 4.</w:t>
      </w:r>
      <w:bookmarkEnd w:id="784"/>
    </w:p>
  </w:footnote>
  <w:footnote w:id="200">
    <w:p w:rsidR="00E51978" w:rsidRPr="004E097F" w:rsidRDefault="00E51978" w:rsidP="00F524A5">
      <w:pPr>
        <w:pStyle w:val="FootnoteText"/>
      </w:pPr>
      <w:r>
        <w:rPr>
          <w:rStyle w:val="FootnoteReference"/>
        </w:rPr>
        <w:footnoteRef/>
      </w:r>
      <w:r>
        <w:t xml:space="preserve"> </w:t>
      </w:r>
      <w:bookmarkStart w:id="933" w:name="lt_pId5278"/>
      <w:r>
        <w:t>FF 2009 6723 – „Message relatif à la politique climatique suisse après 2012 (Révision de la loi sur le CO</w:t>
      </w:r>
      <w:r>
        <w:rPr>
          <w:vertAlign w:val="subscript"/>
        </w:rPr>
        <w:t>2</w:t>
      </w:r>
      <w:r>
        <w:t xml:space="preserve"> et initiative populaire fédérale « pour un climat sain »)” (2009), p.</w:t>
      </w:r>
      <w:bookmarkStart w:id="934" w:name="lt_pId5279"/>
      <w:bookmarkEnd w:id="933"/>
      <w:r>
        <w:t> 6737</w:t>
      </w:r>
      <w:r>
        <w:noBreakHyphen/>
        <w:t>6738 și 6757.</w:t>
      </w:r>
      <w:bookmarkEnd w:id="934"/>
    </w:p>
  </w:footnote>
  <w:footnote w:id="201">
    <w:p w:rsidR="00E51978" w:rsidRPr="004E097F" w:rsidRDefault="00E51978" w:rsidP="00F524A5">
      <w:pPr>
        <w:pStyle w:val="FootnoteText"/>
      </w:pPr>
      <w:r>
        <w:rPr>
          <w:rStyle w:val="FootnoteReference"/>
        </w:rPr>
        <w:footnoteRef/>
      </w:r>
      <w:r>
        <w:t xml:space="preserve"> </w:t>
      </w:r>
      <w:bookmarkStart w:id="936" w:name="lt_pId5280"/>
      <w:r>
        <w:t>AR4 „Climate Change 2007: Impacts, Adaptation, and Vulnerability”.</w:t>
      </w:r>
      <w:bookmarkEnd w:id="936"/>
    </w:p>
  </w:footnote>
  <w:footnote w:id="202">
    <w:p w:rsidR="00E51978" w:rsidRPr="001F7538" w:rsidRDefault="00E51978" w:rsidP="00F524A5">
      <w:pPr>
        <w:pStyle w:val="FootnoteText"/>
      </w:pPr>
      <w:r>
        <w:rPr>
          <w:rStyle w:val="FootnoteReference"/>
        </w:rPr>
        <w:footnoteRef/>
      </w:r>
      <w:r>
        <w:t xml:space="preserve"> </w:t>
      </w:r>
      <w:bookmarkStart w:id="957" w:name="_cp_change_2641"/>
      <w:r>
        <w:t xml:space="preserve">UNFCCC, Nationally Determined Contributions Registry, accesibil la adresa </w:t>
      </w:r>
      <w:bookmarkEnd w:id="957"/>
      <w:r>
        <w:t>www.unfccc.int/NDCREG; ultima consultare la 14.02.2024.</w:t>
      </w:r>
    </w:p>
  </w:footnote>
  <w:footnote w:id="203">
    <w:p w:rsidR="00E51978" w:rsidRPr="00757104" w:rsidRDefault="00E51978" w:rsidP="00F524A5">
      <w:pPr>
        <w:pStyle w:val="FootnoteText"/>
      </w:pPr>
      <w:r>
        <w:rPr>
          <w:rStyle w:val="FootnoteReference"/>
        </w:rPr>
        <w:footnoteRef/>
      </w:r>
      <w:r>
        <w:t xml:space="preserve"> </w:t>
      </w:r>
      <w:bookmarkStart w:id="960" w:name="lt_pId5282"/>
      <w:r>
        <w:t>Raport intitulat „Switzerland’s information necessary for clarity, transparency and understanding in accordance with decision 1/CP.21 of its updated and enhanced nationally determined contribution (NDC) under the Paris Agreement (2021-2030)” [Informații furnizate de Elveția necesare pentru claritate, transparență și înțelegere, în conformitate cu Decizia 1/CP.21 privind contribuția sa determinată la nivel național (CDN) în temeiul Acordului de la Paris, actualizată și consolidată (2021-2030)]</w:t>
      </w:r>
      <w:bookmarkEnd w:id="960"/>
    </w:p>
  </w:footnote>
  <w:footnote w:id="204">
    <w:p w:rsidR="00E51978" w:rsidRPr="004E097F" w:rsidRDefault="00E51978" w:rsidP="00F524A5">
      <w:pPr>
        <w:pStyle w:val="FootnoteText"/>
      </w:pPr>
      <w:r>
        <w:rPr>
          <w:rStyle w:val="FootnoteReference"/>
        </w:rPr>
        <w:footnoteRef/>
      </w:r>
      <w:r>
        <w:t xml:space="preserve"> </w:t>
      </w:r>
      <w:bookmarkStart w:id="967" w:name="lt_pId5283"/>
      <w:r>
        <w:t>FF 2022 2403 – Legea federală privind obiectivele de protecție a climei, inovarea și consolidarea securității energetice.</w:t>
      </w:r>
      <w:bookmarkEnd w:id="967"/>
    </w:p>
  </w:footnote>
  <w:footnote w:id="205">
    <w:p w:rsidR="00E51978" w:rsidRPr="001F7538" w:rsidRDefault="00E51978" w:rsidP="00F524A5">
      <w:pPr>
        <w:pStyle w:val="FootnoteText"/>
      </w:pPr>
      <w:r>
        <w:rPr>
          <w:rStyle w:val="FootnoteReference"/>
        </w:rPr>
        <w:footnoteRef/>
      </w:r>
      <w:r>
        <w:t> FOEN, „Inventaire des gaz à effet de serre de la Suisse” (Inventarul Emisiilor de Gaze cu Efect de Seră al Elveției), disponibil la adresa www.bafu.admin.ch; ultima consultare la 14.02.2024.</w:t>
      </w:r>
    </w:p>
    <w:p w:rsidR="00E51978" w:rsidRPr="001F7538" w:rsidRDefault="00E51978" w:rsidP="00F524A5">
      <w:pPr>
        <w:pStyle w:val="FootnoteText"/>
      </w:pPr>
    </w:p>
  </w:footnote>
  <w:footnote w:id="206">
    <w:p w:rsidR="00690E9D" w:rsidRDefault="00690E9D" w:rsidP="00690E9D">
      <w:pPr>
        <w:pStyle w:val="FootnoteText"/>
      </w:pPr>
      <w:r>
        <w:rPr>
          <w:rStyle w:val="FootnoteReference"/>
        </w:rPr>
        <w:footnoteRef/>
      </w:r>
      <w:r>
        <w:t xml:space="preserve"> https://edoc.coe.int/fr/module/ec_addformat/download?cle=de4994a3a1ec0331d2c59d37631a4776&amp;k=e719768e7871ee5d10a6eb4fbbfcdb0e</w:t>
      </w:r>
    </w:p>
  </w:footnote>
  <w:footnote w:id="207">
    <w:p w:rsidR="00690E9D" w:rsidRDefault="00690E9D" w:rsidP="00690E9D">
      <w:pPr>
        <w:pStyle w:val="FootnoteText"/>
      </w:pPr>
      <w:r>
        <w:rPr>
          <w:rStyle w:val="FootnoteReference"/>
        </w:rPr>
        <w:footnoteRef/>
      </w:r>
      <w:r>
        <w:t xml:space="preserve"> Raportul AEM nr. 1/2024, publicat la 11 martie 2024.</w:t>
      </w:r>
    </w:p>
  </w:footnote>
  <w:footnote w:id="208">
    <w:p w:rsidR="00690E9D" w:rsidRDefault="00690E9D" w:rsidP="00690E9D">
      <w:pPr>
        <w:pStyle w:val="FootnoteText"/>
      </w:pPr>
      <w:r>
        <w:rPr>
          <w:rStyle w:val="FootnoteReference"/>
        </w:rPr>
        <w:footnoteRef/>
      </w:r>
      <w:r>
        <w:t xml:space="preserve"> https://www.gov.uk/government/speeches/pm-boris-johnsons-address-to-the-un-security-council-on-climate-and-security-23-february-2021</w:t>
      </w:r>
    </w:p>
  </w:footnote>
  <w:footnote w:id="209">
    <w:p w:rsidR="00690E9D" w:rsidRDefault="00690E9D" w:rsidP="00690E9D">
      <w:pPr>
        <w:pStyle w:val="FootnoteText"/>
      </w:pPr>
      <w:r>
        <w:rPr>
          <w:rStyle w:val="FootnoteReference"/>
        </w:rPr>
        <w:footnoteRef/>
      </w:r>
      <w:r>
        <w:t xml:space="preserve"> Adunarea Parlamentară a Consiliului Europei, </w:t>
      </w:r>
      <w:r>
        <w:rPr>
          <w:i/>
          <w:iCs/>
        </w:rPr>
        <w:t>Future Action to be Taken by the Council of Europe in the Field of Environment Protection</w:t>
      </w:r>
      <w:r>
        <w:t xml:space="preserve"> (Acțiuni care urmează să fie întreprinse de Consiliul Europei în domeniul protecției mediului)</w:t>
      </w:r>
      <w:r>
        <w:rPr>
          <w:i/>
        </w:rPr>
        <w:t xml:space="preserve"> </w:t>
      </w:r>
      <w:r>
        <w:t xml:space="preserve">(4 noiembrie 1999), Recomandarea 1431 (1999); Adunarea Parlamentară a Consiliului Europei, </w:t>
      </w:r>
      <w:r>
        <w:rPr>
          <w:i/>
          <w:iCs/>
        </w:rPr>
        <w:t>Environment and Human Rights</w:t>
      </w:r>
      <w:r>
        <w:t xml:space="preserve"> (Mediul și drepturile omului) (27 iunie 2003), Recomandarea 1614 (2003); Adunarea Parlamentară a Consiliului Europei, </w:t>
      </w:r>
      <w:r>
        <w:rPr>
          <w:i/>
          <w:iCs/>
        </w:rPr>
        <w:t>Drafting an Additional Protocol to the European Convention on Human Rights Concerning the Right to a Healthy Environment</w:t>
      </w:r>
      <w:r>
        <w:t xml:space="preserve"> (Elaborarea unui protocol adițional la Convenția europeană a drepturilor omului privind dreptul la un mediu sănătos)</w:t>
      </w:r>
      <w:r>
        <w:rPr>
          <w:i/>
        </w:rPr>
        <w:t xml:space="preserve"> </w:t>
      </w:r>
      <w:r>
        <w:t>(30 septembrie 2009), Recomandarea 1885 (2009).</w:t>
      </w:r>
    </w:p>
  </w:footnote>
  <w:footnote w:id="210">
    <w:p w:rsidR="00690E9D" w:rsidRDefault="00690E9D" w:rsidP="00690E9D">
      <w:pPr>
        <w:pStyle w:val="FootnoteText"/>
      </w:pPr>
      <w:r>
        <w:rPr>
          <w:rStyle w:val="FootnoteReference"/>
        </w:rPr>
        <w:footnoteRef/>
      </w:r>
      <w:r>
        <w:t xml:space="preserve"> </w:t>
      </w:r>
      <w:bookmarkStart w:id="1151" w:name="lt_pId449"/>
      <w:r>
        <w:t>Acestea fiind spuse, cel puțin din septembrie 2022, Grupul pentru elaborarea documentelor privind drepturile omului și mediul (</w:t>
      </w:r>
      <w:r>
        <w:rPr>
          <w:i/>
          <w:iCs/>
        </w:rPr>
        <w:t>Drafting Group on Human Rights and the Environment</w:t>
      </w:r>
      <w:r>
        <w:t>, CDDH-ENV) examinează, desigur, în mod activ chestiunea necesității și posibilității de a redacta unul sau mai multe instrumente noi cu privire la drepturile omului și mediu. În cadrul ultimei sale reuniuni, care a avut loc în perioada 19-21 martie 2024, CDDH-ENV a finalizat proiectul său de raport în vederea transmiterii acestuia spre adoptare către Comitetul Director pentru Drepturile Omului (CDDH), în cadrul întrunirii acestuia din urmă din iunie 2024 (https://rm.coe.int/steering-committee-for-human-rights-comite-directeur-pour-les-droits-h/1680aefdb5).</w:t>
      </w:r>
      <w:bookmarkEnd w:id="1151"/>
    </w:p>
  </w:footnote>
  <w:footnote w:id="211">
    <w:p w:rsidR="00690E9D" w:rsidRPr="00AA4128" w:rsidRDefault="00690E9D" w:rsidP="00690E9D">
      <w:pPr>
        <w:pStyle w:val="FootnoteText"/>
      </w:pPr>
      <w:r>
        <w:rPr>
          <w:rStyle w:val="FootnoteReference"/>
          <w:rFonts w:ascii="Calibri" w:hAnsi="Calibri" w:cs="Calibri"/>
        </w:rPr>
        <w:footnoteRef/>
      </w:r>
      <w:r>
        <w:rPr>
          <w:rFonts w:ascii="Calibri" w:hAnsi="Calibri"/>
        </w:rPr>
        <w:t xml:space="preserve"> </w:t>
      </w:r>
      <w:bookmarkStart w:id="1157" w:name="lt_pId450"/>
      <w:r>
        <w:rPr>
          <w:i/>
        </w:rPr>
        <w:t>Status of submission and review of national communications and biennial reports - Note by the secretariat</w:t>
      </w:r>
      <w:r>
        <w:t xml:space="preserve"> (FCCC/SBI/2023/INF.8, 22 septembrie 2023)</w:t>
      </w:r>
      <w:bookmarkEnd w:id="1157"/>
    </w:p>
  </w:footnote>
  <w:footnote w:id="212">
    <w:p w:rsidR="00690E9D" w:rsidRPr="00407B2D" w:rsidRDefault="00690E9D" w:rsidP="00690E9D">
      <w:pPr>
        <w:pStyle w:val="FootnoteText"/>
      </w:pPr>
      <w:r>
        <w:rPr>
          <w:rStyle w:val="FootnoteReference"/>
          <w:rFonts w:ascii="Calibri" w:hAnsi="Calibri" w:cs="Calibri"/>
        </w:rPr>
        <w:footnoteRef/>
      </w:r>
      <w:r>
        <w:rPr>
          <w:rFonts w:ascii="Calibri" w:hAnsi="Calibri"/>
        </w:rPr>
        <w:t xml:space="preserve"> </w:t>
      </w:r>
      <w:bookmarkStart w:id="1158" w:name="lt_pId451"/>
      <w:r>
        <w:t>Conferința părților (COP)</w:t>
      </w:r>
      <w:bookmarkEnd w:id="1158"/>
      <w:r>
        <w:t>.</w:t>
      </w:r>
    </w:p>
  </w:footnote>
  <w:footnote w:id="213">
    <w:p w:rsidR="00690E9D" w:rsidRPr="00C52F80" w:rsidRDefault="00690E9D" w:rsidP="00690E9D">
      <w:pPr>
        <w:pStyle w:val="FootnoteText"/>
        <w:rPr>
          <w:rFonts w:ascii="Calibri" w:hAnsi="Calibri" w:cs="Calibri"/>
        </w:rPr>
      </w:pPr>
      <w:r>
        <w:rPr>
          <w:rStyle w:val="FootnoteReference"/>
          <w:rFonts w:ascii="Calibri" w:hAnsi="Calibri" w:cs="Calibri"/>
        </w:rPr>
        <w:footnoteRef/>
      </w:r>
      <w:r>
        <w:rPr>
          <w:rFonts w:ascii="Calibri" w:hAnsi="Calibri"/>
        </w:rPr>
        <w:t xml:space="preserve"> </w:t>
      </w:r>
      <w:bookmarkStart w:id="1159" w:name="lt_pId452"/>
      <w:r>
        <w:t>Conferința părților care funcționează ca reuniune a părților la Protocolul de la Kyoto (</w:t>
      </w:r>
      <w:r>
        <w:rPr>
          <w:i/>
          <w:iCs/>
        </w:rPr>
        <w:t>Conference of the Parties serving as the meeting of the Parties to the Kyoto Protocol</w:t>
      </w:r>
      <w:r>
        <w:t>, „CMP”)</w:t>
      </w:r>
      <w:bookmarkEnd w:id="1159"/>
      <w:r>
        <w:t>.</w:t>
      </w:r>
    </w:p>
  </w:footnote>
  <w:footnote w:id="214">
    <w:p w:rsidR="00690E9D" w:rsidRPr="00407B2D" w:rsidRDefault="00690E9D" w:rsidP="00690E9D">
      <w:pPr>
        <w:pStyle w:val="FootnoteText"/>
      </w:pPr>
      <w:r>
        <w:rPr>
          <w:rStyle w:val="FootnoteReference"/>
          <w:rFonts w:ascii="Calibri" w:hAnsi="Calibri" w:cs="Calibri"/>
        </w:rPr>
        <w:footnoteRef/>
      </w:r>
      <w:r>
        <w:rPr>
          <w:rFonts w:ascii="Calibri" w:hAnsi="Calibri"/>
        </w:rPr>
        <w:t xml:space="preserve"> </w:t>
      </w:r>
      <w:bookmarkStart w:id="1160" w:name="lt_pId453"/>
      <w:r>
        <w:t>Conferința părților care funcționează ca reuniune a părților la Acordul de la Paris (</w:t>
      </w:r>
      <w:r>
        <w:rPr>
          <w:i/>
          <w:iCs/>
        </w:rPr>
        <w:t>Conference of the Parties serving as the meeting of the Parties to the Paris Agreement</w:t>
      </w:r>
      <w:r>
        <w:t>, „CMA”)</w:t>
      </w:r>
      <w:bookmarkEnd w:id="1160"/>
      <w:r>
        <w:t>.</w:t>
      </w:r>
    </w:p>
  </w:footnote>
  <w:footnote w:id="215">
    <w:p w:rsidR="00690E9D" w:rsidRPr="00AA4128" w:rsidRDefault="00690E9D" w:rsidP="00690E9D">
      <w:pPr>
        <w:pStyle w:val="FootnoteText"/>
        <w:rPr>
          <w:rFonts w:ascii="Calibri" w:hAnsi="Calibri" w:cs="Calibri"/>
        </w:rPr>
      </w:pPr>
      <w:r>
        <w:rPr>
          <w:rStyle w:val="FootnoteReference"/>
          <w:rFonts w:ascii="Calibri" w:hAnsi="Calibri" w:cs="Calibri"/>
        </w:rPr>
        <w:footnoteRef/>
      </w:r>
      <w:r>
        <w:rPr>
          <w:rFonts w:ascii="Calibri" w:hAnsi="Calibri"/>
        </w:rPr>
        <w:t xml:space="preserve"> </w:t>
      </w:r>
      <w:bookmarkStart w:id="1161" w:name="lt_pId454"/>
      <w:r>
        <w:t>https://unfccc.int/documents/614139</w:t>
      </w:r>
      <w:bookmarkEnd w:id="1161"/>
    </w:p>
  </w:footnote>
  <w:footnote w:id="216">
    <w:p w:rsidR="00690E9D" w:rsidRPr="00AA4128" w:rsidRDefault="00690E9D" w:rsidP="00690E9D">
      <w:pPr>
        <w:pStyle w:val="FootnoteText"/>
        <w:rPr>
          <w:rFonts w:ascii="Calibri" w:hAnsi="Calibri" w:cs="Calibri"/>
        </w:rPr>
      </w:pPr>
      <w:r>
        <w:rPr>
          <w:rStyle w:val="FootnoteReference"/>
          <w:rFonts w:ascii="Calibri" w:hAnsi="Calibri" w:cs="Calibri"/>
        </w:rPr>
        <w:footnoteRef/>
      </w:r>
      <w:r>
        <w:rPr>
          <w:rFonts w:ascii="Calibri" w:hAnsi="Calibri"/>
        </w:rPr>
        <w:t xml:space="preserve"> </w:t>
      </w:r>
      <w:bookmarkStart w:id="1164" w:name="lt_pId455"/>
      <w:r>
        <w:rPr>
          <w:i/>
        </w:rPr>
        <w:t>Report on the individual review of the annual submission of Switzerland submitted in 2022</w:t>
      </w:r>
      <w:r>
        <w:t xml:space="preserve"> (FCCC/ARR/2022/CHE, 24 februarie 2023)</w:t>
      </w:r>
      <w:bookmarkEnd w:id="1164"/>
    </w:p>
  </w:footnote>
  <w:footnote w:id="217">
    <w:p w:rsidR="00690E9D" w:rsidRDefault="00690E9D" w:rsidP="00690E9D">
      <w:pPr>
        <w:pStyle w:val="FootnoteText"/>
      </w:pPr>
      <w:r>
        <w:rPr>
          <w:rStyle w:val="FootnoteReference"/>
        </w:rPr>
        <w:footnoteRef/>
      </w:r>
      <w:r>
        <w:t xml:space="preserve"> </w:t>
      </w:r>
      <w:bookmarkStart w:id="1213" w:name="lt_pId456"/>
      <w:r>
        <w:t>Austria, Irlanda, Italia, Letonia, Norvegia, Portugalia, România și Slovacia</w:t>
      </w:r>
      <w:bookmarkEnd w:id="1213"/>
      <w:r>
        <w:t>.</w:t>
      </w:r>
    </w:p>
  </w:footnote>
  <w:footnote w:id="218">
    <w:p w:rsidR="00690E9D" w:rsidRPr="003958EC" w:rsidRDefault="00690E9D" w:rsidP="00690E9D">
      <w:pPr>
        <w:pStyle w:val="FootnoteText"/>
        <w:rPr>
          <w:rFonts w:ascii="Calibri" w:hAnsi="Calibri" w:cs="Calibri"/>
        </w:rPr>
      </w:pPr>
    </w:p>
  </w:footnote>
  <w:footnote w:id="219">
    <w:p w:rsidR="00690E9D" w:rsidRDefault="00690E9D" w:rsidP="00690E9D">
      <w:pPr>
        <w:pStyle w:val="FootnoteText"/>
      </w:pPr>
      <w:r>
        <w:rPr>
          <w:rStyle w:val="FootnoteReference"/>
        </w:rPr>
        <w:footnoteRef/>
      </w:r>
      <w:r>
        <w:t xml:space="preserve"> Comisia Europeană a identificat, sub forma unei liste neexhaustive, texte legislative precum „schema UE de comercializare a certificatelor de emisii (de gaze cu efect de seră)”, Regulamentul privind partajarea eforturilor (</w:t>
      </w:r>
      <w:r>
        <w:rPr>
          <w:i/>
          <w:iCs/>
        </w:rPr>
        <w:t>Effort Sharing Regulation</w:t>
      </w:r>
      <w:r>
        <w:t>, „ESR”), Regulamentul LULUCF (cu privire la includerea emisiilor de gaze cu efect de seră și a absorbțiilor rezultate din activități legate de exploatarea terenurilor, schimbarea destinației terenurilor și silvicultură în cadrul de politici privind clima și energia pentru 2030) și Regulamentul de stabilire a standardelor de performanță privind emisiile de CO</w:t>
      </w:r>
      <w:r>
        <w:rPr>
          <w:vertAlign w:val="subscript"/>
        </w:rPr>
        <w:t>2</w:t>
      </w:r>
      <w:r>
        <w:t xml:space="preserve"> pentru autoturismele noi și pentru vehiculele utilitare ușoare noi.</w:t>
      </w:r>
    </w:p>
  </w:footnote>
  <w:footnote w:id="220">
    <w:p w:rsidR="00690E9D" w:rsidRDefault="00690E9D" w:rsidP="00690E9D">
      <w:pPr>
        <w:pStyle w:val="FootnoteText"/>
      </w:pPr>
      <w:r>
        <w:rPr>
          <w:rStyle w:val="FootnoteReference"/>
        </w:rPr>
        <w:footnoteRef/>
      </w:r>
      <w:r>
        <w:t xml:space="preserve"> Inclusiv (dar nu exclusiv) sub egida Consiliului Europei. În acest context, este relevant să precizez din nou faptul că, în fapt, CDDH-ENV examinează în mod activ, începând din septembrie 2022, cel puțin chestiunea necesității și posibilității de a adopta unul sau mai multe instrumente noi cu privire la drepturile omului și mediu: a se vedea nota de subsol nr. 5 de mai sus.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6CF" w:rsidRDefault="00A146CF" w:rsidP="00A146CF">
    <w:pPr>
      <w:jc w:val="right"/>
    </w:pPr>
    <w:r>
      <w:rPr>
        <w:i/>
      </w:rPr>
      <w:t>Tradus și revizuit de IER (</w:t>
    </w:r>
    <w:hyperlink r:id="rId1" w:history="1">
      <w:r>
        <w:rPr>
          <w:rStyle w:val="Hyperlink"/>
        </w:rPr>
        <w:t>http://ier.gov.ro/</w:t>
      </w:r>
    </w:hyperlink>
    <w:r>
      <w:rPr>
        <w:i/>
      </w:rPr>
      <w:t>)</w:t>
    </w:r>
  </w:p>
  <w:p w:rsidR="00A146CF" w:rsidRDefault="00A146CF" w:rsidP="00A45145">
    <w:pPr>
      <w:jc w:val="center"/>
      <w:rPr>
        <w:noProof/>
        <w:lang w:eastAsia="ro-RO"/>
      </w:rPr>
    </w:pPr>
  </w:p>
  <w:p w:rsidR="00E51978" w:rsidRPr="00A45145" w:rsidRDefault="00E51978" w:rsidP="00A45145">
    <w:pPr>
      <w:jc w:val="center"/>
    </w:pPr>
    <w:r>
      <w:rPr>
        <w:noProof/>
        <w:lang w:eastAsia="ro-RO"/>
      </w:rPr>
      <w:drawing>
        <wp:inline distT="0" distB="0" distL="0" distR="0">
          <wp:extent cx="2962275" cy="1219200"/>
          <wp:effectExtent l="0" t="0" r="9525" b="0"/>
          <wp:docPr id="14" name="Picture 1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E51978" w:rsidRDefault="00E51978"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978" w:rsidRPr="005D4161" w:rsidRDefault="00E51978" w:rsidP="00A21624">
    <w:pPr>
      <w:pStyle w:val="JuHeader"/>
    </w:pPr>
    <w:r>
      <w:t>HOTĂRÂREA VEREIN KLIMASENIORINNEN SCHWEIZ ȘI ALTELE ÎMPOTRIVA ELVEȚIEI – OPINIE SEPARATĂ</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978" w:rsidRPr="005D4161" w:rsidRDefault="00E51978" w:rsidP="000B7AB1">
    <w:pPr>
      <w:pStyle w:val="JuHeader"/>
    </w:pPr>
    <w:r>
      <w:t>HOTĂRÂREA VEREIN KLIMASENIORINNEN SCHWEIZ ȘI ALTELE ÎMPOTRIVA ELVEȚIEI – OPINIE SEPARATĂ</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2B87503"/>
    <w:multiLevelType w:val="multilevel"/>
    <w:tmpl w:val="ABDA3622"/>
    <w:lvl w:ilvl="0">
      <w:start w:val="1"/>
      <w:numFmt w:val="none"/>
      <w:suff w:val="nothing"/>
      <w:lvlText w:val="%1"/>
      <w:lvlJc w:val="left"/>
      <w:pPr>
        <w:ind w:left="0" w:firstLine="0"/>
      </w:pPr>
      <w:rPr>
        <w:rFonts w:hint="default"/>
      </w:rPr>
    </w:lvl>
    <w:lvl w:ilvl="1">
      <w:start w:val="3"/>
      <w:numFmt w:val="upperRoman"/>
      <w:lvlText w:val="%2."/>
      <w:lvlJc w:val="righ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10" w15:restartNumberingAfterBreak="0">
    <w:nsid w:val="057A386C"/>
    <w:multiLevelType w:val="multilevel"/>
    <w:tmpl w:val="D39EED12"/>
    <w:lvl w:ilvl="0">
      <w:start w:val="3"/>
      <w:numFmt w:val="none"/>
      <w:suff w:val="nothing"/>
      <w:lvlText w:val="%1"/>
      <w:lvlJc w:val="left"/>
      <w:pPr>
        <w:ind w:left="0" w:firstLine="0"/>
      </w:pPr>
      <w:rPr>
        <w:rFonts w:hint="default"/>
      </w:rPr>
    </w:lvl>
    <w:lvl w:ilvl="1">
      <w:start w:val="2"/>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9"/>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11" w15:restartNumberingAfterBreak="0">
    <w:nsid w:val="0B492138"/>
    <w:multiLevelType w:val="multilevel"/>
    <w:tmpl w:val="F440E80A"/>
    <w:lvl w:ilvl="0">
      <w:start w:val="2"/>
      <w:numFmt w:val="none"/>
      <w:suff w:val="nothing"/>
      <w:lvlText w:val="%1"/>
      <w:lvlJc w:val="left"/>
      <w:pPr>
        <w:ind w:left="0" w:firstLine="0"/>
      </w:pPr>
      <w:rPr>
        <w:rFonts w:hint="default"/>
      </w:rPr>
    </w:lvl>
    <w:lvl w:ilvl="1">
      <w:start w:val="3"/>
      <w:numFmt w:val="upperRoman"/>
      <w:lvlText w:val="%2."/>
      <w:lvlJc w:val="left"/>
      <w:pPr>
        <w:ind w:left="369" w:hanging="369"/>
      </w:pPr>
      <w:rPr>
        <w:rFonts w:hint="default"/>
      </w:rPr>
    </w:lvl>
    <w:lvl w:ilvl="2">
      <w:start w:val="3"/>
      <w:numFmt w:val="upperLetter"/>
      <w:lvlText w:val="%3."/>
      <w:lvlJc w:val="left"/>
      <w:pPr>
        <w:ind w:left="510" w:hanging="340"/>
      </w:pPr>
      <w:rPr>
        <w:rFonts w:hint="default"/>
      </w:rPr>
    </w:lvl>
    <w:lvl w:ilvl="3">
      <w:start w:val="3"/>
      <w:numFmt w:val="decimal"/>
      <w:lvlText w:val="%4."/>
      <w:lvlJc w:val="left"/>
      <w:pPr>
        <w:ind w:left="680" w:hanging="340"/>
      </w:pPr>
      <w:rPr>
        <w:rFonts w:hint="default"/>
      </w:rPr>
    </w:lvl>
    <w:lvl w:ilvl="4">
      <w:start w:val="2"/>
      <w:numFmt w:val="lowerLetter"/>
      <w:lvlText w:val="%5)"/>
      <w:lvlJc w:val="left"/>
      <w:pPr>
        <w:ind w:left="851" w:hanging="341"/>
      </w:pPr>
      <w:rPr>
        <w:rFonts w:hint="default"/>
      </w:rPr>
    </w:lvl>
    <w:lvl w:ilvl="5">
      <w:start w:val="2"/>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12" w15:restartNumberingAfterBreak="0">
    <w:nsid w:val="0BD05C3D"/>
    <w:multiLevelType w:val="multilevel"/>
    <w:tmpl w:val="8764AA50"/>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13" w15:restartNumberingAfterBreak="0">
    <w:nsid w:val="0C0F5BFC"/>
    <w:multiLevelType w:val="multilevel"/>
    <w:tmpl w:val="DC6A4CAE"/>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8"/>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mc:AlternateContent>
        <mc:Choice Requires="w14">
          <w:numFmt w:val="custom" w:format="α, β, γ, ..."/>
        </mc:Choice>
        <mc:Fallback>
          <w:numFmt w:val="decimal"/>
        </mc:Fallback>
      </mc:AlternateContent>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14" w15:restartNumberingAfterBreak="0">
    <w:nsid w:val="13555DE3"/>
    <w:multiLevelType w:val="multilevel"/>
    <w:tmpl w:val="3F200560"/>
    <w:lvl w:ilvl="0">
      <w:start w:val="3"/>
      <w:numFmt w:val="none"/>
      <w:suff w:val="nothing"/>
      <w:lvlText w:val="%1"/>
      <w:lvlJc w:val="left"/>
      <w:pPr>
        <w:ind w:left="0" w:firstLine="0"/>
      </w:pPr>
      <w:rPr>
        <w:rFonts w:hint="default"/>
      </w:rPr>
    </w:lvl>
    <w:lvl w:ilvl="1">
      <w:start w:val="2"/>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4"/>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15" w15:restartNumberingAfterBreak="0">
    <w:nsid w:val="16DE6F52"/>
    <w:multiLevelType w:val="multilevel"/>
    <w:tmpl w:val="37CCD4DC"/>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mc:AlternateContent>
        <mc:Choice Requires="w14">
          <w:numFmt w:val="custom" w:format="α, β, γ, ..."/>
        </mc:Choice>
        <mc:Fallback>
          <w:numFmt w:val="decimal"/>
        </mc:Fallback>
      </mc:AlternateContent>
      <w:lvlText w:val="(%7)"/>
      <w:lvlJc w:val="left"/>
      <w:pPr>
        <w:ind w:left="1211" w:hanging="360"/>
      </w:pPr>
      <w:rPr>
        <w:rFonts w:hint="default"/>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16" w15:restartNumberingAfterBreak="0">
    <w:nsid w:val="17BD6201"/>
    <w:multiLevelType w:val="multilevel"/>
    <w:tmpl w:val="8764AA50"/>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17"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0202B16"/>
    <w:multiLevelType w:val="multilevel"/>
    <w:tmpl w:val="9ACAC22C"/>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8"/>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2"/>
      <mc:AlternateContent>
        <mc:Choice Requires="w14">
          <w:numFmt w:val="custom" w:format="α, β, γ, ..."/>
        </mc:Choice>
        <mc:Fallback>
          <w:numFmt w:val="decimal"/>
        </mc:Fallback>
      </mc:AlternateContent>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20" w15:restartNumberingAfterBreak="0">
    <w:nsid w:val="21D36378"/>
    <w:multiLevelType w:val="multilevel"/>
    <w:tmpl w:val="F2A067D0"/>
    <w:lvl w:ilvl="0">
      <w:start w:val="3"/>
      <w:numFmt w:val="none"/>
      <w:suff w:val="nothing"/>
      <w:lvlText w:val="%1"/>
      <w:lvlJc w:val="left"/>
      <w:pPr>
        <w:ind w:left="0" w:firstLine="0"/>
      </w:pPr>
      <w:rPr>
        <w:rFonts w:hint="default"/>
      </w:rPr>
    </w:lvl>
    <w:lvl w:ilvl="1">
      <w:start w:val="2"/>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21"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66158CC"/>
    <w:multiLevelType w:val="multilevel"/>
    <w:tmpl w:val="B2026B8A"/>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4"/>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2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25" w15:restartNumberingAfterBreak="0">
    <w:nsid w:val="4B99612E"/>
    <w:multiLevelType w:val="multilevel"/>
    <w:tmpl w:val="30EC14D4"/>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mc:AlternateContent>
        <mc:Choice Requires="w14">
          <w:numFmt w:val="custom" w:format="α, β, γ, ..."/>
        </mc:Choice>
        <mc:Fallback>
          <w:numFmt w:val="decimal"/>
        </mc:Fallback>
      </mc:AlternateContent>
      <w:lvlText w:val="(%7)"/>
      <w:lvlJc w:val="left"/>
      <w:pPr>
        <w:ind w:left="1211" w:hanging="360"/>
      </w:pPr>
      <w:rPr>
        <w:rFonts w:hint="default"/>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2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27" w15:restartNumberingAfterBreak="0">
    <w:nsid w:val="52BA6D10"/>
    <w:multiLevelType w:val="multilevel"/>
    <w:tmpl w:val="96245DF0"/>
    <w:lvl w:ilvl="0">
      <w:start w:val="3"/>
      <w:numFmt w:val="none"/>
      <w:suff w:val="nothing"/>
      <w:lvlText w:val="%1"/>
      <w:lvlJc w:val="left"/>
      <w:pPr>
        <w:ind w:left="0" w:firstLine="0"/>
      </w:pPr>
      <w:rPr>
        <w:rFonts w:hint="default"/>
      </w:rPr>
    </w:lvl>
    <w:lvl w:ilvl="1">
      <w:start w:val="2"/>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2"/>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28" w15:restartNumberingAfterBreak="0">
    <w:nsid w:val="56026496"/>
    <w:multiLevelType w:val="multilevel"/>
    <w:tmpl w:val="8DA802A6"/>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mc:AlternateContent>
        <mc:Choice Requires="w14">
          <w:numFmt w:val="custom" w:format="α, β, γ, ..."/>
        </mc:Choice>
        <mc:Fallback>
          <w:numFmt w:val="decimal"/>
        </mc:Fallback>
      </mc:AlternateContent>
      <w:lvlText w:val="(%7)"/>
      <w:lvlJc w:val="left"/>
      <w:pPr>
        <w:ind w:left="1211" w:hanging="360"/>
      </w:pPr>
      <w:rPr>
        <w:rFonts w:hint="default"/>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29" w15:restartNumberingAfterBreak="0">
    <w:nsid w:val="5E006815"/>
    <w:multiLevelType w:val="multilevel"/>
    <w:tmpl w:val="43DE233E"/>
    <w:lvl w:ilvl="0">
      <w:start w:val="1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4"/>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2"/>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30" w15:restartNumberingAfterBreak="0">
    <w:nsid w:val="64555D49"/>
    <w:multiLevelType w:val="multilevel"/>
    <w:tmpl w:val="33409B60"/>
    <w:lvl w:ilvl="0">
      <w:start w:val="3"/>
      <w:numFmt w:val="none"/>
      <w:suff w:val="nothing"/>
      <w:lvlText w:val="%1"/>
      <w:lvlJc w:val="left"/>
      <w:pPr>
        <w:ind w:left="0" w:firstLine="0"/>
      </w:pPr>
      <w:rPr>
        <w:rFonts w:hint="default"/>
      </w:rPr>
    </w:lvl>
    <w:lvl w:ilvl="1">
      <w:start w:val="2"/>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1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31" w15:restartNumberingAfterBreak="0">
    <w:nsid w:val="67FD1241"/>
    <w:multiLevelType w:val="hybridMultilevel"/>
    <w:tmpl w:val="F6D86CC2"/>
    <w:lvl w:ilvl="0" w:tplc="A8C8AE02">
      <w:start w:val="1"/>
      <w:numFmt w:val="bullet"/>
      <w:pStyle w:val="ListBullet"/>
      <w:lvlText w:val=""/>
      <w:lvlJc w:val="left"/>
      <w:pPr>
        <w:tabs>
          <w:tab w:val="num" w:pos="851"/>
        </w:tabs>
        <w:ind w:left="568" w:firstLine="0"/>
      </w:pPr>
      <w:rPr>
        <w:rFonts w:ascii="Wingdings" w:hAnsi="Wingdings" w:hint="default"/>
        <w:color w:val="808080"/>
        <w:sz w:val="16"/>
      </w:rPr>
    </w:lvl>
    <w:lvl w:ilvl="1" w:tplc="146CF2F8" w:tentative="1">
      <w:start w:val="1"/>
      <w:numFmt w:val="bullet"/>
      <w:lvlText w:val="o"/>
      <w:lvlJc w:val="left"/>
      <w:pPr>
        <w:tabs>
          <w:tab w:val="num" w:pos="1724"/>
        </w:tabs>
        <w:ind w:left="1724" w:hanging="360"/>
      </w:pPr>
      <w:rPr>
        <w:rFonts w:ascii="Courier New" w:hAnsi="Courier New" w:cs="Courier New" w:hint="default"/>
      </w:rPr>
    </w:lvl>
    <w:lvl w:ilvl="2" w:tplc="97DA1174" w:tentative="1">
      <w:start w:val="1"/>
      <w:numFmt w:val="bullet"/>
      <w:lvlText w:val=""/>
      <w:lvlJc w:val="left"/>
      <w:pPr>
        <w:tabs>
          <w:tab w:val="num" w:pos="2444"/>
        </w:tabs>
        <w:ind w:left="2444" w:hanging="360"/>
      </w:pPr>
      <w:rPr>
        <w:rFonts w:ascii="Wingdings" w:hAnsi="Wingdings" w:hint="default"/>
      </w:rPr>
    </w:lvl>
    <w:lvl w:ilvl="3" w:tplc="F94ED59E" w:tentative="1">
      <w:start w:val="1"/>
      <w:numFmt w:val="bullet"/>
      <w:lvlText w:val=""/>
      <w:lvlJc w:val="left"/>
      <w:pPr>
        <w:tabs>
          <w:tab w:val="num" w:pos="3164"/>
        </w:tabs>
        <w:ind w:left="3164" w:hanging="360"/>
      </w:pPr>
      <w:rPr>
        <w:rFonts w:ascii="Symbol" w:hAnsi="Symbol" w:hint="default"/>
      </w:rPr>
    </w:lvl>
    <w:lvl w:ilvl="4" w:tplc="8DE069B6" w:tentative="1">
      <w:start w:val="1"/>
      <w:numFmt w:val="bullet"/>
      <w:lvlText w:val="o"/>
      <w:lvlJc w:val="left"/>
      <w:pPr>
        <w:tabs>
          <w:tab w:val="num" w:pos="3884"/>
        </w:tabs>
        <w:ind w:left="3884" w:hanging="360"/>
      </w:pPr>
      <w:rPr>
        <w:rFonts w:ascii="Courier New" w:hAnsi="Courier New" w:cs="Courier New" w:hint="default"/>
      </w:rPr>
    </w:lvl>
    <w:lvl w:ilvl="5" w:tplc="C39235BA" w:tentative="1">
      <w:start w:val="1"/>
      <w:numFmt w:val="bullet"/>
      <w:lvlText w:val=""/>
      <w:lvlJc w:val="left"/>
      <w:pPr>
        <w:tabs>
          <w:tab w:val="num" w:pos="4604"/>
        </w:tabs>
        <w:ind w:left="4604" w:hanging="360"/>
      </w:pPr>
      <w:rPr>
        <w:rFonts w:ascii="Wingdings" w:hAnsi="Wingdings" w:hint="default"/>
      </w:rPr>
    </w:lvl>
    <w:lvl w:ilvl="6" w:tplc="8A8811D2" w:tentative="1">
      <w:start w:val="1"/>
      <w:numFmt w:val="bullet"/>
      <w:lvlText w:val=""/>
      <w:lvlJc w:val="left"/>
      <w:pPr>
        <w:tabs>
          <w:tab w:val="num" w:pos="5324"/>
        </w:tabs>
        <w:ind w:left="5324" w:hanging="360"/>
      </w:pPr>
      <w:rPr>
        <w:rFonts w:ascii="Symbol" w:hAnsi="Symbol" w:hint="default"/>
      </w:rPr>
    </w:lvl>
    <w:lvl w:ilvl="7" w:tplc="E29E7458" w:tentative="1">
      <w:start w:val="1"/>
      <w:numFmt w:val="bullet"/>
      <w:lvlText w:val="o"/>
      <w:lvlJc w:val="left"/>
      <w:pPr>
        <w:tabs>
          <w:tab w:val="num" w:pos="6044"/>
        </w:tabs>
        <w:ind w:left="6044" w:hanging="360"/>
      </w:pPr>
      <w:rPr>
        <w:rFonts w:ascii="Courier New" w:hAnsi="Courier New" w:cs="Courier New" w:hint="default"/>
      </w:rPr>
    </w:lvl>
    <w:lvl w:ilvl="8" w:tplc="C50A8F4A" w:tentative="1">
      <w:start w:val="1"/>
      <w:numFmt w:val="bullet"/>
      <w:lvlText w:val=""/>
      <w:lvlJc w:val="left"/>
      <w:pPr>
        <w:tabs>
          <w:tab w:val="num" w:pos="6764"/>
        </w:tabs>
        <w:ind w:left="6764" w:hanging="360"/>
      </w:pPr>
      <w:rPr>
        <w:rFonts w:ascii="Wingdings" w:hAnsi="Wingdings" w:hint="default"/>
      </w:rPr>
    </w:lvl>
  </w:abstractNum>
  <w:abstractNum w:abstractNumId="32" w15:restartNumberingAfterBreak="0">
    <w:nsid w:val="718C54F2"/>
    <w:multiLevelType w:val="multilevel"/>
    <w:tmpl w:val="7222064C"/>
    <w:numStyleLink w:val="ECHRA1StyleList"/>
  </w:abstractNum>
  <w:abstractNum w:abstractNumId="33" w15:restartNumberingAfterBreak="0">
    <w:nsid w:val="71A7586E"/>
    <w:multiLevelType w:val="multilevel"/>
    <w:tmpl w:val="00506254"/>
    <w:lvl w:ilvl="0">
      <w:start w:val="2"/>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hint="default"/>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34" w15:restartNumberingAfterBreak="0">
    <w:nsid w:val="73DC19C0"/>
    <w:multiLevelType w:val="multilevel"/>
    <w:tmpl w:val="66763294"/>
    <w:lvl w:ilvl="0">
      <w:start w:val="2"/>
      <w:numFmt w:val="none"/>
      <w:suff w:val="nothing"/>
      <w:lvlText w:val="%1"/>
      <w:lvlJc w:val="left"/>
      <w:pPr>
        <w:ind w:left="0" w:firstLine="0"/>
      </w:pPr>
      <w:rPr>
        <w:rFonts w:hint="default"/>
      </w:rPr>
    </w:lvl>
    <w:lvl w:ilvl="1">
      <w:start w:val="1"/>
      <w:numFmt w:val="upperRoman"/>
      <w:lvlText w:val="%2."/>
      <w:lvlJc w:val="righ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35" w15:restartNumberingAfterBreak="0">
    <w:nsid w:val="74041BCA"/>
    <w:multiLevelType w:val="multilevel"/>
    <w:tmpl w:val="39B41FAE"/>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388" w:hanging="396"/>
      </w:pPr>
      <w:rPr>
        <w:rFonts w:hint="default"/>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36" w15:restartNumberingAfterBreak="0">
    <w:nsid w:val="740F468B"/>
    <w:multiLevelType w:val="multilevel"/>
    <w:tmpl w:val="481E3CFE"/>
    <w:lvl w:ilvl="0">
      <w:start w:val="1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4"/>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37" w15:restartNumberingAfterBreak="0">
    <w:nsid w:val="75440831"/>
    <w:multiLevelType w:val="multilevel"/>
    <w:tmpl w:val="F83A85C6"/>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2"/>
      <mc:AlternateContent>
        <mc:Choice Requires="w14">
          <w:numFmt w:val="custom" w:format="α, β, γ, ..."/>
        </mc:Choice>
        <mc:Fallback>
          <w:numFmt w:val="decimal"/>
        </mc:Fallback>
      </mc:AlternateContent>
      <w:lvlText w:val="(%7)"/>
      <w:lvlJc w:val="left"/>
      <w:pPr>
        <w:ind w:left="1211" w:hanging="360"/>
      </w:pPr>
      <w:rPr>
        <w:rFonts w:hint="default"/>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38" w15:restartNumberingAfterBreak="0">
    <w:nsid w:val="76283705"/>
    <w:multiLevelType w:val="multilevel"/>
    <w:tmpl w:val="4296DA20"/>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8"/>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3"/>
      <mc:AlternateContent>
        <mc:Choice Requires="w14">
          <w:numFmt w:val="custom" w:format="α, β, γ, ..."/>
        </mc:Choice>
        <mc:Fallback>
          <w:numFmt w:val="decimal"/>
        </mc:Fallback>
      </mc:AlternateContent>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39" w15:restartNumberingAfterBreak="0">
    <w:nsid w:val="77821A51"/>
    <w:multiLevelType w:val="multilevel"/>
    <w:tmpl w:val="E7D21DFC"/>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2"/>
      <mc:AlternateContent>
        <mc:Choice Requires="w14">
          <w:numFmt w:val="custom" w:format="α, β, γ, ..."/>
        </mc:Choice>
        <mc:Fallback>
          <w:numFmt w:val="decimal"/>
        </mc:Fallback>
      </mc:AlternateContent>
      <w:lvlText w:val="(%7)"/>
      <w:lvlJc w:val="left"/>
      <w:pPr>
        <w:ind w:left="1211" w:hanging="360"/>
      </w:pPr>
      <w:rPr>
        <w:rFonts w:hint="default"/>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40" w15:restartNumberingAfterBreak="0">
    <w:nsid w:val="7E566D4D"/>
    <w:multiLevelType w:val="multilevel"/>
    <w:tmpl w:val="50AC369E"/>
    <w:lvl w:ilvl="0">
      <w:start w:val="3"/>
      <w:numFmt w:val="none"/>
      <w:suff w:val="nothing"/>
      <w:lvlText w:val="%1"/>
      <w:lvlJc w:val="left"/>
      <w:pPr>
        <w:ind w:left="0" w:firstLine="0"/>
      </w:pPr>
      <w:rPr>
        <w:rFonts w:hint="default"/>
      </w:rPr>
    </w:lvl>
    <w:lvl w:ilvl="1">
      <w:start w:val="2"/>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3"/>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41" w15:restartNumberingAfterBreak="0">
    <w:nsid w:val="7E6367E5"/>
    <w:multiLevelType w:val="multilevel"/>
    <w:tmpl w:val="52644632"/>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8"/>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42" w15:restartNumberingAfterBreak="0">
    <w:nsid w:val="7F750FA6"/>
    <w:multiLevelType w:val="multilevel"/>
    <w:tmpl w:val="8764AA50"/>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43" w15:restartNumberingAfterBreak="0">
    <w:nsid w:val="7FEB1E45"/>
    <w:multiLevelType w:val="multilevel"/>
    <w:tmpl w:val="02586118"/>
    <w:lvl w:ilvl="0">
      <w:start w:val="1"/>
      <w:numFmt w:val="none"/>
      <w:suff w:val="nothing"/>
      <w:lvlText w:val="%1"/>
      <w:lvlJc w:val="left"/>
      <w:pPr>
        <w:ind w:left="0" w:firstLine="0"/>
      </w:pPr>
      <w:rPr>
        <w:rFonts w:hint="default"/>
      </w:rPr>
    </w:lvl>
    <w:lvl w:ilvl="1">
      <w:start w:val="1"/>
      <w:numFmt w:val="upperRoman"/>
      <w:lvlText w:val="%2."/>
      <w:lvlJc w:val="righ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w:numFmt w:val="decimal"/>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num w:numId="1">
    <w:abstractNumId w:val="13"/>
  </w:num>
  <w:num w:numId="2">
    <w:abstractNumId w:val="23"/>
  </w:num>
  <w:num w:numId="3">
    <w:abstractNumId w:val="18"/>
  </w:num>
  <w:num w:numId="4">
    <w:abstractNumId w:val="17"/>
  </w:num>
  <w:num w:numId="5">
    <w:abstractNumId w:val="24"/>
  </w:num>
  <w:num w:numId="6">
    <w:abstractNumId w:val="21"/>
  </w:num>
  <w:num w:numId="7">
    <w:abstractNumId w:val="26"/>
  </w:num>
  <w:num w:numId="8">
    <w:abstractNumId w:val="31"/>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lvlOverride w:ilvl="0">
      <w:startOverride w:val="14"/>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3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num>
  <w:num w:numId="29">
    <w:abstractNumId w:val="36"/>
  </w:num>
  <w:num w:numId="30">
    <w:abstractNumId w:val="29"/>
  </w:num>
  <w:num w:numId="31">
    <w:abstractNumId w:val="15"/>
  </w:num>
  <w:num w:numId="32">
    <w:abstractNumId w:val="39"/>
  </w:num>
  <w:num w:numId="33">
    <w:abstractNumId w:val="28"/>
  </w:num>
  <w:num w:numId="34">
    <w:abstractNumId w:val="37"/>
  </w:num>
  <w:num w:numId="35">
    <w:abstractNumId w:val="25"/>
  </w:num>
  <w:num w:numId="36">
    <w:abstractNumId w:val="19"/>
  </w:num>
  <w:num w:numId="37">
    <w:abstractNumId w:val="38"/>
  </w:num>
  <w:num w:numId="38">
    <w:abstractNumId w:val="16"/>
  </w:num>
  <w:num w:numId="39">
    <w:abstractNumId w:val="10"/>
  </w:num>
  <w:num w:numId="40">
    <w:abstractNumId w:val="41"/>
  </w:num>
  <w:num w:numId="41">
    <w:abstractNumId w:val="30"/>
  </w:num>
  <w:num w:numId="42">
    <w:abstractNumId w:val="20"/>
  </w:num>
  <w:num w:numId="43">
    <w:abstractNumId w:val="27"/>
  </w:num>
  <w:num w:numId="44">
    <w:abstractNumId w:val="40"/>
  </w:num>
  <w:num w:numId="45">
    <w:abstractNumId w:val="14"/>
  </w:num>
  <w:num w:numId="46">
    <w:abstractNumId w:val="12"/>
  </w:num>
  <w:num w:numId="47">
    <w:abstractNumId w:val="22"/>
  </w:num>
  <w:num w:numId="48">
    <w:abstractNumId w:val="43"/>
  </w:num>
  <w:num w:numId="49">
    <w:abstractNumId w:val="11"/>
  </w:num>
  <w:num w:numId="50">
    <w:abstractNumId w:val="9"/>
  </w:num>
  <w:num w:numId="51">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tCode" w:val="DF2.0b "/>
  </w:docVars>
  <w:rsids>
    <w:rsidRoot w:val="008F2FC7"/>
    <w:rsid w:val="00001E32"/>
    <w:rsid w:val="00001EFC"/>
    <w:rsid w:val="00013AE1"/>
    <w:rsid w:val="000276B6"/>
    <w:rsid w:val="000313DF"/>
    <w:rsid w:val="0003375D"/>
    <w:rsid w:val="00037BE0"/>
    <w:rsid w:val="000459BC"/>
    <w:rsid w:val="00051B38"/>
    <w:rsid w:val="00054F61"/>
    <w:rsid w:val="00055FC7"/>
    <w:rsid w:val="0006127A"/>
    <w:rsid w:val="000613D2"/>
    <w:rsid w:val="00062BA2"/>
    <w:rsid w:val="00063D53"/>
    <w:rsid w:val="000642CA"/>
    <w:rsid w:val="00071E73"/>
    <w:rsid w:val="0007543F"/>
    <w:rsid w:val="0007744C"/>
    <w:rsid w:val="000863DD"/>
    <w:rsid w:val="00091043"/>
    <w:rsid w:val="000A2AC3"/>
    <w:rsid w:val="000A524D"/>
    <w:rsid w:val="000A57B5"/>
    <w:rsid w:val="000B2BFF"/>
    <w:rsid w:val="000B7AB1"/>
    <w:rsid w:val="000C442E"/>
    <w:rsid w:val="000C585D"/>
    <w:rsid w:val="000E2709"/>
    <w:rsid w:val="000F15E3"/>
    <w:rsid w:val="00100676"/>
    <w:rsid w:val="00100ED1"/>
    <w:rsid w:val="001146D0"/>
    <w:rsid w:val="00130860"/>
    <w:rsid w:val="00133568"/>
    <w:rsid w:val="00134435"/>
    <w:rsid w:val="00144977"/>
    <w:rsid w:val="00145737"/>
    <w:rsid w:val="00150BFA"/>
    <w:rsid w:val="00154461"/>
    <w:rsid w:val="00162B38"/>
    <w:rsid w:val="0016399C"/>
    <w:rsid w:val="00163A46"/>
    <w:rsid w:val="00165521"/>
    <w:rsid w:val="00165CB8"/>
    <w:rsid w:val="00170FEC"/>
    <w:rsid w:val="001715A2"/>
    <w:rsid w:val="00173EE9"/>
    <w:rsid w:val="00180C2E"/>
    <w:rsid w:val="00186E68"/>
    <w:rsid w:val="00192012"/>
    <w:rsid w:val="0019301C"/>
    <w:rsid w:val="001A2566"/>
    <w:rsid w:val="001A4CDE"/>
    <w:rsid w:val="001A712F"/>
    <w:rsid w:val="001B4A43"/>
    <w:rsid w:val="001B65F6"/>
    <w:rsid w:val="001D29A1"/>
    <w:rsid w:val="001F03DF"/>
    <w:rsid w:val="001F2E44"/>
    <w:rsid w:val="001F7538"/>
    <w:rsid w:val="00202CAF"/>
    <w:rsid w:val="00203B5D"/>
    <w:rsid w:val="00204F39"/>
    <w:rsid w:val="0020718E"/>
    <w:rsid w:val="002117AA"/>
    <w:rsid w:val="0021262B"/>
    <w:rsid w:val="00214D6C"/>
    <w:rsid w:val="00223640"/>
    <w:rsid w:val="00225951"/>
    <w:rsid w:val="00234622"/>
    <w:rsid w:val="00242EA8"/>
    <w:rsid w:val="00251A2E"/>
    <w:rsid w:val="00253F19"/>
    <w:rsid w:val="00255A6D"/>
    <w:rsid w:val="002563C9"/>
    <w:rsid w:val="00257B88"/>
    <w:rsid w:val="0026317C"/>
    <w:rsid w:val="002700CC"/>
    <w:rsid w:val="00274148"/>
    <w:rsid w:val="002773AA"/>
    <w:rsid w:val="00286B84"/>
    <w:rsid w:val="00287689"/>
    <w:rsid w:val="002901A5"/>
    <w:rsid w:val="0029242E"/>
    <w:rsid w:val="002B287F"/>
    <w:rsid w:val="002C05DF"/>
    <w:rsid w:val="002C0E47"/>
    <w:rsid w:val="002D7C40"/>
    <w:rsid w:val="002F01C2"/>
    <w:rsid w:val="002F199F"/>
    <w:rsid w:val="002F5962"/>
    <w:rsid w:val="00305C45"/>
    <w:rsid w:val="00306631"/>
    <w:rsid w:val="003066AC"/>
    <w:rsid w:val="00314D90"/>
    <w:rsid w:val="00314DF8"/>
    <w:rsid w:val="00320D31"/>
    <w:rsid w:val="003261CA"/>
    <w:rsid w:val="00326644"/>
    <w:rsid w:val="00331A92"/>
    <w:rsid w:val="00346DB1"/>
    <w:rsid w:val="00361747"/>
    <w:rsid w:val="00364D91"/>
    <w:rsid w:val="00370584"/>
    <w:rsid w:val="0037113C"/>
    <w:rsid w:val="003737B3"/>
    <w:rsid w:val="00373FFC"/>
    <w:rsid w:val="003755A4"/>
    <w:rsid w:val="00383E81"/>
    <w:rsid w:val="00393E75"/>
    <w:rsid w:val="003A0214"/>
    <w:rsid w:val="003A42B8"/>
    <w:rsid w:val="003A5682"/>
    <w:rsid w:val="003A7738"/>
    <w:rsid w:val="003B099C"/>
    <w:rsid w:val="003C2B19"/>
    <w:rsid w:val="003C4C97"/>
    <w:rsid w:val="003F0C41"/>
    <w:rsid w:val="00410D0C"/>
    <w:rsid w:val="004118A7"/>
    <w:rsid w:val="00416EBB"/>
    <w:rsid w:val="00421BE9"/>
    <w:rsid w:val="0042274E"/>
    <w:rsid w:val="00422B33"/>
    <w:rsid w:val="00422F1D"/>
    <w:rsid w:val="004249DB"/>
    <w:rsid w:val="00427B90"/>
    <w:rsid w:val="00430E9F"/>
    <w:rsid w:val="0045254D"/>
    <w:rsid w:val="00472687"/>
    <w:rsid w:val="00474005"/>
    <w:rsid w:val="00475F14"/>
    <w:rsid w:val="00480778"/>
    <w:rsid w:val="004818C3"/>
    <w:rsid w:val="00484532"/>
    <w:rsid w:val="0048465F"/>
    <w:rsid w:val="00485019"/>
    <w:rsid w:val="00485180"/>
    <w:rsid w:val="00492B84"/>
    <w:rsid w:val="00497C02"/>
    <w:rsid w:val="004A619F"/>
    <w:rsid w:val="004A7877"/>
    <w:rsid w:val="004B0529"/>
    <w:rsid w:val="004B12E0"/>
    <w:rsid w:val="004B3FDB"/>
    <w:rsid w:val="004B6105"/>
    <w:rsid w:val="004E097F"/>
    <w:rsid w:val="004E57CF"/>
    <w:rsid w:val="00505920"/>
    <w:rsid w:val="005059DA"/>
    <w:rsid w:val="005102AD"/>
    <w:rsid w:val="0052083E"/>
    <w:rsid w:val="00521764"/>
    <w:rsid w:val="00532899"/>
    <w:rsid w:val="005340E4"/>
    <w:rsid w:val="00537A69"/>
    <w:rsid w:val="00540FF7"/>
    <w:rsid w:val="005452EC"/>
    <w:rsid w:val="005517A8"/>
    <w:rsid w:val="00555EE4"/>
    <w:rsid w:val="00576D1D"/>
    <w:rsid w:val="0058554C"/>
    <w:rsid w:val="00585BE9"/>
    <w:rsid w:val="00590E72"/>
    <w:rsid w:val="005A3676"/>
    <w:rsid w:val="005A78E1"/>
    <w:rsid w:val="005B0C39"/>
    <w:rsid w:val="005C45FD"/>
    <w:rsid w:val="005C510C"/>
    <w:rsid w:val="005D4161"/>
    <w:rsid w:val="005D7417"/>
    <w:rsid w:val="005E329E"/>
    <w:rsid w:val="005E6EA2"/>
    <w:rsid w:val="005F1022"/>
    <w:rsid w:val="006016C2"/>
    <w:rsid w:val="00613D4A"/>
    <w:rsid w:val="00624504"/>
    <w:rsid w:val="00626B86"/>
    <w:rsid w:val="00631DBC"/>
    <w:rsid w:val="0064549D"/>
    <w:rsid w:val="006565CD"/>
    <w:rsid w:val="006634DF"/>
    <w:rsid w:val="00667E86"/>
    <w:rsid w:val="0067330F"/>
    <w:rsid w:val="0067585D"/>
    <w:rsid w:val="00680814"/>
    <w:rsid w:val="00685742"/>
    <w:rsid w:val="00690E9D"/>
    <w:rsid w:val="006A51FE"/>
    <w:rsid w:val="006A608F"/>
    <w:rsid w:val="006A6B79"/>
    <w:rsid w:val="006B32F8"/>
    <w:rsid w:val="006B7326"/>
    <w:rsid w:val="006C1AEC"/>
    <w:rsid w:val="006C5C6D"/>
    <w:rsid w:val="006D6B48"/>
    <w:rsid w:val="006E4618"/>
    <w:rsid w:val="006E789D"/>
    <w:rsid w:val="00703936"/>
    <w:rsid w:val="007449C1"/>
    <w:rsid w:val="00753FE7"/>
    <w:rsid w:val="00757104"/>
    <w:rsid w:val="007600CE"/>
    <w:rsid w:val="00767A56"/>
    <w:rsid w:val="007948EA"/>
    <w:rsid w:val="007A26B5"/>
    <w:rsid w:val="007B3106"/>
    <w:rsid w:val="007B33E2"/>
    <w:rsid w:val="007B549B"/>
    <w:rsid w:val="007C70F3"/>
    <w:rsid w:val="007D0CF2"/>
    <w:rsid w:val="007D5906"/>
    <w:rsid w:val="007D6266"/>
    <w:rsid w:val="007D72A8"/>
    <w:rsid w:val="007D7A6C"/>
    <w:rsid w:val="007E1A69"/>
    <w:rsid w:val="007E2A05"/>
    <w:rsid w:val="007F4130"/>
    <w:rsid w:val="007F6EDF"/>
    <w:rsid w:val="00805EA1"/>
    <w:rsid w:val="00816D1D"/>
    <w:rsid w:val="0082194C"/>
    <w:rsid w:val="008221A7"/>
    <w:rsid w:val="0082224C"/>
    <w:rsid w:val="00826F52"/>
    <w:rsid w:val="00832471"/>
    <w:rsid w:val="008344B9"/>
    <w:rsid w:val="00837080"/>
    <w:rsid w:val="00841A90"/>
    <w:rsid w:val="0084620E"/>
    <w:rsid w:val="00851F5A"/>
    <w:rsid w:val="008554DE"/>
    <w:rsid w:val="00860938"/>
    <w:rsid w:val="00871F89"/>
    <w:rsid w:val="00872DEE"/>
    <w:rsid w:val="0087565B"/>
    <w:rsid w:val="00875ED0"/>
    <w:rsid w:val="008764FF"/>
    <w:rsid w:val="008A0D52"/>
    <w:rsid w:val="008A1B0D"/>
    <w:rsid w:val="008A3BF5"/>
    <w:rsid w:val="008B1594"/>
    <w:rsid w:val="008B2174"/>
    <w:rsid w:val="008B34F0"/>
    <w:rsid w:val="008B3A30"/>
    <w:rsid w:val="008B5EBA"/>
    <w:rsid w:val="008B7E20"/>
    <w:rsid w:val="008C0840"/>
    <w:rsid w:val="008D77F8"/>
    <w:rsid w:val="008E1442"/>
    <w:rsid w:val="008E4199"/>
    <w:rsid w:val="008E7C28"/>
    <w:rsid w:val="008F1239"/>
    <w:rsid w:val="008F2FC7"/>
    <w:rsid w:val="00903244"/>
    <w:rsid w:val="00905D10"/>
    <w:rsid w:val="00910F01"/>
    <w:rsid w:val="00921EA8"/>
    <w:rsid w:val="009276AD"/>
    <w:rsid w:val="00927EBA"/>
    <w:rsid w:val="00934AED"/>
    <w:rsid w:val="00941AD7"/>
    <w:rsid w:val="0095430B"/>
    <w:rsid w:val="0095799D"/>
    <w:rsid w:val="00962FA4"/>
    <w:rsid w:val="0098192F"/>
    <w:rsid w:val="00982BFC"/>
    <w:rsid w:val="00983AEE"/>
    <w:rsid w:val="009840A2"/>
    <w:rsid w:val="00985409"/>
    <w:rsid w:val="00985A61"/>
    <w:rsid w:val="009A0725"/>
    <w:rsid w:val="009A09F5"/>
    <w:rsid w:val="009A4118"/>
    <w:rsid w:val="009A4DFD"/>
    <w:rsid w:val="009B7585"/>
    <w:rsid w:val="009C179B"/>
    <w:rsid w:val="009C1973"/>
    <w:rsid w:val="009C4707"/>
    <w:rsid w:val="009C4FE8"/>
    <w:rsid w:val="009D140B"/>
    <w:rsid w:val="009D321C"/>
    <w:rsid w:val="009D5C08"/>
    <w:rsid w:val="009D7652"/>
    <w:rsid w:val="009E036A"/>
    <w:rsid w:val="009E4322"/>
    <w:rsid w:val="009F3B51"/>
    <w:rsid w:val="009F4756"/>
    <w:rsid w:val="00A123C4"/>
    <w:rsid w:val="00A125A8"/>
    <w:rsid w:val="00A13720"/>
    <w:rsid w:val="00A1440E"/>
    <w:rsid w:val="00A146CF"/>
    <w:rsid w:val="00A155E1"/>
    <w:rsid w:val="00A21624"/>
    <w:rsid w:val="00A245F6"/>
    <w:rsid w:val="00A2726C"/>
    <w:rsid w:val="00A320F8"/>
    <w:rsid w:val="00A4489D"/>
    <w:rsid w:val="00A45145"/>
    <w:rsid w:val="00A464A2"/>
    <w:rsid w:val="00A538C1"/>
    <w:rsid w:val="00A53BAE"/>
    <w:rsid w:val="00A742CD"/>
    <w:rsid w:val="00A76CFF"/>
    <w:rsid w:val="00A81857"/>
    <w:rsid w:val="00A863C5"/>
    <w:rsid w:val="00A94675"/>
    <w:rsid w:val="00A97A49"/>
    <w:rsid w:val="00AA644A"/>
    <w:rsid w:val="00AA6B1E"/>
    <w:rsid w:val="00AB045F"/>
    <w:rsid w:val="00AB2A65"/>
    <w:rsid w:val="00AC1AB0"/>
    <w:rsid w:val="00AD10D3"/>
    <w:rsid w:val="00AD3F41"/>
    <w:rsid w:val="00AF0E9A"/>
    <w:rsid w:val="00AF2452"/>
    <w:rsid w:val="00AF6156"/>
    <w:rsid w:val="00AF6234"/>
    <w:rsid w:val="00AF78BB"/>
    <w:rsid w:val="00B01168"/>
    <w:rsid w:val="00B024E7"/>
    <w:rsid w:val="00B0728B"/>
    <w:rsid w:val="00B11087"/>
    <w:rsid w:val="00B1715E"/>
    <w:rsid w:val="00B3137F"/>
    <w:rsid w:val="00B40945"/>
    <w:rsid w:val="00B460F4"/>
    <w:rsid w:val="00B542C4"/>
    <w:rsid w:val="00B5789D"/>
    <w:rsid w:val="00B62FF6"/>
    <w:rsid w:val="00B71F73"/>
    <w:rsid w:val="00B73C5E"/>
    <w:rsid w:val="00B75190"/>
    <w:rsid w:val="00B7565E"/>
    <w:rsid w:val="00B856D4"/>
    <w:rsid w:val="00B866A7"/>
    <w:rsid w:val="00B91CCC"/>
    <w:rsid w:val="00BA2B93"/>
    <w:rsid w:val="00BA6104"/>
    <w:rsid w:val="00BB20A7"/>
    <w:rsid w:val="00BB4CE5"/>
    <w:rsid w:val="00BB797E"/>
    <w:rsid w:val="00BC0557"/>
    <w:rsid w:val="00BC33C8"/>
    <w:rsid w:val="00BC7D83"/>
    <w:rsid w:val="00BE36E7"/>
    <w:rsid w:val="00BE7BF7"/>
    <w:rsid w:val="00BF3C18"/>
    <w:rsid w:val="00BF4B64"/>
    <w:rsid w:val="00C014F0"/>
    <w:rsid w:val="00C05DAC"/>
    <w:rsid w:val="00C07B05"/>
    <w:rsid w:val="00C10239"/>
    <w:rsid w:val="00C10CBF"/>
    <w:rsid w:val="00C1419B"/>
    <w:rsid w:val="00C228BD"/>
    <w:rsid w:val="00C22AE8"/>
    <w:rsid w:val="00C25C0E"/>
    <w:rsid w:val="00C27961"/>
    <w:rsid w:val="00C32D42"/>
    <w:rsid w:val="00C34331"/>
    <w:rsid w:val="00C372C8"/>
    <w:rsid w:val="00C40576"/>
    <w:rsid w:val="00C41C53"/>
    <w:rsid w:val="00C5313D"/>
    <w:rsid w:val="00C539E8"/>
    <w:rsid w:val="00C57F24"/>
    <w:rsid w:val="00C642FC"/>
    <w:rsid w:val="00C66D81"/>
    <w:rsid w:val="00C71851"/>
    <w:rsid w:val="00C71855"/>
    <w:rsid w:val="00C735A8"/>
    <w:rsid w:val="00C80F07"/>
    <w:rsid w:val="00C812FC"/>
    <w:rsid w:val="00C8190B"/>
    <w:rsid w:val="00C84895"/>
    <w:rsid w:val="00C85852"/>
    <w:rsid w:val="00C87121"/>
    <w:rsid w:val="00C94E13"/>
    <w:rsid w:val="00CA734D"/>
    <w:rsid w:val="00CB14E5"/>
    <w:rsid w:val="00CB35B4"/>
    <w:rsid w:val="00CB469D"/>
    <w:rsid w:val="00CC144A"/>
    <w:rsid w:val="00CC3EFE"/>
    <w:rsid w:val="00CD1CE9"/>
    <w:rsid w:val="00CD3FD0"/>
    <w:rsid w:val="00CE11D8"/>
    <w:rsid w:val="00CE1498"/>
    <w:rsid w:val="00CE4B02"/>
    <w:rsid w:val="00CE726F"/>
    <w:rsid w:val="00CF123A"/>
    <w:rsid w:val="00CF2B59"/>
    <w:rsid w:val="00CF56D1"/>
    <w:rsid w:val="00CF72E9"/>
    <w:rsid w:val="00D01537"/>
    <w:rsid w:val="00D01935"/>
    <w:rsid w:val="00D056FF"/>
    <w:rsid w:val="00D07B65"/>
    <w:rsid w:val="00D11A1E"/>
    <w:rsid w:val="00D13B19"/>
    <w:rsid w:val="00D2367C"/>
    <w:rsid w:val="00D338C4"/>
    <w:rsid w:val="00D410A6"/>
    <w:rsid w:val="00D46244"/>
    <w:rsid w:val="00D51451"/>
    <w:rsid w:val="00D544A5"/>
    <w:rsid w:val="00D54A80"/>
    <w:rsid w:val="00D55C79"/>
    <w:rsid w:val="00D563DD"/>
    <w:rsid w:val="00D669B9"/>
    <w:rsid w:val="00D7218E"/>
    <w:rsid w:val="00D80201"/>
    <w:rsid w:val="00D81C18"/>
    <w:rsid w:val="00D8491D"/>
    <w:rsid w:val="00D85C2C"/>
    <w:rsid w:val="00D90755"/>
    <w:rsid w:val="00D94053"/>
    <w:rsid w:val="00D9531B"/>
    <w:rsid w:val="00DA270E"/>
    <w:rsid w:val="00DB7E5A"/>
    <w:rsid w:val="00DC2D7F"/>
    <w:rsid w:val="00DC38A1"/>
    <w:rsid w:val="00DC57B1"/>
    <w:rsid w:val="00DC60E7"/>
    <w:rsid w:val="00DC721C"/>
    <w:rsid w:val="00DD09CD"/>
    <w:rsid w:val="00DD6222"/>
    <w:rsid w:val="00DE168C"/>
    <w:rsid w:val="00DE4BD4"/>
    <w:rsid w:val="00DF2F1A"/>
    <w:rsid w:val="00DF6663"/>
    <w:rsid w:val="00E0127E"/>
    <w:rsid w:val="00E114AA"/>
    <w:rsid w:val="00E12701"/>
    <w:rsid w:val="00E21A29"/>
    <w:rsid w:val="00E21C10"/>
    <w:rsid w:val="00E235D6"/>
    <w:rsid w:val="00E40BF2"/>
    <w:rsid w:val="00E4165C"/>
    <w:rsid w:val="00E46F25"/>
    <w:rsid w:val="00E51978"/>
    <w:rsid w:val="00E53AF6"/>
    <w:rsid w:val="00E547AD"/>
    <w:rsid w:val="00E5758E"/>
    <w:rsid w:val="00E600A4"/>
    <w:rsid w:val="00E60304"/>
    <w:rsid w:val="00E674AD"/>
    <w:rsid w:val="00E72A1B"/>
    <w:rsid w:val="00E86B9E"/>
    <w:rsid w:val="00E90DC9"/>
    <w:rsid w:val="00E92D6E"/>
    <w:rsid w:val="00E95366"/>
    <w:rsid w:val="00E954CA"/>
    <w:rsid w:val="00EA37B6"/>
    <w:rsid w:val="00EB47BF"/>
    <w:rsid w:val="00EC40CC"/>
    <w:rsid w:val="00ED643F"/>
    <w:rsid w:val="00EE3609"/>
    <w:rsid w:val="00EF17E9"/>
    <w:rsid w:val="00EF3C5A"/>
    <w:rsid w:val="00EF402E"/>
    <w:rsid w:val="00F01E88"/>
    <w:rsid w:val="00F03979"/>
    <w:rsid w:val="00F13053"/>
    <w:rsid w:val="00F264AC"/>
    <w:rsid w:val="00F27D13"/>
    <w:rsid w:val="00F316BA"/>
    <w:rsid w:val="00F369B3"/>
    <w:rsid w:val="00F47ACE"/>
    <w:rsid w:val="00F524A5"/>
    <w:rsid w:val="00F5293A"/>
    <w:rsid w:val="00F55C39"/>
    <w:rsid w:val="00F8410E"/>
    <w:rsid w:val="00F90A35"/>
    <w:rsid w:val="00F92312"/>
    <w:rsid w:val="00FB46E7"/>
    <w:rsid w:val="00FC17F8"/>
    <w:rsid w:val="00FD16DB"/>
    <w:rsid w:val="00FD2414"/>
    <w:rsid w:val="00FD3281"/>
    <w:rsid w:val="00FE23B7"/>
    <w:rsid w:val="00FF5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FB46E7"/>
    <w:rPr>
      <w:sz w:val="24"/>
      <w:szCs w:val="24"/>
    </w:rPr>
  </w:style>
  <w:style w:type="paragraph" w:styleId="Heading1">
    <w:name w:val="heading 1"/>
    <w:basedOn w:val="Normal"/>
    <w:next w:val="Normal"/>
    <w:link w:val="Heading1Char"/>
    <w:uiPriority w:val="98"/>
    <w:semiHidden/>
    <w:rsid w:val="00FB46E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FB46E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FB46E7"/>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FB46E7"/>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FB46E7"/>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FB46E7"/>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FB46E7"/>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FB46E7"/>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FB46E7"/>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FB46E7"/>
    <w:rPr>
      <w:rFonts w:ascii="Tahoma" w:hAnsi="Tahoma" w:cs="Tahoma"/>
      <w:sz w:val="16"/>
      <w:szCs w:val="16"/>
    </w:rPr>
  </w:style>
  <w:style w:type="character" w:customStyle="1" w:styleId="BalloonTextChar">
    <w:name w:val="Balloon Text Char"/>
    <w:basedOn w:val="DefaultParagraphFont"/>
    <w:link w:val="BalloonText"/>
    <w:uiPriority w:val="98"/>
    <w:semiHidden/>
    <w:rsid w:val="00FB46E7"/>
    <w:rPr>
      <w:rFonts w:ascii="Tahoma" w:hAnsi="Tahoma" w:cs="Tahoma"/>
      <w:sz w:val="16"/>
      <w:szCs w:val="16"/>
      <w:lang w:val="ro-RO"/>
    </w:rPr>
  </w:style>
  <w:style w:type="character" w:styleId="BookTitle">
    <w:name w:val="Book Title"/>
    <w:uiPriority w:val="98"/>
    <w:semiHidden/>
    <w:qFormat/>
    <w:rsid w:val="00FB46E7"/>
    <w:rPr>
      <w:i/>
      <w:iCs/>
      <w:smallCaps/>
      <w:spacing w:val="5"/>
    </w:rPr>
  </w:style>
  <w:style w:type="paragraph" w:customStyle="1" w:styleId="JuHeader">
    <w:name w:val="Ju_Header"/>
    <w:aliases w:val="_Header"/>
    <w:basedOn w:val="Header"/>
    <w:uiPriority w:val="29"/>
    <w:qFormat/>
    <w:rsid w:val="00FB46E7"/>
    <w:pPr>
      <w:tabs>
        <w:tab w:val="clear" w:pos="4536"/>
        <w:tab w:val="clear" w:pos="9072"/>
      </w:tabs>
      <w:jc w:val="center"/>
    </w:pPr>
    <w:rPr>
      <w:sz w:val="18"/>
    </w:rPr>
  </w:style>
  <w:style w:type="paragraph" w:customStyle="1" w:styleId="JuHHead">
    <w:name w:val="Ju_H_Head"/>
    <w:aliases w:val="_Head_1"/>
    <w:basedOn w:val="Heading1"/>
    <w:next w:val="Normal"/>
    <w:uiPriority w:val="17"/>
    <w:qFormat/>
    <w:rsid w:val="00FB46E7"/>
    <w:pPr>
      <w:keepNext/>
      <w:keepLines/>
      <w:numPr>
        <w:numId w:val="40"/>
      </w:numPr>
      <w:spacing w:before="100" w:beforeAutospacing="1" w:after="240"/>
      <w:contextualSpacing w:val="0"/>
      <w:jc w:val="both"/>
    </w:pPr>
    <w:rPr>
      <w:b w:val="0"/>
      <w:caps/>
      <w:color w:val="auto"/>
    </w:rPr>
  </w:style>
  <w:style w:type="character" w:styleId="Strong">
    <w:name w:val="Strong"/>
    <w:uiPriority w:val="98"/>
    <w:semiHidden/>
    <w:qFormat/>
    <w:rsid w:val="00FB46E7"/>
    <w:rPr>
      <w:b/>
      <w:bCs/>
    </w:rPr>
  </w:style>
  <w:style w:type="paragraph" w:styleId="NoSpacing">
    <w:name w:val="No Spacing"/>
    <w:basedOn w:val="Normal"/>
    <w:link w:val="NoSpacingChar"/>
    <w:uiPriority w:val="98"/>
    <w:semiHidden/>
    <w:qFormat/>
    <w:rsid w:val="00FB46E7"/>
  </w:style>
  <w:style w:type="character" w:customStyle="1" w:styleId="NoSpacingChar">
    <w:name w:val="No Spacing Char"/>
    <w:basedOn w:val="DefaultParagraphFont"/>
    <w:link w:val="NoSpacing"/>
    <w:uiPriority w:val="98"/>
    <w:semiHidden/>
    <w:rsid w:val="00FB46E7"/>
    <w:rPr>
      <w:sz w:val="24"/>
      <w:szCs w:val="24"/>
      <w:lang w:val="ro-RO"/>
    </w:rPr>
  </w:style>
  <w:style w:type="paragraph" w:customStyle="1" w:styleId="JuHIRoman">
    <w:name w:val="Ju_H_I_Roman"/>
    <w:aliases w:val="_Head_2"/>
    <w:basedOn w:val="Heading2"/>
    <w:next w:val="Normal"/>
    <w:uiPriority w:val="17"/>
    <w:qFormat/>
    <w:rsid w:val="00FB46E7"/>
    <w:pPr>
      <w:keepNext/>
      <w:keepLines/>
      <w:numPr>
        <w:ilvl w:val="1"/>
        <w:numId w:val="40"/>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Normal"/>
    <w:uiPriority w:val="17"/>
    <w:qFormat/>
    <w:rsid w:val="00FB46E7"/>
    <w:pPr>
      <w:keepNext/>
      <w:keepLines/>
      <w:numPr>
        <w:ilvl w:val="2"/>
        <w:numId w:val="40"/>
      </w:numPr>
      <w:spacing w:before="100" w:beforeAutospacing="1" w:after="240" w:line="240" w:lineRule="auto"/>
      <w:jc w:val="both"/>
    </w:pPr>
    <w:rPr>
      <w:color w:val="auto"/>
      <w:sz w:val="24"/>
    </w:rPr>
  </w:style>
  <w:style w:type="paragraph" w:customStyle="1" w:styleId="JuH1">
    <w:name w:val="Ju_H_1."/>
    <w:aliases w:val="_Head_4"/>
    <w:basedOn w:val="Heading4"/>
    <w:next w:val="Normal"/>
    <w:uiPriority w:val="17"/>
    <w:rsid w:val="00FB46E7"/>
    <w:pPr>
      <w:keepNext/>
      <w:keepLines/>
      <w:numPr>
        <w:ilvl w:val="3"/>
        <w:numId w:val="40"/>
      </w:numPr>
      <w:spacing w:before="100" w:beforeAutospacing="1" w:after="120"/>
      <w:jc w:val="both"/>
    </w:pPr>
    <w:rPr>
      <w:b w:val="0"/>
      <w:color w:val="auto"/>
      <w:sz w:val="24"/>
    </w:rPr>
  </w:style>
  <w:style w:type="paragraph" w:customStyle="1" w:styleId="JuHa0">
    <w:name w:val="Ju_H_a"/>
    <w:aliases w:val="_Head_5"/>
    <w:basedOn w:val="Heading5"/>
    <w:next w:val="Normal"/>
    <w:uiPriority w:val="17"/>
    <w:rsid w:val="00FB46E7"/>
    <w:pPr>
      <w:keepNext/>
      <w:keepLines/>
      <w:numPr>
        <w:ilvl w:val="4"/>
        <w:numId w:val="40"/>
      </w:numPr>
      <w:spacing w:before="100" w:beforeAutospacing="1" w:after="120"/>
      <w:jc w:val="both"/>
    </w:pPr>
    <w:rPr>
      <w:color w:val="auto"/>
      <w:sz w:val="20"/>
    </w:rPr>
  </w:style>
  <w:style w:type="paragraph" w:customStyle="1" w:styleId="JuHi">
    <w:name w:val="Ju_H_i"/>
    <w:aliases w:val="_Head_6"/>
    <w:basedOn w:val="Heading6"/>
    <w:next w:val="Normal"/>
    <w:uiPriority w:val="17"/>
    <w:rsid w:val="00FB46E7"/>
    <w:pPr>
      <w:keepNext/>
      <w:keepLines/>
      <w:numPr>
        <w:ilvl w:val="5"/>
        <w:numId w:val="40"/>
      </w:numPr>
      <w:tabs>
        <w:tab w:val="left" w:pos="1077"/>
        <w:tab w:val="left" w:pos="1134"/>
        <w:tab w:val="left" w:pos="1191"/>
        <w:tab w:val="left" w:pos="1247"/>
      </w:tabs>
      <w:spacing w:before="100" w:beforeAutospacing="1" w:after="120"/>
      <w:jc w:val="both"/>
    </w:pPr>
    <w:rPr>
      <w:b w:val="0"/>
      <w:color w:val="auto"/>
      <w:sz w:val="20"/>
    </w:rPr>
  </w:style>
  <w:style w:type="paragraph" w:customStyle="1" w:styleId="JuHalpha">
    <w:name w:val="Ju_H_alpha"/>
    <w:aliases w:val="_Head_7"/>
    <w:basedOn w:val="Heading7"/>
    <w:next w:val="Normal"/>
    <w:uiPriority w:val="17"/>
    <w:rsid w:val="00FB46E7"/>
    <w:pPr>
      <w:keepNext/>
      <w:keepLines/>
      <w:numPr>
        <w:ilvl w:val="6"/>
        <w:numId w:val="40"/>
      </w:numPr>
      <w:tabs>
        <w:tab w:val="left" w:pos="1361"/>
      </w:tabs>
      <w:spacing w:before="100" w:beforeAutospacing="1" w:after="120"/>
      <w:jc w:val="both"/>
    </w:pPr>
    <w:rPr>
      <w:i w:val="0"/>
      <w:sz w:val="20"/>
    </w:rPr>
  </w:style>
  <w:style w:type="paragraph" w:customStyle="1" w:styleId="JuH">
    <w:name w:val="Ju_H_–"/>
    <w:aliases w:val="_Head_8"/>
    <w:basedOn w:val="Heading8"/>
    <w:next w:val="Normal"/>
    <w:uiPriority w:val="17"/>
    <w:rsid w:val="00FB46E7"/>
    <w:pPr>
      <w:keepNext/>
      <w:keepLines/>
      <w:numPr>
        <w:ilvl w:val="7"/>
        <w:numId w:val="40"/>
      </w:numPr>
      <w:spacing w:before="100" w:beforeAutospacing="1" w:after="120"/>
      <w:jc w:val="both"/>
    </w:pPr>
    <w:rPr>
      <w:i/>
    </w:rPr>
  </w:style>
  <w:style w:type="paragraph" w:customStyle="1" w:styleId="JuList">
    <w:name w:val="Ju_List"/>
    <w:aliases w:val="_List_1"/>
    <w:basedOn w:val="NormalJustified"/>
    <w:uiPriority w:val="23"/>
    <w:qFormat/>
    <w:rsid w:val="00FB46E7"/>
    <w:pPr>
      <w:numPr>
        <w:numId w:val="6"/>
      </w:numPr>
      <w:spacing w:before="280" w:after="60"/>
    </w:pPr>
  </w:style>
  <w:style w:type="paragraph" w:customStyle="1" w:styleId="JuLista">
    <w:name w:val="Ju_List_a"/>
    <w:aliases w:val="_List_2"/>
    <w:basedOn w:val="NormalJustified"/>
    <w:uiPriority w:val="23"/>
    <w:rsid w:val="00FB46E7"/>
    <w:pPr>
      <w:numPr>
        <w:ilvl w:val="1"/>
        <w:numId w:val="6"/>
      </w:numPr>
    </w:pPr>
  </w:style>
  <w:style w:type="numbering" w:customStyle="1" w:styleId="ECHRA1StyleBulletedSquare">
    <w:name w:val="ECHR_A1_Style_Bulleted_Square"/>
    <w:basedOn w:val="NoList"/>
    <w:rsid w:val="00FB46E7"/>
    <w:pPr>
      <w:numPr>
        <w:numId w:val="5"/>
      </w:numPr>
    </w:pPr>
  </w:style>
  <w:style w:type="numbering" w:customStyle="1" w:styleId="ECHRA1StyleList">
    <w:name w:val="ECHR_A1_Style_List"/>
    <w:basedOn w:val="NoList"/>
    <w:uiPriority w:val="99"/>
    <w:rsid w:val="00FB46E7"/>
    <w:pPr>
      <w:numPr>
        <w:numId w:val="6"/>
      </w:numPr>
    </w:pPr>
  </w:style>
  <w:style w:type="paragraph" w:styleId="Title">
    <w:name w:val="Title"/>
    <w:basedOn w:val="Normal"/>
    <w:next w:val="Normal"/>
    <w:link w:val="TitleChar"/>
    <w:uiPriority w:val="98"/>
    <w:semiHidden/>
    <w:qFormat/>
    <w:rsid w:val="00FB46E7"/>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FB46E7"/>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FB46E7"/>
    <w:pPr>
      <w:numPr>
        <w:numId w:val="7"/>
      </w:numPr>
    </w:pPr>
  </w:style>
  <w:style w:type="table" w:customStyle="1" w:styleId="ECHRTable2019">
    <w:name w:val="ECHR_Table_2019"/>
    <w:basedOn w:val="TableNormal"/>
    <w:uiPriority w:val="99"/>
    <w:rsid w:val="00FB46E7"/>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JuListi">
    <w:name w:val="Ju_List_i"/>
    <w:aliases w:val="_List_3"/>
    <w:basedOn w:val="NormalJustified"/>
    <w:uiPriority w:val="23"/>
    <w:rsid w:val="00FB46E7"/>
    <w:pPr>
      <w:numPr>
        <w:ilvl w:val="2"/>
        <w:numId w:val="6"/>
      </w:numPr>
    </w:pPr>
  </w:style>
  <w:style w:type="paragraph" w:customStyle="1" w:styleId="JuParaLast">
    <w:name w:val="Ju_Para_Last"/>
    <w:aliases w:val="_Para_Spaced"/>
    <w:basedOn w:val="NormalJustified"/>
    <w:uiPriority w:val="5"/>
    <w:qFormat/>
    <w:rsid w:val="00FB46E7"/>
    <w:pPr>
      <w:keepNext/>
      <w:keepLines/>
      <w:spacing w:before="240" w:after="240"/>
      <w:ind w:firstLine="284"/>
    </w:pPr>
  </w:style>
  <w:style w:type="paragraph" w:customStyle="1" w:styleId="JuQuot">
    <w:name w:val="Ju_Quot"/>
    <w:aliases w:val="_Quote"/>
    <w:basedOn w:val="NormalJustified"/>
    <w:uiPriority w:val="20"/>
    <w:qFormat/>
    <w:rsid w:val="00FB46E7"/>
    <w:pPr>
      <w:spacing w:before="120" w:after="120"/>
      <w:ind w:left="425" w:firstLine="142"/>
    </w:pPr>
    <w:rPr>
      <w:sz w:val="20"/>
    </w:rPr>
  </w:style>
  <w:style w:type="paragraph" w:customStyle="1" w:styleId="DecHTitle">
    <w:name w:val="Dec_H_Title"/>
    <w:aliases w:val="_Title_1"/>
    <w:basedOn w:val="Normal"/>
    <w:next w:val="Normal"/>
    <w:uiPriority w:val="38"/>
    <w:qFormat/>
    <w:rsid w:val="00FB46E7"/>
    <w:pPr>
      <w:keepNext/>
      <w:keepLines/>
      <w:spacing w:after="240"/>
      <w:jc w:val="center"/>
      <w:outlineLvl w:val="0"/>
    </w:pPr>
    <w:rPr>
      <w:rFonts w:asciiTheme="majorHAnsi" w:hAnsiTheme="majorHAnsi"/>
      <w:sz w:val="28"/>
    </w:rPr>
  </w:style>
  <w:style w:type="paragraph" w:customStyle="1" w:styleId="JuTitle">
    <w:name w:val="Ju_Title"/>
    <w:aliases w:val="_Title_2"/>
    <w:basedOn w:val="Normal"/>
    <w:next w:val="Normal"/>
    <w:uiPriority w:val="38"/>
    <w:qFormat/>
    <w:rsid w:val="00FB46E7"/>
    <w:pPr>
      <w:keepNext/>
      <w:keepLines/>
      <w:spacing w:before="1320" w:after="280"/>
      <w:contextualSpacing/>
      <w:jc w:val="center"/>
    </w:pPr>
    <w:rPr>
      <w:b/>
    </w:rPr>
  </w:style>
  <w:style w:type="paragraph" w:customStyle="1" w:styleId="DecHCase">
    <w:name w:val="Dec_H_Case"/>
    <w:aliases w:val="_Title_3"/>
    <w:basedOn w:val="Normal"/>
    <w:next w:val="Normal"/>
    <w:uiPriority w:val="38"/>
    <w:qFormat/>
    <w:rsid w:val="00FB46E7"/>
    <w:pPr>
      <w:keepNext/>
      <w:keepLines/>
      <w:spacing w:after="280"/>
      <w:jc w:val="center"/>
    </w:pPr>
    <w:rPr>
      <w:rFonts w:asciiTheme="majorHAnsi" w:hAnsiTheme="majorHAnsi"/>
    </w:rPr>
  </w:style>
  <w:style w:type="paragraph" w:styleId="Header">
    <w:name w:val="header"/>
    <w:basedOn w:val="Normal"/>
    <w:link w:val="HeaderChar"/>
    <w:uiPriority w:val="98"/>
    <w:semiHidden/>
    <w:rsid w:val="00FB46E7"/>
    <w:pPr>
      <w:tabs>
        <w:tab w:val="center" w:pos="4536"/>
        <w:tab w:val="right" w:pos="9072"/>
      </w:tabs>
    </w:pPr>
  </w:style>
  <w:style w:type="character" w:customStyle="1" w:styleId="HeaderChar">
    <w:name w:val="Header Char"/>
    <w:basedOn w:val="DefaultParagraphFont"/>
    <w:link w:val="Header"/>
    <w:uiPriority w:val="98"/>
    <w:semiHidden/>
    <w:rsid w:val="00FB46E7"/>
    <w:rPr>
      <w:sz w:val="24"/>
      <w:szCs w:val="24"/>
      <w:lang w:val="ro-RO"/>
    </w:rPr>
  </w:style>
  <w:style w:type="character" w:customStyle="1" w:styleId="Heading1Char">
    <w:name w:val="Heading 1 Char"/>
    <w:basedOn w:val="DefaultParagraphFont"/>
    <w:link w:val="Heading1"/>
    <w:uiPriority w:val="98"/>
    <w:semiHidden/>
    <w:rsid w:val="00FB46E7"/>
    <w:rPr>
      <w:rFonts w:asciiTheme="majorHAnsi" w:eastAsiaTheme="majorEastAsia" w:hAnsiTheme="majorHAnsi" w:cstheme="majorBidi"/>
      <w:b/>
      <w:bCs/>
      <w:color w:val="333333"/>
      <w:sz w:val="28"/>
      <w:szCs w:val="28"/>
      <w:lang w:val="ro-RO"/>
    </w:rPr>
  </w:style>
  <w:style w:type="paragraph" w:customStyle="1" w:styleId="ECHRCoverTitle4">
    <w:name w:val="ECHR_Cover_Title_4"/>
    <w:aliases w:val="_Title_4"/>
    <w:basedOn w:val="Normal"/>
    <w:next w:val="Normal"/>
    <w:uiPriority w:val="38"/>
    <w:qFormat/>
    <w:rsid w:val="00FB46E7"/>
    <w:pPr>
      <w:keepNext/>
      <w:keepLines/>
      <w:tabs>
        <w:tab w:val="right" w:pos="7938"/>
      </w:tabs>
      <w:jc w:val="center"/>
    </w:pPr>
    <w:rPr>
      <w:i/>
    </w:rPr>
  </w:style>
  <w:style w:type="paragraph" w:customStyle="1" w:styleId="JuHArticle">
    <w:name w:val="Ju_H_Article"/>
    <w:aliases w:val="_Title_Quote"/>
    <w:basedOn w:val="Normal"/>
    <w:next w:val="JuQuot"/>
    <w:uiPriority w:val="19"/>
    <w:qFormat/>
    <w:rsid w:val="00FB46E7"/>
    <w:pPr>
      <w:keepNext/>
      <w:spacing w:before="100" w:beforeAutospacing="1" w:after="120"/>
      <w:contextualSpacing/>
      <w:jc w:val="center"/>
    </w:pPr>
    <w:rPr>
      <w:b/>
      <w:sz w:val="20"/>
    </w:rPr>
  </w:style>
  <w:style w:type="character" w:customStyle="1" w:styleId="Heading2Char">
    <w:name w:val="Heading 2 Char"/>
    <w:basedOn w:val="DefaultParagraphFont"/>
    <w:link w:val="Heading2"/>
    <w:uiPriority w:val="98"/>
    <w:semiHidden/>
    <w:rsid w:val="00FB46E7"/>
    <w:rPr>
      <w:rFonts w:asciiTheme="majorHAnsi" w:eastAsiaTheme="majorEastAsia" w:hAnsiTheme="majorHAnsi" w:cstheme="majorBidi"/>
      <w:b/>
      <w:bCs/>
      <w:color w:val="4D4D4D"/>
      <w:sz w:val="26"/>
      <w:szCs w:val="26"/>
      <w:lang w:val="ro-RO"/>
    </w:rPr>
  </w:style>
  <w:style w:type="paragraph" w:customStyle="1" w:styleId="ECHRBullet1">
    <w:name w:val="ECHR_Bullet_1"/>
    <w:aliases w:val="_Bul_1"/>
    <w:basedOn w:val="NormalJustified"/>
    <w:uiPriority w:val="23"/>
    <w:semiHidden/>
    <w:qFormat/>
    <w:rsid w:val="00FB46E7"/>
    <w:pPr>
      <w:numPr>
        <w:numId w:val="5"/>
      </w:numPr>
      <w:spacing w:before="60" w:after="60"/>
    </w:pPr>
  </w:style>
  <w:style w:type="paragraph" w:customStyle="1" w:styleId="Footer">
    <w:name w:val="_Footer"/>
    <w:aliases w:val="Footer_"/>
    <w:basedOn w:val="Footer0"/>
    <w:uiPriority w:val="57"/>
    <w:semiHidden/>
    <w:rsid w:val="00F90A35"/>
    <w:rPr>
      <w:sz w:val="8"/>
    </w:rPr>
  </w:style>
  <w:style w:type="character" w:customStyle="1" w:styleId="Heading3Char">
    <w:name w:val="Heading 3 Char"/>
    <w:basedOn w:val="DefaultParagraphFont"/>
    <w:link w:val="Heading3"/>
    <w:uiPriority w:val="98"/>
    <w:semiHidden/>
    <w:rsid w:val="00FB46E7"/>
    <w:rPr>
      <w:rFonts w:asciiTheme="majorHAnsi" w:eastAsiaTheme="majorEastAsia" w:hAnsiTheme="majorHAnsi" w:cstheme="majorBidi"/>
      <w:b/>
      <w:bCs/>
      <w:color w:val="5F5F5F"/>
      <w:lang w:val="ro-RO"/>
    </w:rPr>
  </w:style>
  <w:style w:type="paragraph" w:customStyle="1" w:styleId="ECHRFooterLine">
    <w:name w:val="ECHR_Footer_Line"/>
    <w:aliases w:val="_Footer_Line"/>
    <w:basedOn w:val="Normal"/>
    <w:next w:val="Normal"/>
    <w:uiPriority w:val="29"/>
    <w:semiHidden/>
    <w:rsid w:val="00FB46E7"/>
    <w:pPr>
      <w:pBdr>
        <w:top w:val="single" w:sz="6" w:space="1" w:color="5F5F5F"/>
      </w:pBdr>
      <w:tabs>
        <w:tab w:val="center" w:pos="3686"/>
        <w:tab w:val="right" w:pos="7371"/>
      </w:tabs>
      <w:ind w:left="-1474" w:right="-1474"/>
    </w:pPr>
    <w:rPr>
      <w:color w:val="5F5F5F"/>
    </w:rPr>
  </w:style>
  <w:style w:type="paragraph" w:customStyle="1" w:styleId="JuCourt">
    <w:name w:val="Ju_Court"/>
    <w:aliases w:val="_Court_Names"/>
    <w:basedOn w:val="Normal"/>
    <w:next w:val="Normal"/>
    <w:uiPriority w:val="32"/>
    <w:qFormat/>
    <w:rsid w:val="00FB46E7"/>
    <w:pPr>
      <w:tabs>
        <w:tab w:val="left" w:pos="907"/>
        <w:tab w:val="left" w:pos="1701"/>
        <w:tab w:val="right" w:pos="7371"/>
      </w:tabs>
      <w:spacing w:before="240"/>
      <w:ind w:left="397" w:hanging="397"/>
    </w:pPr>
    <w:rPr>
      <w:lang w:bidi="en-US"/>
    </w:rPr>
  </w:style>
  <w:style w:type="character" w:customStyle="1" w:styleId="Heading4Char">
    <w:name w:val="Heading 4 Char"/>
    <w:basedOn w:val="DefaultParagraphFont"/>
    <w:link w:val="Heading4"/>
    <w:uiPriority w:val="98"/>
    <w:semiHidden/>
    <w:rsid w:val="00FB46E7"/>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FB46E7"/>
    <w:pPr>
      <w:tabs>
        <w:tab w:val="center" w:pos="6407"/>
      </w:tabs>
      <w:spacing w:before="720"/>
      <w:jc w:val="right"/>
    </w:pPr>
  </w:style>
  <w:style w:type="character" w:customStyle="1" w:styleId="Heading5Char">
    <w:name w:val="Heading 5 Char"/>
    <w:basedOn w:val="DefaultParagraphFont"/>
    <w:link w:val="Heading5"/>
    <w:uiPriority w:val="98"/>
    <w:semiHidden/>
    <w:rsid w:val="00FB46E7"/>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FB46E7"/>
    <w:rPr>
      <w:vanish w:val="0"/>
      <w:color w:val="auto"/>
      <w:sz w:val="14"/>
      <w:bdr w:val="none" w:sz="0" w:space="0" w:color="auto"/>
      <w:shd w:val="clear" w:color="auto" w:fill="BEE5FF" w:themeFill="background1" w:themeFillTint="33"/>
    </w:rPr>
  </w:style>
  <w:style w:type="paragraph" w:customStyle="1" w:styleId="JuJudges">
    <w:name w:val="Ju_Judges"/>
    <w:aliases w:val="_Judges"/>
    <w:basedOn w:val="Normal"/>
    <w:uiPriority w:val="32"/>
    <w:qFormat/>
    <w:rsid w:val="00FB46E7"/>
    <w:pPr>
      <w:tabs>
        <w:tab w:val="left" w:pos="567"/>
        <w:tab w:val="left" w:pos="1134"/>
      </w:tabs>
    </w:pPr>
  </w:style>
  <w:style w:type="character" w:styleId="SubtleEmphasis">
    <w:name w:val="Subtle Emphasis"/>
    <w:uiPriority w:val="98"/>
    <w:semiHidden/>
    <w:qFormat/>
    <w:rsid w:val="00FB46E7"/>
    <w:rPr>
      <w:i/>
      <w:iCs/>
    </w:rPr>
  </w:style>
  <w:style w:type="character" w:customStyle="1" w:styleId="JUNAMES">
    <w:name w:val="JU_NAMES"/>
    <w:aliases w:val="_Ju_Names"/>
    <w:uiPriority w:val="33"/>
    <w:qFormat/>
    <w:rsid w:val="00FB46E7"/>
    <w:rPr>
      <w:caps w:val="0"/>
      <w:smallCaps/>
    </w:rPr>
  </w:style>
  <w:style w:type="table" w:customStyle="1" w:styleId="ECHRTable">
    <w:name w:val="ECHR_Table"/>
    <w:basedOn w:val="TableNormal"/>
    <w:rsid w:val="00FB46E7"/>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FB46E7"/>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JuSigned">
    <w:name w:val="Ju_Signed"/>
    <w:aliases w:val="_Signature"/>
    <w:basedOn w:val="Normal"/>
    <w:next w:val="Normal"/>
    <w:uiPriority w:val="31"/>
    <w:qFormat/>
    <w:rsid w:val="00FB46E7"/>
    <w:pPr>
      <w:tabs>
        <w:tab w:val="center" w:pos="1418"/>
        <w:tab w:val="center" w:pos="5954"/>
      </w:tabs>
      <w:spacing w:before="720"/>
    </w:pPr>
  </w:style>
  <w:style w:type="paragraph" w:customStyle="1" w:styleId="NormalJustified">
    <w:name w:val="Normal_Justified"/>
    <w:basedOn w:val="Normal"/>
    <w:semiHidden/>
    <w:rsid w:val="00FB46E7"/>
    <w:pPr>
      <w:jc w:val="both"/>
    </w:pPr>
  </w:style>
  <w:style w:type="character" w:styleId="Emphasis">
    <w:name w:val="Emphasis"/>
    <w:uiPriority w:val="98"/>
    <w:semiHidden/>
    <w:qFormat/>
    <w:rsid w:val="00FB46E7"/>
    <w:rPr>
      <w:b/>
      <w:bCs/>
      <w:i/>
      <w:iCs/>
      <w:spacing w:val="10"/>
      <w:bdr w:val="none" w:sz="0" w:space="0" w:color="auto"/>
      <w:shd w:val="clear" w:color="auto" w:fill="auto"/>
    </w:rPr>
  </w:style>
  <w:style w:type="paragraph" w:styleId="Footer0">
    <w:name w:val="footer"/>
    <w:basedOn w:val="Normal"/>
    <w:link w:val="FooterChar"/>
    <w:uiPriority w:val="99"/>
    <w:rsid w:val="00FB46E7"/>
    <w:pPr>
      <w:tabs>
        <w:tab w:val="center" w:pos="3686"/>
        <w:tab w:val="right" w:pos="7371"/>
      </w:tabs>
    </w:pPr>
  </w:style>
  <w:style w:type="character" w:customStyle="1" w:styleId="FooterChar">
    <w:name w:val="Footer Char"/>
    <w:basedOn w:val="DefaultParagraphFont"/>
    <w:link w:val="Footer0"/>
    <w:uiPriority w:val="99"/>
    <w:rsid w:val="00FB46E7"/>
    <w:rPr>
      <w:sz w:val="24"/>
      <w:szCs w:val="24"/>
      <w:lang w:val="ro-RO"/>
    </w:rPr>
  </w:style>
  <w:style w:type="character" w:styleId="FootnoteReference">
    <w:name w:val="footnote reference"/>
    <w:basedOn w:val="DefaultParagraphFont"/>
    <w:uiPriority w:val="98"/>
    <w:semiHidden/>
    <w:rsid w:val="00FB46E7"/>
    <w:rPr>
      <w:vertAlign w:val="superscript"/>
    </w:rPr>
  </w:style>
  <w:style w:type="paragraph" w:styleId="FootnoteText">
    <w:name w:val="footnote text"/>
    <w:aliases w:val="5_G"/>
    <w:basedOn w:val="NormalJustified"/>
    <w:link w:val="FootnoteTextChar"/>
    <w:uiPriority w:val="98"/>
    <w:semiHidden/>
    <w:rsid w:val="00FB46E7"/>
    <w:rPr>
      <w:sz w:val="20"/>
      <w:szCs w:val="20"/>
    </w:rPr>
  </w:style>
  <w:style w:type="character" w:customStyle="1" w:styleId="FootnoteTextChar">
    <w:name w:val="Footnote Text Char"/>
    <w:aliases w:val="5_G Char"/>
    <w:basedOn w:val="DefaultParagraphFont"/>
    <w:link w:val="FootnoteText"/>
    <w:uiPriority w:val="98"/>
    <w:semiHidden/>
    <w:rsid w:val="00FB46E7"/>
    <w:rPr>
      <w:sz w:val="20"/>
      <w:szCs w:val="20"/>
      <w:lang w:val="ro-RO"/>
    </w:rPr>
  </w:style>
  <w:style w:type="character" w:customStyle="1" w:styleId="Heading6Char">
    <w:name w:val="Heading 6 Char"/>
    <w:basedOn w:val="DefaultParagraphFont"/>
    <w:link w:val="Heading6"/>
    <w:uiPriority w:val="98"/>
    <w:semiHidden/>
    <w:rsid w:val="00FB46E7"/>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FB46E7"/>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FB46E7"/>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FB46E7"/>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FB46E7"/>
    <w:rPr>
      <w:color w:val="0072BC" w:themeColor="hyperlink"/>
      <w:u w:val="single"/>
    </w:rPr>
  </w:style>
  <w:style w:type="character" w:styleId="IntenseEmphasis">
    <w:name w:val="Intense Emphasis"/>
    <w:uiPriority w:val="98"/>
    <w:semiHidden/>
    <w:qFormat/>
    <w:rsid w:val="00FB46E7"/>
    <w:rPr>
      <w:b/>
      <w:bCs/>
    </w:rPr>
  </w:style>
  <w:style w:type="paragraph" w:styleId="IntenseQuote">
    <w:name w:val="Intense Quote"/>
    <w:basedOn w:val="Normal"/>
    <w:next w:val="Normal"/>
    <w:link w:val="IntenseQuoteChar"/>
    <w:uiPriority w:val="98"/>
    <w:semiHidden/>
    <w:qFormat/>
    <w:rsid w:val="00FB46E7"/>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FB46E7"/>
    <w:rPr>
      <w:b/>
      <w:bCs/>
      <w:i/>
      <w:iCs/>
      <w:sz w:val="24"/>
      <w:szCs w:val="24"/>
      <w:lang w:val="ro-RO" w:bidi="en-US"/>
    </w:rPr>
  </w:style>
  <w:style w:type="character" w:styleId="IntenseReference">
    <w:name w:val="Intense Reference"/>
    <w:uiPriority w:val="98"/>
    <w:semiHidden/>
    <w:qFormat/>
    <w:rsid w:val="00FB46E7"/>
    <w:rPr>
      <w:smallCaps/>
      <w:spacing w:val="5"/>
      <w:u w:val="single"/>
    </w:rPr>
  </w:style>
  <w:style w:type="paragraph" w:styleId="ListParagraph">
    <w:name w:val="List Paragraph"/>
    <w:basedOn w:val="Normal"/>
    <w:uiPriority w:val="98"/>
    <w:semiHidden/>
    <w:qFormat/>
    <w:rsid w:val="00FB46E7"/>
    <w:pPr>
      <w:ind w:left="720"/>
      <w:contextualSpacing/>
    </w:pPr>
  </w:style>
  <w:style w:type="table" w:customStyle="1" w:styleId="LtrTableAddress">
    <w:name w:val="Ltr_Table_Address"/>
    <w:aliases w:val="ECHR_Ltr_Table_Address"/>
    <w:basedOn w:val="TableNormal"/>
    <w:uiPriority w:val="99"/>
    <w:rsid w:val="00FB46E7"/>
    <w:rPr>
      <w:sz w:val="24"/>
      <w:szCs w:val="24"/>
    </w:rPr>
    <w:tblPr>
      <w:tblInd w:w="5103" w:type="dxa"/>
    </w:tblPr>
  </w:style>
  <w:style w:type="paragraph" w:styleId="Quote">
    <w:name w:val="Quote"/>
    <w:basedOn w:val="Normal"/>
    <w:next w:val="Normal"/>
    <w:link w:val="QuoteChar"/>
    <w:uiPriority w:val="98"/>
    <w:semiHidden/>
    <w:qFormat/>
    <w:rsid w:val="00FB46E7"/>
    <w:pPr>
      <w:spacing w:before="200"/>
      <w:ind w:left="360" w:right="360"/>
    </w:pPr>
    <w:rPr>
      <w:i/>
      <w:iCs/>
      <w:lang w:bidi="en-US"/>
    </w:rPr>
  </w:style>
  <w:style w:type="character" w:customStyle="1" w:styleId="QuoteChar">
    <w:name w:val="Quote Char"/>
    <w:basedOn w:val="DefaultParagraphFont"/>
    <w:link w:val="Quote"/>
    <w:uiPriority w:val="98"/>
    <w:semiHidden/>
    <w:rsid w:val="00FB46E7"/>
    <w:rPr>
      <w:i/>
      <w:iCs/>
      <w:sz w:val="24"/>
      <w:szCs w:val="24"/>
      <w:lang w:val="ro-RO" w:bidi="en-US"/>
    </w:rPr>
  </w:style>
  <w:style w:type="character" w:styleId="SubtleReference">
    <w:name w:val="Subtle Reference"/>
    <w:uiPriority w:val="98"/>
    <w:semiHidden/>
    <w:qFormat/>
    <w:rsid w:val="00FB46E7"/>
    <w:rPr>
      <w:smallCaps/>
    </w:rPr>
  </w:style>
  <w:style w:type="table" w:styleId="TableGrid">
    <w:name w:val="Table Grid"/>
    <w:basedOn w:val="TableNormal"/>
    <w:uiPriority w:val="59"/>
    <w:semiHidden/>
    <w:rsid w:val="00FB46E7"/>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851F5A"/>
    <w:pPr>
      <w:keepNext/>
      <w:tabs>
        <w:tab w:val="right" w:leader="dot" w:pos="7371"/>
      </w:tabs>
      <w:spacing w:before="160" w:after="60" w:line="240" w:lineRule="exact"/>
      <w:ind w:right="567"/>
    </w:pPr>
    <w:rPr>
      <w:b/>
      <w:sz w:val="22"/>
    </w:rPr>
  </w:style>
  <w:style w:type="paragraph" w:styleId="TOC2">
    <w:name w:val="toc 2"/>
    <w:basedOn w:val="Normal"/>
    <w:next w:val="Normal"/>
    <w:autoRedefine/>
    <w:uiPriority w:val="39"/>
    <w:rsid w:val="00FB46E7"/>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39"/>
    <w:rsid w:val="00FB46E7"/>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39"/>
    <w:rsid w:val="00FB46E7"/>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39"/>
    <w:rsid w:val="00FB46E7"/>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FB46E7"/>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FB46E7"/>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FB46E7"/>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FB46E7"/>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FB46E7"/>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FB46E7"/>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FB46E7"/>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FB46E7"/>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FB46E7"/>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FB46E7"/>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FB46E7"/>
    <w:pPr>
      <w:numPr>
        <w:numId w:val="2"/>
      </w:numPr>
    </w:pPr>
  </w:style>
  <w:style w:type="paragraph" w:customStyle="1" w:styleId="JuPara">
    <w:name w:val="Ju_Para"/>
    <w:aliases w:val="_Para"/>
    <w:basedOn w:val="NormalJustified"/>
    <w:link w:val="JuParaChar"/>
    <w:uiPriority w:val="4"/>
    <w:qFormat/>
    <w:rsid w:val="00FB46E7"/>
    <w:pPr>
      <w:ind w:firstLine="284"/>
    </w:pPr>
  </w:style>
  <w:style w:type="numbering" w:styleId="1ai">
    <w:name w:val="Outline List 1"/>
    <w:basedOn w:val="NoList"/>
    <w:uiPriority w:val="99"/>
    <w:semiHidden/>
    <w:unhideWhenUsed/>
    <w:rsid w:val="00FB46E7"/>
    <w:pPr>
      <w:numPr>
        <w:numId w:val="3"/>
      </w:numPr>
    </w:pPr>
  </w:style>
  <w:style w:type="table" w:customStyle="1" w:styleId="ECHRTableSimpleBox">
    <w:name w:val="ECHR_Table_Simple_Box"/>
    <w:basedOn w:val="TableNormal"/>
    <w:uiPriority w:val="99"/>
    <w:rsid w:val="00FB46E7"/>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B46E7"/>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FB46E7"/>
    <w:pPr>
      <w:numPr>
        <w:numId w:val="4"/>
      </w:numPr>
    </w:pPr>
  </w:style>
  <w:style w:type="table" w:customStyle="1" w:styleId="ECHRTableForInternalUse">
    <w:name w:val="ECHR_Table_For_Internal_Use"/>
    <w:basedOn w:val="TableNormal"/>
    <w:uiPriority w:val="99"/>
    <w:rsid w:val="00FB46E7"/>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FB46E7"/>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FB46E7"/>
  </w:style>
  <w:style w:type="paragraph" w:styleId="BlockText">
    <w:name w:val="Block Text"/>
    <w:basedOn w:val="Normal"/>
    <w:uiPriority w:val="98"/>
    <w:semiHidden/>
    <w:rsid w:val="00FB46E7"/>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FB46E7"/>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FB46E7"/>
    <w:pPr>
      <w:spacing w:after="120"/>
    </w:pPr>
  </w:style>
  <w:style w:type="character" w:customStyle="1" w:styleId="BodyTextChar">
    <w:name w:val="Body Text Char"/>
    <w:basedOn w:val="DefaultParagraphFont"/>
    <w:link w:val="BodyText"/>
    <w:uiPriority w:val="98"/>
    <w:semiHidden/>
    <w:rsid w:val="00FB46E7"/>
    <w:rPr>
      <w:sz w:val="24"/>
      <w:szCs w:val="24"/>
      <w:lang w:val="ro-RO"/>
    </w:rPr>
  </w:style>
  <w:style w:type="table" w:customStyle="1" w:styleId="ECHRTableOddBanded">
    <w:name w:val="ECHR_Table_Odd_Banded"/>
    <w:basedOn w:val="TableNormal"/>
    <w:uiPriority w:val="99"/>
    <w:rsid w:val="00FB46E7"/>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FB46E7"/>
    <w:pPr>
      <w:spacing w:after="120" w:line="480" w:lineRule="auto"/>
    </w:pPr>
  </w:style>
  <w:style w:type="table" w:customStyle="1" w:styleId="ECHRHeaderTableReduced">
    <w:name w:val="ECHR_Header_Table_Reduced"/>
    <w:basedOn w:val="TableNormal"/>
    <w:uiPriority w:val="99"/>
    <w:rsid w:val="00FB46E7"/>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Normal"/>
    <w:uiPriority w:val="32"/>
    <w:rsid w:val="00FB46E7"/>
    <w:pPr>
      <w:ind w:firstLine="284"/>
    </w:pPr>
    <w:rPr>
      <w:b/>
    </w:rPr>
  </w:style>
  <w:style w:type="character" w:styleId="PageNumber">
    <w:name w:val="page number"/>
    <w:uiPriority w:val="98"/>
    <w:semiHidden/>
    <w:rsid w:val="00FB46E7"/>
    <w:rPr>
      <w:sz w:val="18"/>
    </w:rPr>
  </w:style>
  <w:style w:type="paragraph" w:styleId="ListBullet2">
    <w:name w:val="List Bullet 2"/>
    <w:basedOn w:val="Normal"/>
    <w:uiPriority w:val="98"/>
    <w:semiHidden/>
    <w:rsid w:val="00FB46E7"/>
    <w:pPr>
      <w:numPr>
        <w:numId w:val="9"/>
      </w:numPr>
      <w:contextualSpacing/>
    </w:pPr>
  </w:style>
  <w:style w:type="character" w:customStyle="1" w:styleId="BodyText2Char">
    <w:name w:val="Body Text 2 Char"/>
    <w:basedOn w:val="DefaultParagraphFont"/>
    <w:link w:val="BodyText2"/>
    <w:uiPriority w:val="98"/>
    <w:semiHidden/>
    <w:rsid w:val="00FB46E7"/>
    <w:rPr>
      <w:sz w:val="24"/>
      <w:szCs w:val="24"/>
      <w:lang w:val="ro-RO"/>
    </w:rPr>
  </w:style>
  <w:style w:type="paragraph" w:styleId="BodyText3">
    <w:name w:val="Body Text 3"/>
    <w:basedOn w:val="Normal"/>
    <w:link w:val="BodyText3Char"/>
    <w:uiPriority w:val="98"/>
    <w:semiHidden/>
    <w:rsid w:val="00FB46E7"/>
    <w:pPr>
      <w:spacing w:after="120"/>
    </w:pPr>
    <w:rPr>
      <w:sz w:val="16"/>
      <w:szCs w:val="16"/>
    </w:rPr>
  </w:style>
  <w:style w:type="character" w:customStyle="1" w:styleId="BodyText3Char">
    <w:name w:val="Body Text 3 Char"/>
    <w:basedOn w:val="DefaultParagraphFont"/>
    <w:link w:val="BodyText3"/>
    <w:uiPriority w:val="98"/>
    <w:semiHidden/>
    <w:rsid w:val="00FB46E7"/>
    <w:rPr>
      <w:sz w:val="16"/>
      <w:szCs w:val="16"/>
      <w:lang w:val="ro-RO"/>
    </w:rPr>
  </w:style>
  <w:style w:type="paragraph" w:styleId="BodyTextFirstIndent">
    <w:name w:val="Body Text First Indent"/>
    <w:basedOn w:val="BodyText"/>
    <w:link w:val="BodyTextFirstIndentChar"/>
    <w:uiPriority w:val="98"/>
    <w:semiHidden/>
    <w:rsid w:val="00FB46E7"/>
    <w:pPr>
      <w:spacing w:after="0"/>
      <w:ind w:firstLine="360"/>
    </w:pPr>
  </w:style>
  <w:style w:type="character" w:customStyle="1" w:styleId="BodyTextFirstIndentChar">
    <w:name w:val="Body Text First Indent Char"/>
    <w:basedOn w:val="BodyTextChar"/>
    <w:link w:val="BodyTextFirstIndent"/>
    <w:uiPriority w:val="98"/>
    <w:semiHidden/>
    <w:rsid w:val="00FB46E7"/>
    <w:rPr>
      <w:sz w:val="24"/>
      <w:szCs w:val="24"/>
      <w:lang w:val="ro-RO"/>
    </w:rPr>
  </w:style>
  <w:style w:type="paragraph" w:styleId="BodyTextIndent">
    <w:name w:val="Body Text Indent"/>
    <w:basedOn w:val="Normal"/>
    <w:link w:val="BodyTextIndentChar"/>
    <w:uiPriority w:val="98"/>
    <w:semiHidden/>
    <w:rsid w:val="00FB46E7"/>
    <w:pPr>
      <w:spacing w:after="120"/>
      <w:ind w:left="283"/>
    </w:pPr>
  </w:style>
  <w:style w:type="character" w:customStyle="1" w:styleId="BodyTextIndentChar">
    <w:name w:val="Body Text Indent Char"/>
    <w:basedOn w:val="DefaultParagraphFont"/>
    <w:link w:val="BodyTextIndent"/>
    <w:uiPriority w:val="98"/>
    <w:semiHidden/>
    <w:rsid w:val="00FB46E7"/>
    <w:rPr>
      <w:sz w:val="24"/>
      <w:szCs w:val="24"/>
      <w:lang w:val="ro-RO"/>
    </w:rPr>
  </w:style>
  <w:style w:type="paragraph" w:styleId="BodyTextFirstIndent2">
    <w:name w:val="Body Text First Indent 2"/>
    <w:basedOn w:val="BodyTextIndent"/>
    <w:link w:val="BodyTextFirstIndent2Char"/>
    <w:uiPriority w:val="98"/>
    <w:semiHidden/>
    <w:rsid w:val="00FB46E7"/>
    <w:pPr>
      <w:spacing w:after="0"/>
      <w:ind w:left="360" w:firstLine="360"/>
    </w:pPr>
  </w:style>
  <w:style w:type="character" w:customStyle="1" w:styleId="BodyTextFirstIndent2Char">
    <w:name w:val="Body Text First Indent 2 Char"/>
    <w:basedOn w:val="BodyTextIndentChar"/>
    <w:link w:val="BodyTextFirstIndent2"/>
    <w:uiPriority w:val="98"/>
    <w:semiHidden/>
    <w:rsid w:val="00FB46E7"/>
    <w:rPr>
      <w:sz w:val="24"/>
      <w:szCs w:val="24"/>
      <w:lang w:val="ro-RO"/>
    </w:rPr>
  </w:style>
  <w:style w:type="paragraph" w:styleId="BodyTextIndent2">
    <w:name w:val="Body Text Indent 2"/>
    <w:basedOn w:val="Normal"/>
    <w:link w:val="BodyTextIndent2Char"/>
    <w:uiPriority w:val="98"/>
    <w:semiHidden/>
    <w:rsid w:val="00FB46E7"/>
    <w:pPr>
      <w:spacing w:after="120" w:line="480" w:lineRule="auto"/>
      <w:ind w:left="283"/>
    </w:pPr>
  </w:style>
  <w:style w:type="character" w:customStyle="1" w:styleId="BodyTextIndent2Char">
    <w:name w:val="Body Text Indent 2 Char"/>
    <w:basedOn w:val="DefaultParagraphFont"/>
    <w:link w:val="BodyTextIndent2"/>
    <w:uiPriority w:val="98"/>
    <w:semiHidden/>
    <w:rsid w:val="00FB46E7"/>
    <w:rPr>
      <w:sz w:val="24"/>
      <w:szCs w:val="24"/>
      <w:lang w:val="ro-RO"/>
    </w:rPr>
  </w:style>
  <w:style w:type="paragraph" w:styleId="BodyTextIndent3">
    <w:name w:val="Body Text Indent 3"/>
    <w:basedOn w:val="Normal"/>
    <w:link w:val="BodyTextIndent3Char"/>
    <w:uiPriority w:val="98"/>
    <w:semiHidden/>
    <w:rsid w:val="00FB46E7"/>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FB46E7"/>
    <w:rPr>
      <w:sz w:val="16"/>
      <w:szCs w:val="16"/>
      <w:lang w:val="ro-RO"/>
    </w:rPr>
  </w:style>
  <w:style w:type="paragraph" w:styleId="Caption">
    <w:name w:val="caption"/>
    <w:basedOn w:val="Normal"/>
    <w:next w:val="Normal"/>
    <w:uiPriority w:val="98"/>
    <w:semiHidden/>
    <w:qFormat/>
    <w:rsid w:val="00FB46E7"/>
    <w:pPr>
      <w:spacing w:after="200"/>
    </w:pPr>
    <w:rPr>
      <w:b/>
      <w:bCs/>
      <w:color w:val="0072BC" w:themeColor="accent1"/>
      <w:sz w:val="18"/>
      <w:szCs w:val="18"/>
    </w:rPr>
  </w:style>
  <w:style w:type="paragraph" w:styleId="Closing">
    <w:name w:val="Closing"/>
    <w:basedOn w:val="Normal"/>
    <w:link w:val="ClosingChar"/>
    <w:uiPriority w:val="98"/>
    <w:semiHidden/>
    <w:rsid w:val="00FB46E7"/>
    <w:pPr>
      <w:ind w:left="4252"/>
    </w:pPr>
  </w:style>
  <w:style w:type="character" w:customStyle="1" w:styleId="ClosingChar">
    <w:name w:val="Closing Char"/>
    <w:basedOn w:val="DefaultParagraphFont"/>
    <w:link w:val="Closing"/>
    <w:uiPriority w:val="98"/>
    <w:semiHidden/>
    <w:rsid w:val="00FB46E7"/>
    <w:rPr>
      <w:sz w:val="24"/>
      <w:szCs w:val="24"/>
      <w:lang w:val="ro-RO"/>
    </w:rPr>
  </w:style>
  <w:style w:type="table" w:styleId="ColorfulGrid">
    <w:name w:val="Colorful Grid"/>
    <w:basedOn w:val="TableNormal"/>
    <w:uiPriority w:val="73"/>
    <w:semiHidden/>
    <w:rsid w:val="00FB46E7"/>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FB46E7"/>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FB46E7"/>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FB46E7"/>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FB46E7"/>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FB46E7"/>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FB46E7"/>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FB46E7"/>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FB46E7"/>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FB46E7"/>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FB46E7"/>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FB46E7"/>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FB46E7"/>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FB46E7"/>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FB46E7"/>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FB46E7"/>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FB46E7"/>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FB46E7"/>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FB46E7"/>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FB46E7"/>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FB46E7"/>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FB46E7"/>
    <w:rPr>
      <w:sz w:val="20"/>
      <w:szCs w:val="20"/>
      <w:lang w:val="ro-RO"/>
    </w:rPr>
  </w:style>
  <w:style w:type="paragraph" w:styleId="CommentSubject">
    <w:name w:val="annotation subject"/>
    <w:basedOn w:val="CommentText"/>
    <w:next w:val="CommentText"/>
    <w:link w:val="CommentSubjectChar"/>
    <w:uiPriority w:val="98"/>
    <w:semiHidden/>
    <w:rsid w:val="00FB46E7"/>
    <w:rPr>
      <w:b/>
      <w:bCs/>
    </w:rPr>
  </w:style>
  <w:style w:type="character" w:customStyle="1" w:styleId="CommentSubjectChar">
    <w:name w:val="Comment Subject Char"/>
    <w:basedOn w:val="CommentTextChar"/>
    <w:link w:val="CommentSubject"/>
    <w:uiPriority w:val="98"/>
    <w:semiHidden/>
    <w:rsid w:val="00FB46E7"/>
    <w:rPr>
      <w:b/>
      <w:bCs/>
      <w:sz w:val="20"/>
      <w:szCs w:val="20"/>
      <w:lang w:val="ro-RO"/>
    </w:rPr>
  </w:style>
  <w:style w:type="table" w:styleId="DarkList">
    <w:name w:val="Dark List"/>
    <w:basedOn w:val="TableNormal"/>
    <w:uiPriority w:val="70"/>
    <w:semiHidden/>
    <w:rsid w:val="00FB46E7"/>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FB46E7"/>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FB46E7"/>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FB46E7"/>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FB46E7"/>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FB46E7"/>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FB46E7"/>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FB46E7"/>
  </w:style>
  <w:style w:type="character" w:customStyle="1" w:styleId="DateChar">
    <w:name w:val="Date Char"/>
    <w:basedOn w:val="DefaultParagraphFont"/>
    <w:link w:val="Date"/>
    <w:uiPriority w:val="98"/>
    <w:semiHidden/>
    <w:rsid w:val="00FB46E7"/>
    <w:rPr>
      <w:sz w:val="24"/>
      <w:szCs w:val="24"/>
      <w:lang w:val="ro-RO"/>
    </w:rPr>
  </w:style>
  <w:style w:type="paragraph" w:styleId="DocumentMap">
    <w:name w:val="Document Map"/>
    <w:basedOn w:val="Normal"/>
    <w:link w:val="DocumentMapChar"/>
    <w:uiPriority w:val="98"/>
    <w:semiHidden/>
    <w:rsid w:val="00FB46E7"/>
    <w:rPr>
      <w:rFonts w:ascii="Tahoma" w:hAnsi="Tahoma" w:cs="Tahoma"/>
      <w:sz w:val="16"/>
      <w:szCs w:val="16"/>
    </w:rPr>
  </w:style>
  <w:style w:type="character" w:customStyle="1" w:styleId="DocumentMapChar">
    <w:name w:val="Document Map Char"/>
    <w:basedOn w:val="DefaultParagraphFont"/>
    <w:link w:val="DocumentMap"/>
    <w:uiPriority w:val="98"/>
    <w:semiHidden/>
    <w:rsid w:val="00FB46E7"/>
    <w:rPr>
      <w:rFonts w:ascii="Tahoma" w:hAnsi="Tahoma" w:cs="Tahoma"/>
      <w:sz w:val="16"/>
      <w:szCs w:val="16"/>
      <w:lang w:val="ro-RO"/>
    </w:rPr>
  </w:style>
  <w:style w:type="paragraph" w:styleId="E-mailSignature">
    <w:name w:val="E-mail Signature"/>
    <w:basedOn w:val="Normal"/>
    <w:link w:val="E-mailSignatureChar"/>
    <w:uiPriority w:val="98"/>
    <w:semiHidden/>
    <w:rsid w:val="00FB46E7"/>
  </w:style>
  <w:style w:type="character" w:customStyle="1" w:styleId="E-mailSignatureChar">
    <w:name w:val="E-mail Signature Char"/>
    <w:basedOn w:val="DefaultParagraphFont"/>
    <w:link w:val="E-mailSignature"/>
    <w:uiPriority w:val="98"/>
    <w:semiHidden/>
    <w:rsid w:val="00FB46E7"/>
    <w:rPr>
      <w:sz w:val="24"/>
      <w:szCs w:val="24"/>
      <w:lang w:val="ro-RO"/>
    </w:rPr>
  </w:style>
  <w:style w:type="character" w:styleId="EndnoteReference">
    <w:name w:val="endnote reference"/>
    <w:basedOn w:val="DefaultParagraphFont"/>
    <w:uiPriority w:val="98"/>
    <w:semiHidden/>
    <w:rsid w:val="00FB46E7"/>
    <w:rPr>
      <w:vertAlign w:val="superscript"/>
    </w:rPr>
  </w:style>
  <w:style w:type="paragraph" w:styleId="EndnoteText">
    <w:name w:val="endnote text"/>
    <w:basedOn w:val="Normal"/>
    <w:link w:val="EndnoteTextChar"/>
    <w:uiPriority w:val="98"/>
    <w:semiHidden/>
    <w:rsid w:val="00FB46E7"/>
    <w:rPr>
      <w:sz w:val="20"/>
      <w:szCs w:val="20"/>
    </w:rPr>
  </w:style>
  <w:style w:type="character" w:customStyle="1" w:styleId="EndnoteTextChar">
    <w:name w:val="Endnote Text Char"/>
    <w:basedOn w:val="DefaultParagraphFont"/>
    <w:link w:val="EndnoteText"/>
    <w:uiPriority w:val="98"/>
    <w:semiHidden/>
    <w:rsid w:val="00FB46E7"/>
    <w:rPr>
      <w:sz w:val="20"/>
      <w:szCs w:val="20"/>
      <w:lang w:val="ro-RO"/>
    </w:rPr>
  </w:style>
  <w:style w:type="paragraph" w:styleId="EnvelopeAddress">
    <w:name w:val="envelope address"/>
    <w:basedOn w:val="Normal"/>
    <w:uiPriority w:val="98"/>
    <w:semiHidden/>
    <w:rsid w:val="00FB46E7"/>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FB46E7"/>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FB46E7"/>
    <w:rPr>
      <w:color w:val="7030A0" w:themeColor="followedHyperlink"/>
      <w:u w:val="single"/>
    </w:rPr>
  </w:style>
  <w:style w:type="character" w:styleId="HTMLAcronym">
    <w:name w:val="HTML Acronym"/>
    <w:basedOn w:val="DefaultParagraphFont"/>
    <w:uiPriority w:val="98"/>
    <w:semiHidden/>
    <w:rsid w:val="00FB46E7"/>
  </w:style>
  <w:style w:type="paragraph" w:styleId="HTMLAddress">
    <w:name w:val="HTML Address"/>
    <w:basedOn w:val="Normal"/>
    <w:link w:val="HTMLAddressChar"/>
    <w:uiPriority w:val="98"/>
    <w:semiHidden/>
    <w:rsid w:val="00FB46E7"/>
    <w:rPr>
      <w:i/>
      <w:iCs/>
    </w:rPr>
  </w:style>
  <w:style w:type="character" w:customStyle="1" w:styleId="HTMLAddressChar">
    <w:name w:val="HTML Address Char"/>
    <w:basedOn w:val="DefaultParagraphFont"/>
    <w:link w:val="HTMLAddress"/>
    <w:uiPriority w:val="98"/>
    <w:semiHidden/>
    <w:rsid w:val="00FB46E7"/>
    <w:rPr>
      <w:i/>
      <w:iCs/>
      <w:sz w:val="24"/>
      <w:szCs w:val="24"/>
      <w:lang w:val="ro-RO"/>
    </w:rPr>
  </w:style>
  <w:style w:type="character" w:styleId="HTMLCite">
    <w:name w:val="HTML Cite"/>
    <w:basedOn w:val="DefaultParagraphFont"/>
    <w:uiPriority w:val="98"/>
    <w:semiHidden/>
    <w:rsid w:val="00FB46E7"/>
    <w:rPr>
      <w:i/>
      <w:iCs/>
    </w:rPr>
  </w:style>
  <w:style w:type="character" w:styleId="HTMLCode">
    <w:name w:val="HTML Code"/>
    <w:basedOn w:val="DefaultParagraphFont"/>
    <w:uiPriority w:val="98"/>
    <w:semiHidden/>
    <w:rsid w:val="00FB46E7"/>
    <w:rPr>
      <w:rFonts w:ascii="Consolas" w:hAnsi="Consolas" w:cs="Consolas"/>
      <w:sz w:val="20"/>
      <w:szCs w:val="20"/>
    </w:rPr>
  </w:style>
  <w:style w:type="character" w:styleId="HTMLDefinition">
    <w:name w:val="HTML Definition"/>
    <w:basedOn w:val="DefaultParagraphFont"/>
    <w:uiPriority w:val="98"/>
    <w:semiHidden/>
    <w:rsid w:val="00FB46E7"/>
    <w:rPr>
      <w:i/>
      <w:iCs/>
    </w:rPr>
  </w:style>
  <w:style w:type="character" w:styleId="HTMLKeyboard">
    <w:name w:val="HTML Keyboard"/>
    <w:basedOn w:val="DefaultParagraphFont"/>
    <w:uiPriority w:val="98"/>
    <w:semiHidden/>
    <w:rsid w:val="00FB46E7"/>
    <w:rPr>
      <w:rFonts w:ascii="Consolas" w:hAnsi="Consolas" w:cs="Consolas"/>
      <w:sz w:val="20"/>
      <w:szCs w:val="20"/>
    </w:rPr>
  </w:style>
  <w:style w:type="paragraph" w:styleId="HTMLPreformatted">
    <w:name w:val="HTML Preformatted"/>
    <w:basedOn w:val="Normal"/>
    <w:link w:val="HTMLPreformattedChar"/>
    <w:uiPriority w:val="98"/>
    <w:semiHidden/>
    <w:rsid w:val="00FB46E7"/>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FB46E7"/>
    <w:rPr>
      <w:rFonts w:ascii="Consolas" w:hAnsi="Consolas" w:cs="Consolas"/>
      <w:sz w:val="20"/>
      <w:szCs w:val="20"/>
      <w:lang w:val="ro-RO"/>
    </w:rPr>
  </w:style>
  <w:style w:type="character" w:styleId="HTMLSample">
    <w:name w:val="HTML Sample"/>
    <w:basedOn w:val="DefaultParagraphFont"/>
    <w:uiPriority w:val="98"/>
    <w:semiHidden/>
    <w:rsid w:val="00FB46E7"/>
    <w:rPr>
      <w:rFonts w:ascii="Consolas" w:hAnsi="Consolas" w:cs="Consolas"/>
      <w:sz w:val="24"/>
      <w:szCs w:val="24"/>
    </w:rPr>
  </w:style>
  <w:style w:type="character" w:styleId="HTMLTypewriter">
    <w:name w:val="HTML Typewriter"/>
    <w:basedOn w:val="DefaultParagraphFont"/>
    <w:uiPriority w:val="98"/>
    <w:semiHidden/>
    <w:rsid w:val="00FB46E7"/>
    <w:rPr>
      <w:rFonts w:ascii="Consolas" w:hAnsi="Consolas" w:cs="Consolas"/>
      <w:sz w:val="20"/>
      <w:szCs w:val="20"/>
    </w:rPr>
  </w:style>
  <w:style w:type="character" w:styleId="HTMLVariable">
    <w:name w:val="HTML Variable"/>
    <w:basedOn w:val="DefaultParagraphFont"/>
    <w:uiPriority w:val="98"/>
    <w:semiHidden/>
    <w:rsid w:val="00FB46E7"/>
    <w:rPr>
      <w:i/>
      <w:iCs/>
    </w:rPr>
  </w:style>
  <w:style w:type="paragraph" w:styleId="Index1">
    <w:name w:val="index 1"/>
    <w:basedOn w:val="Normal"/>
    <w:next w:val="Normal"/>
    <w:autoRedefine/>
    <w:uiPriority w:val="98"/>
    <w:semiHidden/>
    <w:rsid w:val="00FB46E7"/>
    <w:pPr>
      <w:ind w:left="240" w:hanging="240"/>
    </w:pPr>
  </w:style>
  <w:style w:type="paragraph" w:styleId="Index2">
    <w:name w:val="index 2"/>
    <w:basedOn w:val="Normal"/>
    <w:next w:val="Normal"/>
    <w:autoRedefine/>
    <w:uiPriority w:val="98"/>
    <w:semiHidden/>
    <w:rsid w:val="00FB46E7"/>
    <w:pPr>
      <w:ind w:left="480" w:hanging="240"/>
    </w:pPr>
  </w:style>
  <w:style w:type="paragraph" w:styleId="Index3">
    <w:name w:val="index 3"/>
    <w:basedOn w:val="Normal"/>
    <w:next w:val="Normal"/>
    <w:autoRedefine/>
    <w:uiPriority w:val="98"/>
    <w:semiHidden/>
    <w:rsid w:val="00FB46E7"/>
    <w:pPr>
      <w:ind w:left="720" w:hanging="240"/>
    </w:pPr>
  </w:style>
  <w:style w:type="paragraph" w:styleId="Index4">
    <w:name w:val="index 4"/>
    <w:basedOn w:val="Normal"/>
    <w:next w:val="Normal"/>
    <w:autoRedefine/>
    <w:uiPriority w:val="98"/>
    <w:semiHidden/>
    <w:rsid w:val="00FB46E7"/>
    <w:pPr>
      <w:ind w:left="960" w:hanging="240"/>
    </w:pPr>
  </w:style>
  <w:style w:type="paragraph" w:styleId="Index5">
    <w:name w:val="index 5"/>
    <w:basedOn w:val="Normal"/>
    <w:next w:val="Normal"/>
    <w:autoRedefine/>
    <w:uiPriority w:val="98"/>
    <w:semiHidden/>
    <w:rsid w:val="00FB46E7"/>
    <w:pPr>
      <w:ind w:left="1200" w:hanging="240"/>
    </w:pPr>
  </w:style>
  <w:style w:type="paragraph" w:styleId="Index6">
    <w:name w:val="index 6"/>
    <w:basedOn w:val="Normal"/>
    <w:next w:val="Normal"/>
    <w:autoRedefine/>
    <w:uiPriority w:val="98"/>
    <w:semiHidden/>
    <w:rsid w:val="00FB46E7"/>
    <w:pPr>
      <w:ind w:left="1440" w:hanging="240"/>
    </w:pPr>
  </w:style>
  <w:style w:type="paragraph" w:styleId="Index7">
    <w:name w:val="index 7"/>
    <w:basedOn w:val="Normal"/>
    <w:next w:val="Normal"/>
    <w:autoRedefine/>
    <w:uiPriority w:val="98"/>
    <w:semiHidden/>
    <w:rsid w:val="00FB46E7"/>
    <w:pPr>
      <w:ind w:left="1680" w:hanging="240"/>
    </w:pPr>
  </w:style>
  <w:style w:type="paragraph" w:styleId="Index8">
    <w:name w:val="index 8"/>
    <w:basedOn w:val="Normal"/>
    <w:next w:val="Normal"/>
    <w:autoRedefine/>
    <w:uiPriority w:val="98"/>
    <w:semiHidden/>
    <w:rsid w:val="00FB46E7"/>
    <w:pPr>
      <w:ind w:left="1920" w:hanging="240"/>
    </w:pPr>
  </w:style>
  <w:style w:type="paragraph" w:styleId="Index9">
    <w:name w:val="index 9"/>
    <w:basedOn w:val="Normal"/>
    <w:next w:val="Normal"/>
    <w:autoRedefine/>
    <w:uiPriority w:val="98"/>
    <w:semiHidden/>
    <w:rsid w:val="00FB46E7"/>
    <w:pPr>
      <w:ind w:left="2160" w:hanging="240"/>
    </w:pPr>
  </w:style>
  <w:style w:type="paragraph" w:styleId="IndexHeading">
    <w:name w:val="index heading"/>
    <w:basedOn w:val="Normal"/>
    <w:next w:val="Index1"/>
    <w:uiPriority w:val="98"/>
    <w:semiHidden/>
    <w:rsid w:val="00FB46E7"/>
    <w:rPr>
      <w:rFonts w:asciiTheme="majorHAnsi" w:eastAsiaTheme="majorEastAsia" w:hAnsiTheme="majorHAnsi" w:cstheme="majorBidi"/>
      <w:b/>
      <w:bCs/>
    </w:rPr>
  </w:style>
  <w:style w:type="table" w:styleId="LightGrid">
    <w:name w:val="Light Grid"/>
    <w:basedOn w:val="TableNormal"/>
    <w:uiPriority w:val="62"/>
    <w:semiHidden/>
    <w:rsid w:val="00FB46E7"/>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FB46E7"/>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FB46E7"/>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FB46E7"/>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FB46E7"/>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FB46E7"/>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FB46E7"/>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FB46E7"/>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FB46E7"/>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FB46E7"/>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FB46E7"/>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FB46E7"/>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FB46E7"/>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FB46E7"/>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FB46E7"/>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FB46E7"/>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FB46E7"/>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FB46E7"/>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FB46E7"/>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FB46E7"/>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FB46E7"/>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FB46E7"/>
  </w:style>
  <w:style w:type="paragraph" w:styleId="List">
    <w:name w:val="List"/>
    <w:basedOn w:val="Normal"/>
    <w:uiPriority w:val="98"/>
    <w:semiHidden/>
    <w:rsid w:val="00FB46E7"/>
    <w:pPr>
      <w:ind w:left="283" w:hanging="283"/>
      <w:contextualSpacing/>
    </w:pPr>
  </w:style>
  <w:style w:type="paragraph" w:styleId="List2">
    <w:name w:val="List 2"/>
    <w:basedOn w:val="Normal"/>
    <w:uiPriority w:val="98"/>
    <w:semiHidden/>
    <w:rsid w:val="00FB46E7"/>
    <w:pPr>
      <w:ind w:left="566" w:hanging="283"/>
      <w:contextualSpacing/>
    </w:pPr>
  </w:style>
  <w:style w:type="paragraph" w:styleId="List3">
    <w:name w:val="List 3"/>
    <w:basedOn w:val="Normal"/>
    <w:uiPriority w:val="98"/>
    <w:semiHidden/>
    <w:rsid w:val="00FB46E7"/>
    <w:pPr>
      <w:ind w:left="849" w:hanging="283"/>
      <w:contextualSpacing/>
    </w:pPr>
  </w:style>
  <w:style w:type="paragraph" w:styleId="List4">
    <w:name w:val="List 4"/>
    <w:basedOn w:val="Normal"/>
    <w:uiPriority w:val="98"/>
    <w:semiHidden/>
    <w:rsid w:val="00FB46E7"/>
    <w:pPr>
      <w:ind w:left="1132" w:hanging="283"/>
      <w:contextualSpacing/>
    </w:pPr>
  </w:style>
  <w:style w:type="paragraph" w:styleId="List5">
    <w:name w:val="List 5"/>
    <w:basedOn w:val="Normal"/>
    <w:uiPriority w:val="98"/>
    <w:semiHidden/>
    <w:rsid w:val="00FB46E7"/>
    <w:pPr>
      <w:ind w:left="1415" w:hanging="283"/>
      <w:contextualSpacing/>
    </w:pPr>
  </w:style>
  <w:style w:type="paragraph" w:styleId="ListBullet">
    <w:name w:val="List Bullet"/>
    <w:basedOn w:val="Normal"/>
    <w:uiPriority w:val="98"/>
    <w:semiHidden/>
    <w:rsid w:val="00FB46E7"/>
    <w:pPr>
      <w:numPr>
        <w:numId w:val="8"/>
      </w:numPr>
    </w:pPr>
  </w:style>
  <w:style w:type="paragraph" w:styleId="ListBullet3">
    <w:name w:val="List Bullet 3"/>
    <w:basedOn w:val="Normal"/>
    <w:uiPriority w:val="98"/>
    <w:semiHidden/>
    <w:rsid w:val="00FB46E7"/>
    <w:pPr>
      <w:numPr>
        <w:numId w:val="10"/>
      </w:numPr>
      <w:contextualSpacing/>
    </w:pPr>
  </w:style>
  <w:style w:type="paragraph" w:styleId="ListBullet4">
    <w:name w:val="List Bullet 4"/>
    <w:basedOn w:val="Normal"/>
    <w:uiPriority w:val="98"/>
    <w:semiHidden/>
    <w:rsid w:val="00FB46E7"/>
    <w:pPr>
      <w:numPr>
        <w:numId w:val="11"/>
      </w:numPr>
      <w:contextualSpacing/>
    </w:pPr>
  </w:style>
  <w:style w:type="paragraph" w:styleId="ListBullet5">
    <w:name w:val="List Bullet 5"/>
    <w:basedOn w:val="Normal"/>
    <w:uiPriority w:val="98"/>
    <w:semiHidden/>
    <w:rsid w:val="00FB46E7"/>
    <w:pPr>
      <w:numPr>
        <w:numId w:val="12"/>
      </w:numPr>
      <w:contextualSpacing/>
    </w:pPr>
  </w:style>
  <w:style w:type="paragraph" w:styleId="ListContinue">
    <w:name w:val="List Continue"/>
    <w:basedOn w:val="Normal"/>
    <w:uiPriority w:val="98"/>
    <w:semiHidden/>
    <w:rsid w:val="00FB46E7"/>
    <w:pPr>
      <w:spacing w:after="120"/>
      <w:ind w:left="283"/>
      <w:contextualSpacing/>
    </w:pPr>
  </w:style>
  <w:style w:type="paragraph" w:styleId="ListContinue2">
    <w:name w:val="List Continue 2"/>
    <w:basedOn w:val="Normal"/>
    <w:uiPriority w:val="98"/>
    <w:semiHidden/>
    <w:rsid w:val="00FB46E7"/>
    <w:pPr>
      <w:spacing w:after="120"/>
      <w:ind w:left="566"/>
      <w:contextualSpacing/>
    </w:pPr>
  </w:style>
  <w:style w:type="paragraph" w:styleId="ListContinue3">
    <w:name w:val="List Continue 3"/>
    <w:basedOn w:val="Normal"/>
    <w:uiPriority w:val="98"/>
    <w:semiHidden/>
    <w:rsid w:val="00FB46E7"/>
    <w:pPr>
      <w:spacing w:after="120"/>
      <w:ind w:left="849"/>
      <w:contextualSpacing/>
    </w:pPr>
  </w:style>
  <w:style w:type="paragraph" w:styleId="ListContinue4">
    <w:name w:val="List Continue 4"/>
    <w:basedOn w:val="Normal"/>
    <w:uiPriority w:val="98"/>
    <w:semiHidden/>
    <w:rsid w:val="00FB46E7"/>
    <w:pPr>
      <w:spacing w:after="120"/>
      <w:ind w:left="1132"/>
      <w:contextualSpacing/>
    </w:pPr>
  </w:style>
  <w:style w:type="paragraph" w:styleId="ListContinue5">
    <w:name w:val="List Continue 5"/>
    <w:basedOn w:val="Normal"/>
    <w:uiPriority w:val="98"/>
    <w:semiHidden/>
    <w:rsid w:val="00FB46E7"/>
    <w:pPr>
      <w:spacing w:after="120"/>
      <w:ind w:left="1415"/>
      <w:contextualSpacing/>
    </w:pPr>
  </w:style>
  <w:style w:type="paragraph" w:styleId="ListNumber">
    <w:name w:val="List Number"/>
    <w:basedOn w:val="Normal"/>
    <w:uiPriority w:val="98"/>
    <w:semiHidden/>
    <w:rsid w:val="00FB46E7"/>
    <w:pPr>
      <w:numPr>
        <w:numId w:val="13"/>
      </w:numPr>
      <w:contextualSpacing/>
    </w:pPr>
  </w:style>
  <w:style w:type="paragraph" w:styleId="ListNumber2">
    <w:name w:val="List Number 2"/>
    <w:basedOn w:val="Normal"/>
    <w:uiPriority w:val="98"/>
    <w:semiHidden/>
    <w:rsid w:val="00FB46E7"/>
    <w:pPr>
      <w:numPr>
        <w:numId w:val="14"/>
      </w:numPr>
      <w:contextualSpacing/>
    </w:pPr>
  </w:style>
  <w:style w:type="paragraph" w:styleId="ListNumber3">
    <w:name w:val="List Number 3"/>
    <w:basedOn w:val="Normal"/>
    <w:uiPriority w:val="98"/>
    <w:semiHidden/>
    <w:rsid w:val="00FB46E7"/>
    <w:pPr>
      <w:numPr>
        <w:numId w:val="15"/>
      </w:numPr>
      <w:contextualSpacing/>
    </w:pPr>
  </w:style>
  <w:style w:type="paragraph" w:styleId="ListNumber4">
    <w:name w:val="List Number 4"/>
    <w:basedOn w:val="Normal"/>
    <w:uiPriority w:val="98"/>
    <w:semiHidden/>
    <w:rsid w:val="00FB46E7"/>
    <w:pPr>
      <w:numPr>
        <w:numId w:val="16"/>
      </w:numPr>
      <w:contextualSpacing/>
    </w:pPr>
  </w:style>
  <w:style w:type="paragraph" w:styleId="ListNumber5">
    <w:name w:val="List Number 5"/>
    <w:basedOn w:val="Normal"/>
    <w:uiPriority w:val="98"/>
    <w:semiHidden/>
    <w:rsid w:val="00FB46E7"/>
    <w:pPr>
      <w:numPr>
        <w:numId w:val="17"/>
      </w:numPr>
      <w:contextualSpacing/>
    </w:pPr>
  </w:style>
  <w:style w:type="paragraph" w:styleId="MacroText">
    <w:name w:val="macro"/>
    <w:link w:val="MacroTextChar"/>
    <w:uiPriority w:val="98"/>
    <w:semiHidden/>
    <w:rsid w:val="00FB46E7"/>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FB46E7"/>
    <w:rPr>
      <w:rFonts w:ascii="Consolas" w:eastAsiaTheme="minorEastAsia" w:hAnsi="Consolas" w:cs="Consolas"/>
      <w:sz w:val="20"/>
      <w:szCs w:val="20"/>
    </w:rPr>
  </w:style>
  <w:style w:type="table" w:styleId="MediumGrid1">
    <w:name w:val="Medium Grid 1"/>
    <w:basedOn w:val="TableNormal"/>
    <w:uiPriority w:val="67"/>
    <w:semiHidden/>
    <w:rsid w:val="00FB46E7"/>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FB46E7"/>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FB46E7"/>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FB46E7"/>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FB46E7"/>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FB46E7"/>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FB46E7"/>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FB46E7"/>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FB46E7"/>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FB46E7"/>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FB46E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FB46E7"/>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FB46E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FB46E7"/>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FB46E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FB46E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FB46E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FB46E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FB46E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FB46E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FB46E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FB46E7"/>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FB46E7"/>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FB46E7"/>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FB46E7"/>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FB46E7"/>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FB46E7"/>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FB46E7"/>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FB46E7"/>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FB46E7"/>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FB46E7"/>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FB46E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FB46E7"/>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FB46E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FB46E7"/>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FB46E7"/>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FB46E7"/>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FB46E7"/>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FB46E7"/>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FB46E7"/>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FB46E7"/>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FB46E7"/>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FB46E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FB46E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FB46E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FB46E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FB46E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FB46E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FB46E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FB46E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FB46E7"/>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FB46E7"/>
    <w:rPr>
      <w:rFonts w:ascii="Times New Roman" w:hAnsi="Times New Roman" w:cs="Times New Roman"/>
    </w:rPr>
  </w:style>
  <w:style w:type="paragraph" w:styleId="NormalIndent">
    <w:name w:val="Normal Indent"/>
    <w:basedOn w:val="Normal"/>
    <w:uiPriority w:val="98"/>
    <w:semiHidden/>
    <w:rsid w:val="00FB46E7"/>
    <w:pPr>
      <w:ind w:left="720"/>
    </w:pPr>
  </w:style>
  <w:style w:type="paragraph" w:customStyle="1" w:styleId="ECHRBullet2">
    <w:name w:val="ECHR_Bullet_2"/>
    <w:aliases w:val="_Bul_2"/>
    <w:basedOn w:val="ECHRBullet1"/>
    <w:uiPriority w:val="23"/>
    <w:semiHidden/>
    <w:rsid w:val="00FB46E7"/>
    <w:pPr>
      <w:numPr>
        <w:ilvl w:val="1"/>
      </w:numPr>
    </w:pPr>
  </w:style>
  <w:style w:type="paragraph" w:customStyle="1" w:styleId="ECHRBullet3">
    <w:name w:val="ECHR_Bullet_3"/>
    <w:aliases w:val="_Bul_3"/>
    <w:basedOn w:val="ECHRBullet2"/>
    <w:uiPriority w:val="23"/>
    <w:semiHidden/>
    <w:rsid w:val="00FB46E7"/>
    <w:pPr>
      <w:numPr>
        <w:ilvl w:val="2"/>
      </w:numPr>
    </w:pPr>
  </w:style>
  <w:style w:type="character" w:styleId="PlaceholderText">
    <w:name w:val="Placeholder Text"/>
    <w:basedOn w:val="DefaultParagraphFont"/>
    <w:uiPriority w:val="98"/>
    <w:semiHidden/>
    <w:rsid w:val="00FB46E7"/>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FB46E7"/>
    <w:rPr>
      <w:rFonts w:ascii="Consolas" w:hAnsi="Consolas" w:cs="Consolas"/>
      <w:sz w:val="21"/>
      <w:szCs w:val="21"/>
    </w:rPr>
  </w:style>
  <w:style w:type="character" w:customStyle="1" w:styleId="PlainTextChar">
    <w:name w:val="Plain Text Char"/>
    <w:basedOn w:val="DefaultParagraphFont"/>
    <w:link w:val="PlainText"/>
    <w:uiPriority w:val="98"/>
    <w:semiHidden/>
    <w:rsid w:val="00FB46E7"/>
    <w:rPr>
      <w:rFonts w:ascii="Consolas" w:hAnsi="Consolas" w:cs="Consolas"/>
      <w:sz w:val="21"/>
      <w:szCs w:val="21"/>
      <w:lang w:val="ro-RO"/>
    </w:rPr>
  </w:style>
  <w:style w:type="paragraph" w:styleId="Salutation">
    <w:name w:val="Salutation"/>
    <w:basedOn w:val="Normal"/>
    <w:next w:val="Normal"/>
    <w:link w:val="SalutationChar"/>
    <w:uiPriority w:val="98"/>
    <w:semiHidden/>
    <w:rsid w:val="00FB46E7"/>
  </w:style>
  <w:style w:type="character" w:customStyle="1" w:styleId="SalutationChar">
    <w:name w:val="Salutation Char"/>
    <w:basedOn w:val="DefaultParagraphFont"/>
    <w:link w:val="Salutation"/>
    <w:uiPriority w:val="98"/>
    <w:semiHidden/>
    <w:rsid w:val="00FB46E7"/>
    <w:rPr>
      <w:sz w:val="24"/>
      <w:szCs w:val="24"/>
      <w:lang w:val="ro-RO"/>
    </w:rPr>
  </w:style>
  <w:style w:type="paragraph" w:styleId="Signature">
    <w:name w:val="Signature"/>
    <w:basedOn w:val="Normal"/>
    <w:link w:val="SignatureChar"/>
    <w:uiPriority w:val="98"/>
    <w:semiHidden/>
    <w:rsid w:val="00FB46E7"/>
    <w:pPr>
      <w:ind w:left="4252"/>
    </w:pPr>
  </w:style>
  <w:style w:type="character" w:customStyle="1" w:styleId="SignatureChar">
    <w:name w:val="Signature Char"/>
    <w:basedOn w:val="DefaultParagraphFont"/>
    <w:link w:val="Signature"/>
    <w:uiPriority w:val="98"/>
    <w:semiHidden/>
    <w:rsid w:val="00FB46E7"/>
    <w:rPr>
      <w:sz w:val="24"/>
      <w:szCs w:val="24"/>
      <w:lang w:val="ro-RO"/>
    </w:rPr>
  </w:style>
  <w:style w:type="table" w:styleId="Table3Deffects1">
    <w:name w:val="Table 3D effects 1"/>
    <w:basedOn w:val="TableNormal"/>
    <w:uiPriority w:val="99"/>
    <w:semiHidden/>
    <w:unhideWhenUsed/>
    <w:rsid w:val="00FB46E7"/>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B46E7"/>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B46E7"/>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B46E7"/>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B46E7"/>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B46E7"/>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B46E7"/>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B46E7"/>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B46E7"/>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B46E7"/>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B46E7"/>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B46E7"/>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B46E7"/>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B46E7"/>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B46E7"/>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B46E7"/>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B46E7"/>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B46E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B46E7"/>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B46E7"/>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B46E7"/>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B46E7"/>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B46E7"/>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B46E7"/>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B46E7"/>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B46E7"/>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B46E7"/>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B46E7"/>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B46E7"/>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B46E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B46E7"/>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B46E7"/>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B46E7"/>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FB46E7"/>
    <w:pPr>
      <w:ind w:left="240" w:hanging="240"/>
    </w:pPr>
  </w:style>
  <w:style w:type="paragraph" w:styleId="TableofFigures">
    <w:name w:val="table of figures"/>
    <w:basedOn w:val="Normal"/>
    <w:next w:val="Normal"/>
    <w:uiPriority w:val="98"/>
    <w:semiHidden/>
    <w:rsid w:val="00FB46E7"/>
  </w:style>
  <w:style w:type="table" w:styleId="TableProfessional">
    <w:name w:val="Table Professional"/>
    <w:basedOn w:val="TableNormal"/>
    <w:uiPriority w:val="99"/>
    <w:semiHidden/>
    <w:unhideWhenUsed/>
    <w:rsid w:val="00FB46E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B46E7"/>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B46E7"/>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B46E7"/>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B46E7"/>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B46E7"/>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B46E7"/>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B46E7"/>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B46E7"/>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B46E7"/>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39"/>
    <w:rsid w:val="00FB46E7"/>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39"/>
    <w:rsid w:val="00FB46E7"/>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39"/>
    <w:rsid w:val="00FB46E7"/>
    <w:pPr>
      <w:spacing w:after="100"/>
      <w:ind w:left="1680"/>
    </w:pPr>
  </w:style>
  <w:style w:type="paragraph" w:styleId="TOC9">
    <w:name w:val="toc 9"/>
    <w:basedOn w:val="Normal"/>
    <w:next w:val="Normal"/>
    <w:autoRedefine/>
    <w:uiPriority w:val="39"/>
    <w:rsid w:val="00FB46E7"/>
    <w:pPr>
      <w:spacing w:after="100"/>
      <w:ind w:left="1920"/>
    </w:pPr>
  </w:style>
  <w:style w:type="paragraph" w:customStyle="1" w:styleId="ECHRFooter">
    <w:name w:val="ECHR_Footer"/>
    <w:aliases w:val="Footer_ECHR"/>
    <w:basedOn w:val="Footer0"/>
    <w:uiPriority w:val="57"/>
    <w:semiHidden/>
    <w:rsid w:val="00975039"/>
    <w:rPr>
      <w:sz w:val="8"/>
    </w:rPr>
  </w:style>
  <w:style w:type="paragraph" w:customStyle="1" w:styleId="ECHRHeaderRefIt">
    <w:name w:val="ECHR_Header_Ref_It"/>
    <w:aliases w:val="_Ref_Ital"/>
    <w:basedOn w:val="Normal"/>
    <w:next w:val="ECHRHeaderDate"/>
    <w:uiPriority w:val="43"/>
    <w:qFormat/>
    <w:rsid w:val="00FB46E7"/>
    <w:pPr>
      <w:jc w:val="right"/>
    </w:pPr>
    <w:rPr>
      <w:i/>
      <w:sz w:val="20"/>
    </w:rPr>
  </w:style>
  <w:style w:type="paragraph" w:customStyle="1" w:styleId="ECHRBullet4">
    <w:name w:val="ECHR_Bullet_4"/>
    <w:aliases w:val="_Bul_4"/>
    <w:basedOn w:val="ECHRBullet3"/>
    <w:uiPriority w:val="23"/>
    <w:semiHidden/>
    <w:rsid w:val="00FB46E7"/>
    <w:pPr>
      <w:numPr>
        <w:ilvl w:val="3"/>
      </w:numPr>
    </w:pPr>
  </w:style>
  <w:style w:type="paragraph" w:customStyle="1" w:styleId="ECHRConfidential">
    <w:name w:val="ECHR_Confidential"/>
    <w:aliases w:val="_Confidential"/>
    <w:basedOn w:val="Normal"/>
    <w:next w:val="Normal"/>
    <w:uiPriority w:val="42"/>
    <w:semiHidden/>
    <w:qFormat/>
    <w:rsid w:val="00FB46E7"/>
    <w:pPr>
      <w:jc w:val="right"/>
    </w:pPr>
    <w:rPr>
      <w:color w:val="C00000"/>
      <w:sz w:val="20"/>
    </w:rPr>
  </w:style>
  <w:style w:type="paragraph" w:customStyle="1" w:styleId="ECHRDecisionBody">
    <w:name w:val="ECHR_Decision_Body"/>
    <w:aliases w:val="_Decision_Body"/>
    <w:basedOn w:val="NormalJustified"/>
    <w:uiPriority w:val="54"/>
    <w:semiHidden/>
    <w:rsid w:val="00FB46E7"/>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FB46E7"/>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FB46E7"/>
    <w:rPr>
      <w:rFonts w:ascii="Arial" w:hAnsi="Arial"/>
      <w:i/>
      <w:color w:val="002856"/>
      <w:sz w:val="32"/>
      <w:szCs w:val="24"/>
      <w:lang w:val="ro-RO"/>
    </w:rPr>
  </w:style>
  <w:style w:type="paragraph" w:customStyle="1" w:styleId="DummyStyle">
    <w:name w:val="Dummy_Style"/>
    <w:aliases w:val="_Dummy"/>
    <w:basedOn w:val="Normal"/>
    <w:semiHidden/>
    <w:qFormat/>
    <w:rsid w:val="00FB46E7"/>
    <w:rPr>
      <w:color w:val="00B050"/>
      <w:sz w:val="22"/>
    </w:rPr>
  </w:style>
  <w:style w:type="paragraph" w:customStyle="1" w:styleId="ECHRFooterLineLandscape">
    <w:name w:val="ECHR_Footer_Line_Landscape"/>
    <w:aliases w:val="_Footer_Line_Landscape"/>
    <w:basedOn w:val="Normal"/>
    <w:uiPriority w:val="29"/>
    <w:semiHidden/>
    <w:rsid w:val="00FB46E7"/>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FB46E7"/>
    <w:pPr>
      <w:ind w:left="567" w:hanging="567"/>
    </w:pPr>
  </w:style>
  <w:style w:type="paragraph" w:customStyle="1" w:styleId="ECHRHeading9">
    <w:name w:val="ECHR_Heading_9"/>
    <w:aliases w:val="_Head_9"/>
    <w:basedOn w:val="Heading9"/>
    <w:uiPriority w:val="17"/>
    <w:semiHidden/>
    <w:rsid w:val="00FB46E7"/>
    <w:pPr>
      <w:keepNext/>
      <w:keepLines/>
      <w:numPr>
        <w:ilvl w:val="8"/>
        <w:numId w:val="40"/>
      </w:numPr>
      <w:tabs>
        <w:tab w:val="num" w:pos="360"/>
      </w:tabs>
      <w:spacing w:before="100" w:beforeAutospacing="1"/>
      <w:ind w:left="0" w:firstLine="0"/>
      <w:contextualSpacing/>
      <w:jc w:val="both"/>
    </w:pPr>
    <w:rPr>
      <w:i w:val="0"/>
      <w:sz w:val="18"/>
    </w:rPr>
  </w:style>
  <w:style w:type="paragraph" w:customStyle="1" w:styleId="ECHRHeaderLandscape">
    <w:name w:val="ECHR_Header_Landscape"/>
    <w:aliases w:val="_Header_Landscape"/>
    <w:basedOn w:val="JuHeader"/>
    <w:uiPriority w:val="29"/>
    <w:rsid w:val="00FB46E7"/>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FB46E7"/>
    <w:pPr>
      <w:spacing w:before="120" w:after="120"/>
      <w:ind w:left="567"/>
    </w:pPr>
  </w:style>
  <w:style w:type="paragraph" w:customStyle="1" w:styleId="ECHRLine">
    <w:name w:val="ECHR_Line"/>
    <w:aliases w:val="_Line"/>
    <w:basedOn w:val="NormalJustified"/>
    <w:next w:val="Normal"/>
    <w:uiPriority w:val="46"/>
    <w:semiHidden/>
    <w:rsid w:val="00FB46E7"/>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FB46E7"/>
    <w:pPr>
      <w:numPr>
        <w:numId w:val="0"/>
      </w:numPr>
      <w:ind w:left="284"/>
    </w:pPr>
  </w:style>
  <w:style w:type="paragraph" w:customStyle="1" w:styleId="ECHRNumberedList1">
    <w:name w:val="ECHR_Numbered_List_1"/>
    <w:aliases w:val="_Num_1"/>
    <w:basedOn w:val="NormalJustified"/>
    <w:uiPriority w:val="23"/>
    <w:semiHidden/>
    <w:qFormat/>
    <w:rsid w:val="00FB46E7"/>
    <w:pPr>
      <w:numPr>
        <w:numId w:val="7"/>
      </w:numPr>
      <w:spacing w:before="60" w:after="60"/>
    </w:pPr>
  </w:style>
  <w:style w:type="paragraph" w:customStyle="1" w:styleId="ECHRNumberedList2">
    <w:name w:val="ECHR_Numbered_List_2"/>
    <w:aliases w:val="_Num_2"/>
    <w:basedOn w:val="ECHRNumberedList1"/>
    <w:uiPriority w:val="23"/>
    <w:semiHidden/>
    <w:rsid w:val="00FB46E7"/>
    <w:pPr>
      <w:numPr>
        <w:ilvl w:val="1"/>
      </w:numPr>
    </w:pPr>
  </w:style>
  <w:style w:type="paragraph" w:customStyle="1" w:styleId="ECHRNumberedList3">
    <w:name w:val="ECHR_Numbered_List_3"/>
    <w:aliases w:val="_Num_3"/>
    <w:basedOn w:val="ECHRNumberedList2"/>
    <w:uiPriority w:val="23"/>
    <w:semiHidden/>
    <w:rsid w:val="00FB46E7"/>
    <w:pPr>
      <w:numPr>
        <w:ilvl w:val="2"/>
      </w:numPr>
    </w:pPr>
  </w:style>
  <w:style w:type="paragraph" w:customStyle="1" w:styleId="ECHRPlaceholder">
    <w:name w:val="ECHR_Placeholder"/>
    <w:aliases w:val="_Placeholder"/>
    <w:basedOn w:val="JuSigned"/>
    <w:uiPriority w:val="31"/>
    <w:rsid w:val="00FB46E7"/>
    <w:rPr>
      <w:color w:val="FFFFFF"/>
    </w:rPr>
  </w:style>
  <w:style w:type="character" w:customStyle="1" w:styleId="ECHRRed">
    <w:name w:val="ECHR_Red"/>
    <w:aliases w:val="_Red"/>
    <w:basedOn w:val="DefaultParagraphFont"/>
    <w:uiPriority w:val="15"/>
    <w:semiHidden/>
    <w:qFormat/>
    <w:rsid w:val="00FB46E7"/>
    <w:rPr>
      <w:color w:val="C00000" w:themeColor="accent2"/>
    </w:rPr>
  </w:style>
  <w:style w:type="paragraph" w:customStyle="1" w:styleId="ECHRHeaderDate">
    <w:name w:val="ECHR_Header_Date"/>
    <w:aliases w:val="_Ref_Date"/>
    <w:basedOn w:val="Normal"/>
    <w:uiPriority w:val="44"/>
    <w:semiHidden/>
    <w:qFormat/>
    <w:rsid w:val="00FB46E7"/>
    <w:pPr>
      <w:jc w:val="right"/>
    </w:pPr>
    <w:rPr>
      <w:sz w:val="20"/>
    </w:rPr>
  </w:style>
  <w:style w:type="paragraph" w:customStyle="1" w:styleId="ECHRSpacer">
    <w:name w:val="ECHR_Spacer"/>
    <w:aliases w:val="_Spacer"/>
    <w:basedOn w:val="Normal"/>
    <w:uiPriority w:val="45"/>
    <w:semiHidden/>
    <w:rsid w:val="00FB46E7"/>
    <w:rPr>
      <w:sz w:val="4"/>
    </w:rPr>
  </w:style>
  <w:style w:type="paragraph" w:customStyle="1" w:styleId="ECHRTitleCentre1">
    <w:name w:val="ECHR_Title_Centre_1"/>
    <w:aliases w:val="_Title_C_1"/>
    <w:basedOn w:val="Normal"/>
    <w:next w:val="Normal"/>
    <w:uiPriority w:val="26"/>
    <w:semiHidden/>
    <w:qFormat/>
    <w:rsid w:val="00FB46E7"/>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FB46E7"/>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FB46E7"/>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FB46E7"/>
    <w:pPr>
      <w:outlineLvl w:val="0"/>
    </w:pPr>
  </w:style>
  <w:style w:type="paragraph" w:customStyle="1" w:styleId="ECHRTitle1">
    <w:name w:val="ECHR_Title_1"/>
    <w:aliases w:val="_Title_L_1"/>
    <w:basedOn w:val="Normal"/>
    <w:next w:val="Normal"/>
    <w:uiPriority w:val="28"/>
    <w:semiHidden/>
    <w:qFormat/>
    <w:rsid w:val="00FB46E7"/>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FB46E7"/>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FB46E7"/>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FB46E7"/>
    <w:pPr>
      <w:outlineLvl w:val="0"/>
    </w:pPr>
  </w:style>
  <w:style w:type="table" w:customStyle="1" w:styleId="ECHRTable2">
    <w:name w:val="ECHR_Table_2"/>
    <w:basedOn w:val="TableNormal"/>
    <w:uiPriority w:val="99"/>
    <w:rsid w:val="00FB46E7"/>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FB46E7"/>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FB46E7"/>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paragraph" w:styleId="NoteHeading">
    <w:name w:val="Note Heading"/>
    <w:basedOn w:val="Normal"/>
    <w:next w:val="Normal"/>
    <w:link w:val="NoteHeadingChar"/>
    <w:uiPriority w:val="98"/>
    <w:semiHidden/>
    <w:rsid w:val="00FB46E7"/>
  </w:style>
  <w:style w:type="character" w:customStyle="1" w:styleId="NoteHeadingChar">
    <w:name w:val="Note Heading Char"/>
    <w:basedOn w:val="DefaultParagraphFont"/>
    <w:link w:val="NoteHeading"/>
    <w:uiPriority w:val="98"/>
    <w:semiHidden/>
    <w:rsid w:val="00FB46E7"/>
    <w:rPr>
      <w:sz w:val="24"/>
      <w:szCs w:val="24"/>
      <w:lang w:val="ro-RO"/>
    </w:rPr>
  </w:style>
  <w:style w:type="table" w:styleId="GridTable1Light">
    <w:name w:val="Grid Table 1 Light"/>
    <w:basedOn w:val="TableNormal"/>
    <w:uiPriority w:val="46"/>
    <w:semiHidden/>
    <w:rsid w:val="00FB46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B46E7"/>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B46E7"/>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B46E7"/>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B46E7"/>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B46E7"/>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B46E7"/>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B46E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B46E7"/>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FB46E7"/>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FB46E7"/>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FB46E7"/>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FB46E7"/>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FB46E7"/>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FB46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B46E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FB46E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FB46E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FB46E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FB46E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FB46E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FB46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B46E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FB46E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FB46E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FB46E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FB46E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FB46E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FB46E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B46E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FB46E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FB46E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FB46E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FB46E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FB46E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FB46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B46E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FB46E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FB46E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FB46E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FB46E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FB46E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FB46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B46E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FB46E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FB46E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FB46E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FB46E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FB46E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FB46E7"/>
    <w:rPr>
      <w:color w:val="2B579A"/>
      <w:shd w:val="clear" w:color="auto" w:fill="E1DFDD"/>
    </w:rPr>
  </w:style>
  <w:style w:type="table" w:styleId="ListTable1Light">
    <w:name w:val="List Table 1 Light"/>
    <w:basedOn w:val="TableNormal"/>
    <w:uiPriority w:val="46"/>
    <w:semiHidden/>
    <w:rsid w:val="00FB46E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B46E7"/>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FB46E7"/>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FB46E7"/>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FB46E7"/>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FB46E7"/>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FB46E7"/>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FB46E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B46E7"/>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FB46E7"/>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FB46E7"/>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FB46E7"/>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FB46E7"/>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FB46E7"/>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FB46E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B46E7"/>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FB46E7"/>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FB46E7"/>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FB46E7"/>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FB46E7"/>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FB46E7"/>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FB46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B46E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FB46E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FB46E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FB46E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FB46E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FB46E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FB46E7"/>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B46E7"/>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B46E7"/>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B46E7"/>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B46E7"/>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B46E7"/>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B46E7"/>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B46E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B46E7"/>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FB46E7"/>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FB46E7"/>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FB46E7"/>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FB46E7"/>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FB46E7"/>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FB46E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B46E7"/>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B46E7"/>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B46E7"/>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B46E7"/>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B46E7"/>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B46E7"/>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FB46E7"/>
    <w:rPr>
      <w:color w:val="2B579A"/>
      <w:shd w:val="clear" w:color="auto" w:fill="E1DFDD"/>
    </w:rPr>
  </w:style>
  <w:style w:type="table" w:styleId="PlainTable1">
    <w:name w:val="Plain Table 1"/>
    <w:basedOn w:val="TableNormal"/>
    <w:uiPriority w:val="41"/>
    <w:semiHidden/>
    <w:rsid w:val="00FB46E7"/>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FB46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B46E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B46E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FB46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FB46E7"/>
    <w:rPr>
      <w:u w:val="dotted"/>
    </w:rPr>
  </w:style>
  <w:style w:type="character" w:customStyle="1" w:styleId="SmartLink">
    <w:name w:val="Smart Link"/>
    <w:basedOn w:val="DefaultParagraphFont"/>
    <w:uiPriority w:val="99"/>
    <w:semiHidden/>
    <w:unhideWhenUsed/>
    <w:rsid w:val="00FB46E7"/>
    <w:rPr>
      <w:color w:val="0000FF"/>
      <w:u w:val="single"/>
      <w:shd w:val="clear" w:color="auto" w:fill="F3F2F1"/>
    </w:rPr>
  </w:style>
  <w:style w:type="table" w:styleId="TableGridLight">
    <w:name w:val="Grid Table Light"/>
    <w:basedOn w:val="TableNormal"/>
    <w:uiPriority w:val="40"/>
    <w:semiHidden/>
    <w:rsid w:val="00FB46E7"/>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
    <w:name w:val="Unresolved Mention"/>
    <w:basedOn w:val="DefaultParagraphFont"/>
    <w:uiPriority w:val="99"/>
    <w:semiHidden/>
    <w:unhideWhenUsed/>
    <w:rsid w:val="00FB46E7"/>
    <w:rPr>
      <w:color w:val="605E5C"/>
      <w:shd w:val="clear" w:color="auto" w:fill="E1DFDD"/>
    </w:rPr>
  </w:style>
  <w:style w:type="character" w:customStyle="1" w:styleId="JuNames0">
    <w:name w:val="Ju_Names"/>
    <w:rsid w:val="00F47ACE"/>
    <w:rPr>
      <w:rFonts w:ascii="Times New Roman" w:hAnsi="Times New Roman" w:cs="Times New Roman"/>
      <w:smallCaps/>
    </w:rPr>
  </w:style>
  <w:style w:type="character" w:customStyle="1" w:styleId="JuParaChar">
    <w:name w:val="Ju_Para Char"/>
    <w:aliases w:val="_Para Char"/>
    <w:link w:val="JuPara"/>
    <w:uiPriority w:val="4"/>
    <w:rsid w:val="00F47ACE"/>
    <w:rPr>
      <w:sz w:val="24"/>
      <w:szCs w:val="24"/>
      <w:lang w:val="ro-RO"/>
    </w:rPr>
  </w:style>
  <w:style w:type="paragraph" w:styleId="Revision">
    <w:name w:val="Revision"/>
    <w:hidden/>
    <w:uiPriority w:val="99"/>
    <w:semiHidden/>
    <w:rsid w:val="00F47ACE"/>
    <w:rPr>
      <w:sz w:val="24"/>
      <w:szCs w:val="24"/>
    </w:rPr>
  </w:style>
  <w:style w:type="character" w:customStyle="1" w:styleId="Hyperlink1">
    <w:name w:val="Hyperlink_1"/>
    <w:uiPriority w:val="99"/>
    <w:rsid w:val="00F47ACE"/>
    <w:rPr>
      <w:color w:val="0072BC" w:themeColor="hyperlink"/>
      <w:sz w:val="24"/>
      <w:szCs w:val="24"/>
      <w:u w:val="single"/>
      <w:lang w:val="ro-RO"/>
    </w:rPr>
  </w:style>
  <w:style w:type="paragraph" w:customStyle="1" w:styleId="NormalVert">
    <w:name w:val="NormalVert"/>
    <w:basedOn w:val="Normal"/>
    <w:link w:val="NormalVertChar"/>
    <w:qFormat/>
    <w:rsid w:val="00180C2E"/>
    <w:pPr>
      <w:shd w:val="clear" w:color="auto" w:fill="CCFFCC"/>
      <w:jc w:val="both"/>
    </w:pPr>
    <w:rPr>
      <w:rFonts w:ascii="Calibri" w:hAnsi="Calibri" w:cs="Calibri"/>
      <w:bCs/>
      <w:sz w:val="22"/>
      <w:szCs w:val="22"/>
    </w:rPr>
  </w:style>
  <w:style w:type="character" w:customStyle="1" w:styleId="NormalVertChar">
    <w:name w:val="NormalVert Char"/>
    <w:basedOn w:val="DefaultParagraphFont"/>
    <w:link w:val="NormalVert"/>
    <w:rsid w:val="00180C2E"/>
    <w:rPr>
      <w:rFonts w:ascii="Calibri" w:hAnsi="Calibri" w:cs="Calibri"/>
      <w:bCs/>
      <w:shd w:val="clear" w:color="auto" w:fill="CCFFCC"/>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T e m p l a t e   x m l n s : x s i = " h t t p : / / w w w . w 3 . o r g / 2 0 0 1 / X M L S c h e m a - i n s t a n c e "   x m l n s : x s d = " h t t p : / / w w w . w 3 . o r g / 2 0 0 1 / X M L S c h e m a "   x m l n s = " h t t p : / / e c h r . c o e . i n t / t e m p l a t e / m e t a d a t a " >  
     < C o d e > D 2 . 0 < / C o d e >  
     < T i t l e > D F 2 . 0 b   J U D F   G C   -   P a g e   d e   t i t r e < / T i t l e >  
     < L a n g u a g e s >  
         < s t r i n g > F R E < / s t r i n g >  
     < / L a n g u a g e s >  
     < T h e m e > G C < / T h e m e >  
     < T y p e > D O C < / T y p e >  
     < C a t e g o r y > A R R < / C a t e g o r y >  
     < I s L e g a l T e m p l a t e > t r u e < / I s L e g a l T e m p l a t e >  
     < I n d e x D a t e   x s i : n i l = " t r u e " / >  
     < E d i t D a t e   x s i : n i l = " t r u e " / >  
     < T a g s >  
         < s t r i n g > a r r e t < / s t r i n g >  
         < s t r i n g > A R R < / s t r i n g >  
         < s t r i n g > G C < / s t r i n g >  
     < / T a g s >  
     < C r i t e r i a G r o u p s >  
         < C r i t e r i a G r o u p >  
             < C r i t e r i a S e r i e s >  
                 < C r i t e r i a S e r i e >  
                     < P r o p e r t y > E v e n t s < / P r o p e r t y >  
                     < V a l u e s >  
                         < s t r i n g > A U D I E N C E < / s t r i n g >  
                     < / V a l u e s >  
                 < / C r i t e r i a S e r i e >  
                 < C r i t e r i a S e r i e >  
                     < P r o p e r t y > D e c i s i o n B o d y < / P r o p e r t y >  
                     < V a l u e s >  
                         < s t r i n g > G r a n d   C h a m b e r < / s t r i n g >  
                     < / V a l u e s >  
                 < / C r i t e r i a S e r i e >  
             < / C r i t e r i a S e r i e s >  
         < / C r i t e r i a G r o u p >  
     < / C r i t e r i a G r o u p s >  
 < / T e m p l a t 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E46B2-0FDB-4D00-83FC-8B5DE7726629}">
  <ds:schemaRefs>
    <ds:schemaRef ds:uri="http://www.w3.org/2001/XMLSchema"/>
    <ds:schemaRef ds:uri="http://echr.coe.int/template/metadata"/>
  </ds:schemaRefs>
</ds:datastoreItem>
</file>

<file path=customXml/itemProps2.xml><?xml version="1.0" encoding="utf-8"?>
<ds:datastoreItem xmlns:ds="http://schemas.openxmlformats.org/officeDocument/2006/customXml" ds:itemID="{C15575F0-B899-4A14-9034-093D74668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286</Pages>
  <Words>131187</Words>
  <Characters>760887</Characters>
  <Application>Microsoft Office Word</Application>
  <DocSecurity>0</DocSecurity>
  <Lines>6340</Lines>
  <Paragraphs>1780</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890294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DJF</dc:subject>
  <dc:creator/>
  <cp:lastModifiedBy/>
  <cp:revision>1</cp:revision>
  <dcterms:created xsi:type="dcterms:W3CDTF">2024-05-08T13:18:00Z</dcterms:created>
  <dcterms:modified xsi:type="dcterms:W3CDTF">2025-05-27T18:21:00Z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SecondCaseNumber">
    <vt:lpwstr/>
  </property>
</Properties>
</file>