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09E" w14:textId="72BA9051" w:rsidR="004046E8" w:rsidRPr="00703E9A" w:rsidRDefault="00703E9A" w:rsidP="00703E9A">
      <w:pPr>
        <w:jc w:val="center"/>
        <w:rPr>
          <w:rFonts w:asciiTheme="majorHAnsi" w:hAnsiTheme="majorHAnsi"/>
          <w:sz w:val="28"/>
        </w:rPr>
      </w:pPr>
      <w:r>
        <w:rPr>
          <w:rFonts w:asciiTheme="majorHAnsi" w:hAnsiTheme="majorHAnsi"/>
          <w:sz w:val="28"/>
        </w:rPr>
        <w:t>CURTEA EUROPEANĂ A DREPTURILOR OMULUI</w:t>
      </w:r>
    </w:p>
    <w:p w14:paraId="6F90E34F" w14:textId="77777777" w:rsidR="007A4070" w:rsidRPr="00FE51D7" w:rsidRDefault="007A4070" w:rsidP="00FE51D7"/>
    <w:p w14:paraId="246D4B6E" w14:textId="26C916F3" w:rsidR="007A4070" w:rsidRPr="00FE51D7" w:rsidRDefault="004046E8" w:rsidP="00FE51D7">
      <w:pPr>
        <w:pStyle w:val="DecHTitle"/>
      </w:pPr>
      <w:r>
        <w:t>SECȚIA A PATRA</w:t>
      </w:r>
    </w:p>
    <w:p w14:paraId="0FF38D03" w14:textId="1DC51ADE" w:rsidR="007A4070" w:rsidRPr="00FE51D7" w:rsidRDefault="007A4070" w:rsidP="00FE51D7">
      <w:pPr>
        <w:pStyle w:val="JuTitle"/>
      </w:pPr>
      <w:r>
        <w:t>CAUZA OPREA ȘI ALȚII ÎMPOTRIVA ROMÂNIEI</w:t>
      </w:r>
    </w:p>
    <w:p w14:paraId="6A47B633" w14:textId="3E870D64" w:rsidR="007A4070" w:rsidRPr="00FE51D7" w:rsidRDefault="007A4070" w:rsidP="00FE51D7">
      <w:pPr>
        <w:pStyle w:val="ECHRCoverTitle4"/>
      </w:pPr>
      <w:r>
        <w:t>(cererea nr. 16732/15)</w:t>
      </w:r>
    </w:p>
    <w:p w14:paraId="5C25B684" w14:textId="77777777" w:rsidR="007A4070" w:rsidRPr="00FE51D7" w:rsidRDefault="007A4070" w:rsidP="00FE51D7">
      <w:pPr>
        <w:pStyle w:val="DecHCase"/>
      </w:pPr>
    </w:p>
    <w:p w14:paraId="2DD7C6B0" w14:textId="77777777" w:rsidR="007A4070" w:rsidRPr="00FE51D7" w:rsidRDefault="007A4070" w:rsidP="00FE51D7">
      <w:pPr>
        <w:pStyle w:val="DecHCase"/>
      </w:pPr>
    </w:p>
    <w:p w14:paraId="49EE1485" w14:textId="77777777" w:rsidR="007A4070" w:rsidRPr="00FE51D7" w:rsidRDefault="007A4070" w:rsidP="00FE51D7">
      <w:pPr>
        <w:pStyle w:val="DecHCase"/>
      </w:pPr>
      <w:bookmarkStart w:id="0" w:name="_GoBack"/>
      <w:bookmarkEnd w:id="0"/>
    </w:p>
    <w:p w14:paraId="4D961033" w14:textId="77777777" w:rsidR="007A4070" w:rsidRPr="00FE51D7" w:rsidRDefault="007A4070" w:rsidP="00FE51D7">
      <w:pPr>
        <w:pStyle w:val="DecHCase"/>
      </w:pPr>
    </w:p>
    <w:p w14:paraId="10F86539" w14:textId="77777777" w:rsidR="007A4070" w:rsidRPr="00FE51D7" w:rsidRDefault="007A4070" w:rsidP="00FE51D7">
      <w:pPr>
        <w:pStyle w:val="DecHCase"/>
      </w:pPr>
    </w:p>
    <w:p w14:paraId="244FF661" w14:textId="77777777" w:rsidR="007A4070" w:rsidRPr="00FE51D7" w:rsidRDefault="007A4070" w:rsidP="00FE51D7">
      <w:pPr>
        <w:pStyle w:val="DecHCase"/>
      </w:pPr>
    </w:p>
    <w:p w14:paraId="2AABA355" w14:textId="43C31A58" w:rsidR="007A4070" w:rsidRPr="00FE51D7" w:rsidRDefault="007A4070" w:rsidP="00FE51D7">
      <w:pPr>
        <w:pStyle w:val="DecHCase"/>
      </w:pPr>
      <w:r>
        <w:t>HOTĂRÂRE</w:t>
      </w:r>
      <w:r>
        <w:br/>
      </w:r>
    </w:p>
    <w:p w14:paraId="15A5C148" w14:textId="77777777" w:rsidR="007A4070" w:rsidRPr="00FE51D7" w:rsidRDefault="007A4070" w:rsidP="00FE51D7">
      <w:pPr>
        <w:pStyle w:val="DecHCase"/>
      </w:pPr>
      <w:r>
        <w:t>STRASBOURG</w:t>
      </w:r>
    </w:p>
    <w:p w14:paraId="12F4B2FD" w14:textId="0181CCA3" w:rsidR="007A4070" w:rsidRPr="00FE51D7" w:rsidRDefault="004046E8" w:rsidP="00FE51D7">
      <w:pPr>
        <w:pStyle w:val="DecHCase"/>
      </w:pPr>
      <w:r>
        <w:t>13 decembrie 2022</w:t>
      </w:r>
    </w:p>
    <w:p w14:paraId="5083407E" w14:textId="77777777" w:rsidR="007A4070" w:rsidRPr="00FE51D7" w:rsidRDefault="007A4070" w:rsidP="0045787A">
      <w:pPr>
        <w:pStyle w:val="DecHCase"/>
      </w:pPr>
    </w:p>
    <w:p w14:paraId="564DFE89" w14:textId="2CF2796C" w:rsidR="00516B59" w:rsidRPr="00FE51D7" w:rsidRDefault="007A4070" w:rsidP="0045787A">
      <w:pPr>
        <w:jc w:val="center"/>
        <w:rPr>
          <w:rFonts w:ascii="Times New Roman" w:hAnsi="Times New Roman" w:cs="Times New Roman"/>
          <w:i/>
          <w:sz w:val="22"/>
        </w:rPr>
      </w:pPr>
      <w:r>
        <w:rPr>
          <w:i/>
          <w:sz w:val="22"/>
        </w:rPr>
        <w:t>Hotărârea este definitivă. Poate suferi modificări de formă.</w:t>
      </w:r>
    </w:p>
    <w:p w14:paraId="092AA2AB" w14:textId="77777777" w:rsidR="00516B59" w:rsidRPr="00FE51D7" w:rsidRDefault="00516B59" w:rsidP="0045787A">
      <w:pPr>
        <w:ind w:left="720"/>
        <w:jc w:val="center"/>
        <w:rPr>
          <w:rFonts w:ascii="Times New Roman" w:hAnsi="Times New Roman" w:cs="Times New Roman"/>
          <w:sz w:val="22"/>
        </w:rPr>
        <w:sectPr w:rsidR="00516B59" w:rsidRPr="00FE51D7" w:rsidSect="00321F8E">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sectPr>
      </w:pPr>
    </w:p>
    <w:p w14:paraId="43AF25E1" w14:textId="2268893D" w:rsidR="004344E6" w:rsidRPr="00FE51D7" w:rsidRDefault="004344E6" w:rsidP="00FE51D7">
      <w:pPr>
        <w:pStyle w:val="JuCase"/>
      </w:pPr>
      <w:r>
        <w:lastRenderedPageBreak/>
        <w:t>În cauza Oprea și alții împotriva României,</w:t>
      </w:r>
    </w:p>
    <w:p w14:paraId="314D0593" w14:textId="1D896D97" w:rsidR="004344E6" w:rsidRPr="00FE51D7" w:rsidRDefault="004344E6" w:rsidP="00FE51D7">
      <w:pPr>
        <w:pStyle w:val="JuPara"/>
      </w:pPr>
      <w:r>
        <w:t xml:space="preserve">Curtea Europeană a Drepturilor Omului (Secția a patra), reunită </w:t>
      </w:r>
      <w:r>
        <w:rPr>
          <w:color w:val="000000"/>
        </w:rPr>
        <w:t>într-o</w:t>
      </w:r>
      <w:r>
        <w:t xml:space="preserve"> cameră compusă din:</w:t>
      </w:r>
    </w:p>
    <w:p w14:paraId="72DBB443" w14:textId="4E7D0807" w:rsidR="004344E6" w:rsidRPr="00FE51D7" w:rsidRDefault="00876F81" w:rsidP="00FE51D7">
      <w:pPr>
        <w:pStyle w:val="JuJudges"/>
      </w:pPr>
      <w:r>
        <w:tab/>
        <w:t>Branko Lubarda</w:t>
      </w:r>
      <w:r>
        <w:rPr>
          <w:i/>
        </w:rPr>
        <w:t>, președinte</w:t>
      </w:r>
      <w:r>
        <w:t>,</w:t>
      </w:r>
      <w:r>
        <w:br/>
      </w:r>
      <w:r>
        <w:tab/>
        <w:t>Iulia Antoanella Motoc,</w:t>
      </w:r>
      <w:r>
        <w:br/>
      </w:r>
      <w:r>
        <w:tab/>
        <w:t>Pere Pastor Vilanova</w:t>
      </w:r>
      <w:r>
        <w:rPr>
          <w:i/>
        </w:rPr>
        <w:t>, judecători</w:t>
      </w:r>
      <w:r>
        <w:t>,</w:t>
      </w:r>
      <w:r>
        <w:br/>
        <w:t xml:space="preserve">și Crina Kaufman, </w:t>
      </w:r>
      <w:r>
        <w:rPr>
          <w:i/>
        </w:rPr>
        <w:t>grefier adjunct de secție a.i.</w:t>
      </w:r>
      <w:r>
        <w:t>,</w:t>
      </w:r>
    </w:p>
    <w:p w14:paraId="719F62B3" w14:textId="74978D8F" w:rsidR="004046E8" w:rsidRPr="00FE51D7" w:rsidRDefault="004046E8" w:rsidP="00FE51D7">
      <w:pPr>
        <w:pStyle w:val="JuPara"/>
      </w:pPr>
      <w:r>
        <w:t>având în vedere cererea (nr. 16732/15) îndreptată împotriva României, prin care cinci resortisanți ai acestui stat („reclamanții”) – lista reclamanților și detaliile relevante sunt prezentate în tabelul din anexă – reprezentați de Iulia Țuțuianu, avocată în București, au sesizat Curtea la 30 martie 2015, în temeiul art. 34 din Convenția pentru apărarea drepturilor omului și a libertăților fundamentale („Convenția”), precum și dorința de a continua procedura, exprimată în scrisoarea din 29 aprilie 2021 de doamna Veronica Oprea și domnul George-Laurențiu Oprea, moștenitorii celui de-al cincilea reclamant, domnul Gabriel Oprea, decedat la 19 aprilie 2021,</w:t>
      </w:r>
    </w:p>
    <w:p w14:paraId="7FA2FE02" w14:textId="796D7605" w:rsidR="004046E8" w:rsidRPr="00FE51D7" w:rsidRDefault="004046E8" w:rsidP="00FE51D7">
      <w:pPr>
        <w:pStyle w:val="JuPara"/>
      </w:pPr>
      <w:r>
        <w:t>având în vedere decizia de a aduce prezenta cerere la cunoștința Guvernului român („Guvernul”), reprezentat de agentul guvernamental, doamna O.F. Ezer, din cadrul Ministerului Afacerilor Externe,</w:t>
      </w:r>
    </w:p>
    <w:p w14:paraId="61E17C3B" w14:textId="265E02ED" w:rsidR="004046E8" w:rsidRPr="00FE51D7" w:rsidRDefault="004046E8" w:rsidP="00FE51D7">
      <w:pPr>
        <w:pStyle w:val="JuPara"/>
      </w:pPr>
      <w:r>
        <w:t>având în vedere observațiile părților,</w:t>
      </w:r>
    </w:p>
    <w:p w14:paraId="2267C60B" w14:textId="77B4FCB4" w:rsidR="004344E6" w:rsidRPr="00FE51D7" w:rsidRDefault="004344E6" w:rsidP="00FE51D7">
      <w:pPr>
        <w:pStyle w:val="JuPara"/>
      </w:pPr>
      <w:r>
        <w:t>după ce a deliberat în camera de consiliu, la 22 noiembrie 2022,</w:t>
      </w:r>
    </w:p>
    <w:p w14:paraId="022548F9" w14:textId="30228167" w:rsidR="00876F03" w:rsidRPr="00FE51D7" w:rsidRDefault="004344E6" w:rsidP="00FE51D7">
      <w:pPr>
        <w:pStyle w:val="JuPara"/>
      </w:pPr>
      <w:r>
        <w:t>pronunță prezenta hotărâre, adoptată la aceeași dată:</w:t>
      </w:r>
    </w:p>
    <w:p w14:paraId="6B6D3C0A" w14:textId="2B3F7B60" w:rsidR="004046E8" w:rsidRPr="00FE51D7" w:rsidRDefault="004046E8" w:rsidP="00FE51D7">
      <w:pPr>
        <w:pStyle w:val="JuHHead"/>
      </w:pPr>
      <w:r>
        <w:t>OBIECTUL CAUZEI</w:t>
      </w:r>
    </w:p>
    <w:p w14:paraId="73B9541C" w14:textId="51405CA6"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r w:rsidR="00247447">
        <w:rPr>
          <w:rFonts w:eastAsia="Times New Roman"/>
        </w:rPr>
        <w:t>1</w:t>
      </w:r>
      <w:r w:rsidRPr="00FE51D7">
        <w:rPr>
          <w:rFonts w:eastAsia="Times New Roman"/>
        </w:rPr>
        <w:fldChar w:fldCharType="end"/>
      </w:r>
      <w:r>
        <w:t>. Cererea are ca obiect, în temeiul art. 6 din Convenție și al art. 1 din Protocolul nr. 1 la Convenție, respingerea, ca urmare a aplicării retroactive a unei modificări legislative introduse în cursul procedurii, a acțiunii civile introduse de reclamanți împotriva statului și a Municipiului București, prin care aceștia au solicitat să se constate că au devenit proprietarii unui teren prin împlinirea termenului de prescripție achizitivă.</w:t>
      </w:r>
    </w:p>
    <w:p w14:paraId="576F8405" w14:textId="0538E6B8"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bookmarkStart w:id="1" w:name="paragraph00002"/>
      <w:r w:rsidR="00247447">
        <w:rPr>
          <w:rFonts w:eastAsia="Times New Roman"/>
        </w:rPr>
        <w:t>2</w:t>
      </w:r>
      <w:bookmarkEnd w:id="1"/>
      <w:r w:rsidRPr="00FE51D7">
        <w:rPr>
          <w:rFonts w:eastAsia="Times New Roman"/>
        </w:rPr>
        <w:fldChar w:fldCharType="end"/>
      </w:r>
      <w:r>
        <w:t>. La 30 iunie 2010, prima reclamantă, doamna Tudora Oprea, și soțul său, Constantin Oprea, au formulat o acțiune civilă prin care au solicitat să se constate împlinirea termenului de prescripție achizitivă cu privire la un teren de 819 m</w:t>
      </w:r>
      <w:r>
        <w:rPr>
          <w:vertAlign w:val="superscript"/>
        </w:rPr>
        <w:t>2</w:t>
      </w:r>
      <w:r>
        <w:t xml:space="preserve"> situat în București, compus din două parcele, dintre care una cu o suprafață de 253 m</w:t>
      </w:r>
      <w:r>
        <w:rPr>
          <w:vertAlign w:val="superscript"/>
        </w:rPr>
        <w:t>2</w:t>
      </w:r>
      <w:r>
        <w:t xml:space="preserve"> pe care construiseră un imobil și pentru care plăteau impozit pe clădiri. Aceștia au explicat că au achiziționat acest ultim teren pe baza unui act sub semnătură privată, încheiat cu un terț în 1964, și că, din acel moment, au ocupat și cel de-al doilea teren, alăturat celui dintâi, pe care l-au curățat și au amenajat o grădină de legume. Aceștia au susținut că se aflau în posesia întregii suprafețe de teren în mod neîntrerupt, netulburat și sub nume de proprietar din anul 1964, întemeindu-și acțiunea pe dispoziții ale Codului civil în temeiul cărora prescripția achizitivă pentru bunuri imobile era de 30 de ani.</w:t>
      </w:r>
    </w:p>
    <w:p w14:paraId="6C28A328" w14:textId="2A878938"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bookmarkStart w:id="2" w:name="paragraph00003"/>
      <w:r w:rsidR="00247447">
        <w:rPr>
          <w:rFonts w:eastAsia="Times New Roman"/>
        </w:rPr>
        <w:t>3</w:t>
      </w:r>
      <w:bookmarkEnd w:id="2"/>
      <w:r w:rsidRPr="00FE51D7">
        <w:rPr>
          <w:rFonts w:eastAsia="Times New Roman"/>
        </w:rPr>
        <w:fldChar w:fldCharType="end"/>
      </w:r>
      <w:r>
        <w:t xml:space="preserve">. Printr-o sentință civilă din 6 noiembrie 2013, Judecătoria Sectorului 3 București a respins acțiunea reclamanților. Deși a constatat că din probele de la dosar reieșea că persoanele în cauză posedau terenul revendicat neîntrerupt, de cel puțin 40 de ani, instanța a reținut că fostul proprietar al terenului nu fusese identificat și a considerat că acesta decedase și nu avea moștenitori. Prin urmare, aceasta a aplicat art. 26 alin. (1) din Legea nr. 18/1991 - în versiunea sa rezultată ca urmare a modificării aduse prin Legea nr. 158/2010, care a intrat în vigoare la 22 iulie 2010 - în temeiul căruia terenurile situate în intravilanul localităților, rămase la dispoziția autorităților administrației publice locale, de la persoane care au decedat fără moștenitori, trec în proprietatea publică a unităților administrativ teritoriale. În consecință, aceasta a considerat că, în temeiul acestor noi dispoziții, terenurile în cauză făceau parte din </w:t>
      </w:r>
      <w:r>
        <w:lastRenderedPageBreak/>
        <w:t>proprietatea publică a localităților și, prin urmare, nu puteau fi obiecte de proprietate privată, ci erau scoase afară din comerț, si nu puteau fi dobândite prin prescripție achizitivă.</w:t>
      </w:r>
    </w:p>
    <w:p w14:paraId="6E083296" w14:textId="41C613D2"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bookmarkStart w:id="3" w:name="paragraph00004"/>
      <w:r w:rsidR="00247447">
        <w:rPr>
          <w:rFonts w:eastAsia="Times New Roman"/>
        </w:rPr>
        <w:t>4</w:t>
      </w:r>
      <w:bookmarkEnd w:id="3"/>
      <w:r w:rsidRPr="00FE51D7">
        <w:rPr>
          <w:rFonts w:eastAsia="Times New Roman"/>
        </w:rPr>
        <w:fldChar w:fldCharType="end"/>
      </w:r>
      <w:r>
        <w:t>. Prima reclamantă și soțul său au formulat recurs împotriva acestei sentințe civile. Aceștia au afirmat, printre altele, că modificarea legislativă care a condus la respingerea acțiunii lor intrase în vigoare la 22 iulie 2010, adică ulterior introducerii acțiunii lor la 30 iunie 2010, și au susținut, printre altele, că, în temeiul principiului constituțional al neretroactivității legii, această modificare legislativă nu era aplicabilă acțiunii lor în justiție. În această privință, au invocat de asemenea art. 6 din Convenție și, în esență, art. 1 din Protocolul nr. 1 la Convenție.</w:t>
      </w:r>
    </w:p>
    <w:p w14:paraId="4B89847A" w14:textId="19C1513C"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bookmarkStart w:id="4" w:name="paragraph00005"/>
      <w:r w:rsidR="00247447">
        <w:rPr>
          <w:rFonts w:eastAsia="Times New Roman"/>
        </w:rPr>
        <w:t>5</w:t>
      </w:r>
      <w:bookmarkEnd w:id="4"/>
      <w:r w:rsidRPr="00FE51D7">
        <w:rPr>
          <w:rFonts w:eastAsia="Times New Roman"/>
        </w:rPr>
        <w:fldChar w:fldCharType="end"/>
      </w:r>
      <w:r>
        <w:t>. Întrucât soțul primei reclamante a decedat în 2014, în cursul procedurii, cei patru copii ai cuplului, domnul George Oprea, doamnele Nuți Niculae și Daniela Oprea și domnul Gabriel Oprea, care sunt, de asemenea, ceilalți patru reclamanți care au introdus prezenta cerere, au continuat procedura în calitatea lor de moștenitori ai tatălui lor defunct. Prin decizia definitivă din 8 septembrie 2014, Tribunalul București a respins acest recurs, considerând că noile dispoziții ale Legii nr. 158/2010 erau aplicabile litigiilor în curs la data intrării în vigoare a acesteia.</w:t>
      </w:r>
    </w:p>
    <w:p w14:paraId="75AC0A05" w14:textId="0D1E9AB9" w:rsidR="004046E8" w:rsidRPr="00FE51D7" w:rsidRDefault="004046E8" w:rsidP="00FE51D7">
      <w:pPr>
        <w:pStyle w:val="JuPara"/>
        <w:rPr>
          <w:rFonts w:eastAsia="Times New Roman"/>
        </w:rPr>
      </w:pPr>
      <w:r w:rsidRPr="00FE51D7">
        <w:rPr>
          <w:rFonts w:eastAsia="Times New Roman"/>
        </w:rPr>
        <w:fldChar w:fldCharType="begin"/>
      </w:r>
      <w:r w:rsidRPr="00FE51D7">
        <w:rPr>
          <w:rFonts w:eastAsia="Times New Roman"/>
        </w:rPr>
        <w:instrText xml:space="preserve"> SEQ level0 \*arabic \* MERGEFORMAT </w:instrText>
      </w:r>
      <w:r w:rsidRPr="00FE51D7">
        <w:rPr>
          <w:rFonts w:eastAsia="Times New Roman"/>
        </w:rPr>
        <w:fldChar w:fldCharType="separate"/>
      </w:r>
      <w:bookmarkStart w:id="5" w:name="paragraph00006"/>
      <w:r w:rsidR="00247447">
        <w:rPr>
          <w:rFonts w:eastAsia="Times New Roman"/>
        </w:rPr>
        <w:t>6</w:t>
      </w:r>
      <w:bookmarkEnd w:id="5"/>
      <w:r w:rsidRPr="00FE51D7">
        <w:rPr>
          <w:rFonts w:eastAsia="Times New Roman"/>
        </w:rPr>
        <w:fldChar w:fldCharType="end"/>
      </w:r>
      <w:r>
        <w:t>. Decizia tribunalului a fost motivată după cum urmează:</w:t>
      </w:r>
    </w:p>
    <w:p w14:paraId="58647D2C" w14:textId="28D063F3" w:rsidR="004046E8" w:rsidRPr="00FE51D7" w:rsidRDefault="004046E8" w:rsidP="00FE51D7">
      <w:pPr>
        <w:pStyle w:val="JuQuot"/>
        <w:rPr>
          <w:rFonts w:eastAsia="Times New Roman"/>
        </w:rPr>
      </w:pPr>
      <w:r>
        <w:t>„Prima instanță a analizat probatoriul ce a fost administrat pe parcursul întregii judecăți, în raport de care a reținut în considerente că reclamanții posedă neîntrerupt, de peste 40 de ani, suprafețele de teren de 253 mp și respectiv de 565 mp ce au fost individualizate prin expertiza topo[grafică], și că pe terenul de 253 mp a fost edificată o construcție cu destinație de locuință și construcții anexă specificate în raportul întocmit de expertul tehnic.[...]</w:t>
      </w:r>
    </w:p>
    <w:p w14:paraId="535635C7" w14:textId="2BE1C84F" w:rsidR="004046E8" w:rsidRPr="00FE51D7" w:rsidRDefault="004046E8" w:rsidP="00FE51D7">
      <w:pPr>
        <w:pStyle w:val="JuQuot"/>
        <w:rPr>
          <w:rFonts w:eastAsia="Times New Roman"/>
        </w:rPr>
      </w:pPr>
      <w:r>
        <w:t>Prima instanță a apreciat în mod judicios în sensul că în speță sunt incidente prevederile art. 26 din Legea fondului funciar nr. 18/1991, acest text având forma actuală ca urmare a modificării aduse prin Legea nr. 158/2010, modificare existentă la momentul pronunțării hotărârii atacate și care la alin. 1 are următorul conținut:</w:t>
      </w:r>
    </w:p>
    <w:p w14:paraId="2E7F3ED5" w14:textId="44046C55" w:rsidR="004046E8" w:rsidRPr="00FE51D7" w:rsidRDefault="004046E8" w:rsidP="00FE51D7">
      <w:pPr>
        <w:pStyle w:val="JuQuot"/>
        <w:rPr>
          <w:rFonts w:eastAsia="Times New Roman"/>
        </w:rPr>
      </w:pPr>
      <w:r>
        <w:t>«Terenurile situate în intravilanul localităților, rămase la dispoziția autorităților administrației publice locale, de la persoanele care au decedat şi/sau nu au moștenitori, trec în proprietatea publică a unităților administrativ–teritoriale și în administrarea consiliilor locale respective, în baza certificatului de vacanță succesorală eliberat de notarul public.»”</w:t>
      </w:r>
    </w:p>
    <w:p w14:paraId="6E949B64" w14:textId="7E62B4B8" w:rsidR="004046E8" w:rsidRPr="00FE51D7" w:rsidRDefault="004046E8" w:rsidP="00FE51D7">
      <w:pPr>
        <w:pStyle w:val="JuQuot"/>
        <w:rPr>
          <w:rFonts w:eastAsia="Times New Roman"/>
        </w:rPr>
      </w:pPr>
      <w:r>
        <w:t>„În continuare, la alineatul 2 al aceluiași articol se prevede că: «Schimbarea regimului juridic al terenurilor prevăzute la alin. (1) din proprietatea publică a unităților administrativ–teritoriale respective în proprietatea privată a acestora, este interzisă și se sancționează cu nulitatea absolută». ”</w:t>
      </w:r>
    </w:p>
    <w:p w14:paraId="561A3E1E" w14:textId="752DB74C" w:rsidR="004046E8" w:rsidRPr="00FE51D7" w:rsidRDefault="004046E8" w:rsidP="00FE51D7">
      <w:pPr>
        <w:pStyle w:val="JuQuot"/>
        <w:rPr>
          <w:rFonts w:eastAsia="Times New Roman"/>
        </w:rPr>
      </w:pPr>
      <w:r>
        <w:t>„[În raport] de aceste norme legale, corect s-a concluzionat în sentința recurată în sensul că nu se poate realiza dobândirea dreptului de proprietate prin uzucapiune asupra celor două suprafețe de teren arătate în cererea de chemare în judecată introdusă de reclamanți. ”</w:t>
      </w:r>
    </w:p>
    <w:p w14:paraId="47CDE93A" w14:textId="77777777" w:rsidR="004046E8" w:rsidRPr="00FE51D7" w:rsidRDefault="004046E8" w:rsidP="00FE51D7">
      <w:pPr>
        <w:pStyle w:val="JuHHead"/>
      </w:pPr>
      <w:r>
        <w:t>MOTIVAREA CURȚII</w:t>
      </w:r>
    </w:p>
    <w:p w14:paraId="4179383A" w14:textId="58A8F214" w:rsidR="004046E8" w:rsidRPr="00FE51D7" w:rsidRDefault="004046E8" w:rsidP="00FE51D7">
      <w:pPr>
        <w:pStyle w:val="JuHIRoman"/>
      </w:pPr>
      <w:r>
        <w:t>CU PRIVIRE LA PRETINSA ÎNCĂLCARE A ART. 6 DIN CONVENȚIE</w:t>
      </w:r>
    </w:p>
    <w:p w14:paraId="626EE0F6" w14:textId="65DBCF47" w:rsidR="004046E8" w:rsidRPr="00FE51D7" w:rsidRDefault="004046E8" w:rsidP="00FE51D7">
      <w:pPr>
        <w:pStyle w:val="JuPara"/>
      </w:pPr>
      <w:fldSimple w:instr=" SEQ level0 \*arabic ">
        <w:r w:rsidR="00247447">
          <w:t>7</w:t>
        </w:r>
      </w:fldSimple>
      <w:r>
        <w:t>. Constatând că respectivul capăt de cerere formulat de reclamanți în temeiul art. 6 nu este în mod vădit nefondat și că nu prezintă niciun alt motiv de inadmisibilitate în sensul art. 35 din Convenție, Curtea îl declarată admisibil.</w:t>
      </w:r>
    </w:p>
    <w:p w14:paraId="54C5CF32" w14:textId="21ACA823" w:rsidR="004046E8" w:rsidRPr="00FE51D7" w:rsidRDefault="004046E8" w:rsidP="00FE51D7">
      <w:pPr>
        <w:pStyle w:val="JuPara"/>
      </w:pPr>
      <w:fldSimple w:instr=" SEQ level0 \*arabic ">
        <w:r w:rsidR="00247447">
          <w:t>8</w:t>
        </w:r>
      </w:fldSimple>
      <w:r>
        <w:t xml:space="preserve">. Principiile generale referitoare la caracterul echitabil al procedurii au fost rezumate, printre altele, în hotărârea </w:t>
      </w:r>
      <w:r>
        <w:rPr>
          <w:i/>
        </w:rPr>
        <w:t>Virgil Ionescu împotriva României</w:t>
      </w:r>
      <w:r>
        <w:t xml:space="preserve"> (nr. 53037/99, pct. 43</w:t>
      </w:r>
      <w:r>
        <w:noBreakHyphen/>
        <w:t xml:space="preserve">44, 28 iunie 2005). Principiile generale referitoare la aplicarea, în cursul procedurii, a unei legi retroactive au fost rezumate recent în hotărârea </w:t>
      </w:r>
      <w:r>
        <w:rPr>
          <w:i/>
        </w:rPr>
        <w:t xml:space="preserve">Vegotex International S.A. împotriva Belgiei </w:t>
      </w:r>
      <w:r>
        <w:t>[(MC), nr. 49812/09, pct. 92-94, 3 noiembrie 2022].</w:t>
      </w:r>
    </w:p>
    <w:p w14:paraId="221AF9A9" w14:textId="5EF12F5F" w:rsidR="004046E8" w:rsidRPr="00FE51D7" w:rsidRDefault="00E43688" w:rsidP="00FE51D7">
      <w:pPr>
        <w:pStyle w:val="JuPara"/>
      </w:pPr>
      <w:fldSimple w:instr=" SEQ level0 \*arabic \* MERGEFORMAT ">
        <w:r w:rsidR="00247447">
          <w:t>9</w:t>
        </w:r>
      </w:fldSimple>
      <w:r>
        <w:t>. Art. 6 implică, printre altele, în sarcina „instanței” obligația de a efectua o examinare efectivă a motivelor, argumentelor și probelor propuse de părțile la o procedură (</w:t>
      </w:r>
      <w:r>
        <w:rPr>
          <w:i/>
        </w:rPr>
        <w:t>Dulaurans împotriva Franței</w:t>
      </w:r>
      <w:r>
        <w:t>, nr. 34553/97, pct. 33, 21 martie 2000).</w:t>
      </w:r>
    </w:p>
    <w:p w14:paraId="7FE88CE0" w14:textId="27571B93" w:rsidR="004046E8" w:rsidRPr="00FE51D7" w:rsidRDefault="004046E8" w:rsidP="00FE51D7">
      <w:pPr>
        <w:pStyle w:val="JuPara"/>
      </w:pPr>
      <w:r w:rsidRPr="00FE51D7">
        <w:rPr>
          <w:rFonts w:ascii="Times New Roman" w:eastAsia="Times New Roman" w:hAnsi="Times New Roman" w:cs="Times New Roman"/>
          <w:snapToGrid w:val="0"/>
        </w:rPr>
        <w:lastRenderedPageBreak/>
        <w:fldChar w:fldCharType="begin"/>
      </w:r>
      <w:r w:rsidRPr="00FE51D7">
        <w:rPr>
          <w:rFonts w:ascii="Times New Roman" w:eastAsia="Times New Roman" w:hAnsi="Times New Roman" w:cs="Times New Roman"/>
          <w:snapToGrid w:val="0"/>
        </w:rPr>
        <w:instrText xml:space="preserve"> SEQ level0 \*arabic \* MERGEFORMAT </w:instrText>
      </w:r>
      <w:r w:rsidRPr="00FE51D7">
        <w:rPr>
          <w:rFonts w:ascii="Times New Roman" w:eastAsia="Times New Roman" w:hAnsi="Times New Roman" w:cs="Times New Roman"/>
          <w:snapToGrid w:val="0"/>
        </w:rPr>
        <w:fldChar w:fldCharType="separate"/>
      </w:r>
      <w:r w:rsidR="00247447">
        <w:rPr>
          <w:rFonts w:ascii="Times New Roman" w:eastAsia="Times New Roman" w:hAnsi="Times New Roman" w:cs="Times New Roman"/>
          <w:snapToGrid w:val="0"/>
        </w:rPr>
        <w:t>10</w:t>
      </w:r>
      <w:r w:rsidRPr="00FE51D7">
        <w:rPr>
          <w:rFonts w:ascii="Times New Roman" w:eastAsia="Times New Roman" w:hAnsi="Times New Roman" w:cs="Times New Roman"/>
          <w:snapToGrid w:val="0"/>
        </w:rPr>
        <w:fldChar w:fldCharType="end"/>
      </w:r>
      <w:r>
        <w:rPr>
          <w:rFonts w:ascii="Times New Roman" w:hAnsi="Times New Roman"/>
          <w:snapToGrid w:val="0"/>
        </w:rPr>
        <w:t xml:space="preserve">. Curtea observă că, în speță, printr-o hotărâre definitivă din 8 septembrie 2014, Tribunalul București a confirmat respingerea cererii reclamanților, care se întemeia pe art. </w:t>
      </w:r>
      <w:r>
        <w:t xml:space="preserve">26 din Legea fondului funciar nr. 18/1991, </w:t>
      </w:r>
      <w:r>
        <w:rPr>
          <w:rFonts w:ascii="Times New Roman" w:hAnsi="Times New Roman"/>
          <w:snapToGrid w:val="0"/>
        </w:rPr>
        <w:t xml:space="preserve">astfel cum a fost modificată prin </w:t>
      </w:r>
      <w:r>
        <w:t>Legea nr.</w:t>
      </w:r>
      <w:r>
        <w:rPr>
          <w:rFonts w:ascii="Times New Roman" w:hAnsi="Times New Roman"/>
          <w:vertAlign w:val="superscript"/>
        </w:rPr>
        <w:t>o</w:t>
      </w:r>
      <w:r>
        <w:t xml:space="preserve">158/2010 </w:t>
      </w:r>
      <w:r>
        <w:rPr>
          <w:rFonts w:ascii="Times New Roman" w:hAnsi="Times New Roman"/>
          <w:snapToGrid w:val="0"/>
        </w:rPr>
        <w:t xml:space="preserve">din 12 iulie 2010 – și anume la o dată ulterioară datei formulării cererii introductive de instanță (supra, pct. </w:t>
      </w:r>
      <w:r w:rsidRPr="00FE51D7">
        <w:rPr>
          <w:rFonts w:ascii="Times New Roman" w:eastAsia="Times New Roman" w:hAnsi="Times New Roman" w:cs="Times New Roman"/>
          <w:snapToGrid w:val="0"/>
        </w:rPr>
        <w:fldChar w:fldCharType="begin"/>
      </w:r>
      <w:r w:rsidRPr="00FE51D7">
        <w:rPr>
          <w:rFonts w:ascii="Times New Roman" w:eastAsia="Times New Roman" w:hAnsi="Times New Roman" w:cs="Times New Roman"/>
          <w:snapToGrid w:val="0"/>
        </w:rPr>
        <w:instrText xml:space="preserve"> REF paragraph00002 \h  \* CharFormat </w:instrText>
      </w:r>
      <w:r w:rsidRPr="00FE51D7">
        <w:rPr>
          <w:rFonts w:ascii="Times New Roman" w:eastAsia="Times New Roman" w:hAnsi="Times New Roman" w:cs="Times New Roman"/>
          <w:snapToGrid w:val="0"/>
        </w:rPr>
      </w:r>
      <w:r w:rsidRPr="00FE51D7">
        <w:rPr>
          <w:rFonts w:ascii="Times New Roman" w:eastAsia="Times New Roman" w:hAnsi="Times New Roman" w:cs="Times New Roman"/>
          <w:snapToGrid w:val="0"/>
        </w:rPr>
        <w:fldChar w:fldCharType="separate"/>
      </w:r>
      <w:r w:rsidR="00247447" w:rsidRPr="00247447">
        <w:rPr>
          <w:rFonts w:ascii="Times New Roman" w:eastAsia="Times New Roman" w:hAnsi="Times New Roman" w:cs="Times New Roman"/>
          <w:snapToGrid w:val="0"/>
        </w:rPr>
        <w:t>2</w:t>
      </w:r>
      <w:r w:rsidRPr="00FE51D7">
        <w:rPr>
          <w:rFonts w:ascii="Times New Roman" w:eastAsia="Times New Roman" w:hAnsi="Times New Roman" w:cs="Times New Roman"/>
          <w:snapToGrid w:val="0"/>
        </w:rPr>
        <w:fldChar w:fldCharType="end"/>
      </w:r>
      <w:r>
        <w:rPr>
          <w:rFonts w:ascii="Times New Roman" w:hAnsi="Times New Roman"/>
          <w:snapToGrid w:val="0"/>
        </w:rPr>
        <w:noBreakHyphen/>
      </w:r>
      <w:r w:rsidRPr="00FE51D7">
        <w:rPr>
          <w:rFonts w:ascii="Times New Roman" w:eastAsia="Times New Roman" w:hAnsi="Times New Roman" w:cs="Times New Roman"/>
          <w:snapToGrid w:val="0"/>
        </w:rPr>
        <w:fldChar w:fldCharType="begin"/>
      </w:r>
      <w:r w:rsidRPr="00FE51D7">
        <w:rPr>
          <w:rFonts w:ascii="Times New Roman" w:eastAsia="Times New Roman" w:hAnsi="Times New Roman" w:cs="Times New Roman"/>
          <w:snapToGrid w:val="0"/>
        </w:rPr>
        <w:instrText xml:space="preserve"> REF paragraph00003 \h  \* CharFormat </w:instrText>
      </w:r>
      <w:r w:rsidRPr="00FE51D7">
        <w:rPr>
          <w:rFonts w:ascii="Times New Roman" w:eastAsia="Times New Roman" w:hAnsi="Times New Roman" w:cs="Times New Roman"/>
          <w:snapToGrid w:val="0"/>
        </w:rPr>
      </w:r>
      <w:r w:rsidRPr="00FE51D7">
        <w:rPr>
          <w:rFonts w:ascii="Times New Roman" w:eastAsia="Times New Roman" w:hAnsi="Times New Roman" w:cs="Times New Roman"/>
          <w:snapToGrid w:val="0"/>
        </w:rPr>
        <w:fldChar w:fldCharType="separate"/>
      </w:r>
      <w:r w:rsidR="00247447" w:rsidRPr="00247447">
        <w:rPr>
          <w:rFonts w:ascii="Times New Roman" w:eastAsia="Times New Roman" w:hAnsi="Times New Roman" w:cs="Times New Roman"/>
          <w:snapToGrid w:val="0"/>
        </w:rPr>
        <w:t>3</w:t>
      </w:r>
      <w:r w:rsidRPr="00FE51D7">
        <w:rPr>
          <w:rFonts w:ascii="Times New Roman" w:eastAsia="Times New Roman" w:hAnsi="Times New Roman" w:cs="Times New Roman"/>
          <w:snapToGrid w:val="0"/>
        </w:rPr>
        <w:fldChar w:fldCharType="end"/>
      </w:r>
      <w:r>
        <w:rPr>
          <w:rFonts w:ascii="Times New Roman" w:hAnsi="Times New Roman"/>
          <w:snapToGrid w:val="0"/>
        </w:rPr>
        <w:t xml:space="preserve">). Trebuie să se constate că aplicarea imediată a acestei modificări legislative de către instanțele sesizate în speță a avut drept consecință privarea reclamanților de orice posibilitate de a obține câștig de cauză în acțiunea introdusă de aceștia în vederea constatării faptului că au dobândit un drept de proprietate asupra terenului în litigiu, prin împlinirea termenului de prescripție achizitivă </w:t>
      </w:r>
      <w:r>
        <w:t xml:space="preserve">(supra, pct. </w:t>
      </w:r>
      <w:r w:rsidRPr="00FE51D7">
        <w:fldChar w:fldCharType="begin"/>
      </w:r>
      <w:r w:rsidRPr="00FE51D7">
        <w:instrText xml:space="preserve"> REF paragraph00006 \h  \* CharFormat  \* MERGEFORMAT </w:instrText>
      </w:r>
      <w:r w:rsidRPr="00FE51D7">
        <w:fldChar w:fldCharType="separate"/>
      </w:r>
      <w:r w:rsidR="00247447" w:rsidRPr="00247447">
        <w:t>6</w:t>
      </w:r>
      <w:r w:rsidRPr="00FE51D7">
        <w:fldChar w:fldCharType="end"/>
      </w:r>
      <w:r>
        <w:t>)</w:t>
      </w:r>
      <w:r>
        <w:rPr>
          <w:rFonts w:ascii="Times New Roman" w:hAnsi="Times New Roman"/>
          <w:snapToGrid w:val="0"/>
        </w:rPr>
        <w:t>.</w:t>
      </w:r>
    </w:p>
    <w:p w14:paraId="01868CD3" w14:textId="7702FFAA" w:rsidR="004046E8" w:rsidRPr="00FE51D7" w:rsidRDefault="00E43688" w:rsidP="00FE51D7">
      <w:pPr>
        <w:pStyle w:val="JuPara"/>
      </w:pPr>
      <w:fldSimple w:instr=" SEQ level0 \*arabic \* MERGEFORMAT ">
        <w:r w:rsidR="00247447">
          <w:t>11</w:t>
        </w:r>
      </w:fldSimple>
      <w:r>
        <w:t>. Cu toate acestea, Curtea consideră că nu este necesar să analizeze problema dacă dispoziția legislativă în cauză a adus atingere caracterului echitabil al procedurii desfășurate de reclamanți, influențând, în cursul procedurii, rezultatul litigiului dintre aceștia și stat și Municipiul București (</w:t>
      </w:r>
      <w:r>
        <w:rPr>
          <w:i/>
        </w:rPr>
        <w:t>Vegotex International S.A.</w:t>
      </w:r>
      <w:r>
        <w:t>, citată anterior, pct. 95-123), deoarece, în orice caz, procedura inițiată de reclamanți nu a fost echitabilă pentru motivele expuse mai jos.</w:t>
      </w:r>
    </w:p>
    <w:p w14:paraId="75A25737" w14:textId="15436C30" w:rsidR="004046E8" w:rsidRPr="00FE51D7" w:rsidRDefault="00E43688" w:rsidP="00FE51D7">
      <w:pPr>
        <w:pStyle w:val="JuPara"/>
      </w:pPr>
      <w:fldSimple w:instr=" SEQ level0 \*arabic \* MERGEFORMAT ">
        <w:r w:rsidR="00247447">
          <w:t>12</w:t>
        </w:r>
      </w:fldSimple>
      <w:r>
        <w:t>. Guvernul a prezentat Curții, ca exemple de practică internă, hotărâri judecătorești pronunțate de instanțe aflate în circumscripția a diferite curți de apel, acoperind majoritatea hărții judiciare a țării. Or, Curtea constată că practica instanțelor naționale astfel invocată nu susține în mod unanim aplicarea retroactivă, în cazul procedurii în curs, a art. 26 din Legea fondului funciar nr. 18/1991, astfel cum a fost modificată prin Legea nr. 158/2010 din 12 iulie 2010. Dimpotrivă, din jurisprudența furnizată în dosar reiese că numeroase instanțe au considerat că această dispoziție legislativă nu era aplicabilă acțiunilor în constatarea prescripției achizitive, care erau pendinte la data intrării sale în vigoare, cu atât mai mult atunci când termenul de 30 de ani, aplicabil în materie de prescripție achizitivă, s-a împlinit cu mult timp înainte de data intrării sale în vigoare, în iulie 2010.</w:t>
      </w:r>
    </w:p>
    <w:p w14:paraId="077A7AA5" w14:textId="73F00B87" w:rsidR="004046E8" w:rsidRPr="00FE51D7" w:rsidRDefault="00E43688" w:rsidP="00FE51D7">
      <w:pPr>
        <w:pStyle w:val="JuPara"/>
      </w:pPr>
      <w:fldSimple w:instr=" SEQ level0 \*arabic \* MERGEFORMAT ">
        <w:r w:rsidR="00247447">
          <w:t>13</w:t>
        </w:r>
      </w:fldSimple>
      <w:r>
        <w:t xml:space="preserve">. În plus, Curtea observă că, în hotărârea sa definitivă, Tribunalul Burești nu a răspuns la principalul motiv invocat de reclamanți, întemeiat pe aplicarea retroactivă a unei modificări legislative survenite în cursul procedurii inițiate de aceștia (supra, pct. </w:t>
      </w:r>
      <w:r w:rsidR="004046E8" w:rsidRPr="00FE51D7">
        <w:fldChar w:fldCharType="begin"/>
      </w:r>
      <w:r w:rsidR="004046E8" w:rsidRPr="00FE51D7">
        <w:instrText xml:space="preserve"> REF paragraph00004 \h  \* CharFormat  \* MERGEFORMAT </w:instrText>
      </w:r>
      <w:r w:rsidR="004046E8" w:rsidRPr="00FE51D7">
        <w:fldChar w:fldCharType="separate"/>
      </w:r>
      <w:r w:rsidR="00247447" w:rsidRPr="00247447">
        <w:t>4</w:t>
      </w:r>
      <w:r w:rsidR="004046E8" w:rsidRPr="00FE51D7">
        <w:fldChar w:fldCharType="end"/>
      </w:r>
      <w:r>
        <w:t xml:space="preserve">). De asemenea, tribunalul nu a explicat motivul pentru care dispoziția legislativă în litigiu, care prevedea în special că terenurile „rămase la dispoziția autorităților administrației publice locale [...] trec în proprietatea publică a unităților administrativ-teritoriale [...], în baza certificatului de vacanță succesorală eliberat de notarul public”, era aplicabilă litigiului inițiat de reclamanți. În special, hotărârea definitivă din 8 septembrie 2014 nu conține nicio precizare cu privire la impactul pe care l-au avut în speță condițiile impuse de dispoziția legislativă sus-menționată, inclusiv eliberarea în prealabil a unui certificat de vacanță succesorală (supra, pct. </w:t>
      </w:r>
      <w:r w:rsidR="004046E8" w:rsidRPr="00FE51D7">
        <w:fldChar w:fldCharType="begin"/>
      </w:r>
      <w:r w:rsidR="004046E8" w:rsidRPr="00FE51D7">
        <w:instrText xml:space="preserve"> REF paragraph00006 \h  \* CharFormat  \* MERGEFORMAT </w:instrText>
      </w:r>
      <w:r w:rsidR="004046E8" w:rsidRPr="00FE51D7">
        <w:fldChar w:fldCharType="separate"/>
      </w:r>
      <w:r w:rsidR="00247447" w:rsidRPr="00247447">
        <w:t>6</w:t>
      </w:r>
      <w:r w:rsidR="004046E8" w:rsidRPr="00FE51D7">
        <w:fldChar w:fldCharType="end"/>
      </w:r>
      <w:r>
        <w:t>).</w:t>
      </w:r>
    </w:p>
    <w:p w14:paraId="554942B0" w14:textId="5820C477" w:rsidR="004046E8" w:rsidRPr="00FE51D7" w:rsidRDefault="00E43688" w:rsidP="00FE51D7">
      <w:pPr>
        <w:pStyle w:val="JuPara"/>
      </w:pPr>
      <w:fldSimple w:instr=" SEQ level0 \*arabic \* MERGEFORMAT ">
        <w:r w:rsidR="00247447">
          <w:t>14</w:t>
        </w:r>
      </w:fldSimple>
      <w:r>
        <w:t>. Având în vedere cele de mai sus, Curtea consideră că Tribunalul București nu a efectuat o examinare efectivă a motivelor, argumentelor și probelor prezentate de părțile la procedură (</w:t>
      </w:r>
      <w:r>
        <w:rPr>
          <w:i/>
        </w:rPr>
        <w:t>Dulaurans împotriva Franței</w:t>
      </w:r>
      <w:r>
        <w:t xml:space="preserve">, citată anterior, pct. 33, </w:t>
      </w:r>
      <w:r>
        <w:rPr>
          <w:i/>
        </w:rPr>
        <w:t>Virgil Ionescu</w:t>
      </w:r>
      <w:r>
        <w:t>, citată anterior, pct. 44-47).</w:t>
      </w:r>
    </w:p>
    <w:p w14:paraId="091A0A7F" w14:textId="22C50DE4" w:rsidR="004046E8" w:rsidRPr="00FE51D7" w:rsidRDefault="004046E8" w:rsidP="00FE51D7">
      <w:pPr>
        <w:pStyle w:val="JuPara"/>
      </w:pPr>
      <w:fldSimple w:instr=" SEQ level0 \*arabic ">
        <w:r w:rsidR="00247447">
          <w:t>15</w:t>
        </w:r>
      </w:fldSimple>
      <w:r>
        <w:t>. Prin urmare, a fost încălcat art. 6 din Convenție.</w:t>
      </w:r>
    </w:p>
    <w:p w14:paraId="47116B53" w14:textId="572B92BF" w:rsidR="004046E8" w:rsidRPr="00FE51D7" w:rsidRDefault="004046E8" w:rsidP="00FE51D7">
      <w:pPr>
        <w:pStyle w:val="JuHIRoman"/>
      </w:pPr>
      <w:r>
        <w:t>CU PRIVIRE LA PRETINSA ÎNCĂLCARE A ART. 1 DIN PROTOCOLUL NR. 1 LA CONVENŢIE</w:t>
      </w:r>
    </w:p>
    <w:p w14:paraId="024F2A0B" w14:textId="6FB5DFB4" w:rsidR="004046E8" w:rsidRPr="00FE51D7" w:rsidRDefault="004046E8" w:rsidP="00FE51D7">
      <w:pPr>
        <w:pStyle w:val="JuPara"/>
        <w:rPr>
          <w:rFonts w:eastAsiaTheme="minorEastAsia"/>
          <w:i/>
          <w:szCs w:val="22"/>
        </w:rPr>
      </w:pPr>
      <w:fldSimple w:instr=" SEQ level0 \*arabic ">
        <w:r w:rsidR="00247447">
          <w:t>16</w:t>
        </w:r>
      </w:fldSimple>
      <w:r>
        <w:t xml:space="preserve">. Curtea constată că respectivul capăt de cerere formulat în temeiul art. 1 din Protocolul nr. 1 se confundă în mare măsură cu cel întemeiat pe art. 6. Având în vedere circumstanțele specifice ale prezentei cauze și raționamentul care a determinat-o să constate încălcarea acestei din urmă dispoziții, Curtea consideră că nu este necesar să examineze separat capătul de cerere întemeiat pe art. 1 din Protocolul nr. 1 [a se vedea </w:t>
      </w:r>
      <w:r>
        <w:rPr>
          <w:i/>
        </w:rPr>
        <w:t>Dimopulos împotriva Turciei</w:t>
      </w:r>
      <w:r>
        <w:t xml:space="preserve"> (nr. 37766/05, pct. 45, 2 aprilie 2019</w:t>
      </w:r>
      <w:r>
        <w:rPr>
          <w:snapToGrid w:val="0"/>
        </w:rPr>
        <w:t>]</w:t>
      </w:r>
      <w:r>
        <w:t>.</w:t>
      </w:r>
    </w:p>
    <w:p w14:paraId="320CA823" w14:textId="4DC63D2A" w:rsidR="004046E8" w:rsidRPr="00FE51D7" w:rsidRDefault="004046E8" w:rsidP="00FE51D7">
      <w:pPr>
        <w:pStyle w:val="JuHIRoman"/>
      </w:pPr>
      <w:r>
        <w:lastRenderedPageBreak/>
        <w:t>CU PRIVIRE LA APLICAREA ART. 41 DIN CONVENȚIE</w:t>
      </w:r>
    </w:p>
    <w:p w14:paraId="2A9B0CC7" w14:textId="4475A04F" w:rsidR="004046E8" w:rsidRPr="00FE51D7" w:rsidRDefault="00E43688" w:rsidP="00FE51D7">
      <w:pPr>
        <w:pStyle w:val="JuPara"/>
      </w:pPr>
      <w:fldSimple w:instr=" SEQ level0 \*arabic \* MERGEFORMAT ">
        <w:r w:rsidR="00247447">
          <w:t>17</w:t>
        </w:r>
      </w:fldSimple>
      <w:r>
        <w:t>. Reclamanții consideră, în principal, că redeschiderea procedurii ar fi cea mai adecvată măsură de reparație pentru prejudiciul material pe care pretind că l-au suferit.</w:t>
      </w:r>
    </w:p>
    <w:p w14:paraId="284F73E7" w14:textId="16719BC3" w:rsidR="004046E8" w:rsidRPr="00FE51D7" w:rsidRDefault="00E43688" w:rsidP="00FE51D7">
      <w:pPr>
        <w:pStyle w:val="JuPara"/>
      </w:pPr>
      <w:fldSimple w:instr=" SEQ level0 \*arabic \* MERGEFORMAT ">
        <w:r w:rsidR="00247447">
          <w:t>18</w:t>
        </w:r>
      </w:fldSimple>
      <w:r>
        <w:t>. Având în vedere natura încălcării constatate, Curtea apreciază că, în principiu, cel mai adecvat mijloc de reparare a acesteia ar fi redeschiderea procedurii (</w:t>
      </w:r>
      <w:r>
        <w:rPr>
          <w:i/>
        </w:rPr>
        <w:t>Dimopulos</w:t>
      </w:r>
      <w:r>
        <w:t>, citată anterior, pct. 49). În această privință, subliniază că, în temeiul art. 509 alin. (1) pct. 10 C.proc.civ, o hotărâre a Curții în care s-a constatat o încălcare a unei dispoziții din Convenție constituie un motiv specific pentru redeschiderea procedurii.</w:t>
      </w:r>
    </w:p>
    <w:p w14:paraId="2B713788" w14:textId="57F18D98" w:rsidR="004046E8" w:rsidRPr="00FE51D7" w:rsidRDefault="004046E8" w:rsidP="00FE51D7">
      <w:pPr>
        <w:pStyle w:val="JuPara"/>
      </w:pPr>
      <w:fldSimple w:instr=" SEQ level0 \*arabic ">
        <w:r w:rsidR="00247447">
          <w:t>19</w:t>
        </w:r>
      </w:fldSimple>
      <w:r>
        <w:t>. Reclamanții solicită în solidar 5 000 de euro (EUR) cu titlu de despăgubire pentru prejudiciul moral, precum și 6 691 de lei românești (RON) pentru cheltuielile de judecată pe care susțin că le-au efectuat în cadrul procedurii desfășurate în fața instanțelor interne, și 5 100 EUR pentru a acoperi onorariile avocatului care i-a reprezentat în cadrul procedurii în fața Curții.</w:t>
      </w:r>
    </w:p>
    <w:p w14:paraId="21073969" w14:textId="575C2F76" w:rsidR="004046E8" w:rsidRPr="00FE51D7" w:rsidRDefault="004046E8" w:rsidP="00FE51D7">
      <w:pPr>
        <w:pStyle w:val="JuPara"/>
      </w:pPr>
      <w:fldSimple w:instr=" SEQ level0 \*arabic ">
        <w:r w:rsidR="00247447">
          <w:t>20</w:t>
        </w:r>
      </w:fldSimple>
      <w:r>
        <w:t>. Guvernul consideră că o constatare a unei încălcări ar constitui, în sine, o reparație echitabilă suficientă pentru orice prejudiciu moral eventual suferit de reclamanți. În ceea ce privește cheltuielile de judecată corespunzătoare procedurii interne, acesta susține că o parte din pretențiile reclamanților, corespunzătoare sumei de 1 285 RON, trebuie să fie respinse ca neîntemeiate.</w:t>
      </w:r>
    </w:p>
    <w:p w14:paraId="1A791977" w14:textId="384ED4B7" w:rsidR="004046E8" w:rsidRPr="00FE51D7" w:rsidRDefault="004046E8" w:rsidP="00FE51D7">
      <w:pPr>
        <w:pStyle w:val="JuPara"/>
      </w:pPr>
      <w:fldSimple w:instr=" SEQ level0 \*arabic ">
        <w:r w:rsidR="00247447">
          <w:t>21</w:t>
        </w:r>
      </w:fldSimple>
      <w:r>
        <w:t>. Curtea consideră că reclamanții au suferit un prejudiciu moral ca urmare a adoptării legii în litigiu. Pronunțându-se în echitate, aceasta le acordă în solida 5 000 EUR cu titlu de despăgubire pentru prejudiciul moral, plus orice sumă ce poate fi datorată cu titlu de impozit.</w:t>
      </w:r>
    </w:p>
    <w:p w14:paraId="32D2A773" w14:textId="05AF92AD" w:rsidR="004046E8" w:rsidRPr="00FE51D7" w:rsidRDefault="004046E8" w:rsidP="00FE51D7">
      <w:pPr>
        <w:pStyle w:val="JuPara"/>
      </w:pPr>
      <w:fldSimple w:instr=" SEQ level0 \*arabic ">
        <w:r w:rsidR="00247447">
          <w:t>22</w:t>
        </w:r>
      </w:fldSimple>
      <w:r>
        <w:t>. Ținând seama de documentele de care dispune și de jurisprudența sa, precum și de documentele justificative furnizate de reclamanți, Curtea consideră că este rezonabil să le acorde în solidar suma de 6 500 EUR, pentru cheltuielile de judecată efectuate în cadrul procedurii interne și în cadrul procedurii desfășurate în fața sa, plus orice sumă ce poate fi datorată cu titlu de impozit pentru această sumă.</w:t>
      </w:r>
    </w:p>
    <w:p w14:paraId="566EA99D" w14:textId="1D6E47D6" w:rsidR="004046E8" w:rsidRPr="00FE51D7" w:rsidRDefault="004046E8" w:rsidP="00FE51D7">
      <w:pPr>
        <w:pStyle w:val="JuHHead"/>
      </w:pPr>
      <w:r>
        <w:t>PENTRU ACESTE MOTIVE, CURTEA, ÎN UNANIMITATE,</w:t>
      </w:r>
    </w:p>
    <w:p w14:paraId="6E6DC6C5" w14:textId="77777777" w:rsidR="004046E8" w:rsidRPr="00FE51D7" w:rsidRDefault="004046E8" w:rsidP="00FE51D7">
      <w:pPr>
        <w:pStyle w:val="JuList"/>
      </w:pPr>
      <w:r>
        <w:rPr>
          <w:i/>
        </w:rPr>
        <w:t>Declară</w:t>
      </w:r>
      <w:r>
        <w:t xml:space="preserve"> cererea admisibilă;</w:t>
      </w:r>
    </w:p>
    <w:p w14:paraId="046F7280" w14:textId="284FC987" w:rsidR="004046E8" w:rsidRPr="00FE51D7" w:rsidRDefault="004046E8" w:rsidP="00FE51D7">
      <w:pPr>
        <w:pStyle w:val="JuList"/>
      </w:pPr>
      <w:r>
        <w:rPr>
          <w:i/>
          <w:iCs/>
        </w:rPr>
        <w:t>Hotărăște</w:t>
      </w:r>
      <w:r>
        <w:rPr>
          <w:i/>
        </w:rPr>
        <w:t xml:space="preserve"> </w:t>
      </w:r>
      <w:r>
        <w:t>că a fost încălcat art. 6 § 1 din Convenție;</w:t>
      </w:r>
    </w:p>
    <w:p w14:paraId="42884096" w14:textId="6C749E9F" w:rsidR="004046E8" w:rsidRPr="00FE51D7" w:rsidRDefault="004046E8" w:rsidP="00FE51D7">
      <w:pPr>
        <w:pStyle w:val="JuList"/>
      </w:pPr>
      <w:r>
        <w:rPr>
          <w:i/>
          <w:iCs/>
        </w:rPr>
        <w:t>Hotărăște</w:t>
      </w:r>
      <w:r>
        <w:t xml:space="preserve"> că nu este necesar să examineze capătul de cerere formulat în temeiul art. 1 din Protocolul nr. 1 la Convenție;</w:t>
      </w:r>
    </w:p>
    <w:p w14:paraId="00229B27" w14:textId="78798B9E" w:rsidR="004046E8" w:rsidRPr="00FE51D7" w:rsidRDefault="004046E8" w:rsidP="00FE51D7">
      <w:pPr>
        <w:pStyle w:val="JuList"/>
        <w:keepNext/>
      </w:pPr>
      <w:r>
        <w:rPr>
          <w:i/>
          <w:iCs/>
        </w:rPr>
        <w:t>Hotărăște</w:t>
      </w:r>
    </w:p>
    <w:p w14:paraId="4AA6E6C8" w14:textId="76BE3DB1" w:rsidR="004046E8" w:rsidRPr="00FE51D7" w:rsidRDefault="004046E8" w:rsidP="00FE51D7">
      <w:pPr>
        <w:pStyle w:val="JuLista"/>
      </w:pPr>
      <w:r>
        <w:t>că statul pârât trebuie să plătească reclamanților, în solidar, în termen de trei luni, următoarele sume, care trebuie convertite în moneda statului pârât la rata de schimb aplicabilă la data plății:</w:t>
      </w:r>
    </w:p>
    <w:p w14:paraId="7FF068A9" w14:textId="0431C2CB" w:rsidR="004046E8" w:rsidRPr="00FE51D7" w:rsidRDefault="004046E8" w:rsidP="00FE51D7">
      <w:pPr>
        <w:pStyle w:val="JuListi"/>
      </w:pPr>
      <w:r>
        <w:t>5 000 EUR (cinci mii de euro), plus orice sumă ce poate fi datorată cu titlu de impozit (pentru această sumă), cu titlu de despăgubire pentru prejudiciul moral;</w:t>
      </w:r>
    </w:p>
    <w:p w14:paraId="44EC1A19" w14:textId="2720604F" w:rsidR="004046E8" w:rsidRPr="00FE51D7" w:rsidRDefault="004046E8" w:rsidP="00FE51D7">
      <w:pPr>
        <w:pStyle w:val="JuListi"/>
      </w:pPr>
      <w:r>
        <w:t>6 500 EUR (șase mii cinci sute de euro), plus orice sumă ce poate fi datorată de reclamant cu titlu de impozit pentru această sumă, cu titlu de cheltuieli de judecată;</w:t>
      </w:r>
    </w:p>
    <w:p w14:paraId="30B210EB" w14:textId="20CD6C44" w:rsidR="00876F03" w:rsidRPr="00FE51D7" w:rsidRDefault="004046E8" w:rsidP="00FE51D7">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3A3FC710" w14:textId="56AF9178" w:rsidR="00893F30" w:rsidRPr="00FE51D7" w:rsidRDefault="00893F30" w:rsidP="00FE51D7">
      <w:pPr>
        <w:pStyle w:val="JuParaLast"/>
      </w:pPr>
      <w:r>
        <w:lastRenderedPageBreak/>
        <w:t>Redactată în limba franceză, apoi comunicată în scris, la 13 decembrie 2022, în temeiul art. 77 § 2 și art. 77 § 3 din Regulamentul Curții.</w:t>
      </w:r>
    </w:p>
    <w:p w14:paraId="3BC4736D" w14:textId="7D607608" w:rsidR="00F94531" w:rsidRPr="00FE51D7" w:rsidRDefault="00510D77" w:rsidP="00FE51D7">
      <w:pPr>
        <w:pStyle w:val="JuSigned"/>
        <w:keepNext/>
        <w:keepLines/>
        <w:rPr>
          <w:color w:val="F8F8F8" w:themeColor="background2"/>
        </w:rPr>
      </w:pPr>
      <w:r>
        <w:rPr>
          <w:color w:val="F8F8F8" w:themeColor="background2"/>
        </w:rPr>
        <w:tab/>
      </w:r>
    </w:p>
    <w:p w14:paraId="4CF993C9" w14:textId="4BE82925" w:rsidR="00E6632D" w:rsidRPr="00FE51D7" w:rsidRDefault="00E6632D" w:rsidP="00FE51D7">
      <w:pPr>
        <w:pStyle w:val="JuSigned"/>
        <w:tabs>
          <w:tab w:val="clear" w:pos="1418"/>
          <w:tab w:val="clear" w:pos="5954"/>
          <w:tab w:val="center" w:pos="1134"/>
          <w:tab w:val="center" w:pos="6237"/>
        </w:tabs>
      </w:pPr>
      <w:r>
        <w:tab/>
        <w:t>Crina Kaufman</w:t>
      </w:r>
      <w:r>
        <w:tab/>
        <w:t>Branko Lubarda</w:t>
      </w:r>
    </w:p>
    <w:p w14:paraId="1DA7610F" w14:textId="77777777" w:rsidR="00E6632D" w:rsidRPr="00FE51D7" w:rsidRDefault="00E6632D" w:rsidP="00FE51D7">
      <w:pPr>
        <w:pStyle w:val="JuSigned"/>
        <w:tabs>
          <w:tab w:val="clear" w:pos="1418"/>
          <w:tab w:val="clear" w:pos="5954"/>
          <w:tab w:val="center" w:pos="1134"/>
          <w:tab w:val="center" w:pos="6237"/>
        </w:tabs>
        <w:contextualSpacing/>
      </w:pPr>
      <w:r>
        <w:tab/>
        <w:t>Grefier adjunct a.i.</w:t>
      </w:r>
      <w:r>
        <w:tab/>
        <w:t>Președinte</w:t>
      </w:r>
    </w:p>
    <w:p w14:paraId="6A90C9A5" w14:textId="6CECA16C" w:rsidR="00E6632D" w:rsidRPr="00FE51D7" w:rsidRDefault="00E6632D" w:rsidP="00FE51D7">
      <w:pPr>
        <w:pStyle w:val="JuPara"/>
        <w:ind w:firstLine="0"/>
      </w:pPr>
    </w:p>
    <w:p w14:paraId="3FE5CB45" w14:textId="46C257D9" w:rsidR="004046E8" w:rsidRPr="00FE51D7" w:rsidRDefault="004046E8" w:rsidP="00FE51D7">
      <w:pPr>
        <w:rPr>
          <w:noProof/>
          <w:color w:val="000000"/>
        </w:rPr>
      </w:pPr>
    </w:p>
    <w:p w14:paraId="6DB3F719" w14:textId="77777777" w:rsidR="004046E8" w:rsidRPr="00FE51D7" w:rsidRDefault="004046E8" w:rsidP="00FE51D7">
      <w:pPr>
        <w:rPr>
          <w:noProof/>
          <w:color w:val="000000"/>
        </w:rPr>
        <w:sectPr w:rsidR="004046E8" w:rsidRPr="00FE51D7" w:rsidSect="00321F8E">
          <w:headerReference w:type="even" r:id="rId16"/>
          <w:headerReference w:type="default" r:id="rId17"/>
          <w:footerReference w:type="even" r:id="rId18"/>
          <w:footerReference w:type="default" r:id="rId19"/>
          <w:footnotePr>
            <w:numRestart w:val="eachSect"/>
          </w:footnotePr>
          <w:pgSz w:w="11906" w:h="16838" w:code="9"/>
          <w:pgMar w:top="1134" w:right="1134" w:bottom="1134" w:left="1701" w:header="1701" w:footer="720" w:gutter="0"/>
          <w:pgNumType w:start="1"/>
          <w:cols w:space="720"/>
          <w:noEndnote/>
          <w:docGrid w:linePitch="326"/>
        </w:sectPr>
      </w:pPr>
    </w:p>
    <w:p w14:paraId="2C1B5C8A" w14:textId="28E6D4F7" w:rsidR="004046E8" w:rsidRPr="00FE51D7" w:rsidRDefault="004046E8" w:rsidP="00FE51D7">
      <w:pPr>
        <w:pStyle w:val="DecHTitle"/>
        <w:rPr>
          <w:noProof/>
        </w:rPr>
      </w:pPr>
      <w:r>
        <w:rPr>
          <w:caps/>
        </w:rPr>
        <w:lastRenderedPageBreak/>
        <w:t>ANEXĂ</w:t>
      </w:r>
    </w:p>
    <w:p w14:paraId="17482912" w14:textId="77777777" w:rsidR="004046E8" w:rsidRPr="00FE51D7" w:rsidRDefault="004046E8" w:rsidP="00FE51D7">
      <w:pPr>
        <w:pStyle w:val="DecHCase"/>
      </w:pPr>
      <w:r>
        <w:t>Lista reclamanților</w:t>
      </w:r>
    </w:p>
    <w:tbl>
      <w:tblPr>
        <w:tblStyle w:val="ECHRListTable"/>
        <w:tblW w:w="5000" w:type="pct"/>
        <w:tblLook w:val="0420" w:firstRow="1" w:lastRow="0" w:firstColumn="0" w:lastColumn="0" w:noHBand="0" w:noVBand="1"/>
      </w:tblPr>
      <w:tblGrid>
        <w:gridCol w:w="629"/>
        <w:gridCol w:w="2687"/>
        <w:gridCol w:w="2363"/>
        <w:gridCol w:w="1807"/>
        <w:gridCol w:w="1575"/>
      </w:tblGrid>
      <w:tr w:rsidR="004046E8" w:rsidRPr="00FE51D7" w14:paraId="0A4438FD" w14:textId="77777777" w:rsidTr="005652F9">
        <w:trPr>
          <w:cnfStyle w:val="100000000000" w:firstRow="1" w:lastRow="0" w:firstColumn="0" w:lastColumn="0" w:oddVBand="0" w:evenVBand="0" w:oddHBand="0" w:evenHBand="0" w:firstRowFirstColumn="0" w:firstRowLastColumn="0" w:lastRowFirstColumn="0" w:lastRowLastColumn="0"/>
        </w:trPr>
        <w:tc>
          <w:tcPr>
            <w:tcW w:w="347" w:type="pct"/>
          </w:tcPr>
          <w:p w14:paraId="5FD8D18D" w14:textId="7B850D76" w:rsidR="004046E8" w:rsidRPr="00FE51D7" w:rsidRDefault="004046E8" w:rsidP="00FE51D7">
            <w:pPr>
              <w:rPr>
                <w:rFonts w:eastAsia="Times New Roman"/>
              </w:rPr>
            </w:pPr>
            <w:r>
              <w:t>NR.</w:t>
            </w:r>
          </w:p>
        </w:tc>
        <w:tc>
          <w:tcPr>
            <w:tcW w:w="1483" w:type="pct"/>
          </w:tcPr>
          <w:p w14:paraId="1BEBFE3E" w14:textId="77777777" w:rsidR="004046E8" w:rsidRPr="00FE51D7" w:rsidRDefault="004046E8" w:rsidP="00FE51D7">
            <w:pPr>
              <w:rPr>
                <w:rFonts w:eastAsia="Times New Roman"/>
              </w:rPr>
            </w:pPr>
            <w:r>
              <w:t>Prenume NUME</w:t>
            </w:r>
          </w:p>
        </w:tc>
        <w:tc>
          <w:tcPr>
            <w:tcW w:w="1304" w:type="pct"/>
          </w:tcPr>
          <w:p w14:paraId="47855934" w14:textId="77777777" w:rsidR="004046E8" w:rsidRPr="00FE51D7" w:rsidRDefault="004046E8" w:rsidP="00FE51D7">
            <w:pPr>
              <w:rPr>
                <w:rFonts w:eastAsia="Times New Roman"/>
              </w:rPr>
            </w:pPr>
            <w:r>
              <w:t>Anul nașterii</w:t>
            </w:r>
          </w:p>
        </w:tc>
        <w:tc>
          <w:tcPr>
            <w:tcW w:w="997" w:type="pct"/>
          </w:tcPr>
          <w:p w14:paraId="61BC0112" w14:textId="77777777" w:rsidR="004046E8" w:rsidRPr="00FE51D7" w:rsidRDefault="004046E8" w:rsidP="00FE51D7">
            <w:pPr>
              <w:rPr>
                <w:rFonts w:eastAsia="Times New Roman"/>
              </w:rPr>
            </w:pPr>
            <w:r>
              <w:t>Cetățenie</w:t>
            </w:r>
          </w:p>
        </w:tc>
        <w:tc>
          <w:tcPr>
            <w:tcW w:w="869" w:type="pct"/>
          </w:tcPr>
          <w:p w14:paraId="0481FFEF" w14:textId="77777777" w:rsidR="004046E8" w:rsidRPr="00FE51D7" w:rsidRDefault="004046E8" w:rsidP="00FE51D7">
            <w:pPr>
              <w:rPr>
                <w:rFonts w:eastAsia="Times New Roman"/>
              </w:rPr>
            </w:pPr>
            <w:r>
              <w:t>Domiciliu</w:t>
            </w:r>
          </w:p>
        </w:tc>
      </w:tr>
      <w:tr w:rsidR="004046E8" w:rsidRPr="00FE51D7" w14:paraId="4DD7E36B" w14:textId="77777777" w:rsidTr="005652F9">
        <w:tc>
          <w:tcPr>
            <w:tcW w:w="347" w:type="pct"/>
          </w:tcPr>
          <w:p w14:paraId="764AE81F" w14:textId="77777777" w:rsidR="004046E8" w:rsidRPr="00FE51D7" w:rsidRDefault="004046E8" w:rsidP="00FE51D7">
            <w:pPr>
              <w:rPr>
                <w:rFonts w:eastAsia="Times New Roman"/>
              </w:rPr>
            </w:pPr>
            <w:r>
              <w:t>1.</w:t>
            </w:r>
          </w:p>
        </w:tc>
        <w:tc>
          <w:tcPr>
            <w:tcW w:w="1483" w:type="pct"/>
          </w:tcPr>
          <w:p w14:paraId="32B7DF87" w14:textId="77777777" w:rsidR="004046E8" w:rsidRPr="00FE51D7" w:rsidRDefault="004046E8" w:rsidP="00FE51D7">
            <w:pPr>
              <w:rPr>
                <w:rFonts w:eastAsia="Times New Roman"/>
              </w:rPr>
            </w:pPr>
            <w:r>
              <w:t>Tudora OPREA</w:t>
            </w:r>
          </w:p>
        </w:tc>
        <w:tc>
          <w:tcPr>
            <w:tcW w:w="1304" w:type="pct"/>
          </w:tcPr>
          <w:p w14:paraId="53071808" w14:textId="77777777" w:rsidR="004046E8" w:rsidRPr="00FE51D7" w:rsidRDefault="004046E8" w:rsidP="00FE51D7">
            <w:pPr>
              <w:rPr>
                <w:rFonts w:eastAsia="Times New Roman"/>
              </w:rPr>
            </w:pPr>
            <w:r>
              <w:t>1936</w:t>
            </w:r>
          </w:p>
        </w:tc>
        <w:tc>
          <w:tcPr>
            <w:tcW w:w="997" w:type="pct"/>
          </w:tcPr>
          <w:p w14:paraId="5231CA84" w14:textId="77777777" w:rsidR="004046E8" w:rsidRPr="00FE51D7" w:rsidRDefault="004046E8" w:rsidP="00FE51D7">
            <w:pPr>
              <w:rPr>
                <w:rFonts w:eastAsia="Times New Roman"/>
              </w:rPr>
            </w:pPr>
            <w:r>
              <w:t>Română</w:t>
            </w:r>
          </w:p>
        </w:tc>
        <w:tc>
          <w:tcPr>
            <w:tcW w:w="869" w:type="pct"/>
          </w:tcPr>
          <w:p w14:paraId="5B32FB19" w14:textId="77777777" w:rsidR="004046E8" w:rsidRPr="00FE51D7" w:rsidRDefault="004046E8" w:rsidP="00FE51D7">
            <w:pPr>
              <w:rPr>
                <w:rFonts w:eastAsia="Times New Roman"/>
              </w:rPr>
            </w:pPr>
            <w:r>
              <w:t>București</w:t>
            </w:r>
          </w:p>
        </w:tc>
      </w:tr>
      <w:tr w:rsidR="004046E8" w:rsidRPr="00FE51D7" w14:paraId="78B0D27A" w14:textId="77777777" w:rsidTr="005652F9">
        <w:tc>
          <w:tcPr>
            <w:tcW w:w="347" w:type="pct"/>
          </w:tcPr>
          <w:p w14:paraId="6E3C6AF1" w14:textId="77777777" w:rsidR="004046E8" w:rsidRPr="00FE51D7" w:rsidRDefault="004046E8" w:rsidP="00FE51D7">
            <w:pPr>
              <w:rPr>
                <w:rFonts w:eastAsia="Times New Roman"/>
              </w:rPr>
            </w:pPr>
            <w:r>
              <w:t>2.</w:t>
            </w:r>
          </w:p>
        </w:tc>
        <w:tc>
          <w:tcPr>
            <w:tcW w:w="1483" w:type="pct"/>
          </w:tcPr>
          <w:p w14:paraId="1EDF8F0C" w14:textId="77777777" w:rsidR="004046E8" w:rsidRPr="00FE51D7" w:rsidRDefault="004046E8" w:rsidP="00FE51D7">
            <w:pPr>
              <w:rPr>
                <w:rFonts w:eastAsia="Times New Roman"/>
              </w:rPr>
            </w:pPr>
            <w:r>
              <w:t>George OPREA</w:t>
            </w:r>
          </w:p>
        </w:tc>
        <w:tc>
          <w:tcPr>
            <w:tcW w:w="1304" w:type="pct"/>
          </w:tcPr>
          <w:p w14:paraId="017F7DA1" w14:textId="77777777" w:rsidR="004046E8" w:rsidRPr="00FE51D7" w:rsidRDefault="004046E8" w:rsidP="00FE51D7">
            <w:pPr>
              <w:rPr>
                <w:rFonts w:eastAsia="Times New Roman"/>
              </w:rPr>
            </w:pPr>
            <w:r>
              <w:t>1962</w:t>
            </w:r>
          </w:p>
        </w:tc>
        <w:tc>
          <w:tcPr>
            <w:tcW w:w="997" w:type="pct"/>
          </w:tcPr>
          <w:p w14:paraId="13033ACB" w14:textId="77777777" w:rsidR="004046E8" w:rsidRPr="00FE51D7" w:rsidRDefault="004046E8" w:rsidP="00FE51D7">
            <w:pPr>
              <w:rPr>
                <w:rFonts w:eastAsia="Times New Roman"/>
              </w:rPr>
            </w:pPr>
            <w:r>
              <w:t>Română</w:t>
            </w:r>
          </w:p>
        </w:tc>
        <w:tc>
          <w:tcPr>
            <w:tcW w:w="869" w:type="pct"/>
          </w:tcPr>
          <w:p w14:paraId="7DF34527" w14:textId="77777777" w:rsidR="004046E8" w:rsidRPr="00FE51D7" w:rsidRDefault="004046E8" w:rsidP="00FE51D7">
            <w:pPr>
              <w:rPr>
                <w:rFonts w:eastAsia="Times New Roman"/>
              </w:rPr>
            </w:pPr>
            <w:r>
              <w:t>București</w:t>
            </w:r>
          </w:p>
        </w:tc>
      </w:tr>
      <w:tr w:rsidR="004046E8" w:rsidRPr="00FE51D7" w14:paraId="6EA2AC28" w14:textId="77777777" w:rsidTr="005652F9">
        <w:tc>
          <w:tcPr>
            <w:tcW w:w="347" w:type="pct"/>
          </w:tcPr>
          <w:p w14:paraId="32878ABB" w14:textId="77777777" w:rsidR="004046E8" w:rsidRPr="00FE51D7" w:rsidRDefault="004046E8" w:rsidP="00FE51D7">
            <w:pPr>
              <w:rPr>
                <w:rFonts w:eastAsia="Times New Roman"/>
              </w:rPr>
            </w:pPr>
            <w:r>
              <w:t>3.</w:t>
            </w:r>
          </w:p>
        </w:tc>
        <w:tc>
          <w:tcPr>
            <w:tcW w:w="1483" w:type="pct"/>
          </w:tcPr>
          <w:p w14:paraId="14E1FDE1" w14:textId="77777777" w:rsidR="004046E8" w:rsidRPr="00FE51D7" w:rsidRDefault="004046E8" w:rsidP="00FE51D7">
            <w:pPr>
              <w:rPr>
                <w:rFonts w:eastAsia="Times New Roman"/>
              </w:rPr>
            </w:pPr>
            <w:r>
              <w:t>Nuți NICULAE</w:t>
            </w:r>
          </w:p>
        </w:tc>
        <w:tc>
          <w:tcPr>
            <w:tcW w:w="1304" w:type="pct"/>
          </w:tcPr>
          <w:p w14:paraId="3CD56154" w14:textId="77777777" w:rsidR="004046E8" w:rsidRPr="00FE51D7" w:rsidRDefault="004046E8" w:rsidP="00FE51D7">
            <w:pPr>
              <w:rPr>
                <w:rFonts w:eastAsia="Times New Roman"/>
              </w:rPr>
            </w:pPr>
            <w:r>
              <w:t>1966</w:t>
            </w:r>
          </w:p>
        </w:tc>
        <w:tc>
          <w:tcPr>
            <w:tcW w:w="997" w:type="pct"/>
          </w:tcPr>
          <w:p w14:paraId="61039D05" w14:textId="77777777" w:rsidR="004046E8" w:rsidRPr="00FE51D7" w:rsidRDefault="004046E8" w:rsidP="00FE51D7">
            <w:pPr>
              <w:rPr>
                <w:rFonts w:eastAsia="Times New Roman"/>
              </w:rPr>
            </w:pPr>
            <w:r>
              <w:t>Română</w:t>
            </w:r>
          </w:p>
        </w:tc>
        <w:tc>
          <w:tcPr>
            <w:tcW w:w="869" w:type="pct"/>
          </w:tcPr>
          <w:p w14:paraId="62ABA9EC" w14:textId="77777777" w:rsidR="004046E8" w:rsidRPr="00FE51D7" w:rsidRDefault="004046E8" w:rsidP="00FE51D7">
            <w:pPr>
              <w:rPr>
                <w:rFonts w:eastAsia="Times New Roman"/>
              </w:rPr>
            </w:pPr>
            <w:r>
              <w:t>București</w:t>
            </w:r>
          </w:p>
        </w:tc>
      </w:tr>
      <w:tr w:rsidR="004046E8" w:rsidRPr="00FE51D7" w14:paraId="26B4E1AC" w14:textId="77777777" w:rsidTr="005652F9">
        <w:tc>
          <w:tcPr>
            <w:tcW w:w="347" w:type="pct"/>
          </w:tcPr>
          <w:p w14:paraId="71B36A2C" w14:textId="77777777" w:rsidR="004046E8" w:rsidRPr="00FE51D7" w:rsidRDefault="004046E8" w:rsidP="00FE51D7">
            <w:pPr>
              <w:rPr>
                <w:rFonts w:eastAsia="Times New Roman"/>
              </w:rPr>
            </w:pPr>
            <w:r>
              <w:t>4.</w:t>
            </w:r>
          </w:p>
        </w:tc>
        <w:tc>
          <w:tcPr>
            <w:tcW w:w="1483" w:type="pct"/>
          </w:tcPr>
          <w:p w14:paraId="0AFD0CB4" w14:textId="77777777" w:rsidR="004046E8" w:rsidRPr="00FE51D7" w:rsidRDefault="004046E8" w:rsidP="00FE51D7">
            <w:pPr>
              <w:rPr>
                <w:rFonts w:eastAsia="Times New Roman"/>
              </w:rPr>
            </w:pPr>
            <w:r>
              <w:t>Daniela OPREA</w:t>
            </w:r>
          </w:p>
        </w:tc>
        <w:tc>
          <w:tcPr>
            <w:tcW w:w="1304" w:type="pct"/>
          </w:tcPr>
          <w:p w14:paraId="28DD0C77" w14:textId="77777777" w:rsidR="004046E8" w:rsidRPr="00FE51D7" w:rsidRDefault="004046E8" w:rsidP="00FE51D7">
            <w:pPr>
              <w:rPr>
                <w:rFonts w:eastAsia="Times New Roman"/>
              </w:rPr>
            </w:pPr>
            <w:r>
              <w:t>1968</w:t>
            </w:r>
          </w:p>
        </w:tc>
        <w:tc>
          <w:tcPr>
            <w:tcW w:w="997" w:type="pct"/>
          </w:tcPr>
          <w:p w14:paraId="4333F81D" w14:textId="77777777" w:rsidR="004046E8" w:rsidRPr="00FE51D7" w:rsidRDefault="004046E8" w:rsidP="00FE51D7">
            <w:pPr>
              <w:rPr>
                <w:rFonts w:eastAsia="Times New Roman"/>
              </w:rPr>
            </w:pPr>
            <w:r>
              <w:t>Română</w:t>
            </w:r>
          </w:p>
        </w:tc>
        <w:tc>
          <w:tcPr>
            <w:tcW w:w="869" w:type="pct"/>
          </w:tcPr>
          <w:p w14:paraId="3BC243EE" w14:textId="77777777" w:rsidR="004046E8" w:rsidRPr="00FE51D7" w:rsidRDefault="004046E8" w:rsidP="00FE51D7">
            <w:pPr>
              <w:rPr>
                <w:rFonts w:eastAsia="Times New Roman"/>
              </w:rPr>
            </w:pPr>
            <w:r>
              <w:t>București</w:t>
            </w:r>
          </w:p>
        </w:tc>
      </w:tr>
      <w:tr w:rsidR="004046E8" w:rsidRPr="00FE51D7" w14:paraId="45C820D9" w14:textId="77777777" w:rsidTr="005652F9">
        <w:tc>
          <w:tcPr>
            <w:tcW w:w="347" w:type="pct"/>
          </w:tcPr>
          <w:p w14:paraId="04423FA8" w14:textId="77777777" w:rsidR="004046E8" w:rsidRPr="00FE51D7" w:rsidRDefault="004046E8" w:rsidP="00FE51D7">
            <w:pPr>
              <w:rPr>
                <w:rFonts w:eastAsia="Times New Roman"/>
              </w:rPr>
            </w:pPr>
          </w:p>
          <w:p w14:paraId="7C90BE09" w14:textId="77777777" w:rsidR="004046E8" w:rsidRPr="00FE51D7" w:rsidRDefault="004046E8" w:rsidP="00FE51D7">
            <w:pPr>
              <w:rPr>
                <w:rFonts w:eastAsia="Times New Roman"/>
              </w:rPr>
            </w:pPr>
          </w:p>
          <w:p w14:paraId="57D74D57" w14:textId="0E730753" w:rsidR="004046E8" w:rsidRPr="00FE51D7" w:rsidRDefault="004046E8" w:rsidP="00FE51D7">
            <w:pPr>
              <w:rPr>
                <w:rFonts w:eastAsia="Times New Roman"/>
              </w:rPr>
            </w:pPr>
            <w:r>
              <w:t>5.</w:t>
            </w:r>
          </w:p>
          <w:p w14:paraId="79BED5FF" w14:textId="77777777" w:rsidR="004046E8" w:rsidRPr="00FE51D7" w:rsidRDefault="004046E8" w:rsidP="00FE51D7">
            <w:pPr>
              <w:rPr>
                <w:rFonts w:eastAsia="Times New Roman"/>
              </w:rPr>
            </w:pPr>
            <w:r>
              <w:t>6.</w:t>
            </w:r>
          </w:p>
        </w:tc>
        <w:tc>
          <w:tcPr>
            <w:tcW w:w="1483" w:type="pct"/>
          </w:tcPr>
          <w:p w14:paraId="29249E36" w14:textId="77777777" w:rsidR="004046E8" w:rsidRPr="00FE51D7" w:rsidRDefault="004046E8" w:rsidP="00FE51D7">
            <w:pPr>
              <w:rPr>
                <w:rFonts w:eastAsia="Times New Roman"/>
              </w:rPr>
            </w:pPr>
            <w:r>
              <w:t>Gabriel OPREA,</w:t>
            </w:r>
          </w:p>
          <w:p w14:paraId="7CD639C8" w14:textId="28B90D4B" w:rsidR="004046E8" w:rsidRPr="00FE51D7" w:rsidRDefault="004046E8" w:rsidP="00FE51D7">
            <w:pPr>
              <w:rPr>
                <w:rFonts w:eastAsia="Times New Roman"/>
              </w:rPr>
            </w:pPr>
            <w:r>
              <w:t>succedat de:</w:t>
            </w:r>
          </w:p>
          <w:p w14:paraId="4173A864" w14:textId="6F69AC59" w:rsidR="004046E8" w:rsidRPr="00FE51D7" w:rsidRDefault="004046E8" w:rsidP="00FE51D7">
            <w:pPr>
              <w:rPr>
                <w:rFonts w:eastAsia="Times New Roman"/>
              </w:rPr>
            </w:pPr>
            <w:r>
              <w:t>Veronica OPREA George-Laurenţiu OPREA</w:t>
            </w:r>
          </w:p>
        </w:tc>
        <w:tc>
          <w:tcPr>
            <w:tcW w:w="1304" w:type="pct"/>
          </w:tcPr>
          <w:p w14:paraId="0D0FCC30" w14:textId="77777777" w:rsidR="004046E8" w:rsidRPr="00FE51D7" w:rsidRDefault="004046E8" w:rsidP="00FE51D7">
            <w:pPr>
              <w:rPr>
                <w:rFonts w:eastAsia="Times New Roman"/>
              </w:rPr>
            </w:pPr>
            <w:r>
              <w:t>1969</w:t>
            </w:r>
          </w:p>
          <w:p w14:paraId="32190855" w14:textId="32C7566B" w:rsidR="004046E8" w:rsidRPr="00FE51D7" w:rsidRDefault="004046E8" w:rsidP="00FE51D7">
            <w:pPr>
              <w:rPr>
                <w:rFonts w:eastAsia="Times New Roman"/>
              </w:rPr>
            </w:pPr>
            <w:r>
              <w:t>(decedat în 2021)</w:t>
            </w:r>
          </w:p>
          <w:p w14:paraId="056175E1" w14:textId="77777777" w:rsidR="004046E8" w:rsidRPr="00FE51D7" w:rsidRDefault="004046E8" w:rsidP="00FE51D7">
            <w:pPr>
              <w:rPr>
                <w:rFonts w:eastAsia="Times New Roman"/>
              </w:rPr>
            </w:pPr>
            <w:r>
              <w:t>1969</w:t>
            </w:r>
          </w:p>
          <w:p w14:paraId="06F3F9C8" w14:textId="77777777" w:rsidR="004046E8" w:rsidRPr="00FE51D7" w:rsidRDefault="004046E8" w:rsidP="00FE51D7">
            <w:pPr>
              <w:rPr>
                <w:rFonts w:eastAsia="Times New Roman"/>
              </w:rPr>
            </w:pPr>
          </w:p>
          <w:p w14:paraId="58C2143E" w14:textId="77777777" w:rsidR="004046E8" w:rsidRPr="00FE51D7" w:rsidRDefault="004046E8" w:rsidP="00FE51D7">
            <w:pPr>
              <w:rPr>
                <w:rFonts w:eastAsia="Times New Roman"/>
              </w:rPr>
            </w:pPr>
            <w:r>
              <w:t>1995</w:t>
            </w:r>
          </w:p>
        </w:tc>
        <w:tc>
          <w:tcPr>
            <w:tcW w:w="997" w:type="pct"/>
          </w:tcPr>
          <w:p w14:paraId="288F7D45" w14:textId="77777777" w:rsidR="004046E8" w:rsidRPr="00FE51D7" w:rsidRDefault="004046E8" w:rsidP="00FE51D7">
            <w:pPr>
              <w:rPr>
                <w:rFonts w:eastAsia="Times New Roman"/>
              </w:rPr>
            </w:pPr>
            <w:r>
              <w:t>Română</w:t>
            </w:r>
          </w:p>
          <w:p w14:paraId="23C58561" w14:textId="299C0221" w:rsidR="004046E8" w:rsidRPr="00FE51D7" w:rsidRDefault="004046E8" w:rsidP="00FE51D7">
            <w:pPr>
              <w:rPr>
                <w:rFonts w:eastAsia="Times New Roman"/>
              </w:rPr>
            </w:pPr>
          </w:p>
          <w:p w14:paraId="6B9A8E63" w14:textId="77777777" w:rsidR="004046E8" w:rsidRPr="00FE51D7" w:rsidRDefault="004046E8" w:rsidP="00FE51D7">
            <w:pPr>
              <w:rPr>
                <w:rFonts w:eastAsia="Times New Roman"/>
              </w:rPr>
            </w:pPr>
            <w:r>
              <w:t>Română</w:t>
            </w:r>
          </w:p>
          <w:p w14:paraId="235555FE" w14:textId="77777777" w:rsidR="004046E8" w:rsidRPr="00FE51D7" w:rsidRDefault="004046E8" w:rsidP="00FE51D7">
            <w:pPr>
              <w:rPr>
                <w:rFonts w:eastAsia="Times New Roman"/>
              </w:rPr>
            </w:pPr>
          </w:p>
          <w:p w14:paraId="1BD0A5A7" w14:textId="77777777" w:rsidR="004046E8" w:rsidRPr="00FE51D7" w:rsidRDefault="004046E8" w:rsidP="00FE51D7">
            <w:pPr>
              <w:rPr>
                <w:rFonts w:eastAsia="Times New Roman"/>
              </w:rPr>
            </w:pPr>
            <w:r>
              <w:t>Română</w:t>
            </w:r>
          </w:p>
        </w:tc>
        <w:tc>
          <w:tcPr>
            <w:tcW w:w="869" w:type="pct"/>
          </w:tcPr>
          <w:p w14:paraId="2E6FA9DF" w14:textId="77777777" w:rsidR="004046E8" w:rsidRPr="00FE51D7" w:rsidRDefault="004046E8" w:rsidP="00FE51D7">
            <w:pPr>
              <w:rPr>
                <w:rFonts w:eastAsia="Times New Roman"/>
              </w:rPr>
            </w:pPr>
            <w:r>
              <w:t>București</w:t>
            </w:r>
          </w:p>
          <w:p w14:paraId="0CD49E51" w14:textId="668A0390" w:rsidR="004046E8" w:rsidRPr="00FE51D7" w:rsidRDefault="004046E8" w:rsidP="00FE51D7">
            <w:pPr>
              <w:rPr>
                <w:rFonts w:eastAsia="Times New Roman"/>
              </w:rPr>
            </w:pPr>
          </w:p>
          <w:p w14:paraId="53CA35C8" w14:textId="77777777" w:rsidR="004046E8" w:rsidRPr="00FE51D7" w:rsidRDefault="004046E8" w:rsidP="00FE51D7">
            <w:pPr>
              <w:rPr>
                <w:rFonts w:eastAsia="Times New Roman"/>
              </w:rPr>
            </w:pPr>
            <w:r>
              <w:t>București</w:t>
            </w:r>
          </w:p>
          <w:p w14:paraId="0F7E27E1" w14:textId="77777777" w:rsidR="004046E8" w:rsidRPr="00FE51D7" w:rsidRDefault="004046E8" w:rsidP="00FE51D7">
            <w:pPr>
              <w:rPr>
                <w:rFonts w:eastAsia="Times New Roman"/>
              </w:rPr>
            </w:pPr>
          </w:p>
          <w:p w14:paraId="75CC9DA1" w14:textId="77777777" w:rsidR="004046E8" w:rsidRPr="00FE51D7" w:rsidRDefault="004046E8" w:rsidP="00FE51D7">
            <w:pPr>
              <w:rPr>
                <w:rFonts w:eastAsia="Times New Roman"/>
              </w:rPr>
            </w:pPr>
            <w:r>
              <w:t>București</w:t>
            </w:r>
          </w:p>
        </w:tc>
      </w:tr>
    </w:tbl>
    <w:p w14:paraId="2262069F" w14:textId="77777777" w:rsidR="004046E8" w:rsidRPr="00FE51D7" w:rsidRDefault="004046E8" w:rsidP="00FE51D7">
      <w:pPr>
        <w:ind w:firstLine="284"/>
        <w:rPr>
          <w:rFonts w:ascii="Times New Roman" w:eastAsia="Times New Roman" w:hAnsi="Times New Roman" w:cs="Times New Roman"/>
        </w:rPr>
      </w:pPr>
    </w:p>
    <w:sectPr w:rsidR="004046E8" w:rsidRPr="00FE51D7" w:rsidSect="00321F8E">
      <w:headerReference w:type="even" r:id="rId20"/>
      <w:headerReference w:type="default" r:id="rId21"/>
      <w:footerReference w:type="default" r:id="rId22"/>
      <w:footnotePr>
        <w:numRestart w:val="eachSect"/>
      </w:footnotePr>
      <w:pgSz w:w="11906" w:h="16838" w:code="9"/>
      <w:pgMar w:top="1134" w:right="1134" w:bottom="1134" w:left="1701"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27069" w14:textId="77777777" w:rsidR="001814FD" w:rsidRPr="004046E8" w:rsidRDefault="001814FD" w:rsidP="00516B59">
      <w:r w:rsidRPr="004046E8">
        <w:separator/>
      </w:r>
    </w:p>
  </w:endnote>
  <w:endnote w:type="continuationSeparator" w:id="0">
    <w:p w14:paraId="1F965B73" w14:textId="77777777" w:rsidR="001814FD" w:rsidRPr="004046E8" w:rsidRDefault="001814FD" w:rsidP="00516B59">
      <w:r w:rsidRPr="00404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05B7D" w14:textId="59DF688B" w:rsidR="00954AD6" w:rsidRPr="004046E8" w:rsidRDefault="004046E8" w:rsidP="00954AD6">
    <w:pPr>
      <w:pStyle w:val="JuHead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29C7" w14:textId="05F2F893" w:rsidR="004046E8" w:rsidRPr="00150BFA" w:rsidRDefault="004046E8" w:rsidP="0020718E">
    <w:pPr>
      <w:jc w:val="center"/>
    </w:pPr>
    <w:r>
      <w:rPr>
        <w:noProof/>
        <w:lang w:val="en-US"/>
      </w:rPr>
      <w:drawing>
        <wp:inline distT="0" distB="0" distL="0" distR="0" wp14:anchorId="225FD122" wp14:editId="50E6CC88">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94EB0C2" w14:textId="41416CAD" w:rsidR="00F22D5C" w:rsidRPr="004046E8" w:rsidRDefault="001814FD"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81F0F" w14:textId="2221EF3C" w:rsidR="004046E8" w:rsidRPr="00150BFA" w:rsidRDefault="004046E8" w:rsidP="0020718E">
    <w:pPr>
      <w:jc w:val="center"/>
    </w:pPr>
    <w:r>
      <w:rPr>
        <w:noProof/>
        <w:lang w:val="en-US"/>
      </w:rPr>
      <w:drawing>
        <wp:inline distT="0" distB="0" distL="0" distR="0" wp14:anchorId="0376B0F1" wp14:editId="7B6EAEAA">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C0E2516" w14:textId="602FBAE6" w:rsidR="00902601" w:rsidRPr="004046E8"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8D1DE" w14:textId="34FD1C4E" w:rsidR="004046E8" w:rsidRDefault="004046E8" w:rsidP="00C149F0">
    <w:pPr>
      <w:pStyle w:val="JuHeader"/>
    </w:pPr>
    <w:r>
      <w:rPr>
        <w:rStyle w:val="PageNumber"/>
      </w:rPr>
      <w:fldChar w:fldCharType="begin"/>
    </w:r>
    <w:r>
      <w:rPr>
        <w:rStyle w:val="PageNumber"/>
      </w:rPr>
      <w:instrText xml:space="preserve"> PAGE </w:instrText>
    </w:r>
    <w:r>
      <w:rPr>
        <w:rStyle w:val="PageNumber"/>
      </w:rPr>
      <w:fldChar w:fldCharType="separate"/>
    </w:r>
    <w:r w:rsidR="000D4E38">
      <w:rPr>
        <w:rStyle w:val="PageNumber"/>
        <w:noProof/>
      </w:rPr>
      <w:t>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04072" w14:textId="3A5EC39B" w:rsidR="004046E8" w:rsidRDefault="004046E8" w:rsidP="00662882">
    <w:pPr>
      <w:pStyle w:val="JuHeader"/>
    </w:pPr>
    <w:r>
      <w:fldChar w:fldCharType="begin"/>
    </w:r>
    <w:r>
      <w:instrText xml:space="preserve"> PAGE </w:instrText>
    </w:r>
    <w:r>
      <w:fldChar w:fldCharType="separate"/>
    </w:r>
    <w:r w:rsidR="000D4E38">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6136C" w14:textId="620DE75F" w:rsidR="00F22D5C" w:rsidRPr="00D01935" w:rsidRDefault="004046E8" w:rsidP="00662882">
    <w:pPr>
      <w:pStyle w:val="JuHeader"/>
    </w:pPr>
    <w:r>
      <w:fldChar w:fldCharType="begin"/>
    </w:r>
    <w:r>
      <w:instrText xml:space="preserve"> PAGE </w:instrText>
    </w:r>
    <w:r>
      <w:fldChar w:fldCharType="separate"/>
    </w:r>
    <w:r w:rsidR="000D4E3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0F7AB" w14:textId="77777777" w:rsidR="001814FD" w:rsidRPr="004046E8" w:rsidRDefault="001814FD" w:rsidP="00516B59">
      <w:r w:rsidRPr="004046E8">
        <w:separator/>
      </w:r>
    </w:p>
  </w:footnote>
  <w:footnote w:type="continuationSeparator" w:id="0">
    <w:p w14:paraId="2B0E56FA" w14:textId="77777777" w:rsidR="001814FD" w:rsidRPr="004046E8" w:rsidRDefault="001814FD" w:rsidP="00516B59">
      <w:r w:rsidRPr="00404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73C3A" w14:textId="4F976527" w:rsidR="004046E8" w:rsidRPr="00A45145" w:rsidRDefault="004046E8" w:rsidP="00A45145">
    <w:pPr>
      <w:jc w:val="center"/>
    </w:pPr>
    <w:r>
      <w:rPr>
        <w:noProof/>
        <w:lang w:val="en-US"/>
      </w:rPr>
      <w:drawing>
        <wp:inline distT="0" distB="0" distL="0" distR="0" wp14:anchorId="61B9680A" wp14:editId="20D93687">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6F02AA9" w14:textId="480DAC4A" w:rsidR="00F22D5C" w:rsidRPr="004046E8" w:rsidRDefault="001814FD"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5840B" w14:textId="0B18276C" w:rsidR="00DD590D" w:rsidRDefault="00DD590D" w:rsidP="00DD590D">
    <w:pPr>
      <w:jc w:val="right"/>
      <w:rPr>
        <w:noProof/>
        <w:lang w:val="en-US"/>
      </w:rPr>
    </w:pPr>
    <w:r>
      <w:rPr>
        <w:noProof/>
        <w:lang w:val="en-US"/>
      </w:rPr>
      <w:t xml:space="preserve">Tradus </w:t>
    </w:r>
    <w:r>
      <w:rPr>
        <w:noProof/>
      </w:rPr>
      <w:t>și revizuit de IER (</w:t>
    </w:r>
    <w:r w:rsidRPr="00DD590D">
      <w:rPr>
        <w:noProof/>
      </w:rPr>
      <w:t>http://ier.gov.ro/</w:t>
    </w:r>
    <w:r>
      <w:rPr>
        <w:noProof/>
      </w:rPr>
      <w:t>)</w:t>
    </w:r>
  </w:p>
  <w:p w14:paraId="30F91BF7" w14:textId="2153F688" w:rsidR="00DD590D" w:rsidRDefault="004046E8" w:rsidP="00A45145">
    <w:pPr>
      <w:jc w:val="center"/>
      <w:rPr>
        <w:noProof/>
        <w:lang w:val="en-US"/>
      </w:rPr>
    </w:pPr>
    <w:r>
      <w:rPr>
        <w:noProof/>
        <w:lang w:val="en-US"/>
      </w:rPr>
      <w:drawing>
        <wp:inline distT="0" distB="0" distL="0" distR="0" wp14:anchorId="28CA5F4B" wp14:editId="644034DA">
          <wp:extent cx="2962275" cy="1219200"/>
          <wp:effectExtent l="0" t="0" r="9525" b="0"/>
          <wp:docPr id="62" name="Picture 6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0B3835E" w14:textId="6522F598" w:rsidR="004046E8" w:rsidRPr="00A45145" w:rsidRDefault="00DD590D" w:rsidP="00DD590D">
    <w:pPr>
      <w:jc w:val="right"/>
    </w:pPr>
    <w:r w:rsidRPr="00DD590D">
      <w:rPr>
        <w:noProof/>
        <w:lang w:val="en-US"/>
      </w:rPr>
      <w:t xml:space="preserve"> </w:t>
    </w:r>
  </w:p>
  <w:p w14:paraId="5C68EB94" w14:textId="5575F8D8" w:rsidR="00902601" w:rsidRPr="004046E8"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9FE56" w14:textId="5713CCC4" w:rsidR="004046E8" w:rsidRPr="00F5432B" w:rsidRDefault="004046E8" w:rsidP="00C149F0">
    <w:pPr>
      <w:pStyle w:val="JuHeader"/>
    </w:pPr>
    <w:r>
      <w:t xml:space="preserve">HOTĂRÂREA OPREA ȘI ALȚII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2636" w14:textId="136EF358" w:rsidR="004046E8" w:rsidRPr="007100AD" w:rsidRDefault="004046E8" w:rsidP="00662882">
    <w:pPr>
      <w:pStyle w:val="JuHeader"/>
    </w:pPr>
    <w:r>
      <w:t xml:space="preserve">HOTĂRÂREA OPREA ȘI ALȚII ÎMPOTRIVA ROMÂNIEI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24F45" w14:textId="452A7695" w:rsidR="00F22D5C" w:rsidRPr="00876F81" w:rsidRDefault="00A21624" w:rsidP="00A21624">
    <w:pPr>
      <w:pStyle w:val="JuHeader"/>
    </w:pPr>
    <w:r>
      <w:t xml:space="preserve">HOTĂRÂREA </w:t>
    </w:r>
    <w:r>
      <w:t xml:space="preserve">OPREA ȘI ALȚII ÎMPOTRIVA ROMÂNIEI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28610" w14:textId="78504114" w:rsidR="00F22D5C" w:rsidRPr="00662882" w:rsidRDefault="00256F45" w:rsidP="00662882">
    <w:pPr>
      <w:pStyle w:val="JuHeader"/>
    </w:pPr>
    <w:r>
      <w:t xml:space="preserve">HOTĂRÂREA </w:t>
    </w:r>
    <w:r>
      <w:t xml:space="preserve">OPREA ȘI ALȚII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3"/>
    <w:docVar w:name="SignForeName" w:val="0"/>
    <w:docVar w:name="SndCaseNumber" w:val="Error!Nodocumentvariablesupplied."/>
  </w:docVars>
  <w:rsids>
    <w:rsidRoot w:val="004046E8"/>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0C54"/>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4E38"/>
    <w:rsid w:val="000D721F"/>
    <w:rsid w:val="000D7691"/>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4FD"/>
    <w:rsid w:val="00181508"/>
    <w:rsid w:val="001832BD"/>
    <w:rsid w:val="001943B5"/>
    <w:rsid w:val="00194C5B"/>
    <w:rsid w:val="00195134"/>
    <w:rsid w:val="001A145B"/>
    <w:rsid w:val="001A2684"/>
    <w:rsid w:val="001A674C"/>
    <w:rsid w:val="001B3B24"/>
    <w:rsid w:val="001C0F98"/>
    <w:rsid w:val="001C2A42"/>
    <w:rsid w:val="001C2B5C"/>
    <w:rsid w:val="001D50B3"/>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47447"/>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1F8E"/>
    <w:rsid w:val="0032463E"/>
    <w:rsid w:val="00326224"/>
    <w:rsid w:val="00337EE4"/>
    <w:rsid w:val="00340FFD"/>
    <w:rsid w:val="003471AF"/>
    <w:rsid w:val="003506B1"/>
    <w:rsid w:val="00356AC7"/>
    <w:rsid w:val="003609FA"/>
    <w:rsid w:val="00361D45"/>
    <w:rsid w:val="00367B4F"/>
    <w:rsid w:val="003710C8"/>
    <w:rsid w:val="003722CE"/>
    <w:rsid w:val="003750BE"/>
    <w:rsid w:val="00382020"/>
    <w:rsid w:val="00387B9D"/>
    <w:rsid w:val="0039364F"/>
    <w:rsid w:val="00396686"/>
    <w:rsid w:val="0039778E"/>
    <w:rsid w:val="003A37B8"/>
    <w:rsid w:val="003B4941"/>
    <w:rsid w:val="003B6A2E"/>
    <w:rsid w:val="003B72D1"/>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046E8"/>
    <w:rsid w:val="00407366"/>
    <w:rsid w:val="0041177B"/>
    <w:rsid w:val="00414300"/>
    <w:rsid w:val="00425C67"/>
    <w:rsid w:val="00427E7A"/>
    <w:rsid w:val="00431C07"/>
    <w:rsid w:val="004344E6"/>
    <w:rsid w:val="00436C49"/>
    <w:rsid w:val="00445366"/>
    <w:rsid w:val="004471DB"/>
    <w:rsid w:val="00447F5B"/>
    <w:rsid w:val="00456549"/>
    <w:rsid w:val="0045787A"/>
    <w:rsid w:val="004604A0"/>
    <w:rsid w:val="00461DB0"/>
    <w:rsid w:val="00463926"/>
    <w:rsid w:val="00464C9A"/>
    <w:rsid w:val="00474F3D"/>
    <w:rsid w:val="0047726F"/>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11AF"/>
    <w:rsid w:val="005442EE"/>
    <w:rsid w:val="00547353"/>
    <w:rsid w:val="005474E7"/>
    <w:rsid w:val="005512A3"/>
    <w:rsid w:val="005578CE"/>
    <w:rsid w:val="00562781"/>
    <w:rsid w:val="005652F9"/>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6F6851"/>
    <w:rsid w:val="00703E9A"/>
    <w:rsid w:val="00715127"/>
    <w:rsid w:val="00715E8E"/>
    <w:rsid w:val="007172B0"/>
    <w:rsid w:val="00723580"/>
    <w:rsid w:val="00723755"/>
    <w:rsid w:val="00724AE2"/>
    <w:rsid w:val="0072784E"/>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76F81"/>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5511B"/>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0D8F"/>
    <w:rsid w:val="00A82359"/>
    <w:rsid w:val="00A865D2"/>
    <w:rsid w:val="00A94C20"/>
    <w:rsid w:val="00AA227F"/>
    <w:rsid w:val="00AA3BC7"/>
    <w:rsid w:val="00AA754A"/>
    <w:rsid w:val="00AB099E"/>
    <w:rsid w:val="00AB1B8A"/>
    <w:rsid w:val="00AB4328"/>
    <w:rsid w:val="00AB5628"/>
    <w:rsid w:val="00AC00C2"/>
    <w:rsid w:val="00AC5872"/>
    <w:rsid w:val="00AD2473"/>
    <w:rsid w:val="00AE0A2E"/>
    <w:rsid w:val="00AE354C"/>
    <w:rsid w:val="00AF4B07"/>
    <w:rsid w:val="00AF6186"/>
    <w:rsid w:val="00AF7A3A"/>
    <w:rsid w:val="00B009F4"/>
    <w:rsid w:val="00B128E5"/>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B9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281B"/>
    <w:rsid w:val="00C53F4A"/>
    <w:rsid w:val="00C54125"/>
    <w:rsid w:val="00C55B54"/>
    <w:rsid w:val="00C6098E"/>
    <w:rsid w:val="00C6152C"/>
    <w:rsid w:val="00C74810"/>
    <w:rsid w:val="00C81ACF"/>
    <w:rsid w:val="00C90D68"/>
    <w:rsid w:val="00C939FE"/>
    <w:rsid w:val="00CA4BDA"/>
    <w:rsid w:val="00CA7C61"/>
    <w:rsid w:val="00CB1F66"/>
    <w:rsid w:val="00CB2951"/>
    <w:rsid w:val="00CD223B"/>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3BDF"/>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590D"/>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3B70"/>
    <w:rsid w:val="00E275D7"/>
    <w:rsid w:val="00E27DBE"/>
    <w:rsid w:val="00E32AB1"/>
    <w:rsid w:val="00E36C71"/>
    <w:rsid w:val="00E40404"/>
    <w:rsid w:val="00E43688"/>
    <w:rsid w:val="00E459C6"/>
    <w:rsid w:val="00E47589"/>
    <w:rsid w:val="00E53F6A"/>
    <w:rsid w:val="00E64915"/>
    <w:rsid w:val="00E661D4"/>
    <w:rsid w:val="00E6632D"/>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C6C3C"/>
    <w:rsid w:val="00FD1005"/>
    <w:rsid w:val="00FD61AA"/>
    <w:rsid w:val="00FD6C75"/>
    <w:rsid w:val="00FD7649"/>
    <w:rsid w:val="00FE51D7"/>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A6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E51D7"/>
    <w:rPr>
      <w:sz w:val="24"/>
      <w:szCs w:val="24"/>
    </w:rPr>
  </w:style>
  <w:style w:type="paragraph" w:styleId="Heading1">
    <w:name w:val="heading 1"/>
    <w:basedOn w:val="Normal"/>
    <w:next w:val="Normal"/>
    <w:link w:val="Heading1Char"/>
    <w:uiPriority w:val="98"/>
    <w:semiHidden/>
    <w:rsid w:val="00FE51D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E51D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E51D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E51D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E51D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E51D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E51D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E51D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E51D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E51D7"/>
    <w:rPr>
      <w:rFonts w:ascii="Tahoma" w:hAnsi="Tahoma" w:cs="Tahoma"/>
      <w:sz w:val="16"/>
      <w:szCs w:val="16"/>
    </w:rPr>
  </w:style>
  <w:style w:type="character" w:customStyle="1" w:styleId="BalloonTextChar">
    <w:name w:val="Balloon Text Char"/>
    <w:basedOn w:val="DefaultParagraphFont"/>
    <w:link w:val="BalloonText"/>
    <w:uiPriority w:val="98"/>
    <w:semiHidden/>
    <w:rsid w:val="00FE51D7"/>
    <w:rPr>
      <w:rFonts w:ascii="Tahoma" w:hAnsi="Tahoma" w:cs="Tahoma"/>
      <w:sz w:val="16"/>
      <w:szCs w:val="16"/>
      <w:lang w:val="ro-RO"/>
    </w:rPr>
  </w:style>
  <w:style w:type="character" w:styleId="BookTitle">
    <w:name w:val="Book Title"/>
    <w:uiPriority w:val="98"/>
    <w:semiHidden/>
    <w:qFormat/>
    <w:rsid w:val="00FE51D7"/>
    <w:rPr>
      <w:i/>
      <w:iCs/>
      <w:smallCaps/>
      <w:spacing w:val="5"/>
    </w:rPr>
  </w:style>
  <w:style w:type="paragraph" w:customStyle="1" w:styleId="JuHeader">
    <w:name w:val="Ju_Header"/>
    <w:aliases w:val="_Header"/>
    <w:basedOn w:val="Header"/>
    <w:uiPriority w:val="29"/>
    <w:qFormat/>
    <w:rsid w:val="00FE51D7"/>
    <w:pPr>
      <w:tabs>
        <w:tab w:val="clear" w:pos="4536"/>
        <w:tab w:val="clear" w:pos="9072"/>
      </w:tabs>
      <w:jc w:val="center"/>
    </w:pPr>
    <w:rPr>
      <w:sz w:val="18"/>
    </w:rPr>
  </w:style>
  <w:style w:type="paragraph" w:customStyle="1" w:styleId="DummyStyle">
    <w:name w:val="Dummy_Style"/>
    <w:aliases w:val="_Dummy"/>
    <w:basedOn w:val="Normal"/>
    <w:semiHidden/>
    <w:qFormat/>
    <w:rsid w:val="00FE51D7"/>
    <w:rPr>
      <w:color w:val="00B050"/>
      <w:sz w:val="22"/>
    </w:rPr>
  </w:style>
  <w:style w:type="character" w:styleId="Strong">
    <w:name w:val="Strong"/>
    <w:uiPriority w:val="98"/>
    <w:semiHidden/>
    <w:qFormat/>
    <w:rsid w:val="00FE51D7"/>
    <w:rPr>
      <w:b/>
      <w:bCs/>
    </w:rPr>
  </w:style>
  <w:style w:type="paragraph" w:styleId="NoSpacing">
    <w:name w:val="No Spacing"/>
    <w:basedOn w:val="Normal"/>
    <w:link w:val="NoSpacingChar"/>
    <w:uiPriority w:val="98"/>
    <w:semiHidden/>
    <w:qFormat/>
    <w:rsid w:val="00FE51D7"/>
  </w:style>
  <w:style w:type="character" w:customStyle="1" w:styleId="NoSpacingChar">
    <w:name w:val="No Spacing Char"/>
    <w:basedOn w:val="DefaultParagraphFont"/>
    <w:link w:val="NoSpacing"/>
    <w:uiPriority w:val="98"/>
    <w:semiHidden/>
    <w:rsid w:val="00FE51D7"/>
    <w:rPr>
      <w:sz w:val="24"/>
      <w:szCs w:val="24"/>
      <w:lang w:val="ro-RO"/>
    </w:rPr>
  </w:style>
  <w:style w:type="paragraph" w:customStyle="1" w:styleId="JuQuot">
    <w:name w:val="Ju_Quot"/>
    <w:aliases w:val="_Quote"/>
    <w:basedOn w:val="NormalJustified"/>
    <w:uiPriority w:val="20"/>
    <w:qFormat/>
    <w:rsid w:val="00FE51D7"/>
    <w:pPr>
      <w:spacing w:before="120" w:after="120"/>
      <w:ind w:left="425" w:firstLine="142"/>
    </w:pPr>
    <w:rPr>
      <w:sz w:val="20"/>
    </w:rPr>
  </w:style>
  <w:style w:type="paragraph" w:customStyle="1" w:styleId="JuList">
    <w:name w:val="Ju_List"/>
    <w:aliases w:val="_List_1"/>
    <w:basedOn w:val="NormalJustified"/>
    <w:uiPriority w:val="23"/>
    <w:qFormat/>
    <w:rsid w:val="00FE51D7"/>
    <w:pPr>
      <w:numPr>
        <w:numId w:val="16"/>
      </w:numPr>
      <w:spacing w:before="280" w:after="60"/>
    </w:pPr>
  </w:style>
  <w:style w:type="paragraph" w:customStyle="1" w:styleId="JuLista">
    <w:name w:val="Ju_List_a"/>
    <w:aliases w:val="_List_2"/>
    <w:basedOn w:val="NormalJustified"/>
    <w:uiPriority w:val="23"/>
    <w:rsid w:val="00FE51D7"/>
    <w:pPr>
      <w:numPr>
        <w:ilvl w:val="1"/>
        <w:numId w:val="16"/>
      </w:numPr>
    </w:pPr>
  </w:style>
  <w:style w:type="paragraph" w:customStyle="1" w:styleId="JuListi">
    <w:name w:val="Ju_List_i"/>
    <w:aliases w:val="_List_3"/>
    <w:basedOn w:val="NormalJustified"/>
    <w:uiPriority w:val="23"/>
    <w:rsid w:val="00FE51D7"/>
    <w:pPr>
      <w:numPr>
        <w:ilvl w:val="2"/>
        <w:numId w:val="16"/>
      </w:numPr>
    </w:pPr>
  </w:style>
  <w:style w:type="paragraph" w:customStyle="1" w:styleId="DecHTitle">
    <w:name w:val="Dec_H_Title"/>
    <w:aliases w:val="_Title_1"/>
    <w:basedOn w:val="JuPara"/>
    <w:next w:val="JuPara"/>
    <w:uiPriority w:val="38"/>
    <w:qFormat/>
    <w:rsid w:val="00FE51D7"/>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FE51D7"/>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FE51D7"/>
    <w:pPr>
      <w:keepNext/>
      <w:keepLines/>
      <w:tabs>
        <w:tab w:val="right" w:pos="7938"/>
      </w:tabs>
      <w:ind w:firstLine="0"/>
      <w:jc w:val="center"/>
    </w:pPr>
    <w:rPr>
      <w:i/>
    </w:rPr>
  </w:style>
  <w:style w:type="numbering" w:customStyle="1" w:styleId="ECHRA1StyleBulletedSquare">
    <w:name w:val="ECHR_A1_Style_Bulleted_Square"/>
    <w:basedOn w:val="NoList"/>
    <w:rsid w:val="00FE51D7"/>
    <w:pPr>
      <w:numPr>
        <w:numId w:val="15"/>
      </w:numPr>
    </w:pPr>
  </w:style>
  <w:style w:type="paragraph" w:customStyle="1" w:styleId="JuHHead">
    <w:name w:val="Ju_H_Head"/>
    <w:aliases w:val="_Head_1"/>
    <w:basedOn w:val="Heading1"/>
    <w:next w:val="JuPara"/>
    <w:uiPriority w:val="17"/>
    <w:qFormat/>
    <w:rsid w:val="00FE51D7"/>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FE51D7"/>
    <w:pPr>
      <w:numPr>
        <w:numId w:val="16"/>
      </w:numPr>
    </w:pPr>
  </w:style>
  <w:style w:type="paragraph" w:customStyle="1" w:styleId="JuSigned">
    <w:name w:val="Ju_Signed"/>
    <w:aliases w:val="_Signature"/>
    <w:basedOn w:val="Normal"/>
    <w:next w:val="JuPara"/>
    <w:uiPriority w:val="31"/>
    <w:qFormat/>
    <w:rsid w:val="00FE51D7"/>
    <w:pPr>
      <w:tabs>
        <w:tab w:val="center" w:pos="1418"/>
        <w:tab w:val="center" w:pos="5954"/>
      </w:tabs>
      <w:spacing w:before="720"/>
    </w:pPr>
  </w:style>
  <w:style w:type="paragraph" w:styleId="Title">
    <w:name w:val="Title"/>
    <w:basedOn w:val="Normal"/>
    <w:next w:val="Normal"/>
    <w:link w:val="TitleChar"/>
    <w:uiPriority w:val="98"/>
    <w:semiHidden/>
    <w:qFormat/>
    <w:rsid w:val="00FE51D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E51D7"/>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FE51D7"/>
    <w:pPr>
      <w:numPr>
        <w:numId w:val="17"/>
      </w:numPr>
    </w:pPr>
  </w:style>
  <w:style w:type="table" w:customStyle="1" w:styleId="ECHRTable2019">
    <w:name w:val="ECHR_Table_2019"/>
    <w:basedOn w:val="TableNormal"/>
    <w:uiPriority w:val="99"/>
    <w:rsid w:val="00FE51D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FE51D7"/>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FE51D7"/>
    <w:pPr>
      <w:tabs>
        <w:tab w:val="center" w:pos="6407"/>
      </w:tabs>
      <w:spacing w:before="720"/>
      <w:jc w:val="right"/>
    </w:pPr>
  </w:style>
  <w:style w:type="paragraph" w:customStyle="1" w:styleId="JuHIRoman">
    <w:name w:val="Ju_H_I_Roman"/>
    <w:aliases w:val="_Head_2"/>
    <w:basedOn w:val="Heading2"/>
    <w:next w:val="JuPara"/>
    <w:uiPriority w:val="17"/>
    <w:qFormat/>
    <w:rsid w:val="00FE51D7"/>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E51D7"/>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E51D7"/>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FE51D7"/>
    <w:pPr>
      <w:tabs>
        <w:tab w:val="center" w:pos="4536"/>
        <w:tab w:val="right" w:pos="9072"/>
      </w:tabs>
    </w:pPr>
  </w:style>
  <w:style w:type="character" w:customStyle="1" w:styleId="HeaderChar">
    <w:name w:val="Header Char"/>
    <w:basedOn w:val="DefaultParagraphFont"/>
    <w:link w:val="Header"/>
    <w:uiPriority w:val="98"/>
    <w:semiHidden/>
    <w:rsid w:val="00FE51D7"/>
    <w:rPr>
      <w:sz w:val="24"/>
      <w:szCs w:val="24"/>
      <w:lang w:val="ro-RO"/>
    </w:rPr>
  </w:style>
  <w:style w:type="character" w:customStyle="1" w:styleId="Heading1Char">
    <w:name w:val="Heading 1 Char"/>
    <w:basedOn w:val="DefaultParagraphFont"/>
    <w:link w:val="Heading1"/>
    <w:uiPriority w:val="98"/>
    <w:semiHidden/>
    <w:rsid w:val="00FE51D7"/>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FE51D7"/>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FE51D7"/>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E51D7"/>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FE51D7"/>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E51D7"/>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FE51D7"/>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FE51D7"/>
    <w:pPr>
      <w:keepNext/>
      <w:keepLines/>
      <w:spacing w:before="240" w:after="240"/>
      <w:ind w:firstLine="284"/>
    </w:pPr>
  </w:style>
  <w:style w:type="paragraph" w:customStyle="1" w:styleId="JuJudges">
    <w:name w:val="Ju_Judges"/>
    <w:aliases w:val="_Judges"/>
    <w:basedOn w:val="Normal"/>
    <w:uiPriority w:val="32"/>
    <w:qFormat/>
    <w:rsid w:val="00FE51D7"/>
    <w:pPr>
      <w:tabs>
        <w:tab w:val="left" w:pos="567"/>
        <w:tab w:val="left" w:pos="1134"/>
      </w:tabs>
    </w:pPr>
  </w:style>
  <w:style w:type="character" w:customStyle="1" w:styleId="Heading4Char">
    <w:name w:val="Heading 4 Char"/>
    <w:basedOn w:val="DefaultParagraphFont"/>
    <w:link w:val="Heading4"/>
    <w:uiPriority w:val="98"/>
    <w:semiHidden/>
    <w:rsid w:val="00FE51D7"/>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FE51D7"/>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FE51D7"/>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FE51D7"/>
    <w:rPr>
      <w:caps w:val="0"/>
      <w:smallCaps/>
    </w:rPr>
  </w:style>
  <w:style w:type="paragraph" w:customStyle="1" w:styleId="NormalJustified">
    <w:name w:val="Normal_Justified"/>
    <w:basedOn w:val="Normal"/>
    <w:semiHidden/>
    <w:rsid w:val="00FE51D7"/>
    <w:pPr>
      <w:jc w:val="both"/>
    </w:pPr>
  </w:style>
  <w:style w:type="character" w:styleId="SubtleEmphasis">
    <w:name w:val="Subtle Emphasis"/>
    <w:uiPriority w:val="98"/>
    <w:semiHidden/>
    <w:qFormat/>
    <w:rsid w:val="00FE51D7"/>
    <w:rPr>
      <w:i/>
      <w:iCs/>
    </w:rPr>
  </w:style>
  <w:style w:type="table" w:customStyle="1" w:styleId="ECHRTable">
    <w:name w:val="ECHR_Table"/>
    <w:basedOn w:val="TableNormal"/>
    <w:rsid w:val="00FE51D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E51D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FE51D7"/>
    <w:rPr>
      <w:b/>
      <w:bCs/>
      <w:i/>
      <w:iCs/>
      <w:spacing w:val="10"/>
      <w:bdr w:val="none" w:sz="0" w:space="0" w:color="auto"/>
      <w:shd w:val="clear" w:color="auto" w:fill="auto"/>
    </w:rPr>
  </w:style>
  <w:style w:type="paragraph" w:styleId="Footer0">
    <w:name w:val="footer"/>
    <w:basedOn w:val="Normal"/>
    <w:link w:val="FooterChar"/>
    <w:uiPriority w:val="98"/>
    <w:semiHidden/>
    <w:rsid w:val="00FE51D7"/>
    <w:pPr>
      <w:tabs>
        <w:tab w:val="center" w:pos="3686"/>
        <w:tab w:val="right" w:pos="7371"/>
      </w:tabs>
    </w:pPr>
  </w:style>
  <w:style w:type="character" w:customStyle="1" w:styleId="FooterChar">
    <w:name w:val="Footer Char"/>
    <w:basedOn w:val="DefaultParagraphFont"/>
    <w:link w:val="Footer0"/>
    <w:uiPriority w:val="98"/>
    <w:semiHidden/>
    <w:rsid w:val="00FE51D7"/>
    <w:rPr>
      <w:sz w:val="24"/>
      <w:szCs w:val="24"/>
      <w:lang w:val="ro-RO"/>
    </w:rPr>
  </w:style>
  <w:style w:type="character" w:styleId="FootnoteReference">
    <w:name w:val="footnote reference"/>
    <w:basedOn w:val="DefaultParagraphFont"/>
    <w:uiPriority w:val="98"/>
    <w:semiHidden/>
    <w:rsid w:val="00FE51D7"/>
    <w:rPr>
      <w:vertAlign w:val="superscript"/>
    </w:rPr>
  </w:style>
  <w:style w:type="paragraph" w:styleId="FootnoteText">
    <w:name w:val="footnote text"/>
    <w:basedOn w:val="NormalJustified"/>
    <w:link w:val="FootnoteTextChar"/>
    <w:uiPriority w:val="98"/>
    <w:semiHidden/>
    <w:rsid w:val="00FE51D7"/>
    <w:rPr>
      <w:sz w:val="20"/>
      <w:szCs w:val="20"/>
    </w:rPr>
  </w:style>
  <w:style w:type="character" w:customStyle="1" w:styleId="FootnoteTextChar">
    <w:name w:val="Footnote Text Char"/>
    <w:basedOn w:val="DefaultParagraphFont"/>
    <w:link w:val="FootnoteText"/>
    <w:uiPriority w:val="98"/>
    <w:semiHidden/>
    <w:rsid w:val="00FE51D7"/>
    <w:rPr>
      <w:sz w:val="20"/>
      <w:szCs w:val="20"/>
      <w:lang w:val="ro-RO"/>
    </w:rPr>
  </w:style>
  <w:style w:type="character" w:customStyle="1" w:styleId="Heading6Char">
    <w:name w:val="Heading 6 Char"/>
    <w:basedOn w:val="DefaultParagraphFont"/>
    <w:link w:val="Heading6"/>
    <w:uiPriority w:val="98"/>
    <w:semiHidden/>
    <w:rsid w:val="00FE51D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E51D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E51D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E51D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FE51D7"/>
    <w:rPr>
      <w:color w:val="0072BC" w:themeColor="hyperlink"/>
      <w:u w:val="single"/>
    </w:rPr>
  </w:style>
  <w:style w:type="character" w:styleId="IntenseEmphasis">
    <w:name w:val="Intense Emphasis"/>
    <w:uiPriority w:val="98"/>
    <w:semiHidden/>
    <w:qFormat/>
    <w:rsid w:val="00FE51D7"/>
    <w:rPr>
      <w:b/>
      <w:bCs/>
    </w:rPr>
  </w:style>
  <w:style w:type="paragraph" w:styleId="IntenseQuote">
    <w:name w:val="Intense Quote"/>
    <w:basedOn w:val="Normal"/>
    <w:next w:val="Normal"/>
    <w:link w:val="IntenseQuoteChar"/>
    <w:uiPriority w:val="98"/>
    <w:semiHidden/>
    <w:qFormat/>
    <w:rsid w:val="00FE51D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E51D7"/>
    <w:rPr>
      <w:b/>
      <w:bCs/>
      <w:i/>
      <w:iCs/>
      <w:sz w:val="24"/>
      <w:szCs w:val="24"/>
      <w:lang w:val="ro-RO" w:bidi="en-US"/>
    </w:rPr>
  </w:style>
  <w:style w:type="character" w:styleId="IntenseReference">
    <w:name w:val="Intense Reference"/>
    <w:uiPriority w:val="98"/>
    <w:semiHidden/>
    <w:qFormat/>
    <w:rsid w:val="00FE51D7"/>
    <w:rPr>
      <w:smallCaps/>
      <w:spacing w:val="5"/>
      <w:u w:val="single"/>
    </w:rPr>
  </w:style>
  <w:style w:type="paragraph" w:styleId="ListParagraph">
    <w:name w:val="List Paragraph"/>
    <w:basedOn w:val="Normal"/>
    <w:uiPriority w:val="98"/>
    <w:semiHidden/>
    <w:qFormat/>
    <w:rsid w:val="00FE51D7"/>
    <w:pPr>
      <w:ind w:left="720"/>
      <w:contextualSpacing/>
    </w:pPr>
  </w:style>
  <w:style w:type="table" w:customStyle="1" w:styleId="LtrTableAddress">
    <w:name w:val="Ltr_Table_Address"/>
    <w:aliases w:val="ECHR_Ltr_Table_Address"/>
    <w:basedOn w:val="TableNormal"/>
    <w:uiPriority w:val="99"/>
    <w:rsid w:val="00FE51D7"/>
    <w:rPr>
      <w:sz w:val="24"/>
      <w:szCs w:val="24"/>
    </w:rPr>
    <w:tblPr>
      <w:tblInd w:w="5103" w:type="dxa"/>
    </w:tblPr>
  </w:style>
  <w:style w:type="paragraph" w:styleId="Quote">
    <w:name w:val="Quote"/>
    <w:basedOn w:val="Normal"/>
    <w:next w:val="Normal"/>
    <w:link w:val="QuoteChar"/>
    <w:uiPriority w:val="98"/>
    <w:semiHidden/>
    <w:qFormat/>
    <w:rsid w:val="00FE51D7"/>
    <w:pPr>
      <w:spacing w:before="200"/>
      <w:ind w:left="360" w:right="360"/>
    </w:pPr>
    <w:rPr>
      <w:i/>
      <w:iCs/>
      <w:lang w:bidi="en-US"/>
    </w:rPr>
  </w:style>
  <w:style w:type="character" w:customStyle="1" w:styleId="QuoteChar">
    <w:name w:val="Quote Char"/>
    <w:basedOn w:val="DefaultParagraphFont"/>
    <w:link w:val="Quote"/>
    <w:uiPriority w:val="98"/>
    <w:semiHidden/>
    <w:rsid w:val="00FE51D7"/>
    <w:rPr>
      <w:i/>
      <w:iCs/>
      <w:sz w:val="24"/>
      <w:szCs w:val="24"/>
      <w:lang w:val="ro-RO" w:bidi="en-US"/>
    </w:rPr>
  </w:style>
  <w:style w:type="character" w:styleId="SubtleReference">
    <w:name w:val="Subtle Reference"/>
    <w:uiPriority w:val="98"/>
    <w:semiHidden/>
    <w:qFormat/>
    <w:rsid w:val="00FE51D7"/>
    <w:rPr>
      <w:smallCaps/>
    </w:rPr>
  </w:style>
  <w:style w:type="table" w:styleId="TableGrid">
    <w:name w:val="Table Grid"/>
    <w:basedOn w:val="TableNormal"/>
    <w:uiPriority w:val="59"/>
    <w:semiHidden/>
    <w:rsid w:val="00FE51D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E51D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E51D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E51D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E51D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E51D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E51D7"/>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E51D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E51D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E51D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E51D7"/>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E51D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E51D7"/>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E51D7"/>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FE51D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E51D7"/>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FE51D7"/>
    <w:pPr>
      <w:numPr>
        <w:numId w:val="1"/>
      </w:numPr>
    </w:pPr>
  </w:style>
  <w:style w:type="paragraph" w:customStyle="1" w:styleId="JuPara">
    <w:name w:val="Ju_Para"/>
    <w:aliases w:val="_Para"/>
    <w:basedOn w:val="NormalJustified"/>
    <w:link w:val="JuParaChar"/>
    <w:uiPriority w:val="4"/>
    <w:qFormat/>
    <w:rsid w:val="00FE51D7"/>
    <w:pPr>
      <w:ind w:firstLine="284"/>
    </w:pPr>
  </w:style>
  <w:style w:type="numbering" w:styleId="1ai">
    <w:name w:val="Outline List 1"/>
    <w:basedOn w:val="NoList"/>
    <w:uiPriority w:val="99"/>
    <w:semiHidden/>
    <w:unhideWhenUsed/>
    <w:rsid w:val="00FE51D7"/>
    <w:pPr>
      <w:numPr>
        <w:numId w:val="2"/>
      </w:numPr>
    </w:pPr>
  </w:style>
  <w:style w:type="table" w:customStyle="1" w:styleId="ECHRTableSimpleBox">
    <w:name w:val="ECHR_Table_Simple_Box"/>
    <w:basedOn w:val="TableNormal"/>
    <w:uiPriority w:val="99"/>
    <w:rsid w:val="00FE51D7"/>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E51D7"/>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E51D7"/>
    <w:pPr>
      <w:numPr>
        <w:numId w:val="3"/>
      </w:numPr>
    </w:pPr>
  </w:style>
  <w:style w:type="table" w:customStyle="1" w:styleId="ECHRTableForInternalUse">
    <w:name w:val="ECHR_Table_For_Internal_Use"/>
    <w:basedOn w:val="TableNormal"/>
    <w:uiPriority w:val="99"/>
    <w:rsid w:val="00FE51D7"/>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E51D7"/>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E51D7"/>
  </w:style>
  <w:style w:type="paragraph" w:styleId="BlockText">
    <w:name w:val="Block Text"/>
    <w:basedOn w:val="Normal"/>
    <w:uiPriority w:val="98"/>
    <w:semiHidden/>
    <w:rsid w:val="00FE51D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E51D7"/>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E51D7"/>
    <w:pPr>
      <w:spacing w:after="120"/>
    </w:pPr>
  </w:style>
  <w:style w:type="character" w:customStyle="1" w:styleId="BodyTextChar">
    <w:name w:val="Body Text Char"/>
    <w:basedOn w:val="DefaultParagraphFont"/>
    <w:link w:val="BodyText"/>
    <w:uiPriority w:val="98"/>
    <w:semiHidden/>
    <w:rsid w:val="00FE51D7"/>
    <w:rPr>
      <w:sz w:val="24"/>
      <w:szCs w:val="24"/>
      <w:lang w:val="ro-RO"/>
    </w:rPr>
  </w:style>
  <w:style w:type="table" w:customStyle="1" w:styleId="ECHRTableOddBanded">
    <w:name w:val="ECHR_Table_Odd_Banded"/>
    <w:basedOn w:val="TableNormal"/>
    <w:uiPriority w:val="99"/>
    <w:rsid w:val="00FE51D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E51D7"/>
    <w:pPr>
      <w:spacing w:after="120" w:line="480" w:lineRule="auto"/>
    </w:pPr>
  </w:style>
  <w:style w:type="table" w:customStyle="1" w:styleId="ECHRHeaderTableReduced">
    <w:name w:val="ECHR_Header_Table_Reduced"/>
    <w:basedOn w:val="TableNormal"/>
    <w:uiPriority w:val="99"/>
    <w:rsid w:val="00FE51D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FE51D7"/>
    <w:pPr>
      <w:ind w:firstLine="284"/>
    </w:pPr>
    <w:rPr>
      <w:b/>
    </w:rPr>
  </w:style>
  <w:style w:type="character" w:styleId="PageNumber">
    <w:name w:val="page number"/>
    <w:uiPriority w:val="98"/>
    <w:semiHidden/>
    <w:rsid w:val="00FE51D7"/>
    <w:rPr>
      <w:sz w:val="18"/>
    </w:rPr>
  </w:style>
  <w:style w:type="paragraph" w:styleId="ListBullet2">
    <w:name w:val="List Bullet 2"/>
    <w:basedOn w:val="Normal"/>
    <w:uiPriority w:val="98"/>
    <w:semiHidden/>
    <w:rsid w:val="00FE51D7"/>
    <w:pPr>
      <w:numPr>
        <w:numId w:val="5"/>
      </w:numPr>
      <w:contextualSpacing/>
    </w:pPr>
  </w:style>
  <w:style w:type="character" w:customStyle="1" w:styleId="BodyText2Char">
    <w:name w:val="Body Text 2 Char"/>
    <w:basedOn w:val="DefaultParagraphFont"/>
    <w:link w:val="BodyText2"/>
    <w:uiPriority w:val="98"/>
    <w:semiHidden/>
    <w:rsid w:val="00FE51D7"/>
    <w:rPr>
      <w:sz w:val="24"/>
      <w:szCs w:val="24"/>
      <w:lang w:val="ro-RO"/>
    </w:rPr>
  </w:style>
  <w:style w:type="paragraph" w:styleId="BodyText3">
    <w:name w:val="Body Text 3"/>
    <w:basedOn w:val="Normal"/>
    <w:link w:val="BodyText3Char"/>
    <w:uiPriority w:val="98"/>
    <w:semiHidden/>
    <w:rsid w:val="00FE51D7"/>
    <w:pPr>
      <w:spacing w:after="120"/>
    </w:pPr>
    <w:rPr>
      <w:sz w:val="16"/>
      <w:szCs w:val="16"/>
    </w:rPr>
  </w:style>
  <w:style w:type="character" w:customStyle="1" w:styleId="BodyText3Char">
    <w:name w:val="Body Text 3 Char"/>
    <w:basedOn w:val="DefaultParagraphFont"/>
    <w:link w:val="BodyText3"/>
    <w:uiPriority w:val="98"/>
    <w:semiHidden/>
    <w:rsid w:val="00FE51D7"/>
    <w:rPr>
      <w:sz w:val="16"/>
      <w:szCs w:val="16"/>
      <w:lang w:val="ro-RO"/>
    </w:rPr>
  </w:style>
  <w:style w:type="paragraph" w:styleId="BodyTextFirstIndent">
    <w:name w:val="Body Text First Indent"/>
    <w:basedOn w:val="BodyText"/>
    <w:link w:val="BodyTextFirstIndentChar"/>
    <w:uiPriority w:val="98"/>
    <w:semiHidden/>
    <w:rsid w:val="00FE51D7"/>
    <w:pPr>
      <w:spacing w:after="0"/>
      <w:ind w:firstLine="360"/>
    </w:pPr>
  </w:style>
  <w:style w:type="character" w:customStyle="1" w:styleId="BodyTextFirstIndentChar">
    <w:name w:val="Body Text First Indent Char"/>
    <w:basedOn w:val="BodyTextChar"/>
    <w:link w:val="BodyTextFirstIndent"/>
    <w:uiPriority w:val="98"/>
    <w:semiHidden/>
    <w:rsid w:val="00FE51D7"/>
    <w:rPr>
      <w:sz w:val="24"/>
      <w:szCs w:val="24"/>
      <w:lang w:val="ro-RO"/>
    </w:rPr>
  </w:style>
  <w:style w:type="paragraph" w:styleId="BodyTextIndent">
    <w:name w:val="Body Text Indent"/>
    <w:basedOn w:val="Normal"/>
    <w:link w:val="BodyTextIndentChar"/>
    <w:uiPriority w:val="98"/>
    <w:semiHidden/>
    <w:rsid w:val="00FE51D7"/>
    <w:pPr>
      <w:spacing w:after="120"/>
      <w:ind w:left="283"/>
    </w:pPr>
  </w:style>
  <w:style w:type="character" w:customStyle="1" w:styleId="BodyTextIndentChar">
    <w:name w:val="Body Text Indent Char"/>
    <w:basedOn w:val="DefaultParagraphFont"/>
    <w:link w:val="BodyTextIndent"/>
    <w:uiPriority w:val="98"/>
    <w:semiHidden/>
    <w:rsid w:val="00FE51D7"/>
    <w:rPr>
      <w:sz w:val="24"/>
      <w:szCs w:val="24"/>
      <w:lang w:val="ro-RO"/>
    </w:rPr>
  </w:style>
  <w:style w:type="paragraph" w:styleId="BodyTextFirstIndent2">
    <w:name w:val="Body Text First Indent 2"/>
    <w:basedOn w:val="BodyTextIndent"/>
    <w:link w:val="BodyTextFirstIndent2Char"/>
    <w:uiPriority w:val="98"/>
    <w:semiHidden/>
    <w:rsid w:val="00FE51D7"/>
    <w:pPr>
      <w:spacing w:after="0"/>
      <w:ind w:left="360" w:firstLine="360"/>
    </w:pPr>
  </w:style>
  <w:style w:type="character" w:customStyle="1" w:styleId="BodyTextFirstIndent2Char">
    <w:name w:val="Body Text First Indent 2 Char"/>
    <w:basedOn w:val="BodyTextIndentChar"/>
    <w:link w:val="BodyTextFirstIndent2"/>
    <w:uiPriority w:val="98"/>
    <w:semiHidden/>
    <w:rsid w:val="00FE51D7"/>
    <w:rPr>
      <w:sz w:val="24"/>
      <w:szCs w:val="24"/>
      <w:lang w:val="ro-RO"/>
    </w:rPr>
  </w:style>
  <w:style w:type="paragraph" w:styleId="BodyTextIndent2">
    <w:name w:val="Body Text Indent 2"/>
    <w:basedOn w:val="Normal"/>
    <w:link w:val="BodyTextIndent2Char"/>
    <w:uiPriority w:val="98"/>
    <w:semiHidden/>
    <w:rsid w:val="00FE51D7"/>
    <w:pPr>
      <w:spacing w:after="120" w:line="480" w:lineRule="auto"/>
      <w:ind w:left="283"/>
    </w:pPr>
  </w:style>
  <w:style w:type="character" w:customStyle="1" w:styleId="BodyTextIndent2Char">
    <w:name w:val="Body Text Indent 2 Char"/>
    <w:basedOn w:val="DefaultParagraphFont"/>
    <w:link w:val="BodyTextIndent2"/>
    <w:uiPriority w:val="98"/>
    <w:semiHidden/>
    <w:rsid w:val="00FE51D7"/>
    <w:rPr>
      <w:sz w:val="24"/>
      <w:szCs w:val="24"/>
      <w:lang w:val="ro-RO"/>
    </w:rPr>
  </w:style>
  <w:style w:type="paragraph" w:styleId="BodyTextIndent3">
    <w:name w:val="Body Text Indent 3"/>
    <w:basedOn w:val="Normal"/>
    <w:link w:val="BodyTextIndent3Char"/>
    <w:uiPriority w:val="98"/>
    <w:semiHidden/>
    <w:rsid w:val="00FE51D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E51D7"/>
    <w:rPr>
      <w:sz w:val="16"/>
      <w:szCs w:val="16"/>
      <w:lang w:val="ro-RO"/>
    </w:rPr>
  </w:style>
  <w:style w:type="paragraph" w:styleId="Caption">
    <w:name w:val="caption"/>
    <w:basedOn w:val="Normal"/>
    <w:next w:val="Normal"/>
    <w:uiPriority w:val="98"/>
    <w:semiHidden/>
    <w:qFormat/>
    <w:rsid w:val="00FE51D7"/>
    <w:pPr>
      <w:spacing w:after="200"/>
    </w:pPr>
    <w:rPr>
      <w:b/>
      <w:bCs/>
      <w:color w:val="0072BC" w:themeColor="accent1"/>
      <w:sz w:val="18"/>
      <w:szCs w:val="18"/>
    </w:rPr>
  </w:style>
  <w:style w:type="paragraph" w:styleId="Closing">
    <w:name w:val="Closing"/>
    <w:basedOn w:val="Normal"/>
    <w:link w:val="ClosingChar"/>
    <w:uiPriority w:val="98"/>
    <w:semiHidden/>
    <w:rsid w:val="00FE51D7"/>
    <w:pPr>
      <w:ind w:left="4252"/>
    </w:pPr>
  </w:style>
  <w:style w:type="character" w:customStyle="1" w:styleId="ClosingChar">
    <w:name w:val="Closing Char"/>
    <w:basedOn w:val="DefaultParagraphFont"/>
    <w:link w:val="Closing"/>
    <w:uiPriority w:val="98"/>
    <w:semiHidden/>
    <w:rsid w:val="00FE51D7"/>
    <w:rPr>
      <w:sz w:val="24"/>
      <w:szCs w:val="24"/>
      <w:lang w:val="ro-RO"/>
    </w:rPr>
  </w:style>
  <w:style w:type="table" w:styleId="ColorfulGrid">
    <w:name w:val="Colorful Grid"/>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E51D7"/>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E51D7"/>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E51D7"/>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E51D7"/>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E51D7"/>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E51D7"/>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E51D7"/>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E51D7"/>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E51D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E51D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E51D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E51D7"/>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E51D7"/>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E51D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E51D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E51D7"/>
    <w:rPr>
      <w:sz w:val="16"/>
      <w:szCs w:val="16"/>
    </w:rPr>
  </w:style>
  <w:style w:type="paragraph" w:styleId="CommentText">
    <w:name w:val="annotation text"/>
    <w:basedOn w:val="Normal"/>
    <w:link w:val="CommentTextChar"/>
    <w:uiPriority w:val="98"/>
    <w:semiHidden/>
    <w:rsid w:val="00FE51D7"/>
    <w:rPr>
      <w:sz w:val="20"/>
      <w:szCs w:val="20"/>
    </w:rPr>
  </w:style>
  <w:style w:type="character" w:customStyle="1" w:styleId="CommentTextChar">
    <w:name w:val="Comment Text Char"/>
    <w:basedOn w:val="DefaultParagraphFont"/>
    <w:link w:val="CommentText"/>
    <w:uiPriority w:val="98"/>
    <w:semiHidden/>
    <w:rsid w:val="00FE51D7"/>
    <w:rPr>
      <w:sz w:val="20"/>
      <w:szCs w:val="20"/>
      <w:lang w:val="ro-RO"/>
    </w:rPr>
  </w:style>
  <w:style w:type="paragraph" w:styleId="CommentSubject">
    <w:name w:val="annotation subject"/>
    <w:basedOn w:val="CommentText"/>
    <w:next w:val="CommentText"/>
    <w:link w:val="CommentSubjectChar"/>
    <w:uiPriority w:val="98"/>
    <w:semiHidden/>
    <w:rsid w:val="00FE51D7"/>
    <w:rPr>
      <w:b/>
      <w:bCs/>
    </w:rPr>
  </w:style>
  <w:style w:type="character" w:customStyle="1" w:styleId="CommentSubjectChar">
    <w:name w:val="Comment Subject Char"/>
    <w:basedOn w:val="CommentTextChar"/>
    <w:link w:val="CommentSubject"/>
    <w:uiPriority w:val="98"/>
    <w:semiHidden/>
    <w:rsid w:val="00FE51D7"/>
    <w:rPr>
      <w:b/>
      <w:bCs/>
      <w:sz w:val="20"/>
      <w:szCs w:val="20"/>
      <w:lang w:val="ro-RO"/>
    </w:rPr>
  </w:style>
  <w:style w:type="table" w:styleId="DarkList">
    <w:name w:val="Dark List"/>
    <w:basedOn w:val="TableNormal"/>
    <w:uiPriority w:val="70"/>
    <w:semiHidden/>
    <w:rsid w:val="00FE51D7"/>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E51D7"/>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E51D7"/>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E51D7"/>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E51D7"/>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E51D7"/>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E51D7"/>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E51D7"/>
  </w:style>
  <w:style w:type="character" w:customStyle="1" w:styleId="DateChar">
    <w:name w:val="Date Char"/>
    <w:basedOn w:val="DefaultParagraphFont"/>
    <w:link w:val="Date"/>
    <w:uiPriority w:val="98"/>
    <w:semiHidden/>
    <w:rsid w:val="00FE51D7"/>
    <w:rPr>
      <w:sz w:val="24"/>
      <w:szCs w:val="24"/>
      <w:lang w:val="ro-RO"/>
    </w:rPr>
  </w:style>
  <w:style w:type="paragraph" w:styleId="DocumentMap">
    <w:name w:val="Document Map"/>
    <w:basedOn w:val="Normal"/>
    <w:link w:val="DocumentMapChar"/>
    <w:uiPriority w:val="98"/>
    <w:semiHidden/>
    <w:rsid w:val="00FE51D7"/>
    <w:rPr>
      <w:rFonts w:ascii="Tahoma" w:hAnsi="Tahoma" w:cs="Tahoma"/>
      <w:sz w:val="16"/>
      <w:szCs w:val="16"/>
    </w:rPr>
  </w:style>
  <w:style w:type="character" w:customStyle="1" w:styleId="DocumentMapChar">
    <w:name w:val="Document Map Char"/>
    <w:basedOn w:val="DefaultParagraphFont"/>
    <w:link w:val="DocumentMap"/>
    <w:uiPriority w:val="98"/>
    <w:semiHidden/>
    <w:rsid w:val="00FE51D7"/>
    <w:rPr>
      <w:rFonts w:ascii="Tahoma" w:hAnsi="Tahoma" w:cs="Tahoma"/>
      <w:sz w:val="16"/>
      <w:szCs w:val="16"/>
      <w:lang w:val="ro-RO"/>
    </w:rPr>
  </w:style>
  <w:style w:type="paragraph" w:styleId="E-mailSignature">
    <w:name w:val="E-mail Signature"/>
    <w:basedOn w:val="Normal"/>
    <w:link w:val="E-mailSignatureChar"/>
    <w:uiPriority w:val="98"/>
    <w:semiHidden/>
    <w:rsid w:val="00FE51D7"/>
  </w:style>
  <w:style w:type="character" w:customStyle="1" w:styleId="E-mailSignatureChar">
    <w:name w:val="E-mail Signature Char"/>
    <w:basedOn w:val="DefaultParagraphFont"/>
    <w:link w:val="E-mailSignature"/>
    <w:uiPriority w:val="98"/>
    <w:semiHidden/>
    <w:rsid w:val="00FE51D7"/>
    <w:rPr>
      <w:sz w:val="24"/>
      <w:szCs w:val="24"/>
      <w:lang w:val="ro-RO"/>
    </w:rPr>
  </w:style>
  <w:style w:type="character" w:styleId="EndnoteReference">
    <w:name w:val="endnote reference"/>
    <w:basedOn w:val="DefaultParagraphFont"/>
    <w:uiPriority w:val="98"/>
    <w:semiHidden/>
    <w:rsid w:val="00FE51D7"/>
    <w:rPr>
      <w:vertAlign w:val="superscript"/>
    </w:rPr>
  </w:style>
  <w:style w:type="paragraph" w:styleId="EndnoteText">
    <w:name w:val="endnote text"/>
    <w:basedOn w:val="Normal"/>
    <w:link w:val="EndnoteTextChar"/>
    <w:uiPriority w:val="98"/>
    <w:semiHidden/>
    <w:rsid w:val="00FE51D7"/>
    <w:rPr>
      <w:sz w:val="20"/>
      <w:szCs w:val="20"/>
    </w:rPr>
  </w:style>
  <w:style w:type="character" w:customStyle="1" w:styleId="EndnoteTextChar">
    <w:name w:val="Endnote Text Char"/>
    <w:basedOn w:val="DefaultParagraphFont"/>
    <w:link w:val="EndnoteText"/>
    <w:uiPriority w:val="98"/>
    <w:semiHidden/>
    <w:rsid w:val="00FE51D7"/>
    <w:rPr>
      <w:sz w:val="20"/>
      <w:szCs w:val="20"/>
      <w:lang w:val="ro-RO"/>
    </w:rPr>
  </w:style>
  <w:style w:type="paragraph" w:styleId="EnvelopeAddress">
    <w:name w:val="envelope address"/>
    <w:basedOn w:val="Normal"/>
    <w:uiPriority w:val="98"/>
    <w:semiHidden/>
    <w:rsid w:val="00FE51D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E51D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E51D7"/>
    <w:rPr>
      <w:color w:val="7030A0" w:themeColor="followedHyperlink"/>
      <w:u w:val="single"/>
    </w:rPr>
  </w:style>
  <w:style w:type="character" w:styleId="HTMLAcronym">
    <w:name w:val="HTML Acronym"/>
    <w:basedOn w:val="DefaultParagraphFont"/>
    <w:uiPriority w:val="98"/>
    <w:semiHidden/>
    <w:rsid w:val="00FE51D7"/>
  </w:style>
  <w:style w:type="paragraph" w:styleId="HTMLAddress">
    <w:name w:val="HTML Address"/>
    <w:basedOn w:val="Normal"/>
    <w:link w:val="HTMLAddressChar"/>
    <w:uiPriority w:val="98"/>
    <w:semiHidden/>
    <w:rsid w:val="00FE51D7"/>
    <w:rPr>
      <w:i/>
      <w:iCs/>
    </w:rPr>
  </w:style>
  <w:style w:type="character" w:customStyle="1" w:styleId="HTMLAddressChar">
    <w:name w:val="HTML Address Char"/>
    <w:basedOn w:val="DefaultParagraphFont"/>
    <w:link w:val="HTMLAddress"/>
    <w:uiPriority w:val="98"/>
    <w:semiHidden/>
    <w:rsid w:val="00FE51D7"/>
    <w:rPr>
      <w:i/>
      <w:iCs/>
      <w:sz w:val="24"/>
      <w:szCs w:val="24"/>
      <w:lang w:val="ro-RO"/>
    </w:rPr>
  </w:style>
  <w:style w:type="character" w:styleId="HTMLCite">
    <w:name w:val="HTML Cite"/>
    <w:basedOn w:val="DefaultParagraphFont"/>
    <w:uiPriority w:val="98"/>
    <w:semiHidden/>
    <w:rsid w:val="00FE51D7"/>
    <w:rPr>
      <w:i/>
      <w:iCs/>
    </w:rPr>
  </w:style>
  <w:style w:type="character" w:styleId="HTMLCode">
    <w:name w:val="HTML Code"/>
    <w:basedOn w:val="DefaultParagraphFont"/>
    <w:uiPriority w:val="98"/>
    <w:semiHidden/>
    <w:rsid w:val="00FE51D7"/>
    <w:rPr>
      <w:rFonts w:ascii="Consolas" w:hAnsi="Consolas" w:cs="Consolas"/>
      <w:sz w:val="20"/>
      <w:szCs w:val="20"/>
    </w:rPr>
  </w:style>
  <w:style w:type="character" w:styleId="HTMLDefinition">
    <w:name w:val="HTML Definition"/>
    <w:basedOn w:val="DefaultParagraphFont"/>
    <w:uiPriority w:val="98"/>
    <w:semiHidden/>
    <w:rsid w:val="00FE51D7"/>
    <w:rPr>
      <w:i/>
      <w:iCs/>
    </w:rPr>
  </w:style>
  <w:style w:type="character" w:styleId="HTMLKeyboard">
    <w:name w:val="HTML Keyboard"/>
    <w:basedOn w:val="DefaultParagraphFont"/>
    <w:uiPriority w:val="98"/>
    <w:semiHidden/>
    <w:rsid w:val="00FE51D7"/>
    <w:rPr>
      <w:rFonts w:ascii="Consolas" w:hAnsi="Consolas" w:cs="Consolas"/>
      <w:sz w:val="20"/>
      <w:szCs w:val="20"/>
    </w:rPr>
  </w:style>
  <w:style w:type="paragraph" w:styleId="HTMLPreformatted">
    <w:name w:val="HTML Preformatted"/>
    <w:basedOn w:val="Normal"/>
    <w:link w:val="HTMLPreformattedChar"/>
    <w:uiPriority w:val="98"/>
    <w:semiHidden/>
    <w:rsid w:val="00FE51D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E51D7"/>
    <w:rPr>
      <w:rFonts w:ascii="Consolas" w:hAnsi="Consolas" w:cs="Consolas"/>
      <w:sz w:val="20"/>
      <w:szCs w:val="20"/>
      <w:lang w:val="ro-RO"/>
    </w:rPr>
  </w:style>
  <w:style w:type="character" w:styleId="HTMLSample">
    <w:name w:val="HTML Sample"/>
    <w:basedOn w:val="DefaultParagraphFont"/>
    <w:uiPriority w:val="98"/>
    <w:semiHidden/>
    <w:rsid w:val="00FE51D7"/>
    <w:rPr>
      <w:rFonts w:ascii="Consolas" w:hAnsi="Consolas" w:cs="Consolas"/>
      <w:sz w:val="24"/>
      <w:szCs w:val="24"/>
    </w:rPr>
  </w:style>
  <w:style w:type="character" w:styleId="HTMLTypewriter">
    <w:name w:val="HTML Typewriter"/>
    <w:basedOn w:val="DefaultParagraphFont"/>
    <w:uiPriority w:val="98"/>
    <w:semiHidden/>
    <w:rsid w:val="00FE51D7"/>
    <w:rPr>
      <w:rFonts w:ascii="Consolas" w:hAnsi="Consolas" w:cs="Consolas"/>
      <w:sz w:val="20"/>
      <w:szCs w:val="20"/>
    </w:rPr>
  </w:style>
  <w:style w:type="character" w:styleId="HTMLVariable">
    <w:name w:val="HTML Variable"/>
    <w:basedOn w:val="DefaultParagraphFont"/>
    <w:uiPriority w:val="98"/>
    <w:semiHidden/>
    <w:rsid w:val="00FE51D7"/>
    <w:rPr>
      <w:i/>
      <w:iCs/>
    </w:rPr>
  </w:style>
  <w:style w:type="paragraph" w:styleId="Index1">
    <w:name w:val="index 1"/>
    <w:basedOn w:val="Normal"/>
    <w:next w:val="Normal"/>
    <w:autoRedefine/>
    <w:uiPriority w:val="98"/>
    <w:semiHidden/>
    <w:rsid w:val="00FE51D7"/>
    <w:pPr>
      <w:ind w:left="240" w:hanging="240"/>
    </w:pPr>
  </w:style>
  <w:style w:type="paragraph" w:styleId="Index2">
    <w:name w:val="index 2"/>
    <w:basedOn w:val="Normal"/>
    <w:next w:val="Normal"/>
    <w:autoRedefine/>
    <w:uiPriority w:val="98"/>
    <w:semiHidden/>
    <w:rsid w:val="00FE51D7"/>
    <w:pPr>
      <w:ind w:left="480" w:hanging="240"/>
    </w:pPr>
  </w:style>
  <w:style w:type="paragraph" w:styleId="Index3">
    <w:name w:val="index 3"/>
    <w:basedOn w:val="Normal"/>
    <w:next w:val="Normal"/>
    <w:autoRedefine/>
    <w:uiPriority w:val="98"/>
    <w:semiHidden/>
    <w:rsid w:val="00FE51D7"/>
    <w:pPr>
      <w:ind w:left="720" w:hanging="240"/>
    </w:pPr>
  </w:style>
  <w:style w:type="paragraph" w:styleId="Index4">
    <w:name w:val="index 4"/>
    <w:basedOn w:val="Normal"/>
    <w:next w:val="Normal"/>
    <w:autoRedefine/>
    <w:uiPriority w:val="98"/>
    <w:semiHidden/>
    <w:rsid w:val="00FE51D7"/>
    <w:pPr>
      <w:ind w:left="960" w:hanging="240"/>
    </w:pPr>
  </w:style>
  <w:style w:type="paragraph" w:styleId="Index5">
    <w:name w:val="index 5"/>
    <w:basedOn w:val="Normal"/>
    <w:next w:val="Normal"/>
    <w:autoRedefine/>
    <w:uiPriority w:val="98"/>
    <w:semiHidden/>
    <w:rsid w:val="00FE51D7"/>
    <w:pPr>
      <w:ind w:left="1200" w:hanging="240"/>
    </w:pPr>
  </w:style>
  <w:style w:type="paragraph" w:styleId="Index6">
    <w:name w:val="index 6"/>
    <w:basedOn w:val="Normal"/>
    <w:next w:val="Normal"/>
    <w:autoRedefine/>
    <w:uiPriority w:val="98"/>
    <w:semiHidden/>
    <w:rsid w:val="00FE51D7"/>
    <w:pPr>
      <w:ind w:left="1440" w:hanging="240"/>
    </w:pPr>
  </w:style>
  <w:style w:type="paragraph" w:styleId="Index7">
    <w:name w:val="index 7"/>
    <w:basedOn w:val="Normal"/>
    <w:next w:val="Normal"/>
    <w:autoRedefine/>
    <w:uiPriority w:val="98"/>
    <w:semiHidden/>
    <w:rsid w:val="00FE51D7"/>
    <w:pPr>
      <w:ind w:left="1680" w:hanging="240"/>
    </w:pPr>
  </w:style>
  <w:style w:type="paragraph" w:styleId="Index8">
    <w:name w:val="index 8"/>
    <w:basedOn w:val="Normal"/>
    <w:next w:val="Normal"/>
    <w:autoRedefine/>
    <w:uiPriority w:val="98"/>
    <w:semiHidden/>
    <w:rsid w:val="00FE51D7"/>
    <w:pPr>
      <w:ind w:left="1920" w:hanging="240"/>
    </w:pPr>
  </w:style>
  <w:style w:type="paragraph" w:styleId="Index9">
    <w:name w:val="index 9"/>
    <w:basedOn w:val="Normal"/>
    <w:next w:val="Normal"/>
    <w:autoRedefine/>
    <w:uiPriority w:val="98"/>
    <w:semiHidden/>
    <w:rsid w:val="00FE51D7"/>
    <w:pPr>
      <w:ind w:left="2160" w:hanging="240"/>
    </w:pPr>
  </w:style>
  <w:style w:type="paragraph" w:styleId="IndexHeading">
    <w:name w:val="index heading"/>
    <w:basedOn w:val="Normal"/>
    <w:next w:val="Index1"/>
    <w:uiPriority w:val="98"/>
    <w:semiHidden/>
    <w:rsid w:val="00FE51D7"/>
    <w:rPr>
      <w:rFonts w:asciiTheme="majorHAnsi" w:eastAsiaTheme="majorEastAsia" w:hAnsiTheme="majorHAnsi" w:cstheme="majorBidi"/>
      <w:b/>
      <w:bCs/>
    </w:rPr>
  </w:style>
  <w:style w:type="table" w:styleId="LightGrid">
    <w:name w:val="Light Grid"/>
    <w:basedOn w:val="TableNormal"/>
    <w:uiPriority w:val="62"/>
    <w:semiHidden/>
    <w:rsid w:val="00FE51D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E51D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E51D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E51D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E51D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E51D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E51D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E51D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E51D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E51D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E51D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E51D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E51D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E51D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E51D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E51D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E51D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E51D7"/>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E51D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E51D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E51D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E51D7"/>
  </w:style>
  <w:style w:type="paragraph" w:styleId="List">
    <w:name w:val="List"/>
    <w:basedOn w:val="Normal"/>
    <w:uiPriority w:val="98"/>
    <w:semiHidden/>
    <w:rsid w:val="00FE51D7"/>
    <w:pPr>
      <w:ind w:left="283" w:hanging="283"/>
      <w:contextualSpacing/>
    </w:pPr>
  </w:style>
  <w:style w:type="paragraph" w:styleId="List2">
    <w:name w:val="List 2"/>
    <w:basedOn w:val="Normal"/>
    <w:uiPriority w:val="98"/>
    <w:semiHidden/>
    <w:rsid w:val="00FE51D7"/>
    <w:pPr>
      <w:ind w:left="566" w:hanging="283"/>
      <w:contextualSpacing/>
    </w:pPr>
  </w:style>
  <w:style w:type="paragraph" w:styleId="List3">
    <w:name w:val="List 3"/>
    <w:basedOn w:val="Normal"/>
    <w:uiPriority w:val="98"/>
    <w:semiHidden/>
    <w:rsid w:val="00FE51D7"/>
    <w:pPr>
      <w:ind w:left="849" w:hanging="283"/>
      <w:contextualSpacing/>
    </w:pPr>
  </w:style>
  <w:style w:type="paragraph" w:styleId="List4">
    <w:name w:val="List 4"/>
    <w:basedOn w:val="Normal"/>
    <w:uiPriority w:val="98"/>
    <w:semiHidden/>
    <w:rsid w:val="00FE51D7"/>
    <w:pPr>
      <w:ind w:left="1132" w:hanging="283"/>
      <w:contextualSpacing/>
    </w:pPr>
  </w:style>
  <w:style w:type="paragraph" w:styleId="List5">
    <w:name w:val="List 5"/>
    <w:basedOn w:val="Normal"/>
    <w:uiPriority w:val="98"/>
    <w:semiHidden/>
    <w:rsid w:val="00FE51D7"/>
    <w:pPr>
      <w:ind w:left="1415" w:hanging="283"/>
      <w:contextualSpacing/>
    </w:pPr>
  </w:style>
  <w:style w:type="paragraph" w:styleId="ListBullet">
    <w:name w:val="List Bullet"/>
    <w:basedOn w:val="Normal"/>
    <w:uiPriority w:val="98"/>
    <w:semiHidden/>
    <w:rsid w:val="00FE51D7"/>
    <w:pPr>
      <w:numPr>
        <w:numId w:val="4"/>
      </w:numPr>
    </w:pPr>
  </w:style>
  <w:style w:type="paragraph" w:styleId="ListBullet3">
    <w:name w:val="List Bullet 3"/>
    <w:basedOn w:val="Normal"/>
    <w:uiPriority w:val="98"/>
    <w:semiHidden/>
    <w:rsid w:val="00FE51D7"/>
    <w:pPr>
      <w:numPr>
        <w:numId w:val="6"/>
      </w:numPr>
      <w:contextualSpacing/>
    </w:pPr>
  </w:style>
  <w:style w:type="paragraph" w:styleId="ListBullet4">
    <w:name w:val="List Bullet 4"/>
    <w:basedOn w:val="Normal"/>
    <w:uiPriority w:val="98"/>
    <w:semiHidden/>
    <w:rsid w:val="00FE51D7"/>
    <w:pPr>
      <w:numPr>
        <w:numId w:val="7"/>
      </w:numPr>
      <w:contextualSpacing/>
    </w:pPr>
  </w:style>
  <w:style w:type="paragraph" w:styleId="ListBullet5">
    <w:name w:val="List Bullet 5"/>
    <w:basedOn w:val="Normal"/>
    <w:uiPriority w:val="98"/>
    <w:semiHidden/>
    <w:rsid w:val="00FE51D7"/>
    <w:pPr>
      <w:numPr>
        <w:numId w:val="8"/>
      </w:numPr>
      <w:contextualSpacing/>
    </w:pPr>
  </w:style>
  <w:style w:type="paragraph" w:styleId="ListContinue">
    <w:name w:val="List Continue"/>
    <w:basedOn w:val="Normal"/>
    <w:uiPriority w:val="98"/>
    <w:semiHidden/>
    <w:rsid w:val="00FE51D7"/>
    <w:pPr>
      <w:spacing w:after="120"/>
      <w:ind w:left="283"/>
      <w:contextualSpacing/>
    </w:pPr>
  </w:style>
  <w:style w:type="paragraph" w:styleId="ListContinue2">
    <w:name w:val="List Continue 2"/>
    <w:basedOn w:val="Normal"/>
    <w:uiPriority w:val="98"/>
    <w:semiHidden/>
    <w:rsid w:val="00FE51D7"/>
    <w:pPr>
      <w:spacing w:after="120"/>
      <w:ind w:left="566"/>
      <w:contextualSpacing/>
    </w:pPr>
  </w:style>
  <w:style w:type="paragraph" w:styleId="ListContinue3">
    <w:name w:val="List Continue 3"/>
    <w:basedOn w:val="Normal"/>
    <w:uiPriority w:val="98"/>
    <w:semiHidden/>
    <w:rsid w:val="00FE51D7"/>
    <w:pPr>
      <w:spacing w:after="120"/>
      <w:ind w:left="849"/>
      <w:contextualSpacing/>
    </w:pPr>
  </w:style>
  <w:style w:type="paragraph" w:styleId="ListContinue4">
    <w:name w:val="List Continue 4"/>
    <w:basedOn w:val="Normal"/>
    <w:uiPriority w:val="98"/>
    <w:semiHidden/>
    <w:rsid w:val="00FE51D7"/>
    <w:pPr>
      <w:spacing w:after="120"/>
      <w:ind w:left="1132"/>
      <w:contextualSpacing/>
    </w:pPr>
  </w:style>
  <w:style w:type="paragraph" w:styleId="ListContinue5">
    <w:name w:val="List Continue 5"/>
    <w:basedOn w:val="Normal"/>
    <w:uiPriority w:val="98"/>
    <w:semiHidden/>
    <w:rsid w:val="00FE51D7"/>
    <w:pPr>
      <w:spacing w:after="120"/>
      <w:ind w:left="1415"/>
      <w:contextualSpacing/>
    </w:pPr>
  </w:style>
  <w:style w:type="paragraph" w:styleId="ListNumber">
    <w:name w:val="List Number"/>
    <w:basedOn w:val="Normal"/>
    <w:uiPriority w:val="98"/>
    <w:semiHidden/>
    <w:rsid w:val="00FE51D7"/>
    <w:pPr>
      <w:numPr>
        <w:numId w:val="9"/>
      </w:numPr>
      <w:contextualSpacing/>
    </w:pPr>
  </w:style>
  <w:style w:type="paragraph" w:styleId="ListNumber2">
    <w:name w:val="List Number 2"/>
    <w:basedOn w:val="Normal"/>
    <w:uiPriority w:val="98"/>
    <w:semiHidden/>
    <w:rsid w:val="00FE51D7"/>
    <w:pPr>
      <w:numPr>
        <w:numId w:val="10"/>
      </w:numPr>
      <w:contextualSpacing/>
    </w:pPr>
  </w:style>
  <w:style w:type="paragraph" w:styleId="ListNumber3">
    <w:name w:val="List Number 3"/>
    <w:basedOn w:val="Normal"/>
    <w:uiPriority w:val="98"/>
    <w:semiHidden/>
    <w:rsid w:val="00FE51D7"/>
    <w:pPr>
      <w:numPr>
        <w:numId w:val="11"/>
      </w:numPr>
      <w:contextualSpacing/>
    </w:pPr>
  </w:style>
  <w:style w:type="paragraph" w:styleId="ListNumber4">
    <w:name w:val="List Number 4"/>
    <w:basedOn w:val="Normal"/>
    <w:uiPriority w:val="98"/>
    <w:semiHidden/>
    <w:rsid w:val="00FE51D7"/>
    <w:pPr>
      <w:numPr>
        <w:numId w:val="12"/>
      </w:numPr>
      <w:contextualSpacing/>
    </w:pPr>
  </w:style>
  <w:style w:type="paragraph" w:styleId="ListNumber5">
    <w:name w:val="List Number 5"/>
    <w:basedOn w:val="Normal"/>
    <w:uiPriority w:val="98"/>
    <w:semiHidden/>
    <w:rsid w:val="00FE51D7"/>
    <w:pPr>
      <w:numPr>
        <w:numId w:val="13"/>
      </w:numPr>
      <w:contextualSpacing/>
    </w:pPr>
  </w:style>
  <w:style w:type="paragraph" w:styleId="MacroText">
    <w:name w:val="macro"/>
    <w:link w:val="MacroTextChar"/>
    <w:uiPriority w:val="98"/>
    <w:semiHidden/>
    <w:rsid w:val="00FE51D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E51D7"/>
    <w:rPr>
      <w:rFonts w:ascii="Consolas" w:eastAsiaTheme="minorEastAsia" w:hAnsi="Consolas" w:cs="Consolas"/>
      <w:sz w:val="20"/>
      <w:szCs w:val="20"/>
    </w:rPr>
  </w:style>
  <w:style w:type="table" w:styleId="MediumGrid1">
    <w:name w:val="Medium Grid 1"/>
    <w:basedOn w:val="TableNormal"/>
    <w:uiPriority w:val="67"/>
    <w:semiHidden/>
    <w:rsid w:val="00FE51D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E51D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E51D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E51D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E51D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E51D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E51D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E51D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E51D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E51D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E51D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E51D7"/>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E51D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E51D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E51D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E51D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E51D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E51D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E51D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E51D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E51D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E51D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E51D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E51D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E51D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E51D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E51D7"/>
    <w:rPr>
      <w:rFonts w:ascii="Times New Roman" w:hAnsi="Times New Roman" w:cs="Times New Roman"/>
    </w:rPr>
  </w:style>
  <w:style w:type="paragraph" w:styleId="NormalIndent">
    <w:name w:val="Normal Indent"/>
    <w:basedOn w:val="Normal"/>
    <w:uiPriority w:val="98"/>
    <w:semiHidden/>
    <w:rsid w:val="00FE51D7"/>
    <w:pPr>
      <w:ind w:left="720"/>
    </w:pPr>
  </w:style>
  <w:style w:type="paragraph" w:styleId="NoteHeading">
    <w:name w:val="Note Heading"/>
    <w:basedOn w:val="Normal"/>
    <w:next w:val="Normal"/>
    <w:link w:val="NoteHeadingChar"/>
    <w:uiPriority w:val="98"/>
    <w:semiHidden/>
    <w:rsid w:val="00FE51D7"/>
  </w:style>
  <w:style w:type="character" w:customStyle="1" w:styleId="NoteHeadingChar">
    <w:name w:val="Note Heading Char"/>
    <w:basedOn w:val="DefaultParagraphFont"/>
    <w:link w:val="NoteHeading"/>
    <w:uiPriority w:val="98"/>
    <w:semiHidden/>
    <w:rsid w:val="00FE51D7"/>
    <w:rPr>
      <w:sz w:val="24"/>
      <w:szCs w:val="24"/>
      <w:lang w:val="ro-RO"/>
    </w:rPr>
  </w:style>
  <w:style w:type="character" w:styleId="PlaceholderText">
    <w:name w:val="Placeholder Text"/>
    <w:basedOn w:val="DefaultParagraphFont"/>
    <w:uiPriority w:val="98"/>
    <w:semiHidden/>
    <w:rsid w:val="00FE51D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E51D7"/>
    <w:rPr>
      <w:rFonts w:ascii="Consolas" w:hAnsi="Consolas" w:cs="Consolas"/>
      <w:sz w:val="21"/>
      <w:szCs w:val="21"/>
    </w:rPr>
  </w:style>
  <w:style w:type="character" w:customStyle="1" w:styleId="PlainTextChar">
    <w:name w:val="Plain Text Char"/>
    <w:basedOn w:val="DefaultParagraphFont"/>
    <w:link w:val="PlainText"/>
    <w:uiPriority w:val="98"/>
    <w:semiHidden/>
    <w:rsid w:val="00FE51D7"/>
    <w:rPr>
      <w:rFonts w:ascii="Consolas" w:hAnsi="Consolas" w:cs="Consolas"/>
      <w:sz w:val="21"/>
      <w:szCs w:val="21"/>
      <w:lang w:val="ro-RO"/>
    </w:rPr>
  </w:style>
  <w:style w:type="paragraph" w:styleId="Salutation">
    <w:name w:val="Salutation"/>
    <w:basedOn w:val="Normal"/>
    <w:next w:val="Normal"/>
    <w:link w:val="SalutationChar"/>
    <w:uiPriority w:val="98"/>
    <w:semiHidden/>
    <w:rsid w:val="00FE51D7"/>
  </w:style>
  <w:style w:type="character" w:customStyle="1" w:styleId="SalutationChar">
    <w:name w:val="Salutation Char"/>
    <w:basedOn w:val="DefaultParagraphFont"/>
    <w:link w:val="Salutation"/>
    <w:uiPriority w:val="98"/>
    <w:semiHidden/>
    <w:rsid w:val="00FE51D7"/>
    <w:rPr>
      <w:sz w:val="24"/>
      <w:szCs w:val="24"/>
      <w:lang w:val="ro-RO"/>
    </w:rPr>
  </w:style>
  <w:style w:type="paragraph" w:styleId="Signature">
    <w:name w:val="Signature"/>
    <w:basedOn w:val="Normal"/>
    <w:link w:val="SignatureChar"/>
    <w:uiPriority w:val="98"/>
    <w:semiHidden/>
    <w:rsid w:val="00FE51D7"/>
    <w:pPr>
      <w:ind w:left="4252"/>
    </w:pPr>
  </w:style>
  <w:style w:type="character" w:customStyle="1" w:styleId="SignatureChar">
    <w:name w:val="Signature Char"/>
    <w:basedOn w:val="DefaultParagraphFont"/>
    <w:link w:val="Signature"/>
    <w:uiPriority w:val="98"/>
    <w:semiHidden/>
    <w:rsid w:val="00FE51D7"/>
    <w:rPr>
      <w:sz w:val="24"/>
      <w:szCs w:val="24"/>
      <w:lang w:val="ro-RO"/>
    </w:rPr>
  </w:style>
  <w:style w:type="table" w:styleId="Table3Deffects1">
    <w:name w:val="Table 3D effects 1"/>
    <w:basedOn w:val="TableNormal"/>
    <w:uiPriority w:val="99"/>
    <w:semiHidden/>
    <w:unhideWhenUsed/>
    <w:rsid w:val="00FE51D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51D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51D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51D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51D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51D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51D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51D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51D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51D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51D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51D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51D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51D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51D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51D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51D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E51D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51D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51D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51D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51D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51D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51D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51D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E51D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51D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51D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51D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51D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51D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51D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51D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E51D7"/>
    <w:pPr>
      <w:ind w:left="240" w:hanging="240"/>
    </w:pPr>
  </w:style>
  <w:style w:type="paragraph" w:styleId="TableofFigures">
    <w:name w:val="table of figures"/>
    <w:basedOn w:val="Normal"/>
    <w:next w:val="Normal"/>
    <w:uiPriority w:val="98"/>
    <w:semiHidden/>
    <w:rsid w:val="00FE51D7"/>
  </w:style>
  <w:style w:type="table" w:styleId="TableProfessional">
    <w:name w:val="Table Professional"/>
    <w:basedOn w:val="TableNormal"/>
    <w:uiPriority w:val="99"/>
    <w:semiHidden/>
    <w:unhideWhenUsed/>
    <w:rsid w:val="00FE51D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51D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51D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51D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51D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51D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51D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51D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51D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51D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E51D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E51D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E51D7"/>
    <w:pPr>
      <w:spacing w:after="100"/>
      <w:ind w:left="1680"/>
    </w:pPr>
  </w:style>
  <w:style w:type="paragraph" w:styleId="TOC9">
    <w:name w:val="toc 9"/>
    <w:basedOn w:val="Normal"/>
    <w:next w:val="Normal"/>
    <w:autoRedefine/>
    <w:uiPriority w:val="98"/>
    <w:semiHidden/>
    <w:rsid w:val="00FE51D7"/>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FE51D7"/>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E51D7"/>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FE51D7"/>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FE51D7"/>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FE51D7"/>
    <w:pPr>
      <w:numPr>
        <w:numId w:val="15"/>
      </w:numPr>
      <w:spacing w:before="60" w:after="60"/>
    </w:pPr>
  </w:style>
  <w:style w:type="paragraph" w:customStyle="1" w:styleId="ECHRBullet2">
    <w:name w:val="ECHR_Bullet_2"/>
    <w:aliases w:val="_Bul_2"/>
    <w:basedOn w:val="ECHRBullet1"/>
    <w:uiPriority w:val="23"/>
    <w:semiHidden/>
    <w:rsid w:val="00FE51D7"/>
    <w:pPr>
      <w:numPr>
        <w:ilvl w:val="1"/>
      </w:numPr>
    </w:pPr>
  </w:style>
  <w:style w:type="paragraph" w:customStyle="1" w:styleId="ECHRBullet3">
    <w:name w:val="ECHR_Bullet_3"/>
    <w:aliases w:val="_Bul_3"/>
    <w:basedOn w:val="ECHRBullet2"/>
    <w:uiPriority w:val="23"/>
    <w:semiHidden/>
    <w:rsid w:val="00FE51D7"/>
    <w:pPr>
      <w:numPr>
        <w:ilvl w:val="2"/>
      </w:numPr>
    </w:pPr>
  </w:style>
  <w:style w:type="paragraph" w:customStyle="1" w:styleId="ECHRBullet4">
    <w:name w:val="ECHR_Bullet_4"/>
    <w:aliases w:val="_Bul_4"/>
    <w:basedOn w:val="ECHRBullet3"/>
    <w:uiPriority w:val="23"/>
    <w:semiHidden/>
    <w:rsid w:val="00FE51D7"/>
    <w:pPr>
      <w:numPr>
        <w:ilvl w:val="3"/>
      </w:numPr>
    </w:pPr>
  </w:style>
  <w:style w:type="paragraph" w:customStyle="1" w:styleId="ECHRConfidential">
    <w:name w:val="ECHR_Confidential"/>
    <w:aliases w:val="_Confidential"/>
    <w:basedOn w:val="Normal"/>
    <w:next w:val="Normal"/>
    <w:uiPriority w:val="42"/>
    <w:semiHidden/>
    <w:qFormat/>
    <w:rsid w:val="00FE51D7"/>
    <w:pPr>
      <w:jc w:val="right"/>
    </w:pPr>
    <w:rPr>
      <w:color w:val="C00000"/>
      <w:sz w:val="20"/>
    </w:rPr>
  </w:style>
  <w:style w:type="paragraph" w:customStyle="1" w:styleId="ECHRDecisionBody">
    <w:name w:val="ECHR_Decision_Body"/>
    <w:aliases w:val="_Decision_Body"/>
    <w:basedOn w:val="NormalJustified"/>
    <w:uiPriority w:val="54"/>
    <w:semiHidden/>
    <w:rsid w:val="00FE51D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E51D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E51D7"/>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FE51D7"/>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FE51D7"/>
    <w:pPr>
      <w:jc w:val="right"/>
    </w:pPr>
    <w:rPr>
      <w:sz w:val="20"/>
    </w:rPr>
  </w:style>
  <w:style w:type="paragraph" w:customStyle="1" w:styleId="ECHRHeaderRefIt">
    <w:name w:val="ECHR_Header_Ref_It"/>
    <w:aliases w:val="_Ref_Ital"/>
    <w:basedOn w:val="Normal"/>
    <w:next w:val="ECHRHeaderDate"/>
    <w:uiPriority w:val="43"/>
    <w:semiHidden/>
    <w:qFormat/>
    <w:rsid w:val="00FE51D7"/>
    <w:pPr>
      <w:jc w:val="right"/>
    </w:pPr>
    <w:rPr>
      <w:i/>
      <w:sz w:val="20"/>
    </w:rPr>
  </w:style>
  <w:style w:type="paragraph" w:customStyle="1" w:styleId="ECHRHeading9">
    <w:name w:val="ECHR_Heading_9"/>
    <w:aliases w:val="_Head_9"/>
    <w:basedOn w:val="Heading9"/>
    <w:uiPriority w:val="17"/>
    <w:semiHidden/>
    <w:rsid w:val="00FE51D7"/>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FE51D7"/>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FE51D7"/>
    <w:pPr>
      <w:numPr>
        <w:numId w:val="17"/>
      </w:numPr>
      <w:spacing w:before="60" w:after="60"/>
    </w:pPr>
  </w:style>
  <w:style w:type="paragraph" w:customStyle="1" w:styleId="ECHRNumberedList2">
    <w:name w:val="ECHR_Numbered_List_2"/>
    <w:aliases w:val="_Num_2"/>
    <w:basedOn w:val="ECHRNumberedList1"/>
    <w:uiPriority w:val="23"/>
    <w:semiHidden/>
    <w:rsid w:val="00FE51D7"/>
    <w:pPr>
      <w:numPr>
        <w:ilvl w:val="1"/>
      </w:numPr>
    </w:pPr>
  </w:style>
  <w:style w:type="paragraph" w:customStyle="1" w:styleId="ECHRNumberedList3">
    <w:name w:val="ECHR_Numbered_List_3"/>
    <w:aliases w:val="_Num_3"/>
    <w:basedOn w:val="ECHRNumberedList2"/>
    <w:uiPriority w:val="23"/>
    <w:semiHidden/>
    <w:rsid w:val="00FE51D7"/>
    <w:pPr>
      <w:numPr>
        <w:ilvl w:val="2"/>
      </w:numPr>
    </w:pPr>
  </w:style>
  <w:style w:type="paragraph" w:customStyle="1" w:styleId="ECHRParaHanging">
    <w:name w:val="ECHR_Para_Hanging"/>
    <w:aliases w:val="_Hanging"/>
    <w:basedOn w:val="NormalJustified"/>
    <w:uiPriority w:val="8"/>
    <w:semiHidden/>
    <w:qFormat/>
    <w:rsid w:val="00FE51D7"/>
    <w:pPr>
      <w:ind w:left="567" w:hanging="567"/>
    </w:pPr>
  </w:style>
  <w:style w:type="paragraph" w:customStyle="1" w:styleId="ECHRParaIndent">
    <w:name w:val="ECHR_Para_Indent"/>
    <w:aliases w:val="_Indent"/>
    <w:basedOn w:val="NormalJustified"/>
    <w:uiPriority w:val="7"/>
    <w:semiHidden/>
    <w:qFormat/>
    <w:rsid w:val="00FE51D7"/>
    <w:pPr>
      <w:spacing w:before="120" w:after="120"/>
      <w:ind w:left="567"/>
    </w:pPr>
  </w:style>
  <w:style w:type="character" w:customStyle="1" w:styleId="ECHRRed">
    <w:name w:val="ECHR_Red"/>
    <w:aliases w:val="_Red"/>
    <w:basedOn w:val="DefaultParagraphFont"/>
    <w:uiPriority w:val="15"/>
    <w:semiHidden/>
    <w:qFormat/>
    <w:rsid w:val="00FE51D7"/>
    <w:rPr>
      <w:color w:val="C00000" w:themeColor="accent2"/>
    </w:rPr>
  </w:style>
  <w:style w:type="paragraph" w:customStyle="1" w:styleId="DecList">
    <w:name w:val="Dec_List"/>
    <w:aliases w:val="_List"/>
    <w:basedOn w:val="JuList"/>
    <w:uiPriority w:val="22"/>
    <w:rsid w:val="00FE51D7"/>
    <w:pPr>
      <w:numPr>
        <w:numId w:val="0"/>
      </w:numPr>
      <w:ind w:left="284"/>
    </w:pPr>
  </w:style>
  <w:style w:type="table" w:customStyle="1" w:styleId="ECHRTable2">
    <w:name w:val="ECHR_Table_2"/>
    <w:basedOn w:val="TableNormal"/>
    <w:uiPriority w:val="99"/>
    <w:rsid w:val="00FE51D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E51D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FE51D7"/>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E51D7"/>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E51D7"/>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FE51D7"/>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E51D7"/>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E51D7"/>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E51D7"/>
    <w:pPr>
      <w:outlineLvl w:val="0"/>
    </w:pPr>
  </w:style>
  <w:style w:type="paragraph" w:customStyle="1" w:styleId="ECHRTitleTOC1">
    <w:name w:val="ECHR_Title_TOC_1"/>
    <w:aliases w:val="_Title_L_TOC"/>
    <w:basedOn w:val="ECHRTitle1"/>
    <w:next w:val="Normal"/>
    <w:uiPriority w:val="27"/>
    <w:semiHidden/>
    <w:qFormat/>
    <w:rsid w:val="00FE51D7"/>
    <w:pPr>
      <w:outlineLvl w:val="0"/>
    </w:pPr>
  </w:style>
  <w:style w:type="paragraph" w:customStyle="1" w:styleId="ECHRPlaceholder">
    <w:name w:val="ECHR_Placeholder"/>
    <w:aliases w:val="_Placeholder"/>
    <w:basedOn w:val="JuSigned"/>
    <w:uiPriority w:val="31"/>
    <w:rsid w:val="00FE51D7"/>
    <w:rPr>
      <w:color w:val="FFFFFF"/>
    </w:rPr>
  </w:style>
  <w:style w:type="paragraph" w:customStyle="1" w:styleId="ECHRSpacer">
    <w:name w:val="ECHR_Spacer"/>
    <w:aliases w:val="_Spacer"/>
    <w:basedOn w:val="Normal"/>
    <w:uiPriority w:val="45"/>
    <w:semiHidden/>
    <w:rsid w:val="00FE51D7"/>
    <w:rPr>
      <w:sz w:val="4"/>
    </w:rPr>
  </w:style>
  <w:style w:type="table" w:customStyle="1" w:styleId="ECHRTableGrey">
    <w:name w:val="ECHR_Table_Grey"/>
    <w:basedOn w:val="TableNormal"/>
    <w:uiPriority w:val="99"/>
    <w:rsid w:val="00FE51D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4046E8"/>
    <w:rPr>
      <w:sz w:val="24"/>
      <w:szCs w:val="24"/>
      <w:lang w:val="ro-RO"/>
    </w:rPr>
  </w:style>
  <w:style w:type="table" w:styleId="GridTable1Light">
    <w:name w:val="Grid Table 1 Light"/>
    <w:basedOn w:val="TableNormal"/>
    <w:uiPriority w:val="46"/>
    <w:semiHidden/>
    <w:rsid w:val="000D76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0D769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0D769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0D7691"/>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0D769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0D769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0D769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0D769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0D769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0D769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0D7691"/>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0D769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0D769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0D769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0D76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0D769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0D769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0D769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0D769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0D769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0D769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0D76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0D769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0D769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0D769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0D769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0D769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0D769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0D769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0D769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0D769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0D769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0D769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0D769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0D769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0D769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0D769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0D769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0D769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0D769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0D769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0D769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0D769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0D7691"/>
    <w:rPr>
      <w:color w:val="2B579A"/>
      <w:shd w:val="clear" w:color="auto" w:fill="E1DFDD"/>
    </w:rPr>
  </w:style>
  <w:style w:type="table" w:styleId="ListTable1Light">
    <w:name w:val="List Table 1 Light"/>
    <w:basedOn w:val="TableNormal"/>
    <w:uiPriority w:val="46"/>
    <w:semiHidden/>
    <w:rsid w:val="000D769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0D769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0D769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0D7691"/>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0D769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0D769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0D769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0D769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0D769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0D769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0D7691"/>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0D769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0D769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0D769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0D769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0D769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0D769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0D7691"/>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0D769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0D769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0D769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0D76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0D769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0D769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0D769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0D769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0D769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0D769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0D7691"/>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0D7691"/>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0D7691"/>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0D7691"/>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0D7691"/>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0D7691"/>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0D7691"/>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0D769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0D769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0D769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0D7691"/>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0D769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0D769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0D769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0D769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0D769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0D769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0D7691"/>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0D769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0D769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0D769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0D7691"/>
    <w:rPr>
      <w:color w:val="2B579A"/>
      <w:shd w:val="clear" w:color="auto" w:fill="E1DFDD"/>
    </w:rPr>
  </w:style>
  <w:style w:type="table" w:styleId="PlainTable1">
    <w:name w:val="Plain Table 1"/>
    <w:basedOn w:val="TableNormal"/>
    <w:uiPriority w:val="41"/>
    <w:semiHidden/>
    <w:rsid w:val="000D7691"/>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0D769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0D769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0D769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0D769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0D7691"/>
    <w:rPr>
      <w:u w:val="dotted"/>
    </w:rPr>
  </w:style>
  <w:style w:type="character" w:customStyle="1" w:styleId="SmartLink1">
    <w:name w:val="SmartLink1"/>
    <w:basedOn w:val="DefaultParagraphFont"/>
    <w:uiPriority w:val="99"/>
    <w:semiHidden/>
    <w:unhideWhenUsed/>
    <w:rsid w:val="000D7691"/>
    <w:rPr>
      <w:color w:val="0000FF"/>
      <w:u w:val="single"/>
      <w:shd w:val="clear" w:color="auto" w:fill="F3F2F1"/>
    </w:rPr>
  </w:style>
  <w:style w:type="table" w:styleId="TableGridLight">
    <w:name w:val="Grid Table Light"/>
    <w:basedOn w:val="TableNormal"/>
    <w:uiPriority w:val="40"/>
    <w:semiHidden/>
    <w:rsid w:val="000D7691"/>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B22C7-B934-4963-8FB7-A65447A52C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136A22-A409-4982-96D1-C03D9E163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D07E91-E5EF-4F26-8B90-BACEE007D193}">
  <ds:schemaRefs>
    <ds:schemaRef ds:uri="http://schemas.microsoft.com/sharepoint/v3/contenttype/forms"/>
  </ds:schemaRefs>
</ds:datastoreItem>
</file>

<file path=customXml/itemProps4.xml><?xml version="1.0" encoding="utf-8"?>
<ds:datastoreItem xmlns:ds="http://schemas.openxmlformats.org/officeDocument/2006/customXml" ds:itemID="{BD425179-8EB8-4FFA-A5CA-5A96BABB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2023-06-08T07:14:00Z</dcterms:created>
  <dcterms:modified xsi:type="dcterms:W3CDTF">2023-06-29T13:29:00Z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16732/15</vt:lpwstr>
  </property>
  <property fmtid="{D5CDD505-2E9C-101B-9397-08002B2CF9AE}" pid="4" name="CASEID">
    <vt:lpwstr>1127090</vt:lpwstr>
  </property>
  <property fmtid="{D5CDD505-2E9C-101B-9397-08002B2CF9AE}" pid="5" name="ContentTypeId">
    <vt:lpwstr>0x010100558EB02BDB9E204AB350EDD385B68E10</vt:lpwstr>
  </property>
</Properties>
</file>