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DCD2"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Anexa Nr. 4</w:t>
      </w:r>
    </w:p>
    <w:p w14:paraId="42544EB0" w14:textId="41C6D18F"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i/>
          <w:iCs/>
          <w:color w:val="000000"/>
          <w:kern w:val="0"/>
          <w:sz w:val="26"/>
          <w:szCs w:val="26"/>
          <w:bdr w:val="none" w:sz="0" w:space="0" w:color="auto" w:frame="1"/>
          <w14:ligatures w14:val="none"/>
        </w:rPr>
        <w:t>    la Regulamentul privind evaluarea activităţii profesionale a judecătorilor, aprobat prin Hotărârea Secţiei pentru judecători nr. ..... din .... 202</w:t>
      </w:r>
      <w:r w:rsidR="00087B2F">
        <w:rPr>
          <w:rFonts w:eastAsia="Times New Roman" w:cstheme="minorHAnsi"/>
          <w:b/>
          <w:bCs/>
          <w:i/>
          <w:iCs/>
          <w:color w:val="000000"/>
          <w:kern w:val="0"/>
          <w:sz w:val="26"/>
          <w:szCs w:val="26"/>
          <w:bdr w:val="none" w:sz="0" w:space="0" w:color="auto" w:frame="1"/>
          <w14:ligatures w14:val="none"/>
        </w:rPr>
        <w:t>4</w:t>
      </w:r>
    </w:p>
    <w:p w14:paraId="375B8D14"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br/>
      </w:r>
    </w:p>
    <w:p w14:paraId="4E401B9F" w14:textId="77777777" w:rsidR="007028AE" w:rsidRPr="00316341" w:rsidRDefault="007028AE" w:rsidP="007028AE">
      <w:pPr>
        <w:shd w:val="clear" w:color="auto" w:fill="FFFFFF"/>
        <w:spacing w:after="0" w:line="240" w:lineRule="auto"/>
        <w:jc w:val="center"/>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FIŞA DE EVALUARE A ACTIVITĂŢII PROFESIONALE A JUDECĂTORILOR</w:t>
      </w:r>
    </w:p>
    <w:p w14:paraId="0C70770F" w14:textId="77777777" w:rsidR="007028AE" w:rsidRPr="00316341" w:rsidRDefault="007028AE" w:rsidP="007028AE">
      <w:pPr>
        <w:shd w:val="clear" w:color="auto" w:fill="FFFFFF"/>
        <w:spacing w:after="0" w:line="240" w:lineRule="auto"/>
        <w:jc w:val="center"/>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br/>
      </w:r>
    </w:p>
    <w:p w14:paraId="51943B30" w14:textId="77777777" w:rsidR="007028AE" w:rsidRPr="00316341" w:rsidRDefault="007028AE" w:rsidP="007028AE">
      <w:pPr>
        <w:shd w:val="clear" w:color="auto" w:fill="FFFFFF"/>
        <w:spacing w:after="0" w:line="240" w:lineRule="auto"/>
        <w:jc w:val="center"/>
        <w:rPr>
          <w:rFonts w:eastAsia="Times New Roman" w:cstheme="minorHAnsi"/>
          <w:b/>
          <w:bCs/>
          <w:color w:val="000000"/>
          <w:kern w:val="0"/>
          <w:sz w:val="26"/>
          <w:szCs w:val="26"/>
          <w:bdr w:val="none" w:sz="0" w:space="0" w:color="auto" w:frame="1"/>
          <w14:ligatures w14:val="none"/>
        </w:rPr>
      </w:pPr>
      <w:r w:rsidRPr="00316341">
        <w:rPr>
          <w:rFonts w:eastAsia="Times New Roman" w:cstheme="minorHAnsi"/>
          <w:b/>
          <w:bCs/>
          <w:color w:val="000000"/>
          <w:kern w:val="0"/>
          <w:sz w:val="26"/>
          <w:szCs w:val="26"/>
          <w:bdr w:val="none" w:sz="0" w:space="0" w:color="auto" w:frame="1"/>
          <w14:ligatures w14:val="none"/>
        </w:rPr>
        <w:t>ACTIVITATE DE CONDUCERE</w:t>
      </w:r>
      <w:r w:rsidRPr="00316341">
        <w:rPr>
          <w:rFonts w:eastAsia="Times New Roman" w:cstheme="minorHAnsi"/>
          <w:b/>
          <w:bCs/>
          <w:color w:val="000000"/>
          <w:kern w:val="0"/>
          <w:sz w:val="26"/>
          <w:szCs w:val="26"/>
          <w:bdr w:val="none" w:sz="0" w:space="0" w:color="auto" w:frame="1"/>
          <w:vertAlign w:val="superscript"/>
          <w14:ligatures w14:val="none"/>
        </w:rPr>
        <w:t>1</w:t>
      </w:r>
      <w:r w:rsidRPr="00316341">
        <w:rPr>
          <w:rFonts w:eastAsia="Times New Roman" w:cstheme="minorHAnsi"/>
          <w:b/>
          <w:bCs/>
          <w:color w:val="000000"/>
          <w:kern w:val="0"/>
          <w:sz w:val="26"/>
          <w:szCs w:val="26"/>
          <w:bdr w:val="none" w:sz="0" w:space="0" w:color="auto" w:frame="1"/>
          <w14:ligatures w14:val="none"/>
        </w:rPr>
        <w:t>)</w:t>
      </w:r>
    </w:p>
    <w:p w14:paraId="3EAF77E1"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6C96CB9A"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bdr w:val="none" w:sz="0" w:space="0" w:color="auto" w:frame="1"/>
          <w:vertAlign w:val="superscript"/>
          <w14:ligatures w14:val="none"/>
        </w:rPr>
        <w:t>1</w:t>
      </w:r>
      <w:r w:rsidRPr="00316341">
        <w:rPr>
          <w:rFonts w:eastAsia="Times New Roman" w:cstheme="minorHAnsi"/>
          <w:color w:val="000000"/>
          <w:kern w:val="0"/>
          <w:sz w:val="26"/>
          <w:szCs w:val="26"/>
          <w:bdr w:val="none" w:sz="0" w:space="0" w:color="auto" w:frame="1"/>
          <w14:ligatures w14:val="none"/>
        </w:rPr>
        <w:t>) Fişa de evaluare cuprinde motivarea punctajelor acordate de comisia de evaluare doar în situaţia în care judecătorul evaluat este depunctat, motivarea limitându-se la indicatorul respectiv.</w:t>
      </w:r>
    </w:p>
    <w:p w14:paraId="700DBD1E"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5A1D1092"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xml:space="preserve">    NUMELE ŞI PRENUMELE JUDECĂTORULUI EVALUAT</w:t>
      </w:r>
    </w:p>
    <w:p w14:paraId="2811A7CD"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INSTANŢA LA CARE FUNCŢIONEAZĂ</w:t>
      </w:r>
    </w:p>
    <w:p w14:paraId="485F397D"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082D5E55"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xml:space="preserve">   I. MODUL DE ÎNDEPLINIRE A ATRIBUŢIILOR MANAGERIALE</w:t>
      </w:r>
    </w:p>
    <w:p w14:paraId="4F88A843"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a) Capacitatea de conducere şi organizare</w:t>
      </w:r>
    </w:p>
    <w:p w14:paraId="48ABF3D2"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în urma autoevaluării:</w:t>
      </w:r>
    </w:p>
    <w:p w14:paraId="07B5A532"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5E8F23D6"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de către comisia de evaluare:</w:t>
      </w:r>
    </w:p>
    <w:p w14:paraId="345EBD2F"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318C71E4"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b) Capacitatea de control</w:t>
      </w:r>
    </w:p>
    <w:p w14:paraId="73FA0C0B"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în urma autoevaluării:</w:t>
      </w:r>
    </w:p>
    <w:p w14:paraId="5AAD087E"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3B2BA569"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de către comisia de evaluare:</w:t>
      </w:r>
    </w:p>
    <w:p w14:paraId="14758C9B"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7C9FD984"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c) Capacitatea decizională şi asumarea răspunderii</w:t>
      </w:r>
    </w:p>
    <w:p w14:paraId="1B689A89"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în urma autoevaluării:</w:t>
      </w:r>
    </w:p>
    <w:p w14:paraId="16FD3DBB"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0C35FF1C"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de către comisia de evaluare:</w:t>
      </w:r>
    </w:p>
    <w:p w14:paraId="0E88964A"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28FA4271"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d) Comportamentul şi comunicarea</w:t>
      </w:r>
    </w:p>
    <w:p w14:paraId="23D3AD50"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în urma autoevaluării:</w:t>
      </w:r>
    </w:p>
    <w:p w14:paraId="0AAC9BC0"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1ADFC562"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de către comisia de evaluare:</w:t>
      </w:r>
    </w:p>
    <w:p w14:paraId="15A3EFA9"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4D2DDC91"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br/>
      </w:r>
    </w:p>
    <w:p w14:paraId="73738D06"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lastRenderedPageBreak/>
        <w:t>    Punctajul obţinut la criteriul "modul de îndeplinire a atribuţiilor manageriale":</w:t>
      </w:r>
    </w:p>
    <w:p w14:paraId="32F62407"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Observaţii:</w:t>
      </w:r>
    </w:p>
    <w:p w14:paraId="27D0FC55"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Obiecţii:</w:t>
      </w:r>
    </w:p>
    <w:p w14:paraId="176D0FEA"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4E083EFA"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br/>
        <w:t>    II. INTEGRITATEA</w:t>
      </w:r>
    </w:p>
    <w:p w14:paraId="2D64D4CA"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Încălcări ale Codului deontologic al judecătorilor şi procurorilor, stabilite prin hotărâri definitive ale Secţiei pentru judecători; sancţiuni disciplinare care privesc aspecte de integritate, rămase definitive în perioada supusă evaluării; pronunţarea faţă de judecătorul evaluat a unor soluţii de renunţare la urmărirea penală, de renunţare la aplicarea pedepsei, de amânare a aplicării pedepsei ori de condamnare, pentru care Secţia pentru judecători nu a propus eliberarea din funcţie, în condiţiile legii</w:t>
      </w:r>
    </w:p>
    <w:p w14:paraId="1044064E"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în urma autoevaluării:</w:t>
      </w:r>
    </w:p>
    <w:p w14:paraId="1CB2854D"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07B09FD6"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de către comisia de evaluare:</w:t>
      </w:r>
    </w:p>
    <w:p w14:paraId="1DF08573"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2F3C42CD"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br/>
      </w:r>
    </w:p>
    <w:p w14:paraId="35DB8AE4"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Punctajul obţinut la criteriul "integritate":</w:t>
      </w:r>
    </w:p>
    <w:p w14:paraId="426C0D31"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Observaţii:</w:t>
      </w:r>
    </w:p>
    <w:p w14:paraId="4642EBC3"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Obiecţii:</w:t>
      </w:r>
    </w:p>
    <w:p w14:paraId="105B8550"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br/>
      </w:r>
    </w:p>
    <w:p w14:paraId="22161000"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b/>
          <w:bCs/>
          <w:color w:val="000000"/>
          <w:kern w:val="0"/>
          <w:sz w:val="26"/>
          <w:szCs w:val="26"/>
          <w:bdr w:val="none" w:sz="0" w:space="0" w:color="auto" w:frame="1"/>
          <w14:ligatures w14:val="none"/>
        </w:rPr>
        <w:t>III.FORMAREA PROFESIONALĂ CONTINUĂ</w:t>
      </w:r>
    </w:p>
    <w:p w14:paraId="4370A3D8"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Disponibilitatea de a participa la programele de formare profesională continuă ori la alte forme de perfecţionare profesională, participarea la activităţile care au drept scop unificarea practicii judiciare şi la învăţământul profesional al judecătorilor, respectiv participarea la întâlnirile trimestriale ale judecătorilor de supraveghere a privării de libertate, precum şi preocuparea pentru dezvoltare profesională prin studiu individual</w:t>
      </w:r>
    </w:p>
    <w:p w14:paraId="534A791F"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în urma autoevaluării:</w:t>
      </w:r>
    </w:p>
    <w:p w14:paraId="6B158A6D"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346C7494"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Punctajul acordat de către comisia de evaluare:</w:t>
      </w:r>
    </w:p>
    <w:p w14:paraId="3FC12AB5"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color w:val="000000"/>
          <w:kern w:val="0"/>
          <w:sz w:val="26"/>
          <w:szCs w:val="26"/>
          <w:bdr w:val="none" w:sz="0" w:space="0" w:color="auto" w:frame="1"/>
          <w14:ligatures w14:val="none"/>
        </w:rPr>
        <w:t>    </w:t>
      </w:r>
      <w:r w:rsidRPr="00316341">
        <w:rPr>
          <w:rFonts w:eastAsia="Times New Roman" w:cstheme="minorHAnsi"/>
          <w:color w:val="000000"/>
          <w:kern w:val="0"/>
          <w:sz w:val="26"/>
          <w:szCs w:val="26"/>
          <w:u w:val="single"/>
          <w:bdr w:val="none" w:sz="0" w:space="0" w:color="auto" w:frame="1"/>
          <w14:ligatures w14:val="none"/>
        </w:rPr>
        <w:t>Observaţii şi motivare:</w:t>
      </w:r>
    </w:p>
    <w:p w14:paraId="70902C88"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br/>
      </w:r>
    </w:p>
    <w:p w14:paraId="660941E2"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Punctajul obţinut la criteriul "formare profesională continuă":</w:t>
      </w:r>
    </w:p>
    <w:p w14:paraId="0C316B46"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Observaţii:</w:t>
      </w:r>
    </w:p>
    <w:p w14:paraId="5EED0CAF"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Obiecţii:</w:t>
      </w:r>
    </w:p>
    <w:p w14:paraId="470C6E84"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r w:rsidRPr="00316341">
        <w:rPr>
          <w:rFonts w:eastAsia="Times New Roman" w:cstheme="minorHAnsi"/>
          <w:b/>
          <w:bCs/>
          <w:color w:val="000000"/>
          <w:kern w:val="0"/>
          <w:sz w:val="26"/>
          <w:szCs w:val="26"/>
          <w:bdr w:val="none" w:sz="0" w:space="0" w:color="auto" w:frame="1"/>
          <w14:ligatures w14:val="none"/>
        </w:rPr>
        <w:lastRenderedPageBreak/>
        <w:br/>
      </w:r>
    </w:p>
    <w:p w14:paraId="42F888BB"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xml:space="preserve">    PUNCTAJUL OBŢINUT LA EVALUAREA CELOR TREI CRITERII:</w:t>
      </w:r>
    </w:p>
    <w:p w14:paraId="53A25269"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CALIFICATIVUL ACORDAT:</w:t>
      </w:r>
    </w:p>
    <w:p w14:paraId="1540763D"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Observaţii:</w:t>
      </w:r>
    </w:p>
    <w:p w14:paraId="6504D1CF" w14:textId="77777777" w:rsidR="007028AE" w:rsidRPr="00316341" w:rsidRDefault="007028AE" w:rsidP="007028AE">
      <w:pPr>
        <w:shd w:val="clear" w:color="auto" w:fill="FFFFFF"/>
        <w:spacing w:after="0" w:line="240" w:lineRule="auto"/>
        <w:rPr>
          <w:rFonts w:eastAsia="Times New Roman" w:cstheme="minorHAnsi"/>
          <w:color w:val="000000"/>
          <w:kern w:val="0"/>
          <w:sz w:val="26"/>
          <w:szCs w:val="26"/>
          <w14:ligatures w14:val="none"/>
        </w:rPr>
      </w:pPr>
      <w:r w:rsidRPr="00316341">
        <w:rPr>
          <w:rFonts w:eastAsia="Times New Roman" w:cstheme="minorHAnsi"/>
          <w:b/>
          <w:bCs/>
          <w:color w:val="000000"/>
          <w:kern w:val="0"/>
          <w:sz w:val="26"/>
          <w:szCs w:val="26"/>
          <w:bdr w:val="none" w:sz="0" w:space="0" w:color="auto" w:frame="1"/>
          <w14:ligatures w14:val="none"/>
        </w:rPr>
        <w:t>    Obiecţii:</w:t>
      </w:r>
    </w:p>
    <w:p w14:paraId="04F1CF44"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4BA907BE"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2E9AEC06"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085D8085"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061815BC"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65066F3D" w14:textId="77777777" w:rsidR="007028AE" w:rsidRPr="00316341" w:rsidRDefault="007028AE" w:rsidP="007028AE">
      <w:pPr>
        <w:shd w:val="clear" w:color="auto" w:fill="FFFFFF"/>
        <w:spacing w:after="0" w:line="240" w:lineRule="auto"/>
        <w:rPr>
          <w:rFonts w:eastAsia="Times New Roman" w:cstheme="minorHAnsi"/>
          <w:b/>
          <w:bCs/>
          <w:color w:val="000000"/>
          <w:kern w:val="0"/>
          <w:sz w:val="26"/>
          <w:szCs w:val="26"/>
          <w:bdr w:val="none" w:sz="0" w:space="0" w:color="auto" w:frame="1"/>
          <w14:ligatures w14:val="none"/>
        </w:rPr>
      </w:pPr>
    </w:p>
    <w:p w14:paraId="26BDD594" w14:textId="77777777" w:rsidR="00374CB5" w:rsidRDefault="00374CB5"/>
    <w:sectPr w:rsidR="00374CB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19136" w14:textId="77777777" w:rsidR="00FC3A2E" w:rsidRDefault="00FC3A2E" w:rsidP="00FB21E1">
      <w:pPr>
        <w:spacing w:after="0" w:line="240" w:lineRule="auto"/>
      </w:pPr>
      <w:r>
        <w:separator/>
      </w:r>
    </w:p>
  </w:endnote>
  <w:endnote w:type="continuationSeparator" w:id="0">
    <w:p w14:paraId="15CC0061" w14:textId="77777777" w:rsidR="00FC3A2E" w:rsidRDefault="00FC3A2E" w:rsidP="00FB2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343300"/>
      <w:docPartObj>
        <w:docPartGallery w:val="Page Numbers (Bottom of Page)"/>
        <w:docPartUnique/>
      </w:docPartObj>
    </w:sdtPr>
    <w:sdtEndPr>
      <w:rPr>
        <w:noProof/>
      </w:rPr>
    </w:sdtEndPr>
    <w:sdtContent>
      <w:p w14:paraId="038345C1" w14:textId="5028C825" w:rsidR="00FB21E1" w:rsidRDefault="00FB21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A538B" w14:textId="77777777" w:rsidR="00FB21E1" w:rsidRDefault="00FB2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DC3ED" w14:textId="77777777" w:rsidR="00FC3A2E" w:rsidRDefault="00FC3A2E" w:rsidP="00FB21E1">
      <w:pPr>
        <w:spacing w:after="0" w:line="240" w:lineRule="auto"/>
      </w:pPr>
      <w:r>
        <w:separator/>
      </w:r>
    </w:p>
  </w:footnote>
  <w:footnote w:type="continuationSeparator" w:id="0">
    <w:p w14:paraId="4F44633B" w14:textId="77777777" w:rsidR="00FC3A2E" w:rsidRDefault="00FC3A2E" w:rsidP="00FB21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AE"/>
    <w:rsid w:val="00087B2F"/>
    <w:rsid w:val="00374CB5"/>
    <w:rsid w:val="0067432B"/>
    <w:rsid w:val="007028AE"/>
    <w:rsid w:val="00C9545C"/>
    <w:rsid w:val="00FB21E1"/>
    <w:rsid w:val="00FC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C77B"/>
  <w15:chartTrackingRefBased/>
  <w15:docId w15:val="{95F2B5E9-721E-452E-A256-CC4B9073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8AE"/>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1E1"/>
    <w:rPr>
      <w:lang w:val="ro-RO"/>
    </w:rPr>
  </w:style>
  <w:style w:type="paragraph" w:styleId="Footer">
    <w:name w:val="footer"/>
    <w:basedOn w:val="Normal"/>
    <w:link w:val="FooterChar"/>
    <w:uiPriority w:val="99"/>
    <w:unhideWhenUsed/>
    <w:rsid w:val="00FB2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1E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CEAUSESCU</dc:creator>
  <cp:keywords/>
  <dc:description/>
  <cp:lastModifiedBy>Maria, CEAUSESCU</cp:lastModifiedBy>
  <cp:revision>5</cp:revision>
  <cp:lastPrinted>2024-03-21T14:42:00Z</cp:lastPrinted>
  <dcterms:created xsi:type="dcterms:W3CDTF">2024-03-21T13:25:00Z</dcterms:created>
  <dcterms:modified xsi:type="dcterms:W3CDTF">2024-03-21T15:04:00Z</dcterms:modified>
</cp:coreProperties>
</file>