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78279" w14:textId="77777777" w:rsidR="009C07B0" w:rsidRPr="004651AB" w:rsidRDefault="009C07B0" w:rsidP="004651AB">
      <w:pPr>
        <w:spacing w:line="276" w:lineRule="auto"/>
        <w:rPr>
          <w:rFonts w:asciiTheme="minorHAnsi" w:hAnsiTheme="minorHAnsi" w:cstheme="minorHAnsi"/>
          <w:sz w:val="26"/>
          <w:szCs w:val="26"/>
        </w:rPr>
      </w:pPr>
    </w:p>
    <w:p w14:paraId="376A3C3B" w14:textId="77777777" w:rsidR="009C07B0" w:rsidRPr="004651AB" w:rsidRDefault="009C07B0" w:rsidP="004651AB">
      <w:pPr>
        <w:spacing w:line="276" w:lineRule="auto"/>
        <w:rPr>
          <w:rFonts w:asciiTheme="minorHAnsi" w:hAnsiTheme="minorHAnsi" w:cstheme="minorHAnsi"/>
          <w:sz w:val="26"/>
          <w:szCs w:val="26"/>
        </w:rPr>
      </w:pPr>
    </w:p>
    <w:p w14:paraId="5CAEE1FC" w14:textId="77777777" w:rsidR="009C07B0" w:rsidRPr="004651AB" w:rsidRDefault="009C07B0" w:rsidP="004651AB">
      <w:pPr>
        <w:spacing w:line="276" w:lineRule="auto"/>
        <w:jc w:val="center"/>
        <w:rPr>
          <w:rFonts w:asciiTheme="minorHAnsi" w:hAnsiTheme="minorHAnsi" w:cstheme="minorHAnsi"/>
          <w:b/>
          <w:bCs/>
          <w:sz w:val="26"/>
          <w:szCs w:val="26"/>
        </w:rPr>
      </w:pPr>
      <w:r w:rsidRPr="004651AB">
        <w:rPr>
          <w:rFonts w:asciiTheme="minorHAnsi" w:hAnsiTheme="minorHAnsi" w:cstheme="minorHAnsi"/>
          <w:b/>
          <w:bCs/>
          <w:sz w:val="26"/>
          <w:szCs w:val="26"/>
        </w:rPr>
        <w:t>REGULAMENT PRIVIND EXAMENUL DE ABSOLVIRE A INSTITUTULUI NAŢIONAL AL MAGISTRATURII</w:t>
      </w:r>
    </w:p>
    <w:p w14:paraId="3FA5C03C" w14:textId="77777777" w:rsidR="009C07B0" w:rsidRPr="004651AB" w:rsidRDefault="009C07B0" w:rsidP="004651AB">
      <w:pPr>
        <w:spacing w:line="276" w:lineRule="auto"/>
        <w:jc w:val="center"/>
        <w:rPr>
          <w:rFonts w:asciiTheme="minorHAnsi" w:hAnsiTheme="minorHAnsi" w:cstheme="minorHAnsi"/>
          <w:b/>
          <w:bCs/>
          <w:sz w:val="26"/>
          <w:szCs w:val="26"/>
        </w:rPr>
      </w:pPr>
    </w:p>
    <w:p w14:paraId="44D15D31" w14:textId="77777777" w:rsidR="009C07B0" w:rsidRPr="004651AB" w:rsidRDefault="009C07B0" w:rsidP="004651AB">
      <w:pPr>
        <w:spacing w:line="276" w:lineRule="auto"/>
        <w:jc w:val="center"/>
        <w:rPr>
          <w:rFonts w:asciiTheme="minorHAnsi" w:hAnsiTheme="minorHAnsi" w:cstheme="minorHAnsi"/>
          <w:b/>
          <w:bCs/>
          <w:sz w:val="26"/>
          <w:szCs w:val="26"/>
        </w:rPr>
      </w:pPr>
    </w:p>
    <w:p w14:paraId="6F9B026D" w14:textId="77777777" w:rsidR="009C07B0" w:rsidRPr="004651AB" w:rsidRDefault="009C07B0" w:rsidP="004651AB">
      <w:pPr>
        <w:spacing w:line="276" w:lineRule="auto"/>
        <w:jc w:val="both"/>
        <w:rPr>
          <w:rFonts w:asciiTheme="minorHAnsi" w:hAnsiTheme="minorHAnsi" w:cstheme="minorHAnsi"/>
          <w:sz w:val="26"/>
          <w:szCs w:val="26"/>
        </w:rPr>
      </w:pPr>
    </w:p>
    <w:p w14:paraId="61EC0911" w14:textId="70F7B28D" w:rsidR="009C07B0" w:rsidRPr="004651AB" w:rsidRDefault="009C07B0" w:rsidP="004651AB">
      <w:pPr>
        <w:spacing w:line="276" w:lineRule="auto"/>
        <w:jc w:val="both"/>
        <w:rPr>
          <w:rFonts w:asciiTheme="minorHAnsi" w:hAnsiTheme="minorHAnsi" w:cstheme="minorHAnsi"/>
          <w:b/>
          <w:bCs/>
          <w:sz w:val="26"/>
          <w:szCs w:val="26"/>
        </w:rPr>
      </w:pPr>
      <w:r w:rsidRPr="004651AB">
        <w:rPr>
          <w:rFonts w:asciiTheme="minorHAnsi" w:hAnsiTheme="minorHAnsi" w:cstheme="minorHAnsi"/>
          <w:b/>
          <w:bCs/>
          <w:sz w:val="26"/>
          <w:szCs w:val="26"/>
        </w:rPr>
        <w:t>C</w:t>
      </w:r>
      <w:r w:rsidR="009C0C56">
        <w:rPr>
          <w:rFonts w:asciiTheme="minorHAnsi" w:hAnsiTheme="minorHAnsi" w:cstheme="minorHAnsi"/>
          <w:b/>
          <w:bCs/>
          <w:sz w:val="26"/>
          <w:szCs w:val="26"/>
        </w:rPr>
        <w:t>ap.</w:t>
      </w:r>
      <w:r w:rsidRPr="004651AB">
        <w:rPr>
          <w:rFonts w:asciiTheme="minorHAnsi" w:hAnsiTheme="minorHAnsi" w:cstheme="minorHAnsi"/>
          <w:b/>
          <w:bCs/>
          <w:sz w:val="26"/>
          <w:szCs w:val="26"/>
        </w:rPr>
        <w:t xml:space="preserve"> I </w:t>
      </w:r>
    </w:p>
    <w:p w14:paraId="3724BF19" w14:textId="77777777" w:rsidR="009C07B0" w:rsidRPr="004651AB" w:rsidRDefault="009C07B0" w:rsidP="004651AB">
      <w:pPr>
        <w:spacing w:line="276" w:lineRule="auto"/>
        <w:jc w:val="both"/>
        <w:rPr>
          <w:rFonts w:asciiTheme="minorHAnsi" w:hAnsiTheme="minorHAnsi" w:cstheme="minorHAnsi"/>
          <w:b/>
          <w:bCs/>
          <w:sz w:val="26"/>
          <w:szCs w:val="26"/>
        </w:rPr>
      </w:pPr>
      <w:r w:rsidRPr="004651AB">
        <w:rPr>
          <w:rFonts w:asciiTheme="minorHAnsi" w:hAnsiTheme="minorHAnsi" w:cstheme="minorHAnsi"/>
          <w:b/>
          <w:bCs/>
          <w:sz w:val="26"/>
          <w:szCs w:val="26"/>
        </w:rPr>
        <w:t>Dispoziții generale</w:t>
      </w:r>
    </w:p>
    <w:p w14:paraId="17C3E778" w14:textId="77777777" w:rsidR="009C07B0" w:rsidRPr="004651AB" w:rsidRDefault="009C07B0" w:rsidP="004651AB">
      <w:pPr>
        <w:spacing w:line="276" w:lineRule="auto"/>
        <w:jc w:val="both"/>
        <w:rPr>
          <w:rFonts w:asciiTheme="minorHAnsi" w:hAnsiTheme="minorHAnsi" w:cstheme="minorHAnsi"/>
          <w:sz w:val="26"/>
          <w:szCs w:val="26"/>
        </w:rPr>
      </w:pPr>
      <w:r w:rsidRPr="004651AB">
        <w:rPr>
          <w:rFonts w:asciiTheme="minorHAnsi" w:hAnsiTheme="minorHAnsi" w:cstheme="minorHAnsi"/>
          <w:sz w:val="26"/>
          <w:szCs w:val="26"/>
        </w:rPr>
        <w:t xml:space="preserve">    </w:t>
      </w:r>
    </w:p>
    <w:p w14:paraId="0ACB6543" w14:textId="2AC03315" w:rsidR="00452653" w:rsidRPr="004651AB" w:rsidRDefault="009C07B0" w:rsidP="004651AB">
      <w:pPr>
        <w:spacing w:line="276" w:lineRule="auto"/>
        <w:jc w:val="both"/>
        <w:rPr>
          <w:rFonts w:asciiTheme="minorHAnsi" w:hAnsiTheme="minorHAnsi" w:cstheme="minorHAnsi"/>
          <w:sz w:val="26"/>
          <w:szCs w:val="26"/>
        </w:rPr>
      </w:pPr>
      <w:r w:rsidRPr="004651AB">
        <w:rPr>
          <w:rFonts w:asciiTheme="minorHAnsi" w:hAnsiTheme="minorHAnsi" w:cstheme="minorHAnsi"/>
          <w:b/>
          <w:bCs/>
          <w:sz w:val="26"/>
          <w:szCs w:val="26"/>
        </w:rPr>
        <w:t xml:space="preserve"> </w:t>
      </w:r>
      <w:r w:rsidRPr="004651AB">
        <w:rPr>
          <w:rFonts w:asciiTheme="minorHAnsi" w:hAnsiTheme="minorHAnsi" w:cstheme="minorHAnsi"/>
          <w:b/>
          <w:bCs/>
          <w:sz w:val="26"/>
          <w:szCs w:val="26"/>
        </w:rPr>
        <w:tab/>
        <w:t>Art. 1</w:t>
      </w:r>
      <w:r w:rsidRPr="004651AB">
        <w:rPr>
          <w:rFonts w:asciiTheme="minorHAnsi" w:hAnsiTheme="minorHAnsi" w:cstheme="minorHAnsi"/>
          <w:sz w:val="26"/>
          <w:szCs w:val="26"/>
        </w:rPr>
        <w:t xml:space="preserve"> - După încheierea cursurilor în cadrul Institutului Național al Magistraturii, auditorii de justiție admiși la Institut prin concursurile de admitere declanșate în anii 2021 și 2022 susțin un test psihologic și examenul de absolvire, care constă în probe teoretice și practice, cu subiecte distincte pentru judecători și procurori, prin care se verifică însușirea cunoștințelor necesare exercitării funcției de judecător sau de procuror.</w:t>
      </w:r>
    </w:p>
    <w:p w14:paraId="39264912" w14:textId="77777777" w:rsidR="009C07B0" w:rsidRPr="004651AB" w:rsidRDefault="009C07B0" w:rsidP="004651AB">
      <w:pPr>
        <w:spacing w:line="276" w:lineRule="auto"/>
        <w:jc w:val="both"/>
        <w:rPr>
          <w:rFonts w:asciiTheme="minorHAnsi" w:hAnsiTheme="minorHAnsi" w:cstheme="minorHAnsi"/>
          <w:sz w:val="26"/>
          <w:szCs w:val="26"/>
        </w:rPr>
      </w:pPr>
    </w:p>
    <w:p w14:paraId="0BB55E82" w14:textId="4E43F082" w:rsidR="009C07B0" w:rsidRPr="004651AB" w:rsidRDefault="009C07B0" w:rsidP="004651AB">
      <w:pPr>
        <w:spacing w:line="276" w:lineRule="auto"/>
        <w:jc w:val="both"/>
        <w:rPr>
          <w:rFonts w:asciiTheme="minorHAnsi" w:hAnsiTheme="minorHAnsi" w:cstheme="minorHAnsi"/>
          <w:b/>
          <w:bCs/>
          <w:sz w:val="26"/>
          <w:szCs w:val="26"/>
        </w:rPr>
      </w:pPr>
      <w:r w:rsidRPr="004651AB">
        <w:rPr>
          <w:rFonts w:asciiTheme="minorHAnsi" w:hAnsiTheme="minorHAnsi" w:cstheme="minorHAnsi"/>
          <w:b/>
          <w:bCs/>
          <w:sz w:val="26"/>
          <w:szCs w:val="26"/>
        </w:rPr>
        <w:t>C</w:t>
      </w:r>
      <w:r w:rsidR="009C0C56">
        <w:rPr>
          <w:rFonts w:asciiTheme="minorHAnsi" w:hAnsiTheme="minorHAnsi" w:cstheme="minorHAnsi"/>
          <w:b/>
          <w:bCs/>
          <w:sz w:val="26"/>
          <w:szCs w:val="26"/>
        </w:rPr>
        <w:t xml:space="preserve">ap. </w:t>
      </w:r>
      <w:r w:rsidRPr="004651AB">
        <w:rPr>
          <w:rFonts w:asciiTheme="minorHAnsi" w:hAnsiTheme="minorHAnsi" w:cstheme="minorHAnsi"/>
          <w:b/>
          <w:bCs/>
          <w:sz w:val="26"/>
          <w:szCs w:val="26"/>
        </w:rPr>
        <w:t>II</w:t>
      </w:r>
    </w:p>
    <w:p w14:paraId="47F76590" w14:textId="77777777" w:rsidR="009C07B0" w:rsidRPr="004651AB" w:rsidRDefault="009C07B0" w:rsidP="004651AB">
      <w:pPr>
        <w:spacing w:line="276" w:lineRule="auto"/>
        <w:jc w:val="both"/>
        <w:rPr>
          <w:rFonts w:asciiTheme="minorHAnsi" w:hAnsiTheme="minorHAnsi" w:cstheme="minorHAnsi"/>
          <w:b/>
          <w:bCs/>
          <w:sz w:val="26"/>
          <w:szCs w:val="26"/>
        </w:rPr>
      </w:pPr>
      <w:r w:rsidRPr="004651AB">
        <w:rPr>
          <w:rFonts w:asciiTheme="minorHAnsi" w:hAnsiTheme="minorHAnsi" w:cstheme="minorHAnsi"/>
          <w:b/>
          <w:bCs/>
          <w:sz w:val="26"/>
          <w:szCs w:val="26"/>
        </w:rPr>
        <w:t>Testul psihologic</w:t>
      </w:r>
    </w:p>
    <w:p w14:paraId="5627A2CF" w14:textId="77777777" w:rsidR="009C07B0" w:rsidRPr="004651AB" w:rsidRDefault="009C07B0" w:rsidP="004651AB">
      <w:pPr>
        <w:spacing w:line="276" w:lineRule="auto"/>
        <w:jc w:val="both"/>
        <w:rPr>
          <w:rFonts w:asciiTheme="minorHAnsi" w:hAnsiTheme="minorHAnsi" w:cstheme="minorHAnsi"/>
          <w:b/>
          <w:bCs/>
          <w:sz w:val="26"/>
          <w:szCs w:val="26"/>
        </w:rPr>
      </w:pPr>
    </w:p>
    <w:p w14:paraId="5C8C7A24" w14:textId="77777777" w:rsidR="009C07B0" w:rsidRPr="004651AB" w:rsidRDefault="009C07B0" w:rsidP="004651AB">
      <w:pPr>
        <w:spacing w:line="276" w:lineRule="auto"/>
        <w:ind w:firstLine="708"/>
        <w:jc w:val="both"/>
        <w:rPr>
          <w:rFonts w:asciiTheme="minorHAnsi" w:hAnsiTheme="minorHAnsi" w:cstheme="minorHAnsi"/>
          <w:sz w:val="26"/>
          <w:szCs w:val="26"/>
        </w:rPr>
      </w:pPr>
      <w:bookmarkStart w:id="0" w:name="_Hlk132712612"/>
      <w:r w:rsidRPr="004651AB">
        <w:rPr>
          <w:rFonts w:asciiTheme="minorHAnsi" w:hAnsiTheme="minorHAnsi" w:cstheme="minorHAnsi"/>
          <w:b/>
          <w:bCs/>
          <w:sz w:val="26"/>
          <w:szCs w:val="26"/>
        </w:rPr>
        <w:t>Art. 2</w:t>
      </w:r>
      <w:r w:rsidRPr="004651AB">
        <w:rPr>
          <w:rFonts w:asciiTheme="minorHAnsi" w:hAnsiTheme="minorHAnsi" w:cstheme="minorHAnsi"/>
          <w:sz w:val="26"/>
          <w:szCs w:val="26"/>
        </w:rPr>
        <w:t xml:space="preserve"> – (1) Testul psihologic se susține în fața unei comisii alcătuite din 3 psihologi, numiți prin hotărâre a Plenului Consiliului Superior al Magistraturii din rândul specialiștilor din cadrul Consiliului Superior al Magistraturii, Înaltei Curți de Casație și Justiție, Parchetului de pe lângă Înalta Curte de Casație și Justiție, curților de apel, parchetelor de pe lângă curțile de apel, precum și, dacă este cazul, din Registrul unic al psihologilor cu drept de liberă practică din România, care </w:t>
      </w:r>
      <w:proofErr w:type="spellStart"/>
      <w:r w:rsidRPr="004651AB">
        <w:rPr>
          <w:rFonts w:asciiTheme="minorHAnsi" w:hAnsiTheme="minorHAnsi" w:cstheme="minorHAnsi"/>
          <w:sz w:val="26"/>
          <w:szCs w:val="26"/>
        </w:rPr>
        <w:t>deţin</w:t>
      </w:r>
      <w:proofErr w:type="spellEnd"/>
      <w:r w:rsidRPr="004651AB">
        <w:rPr>
          <w:rFonts w:asciiTheme="minorHAnsi" w:hAnsiTheme="minorHAnsi" w:cstheme="minorHAnsi"/>
          <w:sz w:val="26"/>
          <w:szCs w:val="26"/>
        </w:rPr>
        <w:t xml:space="preserve"> atestat de liberă practică autonomă în specialitatea psihologia muncii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w:t>
      </w:r>
      <w:proofErr w:type="spellStart"/>
      <w:r w:rsidRPr="004651AB">
        <w:rPr>
          <w:rFonts w:asciiTheme="minorHAnsi" w:hAnsiTheme="minorHAnsi" w:cstheme="minorHAnsi"/>
          <w:sz w:val="26"/>
          <w:szCs w:val="26"/>
        </w:rPr>
        <w:t>organizaţională</w:t>
      </w:r>
      <w:proofErr w:type="spellEnd"/>
      <w:r w:rsidRPr="004651AB">
        <w:rPr>
          <w:rFonts w:asciiTheme="minorHAnsi" w:hAnsiTheme="minorHAnsi" w:cstheme="minorHAnsi"/>
          <w:sz w:val="26"/>
          <w:szCs w:val="26"/>
        </w:rPr>
        <w:t>, dobândit în condițiile legii.</w:t>
      </w:r>
    </w:p>
    <w:p w14:paraId="1436A0F4" w14:textId="549E836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În funcție de numărul auditorilor de justiție, se pot constitui mai multe comisii de testare psihologică, în condițiile alin. (1).</w:t>
      </w:r>
    </w:p>
    <w:p w14:paraId="0EC97D5F" w14:textId="7777777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(3) </w:t>
      </w:r>
      <w:proofErr w:type="spellStart"/>
      <w:r w:rsidRPr="004651AB">
        <w:rPr>
          <w:rFonts w:asciiTheme="minorHAnsi" w:hAnsiTheme="minorHAnsi" w:cstheme="minorHAnsi"/>
          <w:sz w:val="26"/>
          <w:szCs w:val="26"/>
        </w:rPr>
        <w:t>Contestaţiile</w:t>
      </w:r>
      <w:proofErr w:type="spellEnd"/>
      <w:r w:rsidRPr="004651AB">
        <w:rPr>
          <w:rFonts w:asciiTheme="minorHAnsi" w:hAnsiTheme="minorHAnsi" w:cstheme="minorHAnsi"/>
          <w:sz w:val="26"/>
          <w:szCs w:val="26"/>
        </w:rPr>
        <w:t xml:space="preserve"> împotriva calificativului „inapt” acordat la testul psihologic se </w:t>
      </w:r>
      <w:proofErr w:type="spellStart"/>
      <w:r w:rsidRPr="004651AB">
        <w:rPr>
          <w:rFonts w:asciiTheme="minorHAnsi" w:hAnsiTheme="minorHAnsi" w:cstheme="minorHAnsi"/>
          <w:sz w:val="26"/>
          <w:szCs w:val="26"/>
        </w:rPr>
        <w:t>soluţionează</w:t>
      </w:r>
      <w:proofErr w:type="spellEnd"/>
      <w:r w:rsidRPr="004651AB">
        <w:rPr>
          <w:rFonts w:asciiTheme="minorHAnsi" w:hAnsiTheme="minorHAnsi" w:cstheme="minorHAnsi"/>
          <w:sz w:val="26"/>
          <w:szCs w:val="26"/>
        </w:rPr>
        <w:t xml:space="preserve"> de comisia de reexaminare psihologică, alcătuită din 5 psihologi, desemnați potrivit alin. (1), cu o altă componență decât comisia anterioară.</w:t>
      </w:r>
    </w:p>
    <w:p w14:paraId="62DB58FC" w14:textId="7777777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(4) Comisiile prevăzute la alin. (1) și (3) sunt conduse de câte un președinte, desemnat dintre membrii acestora, prin hotărârea Plenului Consiliului Superior al Magistraturii. În situația prevăzută la alin. (2), este desemnat un președinte comun pentru toate comisiile de testare psihologică. </w:t>
      </w:r>
    </w:p>
    <w:p w14:paraId="13F1B396" w14:textId="7777777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(5) În comisiile prevăzute la alin. (1) - (3) sunt numiți și membri supleanți, care îi vor înlocui de drept, în ordinea stabilită de Plenul Consiliului Superior al Magistraturii prin hotărârea de numire a comisiilor, pe acei membri care, din motive întemeiate, nu își pot exercita atribuțiile. Înlocuirea se efectuează de președintele comisiei respective. În cazul în care, din motive întemeiate, președintele unei comisii nu își poate exercita atribuțiile, înlocuirea acestuia se dispune de Plenul Consiliului Superior al Magistraturii.</w:t>
      </w:r>
    </w:p>
    <w:p w14:paraId="3A833485" w14:textId="7777777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Desemnarea membrilor comisiilor se face pe baza consimțământului scris, exprimat anterior. Consimțământul pentru desemnarea în comisie se consideră dat atât pentru calitatea de membru titular, cât și pentru calitatea de membru supleant.</w:t>
      </w:r>
    </w:p>
    <w:p w14:paraId="5682A08A" w14:textId="1D69BB70"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(7) Nu pot fi numite în comisii persoanele care au soțul sau soția, rude ori afini până la gradul al patrulea inclusiv în rândul auditorilor de justiție. Nu pot face parte din aceeași comisie persoanele care sunt soți, rude sau afini până la gradul al</w:t>
      </w:r>
      <w:r w:rsidR="009C0C56">
        <w:rPr>
          <w:rFonts w:asciiTheme="minorHAnsi" w:hAnsiTheme="minorHAnsi" w:cstheme="minorHAnsi"/>
          <w:sz w:val="26"/>
          <w:szCs w:val="26"/>
        </w:rPr>
        <w:t xml:space="preserve"> patrulea</w:t>
      </w:r>
      <w:r w:rsidRPr="004651AB">
        <w:rPr>
          <w:rFonts w:asciiTheme="minorHAnsi" w:hAnsiTheme="minorHAnsi" w:cstheme="minorHAnsi"/>
          <w:sz w:val="26"/>
          <w:szCs w:val="26"/>
        </w:rPr>
        <w:t xml:space="preserve"> inclusiv. Toți membrii comisiilor completează declarații pe propria răspundere în acest sens. </w:t>
      </w:r>
    </w:p>
    <w:p w14:paraId="6C55C03F" w14:textId="77777777"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(8) Dacă incompatibilitatea prevăzută la alin. (7) se ivește ulterior desemnării membrilor comisiilor, membrul în cauză are obligația să comunice de îndată această situație președintelui comisiei, în vederea înlocuirii sale. Situațiile de incompatibilitate a președintelui comisiei sunt soluționate de Plenul Consiliului Superior al Magistraturii.</w:t>
      </w:r>
    </w:p>
    <w:p w14:paraId="5DBAC1B5" w14:textId="30BD233B" w:rsidR="009C07B0" w:rsidRPr="004651AB" w:rsidRDefault="009C07B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(9) Contractele de participare în comisiile prevăzute la alin. (1)-(3), prin care se stabilesc modalitățile de plată și atribuțiile ce le revin membrilor, potrivit dispozițiilor prezentului regulament, se încheie între aceștia și Institutul Național al Magistraturii.</w:t>
      </w:r>
      <w:bookmarkEnd w:id="0"/>
    </w:p>
    <w:p w14:paraId="72FDF8EA"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3</w:t>
      </w:r>
      <w:r w:rsidRPr="004651AB">
        <w:rPr>
          <w:rFonts w:asciiTheme="minorHAnsi" w:hAnsiTheme="minorHAnsi" w:cstheme="minorHAnsi"/>
          <w:sz w:val="26"/>
          <w:szCs w:val="26"/>
        </w:rPr>
        <w:t xml:space="preserve"> - (1) Testarea psihologică constă în susținerea unui test scris și a unui interviu.</w:t>
      </w:r>
    </w:p>
    <w:p w14:paraId="1443113C"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(2) Testarea psihologică se realizează în baza Metodologiei privind organizarea și desfășurarea testării psihologice, care se aprobă de Plenul Consiliului Superior al Magistraturii, la propunerea Institutului Național al Magistraturii, și se publică pe pagina de internet a Institutului Național al Magistraturii. </w:t>
      </w:r>
    </w:p>
    <w:p w14:paraId="6BF8F7BF"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În vederea testării psihologice și a soluționării contestațiilor, comisia de testare psihologică și comisia de reexaminare psihologică au acces la raportul întocmit ca urmare a testării psihologice realizate la admiterea la Institutul Național al Magistraturii.</w:t>
      </w:r>
    </w:p>
    <w:p w14:paraId="49454921"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Rezultatele testării psihologice sunt concretizate într-un raport, care cuprinde profilul psihologic al fiecărui auditor de justiție, precum și calificativul „apt” sau „inapt”.</w:t>
      </w:r>
    </w:p>
    <w:p w14:paraId="021362D0"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(5) În vederea publicării rezultatelor testării psihologice, fiecărui auditor de justiție îi este atribuit un cod alcătuit dintr-o literă și 4 cifre. Calificativul acordat se aduce la cunoștință prin publicarea pe pagina din internet a Institutului Național al Magistraturii. </w:t>
      </w:r>
    </w:p>
    <w:p w14:paraId="3CC287A6"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Împotriva calificativului „inapt” candidatul poate face contestație, în termen de 24 de ore de la publicarea rezultatelor, care va fi soluționată de comisia prevăzută la art. 2 alin. (3).</w:t>
      </w:r>
    </w:p>
    <w:p w14:paraId="0DDACD18"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(7) Reexaminarea psihologică se realizează prin reevaluarea testului scris, aplicarea unui nou test scris și susținerea unui nou interviu.</w:t>
      </w:r>
    </w:p>
    <w:p w14:paraId="27632A7E" w14:textId="1DFAB769"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(8) Calificativul acordat de comisia de reexaminare psihologică în urma soluționării contestației este definitiv și se publică în condițiile alin. (5).</w:t>
      </w:r>
    </w:p>
    <w:p w14:paraId="535E486E" w14:textId="3519961B"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4</w:t>
      </w:r>
      <w:r w:rsidRPr="004651AB">
        <w:rPr>
          <w:rFonts w:asciiTheme="minorHAnsi" w:hAnsiTheme="minorHAnsi" w:cstheme="minorHAnsi"/>
          <w:sz w:val="26"/>
          <w:szCs w:val="26"/>
        </w:rPr>
        <w:t xml:space="preserve"> – (1)</w:t>
      </w:r>
      <w:r w:rsidR="003D5474" w:rsidRPr="004651AB">
        <w:rPr>
          <w:rFonts w:asciiTheme="minorHAnsi" w:hAnsiTheme="minorHAnsi" w:cstheme="minorHAnsi"/>
          <w:sz w:val="26"/>
          <w:szCs w:val="26"/>
        </w:rPr>
        <w:t xml:space="preserve"> </w:t>
      </w:r>
      <w:r w:rsidRPr="004651AB">
        <w:rPr>
          <w:rFonts w:asciiTheme="minorHAnsi" w:hAnsiTheme="minorHAnsi" w:cstheme="minorHAnsi"/>
          <w:sz w:val="26"/>
          <w:szCs w:val="26"/>
        </w:rPr>
        <w:t xml:space="preserve">Pot susține examenul de absolvire a Institutului Național al Magistraturii doar auditorii de justiție care au obținut calificativul „apt” potrivit art. 3 alin. (4) sau (8). </w:t>
      </w:r>
    </w:p>
    <w:p w14:paraId="630D88BD"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Auditorii care au obținut calificativul "inapt" nu sunt obligați la restituirea bursei și a cheltuielilor de școlarizare.</w:t>
      </w:r>
    </w:p>
    <w:p w14:paraId="1CA5D762" w14:textId="77777777" w:rsidR="001D1BC0" w:rsidRPr="004651AB" w:rsidRDefault="001D1BC0" w:rsidP="004651AB">
      <w:pPr>
        <w:spacing w:line="276" w:lineRule="auto"/>
        <w:ind w:firstLine="708"/>
        <w:jc w:val="both"/>
        <w:rPr>
          <w:rFonts w:asciiTheme="minorHAnsi" w:hAnsiTheme="minorHAnsi" w:cstheme="minorHAnsi"/>
          <w:sz w:val="26"/>
          <w:szCs w:val="26"/>
        </w:rPr>
      </w:pPr>
    </w:p>
    <w:p w14:paraId="7756527C" w14:textId="77CCC800" w:rsidR="001D1BC0" w:rsidRPr="004651AB" w:rsidRDefault="001D1BC0" w:rsidP="004651AB">
      <w:pPr>
        <w:spacing w:line="276" w:lineRule="auto"/>
        <w:ind w:firstLine="708"/>
        <w:jc w:val="both"/>
        <w:rPr>
          <w:rFonts w:asciiTheme="minorHAnsi" w:hAnsiTheme="minorHAnsi" w:cstheme="minorHAnsi"/>
          <w:b/>
          <w:bCs/>
          <w:sz w:val="26"/>
          <w:szCs w:val="26"/>
        </w:rPr>
      </w:pPr>
      <w:r w:rsidRPr="004651AB">
        <w:rPr>
          <w:rFonts w:asciiTheme="minorHAnsi" w:hAnsiTheme="minorHAnsi" w:cstheme="minorHAnsi"/>
          <w:b/>
          <w:bCs/>
          <w:sz w:val="26"/>
          <w:szCs w:val="26"/>
        </w:rPr>
        <w:t>Cap</w:t>
      </w:r>
      <w:r w:rsidR="009C0C56">
        <w:rPr>
          <w:rFonts w:asciiTheme="minorHAnsi" w:hAnsiTheme="minorHAnsi" w:cstheme="minorHAnsi"/>
          <w:b/>
          <w:bCs/>
          <w:sz w:val="26"/>
          <w:szCs w:val="26"/>
        </w:rPr>
        <w:t>.</w:t>
      </w:r>
      <w:r w:rsidRPr="004651AB">
        <w:rPr>
          <w:rFonts w:asciiTheme="minorHAnsi" w:hAnsiTheme="minorHAnsi" w:cstheme="minorHAnsi"/>
          <w:b/>
          <w:bCs/>
          <w:sz w:val="26"/>
          <w:szCs w:val="26"/>
        </w:rPr>
        <w:t xml:space="preserve"> III</w:t>
      </w:r>
    </w:p>
    <w:p w14:paraId="0BED6B4B" w14:textId="45A75D14" w:rsidR="001D1BC0" w:rsidRPr="004651AB" w:rsidRDefault="001D1BC0" w:rsidP="004651AB">
      <w:pPr>
        <w:spacing w:line="276" w:lineRule="auto"/>
        <w:ind w:firstLine="708"/>
        <w:jc w:val="both"/>
        <w:rPr>
          <w:rFonts w:asciiTheme="minorHAnsi" w:hAnsiTheme="minorHAnsi" w:cstheme="minorHAnsi"/>
          <w:b/>
          <w:bCs/>
          <w:sz w:val="26"/>
          <w:szCs w:val="26"/>
        </w:rPr>
      </w:pPr>
      <w:r w:rsidRPr="004651AB">
        <w:rPr>
          <w:rFonts w:asciiTheme="minorHAnsi" w:hAnsiTheme="minorHAnsi" w:cstheme="minorHAnsi"/>
          <w:b/>
          <w:bCs/>
          <w:sz w:val="26"/>
          <w:szCs w:val="26"/>
        </w:rPr>
        <w:t xml:space="preserve">Organizarea și desfășurarea examenului de absolvire a Institutului </w:t>
      </w:r>
      <w:proofErr w:type="spellStart"/>
      <w:r w:rsidRPr="004651AB">
        <w:rPr>
          <w:rFonts w:asciiTheme="minorHAnsi" w:hAnsiTheme="minorHAnsi" w:cstheme="minorHAnsi"/>
          <w:b/>
          <w:bCs/>
          <w:sz w:val="26"/>
          <w:szCs w:val="26"/>
        </w:rPr>
        <w:t>Naţional</w:t>
      </w:r>
      <w:proofErr w:type="spellEnd"/>
      <w:r w:rsidRPr="004651AB">
        <w:rPr>
          <w:rFonts w:asciiTheme="minorHAnsi" w:hAnsiTheme="minorHAnsi" w:cstheme="minorHAnsi"/>
          <w:b/>
          <w:bCs/>
          <w:sz w:val="26"/>
          <w:szCs w:val="26"/>
        </w:rPr>
        <w:t xml:space="preserve"> al Magistraturii</w:t>
      </w:r>
    </w:p>
    <w:p w14:paraId="5A187EBB" w14:textId="77777777" w:rsidR="001D1BC0" w:rsidRPr="004651AB" w:rsidRDefault="001D1BC0" w:rsidP="004651AB">
      <w:pPr>
        <w:spacing w:line="276" w:lineRule="auto"/>
        <w:ind w:firstLine="708"/>
        <w:jc w:val="both"/>
        <w:rPr>
          <w:rFonts w:asciiTheme="minorHAnsi" w:hAnsiTheme="minorHAnsi" w:cstheme="minorHAnsi"/>
          <w:b/>
          <w:bCs/>
          <w:sz w:val="26"/>
          <w:szCs w:val="26"/>
        </w:rPr>
      </w:pPr>
    </w:p>
    <w:p w14:paraId="0D09A433"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5</w:t>
      </w:r>
      <w:r w:rsidRPr="004651AB">
        <w:rPr>
          <w:rFonts w:asciiTheme="minorHAnsi" w:hAnsiTheme="minorHAnsi" w:cstheme="minorHAnsi"/>
          <w:sz w:val="26"/>
          <w:szCs w:val="26"/>
        </w:rPr>
        <w:t xml:space="preserve"> - (1) Examenul de absolvire constă în susținerea unei probe scrise, distincte pentru grupele de judecători, respectiv procurori, constând în redactarea de lucrări scrise, la:</w:t>
      </w:r>
    </w:p>
    <w:p w14:paraId="45ECE09D"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a) drept civil și drept procesual civil;</w:t>
      </w:r>
    </w:p>
    <w:p w14:paraId="2B71C7B2"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b) drept penal și drept procesual penal;</w:t>
      </w:r>
    </w:p>
    <w:p w14:paraId="4706B747"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c) etică și organizare judiciară.</w:t>
      </w:r>
    </w:p>
    <w:p w14:paraId="6A5C5709" w14:textId="67B200CC"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Data examenului se propune de Consiliul științific al Institutului Național al Magistraturii și se aprobă prin hotărâre a Plenului Consiliului Superior al Magistraturii, odată cu aprobarea programului de formare inițială. Calendarul de desfășurare, tematica și bibliografia examenului se propun de Consiliul științific al Institutului Național al Magistraturii și se aprobă prin hotărâre a Plenului Consiliului Superior al Magistraturii cu cel puțin 60 de zile înainte de data examenului de absolvire.</w:t>
      </w:r>
    </w:p>
    <w:p w14:paraId="3BF44A92"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 xml:space="preserve">Art. 6 </w:t>
      </w:r>
      <w:r w:rsidRPr="004651AB">
        <w:rPr>
          <w:rFonts w:asciiTheme="minorHAnsi" w:hAnsiTheme="minorHAnsi" w:cstheme="minorHAnsi"/>
          <w:sz w:val="26"/>
          <w:szCs w:val="26"/>
        </w:rPr>
        <w:t>- (1) Comisiile de elaborare a subiectelor, de corectare și de soluționare a contestațiilor se numesc prin hotărâre a Plenului Consiliului Superior al Magistraturii, la propunerea Institutului Național al Magistraturii, distinct pentru judecători, respectiv pentru procurori, pentru disciplinele drept civil și drept procesual civil, drept penal și drept procesual penal, respectiv etică și organizare judiciară.</w:t>
      </w:r>
    </w:p>
    <w:p w14:paraId="035C97CA" w14:textId="25DD95FD"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Comisia de organizare a examenului se constituie prin hotărâre a Consiliului științific al Institutului Național al Magistraturii, la propunerea directorului Institutului.</w:t>
      </w:r>
    </w:p>
    <w:p w14:paraId="6D026150"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Nu pot fi numite în comisiile prevăzute la alin. (1) și (2) persoanele care au soțul sau soția, rude ori afini până la gradul al patrulea inclusiv în rândul candidaților.</w:t>
      </w:r>
    </w:p>
    <w:p w14:paraId="7D37C897" w14:textId="0F5C2C7B"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(4) Dacă incompatibilitatea prevăzută la alin. (3) se ivește ulterior desemnării membrilor comisiilor, membrul în cauză are obligația să comunice de îndată această situație președintelui comisiei, în vederea înlocuirii sale.</w:t>
      </w:r>
    </w:p>
    <w:p w14:paraId="7AC4B1AF" w14:textId="77777777"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7</w:t>
      </w:r>
      <w:r w:rsidRPr="004651AB">
        <w:rPr>
          <w:rFonts w:asciiTheme="minorHAnsi" w:hAnsiTheme="minorHAnsi" w:cstheme="minorHAnsi"/>
          <w:sz w:val="26"/>
          <w:szCs w:val="26"/>
        </w:rPr>
        <w:t xml:space="preserve"> – (1) Comisia de organizare a examenului coordonează organizarea și desfășurarea examenului și se compune din:</w:t>
      </w:r>
    </w:p>
    <w:p w14:paraId="66E182F4" w14:textId="38073570" w:rsidR="001D1BC0"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a)</w:t>
      </w:r>
      <w:r w:rsidR="001D1BC0" w:rsidRPr="004651AB">
        <w:rPr>
          <w:rFonts w:asciiTheme="minorHAnsi" w:hAnsiTheme="minorHAnsi" w:cstheme="minorHAnsi"/>
          <w:sz w:val="26"/>
          <w:szCs w:val="26"/>
        </w:rPr>
        <w:t xml:space="preserve"> președinte: directorul adjunct al Institutului Național al Magistraturii, responsabil cu formarea profesională inițială sau șeful Departamentului de formare profesională inițială al Institutului Național al Magistraturii;</w:t>
      </w:r>
    </w:p>
    <w:p w14:paraId="7469B88F" w14:textId="0CFDFB35" w:rsidR="001D1BC0"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b)</w:t>
      </w:r>
      <w:r w:rsidR="001D1BC0" w:rsidRPr="004651AB">
        <w:rPr>
          <w:rFonts w:asciiTheme="minorHAnsi" w:hAnsiTheme="minorHAnsi" w:cstheme="minorHAnsi"/>
          <w:sz w:val="26"/>
          <w:szCs w:val="26"/>
        </w:rPr>
        <w:t xml:space="preserve"> vicepreședinte: șeful Departamentului de formare profesională inițială al Institutului Național al Magistraturii sau o altă persoană din cadrul acestui departament;</w:t>
      </w:r>
    </w:p>
    <w:p w14:paraId="16DA31B3" w14:textId="093EAC5E" w:rsidR="001D1BC0"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c)</w:t>
      </w:r>
      <w:r w:rsidR="001D1BC0" w:rsidRPr="004651AB">
        <w:rPr>
          <w:rFonts w:asciiTheme="minorHAnsi" w:hAnsiTheme="minorHAnsi" w:cstheme="minorHAnsi"/>
          <w:sz w:val="26"/>
          <w:szCs w:val="26"/>
        </w:rPr>
        <w:t xml:space="preserve"> membri: personal de specialitate juridică asimilat judecătorilor și procurorilor, funcționari publici și personal contractual din cadrul Institutului, precum și personal de instruire al Institutului Național al Magistraturii.</w:t>
      </w:r>
    </w:p>
    <w:p w14:paraId="2E234B50" w14:textId="40AF288A" w:rsidR="001D1BC0" w:rsidRPr="004651AB" w:rsidRDefault="001D1BC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(2) Responsabilii de sală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supraveghetorii, precum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alte persoane care </w:t>
      </w:r>
      <w:proofErr w:type="spellStart"/>
      <w:r w:rsidRPr="004651AB">
        <w:rPr>
          <w:rFonts w:asciiTheme="minorHAnsi" w:hAnsiTheme="minorHAnsi" w:cstheme="minorHAnsi"/>
          <w:sz w:val="26"/>
          <w:szCs w:val="26"/>
        </w:rPr>
        <w:t>desfăşoară</w:t>
      </w:r>
      <w:proofErr w:type="spellEnd"/>
      <w:r w:rsidRPr="004651AB">
        <w:rPr>
          <w:rFonts w:asciiTheme="minorHAnsi" w:hAnsiTheme="minorHAnsi" w:cstheme="minorHAnsi"/>
          <w:sz w:val="26"/>
          <w:szCs w:val="26"/>
        </w:rPr>
        <w:t xml:space="preserve"> activitate pentru buna organizare a examenului sunt desemnați de </w:t>
      </w:r>
      <w:proofErr w:type="spellStart"/>
      <w:r w:rsidRPr="004651AB">
        <w:rPr>
          <w:rFonts w:asciiTheme="minorHAnsi" w:hAnsiTheme="minorHAnsi" w:cstheme="minorHAnsi"/>
          <w:sz w:val="26"/>
          <w:szCs w:val="26"/>
        </w:rPr>
        <w:t>preşedintele</w:t>
      </w:r>
      <w:proofErr w:type="spellEnd"/>
      <w:r w:rsidRPr="004651AB">
        <w:rPr>
          <w:rFonts w:asciiTheme="minorHAnsi" w:hAnsiTheme="minorHAnsi" w:cstheme="minorHAnsi"/>
          <w:sz w:val="26"/>
          <w:szCs w:val="26"/>
        </w:rPr>
        <w:t xml:space="preserve"> comisiei de organizare a examenului</w:t>
      </w:r>
      <w:r w:rsidR="001921E2" w:rsidRPr="004651AB">
        <w:rPr>
          <w:rFonts w:asciiTheme="minorHAnsi" w:hAnsiTheme="minorHAnsi" w:cstheme="minorHAnsi"/>
          <w:sz w:val="26"/>
          <w:szCs w:val="26"/>
        </w:rPr>
        <w:t>.</w:t>
      </w:r>
    </w:p>
    <w:p w14:paraId="66EB5CD4" w14:textId="44673FEE"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8</w:t>
      </w:r>
      <w:r w:rsidRPr="004651AB">
        <w:rPr>
          <w:rFonts w:asciiTheme="minorHAnsi" w:hAnsiTheme="minorHAnsi" w:cstheme="minorHAnsi"/>
          <w:sz w:val="26"/>
          <w:szCs w:val="26"/>
        </w:rPr>
        <w:t xml:space="preserve"> - (1) Comisia de organizare a examenului are, în principal, următoarele atribuții:</w:t>
      </w:r>
    </w:p>
    <w:p w14:paraId="6E55108C"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 verifică îndeplinirea de către candidați a condițiilor legale de participare la examen, întocmește și afișează lista candidaților care îndeplinesc și a celor care nu îndeplinesc aceste condiții;</w:t>
      </w:r>
    </w:p>
    <w:p w14:paraId="5068BB67"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controlează și îndrumă acțiunile privind organizarea și desfășurarea examenului, identificarea și, după caz, închirierea spațiilor adecvate pentru susținerea probelor de examen și procurarea necesarului de rechizite, asigurarea pazei necesare pentru păstrarea ordinii la centrele de examen, asigurarea cheltuielilor de transport, cazare și diurnă, după caz, pentru membrii comisiilor;</w:t>
      </w:r>
    </w:p>
    <w:p w14:paraId="5CEA31A9"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asigură paza subiectelor și a lucrărilor scrise, la sediul comisiei, și ia măsuri pentru păstrarea ordinii publice la centrul de desfășurare a examenului;</w:t>
      </w:r>
    </w:p>
    <w:p w14:paraId="1F801908"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instruiește, cu cel puțin 24 de ore înaintea datei examenului, persoanele care asigură supravegherea în sălile de examen - responsabili de sală și supraveghetori;</w:t>
      </w:r>
    </w:p>
    <w:p w14:paraId="104D0C52"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5. preia, de la oricare dintre membrii comisiei de elaborare a subiectelor, subiectele și baremele de evaluare și notare, în plicuri distincte, închise și sigilate;</w:t>
      </w:r>
    </w:p>
    <w:p w14:paraId="76DE530B"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păstrează în deplină siguranță subiectele și baremele de evaluare și notare;</w:t>
      </w:r>
    </w:p>
    <w:p w14:paraId="4A24C21C" w14:textId="0DD7B21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7. după efectuarea tragerii la </w:t>
      </w:r>
      <w:proofErr w:type="spellStart"/>
      <w:r w:rsidRPr="004651AB">
        <w:rPr>
          <w:rFonts w:asciiTheme="minorHAnsi" w:hAnsiTheme="minorHAnsi" w:cstheme="minorHAnsi"/>
          <w:sz w:val="26"/>
          <w:szCs w:val="26"/>
        </w:rPr>
        <w:t>sorţi</w:t>
      </w:r>
      <w:proofErr w:type="spellEnd"/>
      <w:r w:rsidRPr="004651AB">
        <w:rPr>
          <w:rFonts w:asciiTheme="minorHAnsi" w:hAnsiTheme="minorHAnsi" w:cstheme="minorHAnsi"/>
          <w:sz w:val="26"/>
          <w:szCs w:val="26"/>
        </w:rPr>
        <w:t xml:space="preserve"> a variantei de subiecte pentru proba scrisă de către un reprezentant desemnat de candidați, coordonează multiplicarea subiectelor, în funcție de numărul candidaților, sigilând apoi plicurile care conțin necesarul de subiecte pentru fiecare sală;</w:t>
      </w:r>
    </w:p>
    <w:p w14:paraId="7F378269"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8. distribuie candidaților subiectele multiplicate;</w:t>
      </w:r>
    </w:p>
    <w:p w14:paraId="0F92F8F9"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9. repartizează candidații pe săli, în ordine alfabetică, dispune afișarea listelor respective cu cel puțin 24 de ore înainte de fiecare probă, pe ușile sălilor în care se desfășoară probele, și ia măsuri pentru publicarea acestor liste pe pagina de internet a Institutului Național al Magistraturii în același termen;</w:t>
      </w:r>
    </w:p>
    <w:p w14:paraId="146621A1"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10. afișează baremul de evaluare și notare la centrul de examen după încheierea fiecărei probe și asigură publicarea acestuia pe pagina de internet a Institutului Național al Magistraturii;</w:t>
      </w:r>
    </w:p>
    <w:p w14:paraId="2D24E7AB"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11. ia măsuri pentru ca în spațiile în care se desfășoară probele de examen să nu pătrundă persoane străine neautorizate de comisie sau neprevăzute de prezentul regulament;</w:t>
      </w:r>
    </w:p>
    <w:p w14:paraId="7BD85E37"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12. informează de îndată conducerea Institutului Național al Magistraturii cu privire la orice situație deosebită a cărei rezolvare nu este prevăzută în prezentul regulament, precum și cu privire la orice situație care impune anularea unor subiecte, cum ar fi pierderea, deteriorarea sau desecretizarea unui subiect;</w:t>
      </w:r>
    </w:p>
    <w:p w14:paraId="36A34EAE"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13. calculează mediile generale și întocmește listele cu rezultatele examenului;</w:t>
      </w:r>
    </w:p>
    <w:p w14:paraId="320E35DD"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14. asigură afișarea la sediul Institutului Național al Magistraturii și publicarea pe pagina de internet a Institutului a rezultatelor examenului.</w:t>
      </w:r>
    </w:p>
    <w:p w14:paraId="789DBE67" w14:textId="6635322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Comisia de organizare a examenului exercită orice alte atribuții necesare bunei desfășurări a examenului.</w:t>
      </w:r>
    </w:p>
    <w:p w14:paraId="1B29D0A3" w14:textId="77777777"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9</w:t>
      </w:r>
      <w:r w:rsidRPr="004651AB">
        <w:rPr>
          <w:rFonts w:asciiTheme="minorHAnsi" w:hAnsiTheme="minorHAnsi" w:cstheme="minorHAnsi"/>
          <w:sz w:val="26"/>
          <w:szCs w:val="26"/>
        </w:rPr>
        <w:t xml:space="preserve"> - (1) Președintele comisiei de organizare a examenului ia măsurile necesare ducerii la îndeplinire a atribuțiilor prevăzute la art. 8.</w:t>
      </w:r>
    </w:p>
    <w:p w14:paraId="62B27F43" w14:textId="087FF01A"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(2) În acest scop, președintele comisiei de organizare a examenului stabilește atribuțiile pentru vicepreședinte și membrii comisiei și </w:t>
      </w:r>
      <w:proofErr w:type="spellStart"/>
      <w:r w:rsidRPr="004651AB">
        <w:rPr>
          <w:rFonts w:asciiTheme="minorHAnsi" w:hAnsiTheme="minorHAnsi" w:cstheme="minorHAnsi"/>
          <w:sz w:val="26"/>
          <w:szCs w:val="26"/>
        </w:rPr>
        <w:t>soluţionează</w:t>
      </w:r>
      <w:proofErr w:type="spellEnd"/>
      <w:r w:rsidRPr="004651AB">
        <w:rPr>
          <w:rFonts w:asciiTheme="minorHAnsi" w:hAnsiTheme="minorHAnsi" w:cstheme="minorHAnsi"/>
          <w:sz w:val="26"/>
          <w:szCs w:val="26"/>
        </w:rPr>
        <w:t xml:space="preserve"> </w:t>
      </w:r>
      <w:proofErr w:type="spellStart"/>
      <w:r w:rsidRPr="004651AB">
        <w:rPr>
          <w:rFonts w:asciiTheme="minorHAnsi" w:hAnsiTheme="minorHAnsi" w:cstheme="minorHAnsi"/>
          <w:sz w:val="26"/>
          <w:szCs w:val="26"/>
        </w:rPr>
        <w:t>situaţiile</w:t>
      </w:r>
      <w:proofErr w:type="spellEnd"/>
      <w:r w:rsidRPr="004651AB">
        <w:rPr>
          <w:rFonts w:asciiTheme="minorHAnsi" w:hAnsiTheme="minorHAnsi" w:cstheme="minorHAnsi"/>
          <w:sz w:val="26"/>
          <w:szCs w:val="26"/>
        </w:rPr>
        <w:t xml:space="preserve"> de incompatibilitate a membrilor comisiei pe care o conduce. Desemnarea unei alte persoane în locul membrului incompatibil se realizează doar dacă este necesar. </w:t>
      </w:r>
      <w:proofErr w:type="spellStart"/>
      <w:r w:rsidRPr="004651AB">
        <w:rPr>
          <w:rFonts w:asciiTheme="minorHAnsi" w:hAnsiTheme="minorHAnsi" w:cstheme="minorHAnsi"/>
          <w:sz w:val="26"/>
          <w:szCs w:val="26"/>
        </w:rPr>
        <w:t>Situaţiile</w:t>
      </w:r>
      <w:proofErr w:type="spellEnd"/>
      <w:r w:rsidRPr="004651AB">
        <w:rPr>
          <w:rFonts w:asciiTheme="minorHAnsi" w:hAnsiTheme="minorHAnsi" w:cstheme="minorHAnsi"/>
          <w:sz w:val="26"/>
          <w:szCs w:val="26"/>
        </w:rPr>
        <w:t xml:space="preserve"> de incompatibilitate a </w:t>
      </w:r>
      <w:proofErr w:type="spellStart"/>
      <w:r w:rsidRPr="004651AB">
        <w:rPr>
          <w:rFonts w:asciiTheme="minorHAnsi" w:hAnsiTheme="minorHAnsi" w:cstheme="minorHAnsi"/>
          <w:sz w:val="26"/>
          <w:szCs w:val="26"/>
        </w:rPr>
        <w:t>preşedintelui</w:t>
      </w:r>
      <w:proofErr w:type="spellEnd"/>
      <w:r w:rsidRPr="004651AB">
        <w:rPr>
          <w:rFonts w:asciiTheme="minorHAnsi" w:hAnsiTheme="minorHAnsi" w:cstheme="minorHAnsi"/>
          <w:sz w:val="26"/>
          <w:szCs w:val="26"/>
        </w:rPr>
        <w:t xml:space="preserve"> comisiei de organizare sunt </w:t>
      </w:r>
      <w:proofErr w:type="spellStart"/>
      <w:r w:rsidRPr="004651AB">
        <w:rPr>
          <w:rFonts w:asciiTheme="minorHAnsi" w:hAnsiTheme="minorHAnsi" w:cstheme="minorHAnsi"/>
          <w:sz w:val="26"/>
          <w:szCs w:val="26"/>
        </w:rPr>
        <w:t>soluţionate</w:t>
      </w:r>
      <w:proofErr w:type="spellEnd"/>
      <w:r w:rsidRPr="004651AB">
        <w:rPr>
          <w:rFonts w:asciiTheme="minorHAnsi" w:hAnsiTheme="minorHAnsi" w:cstheme="minorHAnsi"/>
          <w:sz w:val="26"/>
          <w:szCs w:val="26"/>
        </w:rPr>
        <w:t xml:space="preserve"> de Consiliul științific.</w:t>
      </w:r>
    </w:p>
    <w:p w14:paraId="1D9F39BD" w14:textId="597B142E"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w:t>
      </w:r>
      <w:r w:rsidR="009C0C56">
        <w:rPr>
          <w:rFonts w:asciiTheme="minorHAnsi" w:hAnsiTheme="minorHAnsi" w:cstheme="minorHAnsi"/>
          <w:b/>
          <w:bCs/>
          <w:sz w:val="26"/>
          <w:szCs w:val="26"/>
        </w:rPr>
        <w:t xml:space="preserve">. </w:t>
      </w:r>
      <w:r w:rsidRPr="004651AB">
        <w:rPr>
          <w:rFonts w:asciiTheme="minorHAnsi" w:hAnsiTheme="minorHAnsi" w:cstheme="minorHAnsi"/>
          <w:b/>
          <w:bCs/>
          <w:sz w:val="26"/>
          <w:szCs w:val="26"/>
        </w:rPr>
        <w:t>10</w:t>
      </w:r>
      <w:r w:rsidRPr="004651AB">
        <w:rPr>
          <w:rFonts w:asciiTheme="minorHAnsi" w:hAnsiTheme="minorHAnsi" w:cstheme="minorHAnsi"/>
          <w:sz w:val="26"/>
          <w:szCs w:val="26"/>
        </w:rPr>
        <w:t xml:space="preserve"> - (1) În fiecare comisie pentru judecători, numită potrivit art. 6 alin. (1), sunt desemnați câte 2 judecători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un formator al Institutului </w:t>
      </w:r>
      <w:proofErr w:type="spellStart"/>
      <w:r w:rsidRPr="004651AB">
        <w:rPr>
          <w:rFonts w:asciiTheme="minorHAnsi" w:hAnsiTheme="minorHAnsi" w:cstheme="minorHAnsi"/>
          <w:sz w:val="26"/>
          <w:szCs w:val="26"/>
        </w:rPr>
        <w:t>Naţional</w:t>
      </w:r>
      <w:proofErr w:type="spellEnd"/>
      <w:r w:rsidRPr="004651AB">
        <w:rPr>
          <w:rFonts w:asciiTheme="minorHAnsi" w:hAnsiTheme="minorHAnsi" w:cstheme="minorHAnsi"/>
          <w:sz w:val="26"/>
          <w:szCs w:val="26"/>
        </w:rPr>
        <w:t xml:space="preserve"> al Magistraturii, specializați în disciplinele de examen.</w:t>
      </w:r>
    </w:p>
    <w:p w14:paraId="0076C33B" w14:textId="6023EC18"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(2) În fiecare comisie pentru procurori, numită potrivit art. 6 alin. (1), sunt desemnați câte 2 procurori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un formator al Institutului </w:t>
      </w:r>
      <w:proofErr w:type="spellStart"/>
      <w:r w:rsidRPr="004651AB">
        <w:rPr>
          <w:rFonts w:asciiTheme="minorHAnsi" w:hAnsiTheme="minorHAnsi" w:cstheme="minorHAnsi"/>
          <w:sz w:val="26"/>
          <w:szCs w:val="26"/>
        </w:rPr>
        <w:t>Naţional</w:t>
      </w:r>
      <w:proofErr w:type="spellEnd"/>
      <w:r w:rsidRPr="004651AB">
        <w:rPr>
          <w:rFonts w:asciiTheme="minorHAnsi" w:hAnsiTheme="minorHAnsi" w:cstheme="minorHAnsi"/>
          <w:sz w:val="26"/>
          <w:szCs w:val="26"/>
        </w:rPr>
        <w:t xml:space="preserve"> al Magistraturii, specializați în disciplinele de examen.</w:t>
      </w:r>
    </w:p>
    <w:p w14:paraId="19EEBA71" w14:textId="23AF0161"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(3) În componența comisiilor se numesc și membri supleanți, care îi vor înlocui de drept, în ordinea stabilită de Consiliul Superior al Magistraturii prin hotărârea de numire a comisiilor de examen, pe acei membri ai comisiei care, din motive întemeiate, nu își pot exercita atribuțiile. </w:t>
      </w:r>
      <w:r w:rsidRPr="004651AB">
        <w:rPr>
          <w:rFonts w:asciiTheme="minorHAnsi" w:hAnsiTheme="minorHAnsi" w:cstheme="minorHAnsi"/>
          <w:sz w:val="26"/>
          <w:szCs w:val="26"/>
        </w:rPr>
        <w:lastRenderedPageBreak/>
        <w:t xml:space="preserve">Înlocuirea se efectuează de președintele comisiilor de examen. </w:t>
      </w:r>
      <w:proofErr w:type="spellStart"/>
      <w:r w:rsidRPr="004651AB">
        <w:rPr>
          <w:rFonts w:asciiTheme="minorHAnsi" w:hAnsiTheme="minorHAnsi" w:cstheme="minorHAnsi"/>
          <w:sz w:val="26"/>
          <w:szCs w:val="26"/>
        </w:rPr>
        <w:t>Situaţiile</w:t>
      </w:r>
      <w:proofErr w:type="spellEnd"/>
      <w:r w:rsidRPr="004651AB">
        <w:rPr>
          <w:rFonts w:asciiTheme="minorHAnsi" w:hAnsiTheme="minorHAnsi" w:cstheme="minorHAnsi"/>
          <w:sz w:val="26"/>
          <w:szCs w:val="26"/>
        </w:rPr>
        <w:t xml:space="preserve"> de incompatibilitate a </w:t>
      </w:r>
      <w:proofErr w:type="spellStart"/>
      <w:r w:rsidRPr="004651AB">
        <w:rPr>
          <w:rFonts w:asciiTheme="minorHAnsi" w:hAnsiTheme="minorHAnsi" w:cstheme="minorHAnsi"/>
          <w:sz w:val="26"/>
          <w:szCs w:val="26"/>
        </w:rPr>
        <w:t>preşedintelui</w:t>
      </w:r>
      <w:proofErr w:type="spellEnd"/>
      <w:r w:rsidRPr="004651AB">
        <w:rPr>
          <w:rFonts w:asciiTheme="minorHAnsi" w:hAnsiTheme="minorHAnsi" w:cstheme="minorHAnsi"/>
          <w:sz w:val="26"/>
          <w:szCs w:val="26"/>
        </w:rPr>
        <w:t xml:space="preserve"> comisiilor de examen sunt </w:t>
      </w:r>
      <w:proofErr w:type="spellStart"/>
      <w:r w:rsidRPr="004651AB">
        <w:rPr>
          <w:rFonts w:asciiTheme="minorHAnsi" w:hAnsiTheme="minorHAnsi" w:cstheme="minorHAnsi"/>
          <w:sz w:val="26"/>
          <w:szCs w:val="26"/>
        </w:rPr>
        <w:t>soluţionate</w:t>
      </w:r>
      <w:proofErr w:type="spellEnd"/>
      <w:r w:rsidRPr="004651AB">
        <w:rPr>
          <w:rFonts w:asciiTheme="minorHAnsi" w:hAnsiTheme="minorHAnsi" w:cstheme="minorHAnsi"/>
          <w:sz w:val="26"/>
          <w:szCs w:val="26"/>
        </w:rPr>
        <w:t xml:space="preserve"> de Plenul Consiliului Superior al Magistraturii.</w:t>
      </w:r>
    </w:p>
    <w:p w14:paraId="3203BE5F" w14:textId="480C66A0" w:rsidR="001921E2" w:rsidRPr="004651AB" w:rsidRDefault="001921E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11</w:t>
      </w:r>
      <w:r w:rsidRPr="004651AB">
        <w:rPr>
          <w:rFonts w:asciiTheme="minorHAnsi" w:hAnsiTheme="minorHAnsi" w:cstheme="minorHAnsi"/>
          <w:sz w:val="26"/>
          <w:szCs w:val="26"/>
        </w:rPr>
        <w:t xml:space="preserve"> - (1) Comisiile de elaborare a subiectelor, de corectare și de soluționare a contestațiilor au un președinte comun, pentru judecători, respectiv pentru procurori, membru al comisiei de elaborare a subiectelor. Președintele veghează la respectarea regulilor enumerate la art. 12 pct. 1 și coordonează activitatea celorlalte comisii. Președintele instruiește corectorii, nu poate corecta lucrări și nu poate soluționa contestații.</w:t>
      </w:r>
    </w:p>
    <w:p w14:paraId="49302655"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Aceeași persoană, cu excepția președintelui comisiilor, nu poate face parte din mai mult de o comisie din cele prevăzute la alin. (1).</w:t>
      </w:r>
    </w:p>
    <w:p w14:paraId="09F8C77B" w14:textId="6833954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Dispozițiile art. 2 alin. (6) se aplică în mod corespunzător.</w:t>
      </w:r>
    </w:p>
    <w:p w14:paraId="3BFDEAB8" w14:textId="1381BBF4"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Membrii comisiilor sunt numiți, de regulă, dintre persoanele care au fost înscrise în baza de date a Institutului Național al Magistraturii și au urmat cursurile acestuia privind metodele și tehnicile de evaluare.</w:t>
      </w:r>
    </w:p>
    <w:p w14:paraId="3A973281" w14:textId="0E1CF75A" w:rsidR="001921E2"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(5) Numirea membrilor comisiilor se face cu cel puțin 14 zile înainte de data desfășurării examenului.</w:t>
      </w:r>
    </w:p>
    <w:p w14:paraId="0F3CF0C7" w14:textId="54F7B5C3"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(6) </w:t>
      </w:r>
      <w:proofErr w:type="spellStart"/>
      <w:r w:rsidRPr="004651AB">
        <w:rPr>
          <w:rFonts w:asciiTheme="minorHAnsi" w:hAnsiTheme="minorHAnsi" w:cstheme="minorHAnsi"/>
          <w:sz w:val="26"/>
          <w:szCs w:val="26"/>
        </w:rPr>
        <w:t>Modalităţile</w:t>
      </w:r>
      <w:proofErr w:type="spellEnd"/>
      <w:r w:rsidRPr="004651AB">
        <w:rPr>
          <w:rFonts w:asciiTheme="minorHAnsi" w:hAnsiTheme="minorHAnsi" w:cstheme="minorHAnsi"/>
          <w:sz w:val="26"/>
          <w:szCs w:val="26"/>
        </w:rPr>
        <w:t xml:space="preserve"> de plată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w:t>
      </w:r>
      <w:proofErr w:type="spellStart"/>
      <w:r w:rsidRPr="004651AB">
        <w:rPr>
          <w:rFonts w:asciiTheme="minorHAnsi" w:hAnsiTheme="minorHAnsi" w:cstheme="minorHAnsi"/>
          <w:sz w:val="26"/>
          <w:szCs w:val="26"/>
        </w:rPr>
        <w:t>atribuţiile</w:t>
      </w:r>
      <w:proofErr w:type="spellEnd"/>
      <w:r w:rsidRPr="004651AB">
        <w:rPr>
          <w:rFonts w:asciiTheme="minorHAnsi" w:hAnsiTheme="minorHAnsi" w:cstheme="minorHAnsi"/>
          <w:sz w:val="26"/>
          <w:szCs w:val="26"/>
        </w:rPr>
        <w:t xml:space="preserve"> ce le revin membrilor comisiilor prevăzute la alin. (1), potrivit </w:t>
      </w:r>
      <w:proofErr w:type="spellStart"/>
      <w:r w:rsidRPr="004651AB">
        <w:rPr>
          <w:rFonts w:asciiTheme="minorHAnsi" w:hAnsiTheme="minorHAnsi" w:cstheme="minorHAnsi"/>
          <w:sz w:val="26"/>
          <w:szCs w:val="26"/>
        </w:rPr>
        <w:t>dispoziţiilor</w:t>
      </w:r>
      <w:proofErr w:type="spellEnd"/>
      <w:r w:rsidRPr="004651AB">
        <w:rPr>
          <w:rFonts w:asciiTheme="minorHAnsi" w:hAnsiTheme="minorHAnsi" w:cstheme="minorHAnsi"/>
          <w:sz w:val="26"/>
          <w:szCs w:val="26"/>
        </w:rPr>
        <w:t xml:space="preserve"> prezentului regulament, se stabilesc prin contracte de participare încheiate între </w:t>
      </w:r>
      <w:proofErr w:type="spellStart"/>
      <w:r w:rsidRPr="004651AB">
        <w:rPr>
          <w:rFonts w:asciiTheme="minorHAnsi" w:hAnsiTheme="minorHAnsi" w:cstheme="minorHAnsi"/>
          <w:sz w:val="26"/>
          <w:szCs w:val="26"/>
        </w:rPr>
        <w:t>aceştia</w:t>
      </w:r>
      <w:proofErr w:type="spellEnd"/>
      <w:r w:rsidRPr="004651AB">
        <w:rPr>
          <w:rFonts w:asciiTheme="minorHAnsi" w:hAnsiTheme="minorHAnsi" w:cstheme="minorHAnsi"/>
          <w:sz w:val="26"/>
          <w:szCs w:val="26"/>
        </w:rPr>
        <w:t xml:space="preserve">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Institutul Național al Magistraturii.</w:t>
      </w:r>
    </w:p>
    <w:p w14:paraId="3224EA55" w14:textId="57B34598"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(7) Declarațiile și contractele de participare în comisii se centralizează de comisia de organizare a examenului și se păstrează alături de celelalte documente de examen.</w:t>
      </w:r>
    </w:p>
    <w:p w14:paraId="69A9C5AF" w14:textId="1EC9E7D0"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12</w:t>
      </w:r>
      <w:r w:rsidRPr="004651AB">
        <w:rPr>
          <w:rFonts w:asciiTheme="minorHAnsi" w:hAnsiTheme="minorHAnsi" w:cstheme="minorHAnsi"/>
          <w:sz w:val="26"/>
          <w:szCs w:val="26"/>
        </w:rPr>
        <w:t xml:space="preserve"> - Comisia de elaborare a subiectelor are, în principal, următoarele atribuții:</w:t>
      </w:r>
    </w:p>
    <w:p w14:paraId="3111BF8A"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 elaborarea subiectelor de examen, cu respectarea următoarelor reguli:</w:t>
      </w:r>
    </w:p>
    <w:p w14:paraId="10EDD95E"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a) să fie în concordanță cu tematica și bibliografia publicate de Institutul Național al Magistraturii;</w:t>
      </w:r>
    </w:p>
    <w:p w14:paraId="0FB8A286"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b) să evidențieze operațiile gândirii - analiză, sinteză, generalizare - în trăsături ale procesului de gândire, cum ar fi flexibilitatea, dimensiunea critică;</w:t>
      </w:r>
    </w:p>
    <w:p w14:paraId="393FAB13"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c) să fie formulate astfel încât tratarea lor să angajeze cât mai multe posibilități de analiză, de sinteză și de generalizare din partea candidaților;</w:t>
      </w:r>
    </w:p>
    <w:p w14:paraId="5A92BAD0"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d) să asigure o cuprindere echilibrată a materiei studiate, să aibă grad de complexitate corespunzător conținutului tematicii și bibliografiei, pentru a fi tratate în timpul stabilit;</w:t>
      </w:r>
    </w:p>
    <w:p w14:paraId="4A159F45"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e) să se evite repetarea subiectelor de la examenele anterioare;</w:t>
      </w:r>
    </w:p>
    <w:p w14:paraId="3A8BEE83"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f) timpul necesar rezolvării subiectelor să nu depășească timpul alocat pentru desfășurarea probei de examen;</w:t>
      </w:r>
    </w:p>
    <w:p w14:paraId="2549E644"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g) să indice pentru fiecare subiect atât punctajul prevăzut în barem, cât și timpul recomandat pentru rezolvare;</w:t>
      </w:r>
    </w:p>
    <w:p w14:paraId="1F138DE8"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h) să se evite, pe cât posibil, subiectele ce conțin probleme controversate în doctrină și în practică sau, în cazul unor astfel de situații, să se puncteze toate soluțiile a căror corectitudine poate fi argumentată logic și coerent din punct de vedere legal;</w:t>
      </w:r>
    </w:p>
    <w:p w14:paraId="4C37B088"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i) să se pună accent în notarea lucrărilor pe motivarea soluției alese de candidat; în barem pot să fie punctate modalități alternative de motivare a soluției alese de candidat;</w:t>
      </w:r>
    </w:p>
    <w:p w14:paraId="0F7C348A"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elaborarea a câte 2 variante de subiecte pentru fiecare materie, dintre care se va alege, prin tragere la sorți, o variantă de subiecte, precum și elaborarea baremelor de evaluare și notare și a ghidurilor de corectare;</w:t>
      </w:r>
    </w:p>
    <w:p w14:paraId="2AF85186"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predarea către comisia de organizare a examenului, cu cel puțin 12 ore înainte de desfășurarea probei, a subiectelor și baremelor de evaluare și notare pe discipline de examen, în plicuri distincte, închise și sigilate;</w:t>
      </w:r>
    </w:p>
    <w:p w14:paraId="7DAE0685" w14:textId="135C4EC9"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predarea către comisia de corectare, cel târziu la momentul începerii corectării lucrărilor, a ghidurilor de corectare.</w:t>
      </w:r>
    </w:p>
    <w:p w14:paraId="7B8A2C11" w14:textId="42CEC851" w:rsidR="007706D0" w:rsidRPr="004651AB" w:rsidRDefault="007706D0" w:rsidP="004651AB">
      <w:pPr>
        <w:spacing w:line="276" w:lineRule="auto"/>
        <w:ind w:firstLine="708"/>
        <w:jc w:val="both"/>
        <w:rPr>
          <w:rFonts w:asciiTheme="minorHAnsi" w:hAnsiTheme="minorHAnsi" w:cstheme="minorHAnsi"/>
          <w:sz w:val="26"/>
          <w:szCs w:val="26"/>
        </w:rPr>
      </w:pPr>
      <w:r w:rsidRPr="00786B2C">
        <w:rPr>
          <w:rFonts w:asciiTheme="minorHAnsi" w:hAnsiTheme="minorHAnsi" w:cstheme="minorHAnsi"/>
          <w:b/>
          <w:bCs/>
          <w:sz w:val="26"/>
          <w:szCs w:val="26"/>
        </w:rPr>
        <w:t>Art. 13</w:t>
      </w:r>
      <w:r w:rsidRPr="004651AB">
        <w:rPr>
          <w:rFonts w:asciiTheme="minorHAnsi" w:hAnsiTheme="minorHAnsi" w:cstheme="minorHAnsi"/>
          <w:sz w:val="26"/>
          <w:szCs w:val="26"/>
        </w:rPr>
        <w:t xml:space="preserve"> - (1) Pe durata desfășurării probelor este permisă consultarea legislației indicate în bibliografie, cu excepția celei comentate și adnotate.</w:t>
      </w:r>
    </w:p>
    <w:p w14:paraId="7EC9842E"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Timpul necesar pentru rezolvarea subiectelor pentru fiecare probă de examen este cel stabilit de comisia de elaborare a subiectelor și nu poate depăși 4 ore, socotite din momentul în care s-a încheiat distribuirea subiectelor către toți candidații.</w:t>
      </w:r>
    </w:p>
    <w:p w14:paraId="13E0CA3B"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Accesul candidaților în sălile de examen este permis pe baza unui act de identitate, până la ora stabilită de comisia de organizare a examenului, cel mai târziu până la momentul deschiderii plicurilor în care se află subiectele de examen multiplicate pentru fiecare sală de examen.</w:t>
      </w:r>
    </w:p>
    <w:p w14:paraId="31BAF41B"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În vederea elaborării lucrărilor scrise, candidații folosesc numai cerneală sau pix cu pastă de culoare neagră.</w:t>
      </w:r>
    </w:p>
    <w:p w14:paraId="6C336BE6"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(5) Candidații se așază în ordine alfabetică, conform listelor afișate. Fiecare candidat primește o teză de examen tipizată, cu ștampila Institutului Național al Magistraturii, pe care își scrie cu majuscule numele și prenumele și completează citeț celelalte date. Colțul tezei de examen va fi lipit la momentul predării lucrării, numai după ce persoanele care supraveghează în sală au verificat identitatea candidaților și completarea corectă a tuturor datelor prevăzute și după ce responsabilii de sală au semnat în interiorul porțiunii care urmează a fi sigilată.</w:t>
      </w:r>
    </w:p>
    <w:p w14:paraId="0BBF4A53"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Din momentul deschiderii plicurilor în care se află subiectele de examen multiplicate pentru fiecare sală de examen niciun candidat nu mai poate intra în sală și niciun candidat nu poate părăsi sala decât dacă predă lucrarea scrisă și semnează pentru predarea acesteia. Candidații care nu se află în sală în momentul deschiderii plicului pierd dreptul de a mai susține proba respectivă.</w:t>
      </w:r>
    </w:p>
    <w:p w14:paraId="65F776BA"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(7) Pe toată durata desfășurării probei este interzisă părăsirea sălii de examen de către candidați. În cazuri excepționale, dacă un candidat solicită părăsirea temporară a sălii, el trebuie să fie însoțit de una dintre persoanele care supraveghează, până la înapoierea în sala de examen.</w:t>
      </w:r>
    </w:p>
    <w:p w14:paraId="4FFC0A9C"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(8) Pe parcursul desfășurării probei, membrii comisiei de organizare a examenului și supraveghetorii de săli nu pot da candidaților indicații referitoare la rezolvarea subiectelor și nu pot aduce modificări acestora și baremului de evaluare și notare. Comisia de elaborare a subiectelor poate transmite candidaților precizări privind eventuale erori materiale constatate în redactarea subiectelor.</w:t>
      </w:r>
    </w:p>
    <w:p w14:paraId="2B1EEF10" w14:textId="6BCEB49D"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(9) În cazul în care unii candidați doresc să își transcrie lucrarea, fără să depășească timpul stabilit, primesc alte teze tipizate. Tezele folosite inițial se anulează pe loc de către supraveghetori, menționându-se pe ele „Anulat”, se semnează de supraveghetor și se păstrează în condițiile stabilite pentru lucrările scrise.</w:t>
      </w:r>
    </w:p>
    <w:p w14:paraId="53B2DA07"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(10) Fiecare candidat primește atâtea teze tipizate câte îi sunt necesare.</w:t>
      </w:r>
    </w:p>
    <w:p w14:paraId="57BB6E12" w14:textId="0F6333A9"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(11) La expirarea timpului acordat, candidații predau lucrările sub semnătură în faza în care se află, fiind interzisă depășirea timpului stabilit potrivit alin. (2). Ultimii 3 candidați rămân în sală până la predarea ultimei lucrări.</w:t>
      </w:r>
    </w:p>
    <w:p w14:paraId="7F71194F" w14:textId="79D3307E"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(12) Toți candidații semnează, la momentul predării lucrărilor, în catalogul de sală.</w:t>
      </w:r>
    </w:p>
    <w:p w14:paraId="25BC5202"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(13) Președintele ori vicepreședintele comisiei de organizare a examenului preia lucrările sub semnătură de la supraveghetori.</w:t>
      </w:r>
    </w:p>
    <w:p w14:paraId="44A2D96A" w14:textId="7A20A008"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(14) Se interzice candidaților să dețină pe timpul desfășurării probei orice mijloace de comunicare sau de transmitere de date, inclusiv telefoane mobile, precum și orice surse de informare care ar putea fi utilizate pentru rezolvarea subiectelor, cu excepția celor prevăzute la alin. (1).</w:t>
      </w:r>
    </w:p>
    <w:p w14:paraId="367B844F"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(15) Frauda dovedită atrage eliminarea din examen. Se consideră fraudă și depășirea timpului de examen, stabilit potrivit alin. (2), înscrierea numelui candidatului pe teza de examen în afara rubricii care se sigilează și orice alte semne distinctive care ar permite identificarea lucrării, precum și nerespectarea dispozițiilor alin. (14). În aceste cazuri responsabilul de sală consemnează într-un proces-verbal faptele și măsurile luate, iar lucrarea se anulează cu mențiunea "Fraudă". Procesul-verbal se comunică comisiei de organizare a examenului și candidatului respectiv.</w:t>
      </w:r>
    </w:p>
    <w:p w14:paraId="4714DCEB" w14:textId="3B8FAB82"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(16) Pentru fiecare sală de examen se întocmește un proces-verbal.</w:t>
      </w:r>
    </w:p>
    <w:p w14:paraId="55E76891" w14:textId="11E79648"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14</w:t>
      </w:r>
      <w:r w:rsidRPr="004651AB">
        <w:rPr>
          <w:rFonts w:asciiTheme="minorHAnsi" w:hAnsiTheme="minorHAnsi" w:cstheme="minorHAnsi"/>
          <w:sz w:val="26"/>
          <w:szCs w:val="26"/>
        </w:rPr>
        <w:t xml:space="preserve"> - (1) Comisia de corectare evaluează și notează lucrările conform baremelor definitive de evaluare și notare și ghidurilor de corectare.</w:t>
      </w:r>
    </w:p>
    <w:p w14:paraId="29A35EEA"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(2) Baremele de evaluare și notare se afișează la centrul de examen, după încheierea probelor scrise,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se publică pe pagina de internet a Institutului </w:t>
      </w:r>
      <w:proofErr w:type="spellStart"/>
      <w:r w:rsidRPr="004651AB">
        <w:rPr>
          <w:rFonts w:asciiTheme="minorHAnsi" w:hAnsiTheme="minorHAnsi" w:cstheme="minorHAnsi"/>
          <w:sz w:val="26"/>
          <w:szCs w:val="26"/>
        </w:rPr>
        <w:t>Naţional</w:t>
      </w:r>
      <w:proofErr w:type="spellEnd"/>
      <w:r w:rsidRPr="004651AB">
        <w:rPr>
          <w:rFonts w:asciiTheme="minorHAnsi" w:hAnsiTheme="minorHAnsi" w:cstheme="minorHAnsi"/>
          <w:sz w:val="26"/>
          <w:szCs w:val="26"/>
        </w:rPr>
        <w:t xml:space="preserve"> al Magistraturii.</w:t>
      </w:r>
    </w:p>
    <w:p w14:paraId="7B7D017C"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(3) În termen de 24 de ore de la afișare, candidații pot face contestații la barem, care se soluționează de comisia de soluționare a contestațiilor în cel mult 48 de ore de la expirarea termenului de contestare. Soluția se motivează în termen de 3 zile de la stabilirea baremului definitiv.</w:t>
      </w:r>
    </w:p>
    <w:p w14:paraId="05AEE105"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(4) Baremul stabilit în urma soluționării contestațiilor se publică pe pagina de internet a Institutului Național al Magistraturii.</w:t>
      </w:r>
    </w:p>
    <w:p w14:paraId="20FB30BE"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(5) Corectarea lucrărilor se face separat de către 2 membri ai comisiei de corectare, pentru fiecare dintre disciplinele de examen.</w:t>
      </w:r>
    </w:p>
    <w:p w14:paraId="0702FD20" w14:textId="054D1DC1"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Fiecare lucrare scrisă se notează cu note de la 0 la 10, cu două zecimale, fără rotunjire.</w:t>
      </w:r>
    </w:p>
    <w:p w14:paraId="18B57B6F" w14:textId="578239B5"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(7) Notarea se înregistrează în borderoul de notare, separat de către fiecare corector, semnat de către aceștia pe fiecare pagină. Nota finală la fiecare lucrare o reprezintă media celor două note acordate, calculată cu două zecimale, fără rotunjire. Dacă între notele acordate diferența este mai mare de un punct, nota finală va fi stabilită de cei 2 corectori și un arbitru, care este al treilea membru al comisiei de corectare, în funcție de disciplinele de examen la care se susține fiecare lucrare scrisă. Nota dată la reevaluare se </w:t>
      </w:r>
      <w:r w:rsidR="003100C3" w:rsidRPr="004651AB">
        <w:rPr>
          <w:rFonts w:asciiTheme="minorHAnsi" w:hAnsiTheme="minorHAnsi" w:cstheme="minorHAnsi"/>
          <w:sz w:val="26"/>
          <w:szCs w:val="26"/>
        </w:rPr>
        <w:t>stabilește</w:t>
      </w:r>
      <w:r w:rsidRPr="004651AB">
        <w:rPr>
          <w:rFonts w:asciiTheme="minorHAnsi" w:hAnsiTheme="minorHAnsi" w:cstheme="minorHAnsi"/>
          <w:sz w:val="26"/>
          <w:szCs w:val="26"/>
        </w:rPr>
        <w:t xml:space="preserve"> prin mediere sau, în caz de dezacord, ca medie aritmetică a notelor acordate în cadrul arbitrajului de către cei 3 membri ai comisiei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se consemnează într-un borderou de notare distinct, sub semnătura celor 3 membri ai comisiei. Nota finală se trece pe lucrare, în rubrica specială a foii de examen, cu cerneală neagră, sub semnătură, de către comisia de organizare a examenului. </w:t>
      </w:r>
      <w:proofErr w:type="spellStart"/>
      <w:r w:rsidRPr="004651AB">
        <w:rPr>
          <w:rFonts w:asciiTheme="minorHAnsi" w:hAnsiTheme="minorHAnsi" w:cstheme="minorHAnsi"/>
          <w:sz w:val="26"/>
          <w:szCs w:val="26"/>
        </w:rPr>
        <w:t>Colţul</w:t>
      </w:r>
      <w:proofErr w:type="spellEnd"/>
      <w:r w:rsidRPr="004651AB">
        <w:rPr>
          <w:rFonts w:asciiTheme="minorHAnsi" w:hAnsiTheme="minorHAnsi" w:cstheme="minorHAnsi"/>
          <w:sz w:val="26"/>
          <w:szCs w:val="26"/>
        </w:rPr>
        <w:t xml:space="preserve"> lucrării nu se desigilează pe durata corectării. După ce toate lucrările scrise au fost corectate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notate, iar notele înscrise pe lucrări, acestea se deschid, iar notele se înregistrează în borderourile de concurs.</w:t>
      </w:r>
    </w:p>
    <w:p w14:paraId="6FC4E6AC" w14:textId="6DD38D3D"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(8) Nota finală este media cu două zecimale, fără rotunjire, a notelor obținute la fiecare dintre lucrările scrise.</w:t>
      </w:r>
    </w:p>
    <w:p w14:paraId="7C79F524"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(9) Rezultatele examenului de absolvire se înscriu într-un tabel care se afișează la sediul Institutului Național al Magistraturii și se publică pe pagina de internet a Institutului.</w:t>
      </w:r>
    </w:p>
    <w:p w14:paraId="6DBE4FE0"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(10) Rezultatele pot fi contestate în termen de 48 de ore de la afișare.</w:t>
      </w:r>
    </w:p>
    <w:p w14:paraId="390B307F"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(11) Comisia de soluționare a contestațiilor reevaluează lucrările ale căror note inițiale au fost contestate și acordă note conform baremelor de evaluare și notare și ghidurilor de corectare.</w:t>
      </w:r>
    </w:p>
    <w:p w14:paraId="61F0D770" w14:textId="09239D4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(12) Fiecare lucrare a cărei notă inițială a fost contestată se </w:t>
      </w:r>
      <w:proofErr w:type="spellStart"/>
      <w:r w:rsidRPr="004651AB">
        <w:rPr>
          <w:rFonts w:asciiTheme="minorHAnsi" w:hAnsiTheme="minorHAnsi" w:cstheme="minorHAnsi"/>
          <w:sz w:val="26"/>
          <w:szCs w:val="26"/>
        </w:rPr>
        <w:t>recorectează</w:t>
      </w:r>
      <w:proofErr w:type="spellEnd"/>
      <w:r w:rsidRPr="004651AB">
        <w:rPr>
          <w:rFonts w:asciiTheme="minorHAnsi" w:hAnsiTheme="minorHAnsi" w:cstheme="minorHAnsi"/>
          <w:sz w:val="26"/>
          <w:szCs w:val="26"/>
        </w:rPr>
        <w:t xml:space="preserve"> de către 2 membri ai comisiei de soluționare a contestațiilor. În cazul în care se constată o diferență mai mare de un punct între notele celor 2 corectori și cel puțin una dintre note este de minimum 5 sau dacă diferența dintre mediile stabilite de comisia de corectare și de comisia de soluționare a contestațiilor este mai mare de 1,5 puncte, în favoarea candidatului, nota finală va fi stabilită </w:t>
      </w:r>
      <w:r w:rsidR="00C669EA">
        <w:rPr>
          <w:rFonts w:asciiTheme="minorHAnsi" w:hAnsiTheme="minorHAnsi" w:cstheme="minorHAnsi"/>
          <w:sz w:val="26"/>
          <w:szCs w:val="26"/>
        </w:rPr>
        <w:t xml:space="preserve">de </w:t>
      </w:r>
      <w:r w:rsidRPr="004651AB">
        <w:rPr>
          <w:rFonts w:asciiTheme="minorHAnsi" w:hAnsiTheme="minorHAnsi" w:cstheme="minorHAnsi"/>
          <w:sz w:val="26"/>
          <w:szCs w:val="26"/>
        </w:rPr>
        <w:t xml:space="preserve">cei 2 corectori și un arbitru, care este al treilea membru al comisiei de corectare, în funcție de disciplinele de examen la care se susține fiecare lucrare scrisă. Nota finală se </w:t>
      </w:r>
      <w:proofErr w:type="spellStart"/>
      <w:r w:rsidRPr="004651AB">
        <w:rPr>
          <w:rFonts w:asciiTheme="minorHAnsi" w:hAnsiTheme="minorHAnsi" w:cstheme="minorHAnsi"/>
          <w:sz w:val="26"/>
          <w:szCs w:val="26"/>
        </w:rPr>
        <w:t>stabileşte</w:t>
      </w:r>
      <w:proofErr w:type="spellEnd"/>
      <w:r w:rsidRPr="004651AB">
        <w:rPr>
          <w:rFonts w:asciiTheme="minorHAnsi" w:hAnsiTheme="minorHAnsi" w:cstheme="minorHAnsi"/>
          <w:sz w:val="26"/>
          <w:szCs w:val="26"/>
        </w:rPr>
        <w:t xml:space="preserve"> prin </w:t>
      </w:r>
      <w:r w:rsidRPr="004651AB">
        <w:rPr>
          <w:rFonts w:asciiTheme="minorHAnsi" w:hAnsiTheme="minorHAnsi" w:cstheme="minorHAnsi"/>
          <w:sz w:val="26"/>
          <w:szCs w:val="26"/>
        </w:rPr>
        <w:lastRenderedPageBreak/>
        <w:t>mediere sau, în caz de dezacord, ca medie aritmetică a notelor acordate în cadrul arbitrajului de către cei 3 membri ai comisiei.</w:t>
      </w:r>
    </w:p>
    <w:p w14:paraId="0E06AE41"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(13) Nota acordată în urma soluționării contestației este definitivă și nu poate fi mai mică decât nota contestată.</w:t>
      </w:r>
    </w:p>
    <w:p w14:paraId="3157A631"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(14) Rezultatele finale ale examenului se afișează la sediul Institutului Național al Magistraturii și se publică pe pagina de internet a Institutului.</w:t>
      </w:r>
    </w:p>
    <w:p w14:paraId="0A8F7095" w14:textId="77777777"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(15) Pentru promovarea examenului de absolvire a Institutului Național al Magistraturii candidatul trebuie să obțină media generală de minimum 7 și cel puțin nota 5 la fiecare dintre lucrările scrise.</w:t>
      </w:r>
    </w:p>
    <w:p w14:paraId="753F82E6" w14:textId="3BDEC23F" w:rsidR="007706D0" w:rsidRPr="004651AB" w:rsidRDefault="007706D0"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(16) Absolvenților Institutului Național al Magistraturii li se eliberează un atestat care certifică absolvirea Institutului, promoția și media generală obținută.</w:t>
      </w:r>
    </w:p>
    <w:p w14:paraId="654D67D4" w14:textId="3655569B"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15</w:t>
      </w:r>
      <w:r w:rsidRPr="004651AB">
        <w:rPr>
          <w:rFonts w:asciiTheme="minorHAnsi" w:hAnsiTheme="minorHAnsi" w:cstheme="minorHAnsi"/>
          <w:sz w:val="26"/>
          <w:szCs w:val="26"/>
        </w:rPr>
        <w:t xml:space="preserve"> - (1) Anterior numirii lor ca judecători sau procurori stagiari, absolvenții Institutului Național al Magistraturii sunt verificați sub aspectul îndeplinirii cerinței de a avea o bună reputație, în conformitate cu dispozițiile art. 2 și art. 32 din Legea nr. 192/2021 privind unele măsuri temporare referitoare la concursul de admitere la Institutul Național al Magistraturii, formarea profesională inițială a judecătorilor și procurorilor, examenul de absolvire a Institutului Național al Magistraturii, stagiul și examenul de capacitate al judecătorilor și procurorilor stagiari, precum și la concursul de admitere în magistratură. </w:t>
      </w:r>
    </w:p>
    <w:p w14:paraId="65951518"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Verificările privind îndeplinirea condiției bunei reputații se fac de către comisia de organizare a concursului, cu respectarea legislației în vigoare referitoare la protecția persoanelor cu privire la prelucrarea datelor cu caracter personal și libera circulație a acestor date.</w:t>
      </w:r>
    </w:p>
    <w:p w14:paraId="235714D5"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(3) În termen de 10 zile de la susținerea ultimei probe a examenului de absolvire a Institutului Național al Magistraturii, auditorii de justiție au obligația de a depune la Institutul Național al Magistraturii următoarele documente:</w:t>
      </w:r>
    </w:p>
    <w:p w14:paraId="5EC7046C" w14:textId="04789ACC"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a)</w:t>
      </w:r>
      <w:r w:rsidR="002A5A82" w:rsidRPr="004651AB">
        <w:rPr>
          <w:rFonts w:asciiTheme="minorHAnsi" w:hAnsiTheme="minorHAnsi" w:cstheme="minorHAnsi"/>
          <w:sz w:val="26"/>
          <w:szCs w:val="26"/>
        </w:rPr>
        <w:t xml:space="preserve"> adeverințe eliberate de primării și/sau, după caz, de administrațiile financiare de la domiciliile avute în ultimii 2 ani din care să rezulte, dacă este cazul, natura și tipul contravențiilor comise și sancțiunile contravenționale aplicate în această perioadă;</w:t>
      </w:r>
    </w:p>
    <w:p w14:paraId="1401834C" w14:textId="1136A77F"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b)</w:t>
      </w:r>
      <w:r w:rsidR="002A5A82" w:rsidRPr="004651AB">
        <w:rPr>
          <w:rFonts w:asciiTheme="minorHAnsi" w:hAnsiTheme="minorHAnsi" w:cstheme="minorHAnsi"/>
          <w:sz w:val="26"/>
          <w:szCs w:val="26"/>
        </w:rPr>
        <w:t xml:space="preserve"> certificatul de cazier judiciar;</w:t>
      </w:r>
    </w:p>
    <w:p w14:paraId="1916A8D8" w14:textId="5B8E8164"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c)</w:t>
      </w:r>
      <w:r w:rsidR="002A5A82" w:rsidRPr="004651AB">
        <w:rPr>
          <w:rFonts w:asciiTheme="minorHAnsi" w:hAnsiTheme="minorHAnsi" w:cstheme="minorHAnsi"/>
          <w:sz w:val="26"/>
          <w:szCs w:val="26"/>
        </w:rPr>
        <w:t xml:space="preserve"> declarația pe propria răspundere privind precizarea domiciliului avut în ultimii 2 ani;</w:t>
      </w:r>
    </w:p>
    <w:p w14:paraId="15581CB8" w14:textId="6B87B647"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d)</w:t>
      </w:r>
      <w:r w:rsidR="002A5A82" w:rsidRPr="004651AB">
        <w:rPr>
          <w:rFonts w:asciiTheme="minorHAnsi" w:hAnsiTheme="minorHAnsi" w:cstheme="minorHAnsi"/>
          <w:sz w:val="26"/>
          <w:szCs w:val="26"/>
        </w:rPr>
        <w:t xml:space="preserve"> orice alte înscrisuri pe care le consideră relevante pentru verificarea îndeplinirii cerinței de bună reputație.</w:t>
      </w:r>
    </w:p>
    <w:p w14:paraId="705285CC"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(4) Institutul Național al Magistraturii verifică documentele prevăzute la alin. (3). Constituie obiect al verificării privind buna reputație, în condițiile alin. (7), și datele cuprinse în dosarul profesional al auditorilor, întocmit pe durata urmării cursurilor în cadrul Institutului Național al </w:t>
      </w:r>
      <w:r w:rsidRPr="004651AB">
        <w:rPr>
          <w:rFonts w:asciiTheme="minorHAnsi" w:hAnsiTheme="minorHAnsi" w:cstheme="minorHAnsi"/>
          <w:sz w:val="26"/>
          <w:szCs w:val="26"/>
        </w:rPr>
        <w:lastRenderedPageBreak/>
        <w:t>Magistraturii, inclusiv eventualele sancțiuni disciplinare aplicate în această perioadă, pentru care nu a intervenit radierea.</w:t>
      </w:r>
    </w:p>
    <w:p w14:paraId="28E3E3D7"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(5) Rezultatele verificărilor prevăzute la alin. (4) se consemnează în cuprinsul unui raport unic cu privire la toți absolvenții, care se înaintează Plenului Consiliului Superior al Magistraturii. În cazul în care se constată că, în privința unuia sau mai multor candidați, se conturează indicii că aceștia nu s-ar bucura de o bună reputație, raportul cuprinde motivele pentru care se apreciază că nu este îndeplinită condiția bunei reputații, constând în analiza faptelor persoanei în cauză și aplicarea criteriilor prevăzute de lege situației de fapt reținute.</w:t>
      </w:r>
    </w:p>
    <w:p w14:paraId="49A864FB" w14:textId="2E8E61B1"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(6)  Pe baza acestui raport, Plenul Consiliului Superior al Magistraturii hotărăște cu privire la îndeplinirea condiției bunei reputații.</w:t>
      </w:r>
    </w:p>
    <w:p w14:paraId="5C36BBA9"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(7) Pentru stabilirea condiției bunei reputații sunt analizate:</w:t>
      </w:r>
    </w:p>
    <w:p w14:paraId="3ACA315D" w14:textId="7410A3E4"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a)</w:t>
      </w:r>
      <w:r w:rsidR="002A5A82" w:rsidRPr="004651AB">
        <w:rPr>
          <w:rFonts w:asciiTheme="minorHAnsi" w:hAnsiTheme="minorHAnsi" w:cstheme="minorHAnsi"/>
          <w:sz w:val="26"/>
          <w:szCs w:val="26"/>
        </w:rPr>
        <w:t xml:space="preserve"> faptele pentru care absolvenților li s-au aplicat sancțiuni contravenționale în ultimii doi ani;</w:t>
      </w:r>
    </w:p>
    <w:p w14:paraId="79D496FF" w14:textId="15D266AD" w:rsidR="002A5A82" w:rsidRPr="004651AB" w:rsidRDefault="009C0C56" w:rsidP="004651AB">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b)</w:t>
      </w:r>
      <w:r w:rsidR="002A5A82" w:rsidRPr="004651AB">
        <w:rPr>
          <w:rFonts w:asciiTheme="minorHAnsi" w:hAnsiTheme="minorHAnsi" w:cstheme="minorHAnsi"/>
          <w:sz w:val="26"/>
          <w:szCs w:val="26"/>
        </w:rPr>
        <w:t xml:space="preserve"> faptele pentru care absolvenților li s-au aplicat sancțiuni disciplinare pe durata urmării cursurilor în cadrul Institutului Național al Magistraturii, pentru care nu a intervenit radierea;</w:t>
      </w:r>
    </w:p>
    <w:p w14:paraId="6BB1A926" w14:textId="2E0A0D62"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(8) Nu se bucură de o bună reputație persoana care a fost sancționată contravențional în ultimii doi ani sau </w:t>
      </w:r>
      <w:r w:rsidR="009C0C56">
        <w:rPr>
          <w:rFonts w:asciiTheme="minorHAnsi" w:hAnsiTheme="minorHAnsi" w:cstheme="minorHAnsi"/>
          <w:sz w:val="26"/>
          <w:szCs w:val="26"/>
        </w:rPr>
        <w:t xml:space="preserve">a fost </w:t>
      </w:r>
      <w:r w:rsidRPr="004651AB">
        <w:rPr>
          <w:rFonts w:asciiTheme="minorHAnsi" w:hAnsiTheme="minorHAnsi" w:cstheme="minorHAnsi"/>
          <w:sz w:val="26"/>
          <w:szCs w:val="26"/>
        </w:rPr>
        <w:t>sancționată disciplinar pe durata cursurilor în cadrul Institutului Național al Magistraturii, pentru fapte în raport cu care numirea acesteia în funcția de judecător stagiar sau procuror stagiar nu ar fi conformă cu onoarea și probitatea specifice acestor funcții sau ar aduce atingere prestigiului justiției, la stabilirea bunei reputații avându-se în vedere următoarele criterii:</w:t>
      </w:r>
    </w:p>
    <w:p w14:paraId="19B30208"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a) gravitatea faptei, astfel cum rezultă din natura acesteia și din împrejurările în care a fost săvârșită, din forma și gradul de vinovăție, precum și din sancțiunea aplicată;</w:t>
      </w:r>
    </w:p>
    <w:p w14:paraId="03619DB0"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 xml:space="preserve">b) conduita persoanei înainte și după săvârșirea faptei, care relevă perseverența în săvârșirea unor fapte de natura celor prevăzute la alin. (7), sancționate ca atare. </w:t>
      </w:r>
    </w:p>
    <w:p w14:paraId="0B050332" w14:textId="52EB25EE"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(9) Absolvenții Institutului Național al Magistraturii care nu se bucură de o bună reputație nu pot fi numiți ca judecători sau procurori stagiari și sunt obligați să restituie bursa de auditor de justiție și cheltuielile de școlarizare.</w:t>
      </w:r>
    </w:p>
    <w:p w14:paraId="06410525" w14:textId="52B021B2"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16</w:t>
      </w:r>
      <w:r w:rsidRPr="004651AB">
        <w:rPr>
          <w:rFonts w:asciiTheme="minorHAnsi" w:hAnsiTheme="minorHAnsi" w:cstheme="minorHAnsi"/>
          <w:sz w:val="26"/>
          <w:szCs w:val="26"/>
        </w:rPr>
        <w:t xml:space="preserve"> - (1) În cazul în care un auditor de justiție nu promovează examenul de absolvire în prima sesiune, acesta are dreptul să participe la următoarea sesiune organizată potrivit prezentului regulament. În această situație, auditorul </w:t>
      </w:r>
      <w:proofErr w:type="spellStart"/>
      <w:r w:rsidRPr="004651AB">
        <w:rPr>
          <w:rFonts w:asciiTheme="minorHAnsi" w:hAnsiTheme="minorHAnsi" w:cstheme="minorHAnsi"/>
          <w:sz w:val="26"/>
          <w:szCs w:val="26"/>
        </w:rPr>
        <w:t>susţine</w:t>
      </w:r>
      <w:proofErr w:type="spellEnd"/>
      <w:r w:rsidRPr="004651AB">
        <w:rPr>
          <w:rFonts w:asciiTheme="minorHAnsi" w:hAnsiTheme="minorHAnsi" w:cstheme="minorHAnsi"/>
          <w:sz w:val="26"/>
          <w:szCs w:val="26"/>
        </w:rPr>
        <w:t xml:space="preserve"> un nou test psihologic, potrivit art. 1.</w:t>
      </w:r>
    </w:p>
    <w:p w14:paraId="076F1012" w14:textId="77777777"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t>(2) În cazul prevăzut la alin. (1), precum și în cazul în care auditorul de justiție nu a susținut examenul de absolvire în prima sesiune, acesta nu beneficiază de bursă și de alte drepturi ale auditorilor până la promovarea examenului.</w:t>
      </w:r>
    </w:p>
    <w:p w14:paraId="0482AC1C" w14:textId="4AC83BC9"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sz w:val="26"/>
          <w:szCs w:val="26"/>
        </w:rPr>
        <w:lastRenderedPageBreak/>
        <w:t>(3) Absența nejustificată sau nepromovarea examenului la a doua sesiune atrage pierderea dreptului de a fi numit judecător stagiar sau procuror stagiar. Persoana aflată în această situație este obligată să restituie bursa și cheltuielile de școlarizare.</w:t>
      </w:r>
    </w:p>
    <w:p w14:paraId="3719D0C6" w14:textId="1E951D60"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17</w:t>
      </w:r>
      <w:r w:rsidRPr="004651AB">
        <w:rPr>
          <w:rFonts w:asciiTheme="minorHAnsi" w:hAnsiTheme="minorHAnsi" w:cstheme="minorHAnsi"/>
          <w:sz w:val="26"/>
          <w:szCs w:val="26"/>
        </w:rPr>
        <w:t xml:space="preserve"> - Absolvenții Institutului Național al Magistraturii care se bucură de bună reputație sunt numiți de către Consiliul Superior al Magistraturii în funcțiile de judecători sau procurori stagiari, după caz, în funcție de opțiunea exprimată, cu luarea în considerare și a opțiunii făcute după primul an de cursuri în cadrul Institutului, pe baza mediei generale, calculată cu 3 zecimale, obținută prin însumarea celor trei medii de la sfârșitul fiecărui an de studiu și de la examenul de absolvire a Institutului. La egalitate de medii au prioritate, în următoarea ordine, candidații care au obținut: nota finală mai mare la examenul de absolvire, media mai mare a celor doi ani de studiu la Institutul Național al Magistraturii, nota finală mai mare la concursul de admitere la Institutul Național al Magistraturii, vechimea mai mare în funcțiile prevăzute la art. 86 din Legea nr. 303/2004 privind statutul judecătorilor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procurorilor, republicată, cu modificările </w:t>
      </w:r>
      <w:proofErr w:type="spellStart"/>
      <w:r w:rsidRPr="004651AB">
        <w:rPr>
          <w:rFonts w:asciiTheme="minorHAnsi" w:hAnsiTheme="minorHAnsi" w:cstheme="minorHAnsi"/>
          <w:sz w:val="26"/>
          <w:szCs w:val="26"/>
        </w:rPr>
        <w:t>şi</w:t>
      </w:r>
      <w:proofErr w:type="spellEnd"/>
      <w:r w:rsidRPr="004651AB">
        <w:rPr>
          <w:rFonts w:asciiTheme="minorHAnsi" w:hAnsiTheme="minorHAnsi" w:cstheme="minorHAnsi"/>
          <w:sz w:val="26"/>
          <w:szCs w:val="26"/>
        </w:rPr>
        <w:t xml:space="preserve"> completările ulterioare.</w:t>
      </w:r>
    </w:p>
    <w:p w14:paraId="7D307ED4" w14:textId="5B065FC6"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18</w:t>
      </w:r>
      <w:r w:rsidRPr="004651AB">
        <w:rPr>
          <w:rFonts w:asciiTheme="minorHAnsi" w:hAnsiTheme="minorHAnsi" w:cstheme="minorHAnsi"/>
          <w:sz w:val="26"/>
          <w:szCs w:val="26"/>
        </w:rPr>
        <w:t xml:space="preserve"> - Lucrările de examen ale auditorilor de justiție care au promovat examenul de absolvire se păstrează, în original, la mapele profesionale ale acestora.</w:t>
      </w:r>
    </w:p>
    <w:p w14:paraId="267E6D23" w14:textId="77777777" w:rsidR="002A5A82" w:rsidRPr="004651AB" w:rsidRDefault="002A5A82" w:rsidP="004651AB">
      <w:pPr>
        <w:spacing w:line="276" w:lineRule="auto"/>
        <w:ind w:firstLine="708"/>
        <w:jc w:val="both"/>
        <w:rPr>
          <w:rFonts w:asciiTheme="minorHAnsi" w:hAnsiTheme="minorHAnsi" w:cstheme="minorHAnsi"/>
          <w:sz w:val="26"/>
          <w:szCs w:val="26"/>
        </w:rPr>
      </w:pPr>
    </w:p>
    <w:p w14:paraId="7D9AD7A2" w14:textId="6B35726B" w:rsidR="002A5A82" w:rsidRPr="004651AB" w:rsidRDefault="002A5A82" w:rsidP="004651AB">
      <w:pPr>
        <w:spacing w:line="276" w:lineRule="auto"/>
        <w:ind w:firstLine="708"/>
        <w:jc w:val="both"/>
        <w:rPr>
          <w:rFonts w:asciiTheme="minorHAnsi" w:hAnsiTheme="minorHAnsi" w:cstheme="minorHAnsi"/>
          <w:b/>
          <w:bCs/>
          <w:sz w:val="26"/>
          <w:szCs w:val="26"/>
        </w:rPr>
      </w:pPr>
      <w:r w:rsidRPr="004651AB">
        <w:rPr>
          <w:rFonts w:asciiTheme="minorHAnsi" w:hAnsiTheme="minorHAnsi" w:cstheme="minorHAnsi"/>
          <w:b/>
          <w:bCs/>
          <w:sz w:val="26"/>
          <w:szCs w:val="26"/>
        </w:rPr>
        <w:t>Cap</w:t>
      </w:r>
      <w:r w:rsidR="009C0C56">
        <w:rPr>
          <w:rFonts w:asciiTheme="minorHAnsi" w:hAnsiTheme="minorHAnsi" w:cstheme="minorHAnsi"/>
          <w:b/>
          <w:bCs/>
          <w:sz w:val="26"/>
          <w:szCs w:val="26"/>
        </w:rPr>
        <w:t>.</w:t>
      </w:r>
      <w:r w:rsidRPr="004651AB">
        <w:rPr>
          <w:rFonts w:asciiTheme="minorHAnsi" w:hAnsiTheme="minorHAnsi" w:cstheme="minorHAnsi"/>
          <w:b/>
          <w:bCs/>
          <w:sz w:val="26"/>
          <w:szCs w:val="26"/>
        </w:rPr>
        <w:t xml:space="preserve"> IV</w:t>
      </w:r>
    </w:p>
    <w:p w14:paraId="384F6667" w14:textId="77777777" w:rsidR="002A5A82" w:rsidRPr="004651AB" w:rsidRDefault="002A5A82" w:rsidP="004651AB">
      <w:pPr>
        <w:spacing w:line="276" w:lineRule="auto"/>
        <w:ind w:firstLine="708"/>
        <w:jc w:val="both"/>
        <w:rPr>
          <w:rFonts w:asciiTheme="minorHAnsi" w:hAnsiTheme="minorHAnsi" w:cstheme="minorHAnsi"/>
          <w:b/>
          <w:bCs/>
          <w:sz w:val="26"/>
          <w:szCs w:val="26"/>
        </w:rPr>
      </w:pPr>
      <w:r w:rsidRPr="004651AB">
        <w:rPr>
          <w:rFonts w:asciiTheme="minorHAnsi" w:hAnsiTheme="minorHAnsi" w:cstheme="minorHAnsi"/>
          <w:b/>
          <w:bCs/>
          <w:sz w:val="26"/>
          <w:szCs w:val="26"/>
        </w:rPr>
        <w:t>Dispoziții finale</w:t>
      </w:r>
    </w:p>
    <w:p w14:paraId="6C2C03E8" w14:textId="77777777" w:rsidR="002A5A82" w:rsidRPr="004651AB" w:rsidRDefault="002A5A82" w:rsidP="00C669EA">
      <w:pPr>
        <w:spacing w:line="276" w:lineRule="auto"/>
        <w:jc w:val="both"/>
        <w:rPr>
          <w:rFonts w:asciiTheme="minorHAnsi" w:hAnsiTheme="minorHAnsi" w:cstheme="minorHAnsi"/>
          <w:b/>
          <w:bCs/>
          <w:sz w:val="26"/>
          <w:szCs w:val="26"/>
        </w:rPr>
      </w:pPr>
    </w:p>
    <w:p w14:paraId="023DEF0E" w14:textId="1564E734" w:rsidR="002A5A82" w:rsidRPr="004651AB" w:rsidRDefault="002A5A82" w:rsidP="004651AB">
      <w:pPr>
        <w:spacing w:line="276" w:lineRule="auto"/>
        <w:ind w:firstLine="708"/>
        <w:jc w:val="both"/>
        <w:rPr>
          <w:rFonts w:asciiTheme="minorHAnsi" w:hAnsiTheme="minorHAnsi" w:cstheme="minorHAnsi"/>
          <w:sz w:val="26"/>
          <w:szCs w:val="26"/>
        </w:rPr>
      </w:pPr>
      <w:r w:rsidRPr="004651AB">
        <w:rPr>
          <w:rFonts w:asciiTheme="minorHAnsi" w:hAnsiTheme="minorHAnsi" w:cstheme="minorHAnsi"/>
          <w:b/>
          <w:bCs/>
          <w:sz w:val="26"/>
          <w:szCs w:val="26"/>
        </w:rPr>
        <w:t>Art. 1</w:t>
      </w:r>
      <w:r w:rsidR="009C0C56">
        <w:rPr>
          <w:rFonts w:asciiTheme="minorHAnsi" w:hAnsiTheme="minorHAnsi" w:cstheme="minorHAnsi"/>
          <w:b/>
          <w:bCs/>
          <w:sz w:val="26"/>
          <w:szCs w:val="26"/>
        </w:rPr>
        <w:t>9</w:t>
      </w:r>
      <w:r w:rsidRPr="004651AB">
        <w:rPr>
          <w:rFonts w:asciiTheme="minorHAnsi" w:hAnsiTheme="minorHAnsi" w:cstheme="minorHAnsi"/>
          <w:sz w:val="26"/>
          <w:szCs w:val="26"/>
        </w:rPr>
        <w:t xml:space="preserve"> - Termenele prevăzute de prezentul regulament se calculează potrivit dispozițiilor art. 181 din Legea nr. 134/2010 privind Codul de procedură civilă, republicată, cu modificările și completările ulterioare.</w:t>
      </w:r>
    </w:p>
    <w:sectPr w:rsidR="002A5A82" w:rsidRPr="004651AB" w:rsidSect="003F3275">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851"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1443F" w14:textId="77777777" w:rsidR="00DD13EA" w:rsidRDefault="00DD13EA" w:rsidP="003C4716">
      <w:r>
        <w:separator/>
      </w:r>
    </w:p>
  </w:endnote>
  <w:endnote w:type="continuationSeparator" w:id="0">
    <w:p w14:paraId="0F444E27" w14:textId="77777777" w:rsidR="00DD13EA" w:rsidRDefault="00DD13EA"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FC15" w14:textId="77777777" w:rsidR="00E21AD8" w:rsidRDefault="00E21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E75E" w14:textId="77777777" w:rsidR="002A540D" w:rsidRPr="003F3275" w:rsidRDefault="002A540D">
    <w:pPr>
      <w:pStyle w:val="Footer"/>
      <w:rPr>
        <w:rFonts w:asciiTheme="minorHAnsi" w:hAnsiTheme="minorHAnsi" w:cstheme="minorHAnsi"/>
        <w:sz w:val="2"/>
        <w:szCs w:val="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2A540D" w:rsidRPr="003F3275" w14:paraId="2A5B62A5" w14:textId="77777777" w:rsidTr="00D24B4A">
      <w:trPr>
        <w:trHeight w:val="699"/>
      </w:trPr>
      <w:tc>
        <w:tcPr>
          <w:tcW w:w="2835" w:type="dxa"/>
          <w:tcBorders>
            <w:top w:val="single" w:sz="24" w:space="0" w:color="00519C"/>
          </w:tcBorders>
          <w:vAlign w:val="bottom"/>
        </w:tcPr>
        <w:p w14:paraId="0209D3CC" w14:textId="77777777" w:rsidR="002A540D" w:rsidRPr="003F3275" w:rsidRDefault="002A540D"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75EC80EB" wp14:editId="0D1AAFA2">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sidR="003A6C35">
            <w:rPr>
              <w:rFonts w:asciiTheme="minorHAnsi" w:hAnsiTheme="minorHAnsi" w:cstheme="minorHAnsi"/>
              <w:sz w:val="20"/>
            </w:rPr>
            <w:t>02</w:t>
          </w:r>
        </w:p>
        <w:p w14:paraId="4E0EF9FF" w14:textId="77777777" w:rsidR="002A540D" w:rsidRPr="003F3275" w:rsidRDefault="002A540D" w:rsidP="002A540D">
          <w:pPr>
            <w:ind w:left="-91"/>
            <w:rPr>
              <w:rFonts w:asciiTheme="minorHAnsi" w:hAnsiTheme="minorHAnsi" w:cstheme="minorHAnsi"/>
              <w:sz w:val="20"/>
            </w:rPr>
          </w:pPr>
          <w:r w:rsidRPr="003F3275">
            <w:rPr>
              <w:rFonts w:asciiTheme="minorHAnsi" w:hAnsiTheme="minorHAnsi" w:cstheme="minorHAnsi"/>
              <w:sz w:val="20"/>
            </w:rPr>
            <w:t>Fax: (+40)21-311.69.01</w:t>
          </w:r>
        </w:p>
      </w:tc>
      <w:tc>
        <w:tcPr>
          <w:tcW w:w="3969" w:type="dxa"/>
          <w:tcBorders>
            <w:top w:val="single" w:sz="24" w:space="0" w:color="00519C"/>
          </w:tcBorders>
          <w:vAlign w:val="bottom"/>
        </w:tcPr>
        <w:p w14:paraId="2F999105" w14:textId="511C1843" w:rsidR="002A540D" w:rsidRPr="003F3275" w:rsidRDefault="002A540D" w:rsidP="002A540D">
          <w:pPr>
            <w:pStyle w:val="Footer"/>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53D0A1DB" wp14:editId="05DE3DC2">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315D2E15" w14:textId="646B43DA" w:rsidR="002A540D" w:rsidRPr="003F3275" w:rsidRDefault="002A540D" w:rsidP="002A540D">
          <w:pPr>
            <w:pStyle w:val="Footer"/>
            <w:rPr>
              <w:rFonts w:asciiTheme="minorHAnsi" w:hAnsiTheme="minorHAnsi" w:cstheme="minorHAnsi"/>
              <w:sz w:val="20"/>
            </w:rPr>
          </w:pPr>
          <w:r w:rsidRPr="003F3275">
            <w:rPr>
              <w:rFonts w:asciiTheme="minorHAnsi" w:hAnsiTheme="minorHAnsi" w:cstheme="minorHAnsi"/>
              <w:sz w:val="20"/>
            </w:rPr>
            <w:t xml:space="preserve">Email: </w:t>
          </w:r>
          <w:r w:rsidR="00D24B4A" w:rsidRPr="00E21AD8">
            <w:rPr>
              <w:rFonts w:asciiTheme="minorHAnsi" w:hAnsiTheme="minorHAnsi" w:cstheme="minorHAnsi"/>
              <w:sz w:val="20"/>
            </w:rPr>
            <w:t>secretar_general@csm1909.ro</w:t>
          </w:r>
          <w:r w:rsidR="00D24B4A">
            <w:rPr>
              <w:rFonts w:asciiTheme="minorHAnsi" w:hAnsiTheme="minorHAnsi" w:cstheme="minorHAnsi"/>
              <w:sz w:val="20"/>
            </w:rPr>
            <w:t xml:space="preserve"> </w:t>
          </w:r>
        </w:p>
      </w:tc>
      <w:tc>
        <w:tcPr>
          <w:tcW w:w="3402" w:type="dxa"/>
          <w:gridSpan w:val="2"/>
          <w:tcBorders>
            <w:top w:val="single" w:sz="24" w:space="0" w:color="00519C"/>
          </w:tcBorders>
          <w:vAlign w:val="bottom"/>
        </w:tcPr>
        <w:p w14:paraId="5EBD971F" w14:textId="50E21FFD" w:rsidR="002A540D" w:rsidRPr="003F3275" w:rsidRDefault="002A540D" w:rsidP="002A540D">
          <w:pPr>
            <w:pStyle w:val="Footer"/>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39F3DDDF" wp14:editId="5B9375CC">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2A540D" w:rsidRPr="003F3275" w14:paraId="7BC40538" w14:textId="77777777" w:rsidTr="003A6C35">
      <w:trPr>
        <w:trHeight w:val="313"/>
      </w:trPr>
      <w:tc>
        <w:tcPr>
          <w:tcW w:w="8364" w:type="dxa"/>
          <w:gridSpan w:val="3"/>
          <w:vAlign w:val="center"/>
        </w:tcPr>
        <w:p w14:paraId="0EE41A61" w14:textId="77777777" w:rsidR="002A540D" w:rsidRPr="003A6C35" w:rsidRDefault="002A540D" w:rsidP="003F3275">
          <w:pPr>
            <w:pStyle w:val="Footer"/>
            <w:rPr>
              <w:rFonts w:asciiTheme="minorHAnsi" w:hAnsiTheme="minorHAnsi" w:cstheme="minorHAnsi"/>
              <w:i/>
              <w:szCs w:val="28"/>
            </w:rPr>
          </w:pPr>
          <w:r w:rsidRPr="003A6C35">
            <w:rPr>
              <w:rFonts w:asciiTheme="minorHAnsi" w:hAnsiTheme="minorHAnsi" w:cstheme="minorHAnsi"/>
              <w:i/>
              <w:sz w:val="20"/>
            </w:rPr>
            <w:t xml:space="preserve">Număr de înregistrare în registrul de </w:t>
          </w:r>
          <w:proofErr w:type="spellStart"/>
          <w:r w:rsidRPr="003A6C35">
            <w:rPr>
              <w:rFonts w:asciiTheme="minorHAnsi" w:hAnsiTheme="minorHAnsi" w:cstheme="minorHAnsi"/>
              <w:i/>
              <w:sz w:val="20"/>
            </w:rPr>
            <w:t>evidenţă</w:t>
          </w:r>
          <w:proofErr w:type="spellEnd"/>
          <w:r w:rsidRPr="003A6C35">
            <w:rPr>
              <w:rFonts w:asciiTheme="minorHAnsi" w:hAnsiTheme="minorHAnsi" w:cstheme="minorHAnsi"/>
              <w:i/>
              <w:sz w:val="20"/>
            </w:rPr>
            <w:t xml:space="preserve"> a prelucrărilor de date cu caracter personal </w:t>
          </w:r>
          <w:r w:rsidRPr="003A6C35">
            <w:rPr>
              <w:rFonts w:asciiTheme="minorHAnsi" w:hAnsiTheme="minorHAnsi" w:cstheme="minorHAnsi"/>
              <w:b/>
              <w:i/>
              <w:sz w:val="20"/>
            </w:rPr>
            <w:t>2359</w:t>
          </w:r>
        </w:p>
      </w:tc>
      <w:tc>
        <w:tcPr>
          <w:tcW w:w="1842" w:type="dxa"/>
          <w:vAlign w:val="center"/>
        </w:tcPr>
        <w:p w14:paraId="5FD4A4D2" w14:textId="790CAE5A" w:rsidR="002A540D" w:rsidRPr="003F3275" w:rsidRDefault="00000000" w:rsidP="002A540D">
          <w:pPr>
            <w:pStyle w:val="Footer"/>
            <w:jc w:val="right"/>
            <w:rPr>
              <w:rFonts w:asciiTheme="minorHAnsi" w:hAnsiTheme="minorHAnsi" w:cstheme="minorHAnsi"/>
              <w:noProof/>
            </w:rPr>
          </w:pPr>
          <w:sdt>
            <w:sdtPr>
              <w:rPr>
                <w:rFonts w:asciiTheme="minorHAnsi" w:hAnsiTheme="minorHAnsi" w:cstheme="minorHAnsi"/>
              </w:rPr>
              <w:id w:val="-1769616900"/>
              <w:docPartObj>
                <w:docPartGallery w:val="Page Numbers (Top of Page)"/>
                <w:docPartUnique/>
              </w:docPartObj>
            </w:sdtPr>
            <w:sdtEndPr>
              <w:rPr>
                <w:sz w:val="20"/>
              </w:rPr>
            </w:sdtEndPr>
            <w:sdtContent>
              <w:r w:rsidR="002A540D" w:rsidRPr="003F3275">
                <w:rPr>
                  <w:rFonts w:asciiTheme="minorHAnsi" w:hAnsiTheme="minorHAnsi" w:cstheme="minorHAnsi"/>
                  <w:sz w:val="20"/>
                </w:rPr>
                <w:t xml:space="preserve">Pagina </w:t>
              </w:r>
              <w:r w:rsidR="002A540D" w:rsidRPr="003F3275">
                <w:rPr>
                  <w:rFonts w:asciiTheme="minorHAnsi" w:hAnsiTheme="minorHAnsi" w:cstheme="minorHAnsi"/>
                  <w:b/>
                  <w:bCs/>
                  <w:sz w:val="20"/>
                </w:rPr>
                <w:fldChar w:fldCharType="begin"/>
              </w:r>
              <w:r w:rsidR="002A540D" w:rsidRPr="003F3275">
                <w:rPr>
                  <w:rFonts w:asciiTheme="minorHAnsi" w:hAnsiTheme="minorHAnsi" w:cstheme="minorHAnsi"/>
                  <w:b/>
                  <w:bCs/>
                  <w:sz w:val="20"/>
                </w:rPr>
                <w:instrText xml:space="preserve"> PAGE </w:instrText>
              </w:r>
              <w:r w:rsidR="002A540D" w:rsidRPr="003F3275">
                <w:rPr>
                  <w:rFonts w:asciiTheme="minorHAnsi" w:hAnsiTheme="minorHAnsi" w:cstheme="minorHAnsi"/>
                  <w:b/>
                  <w:bCs/>
                  <w:sz w:val="20"/>
                </w:rPr>
                <w:fldChar w:fldCharType="separate"/>
              </w:r>
              <w:r w:rsidR="00BC4346">
                <w:rPr>
                  <w:rFonts w:asciiTheme="minorHAnsi" w:hAnsiTheme="minorHAnsi" w:cstheme="minorHAnsi"/>
                  <w:b/>
                  <w:bCs/>
                  <w:noProof/>
                  <w:sz w:val="20"/>
                </w:rPr>
                <w:t>2</w:t>
              </w:r>
              <w:r w:rsidR="002A540D" w:rsidRPr="003F3275">
                <w:rPr>
                  <w:rFonts w:asciiTheme="minorHAnsi" w:hAnsiTheme="minorHAnsi" w:cstheme="minorHAnsi"/>
                  <w:b/>
                  <w:bCs/>
                  <w:sz w:val="20"/>
                </w:rPr>
                <w:fldChar w:fldCharType="end"/>
              </w:r>
              <w:r w:rsidR="002A540D" w:rsidRPr="003F3275">
                <w:rPr>
                  <w:rFonts w:asciiTheme="minorHAnsi" w:hAnsiTheme="minorHAnsi" w:cstheme="minorHAnsi"/>
                  <w:sz w:val="20"/>
                </w:rPr>
                <w:t xml:space="preserve"> din </w:t>
              </w:r>
              <w:r w:rsidR="002A540D" w:rsidRPr="003F3275">
                <w:rPr>
                  <w:rFonts w:asciiTheme="minorHAnsi" w:hAnsiTheme="minorHAnsi" w:cstheme="minorHAnsi"/>
                  <w:b/>
                  <w:bCs/>
                  <w:sz w:val="20"/>
                </w:rPr>
                <w:fldChar w:fldCharType="begin"/>
              </w:r>
              <w:r w:rsidR="002A540D" w:rsidRPr="003F3275">
                <w:rPr>
                  <w:rFonts w:asciiTheme="minorHAnsi" w:hAnsiTheme="minorHAnsi" w:cstheme="minorHAnsi"/>
                  <w:b/>
                  <w:bCs/>
                  <w:sz w:val="20"/>
                </w:rPr>
                <w:instrText xml:space="preserve"> NUMPAGES  </w:instrText>
              </w:r>
              <w:r w:rsidR="002A540D" w:rsidRPr="003F3275">
                <w:rPr>
                  <w:rFonts w:asciiTheme="minorHAnsi" w:hAnsiTheme="minorHAnsi" w:cstheme="minorHAnsi"/>
                  <w:b/>
                  <w:bCs/>
                  <w:sz w:val="20"/>
                </w:rPr>
                <w:fldChar w:fldCharType="separate"/>
              </w:r>
              <w:r w:rsidR="00BC4346">
                <w:rPr>
                  <w:rFonts w:asciiTheme="minorHAnsi" w:hAnsiTheme="minorHAnsi" w:cstheme="minorHAnsi"/>
                  <w:b/>
                  <w:bCs/>
                  <w:noProof/>
                  <w:sz w:val="20"/>
                </w:rPr>
                <w:t>2</w:t>
              </w:r>
              <w:r w:rsidR="002A540D" w:rsidRPr="003F3275">
                <w:rPr>
                  <w:rFonts w:asciiTheme="minorHAnsi" w:hAnsiTheme="minorHAnsi" w:cstheme="minorHAnsi"/>
                  <w:b/>
                  <w:bCs/>
                  <w:sz w:val="20"/>
                </w:rPr>
                <w:fldChar w:fldCharType="end"/>
              </w:r>
            </w:sdtContent>
          </w:sdt>
        </w:p>
      </w:tc>
    </w:tr>
  </w:tbl>
  <w:p w14:paraId="2A093BFE" w14:textId="77777777" w:rsidR="002A540D" w:rsidRPr="003F3275" w:rsidRDefault="002A540D">
    <w:pPr>
      <w:pStyle w:val="Footer"/>
      <w:rPr>
        <w:rFonts w:asciiTheme="minorHAnsi" w:hAnsiTheme="minorHAnsi" w:cstheme="minorHAnsi"/>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108B" w14:textId="77777777" w:rsidR="00E21AD8" w:rsidRDefault="00E21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9A412" w14:textId="77777777" w:rsidR="00DD13EA" w:rsidRDefault="00DD13EA" w:rsidP="003C4716">
      <w:r>
        <w:separator/>
      </w:r>
    </w:p>
  </w:footnote>
  <w:footnote w:type="continuationSeparator" w:id="0">
    <w:p w14:paraId="2B27901F" w14:textId="77777777" w:rsidR="00DD13EA" w:rsidRDefault="00DD13EA" w:rsidP="003C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0F1" w14:textId="77777777" w:rsidR="00E21AD8" w:rsidRDefault="00E21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10194"/>
    </w:tblGrid>
    <w:tr w:rsidR="001B619A" w14:paraId="6111B10C" w14:textId="77777777" w:rsidTr="001B619A">
      <w:tc>
        <w:tcPr>
          <w:tcW w:w="10194" w:type="dxa"/>
        </w:tcPr>
        <w:p w14:paraId="76CE3D47" w14:textId="77777777" w:rsidR="001B619A" w:rsidRDefault="001B619A" w:rsidP="00D24B4A">
          <w:pPr>
            <w:pStyle w:val="Header"/>
            <w:spacing w:after="100"/>
          </w:pPr>
          <w:bookmarkStart w:id="1" w:name="_Hlk65584873"/>
          <w:bookmarkStart w:id="2" w:name="_Hlk65584894"/>
          <w:bookmarkStart w:id="3" w:name="_Hlk65584895"/>
          <w:r w:rsidRPr="001B619A">
            <w:rPr>
              <w:noProof/>
              <w:lang w:val="en-US"/>
            </w:rPr>
            <w:drawing>
              <wp:inline distT="0" distB="0" distL="0" distR="0" wp14:anchorId="08937D4E" wp14:editId="1D3ADAE7">
                <wp:extent cx="5895833" cy="999618"/>
                <wp:effectExtent l="0" t="0" r="3810" b="7620"/>
                <wp:docPr id="2"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1"/>
    <w:bookmarkEnd w:id="2"/>
    <w:bookmarkEnd w:id="3"/>
  </w:tbl>
  <w:p w14:paraId="7EC1F4B2" w14:textId="77777777" w:rsidR="00CB6137" w:rsidRPr="001B619A" w:rsidRDefault="00CB6137" w:rsidP="001B619A">
    <w:pPr>
      <w:pStyle w:val="Header"/>
      <w:rPr>
        <w:rFonts w:asciiTheme="minorHAnsi" w:hAnsiTheme="minorHAnsi" w:cstheme="minorHAnsi"/>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5076" w14:textId="77777777" w:rsidR="00E21AD8" w:rsidRDefault="00E21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028"/>
    <w:multiLevelType w:val="hybridMultilevel"/>
    <w:tmpl w:val="1F765700"/>
    <w:lvl w:ilvl="0" w:tplc="80247976">
      <w:start w:val="1"/>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1BE97915"/>
    <w:multiLevelType w:val="hybridMultilevel"/>
    <w:tmpl w:val="58121730"/>
    <w:lvl w:ilvl="0" w:tplc="0ADAB4D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CDF21AE"/>
    <w:multiLevelType w:val="hybridMultilevel"/>
    <w:tmpl w:val="4A3AE8E8"/>
    <w:lvl w:ilvl="0" w:tplc="C13CA872">
      <w:start w:val="2"/>
      <w:numFmt w:val="upperRoman"/>
      <w:lvlText w:val="%1."/>
      <w:lvlJc w:val="left"/>
      <w:pPr>
        <w:ind w:left="1287" w:hanging="72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FE60103"/>
    <w:multiLevelType w:val="hybridMultilevel"/>
    <w:tmpl w:val="A002147A"/>
    <w:lvl w:ilvl="0" w:tplc="741A9938">
      <w:start w:val="1"/>
      <w:numFmt w:val="upperRoman"/>
      <w:lvlText w:val="%1."/>
      <w:lvlJc w:val="left"/>
      <w:pPr>
        <w:ind w:left="1425" w:hanging="72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608B0DD0"/>
    <w:multiLevelType w:val="hybridMultilevel"/>
    <w:tmpl w:val="7D92BAD8"/>
    <w:lvl w:ilvl="0" w:tplc="9574071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6EAB61BD"/>
    <w:multiLevelType w:val="hybridMultilevel"/>
    <w:tmpl w:val="5E625D7C"/>
    <w:lvl w:ilvl="0" w:tplc="9C585F8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895116003">
    <w:abstractNumId w:val="1"/>
  </w:num>
  <w:num w:numId="2" w16cid:durableId="1050610349">
    <w:abstractNumId w:val="5"/>
  </w:num>
  <w:num w:numId="3" w16cid:durableId="1973750073">
    <w:abstractNumId w:val="4"/>
  </w:num>
  <w:num w:numId="4" w16cid:durableId="887423725">
    <w:abstractNumId w:val="2"/>
  </w:num>
  <w:num w:numId="5" w16cid:durableId="451173533">
    <w:abstractNumId w:val="0"/>
  </w:num>
  <w:num w:numId="6" w16cid:durableId="400906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3E6C"/>
    <w:rsid w:val="000062D9"/>
    <w:rsid w:val="0000753C"/>
    <w:rsid w:val="00020211"/>
    <w:rsid w:val="00023BA0"/>
    <w:rsid w:val="000308D9"/>
    <w:rsid w:val="00032066"/>
    <w:rsid w:val="00032A77"/>
    <w:rsid w:val="00033470"/>
    <w:rsid w:val="0004116C"/>
    <w:rsid w:val="00054418"/>
    <w:rsid w:val="000545A8"/>
    <w:rsid w:val="000546FB"/>
    <w:rsid w:val="00056C92"/>
    <w:rsid w:val="00057545"/>
    <w:rsid w:val="00064BC8"/>
    <w:rsid w:val="00071E0F"/>
    <w:rsid w:val="000760CA"/>
    <w:rsid w:val="00077603"/>
    <w:rsid w:val="00081893"/>
    <w:rsid w:val="0008551E"/>
    <w:rsid w:val="000A052D"/>
    <w:rsid w:val="000A149C"/>
    <w:rsid w:val="000A1835"/>
    <w:rsid w:val="000A5385"/>
    <w:rsid w:val="000B32B2"/>
    <w:rsid w:val="000C04BB"/>
    <w:rsid w:val="000C070E"/>
    <w:rsid w:val="000C23C6"/>
    <w:rsid w:val="000C303C"/>
    <w:rsid w:val="000C44D6"/>
    <w:rsid w:val="000C5EE1"/>
    <w:rsid w:val="000C697E"/>
    <w:rsid w:val="000D582C"/>
    <w:rsid w:val="000D6E8A"/>
    <w:rsid w:val="000D753D"/>
    <w:rsid w:val="000E4CFF"/>
    <w:rsid w:val="000E63DD"/>
    <w:rsid w:val="000E7125"/>
    <w:rsid w:val="000F4E56"/>
    <w:rsid w:val="00101313"/>
    <w:rsid w:val="0010249F"/>
    <w:rsid w:val="00111BCB"/>
    <w:rsid w:val="00112549"/>
    <w:rsid w:val="00113059"/>
    <w:rsid w:val="00113CD0"/>
    <w:rsid w:val="00130460"/>
    <w:rsid w:val="001344D2"/>
    <w:rsid w:val="00142131"/>
    <w:rsid w:val="00143D60"/>
    <w:rsid w:val="001457B7"/>
    <w:rsid w:val="0014726E"/>
    <w:rsid w:val="0016026A"/>
    <w:rsid w:val="001651DC"/>
    <w:rsid w:val="00166E7B"/>
    <w:rsid w:val="001677FC"/>
    <w:rsid w:val="00171A28"/>
    <w:rsid w:val="001747FE"/>
    <w:rsid w:val="001752B7"/>
    <w:rsid w:val="001921E2"/>
    <w:rsid w:val="00193FF8"/>
    <w:rsid w:val="00194EC3"/>
    <w:rsid w:val="001A6263"/>
    <w:rsid w:val="001B354F"/>
    <w:rsid w:val="001B4527"/>
    <w:rsid w:val="001B619A"/>
    <w:rsid w:val="001B6217"/>
    <w:rsid w:val="001D1BC0"/>
    <w:rsid w:val="001E2DCA"/>
    <w:rsid w:val="001E42F6"/>
    <w:rsid w:val="001E6A95"/>
    <w:rsid w:val="001F04B3"/>
    <w:rsid w:val="001F593F"/>
    <w:rsid w:val="001F7C45"/>
    <w:rsid w:val="00200F1B"/>
    <w:rsid w:val="00201FEA"/>
    <w:rsid w:val="0020217D"/>
    <w:rsid w:val="002205BA"/>
    <w:rsid w:val="00220C49"/>
    <w:rsid w:val="00223EDF"/>
    <w:rsid w:val="002320D7"/>
    <w:rsid w:val="00233BCB"/>
    <w:rsid w:val="00233F76"/>
    <w:rsid w:val="00233FBD"/>
    <w:rsid w:val="00237524"/>
    <w:rsid w:val="002456E2"/>
    <w:rsid w:val="002468B7"/>
    <w:rsid w:val="00247466"/>
    <w:rsid w:val="00250426"/>
    <w:rsid w:val="00250566"/>
    <w:rsid w:val="00254971"/>
    <w:rsid w:val="00255555"/>
    <w:rsid w:val="00260A28"/>
    <w:rsid w:val="00262F8E"/>
    <w:rsid w:val="0026488E"/>
    <w:rsid w:val="002724DC"/>
    <w:rsid w:val="00273BB5"/>
    <w:rsid w:val="00275BD0"/>
    <w:rsid w:val="00275CBB"/>
    <w:rsid w:val="00275E16"/>
    <w:rsid w:val="00280851"/>
    <w:rsid w:val="00282109"/>
    <w:rsid w:val="0028319C"/>
    <w:rsid w:val="00286027"/>
    <w:rsid w:val="00286957"/>
    <w:rsid w:val="00291D94"/>
    <w:rsid w:val="002972E1"/>
    <w:rsid w:val="002A02B6"/>
    <w:rsid w:val="002A540D"/>
    <w:rsid w:val="002A5A82"/>
    <w:rsid w:val="002A72AB"/>
    <w:rsid w:val="002B0B6F"/>
    <w:rsid w:val="002C0B6C"/>
    <w:rsid w:val="002D0717"/>
    <w:rsid w:val="002D7CBA"/>
    <w:rsid w:val="002F5781"/>
    <w:rsid w:val="0030223E"/>
    <w:rsid w:val="00303777"/>
    <w:rsid w:val="003045F8"/>
    <w:rsid w:val="00304C36"/>
    <w:rsid w:val="003060DA"/>
    <w:rsid w:val="00307AE6"/>
    <w:rsid w:val="003100C3"/>
    <w:rsid w:val="003127AD"/>
    <w:rsid w:val="00312F8B"/>
    <w:rsid w:val="0031377A"/>
    <w:rsid w:val="00313C5F"/>
    <w:rsid w:val="00316EB6"/>
    <w:rsid w:val="00317412"/>
    <w:rsid w:val="00320792"/>
    <w:rsid w:val="00324A62"/>
    <w:rsid w:val="003302EB"/>
    <w:rsid w:val="0035724F"/>
    <w:rsid w:val="003629A3"/>
    <w:rsid w:val="00365596"/>
    <w:rsid w:val="00365D2B"/>
    <w:rsid w:val="00371A70"/>
    <w:rsid w:val="00372BFA"/>
    <w:rsid w:val="0037567A"/>
    <w:rsid w:val="003769E4"/>
    <w:rsid w:val="003A5545"/>
    <w:rsid w:val="003A597A"/>
    <w:rsid w:val="003A6C35"/>
    <w:rsid w:val="003B25FC"/>
    <w:rsid w:val="003B654A"/>
    <w:rsid w:val="003C4716"/>
    <w:rsid w:val="003C4A7D"/>
    <w:rsid w:val="003D5474"/>
    <w:rsid w:val="003D68F1"/>
    <w:rsid w:val="003D74BD"/>
    <w:rsid w:val="003E285C"/>
    <w:rsid w:val="003E7F57"/>
    <w:rsid w:val="003F3275"/>
    <w:rsid w:val="003F3A8E"/>
    <w:rsid w:val="004043F8"/>
    <w:rsid w:val="00407A96"/>
    <w:rsid w:val="00415583"/>
    <w:rsid w:val="0041576D"/>
    <w:rsid w:val="00423BAD"/>
    <w:rsid w:val="0042650B"/>
    <w:rsid w:val="0043133E"/>
    <w:rsid w:val="00435FC5"/>
    <w:rsid w:val="00441274"/>
    <w:rsid w:val="00442043"/>
    <w:rsid w:val="00451A05"/>
    <w:rsid w:val="00452536"/>
    <w:rsid w:val="00452653"/>
    <w:rsid w:val="00454284"/>
    <w:rsid w:val="004651AB"/>
    <w:rsid w:val="00466597"/>
    <w:rsid w:val="004711F0"/>
    <w:rsid w:val="00473718"/>
    <w:rsid w:val="004759CE"/>
    <w:rsid w:val="0048455E"/>
    <w:rsid w:val="00491FAD"/>
    <w:rsid w:val="00496A9D"/>
    <w:rsid w:val="004A22CB"/>
    <w:rsid w:val="004B55DE"/>
    <w:rsid w:val="004B6B8D"/>
    <w:rsid w:val="004B7553"/>
    <w:rsid w:val="004C6B22"/>
    <w:rsid w:val="004C6ECB"/>
    <w:rsid w:val="004C70BC"/>
    <w:rsid w:val="004D42B8"/>
    <w:rsid w:val="004E251B"/>
    <w:rsid w:val="004E629F"/>
    <w:rsid w:val="004E7EB5"/>
    <w:rsid w:val="00507E6B"/>
    <w:rsid w:val="00510516"/>
    <w:rsid w:val="00513479"/>
    <w:rsid w:val="0051721B"/>
    <w:rsid w:val="00530F88"/>
    <w:rsid w:val="005319F6"/>
    <w:rsid w:val="00531B03"/>
    <w:rsid w:val="00533FE5"/>
    <w:rsid w:val="00535DE5"/>
    <w:rsid w:val="00537867"/>
    <w:rsid w:val="00541506"/>
    <w:rsid w:val="005435A6"/>
    <w:rsid w:val="005477F0"/>
    <w:rsid w:val="0055023B"/>
    <w:rsid w:val="00550673"/>
    <w:rsid w:val="005562E3"/>
    <w:rsid w:val="00567192"/>
    <w:rsid w:val="0056729B"/>
    <w:rsid w:val="00571DDF"/>
    <w:rsid w:val="00571F10"/>
    <w:rsid w:val="005814B4"/>
    <w:rsid w:val="00582940"/>
    <w:rsid w:val="00585D96"/>
    <w:rsid w:val="00587826"/>
    <w:rsid w:val="005929CE"/>
    <w:rsid w:val="0059353A"/>
    <w:rsid w:val="00594FD9"/>
    <w:rsid w:val="005975CF"/>
    <w:rsid w:val="005A181D"/>
    <w:rsid w:val="005A6478"/>
    <w:rsid w:val="005B109C"/>
    <w:rsid w:val="005B281F"/>
    <w:rsid w:val="005B4309"/>
    <w:rsid w:val="005B5014"/>
    <w:rsid w:val="005B697D"/>
    <w:rsid w:val="005C12CD"/>
    <w:rsid w:val="005C6383"/>
    <w:rsid w:val="005D00B9"/>
    <w:rsid w:val="005D3983"/>
    <w:rsid w:val="005D4929"/>
    <w:rsid w:val="005E39F8"/>
    <w:rsid w:val="005E4553"/>
    <w:rsid w:val="005E4DE8"/>
    <w:rsid w:val="005F4AF1"/>
    <w:rsid w:val="005F7D43"/>
    <w:rsid w:val="005F7D54"/>
    <w:rsid w:val="00601AC8"/>
    <w:rsid w:val="00603467"/>
    <w:rsid w:val="0060735D"/>
    <w:rsid w:val="00612BB6"/>
    <w:rsid w:val="00614E9E"/>
    <w:rsid w:val="00620522"/>
    <w:rsid w:val="00624E0B"/>
    <w:rsid w:val="006266D5"/>
    <w:rsid w:val="00627C3D"/>
    <w:rsid w:val="00631C19"/>
    <w:rsid w:val="00636ABC"/>
    <w:rsid w:val="00636E1E"/>
    <w:rsid w:val="00643CAA"/>
    <w:rsid w:val="006454ED"/>
    <w:rsid w:val="00651575"/>
    <w:rsid w:val="00655067"/>
    <w:rsid w:val="00664FF6"/>
    <w:rsid w:val="00667403"/>
    <w:rsid w:val="00672B8E"/>
    <w:rsid w:val="00672D98"/>
    <w:rsid w:val="00675CD5"/>
    <w:rsid w:val="00683F85"/>
    <w:rsid w:val="006853AF"/>
    <w:rsid w:val="00687E8D"/>
    <w:rsid w:val="00691453"/>
    <w:rsid w:val="0069211C"/>
    <w:rsid w:val="00692367"/>
    <w:rsid w:val="0069707C"/>
    <w:rsid w:val="006A04D3"/>
    <w:rsid w:val="006A0E3F"/>
    <w:rsid w:val="006A193E"/>
    <w:rsid w:val="006A1992"/>
    <w:rsid w:val="006A73E0"/>
    <w:rsid w:val="006B5895"/>
    <w:rsid w:val="006B674A"/>
    <w:rsid w:val="006B6FEC"/>
    <w:rsid w:val="006C1F28"/>
    <w:rsid w:val="006C33C0"/>
    <w:rsid w:val="006C49C4"/>
    <w:rsid w:val="006D1CBC"/>
    <w:rsid w:val="006D2D67"/>
    <w:rsid w:val="006D5547"/>
    <w:rsid w:val="006E74EC"/>
    <w:rsid w:val="006F17BC"/>
    <w:rsid w:val="00703085"/>
    <w:rsid w:val="00712C0F"/>
    <w:rsid w:val="007329E7"/>
    <w:rsid w:val="00737450"/>
    <w:rsid w:val="007423C8"/>
    <w:rsid w:val="0074242F"/>
    <w:rsid w:val="0074343A"/>
    <w:rsid w:val="00747B80"/>
    <w:rsid w:val="007600B8"/>
    <w:rsid w:val="00764F69"/>
    <w:rsid w:val="007706D0"/>
    <w:rsid w:val="007713DE"/>
    <w:rsid w:val="0077280F"/>
    <w:rsid w:val="0077338A"/>
    <w:rsid w:val="00783A85"/>
    <w:rsid w:val="0078463E"/>
    <w:rsid w:val="00785F02"/>
    <w:rsid w:val="00786B2C"/>
    <w:rsid w:val="00792FD5"/>
    <w:rsid w:val="007A530C"/>
    <w:rsid w:val="007A6671"/>
    <w:rsid w:val="007A7478"/>
    <w:rsid w:val="007B053D"/>
    <w:rsid w:val="007B0FB1"/>
    <w:rsid w:val="007B12DF"/>
    <w:rsid w:val="007C456E"/>
    <w:rsid w:val="007C5047"/>
    <w:rsid w:val="007D0A52"/>
    <w:rsid w:val="007D4663"/>
    <w:rsid w:val="007D4909"/>
    <w:rsid w:val="007E0591"/>
    <w:rsid w:val="007E2DC6"/>
    <w:rsid w:val="007E6851"/>
    <w:rsid w:val="007F0430"/>
    <w:rsid w:val="007F56A3"/>
    <w:rsid w:val="007F697B"/>
    <w:rsid w:val="0080231C"/>
    <w:rsid w:val="00804D4A"/>
    <w:rsid w:val="00812C17"/>
    <w:rsid w:val="0081585F"/>
    <w:rsid w:val="008246DE"/>
    <w:rsid w:val="00825E4C"/>
    <w:rsid w:val="008262C9"/>
    <w:rsid w:val="00826BC7"/>
    <w:rsid w:val="00834B69"/>
    <w:rsid w:val="00834FAE"/>
    <w:rsid w:val="00845E40"/>
    <w:rsid w:val="00855A65"/>
    <w:rsid w:val="008564CC"/>
    <w:rsid w:val="00857D69"/>
    <w:rsid w:val="008650C9"/>
    <w:rsid w:val="00867394"/>
    <w:rsid w:val="00871093"/>
    <w:rsid w:val="00872E3C"/>
    <w:rsid w:val="00887080"/>
    <w:rsid w:val="008915C3"/>
    <w:rsid w:val="00893368"/>
    <w:rsid w:val="00894B81"/>
    <w:rsid w:val="00895BB2"/>
    <w:rsid w:val="008A0ABE"/>
    <w:rsid w:val="008B06BB"/>
    <w:rsid w:val="008B3095"/>
    <w:rsid w:val="008B3EC4"/>
    <w:rsid w:val="008C31D2"/>
    <w:rsid w:val="008C4ECE"/>
    <w:rsid w:val="008C5BBD"/>
    <w:rsid w:val="008C6853"/>
    <w:rsid w:val="008D3119"/>
    <w:rsid w:val="008D3B06"/>
    <w:rsid w:val="008D414F"/>
    <w:rsid w:val="008D5F14"/>
    <w:rsid w:val="008D6022"/>
    <w:rsid w:val="008E2E4E"/>
    <w:rsid w:val="008E3A16"/>
    <w:rsid w:val="008E3BD0"/>
    <w:rsid w:val="008E3CBF"/>
    <w:rsid w:val="008E617B"/>
    <w:rsid w:val="008F2651"/>
    <w:rsid w:val="008F4A8C"/>
    <w:rsid w:val="008F5ADE"/>
    <w:rsid w:val="008F73E0"/>
    <w:rsid w:val="00900FD3"/>
    <w:rsid w:val="00904B67"/>
    <w:rsid w:val="009061F1"/>
    <w:rsid w:val="00907D86"/>
    <w:rsid w:val="009227C6"/>
    <w:rsid w:val="00922E6D"/>
    <w:rsid w:val="00926951"/>
    <w:rsid w:val="009343D5"/>
    <w:rsid w:val="00935E75"/>
    <w:rsid w:val="00936011"/>
    <w:rsid w:val="0094108C"/>
    <w:rsid w:val="00954482"/>
    <w:rsid w:val="00955613"/>
    <w:rsid w:val="009572B9"/>
    <w:rsid w:val="0096012D"/>
    <w:rsid w:val="0097092A"/>
    <w:rsid w:val="00970C6A"/>
    <w:rsid w:val="00971A52"/>
    <w:rsid w:val="00976C5F"/>
    <w:rsid w:val="00980CBF"/>
    <w:rsid w:val="0098182B"/>
    <w:rsid w:val="00985884"/>
    <w:rsid w:val="009917E4"/>
    <w:rsid w:val="0099247E"/>
    <w:rsid w:val="009938B3"/>
    <w:rsid w:val="00994350"/>
    <w:rsid w:val="00994EC1"/>
    <w:rsid w:val="0099651A"/>
    <w:rsid w:val="009A3EF7"/>
    <w:rsid w:val="009A6B68"/>
    <w:rsid w:val="009B74DE"/>
    <w:rsid w:val="009C07B0"/>
    <w:rsid w:val="009C0AB0"/>
    <w:rsid w:val="009C0C56"/>
    <w:rsid w:val="009C122E"/>
    <w:rsid w:val="009C2D40"/>
    <w:rsid w:val="009C4D9B"/>
    <w:rsid w:val="009D1715"/>
    <w:rsid w:val="009D1975"/>
    <w:rsid w:val="009D25E8"/>
    <w:rsid w:val="009D63B5"/>
    <w:rsid w:val="009E5421"/>
    <w:rsid w:val="009F27C1"/>
    <w:rsid w:val="009F2878"/>
    <w:rsid w:val="009F47EC"/>
    <w:rsid w:val="009F74E8"/>
    <w:rsid w:val="00A01DDD"/>
    <w:rsid w:val="00A10030"/>
    <w:rsid w:val="00A14C32"/>
    <w:rsid w:val="00A14C6F"/>
    <w:rsid w:val="00A35DC3"/>
    <w:rsid w:val="00A35DC7"/>
    <w:rsid w:val="00A37DCE"/>
    <w:rsid w:val="00A45299"/>
    <w:rsid w:val="00A52163"/>
    <w:rsid w:val="00A545FA"/>
    <w:rsid w:val="00A5471D"/>
    <w:rsid w:val="00A551D3"/>
    <w:rsid w:val="00A55B83"/>
    <w:rsid w:val="00A61D71"/>
    <w:rsid w:val="00A64FDD"/>
    <w:rsid w:val="00A650FB"/>
    <w:rsid w:val="00A65D9D"/>
    <w:rsid w:val="00A8022B"/>
    <w:rsid w:val="00A92E72"/>
    <w:rsid w:val="00A95F18"/>
    <w:rsid w:val="00AA0FFF"/>
    <w:rsid w:val="00AA223F"/>
    <w:rsid w:val="00AA6AF2"/>
    <w:rsid w:val="00AB2386"/>
    <w:rsid w:val="00AB5057"/>
    <w:rsid w:val="00AC5A67"/>
    <w:rsid w:val="00AC61A8"/>
    <w:rsid w:val="00AC7E48"/>
    <w:rsid w:val="00AD3144"/>
    <w:rsid w:val="00AF0B79"/>
    <w:rsid w:val="00AF7470"/>
    <w:rsid w:val="00B01FD2"/>
    <w:rsid w:val="00B15A31"/>
    <w:rsid w:val="00B2289A"/>
    <w:rsid w:val="00B23003"/>
    <w:rsid w:val="00B2767D"/>
    <w:rsid w:val="00B31068"/>
    <w:rsid w:val="00B37C0F"/>
    <w:rsid w:val="00B4579A"/>
    <w:rsid w:val="00B64BAE"/>
    <w:rsid w:val="00B67847"/>
    <w:rsid w:val="00B73732"/>
    <w:rsid w:val="00B73883"/>
    <w:rsid w:val="00B756FC"/>
    <w:rsid w:val="00B77F45"/>
    <w:rsid w:val="00B84DCA"/>
    <w:rsid w:val="00B85F29"/>
    <w:rsid w:val="00B914C9"/>
    <w:rsid w:val="00B93790"/>
    <w:rsid w:val="00B958AE"/>
    <w:rsid w:val="00B97B9B"/>
    <w:rsid w:val="00BA3D6C"/>
    <w:rsid w:val="00BA5449"/>
    <w:rsid w:val="00BB23EC"/>
    <w:rsid w:val="00BB4EED"/>
    <w:rsid w:val="00BB688E"/>
    <w:rsid w:val="00BC03A7"/>
    <w:rsid w:val="00BC2D64"/>
    <w:rsid w:val="00BC3061"/>
    <w:rsid w:val="00BC4346"/>
    <w:rsid w:val="00BC6BD0"/>
    <w:rsid w:val="00BD10A8"/>
    <w:rsid w:val="00BD2F74"/>
    <w:rsid w:val="00BD4553"/>
    <w:rsid w:val="00BD555E"/>
    <w:rsid w:val="00BE125C"/>
    <w:rsid w:val="00BE3130"/>
    <w:rsid w:val="00BE3D56"/>
    <w:rsid w:val="00BF13BB"/>
    <w:rsid w:val="00BF3DAE"/>
    <w:rsid w:val="00BF4EA8"/>
    <w:rsid w:val="00BF5232"/>
    <w:rsid w:val="00BF52FE"/>
    <w:rsid w:val="00BF5522"/>
    <w:rsid w:val="00C001A3"/>
    <w:rsid w:val="00C0719B"/>
    <w:rsid w:val="00C148F5"/>
    <w:rsid w:val="00C17F96"/>
    <w:rsid w:val="00C20432"/>
    <w:rsid w:val="00C23527"/>
    <w:rsid w:val="00C250F1"/>
    <w:rsid w:val="00C3644E"/>
    <w:rsid w:val="00C36A8A"/>
    <w:rsid w:val="00C36C27"/>
    <w:rsid w:val="00C40F95"/>
    <w:rsid w:val="00C54F09"/>
    <w:rsid w:val="00C557C9"/>
    <w:rsid w:val="00C565B1"/>
    <w:rsid w:val="00C56881"/>
    <w:rsid w:val="00C60014"/>
    <w:rsid w:val="00C638A4"/>
    <w:rsid w:val="00C669EA"/>
    <w:rsid w:val="00C675FF"/>
    <w:rsid w:val="00C73CB7"/>
    <w:rsid w:val="00C754BA"/>
    <w:rsid w:val="00C764F8"/>
    <w:rsid w:val="00C81FBA"/>
    <w:rsid w:val="00C874DE"/>
    <w:rsid w:val="00C9021E"/>
    <w:rsid w:val="00C91ACF"/>
    <w:rsid w:val="00C9306B"/>
    <w:rsid w:val="00C95591"/>
    <w:rsid w:val="00C95878"/>
    <w:rsid w:val="00C9781E"/>
    <w:rsid w:val="00C97C6E"/>
    <w:rsid w:val="00CA4454"/>
    <w:rsid w:val="00CB08F7"/>
    <w:rsid w:val="00CB314C"/>
    <w:rsid w:val="00CB6137"/>
    <w:rsid w:val="00CC2008"/>
    <w:rsid w:val="00CC35EB"/>
    <w:rsid w:val="00CC7A3D"/>
    <w:rsid w:val="00CD4D95"/>
    <w:rsid w:val="00CE344F"/>
    <w:rsid w:val="00CE61B7"/>
    <w:rsid w:val="00CE6F52"/>
    <w:rsid w:val="00CF301D"/>
    <w:rsid w:val="00D0143B"/>
    <w:rsid w:val="00D025E2"/>
    <w:rsid w:val="00D02947"/>
    <w:rsid w:val="00D042B1"/>
    <w:rsid w:val="00D063EF"/>
    <w:rsid w:val="00D130B9"/>
    <w:rsid w:val="00D13D42"/>
    <w:rsid w:val="00D2203B"/>
    <w:rsid w:val="00D24B4A"/>
    <w:rsid w:val="00D3017B"/>
    <w:rsid w:val="00D302C3"/>
    <w:rsid w:val="00D303AF"/>
    <w:rsid w:val="00D40185"/>
    <w:rsid w:val="00D459F6"/>
    <w:rsid w:val="00D46386"/>
    <w:rsid w:val="00D50305"/>
    <w:rsid w:val="00D516DD"/>
    <w:rsid w:val="00D564BE"/>
    <w:rsid w:val="00D61ECB"/>
    <w:rsid w:val="00D620D6"/>
    <w:rsid w:val="00D6270A"/>
    <w:rsid w:val="00D62767"/>
    <w:rsid w:val="00D7009A"/>
    <w:rsid w:val="00D73164"/>
    <w:rsid w:val="00D913E5"/>
    <w:rsid w:val="00D91D48"/>
    <w:rsid w:val="00D9232F"/>
    <w:rsid w:val="00DA27F6"/>
    <w:rsid w:val="00DA2843"/>
    <w:rsid w:val="00DA2FE9"/>
    <w:rsid w:val="00DA5CE9"/>
    <w:rsid w:val="00DB07D0"/>
    <w:rsid w:val="00DB0B4B"/>
    <w:rsid w:val="00DB139F"/>
    <w:rsid w:val="00DB20F7"/>
    <w:rsid w:val="00DB2B81"/>
    <w:rsid w:val="00DB3BFE"/>
    <w:rsid w:val="00DB449B"/>
    <w:rsid w:val="00DB4AD5"/>
    <w:rsid w:val="00DB7DCA"/>
    <w:rsid w:val="00DC3107"/>
    <w:rsid w:val="00DD13EA"/>
    <w:rsid w:val="00DE2039"/>
    <w:rsid w:val="00DE4612"/>
    <w:rsid w:val="00DE4FAD"/>
    <w:rsid w:val="00DF4C01"/>
    <w:rsid w:val="00DF76EC"/>
    <w:rsid w:val="00E0132E"/>
    <w:rsid w:val="00E10E8D"/>
    <w:rsid w:val="00E140F0"/>
    <w:rsid w:val="00E14168"/>
    <w:rsid w:val="00E169E8"/>
    <w:rsid w:val="00E211A8"/>
    <w:rsid w:val="00E21AD8"/>
    <w:rsid w:val="00E22589"/>
    <w:rsid w:val="00E23701"/>
    <w:rsid w:val="00E239EA"/>
    <w:rsid w:val="00E3268F"/>
    <w:rsid w:val="00E335DE"/>
    <w:rsid w:val="00E35E3A"/>
    <w:rsid w:val="00E36F0B"/>
    <w:rsid w:val="00E40903"/>
    <w:rsid w:val="00E41239"/>
    <w:rsid w:val="00E42016"/>
    <w:rsid w:val="00E524CB"/>
    <w:rsid w:val="00E562F7"/>
    <w:rsid w:val="00E61B5B"/>
    <w:rsid w:val="00E62EEC"/>
    <w:rsid w:val="00E65470"/>
    <w:rsid w:val="00E65543"/>
    <w:rsid w:val="00E65DE4"/>
    <w:rsid w:val="00E67325"/>
    <w:rsid w:val="00E675DB"/>
    <w:rsid w:val="00E72A27"/>
    <w:rsid w:val="00E73735"/>
    <w:rsid w:val="00E86F7F"/>
    <w:rsid w:val="00E907C8"/>
    <w:rsid w:val="00E94AF5"/>
    <w:rsid w:val="00E94BAC"/>
    <w:rsid w:val="00E95D2D"/>
    <w:rsid w:val="00EA5D67"/>
    <w:rsid w:val="00EB2138"/>
    <w:rsid w:val="00EB3EAD"/>
    <w:rsid w:val="00EC1EB5"/>
    <w:rsid w:val="00ED1269"/>
    <w:rsid w:val="00ED7C3A"/>
    <w:rsid w:val="00EE0A1C"/>
    <w:rsid w:val="00EE3A6A"/>
    <w:rsid w:val="00EE3DB7"/>
    <w:rsid w:val="00EE6342"/>
    <w:rsid w:val="00EE6B28"/>
    <w:rsid w:val="00EF33AA"/>
    <w:rsid w:val="00EF37CF"/>
    <w:rsid w:val="00F01939"/>
    <w:rsid w:val="00F042ED"/>
    <w:rsid w:val="00F04930"/>
    <w:rsid w:val="00F05D0C"/>
    <w:rsid w:val="00F1400A"/>
    <w:rsid w:val="00F41463"/>
    <w:rsid w:val="00F439AE"/>
    <w:rsid w:val="00F451D5"/>
    <w:rsid w:val="00F454BD"/>
    <w:rsid w:val="00F4587F"/>
    <w:rsid w:val="00F503AC"/>
    <w:rsid w:val="00F537E2"/>
    <w:rsid w:val="00F54711"/>
    <w:rsid w:val="00F57F6A"/>
    <w:rsid w:val="00F60863"/>
    <w:rsid w:val="00F62CF0"/>
    <w:rsid w:val="00F652E7"/>
    <w:rsid w:val="00F71182"/>
    <w:rsid w:val="00F71667"/>
    <w:rsid w:val="00F72DE9"/>
    <w:rsid w:val="00F76A32"/>
    <w:rsid w:val="00F77690"/>
    <w:rsid w:val="00F809BF"/>
    <w:rsid w:val="00F82DA7"/>
    <w:rsid w:val="00F835E6"/>
    <w:rsid w:val="00F95C90"/>
    <w:rsid w:val="00FA4654"/>
    <w:rsid w:val="00FB01CD"/>
    <w:rsid w:val="00FB065C"/>
    <w:rsid w:val="00FB1FBF"/>
    <w:rsid w:val="00FC4AB9"/>
    <w:rsid w:val="00FC5CDC"/>
    <w:rsid w:val="00FC6A06"/>
    <w:rsid w:val="00FD324C"/>
    <w:rsid w:val="00FD361D"/>
    <w:rsid w:val="00FE021B"/>
    <w:rsid w:val="00FE3391"/>
    <w:rsid w:val="00FF458E"/>
    <w:rsid w:val="00FF618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41822"/>
  <w15:chartTrackingRefBased/>
  <w15:docId w15:val="{5779651E-CBC1-4809-BB83-947666B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FD9"/>
    <w:pPr>
      <w:spacing w:after="0" w:line="240" w:lineRule="auto"/>
    </w:pPr>
    <w:rPr>
      <w:rFonts w:ascii="Arial" w:eastAsia="Times New Roman" w:hAnsi="Arial"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paragraph" w:styleId="NoSpacing">
    <w:name w:val="No Spacing"/>
    <w:uiPriority w:val="1"/>
    <w:qFormat/>
    <w:rsid w:val="004E7EB5"/>
    <w:pPr>
      <w:spacing w:after="0" w:line="240" w:lineRule="auto"/>
    </w:pPr>
    <w:rPr>
      <w:lang w:val="en-US"/>
    </w:rPr>
  </w:style>
  <w:style w:type="paragraph" w:customStyle="1" w:styleId="Body">
    <w:name w:val="Body"/>
    <w:rsid w:val="00D913E5"/>
    <w:pPr>
      <w:pBdr>
        <w:top w:val="nil"/>
        <w:left w:val="nil"/>
        <w:bottom w:val="nil"/>
        <w:right w:val="nil"/>
        <w:between w:val="nil"/>
        <w:bar w:val="nil"/>
      </w:pBdr>
      <w:spacing w:after="0" w:line="240" w:lineRule="auto"/>
    </w:pPr>
    <w:rPr>
      <w:rFonts w:ascii="Arial" w:eastAsia="Arial Unicode MS" w:hAnsi="Arial" w:cs="Arial Unicode MS"/>
      <w:color w:val="000000"/>
      <w:sz w:val="28"/>
      <w:szCs w:val="28"/>
      <w:u w:color="000000"/>
      <w:bdr w:val="nil"/>
      <w:lang w:val="en-US"/>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B01FD2"/>
    <w:rPr>
      <w:sz w:val="20"/>
    </w:rPr>
  </w:style>
  <w:style w:type="character" w:customStyle="1" w:styleId="FootnoteTextChar">
    <w:name w:val="Footnote Text Char"/>
    <w:basedOn w:val="DefaultParagraphFont"/>
    <w:link w:val="FootnoteText"/>
    <w:uiPriority w:val="99"/>
    <w:semiHidden/>
    <w:rsid w:val="00B01FD2"/>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01FD2"/>
    <w:rPr>
      <w:vertAlign w:val="superscript"/>
    </w:rPr>
  </w:style>
  <w:style w:type="character" w:customStyle="1" w:styleId="rvts8">
    <w:name w:val="rvts8"/>
    <w:basedOn w:val="DefaultParagraphFont"/>
    <w:rsid w:val="008A0ABE"/>
  </w:style>
  <w:style w:type="character" w:customStyle="1" w:styleId="rvts1">
    <w:name w:val="rvts1"/>
    <w:basedOn w:val="DefaultParagraphFont"/>
    <w:rsid w:val="00442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5296">
      <w:bodyDiv w:val="1"/>
      <w:marLeft w:val="0"/>
      <w:marRight w:val="0"/>
      <w:marTop w:val="0"/>
      <w:marBottom w:val="0"/>
      <w:divBdr>
        <w:top w:val="none" w:sz="0" w:space="0" w:color="auto"/>
        <w:left w:val="none" w:sz="0" w:space="0" w:color="auto"/>
        <w:bottom w:val="none" w:sz="0" w:space="0" w:color="auto"/>
        <w:right w:val="none" w:sz="0" w:space="0" w:color="auto"/>
      </w:divBdr>
      <w:divsChild>
        <w:div w:id="1260211509">
          <w:marLeft w:val="0"/>
          <w:marRight w:val="0"/>
          <w:marTop w:val="0"/>
          <w:marBottom w:val="0"/>
          <w:divBdr>
            <w:top w:val="single" w:sz="6" w:space="0" w:color="000000"/>
            <w:left w:val="single" w:sz="6" w:space="0" w:color="000000"/>
            <w:bottom w:val="single" w:sz="6" w:space="0" w:color="000000"/>
            <w:right w:val="single" w:sz="6" w:space="0" w:color="000000"/>
          </w:divBdr>
          <w:divsChild>
            <w:div w:id="360978586">
              <w:marLeft w:val="0"/>
              <w:marRight w:val="0"/>
              <w:marTop w:val="0"/>
              <w:marBottom w:val="0"/>
              <w:divBdr>
                <w:top w:val="none" w:sz="0" w:space="0" w:color="auto"/>
                <w:left w:val="none" w:sz="0" w:space="0" w:color="auto"/>
                <w:bottom w:val="none" w:sz="0" w:space="0" w:color="auto"/>
                <w:right w:val="none" w:sz="0" w:space="0" w:color="auto"/>
              </w:divBdr>
              <w:divsChild>
                <w:div w:id="62023441">
                  <w:marLeft w:val="0"/>
                  <w:marRight w:val="0"/>
                  <w:marTop w:val="0"/>
                  <w:marBottom w:val="0"/>
                  <w:divBdr>
                    <w:top w:val="none" w:sz="0" w:space="0" w:color="auto"/>
                    <w:left w:val="none" w:sz="0" w:space="0" w:color="auto"/>
                    <w:bottom w:val="none" w:sz="0" w:space="0" w:color="auto"/>
                    <w:right w:val="none" w:sz="0" w:space="0" w:color="auto"/>
                  </w:divBdr>
                  <w:divsChild>
                    <w:div w:id="637687294">
                      <w:marLeft w:val="0"/>
                      <w:marRight w:val="0"/>
                      <w:marTop w:val="0"/>
                      <w:marBottom w:val="0"/>
                      <w:divBdr>
                        <w:top w:val="none" w:sz="0" w:space="0" w:color="auto"/>
                        <w:left w:val="none" w:sz="0" w:space="0" w:color="auto"/>
                        <w:bottom w:val="none" w:sz="0" w:space="0" w:color="auto"/>
                        <w:right w:val="none" w:sz="0" w:space="0" w:color="auto"/>
                      </w:divBdr>
                      <w:divsChild>
                        <w:div w:id="1921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013457">
      <w:bodyDiv w:val="1"/>
      <w:marLeft w:val="0"/>
      <w:marRight w:val="0"/>
      <w:marTop w:val="0"/>
      <w:marBottom w:val="0"/>
      <w:divBdr>
        <w:top w:val="none" w:sz="0" w:space="0" w:color="auto"/>
        <w:left w:val="none" w:sz="0" w:space="0" w:color="auto"/>
        <w:bottom w:val="none" w:sz="0" w:space="0" w:color="auto"/>
        <w:right w:val="none" w:sz="0" w:space="0" w:color="auto"/>
      </w:divBdr>
    </w:div>
    <w:div w:id="377166533">
      <w:bodyDiv w:val="1"/>
      <w:marLeft w:val="0"/>
      <w:marRight w:val="0"/>
      <w:marTop w:val="0"/>
      <w:marBottom w:val="0"/>
      <w:divBdr>
        <w:top w:val="none" w:sz="0" w:space="0" w:color="auto"/>
        <w:left w:val="none" w:sz="0" w:space="0" w:color="auto"/>
        <w:bottom w:val="none" w:sz="0" w:space="0" w:color="auto"/>
        <w:right w:val="none" w:sz="0" w:space="0" w:color="auto"/>
      </w:divBdr>
      <w:divsChild>
        <w:div w:id="242375637">
          <w:marLeft w:val="0"/>
          <w:marRight w:val="0"/>
          <w:marTop w:val="0"/>
          <w:marBottom w:val="0"/>
          <w:divBdr>
            <w:top w:val="single" w:sz="6" w:space="0" w:color="000000"/>
            <w:left w:val="single" w:sz="6" w:space="0" w:color="000000"/>
            <w:bottom w:val="single" w:sz="6" w:space="0" w:color="000000"/>
            <w:right w:val="single" w:sz="6" w:space="0" w:color="000000"/>
          </w:divBdr>
          <w:divsChild>
            <w:div w:id="1408572121">
              <w:marLeft w:val="0"/>
              <w:marRight w:val="0"/>
              <w:marTop w:val="0"/>
              <w:marBottom w:val="0"/>
              <w:divBdr>
                <w:top w:val="none" w:sz="0" w:space="0" w:color="auto"/>
                <w:left w:val="none" w:sz="0" w:space="0" w:color="auto"/>
                <w:bottom w:val="none" w:sz="0" w:space="0" w:color="auto"/>
                <w:right w:val="none" w:sz="0" w:space="0" w:color="auto"/>
              </w:divBdr>
              <w:divsChild>
                <w:div w:id="97068844">
                  <w:marLeft w:val="0"/>
                  <w:marRight w:val="0"/>
                  <w:marTop w:val="0"/>
                  <w:marBottom w:val="0"/>
                  <w:divBdr>
                    <w:top w:val="none" w:sz="0" w:space="0" w:color="auto"/>
                    <w:left w:val="none" w:sz="0" w:space="0" w:color="auto"/>
                    <w:bottom w:val="none" w:sz="0" w:space="0" w:color="auto"/>
                    <w:right w:val="none" w:sz="0" w:space="0" w:color="auto"/>
                  </w:divBdr>
                  <w:divsChild>
                    <w:div w:id="454442922">
                      <w:marLeft w:val="0"/>
                      <w:marRight w:val="0"/>
                      <w:marTop w:val="0"/>
                      <w:marBottom w:val="0"/>
                      <w:divBdr>
                        <w:top w:val="none" w:sz="0" w:space="0" w:color="auto"/>
                        <w:left w:val="none" w:sz="0" w:space="0" w:color="auto"/>
                        <w:bottom w:val="none" w:sz="0" w:space="0" w:color="auto"/>
                        <w:right w:val="none" w:sz="0" w:space="0" w:color="auto"/>
                      </w:divBdr>
                      <w:divsChild>
                        <w:div w:id="157504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198833">
      <w:bodyDiv w:val="1"/>
      <w:marLeft w:val="0"/>
      <w:marRight w:val="0"/>
      <w:marTop w:val="0"/>
      <w:marBottom w:val="0"/>
      <w:divBdr>
        <w:top w:val="none" w:sz="0" w:space="0" w:color="auto"/>
        <w:left w:val="none" w:sz="0" w:space="0" w:color="auto"/>
        <w:bottom w:val="none" w:sz="0" w:space="0" w:color="auto"/>
        <w:right w:val="none" w:sz="0" w:space="0" w:color="auto"/>
      </w:divBdr>
      <w:divsChild>
        <w:div w:id="1722244794">
          <w:marLeft w:val="0"/>
          <w:marRight w:val="0"/>
          <w:marTop w:val="0"/>
          <w:marBottom w:val="0"/>
          <w:divBdr>
            <w:top w:val="single" w:sz="6" w:space="0" w:color="000000"/>
            <w:left w:val="single" w:sz="6" w:space="0" w:color="000000"/>
            <w:bottom w:val="single" w:sz="6" w:space="0" w:color="000000"/>
            <w:right w:val="single" w:sz="6" w:space="0" w:color="000000"/>
          </w:divBdr>
          <w:divsChild>
            <w:div w:id="1958945490">
              <w:marLeft w:val="0"/>
              <w:marRight w:val="0"/>
              <w:marTop w:val="0"/>
              <w:marBottom w:val="0"/>
              <w:divBdr>
                <w:top w:val="none" w:sz="0" w:space="0" w:color="auto"/>
                <w:left w:val="none" w:sz="0" w:space="0" w:color="auto"/>
                <w:bottom w:val="none" w:sz="0" w:space="0" w:color="auto"/>
                <w:right w:val="none" w:sz="0" w:space="0" w:color="auto"/>
              </w:divBdr>
              <w:divsChild>
                <w:div w:id="731579502">
                  <w:marLeft w:val="0"/>
                  <w:marRight w:val="0"/>
                  <w:marTop w:val="0"/>
                  <w:marBottom w:val="0"/>
                  <w:divBdr>
                    <w:top w:val="none" w:sz="0" w:space="0" w:color="auto"/>
                    <w:left w:val="none" w:sz="0" w:space="0" w:color="auto"/>
                    <w:bottom w:val="none" w:sz="0" w:space="0" w:color="auto"/>
                    <w:right w:val="none" w:sz="0" w:space="0" w:color="auto"/>
                  </w:divBdr>
                  <w:divsChild>
                    <w:div w:id="1207061357">
                      <w:marLeft w:val="0"/>
                      <w:marRight w:val="0"/>
                      <w:marTop w:val="0"/>
                      <w:marBottom w:val="0"/>
                      <w:divBdr>
                        <w:top w:val="none" w:sz="0" w:space="0" w:color="auto"/>
                        <w:left w:val="none" w:sz="0" w:space="0" w:color="auto"/>
                        <w:bottom w:val="none" w:sz="0" w:space="0" w:color="auto"/>
                        <w:right w:val="none" w:sz="0" w:space="0" w:color="auto"/>
                      </w:divBdr>
                      <w:divsChild>
                        <w:div w:id="292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744523">
      <w:bodyDiv w:val="1"/>
      <w:marLeft w:val="0"/>
      <w:marRight w:val="0"/>
      <w:marTop w:val="0"/>
      <w:marBottom w:val="0"/>
      <w:divBdr>
        <w:top w:val="none" w:sz="0" w:space="0" w:color="auto"/>
        <w:left w:val="none" w:sz="0" w:space="0" w:color="auto"/>
        <w:bottom w:val="none" w:sz="0" w:space="0" w:color="auto"/>
        <w:right w:val="none" w:sz="0" w:space="0" w:color="auto"/>
      </w:divBdr>
      <w:divsChild>
        <w:div w:id="1580093927">
          <w:marLeft w:val="0"/>
          <w:marRight w:val="0"/>
          <w:marTop w:val="0"/>
          <w:marBottom w:val="0"/>
          <w:divBdr>
            <w:top w:val="single" w:sz="6" w:space="0" w:color="000000"/>
            <w:left w:val="single" w:sz="6" w:space="0" w:color="000000"/>
            <w:bottom w:val="single" w:sz="6" w:space="0" w:color="000000"/>
            <w:right w:val="single" w:sz="6" w:space="0" w:color="000000"/>
          </w:divBdr>
          <w:divsChild>
            <w:div w:id="1783913007">
              <w:marLeft w:val="0"/>
              <w:marRight w:val="0"/>
              <w:marTop w:val="0"/>
              <w:marBottom w:val="0"/>
              <w:divBdr>
                <w:top w:val="none" w:sz="0" w:space="0" w:color="auto"/>
                <w:left w:val="none" w:sz="0" w:space="0" w:color="auto"/>
                <w:bottom w:val="none" w:sz="0" w:space="0" w:color="auto"/>
                <w:right w:val="none" w:sz="0" w:space="0" w:color="auto"/>
              </w:divBdr>
              <w:divsChild>
                <w:div w:id="566692487">
                  <w:marLeft w:val="0"/>
                  <w:marRight w:val="0"/>
                  <w:marTop w:val="0"/>
                  <w:marBottom w:val="0"/>
                  <w:divBdr>
                    <w:top w:val="none" w:sz="0" w:space="0" w:color="auto"/>
                    <w:left w:val="none" w:sz="0" w:space="0" w:color="auto"/>
                    <w:bottom w:val="none" w:sz="0" w:space="0" w:color="auto"/>
                    <w:right w:val="none" w:sz="0" w:space="0" w:color="auto"/>
                  </w:divBdr>
                  <w:divsChild>
                    <w:div w:id="1366298179">
                      <w:marLeft w:val="0"/>
                      <w:marRight w:val="0"/>
                      <w:marTop w:val="0"/>
                      <w:marBottom w:val="0"/>
                      <w:divBdr>
                        <w:top w:val="none" w:sz="0" w:space="0" w:color="auto"/>
                        <w:left w:val="none" w:sz="0" w:space="0" w:color="auto"/>
                        <w:bottom w:val="none" w:sz="0" w:space="0" w:color="auto"/>
                        <w:right w:val="none" w:sz="0" w:space="0" w:color="auto"/>
                      </w:divBdr>
                      <w:divsChild>
                        <w:div w:id="6046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998693">
      <w:bodyDiv w:val="1"/>
      <w:marLeft w:val="0"/>
      <w:marRight w:val="0"/>
      <w:marTop w:val="0"/>
      <w:marBottom w:val="0"/>
      <w:divBdr>
        <w:top w:val="none" w:sz="0" w:space="0" w:color="auto"/>
        <w:left w:val="none" w:sz="0" w:space="0" w:color="auto"/>
        <w:bottom w:val="none" w:sz="0" w:space="0" w:color="auto"/>
        <w:right w:val="none" w:sz="0" w:space="0" w:color="auto"/>
      </w:divBdr>
    </w:div>
    <w:div w:id="646590193">
      <w:bodyDiv w:val="1"/>
      <w:marLeft w:val="0"/>
      <w:marRight w:val="0"/>
      <w:marTop w:val="0"/>
      <w:marBottom w:val="0"/>
      <w:divBdr>
        <w:top w:val="none" w:sz="0" w:space="0" w:color="auto"/>
        <w:left w:val="none" w:sz="0" w:space="0" w:color="auto"/>
        <w:bottom w:val="none" w:sz="0" w:space="0" w:color="auto"/>
        <w:right w:val="none" w:sz="0" w:space="0" w:color="auto"/>
      </w:divBdr>
    </w:div>
    <w:div w:id="872379811">
      <w:bodyDiv w:val="1"/>
      <w:marLeft w:val="0"/>
      <w:marRight w:val="0"/>
      <w:marTop w:val="0"/>
      <w:marBottom w:val="0"/>
      <w:divBdr>
        <w:top w:val="none" w:sz="0" w:space="0" w:color="auto"/>
        <w:left w:val="none" w:sz="0" w:space="0" w:color="auto"/>
        <w:bottom w:val="none" w:sz="0" w:space="0" w:color="auto"/>
        <w:right w:val="none" w:sz="0" w:space="0" w:color="auto"/>
      </w:divBdr>
    </w:div>
    <w:div w:id="1048844122">
      <w:bodyDiv w:val="1"/>
      <w:marLeft w:val="0"/>
      <w:marRight w:val="0"/>
      <w:marTop w:val="0"/>
      <w:marBottom w:val="0"/>
      <w:divBdr>
        <w:top w:val="none" w:sz="0" w:space="0" w:color="auto"/>
        <w:left w:val="none" w:sz="0" w:space="0" w:color="auto"/>
        <w:bottom w:val="none" w:sz="0" w:space="0" w:color="auto"/>
        <w:right w:val="none" w:sz="0" w:space="0" w:color="auto"/>
      </w:divBdr>
    </w:div>
    <w:div w:id="1433553340">
      <w:bodyDiv w:val="1"/>
      <w:marLeft w:val="0"/>
      <w:marRight w:val="0"/>
      <w:marTop w:val="0"/>
      <w:marBottom w:val="0"/>
      <w:divBdr>
        <w:top w:val="none" w:sz="0" w:space="0" w:color="auto"/>
        <w:left w:val="none" w:sz="0" w:space="0" w:color="auto"/>
        <w:bottom w:val="none" w:sz="0" w:space="0" w:color="auto"/>
        <w:right w:val="none" w:sz="0" w:space="0" w:color="auto"/>
      </w:divBdr>
    </w:div>
    <w:div w:id="180808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BA8FA-9D7A-4A37-9885-D703C290A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5898</TotalTime>
  <Pages>12</Pages>
  <Words>4634</Words>
  <Characters>26416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PASCAL</dc:creator>
  <cp:keywords/>
  <dc:description/>
  <cp:lastModifiedBy>Bogdana, MARUSCA</cp:lastModifiedBy>
  <cp:revision>117</cp:revision>
  <cp:lastPrinted>2023-05-12T11:58:00Z</cp:lastPrinted>
  <dcterms:created xsi:type="dcterms:W3CDTF">2021-03-10T15:57:00Z</dcterms:created>
  <dcterms:modified xsi:type="dcterms:W3CDTF">2023-05-12T11:59:00Z</dcterms:modified>
</cp:coreProperties>
</file>