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E78" w:rsidRDefault="00050E78" w:rsidP="00050E78">
      <w:pPr>
        <w:pStyle w:val="DecHTitle"/>
        <w:spacing w:before="240"/>
        <w:outlineLvl w:val="9"/>
      </w:pPr>
      <w:r>
        <w:t>CURTEA EUROPEANĂ A DREPTURILOR OMULUI</w:t>
      </w:r>
    </w:p>
    <w:p w:rsidR="009D2821" w:rsidRPr="000B62B5" w:rsidRDefault="00E34145" w:rsidP="00050E78">
      <w:pPr>
        <w:pStyle w:val="DecHTitle"/>
        <w:outlineLvl w:val="9"/>
      </w:pPr>
      <w:r>
        <w:t>SECȚIA A TREIA</w:t>
      </w:r>
    </w:p>
    <w:p w:rsidR="009D2821" w:rsidRPr="000B62B5" w:rsidRDefault="00E34145" w:rsidP="000B62B5">
      <w:pPr>
        <w:pStyle w:val="JuTitle"/>
        <w:spacing w:before="960"/>
      </w:pPr>
      <w:r>
        <w:t>CAUZA KANEV ȘI COMITETUL HELSINKI DIN BULGARIA ÎMPOTRIVA BULGARIEI</w:t>
      </w:r>
    </w:p>
    <w:p w:rsidR="0035114C" w:rsidRPr="000B62B5" w:rsidRDefault="00E34145" w:rsidP="000B62B5">
      <w:pPr>
        <w:jc w:val="center"/>
        <w:rPr>
          <w:i/>
          <w:iCs/>
        </w:rPr>
      </w:pPr>
      <w:r>
        <w:rPr>
          <w:i/>
        </w:rPr>
        <w:t>(cererea nr. 45864/22)</w:t>
      </w:r>
    </w:p>
    <w:p w:rsidR="0035114C" w:rsidRPr="000B62B5" w:rsidRDefault="0035114C" w:rsidP="000B62B5">
      <w:pPr>
        <w:pStyle w:val="DecHCase"/>
      </w:pPr>
    </w:p>
    <w:p w:rsidR="009D2821" w:rsidRPr="000B62B5" w:rsidRDefault="009D2821" w:rsidP="000B62B5">
      <w:pPr>
        <w:pStyle w:val="DecHCase"/>
      </w:pPr>
    </w:p>
    <w:p w:rsidR="009D2821" w:rsidRPr="000B62B5" w:rsidRDefault="00E34145" w:rsidP="000B62B5">
      <w:pPr>
        <w:pStyle w:val="DecHCase"/>
        <w:spacing w:after="120"/>
      </w:pPr>
      <w:r>
        <w:t>HOTĂRÂRE</w:t>
      </w:r>
    </w:p>
    <w:p w:rsidR="00232C2A" w:rsidRPr="000B62B5" w:rsidRDefault="00232C2A" w:rsidP="000B62B5">
      <w:pPr>
        <w:pStyle w:val="DecHCase"/>
      </w:pPr>
    </w:p>
    <w:p w:rsidR="00567C69" w:rsidRPr="00050E78" w:rsidRDefault="00E34145" w:rsidP="000B62B5">
      <w:pPr>
        <w:pStyle w:val="JuPara"/>
        <w:pBdr>
          <w:top w:val="single" w:sz="4" w:space="1" w:color="auto"/>
          <w:left w:val="single" w:sz="4" w:space="4" w:color="auto"/>
          <w:bottom w:val="single" w:sz="4" w:space="1" w:color="auto"/>
          <w:right w:val="single" w:sz="4" w:space="4" w:color="auto"/>
        </w:pBdr>
        <w:ind w:firstLine="0"/>
        <w:rPr>
          <w:sz w:val="22"/>
          <w:szCs w:val="22"/>
        </w:rPr>
      </w:pPr>
      <w:r>
        <w:rPr>
          <w:sz w:val="22"/>
        </w:rPr>
        <w:t>Art. 8 • Viață privată • Corespondență • Refuzul Agenției de Stat pentru Securitate Națională de a dezvălui dacă a colectat sau nu informații cu privire la reclamanți sau dacă deținea sau nu astfel de informații în bazele sale de date • Lipsa unor garanții efective care să ofere un grad minim de protecție împotriva prelucrării arbitrare și ilegale a datelor de către Agenție • Ingerință care nu era prevăzută de o „lege”</w:t>
      </w:r>
    </w:p>
    <w:p w:rsidR="00567C69" w:rsidRPr="000B62B5" w:rsidRDefault="00567C69" w:rsidP="000B62B5">
      <w:pPr>
        <w:pStyle w:val="JuPara"/>
        <w:pBdr>
          <w:top w:val="single" w:sz="4" w:space="1" w:color="auto"/>
          <w:left w:val="single" w:sz="4" w:space="4" w:color="auto"/>
          <w:bottom w:val="single" w:sz="4" w:space="1" w:color="auto"/>
          <w:right w:val="single" w:sz="4" w:space="4" w:color="auto"/>
        </w:pBdr>
      </w:pPr>
    </w:p>
    <w:p w:rsidR="00567C69" w:rsidRPr="000B62B5" w:rsidRDefault="00E34145" w:rsidP="000B62B5">
      <w:pPr>
        <w:pStyle w:val="JuPara"/>
        <w:pBdr>
          <w:top w:val="single" w:sz="4" w:space="1" w:color="auto"/>
          <w:left w:val="single" w:sz="4" w:space="4" w:color="auto"/>
          <w:bottom w:val="single" w:sz="4" w:space="1" w:color="auto"/>
          <w:right w:val="single" w:sz="4" w:space="4" w:color="auto"/>
        </w:pBdr>
        <w:jc w:val="center"/>
      </w:pPr>
      <w:r>
        <w:rPr>
          <w:sz w:val="20"/>
        </w:rPr>
        <w:t>Întocmită de Grefă. Nu obligă Curtea.</w:t>
      </w:r>
    </w:p>
    <w:p w:rsidR="00567C69" w:rsidRPr="000B62B5" w:rsidRDefault="00567C69" w:rsidP="000B62B5">
      <w:pPr>
        <w:pStyle w:val="JuPara"/>
        <w:spacing w:after="240"/>
      </w:pPr>
    </w:p>
    <w:p w:rsidR="009D2821" w:rsidRPr="000B62B5" w:rsidRDefault="00E34145" w:rsidP="000B62B5">
      <w:pPr>
        <w:pStyle w:val="DecHCase"/>
      </w:pPr>
      <w:r>
        <w:t>STRASBOURG</w:t>
      </w:r>
    </w:p>
    <w:p w:rsidR="009D2821" w:rsidRPr="000B62B5" w:rsidRDefault="00E34145" w:rsidP="000B62B5">
      <w:pPr>
        <w:pStyle w:val="DecHCase"/>
      </w:pPr>
      <w:r>
        <w:t>28 aprilie 2026</w:t>
      </w:r>
    </w:p>
    <w:p w:rsidR="009D2821" w:rsidRPr="000B62B5" w:rsidRDefault="009D2821" w:rsidP="000B62B5">
      <w:pPr>
        <w:pStyle w:val="DecHCase"/>
      </w:pPr>
    </w:p>
    <w:p w:rsidR="000F39EA" w:rsidRPr="000B62B5" w:rsidRDefault="00E34145" w:rsidP="000B62B5">
      <w:pPr>
        <w:jc w:val="both"/>
        <w:rPr>
          <w:iCs/>
          <w:sz w:val="22"/>
        </w:rPr>
      </w:pPr>
      <w:r>
        <w:rPr>
          <w:i/>
          <w:sz w:val="22"/>
        </w:rPr>
        <w:t>Hotărârea devine definitivă în condițiile prevăzute la art. 44 § 2 din Convenție. Poate suferi modificări de formă.</w:t>
      </w:r>
    </w:p>
    <w:p w:rsidR="009D2821" w:rsidRPr="000B62B5" w:rsidRDefault="009D2821" w:rsidP="000B62B5"/>
    <w:p w:rsidR="00567C69" w:rsidRPr="000B62B5" w:rsidRDefault="00567C69" w:rsidP="000B62B5">
      <w:pPr>
        <w:sectPr w:rsidR="00567C69" w:rsidRPr="000B62B5" w:rsidSect="0078450C">
          <w:headerReference w:type="default" r:id="rId9"/>
          <w:footerReference w:type="default" r:id="rId10"/>
          <w:headerReference w:type="first" r:id="rId11"/>
          <w:footerReference w:type="first" r:id="rId12"/>
          <w:footnotePr>
            <w:numRestart w:val="eachSect"/>
          </w:footnotePr>
          <w:endnotePr>
            <w:numFmt w:val="decimal"/>
            <w:numRestart w:val="eachSect"/>
          </w:endnotePr>
          <w:pgSz w:w="11906" w:h="16838" w:code="9"/>
          <w:pgMar w:top="1134" w:right="1134" w:bottom="1134" w:left="1701" w:header="1701" w:footer="720" w:gutter="0"/>
          <w:pgNumType w:start="1"/>
          <w:cols w:space="720"/>
          <w:noEndnote/>
          <w:titlePg/>
          <w:docGrid w:linePitch="326"/>
        </w:sectPr>
      </w:pPr>
    </w:p>
    <w:p w:rsidR="00DE4BFE" w:rsidRPr="000B62B5" w:rsidRDefault="00E34145" w:rsidP="000B62B5">
      <w:pPr>
        <w:pStyle w:val="TOCHeading"/>
      </w:pPr>
      <w:r>
        <w:lastRenderedPageBreak/>
        <w:t>CUPRINS</w:t>
      </w:r>
    </w:p>
    <w:p w:rsidR="00C64FB7" w:rsidRDefault="00E34145">
      <w:pPr>
        <w:pStyle w:val="TOC1"/>
        <w:rPr>
          <w:rFonts w:eastAsiaTheme="minorEastAsia"/>
          <w:b w:val="0"/>
          <w:sz w:val="22"/>
          <w:szCs w:val="22"/>
          <w:lang w:eastAsia="ro-RO"/>
        </w:rPr>
      </w:pPr>
      <w:r w:rsidRPr="000B62B5">
        <w:fldChar w:fldCharType="begin"/>
      </w:r>
      <w:r w:rsidRPr="000B62B5">
        <w:instrText xml:space="preserve"> TOC \o "1-8" \h \z \u </w:instrText>
      </w:r>
      <w:r w:rsidRPr="000B62B5">
        <w:fldChar w:fldCharType="separate"/>
      </w:r>
      <w:hyperlink w:anchor="_Toc236764702" w:history="1">
        <w:r w:rsidR="00C64FB7" w:rsidRPr="000247E7">
          <w:rPr>
            <w:rStyle w:val="Hyperlink"/>
          </w:rPr>
          <w:t>INTRODUCERE</w:t>
        </w:r>
        <w:r w:rsidR="00C64FB7">
          <w:rPr>
            <w:webHidden/>
          </w:rPr>
          <w:tab/>
        </w:r>
        <w:r w:rsidR="00C64FB7">
          <w:rPr>
            <w:webHidden/>
          </w:rPr>
          <w:fldChar w:fldCharType="begin"/>
        </w:r>
        <w:r w:rsidR="00C64FB7">
          <w:rPr>
            <w:webHidden/>
          </w:rPr>
          <w:instrText xml:space="preserve"> PAGEREF _Toc236764702 \h </w:instrText>
        </w:r>
        <w:r w:rsidR="00C64FB7">
          <w:rPr>
            <w:webHidden/>
          </w:rPr>
        </w:r>
        <w:r w:rsidR="00C64FB7">
          <w:rPr>
            <w:webHidden/>
          </w:rPr>
          <w:fldChar w:fldCharType="separate"/>
        </w:r>
        <w:r w:rsidR="00C64FB7">
          <w:rPr>
            <w:webHidden/>
          </w:rPr>
          <w:t>1</w:t>
        </w:r>
        <w:r w:rsidR="00C64FB7">
          <w:rPr>
            <w:webHidden/>
          </w:rPr>
          <w:fldChar w:fldCharType="end"/>
        </w:r>
      </w:hyperlink>
    </w:p>
    <w:p w:rsidR="00C64FB7" w:rsidRDefault="00C64FB7">
      <w:pPr>
        <w:pStyle w:val="TOC1"/>
        <w:rPr>
          <w:rFonts w:eastAsiaTheme="minorEastAsia"/>
          <w:b w:val="0"/>
          <w:sz w:val="22"/>
          <w:szCs w:val="22"/>
          <w:lang w:eastAsia="ro-RO"/>
        </w:rPr>
      </w:pPr>
      <w:hyperlink w:anchor="_Toc236764703" w:history="1">
        <w:r w:rsidRPr="000247E7">
          <w:rPr>
            <w:rStyle w:val="Hyperlink"/>
          </w:rPr>
          <w:t>ÎN FAPT</w:t>
        </w:r>
        <w:r>
          <w:rPr>
            <w:webHidden/>
          </w:rPr>
          <w:tab/>
        </w:r>
        <w:r>
          <w:rPr>
            <w:webHidden/>
          </w:rPr>
          <w:fldChar w:fldCharType="begin"/>
        </w:r>
        <w:r>
          <w:rPr>
            <w:webHidden/>
          </w:rPr>
          <w:instrText xml:space="preserve"> PAGEREF _Toc236764703 \h </w:instrText>
        </w:r>
        <w:r>
          <w:rPr>
            <w:webHidden/>
          </w:rPr>
        </w:r>
        <w:r>
          <w:rPr>
            <w:webHidden/>
          </w:rPr>
          <w:fldChar w:fldCharType="separate"/>
        </w:r>
        <w:r>
          <w:rPr>
            <w:webHidden/>
          </w:rPr>
          <w:t>1</w:t>
        </w:r>
        <w:r>
          <w:rPr>
            <w:webHidden/>
          </w:rPr>
          <w:fldChar w:fldCharType="end"/>
        </w:r>
      </w:hyperlink>
    </w:p>
    <w:p w:rsidR="00C64FB7" w:rsidRDefault="00C64FB7">
      <w:pPr>
        <w:pStyle w:val="TOC2"/>
        <w:rPr>
          <w:rFonts w:eastAsiaTheme="minorEastAsia"/>
          <w:noProof/>
          <w:sz w:val="22"/>
          <w:szCs w:val="22"/>
          <w:lang w:eastAsia="ro-RO"/>
        </w:rPr>
      </w:pPr>
      <w:hyperlink w:anchor="_Toc236764704" w:history="1">
        <w:r w:rsidRPr="000247E7">
          <w:rPr>
            <w:rStyle w:val="Hyperlink"/>
            <w:noProof/>
          </w:rPr>
          <w:t>I.</w:t>
        </w:r>
        <w:r>
          <w:rPr>
            <w:rFonts w:eastAsiaTheme="minorEastAsia"/>
            <w:noProof/>
            <w:sz w:val="22"/>
            <w:szCs w:val="22"/>
            <w:lang w:eastAsia="ro-RO"/>
          </w:rPr>
          <w:tab/>
        </w:r>
        <w:r w:rsidRPr="000247E7">
          <w:rPr>
            <w:rStyle w:val="Hyperlink"/>
            <w:noProof/>
          </w:rPr>
          <w:t>CONTEXT</w:t>
        </w:r>
        <w:r>
          <w:rPr>
            <w:noProof/>
            <w:webHidden/>
          </w:rPr>
          <w:tab/>
        </w:r>
        <w:r>
          <w:rPr>
            <w:noProof/>
            <w:webHidden/>
          </w:rPr>
          <w:fldChar w:fldCharType="begin"/>
        </w:r>
        <w:r>
          <w:rPr>
            <w:noProof/>
            <w:webHidden/>
          </w:rPr>
          <w:instrText xml:space="preserve"> PAGEREF _Toc236764704 \h </w:instrText>
        </w:r>
        <w:r>
          <w:rPr>
            <w:noProof/>
            <w:webHidden/>
          </w:rPr>
        </w:r>
        <w:r>
          <w:rPr>
            <w:noProof/>
            <w:webHidden/>
          </w:rPr>
          <w:fldChar w:fldCharType="separate"/>
        </w:r>
        <w:r>
          <w:rPr>
            <w:noProof/>
            <w:webHidden/>
          </w:rPr>
          <w:t>2</w:t>
        </w:r>
        <w:r>
          <w:rPr>
            <w:noProof/>
            <w:webHidden/>
          </w:rPr>
          <w:fldChar w:fldCharType="end"/>
        </w:r>
      </w:hyperlink>
    </w:p>
    <w:p w:rsidR="00C64FB7" w:rsidRDefault="00C64FB7">
      <w:pPr>
        <w:pStyle w:val="TOC2"/>
        <w:rPr>
          <w:rFonts w:eastAsiaTheme="minorEastAsia"/>
          <w:noProof/>
          <w:sz w:val="22"/>
          <w:szCs w:val="22"/>
          <w:lang w:eastAsia="ro-RO"/>
        </w:rPr>
      </w:pPr>
      <w:hyperlink w:anchor="_Toc236764705" w:history="1">
        <w:r w:rsidRPr="000247E7">
          <w:rPr>
            <w:rStyle w:val="Hyperlink"/>
            <w:noProof/>
          </w:rPr>
          <w:t>II.</w:t>
        </w:r>
        <w:r>
          <w:rPr>
            <w:rFonts w:eastAsiaTheme="minorEastAsia"/>
            <w:noProof/>
            <w:sz w:val="22"/>
            <w:szCs w:val="22"/>
            <w:lang w:eastAsia="ro-RO"/>
          </w:rPr>
          <w:tab/>
        </w:r>
        <w:r w:rsidRPr="000247E7">
          <w:rPr>
            <w:rStyle w:val="Hyperlink"/>
            <w:noProof/>
          </w:rPr>
          <w:t>CEREREA ADRESATĂ AGENȚIEI ÎN IUNIE 2021</w:t>
        </w:r>
        <w:r>
          <w:rPr>
            <w:noProof/>
            <w:webHidden/>
          </w:rPr>
          <w:tab/>
        </w:r>
        <w:r>
          <w:rPr>
            <w:noProof/>
            <w:webHidden/>
          </w:rPr>
          <w:fldChar w:fldCharType="begin"/>
        </w:r>
        <w:r>
          <w:rPr>
            <w:noProof/>
            <w:webHidden/>
          </w:rPr>
          <w:instrText xml:space="preserve"> PAGEREF _Toc236764705 \h </w:instrText>
        </w:r>
        <w:r>
          <w:rPr>
            <w:noProof/>
            <w:webHidden/>
          </w:rPr>
        </w:r>
        <w:r>
          <w:rPr>
            <w:noProof/>
            <w:webHidden/>
          </w:rPr>
          <w:fldChar w:fldCharType="separate"/>
        </w:r>
        <w:r>
          <w:rPr>
            <w:noProof/>
            <w:webHidden/>
          </w:rPr>
          <w:t>2</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06" w:history="1">
        <w:r w:rsidRPr="000247E7">
          <w:rPr>
            <w:rStyle w:val="Hyperlink"/>
            <w:noProof/>
          </w:rPr>
          <w:t>A.</w:t>
        </w:r>
        <w:r>
          <w:rPr>
            <w:rFonts w:eastAsiaTheme="minorEastAsia"/>
            <w:noProof/>
            <w:sz w:val="22"/>
            <w:szCs w:val="22"/>
            <w:lang w:eastAsia="ro-RO"/>
          </w:rPr>
          <w:tab/>
        </w:r>
        <w:r w:rsidRPr="000247E7">
          <w:rPr>
            <w:rStyle w:val="Hyperlink"/>
            <w:noProof/>
          </w:rPr>
          <w:t>Cererea de informații și răspunsul Agenției la aceasta</w:t>
        </w:r>
        <w:r>
          <w:rPr>
            <w:noProof/>
            <w:webHidden/>
          </w:rPr>
          <w:tab/>
        </w:r>
        <w:r>
          <w:rPr>
            <w:noProof/>
            <w:webHidden/>
          </w:rPr>
          <w:fldChar w:fldCharType="begin"/>
        </w:r>
        <w:r>
          <w:rPr>
            <w:noProof/>
            <w:webHidden/>
          </w:rPr>
          <w:instrText xml:space="preserve"> PAGEREF _Toc236764706 \h </w:instrText>
        </w:r>
        <w:r>
          <w:rPr>
            <w:noProof/>
            <w:webHidden/>
          </w:rPr>
        </w:r>
        <w:r>
          <w:rPr>
            <w:noProof/>
            <w:webHidden/>
          </w:rPr>
          <w:fldChar w:fldCharType="separate"/>
        </w:r>
        <w:r>
          <w:rPr>
            <w:noProof/>
            <w:webHidden/>
          </w:rPr>
          <w:t>2</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07" w:history="1">
        <w:r w:rsidRPr="000247E7">
          <w:rPr>
            <w:rStyle w:val="Hyperlink"/>
            <w:noProof/>
          </w:rPr>
          <w:t>B.</w:t>
        </w:r>
        <w:r>
          <w:rPr>
            <w:rFonts w:eastAsiaTheme="minorEastAsia"/>
            <w:noProof/>
            <w:sz w:val="22"/>
            <w:szCs w:val="22"/>
            <w:lang w:eastAsia="ro-RO"/>
          </w:rPr>
          <w:tab/>
        </w:r>
        <w:r w:rsidRPr="000247E7">
          <w:rPr>
            <w:rStyle w:val="Hyperlink"/>
            <w:noProof/>
          </w:rPr>
          <w:t>Controlul jurisdicțional al refuzului Agenției de a divulga informațiile</w:t>
        </w:r>
        <w:r>
          <w:rPr>
            <w:noProof/>
            <w:webHidden/>
          </w:rPr>
          <w:tab/>
        </w:r>
        <w:r>
          <w:rPr>
            <w:noProof/>
            <w:webHidden/>
          </w:rPr>
          <w:fldChar w:fldCharType="begin"/>
        </w:r>
        <w:r>
          <w:rPr>
            <w:noProof/>
            <w:webHidden/>
          </w:rPr>
          <w:instrText xml:space="preserve"> PAGEREF _Toc236764707 \h </w:instrText>
        </w:r>
        <w:r>
          <w:rPr>
            <w:noProof/>
            <w:webHidden/>
          </w:rPr>
        </w:r>
        <w:r>
          <w:rPr>
            <w:noProof/>
            <w:webHidden/>
          </w:rPr>
          <w:fldChar w:fldCharType="separate"/>
        </w:r>
        <w:r>
          <w:rPr>
            <w:noProof/>
            <w:webHidden/>
          </w:rPr>
          <w:t>3</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08" w:history="1">
        <w:r w:rsidRPr="000247E7">
          <w:rPr>
            <w:rStyle w:val="Hyperlink"/>
            <w:noProof/>
          </w:rPr>
          <w:t>1.</w:t>
        </w:r>
        <w:r>
          <w:rPr>
            <w:rFonts w:eastAsiaTheme="minorEastAsia"/>
            <w:noProof/>
            <w:sz w:val="22"/>
            <w:szCs w:val="22"/>
            <w:lang w:eastAsia="ro-RO"/>
          </w:rPr>
          <w:tab/>
        </w:r>
        <w:r w:rsidRPr="000247E7">
          <w:rPr>
            <w:rStyle w:val="Hyperlink"/>
            <w:noProof/>
          </w:rPr>
          <w:t>Procedura în fața Tribunalului Administrativ al Orașului Sofia</w:t>
        </w:r>
        <w:r>
          <w:rPr>
            <w:noProof/>
            <w:webHidden/>
          </w:rPr>
          <w:tab/>
        </w:r>
        <w:r>
          <w:rPr>
            <w:noProof/>
            <w:webHidden/>
          </w:rPr>
          <w:fldChar w:fldCharType="begin"/>
        </w:r>
        <w:r>
          <w:rPr>
            <w:noProof/>
            <w:webHidden/>
          </w:rPr>
          <w:instrText xml:space="preserve"> PAGEREF _Toc236764708 \h </w:instrText>
        </w:r>
        <w:r>
          <w:rPr>
            <w:noProof/>
            <w:webHidden/>
          </w:rPr>
        </w:r>
        <w:r>
          <w:rPr>
            <w:noProof/>
            <w:webHidden/>
          </w:rPr>
          <w:fldChar w:fldCharType="separate"/>
        </w:r>
        <w:r>
          <w:rPr>
            <w:noProof/>
            <w:webHidden/>
          </w:rPr>
          <w:t>3</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09" w:history="1">
        <w:r w:rsidRPr="000247E7">
          <w:rPr>
            <w:rStyle w:val="Hyperlink"/>
            <w:noProof/>
          </w:rPr>
          <w:t>(a)</w:t>
        </w:r>
        <w:r>
          <w:rPr>
            <w:rFonts w:eastAsiaTheme="minorEastAsia"/>
            <w:noProof/>
            <w:sz w:val="22"/>
            <w:szCs w:val="22"/>
            <w:lang w:eastAsia="ro-RO"/>
          </w:rPr>
          <w:tab/>
        </w:r>
        <w:r w:rsidRPr="000247E7">
          <w:rPr>
            <w:rStyle w:val="Hyperlink"/>
            <w:noProof/>
          </w:rPr>
          <w:t>Desfășurarea procedurii</w:t>
        </w:r>
        <w:r>
          <w:rPr>
            <w:noProof/>
            <w:webHidden/>
          </w:rPr>
          <w:tab/>
        </w:r>
        <w:r>
          <w:rPr>
            <w:noProof/>
            <w:webHidden/>
          </w:rPr>
          <w:fldChar w:fldCharType="begin"/>
        </w:r>
        <w:r>
          <w:rPr>
            <w:noProof/>
            <w:webHidden/>
          </w:rPr>
          <w:instrText xml:space="preserve"> PAGEREF _Toc236764709 \h </w:instrText>
        </w:r>
        <w:r>
          <w:rPr>
            <w:noProof/>
            <w:webHidden/>
          </w:rPr>
        </w:r>
        <w:r>
          <w:rPr>
            <w:noProof/>
            <w:webHidden/>
          </w:rPr>
          <w:fldChar w:fldCharType="separate"/>
        </w:r>
        <w:r>
          <w:rPr>
            <w:noProof/>
            <w:webHidden/>
          </w:rPr>
          <w:t>3</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10" w:history="1">
        <w:r w:rsidRPr="000247E7">
          <w:rPr>
            <w:rStyle w:val="Hyperlink"/>
            <w:noProof/>
          </w:rPr>
          <w:t>(b)</w:t>
        </w:r>
        <w:r>
          <w:rPr>
            <w:rFonts w:eastAsiaTheme="minorEastAsia"/>
            <w:noProof/>
            <w:sz w:val="22"/>
            <w:szCs w:val="22"/>
            <w:lang w:eastAsia="ro-RO"/>
          </w:rPr>
          <w:tab/>
        </w:r>
        <w:r w:rsidRPr="000247E7">
          <w:rPr>
            <w:rStyle w:val="Hyperlink"/>
            <w:noProof/>
          </w:rPr>
          <w:t>Hotărârea Tribunalului Administrativ al orașului Sofia</w:t>
        </w:r>
        <w:r>
          <w:rPr>
            <w:noProof/>
            <w:webHidden/>
          </w:rPr>
          <w:tab/>
        </w:r>
        <w:r>
          <w:rPr>
            <w:noProof/>
            <w:webHidden/>
          </w:rPr>
          <w:fldChar w:fldCharType="begin"/>
        </w:r>
        <w:r>
          <w:rPr>
            <w:noProof/>
            <w:webHidden/>
          </w:rPr>
          <w:instrText xml:space="preserve"> PAGEREF _Toc236764710 \h </w:instrText>
        </w:r>
        <w:r>
          <w:rPr>
            <w:noProof/>
            <w:webHidden/>
          </w:rPr>
        </w:r>
        <w:r>
          <w:rPr>
            <w:noProof/>
            <w:webHidden/>
          </w:rPr>
          <w:fldChar w:fldCharType="separate"/>
        </w:r>
        <w:r>
          <w:rPr>
            <w:noProof/>
            <w:webHidden/>
          </w:rPr>
          <w:t>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11" w:history="1">
        <w:r w:rsidRPr="000247E7">
          <w:rPr>
            <w:rStyle w:val="Hyperlink"/>
            <w:noProof/>
          </w:rPr>
          <w:t>2.</w:t>
        </w:r>
        <w:r>
          <w:rPr>
            <w:rFonts w:eastAsiaTheme="minorEastAsia"/>
            <w:noProof/>
            <w:sz w:val="22"/>
            <w:szCs w:val="22"/>
            <w:lang w:eastAsia="ro-RO"/>
          </w:rPr>
          <w:tab/>
        </w:r>
        <w:r w:rsidRPr="000247E7">
          <w:rPr>
            <w:rStyle w:val="Hyperlink"/>
            <w:noProof/>
          </w:rPr>
          <w:t>Procedura de apel în fața Curții Administrative Supreme</w:t>
        </w:r>
        <w:r>
          <w:rPr>
            <w:noProof/>
            <w:webHidden/>
          </w:rPr>
          <w:tab/>
        </w:r>
        <w:r>
          <w:rPr>
            <w:noProof/>
            <w:webHidden/>
          </w:rPr>
          <w:fldChar w:fldCharType="begin"/>
        </w:r>
        <w:r>
          <w:rPr>
            <w:noProof/>
            <w:webHidden/>
          </w:rPr>
          <w:instrText xml:space="preserve"> PAGEREF _Toc236764711 \h </w:instrText>
        </w:r>
        <w:r>
          <w:rPr>
            <w:noProof/>
            <w:webHidden/>
          </w:rPr>
        </w:r>
        <w:r>
          <w:rPr>
            <w:noProof/>
            <w:webHidden/>
          </w:rPr>
          <w:fldChar w:fldCharType="separate"/>
        </w:r>
        <w:r>
          <w:rPr>
            <w:noProof/>
            <w:webHidden/>
          </w:rPr>
          <w:t>5</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12" w:history="1">
        <w:r w:rsidRPr="000247E7">
          <w:rPr>
            <w:rStyle w:val="Hyperlink"/>
            <w:noProof/>
          </w:rPr>
          <w:t>(a)</w:t>
        </w:r>
        <w:r>
          <w:rPr>
            <w:rFonts w:eastAsiaTheme="minorEastAsia"/>
            <w:noProof/>
            <w:sz w:val="22"/>
            <w:szCs w:val="22"/>
            <w:lang w:eastAsia="ro-RO"/>
          </w:rPr>
          <w:tab/>
        </w:r>
        <w:r w:rsidRPr="000247E7">
          <w:rPr>
            <w:rStyle w:val="Hyperlink"/>
            <w:noProof/>
          </w:rPr>
          <w:t>Desfășurarea procedurii</w:t>
        </w:r>
        <w:r>
          <w:rPr>
            <w:noProof/>
            <w:webHidden/>
          </w:rPr>
          <w:tab/>
        </w:r>
        <w:r>
          <w:rPr>
            <w:noProof/>
            <w:webHidden/>
          </w:rPr>
          <w:fldChar w:fldCharType="begin"/>
        </w:r>
        <w:r>
          <w:rPr>
            <w:noProof/>
            <w:webHidden/>
          </w:rPr>
          <w:instrText xml:space="preserve"> PAGEREF _Toc236764712 \h </w:instrText>
        </w:r>
        <w:r>
          <w:rPr>
            <w:noProof/>
            <w:webHidden/>
          </w:rPr>
        </w:r>
        <w:r>
          <w:rPr>
            <w:noProof/>
            <w:webHidden/>
          </w:rPr>
          <w:fldChar w:fldCharType="separate"/>
        </w:r>
        <w:r>
          <w:rPr>
            <w:noProof/>
            <w:webHidden/>
          </w:rPr>
          <w:t>5</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13" w:history="1">
        <w:r w:rsidRPr="000247E7">
          <w:rPr>
            <w:rStyle w:val="Hyperlink"/>
            <w:noProof/>
          </w:rPr>
          <w:t>(b)</w:t>
        </w:r>
        <w:r>
          <w:rPr>
            <w:rFonts w:eastAsiaTheme="minorEastAsia"/>
            <w:noProof/>
            <w:sz w:val="22"/>
            <w:szCs w:val="22"/>
            <w:lang w:eastAsia="ro-RO"/>
          </w:rPr>
          <w:tab/>
        </w:r>
        <w:r w:rsidRPr="000247E7">
          <w:rPr>
            <w:rStyle w:val="Hyperlink"/>
            <w:noProof/>
          </w:rPr>
          <w:t>Hotărârea Curții Administrative Supreme</w:t>
        </w:r>
        <w:r>
          <w:rPr>
            <w:noProof/>
            <w:webHidden/>
          </w:rPr>
          <w:tab/>
        </w:r>
        <w:r>
          <w:rPr>
            <w:noProof/>
            <w:webHidden/>
          </w:rPr>
          <w:fldChar w:fldCharType="begin"/>
        </w:r>
        <w:r>
          <w:rPr>
            <w:noProof/>
            <w:webHidden/>
          </w:rPr>
          <w:instrText xml:space="preserve"> PAGEREF _Toc236764713 \h </w:instrText>
        </w:r>
        <w:r>
          <w:rPr>
            <w:noProof/>
            <w:webHidden/>
          </w:rPr>
        </w:r>
        <w:r>
          <w:rPr>
            <w:noProof/>
            <w:webHidden/>
          </w:rPr>
          <w:fldChar w:fldCharType="separate"/>
        </w:r>
        <w:r>
          <w:rPr>
            <w:noProof/>
            <w:webHidden/>
          </w:rPr>
          <w:t>5</w:t>
        </w:r>
        <w:r>
          <w:rPr>
            <w:noProof/>
            <w:webHidden/>
          </w:rPr>
          <w:fldChar w:fldCharType="end"/>
        </w:r>
      </w:hyperlink>
    </w:p>
    <w:p w:rsidR="00C64FB7" w:rsidRDefault="00C64FB7">
      <w:pPr>
        <w:pStyle w:val="TOC2"/>
        <w:rPr>
          <w:rFonts w:eastAsiaTheme="minorEastAsia"/>
          <w:noProof/>
          <w:sz w:val="22"/>
          <w:szCs w:val="22"/>
          <w:lang w:eastAsia="ro-RO"/>
        </w:rPr>
      </w:pPr>
      <w:hyperlink w:anchor="_Toc236764714" w:history="1">
        <w:r w:rsidRPr="000247E7">
          <w:rPr>
            <w:rStyle w:val="Hyperlink"/>
            <w:noProof/>
          </w:rPr>
          <w:t>III.</w:t>
        </w:r>
        <w:r>
          <w:rPr>
            <w:rFonts w:eastAsiaTheme="minorEastAsia"/>
            <w:noProof/>
            <w:sz w:val="22"/>
            <w:szCs w:val="22"/>
            <w:lang w:eastAsia="ro-RO"/>
          </w:rPr>
          <w:tab/>
        </w:r>
        <w:r w:rsidRPr="000247E7">
          <w:rPr>
            <w:rStyle w:val="Hyperlink"/>
            <w:noProof/>
          </w:rPr>
          <w:t>CEREREA ADRESATĂ BIROULUI NAȚIONAL</w:t>
        </w:r>
        <w:r>
          <w:rPr>
            <w:noProof/>
            <w:webHidden/>
          </w:rPr>
          <w:tab/>
        </w:r>
        <w:r>
          <w:rPr>
            <w:noProof/>
            <w:webHidden/>
          </w:rPr>
          <w:fldChar w:fldCharType="begin"/>
        </w:r>
        <w:r>
          <w:rPr>
            <w:noProof/>
            <w:webHidden/>
          </w:rPr>
          <w:instrText xml:space="preserve"> PAGEREF _Toc236764714 \h </w:instrText>
        </w:r>
        <w:r>
          <w:rPr>
            <w:noProof/>
            <w:webHidden/>
          </w:rPr>
        </w:r>
        <w:r>
          <w:rPr>
            <w:noProof/>
            <w:webHidden/>
          </w:rPr>
          <w:fldChar w:fldCharType="separate"/>
        </w:r>
        <w:r>
          <w:rPr>
            <w:noProof/>
            <w:webHidden/>
          </w:rPr>
          <w:t>6</w:t>
        </w:r>
        <w:r>
          <w:rPr>
            <w:noProof/>
            <w:webHidden/>
          </w:rPr>
          <w:fldChar w:fldCharType="end"/>
        </w:r>
      </w:hyperlink>
    </w:p>
    <w:p w:rsidR="00C64FB7" w:rsidRDefault="00C64FB7">
      <w:pPr>
        <w:pStyle w:val="TOC2"/>
        <w:rPr>
          <w:rFonts w:eastAsiaTheme="minorEastAsia"/>
          <w:noProof/>
          <w:sz w:val="22"/>
          <w:szCs w:val="22"/>
          <w:lang w:eastAsia="ro-RO"/>
        </w:rPr>
      </w:pPr>
      <w:hyperlink w:anchor="_Toc236764715" w:history="1">
        <w:r w:rsidRPr="000247E7">
          <w:rPr>
            <w:rStyle w:val="Hyperlink"/>
            <w:noProof/>
          </w:rPr>
          <w:t>IV.</w:t>
        </w:r>
        <w:r>
          <w:rPr>
            <w:rFonts w:eastAsiaTheme="minorEastAsia"/>
            <w:noProof/>
            <w:sz w:val="22"/>
            <w:szCs w:val="22"/>
            <w:lang w:eastAsia="ro-RO"/>
          </w:rPr>
          <w:tab/>
        </w:r>
        <w:r w:rsidRPr="000247E7">
          <w:rPr>
            <w:rStyle w:val="Hyperlink"/>
            <w:noProof/>
          </w:rPr>
          <w:t>CONTROLUL JURISDICȚIONAL AL REGULAMENTULUI AGENȚIEI PRIVIND INFORMAȚIILE SECRETE DE SERVICIU</w:t>
        </w:r>
        <w:r>
          <w:rPr>
            <w:noProof/>
            <w:webHidden/>
          </w:rPr>
          <w:tab/>
        </w:r>
        <w:r>
          <w:rPr>
            <w:noProof/>
            <w:webHidden/>
          </w:rPr>
          <w:fldChar w:fldCharType="begin"/>
        </w:r>
        <w:r>
          <w:rPr>
            <w:noProof/>
            <w:webHidden/>
          </w:rPr>
          <w:instrText xml:space="preserve"> PAGEREF _Toc236764715 \h </w:instrText>
        </w:r>
        <w:r>
          <w:rPr>
            <w:noProof/>
            <w:webHidden/>
          </w:rPr>
        </w:r>
        <w:r>
          <w:rPr>
            <w:noProof/>
            <w:webHidden/>
          </w:rPr>
          <w:fldChar w:fldCharType="separate"/>
        </w:r>
        <w:r>
          <w:rPr>
            <w:noProof/>
            <w:webHidden/>
          </w:rPr>
          <w:t>7</w:t>
        </w:r>
        <w:r>
          <w:rPr>
            <w:noProof/>
            <w:webHidden/>
          </w:rPr>
          <w:fldChar w:fldCharType="end"/>
        </w:r>
      </w:hyperlink>
    </w:p>
    <w:p w:rsidR="00C64FB7" w:rsidRDefault="00C64FB7">
      <w:pPr>
        <w:pStyle w:val="TOC2"/>
        <w:rPr>
          <w:rFonts w:eastAsiaTheme="minorEastAsia"/>
          <w:noProof/>
          <w:sz w:val="22"/>
          <w:szCs w:val="22"/>
          <w:lang w:eastAsia="ro-RO"/>
        </w:rPr>
      </w:pPr>
      <w:hyperlink w:anchor="_Toc236764716" w:history="1">
        <w:r w:rsidRPr="000247E7">
          <w:rPr>
            <w:rStyle w:val="Hyperlink"/>
            <w:noProof/>
          </w:rPr>
          <w:t>V.</w:t>
        </w:r>
        <w:r>
          <w:rPr>
            <w:rFonts w:eastAsiaTheme="minorEastAsia"/>
            <w:noProof/>
            <w:sz w:val="22"/>
            <w:szCs w:val="22"/>
            <w:lang w:eastAsia="ro-RO"/>
          </w:rPr>
          <w:tab/>
        </w:r>
        <w:r w:rsidRPr="000247E7">
          <w:rPr>
            <w:rStyle w:val="Hyperlink"/>
            <w:noProof/>
          </w:rPr>
          <w:t>CEREREA ADRESATĂ AGENȚIEI ÎN IUNIE 2023</w:t>
        </w:r>
        <w:r>
          <w:rPr>
            <w:noProof/>
            <w:webHidden/>
          </w:rPr>
          <w:tab/>
        </w:r>
        <w:r>
          <w:rPr>
            <w:noProof/>
            <w:webHidden/>
          </w:rPr>
          <w:fldChar w:fldCharType="begin"/>
        </w:r>
        <w:r>
          <w:rPr>
            <w:noProof/>
            <w:webHidden/>
          </w:rPr>
          <w:instrText xml:space="preserve"> PAGEREF _Toc236764716 \h </w:instrText>
        </w:r>
        <w:r>
          <w:rPr>
            <w:noProof/>
            <w:webHidden/>
          </w:rPr>
        </w:r>
        <w:r>
          <w:rPr>
            <w:noProof/>
            <w:webHidden/>
          </w:rPr>
          <w:fldChar w:fldCharType="separate"/>
        </w:r>
        <w:r>
          <w:rPr>
            <w:noProof/>
            <w:webHidden/>
          </w:rPr>
          <w:t>8</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17" w:history="1">
        <w:r w:rsidRPr="000247E7">
          <w:rPr>
            <w:rStyle w:val="Hyperlink"/>
            <w:noProof/>
          </w:rPr>
          <w:t>A.</w:t>
        </w:r>
        <w:r>
          <w:rPr>
            <w:rFonts w:eastAsiaTheme="minorEastAsia"/>
            <w:noProof/>
            <w:sz w:val="22"/>
            <w:szCs w:val="22"/>
            <w:lang w:eastAsia="ro-RO"/>
          </w:rPr>
          <w:tab/>
        </w:r>
        <w:r w:rsidRPr="000247E7">
          <w:rPr>
            <w:rStyle w:val="Hyperlink"/>
            <w:noProof/>
          </w:rPr>
          <w:t>Cererea și răspunsul Agenției la aceasta</w:t>
        </w:r>
        <w:r>
          <w:rPr>
            <w:noProof/>
            <w:webHidden/>
          </w:rPr>
          <w:tab/>
        </w:r>
        <w:r>
          <w:rPr>
            <w:noProof/>
            <w:webHidden/>
          </w:rPr>
          <w:fldChar w:fldCharType="begin"/>
        </w:r>
        <w:r>
          <w:rPr>
            <w:noProof/>
            <w:webHidden/>
          </w:rPr>
          <w:instrText xml:space="preserve"> PAGEREF _Toc236764717 \h </w:instrText>
        </w:r>
        <w:r>
          <w:rPr>
            <w:noProof/>
            <w:webHidden/>
          </w:rPr>
        </w:r>
        <w:r>
          <w:rPr>
            <w:noProof/>
            <w:webHidden/>
          </w:rPr>
          <w:fldChar w:fldCharType="separate"/>
        </w:r>
        <w:r>
          <w:rPr>
            <w:noProof/>
            <w:webHidden/>
          </w:rPr>
          <w:t>8</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18" w:history="1">
        <w:r w:rsidRPr="000247E7">
          <w:rPr>
            <w:rStyle w:val="Hyperlink"/>
            <w:noProof/>
          </w:rPr>
          <w:t>B.</w:t>
        </w:r>
        <w:r>
          <w:rPr>
            <w:rFonts w:eastAsiaTheme="minorEastAsia"/>
            <w:noProof/>
            <w:sz w:val="22"/>
            <w:szCs w:val="22"/>
            <w:lang w:eastAsia="ro-RO"/>
          </w:rPr>
          <w:tab/>
        </w:r>
        <w:r w:rsidRPr="000247E7">
          <w:rPr>
            <w:rStyle w:val="Hyperlink"/>
            <w:noProof/>
          </w:rPr>
          <w:t>Controlul jurisdicțional al refuzului Agenției de a divulga informațiile</w:t>
        </w:r>
        <w:r>
          <w:rPr>
            <w:noProof/>
            <w:webHidden/>
          </w:rPr>
          <w:tab/>
        </w:r>
        <w:r>
          <w:rPr>
            <w:noProof/>
            <w:webHidden/>
          </w:rPr>
          <w:fldChar w:fldCharType="begin"/>
        </w:r>
        <w:r>
          <w:rPr>
            <w:noProof/>
            <w:webHidden/>
          </w:rPr>
          <w:instrText xml:space="preserve"> PAGEREF _Toc236764718 \h </w:instrText>
        </w:r>
        <w:r>
          <w:rPr>
            <w:noProof/>
            <w:webHidden/>
          </w:rPr>
        </w:r>
        <w:r>
          <w:rPr>
            <w:noProof/>
            <w:webHidden/>
          </w:rPr>
          <w:fldChar w:fldCharType="separate"/>
        </w:r>
        <w:r>
          <w:rPr>
            <w:noProof/>
            <w:webHidden/>
          </w:rPr>
          <w:t>8</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19" w:history="1">
        <w:r w:rsidRPr="000247E7">
          <w:rPr>
            <w:rStyle w:val="Hyperlink"/>
            <w:noProof/>
          </w:rPr>
          <w:t>1.</w:t>
        </w:r>
        <w:r>
          <w:rPr>
            <w:rFonts w:eastAsiaTheme="minorEastAsia"/>
            <w:noProof/>
            <w:sz w:val="22"/>
            <w:szCs w:val="22"/>
            <w:lang w:eastAsia="ro-RO"/>
          </w:rPr>
          <w:tab/>
        </w:r>
        <w:r w:rsidRPr="000247E7">
          <w:rPr>
            <w:rStyle w:val="Hyperlink"/>
            <w:noProof/>
          </w:rPr>
          <w:t>Procedura în fața Tribunalului Administrativ al Orașului Sofia</w:t>
        </w:r>
        <w:r>
          <w:rPr>
            <w:noProof/>
            <w:webHidden/>
          </w:rPr>
          <w:tab/>
        </w:r>
        <w:r>
          <w:rPr>
            <w:noProof/>
            <w:webHidden/>
          </w:rPr>
          <w:fldChar w:fldCharType="begin"/>
        </w:r>
        <w:r>
          <w:rPr>
            <w:noProof/>
            <w:webHidden/>
          </w:rPr>
          <w:instrText xml:space="preserve"> PAGEREF _Toc236764719 \h </w:instrText>
        </w:r>
        <w:r>
          <w:rPr>
            <w:noProof/>
            <w:webHidden/>
          </w:rPr>
        </w:r>
        <w:r>
          <w:rPr>
            <w:noProof/>
            <w:webHidden/>
          </w:rPr>
          <w:fldChar w:fldCharType="separate"/>
        </w:r>
        <w:r>
          <w:rPr>
            <w:noProof/>
            <w:webHidden/>
          </w:rPr>
          <w:t>8</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20" w:history="1">
        <w:r w:rsidRPr="000247E7">
          <w:rPr>
            <w:rStyle w:val="Hyperlink"/>
            <w:noProof/>
          </w:rPr>
          <w:t>2.</w:t>
        </w:r>
        <w:r>
          <w:rPr>
            <w:rFonts w:eastAsiaTheme="minorEastAsia"/>
            <w:noProof/>
            <w:sz w:val="22"/>
            <w:szCs w:val="22"/>
            <w:lang w:eastAsia="ro-RO"/>
          </w:rPr>
          <w:tab/>
        </w:r>
        <w:r w:rsidRPr="000247E7">
          <w:rPr>
            <w:rStyle w:val="Hyperlink"/>
            <w:noProof/>
          </w:rPr>
          <w:t>Procedura de apel în fața Curții Administrative Supreme</w:t>
        </w:r>
        <w:r>
          <w:rPr>
            <w:noProof/>
            <w:webHidden/>
          </w:rPr>
          <w:tab/>
        </w:r>
        <w:r>
          <w:rPr>
            <w:noProof/>
            <w:webHidden/>
          </w:rPr>
          <w:fldChar w:fldCharType="begin"/>
        </w:r>
        <w:r>
          <w:rPr>
            <w:noProof/>
            <w:webHidden/>
          </w:rPr>
          <w:instrText xml:space="preserve"> PAGEREF _Toc236764720 \h </w:instrText>
        </w:r>
        <w:r>
          <w:rPr>
            <w:noProof/>
            <w:webHidden/>
          </w:rPr>
        </w:r>
        <w:r>
          <w:rPr>
            <w:noProof/>
            <w:webHidden/>
          </w:rPr>
          <w:fldChar w:fldCharType="separate"/>
        </w:r>
        <w:r>
          <w:rPr>
            <w:noProof/>
            <w:webHidden/>
          </w:rPr>
          <w:t>8</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21" w:history="1">
        <w:r w:rsidRPr="000247E7">
          <w:rPr>
            <w:rStyle w:val="Hyperlink"/>
            <w:noProof/>
          </w:rPr>
          <w:t>C.</w:t>
        </w:r>
        <w:r>
          <w:rPr>
            <w:rFonts w:eastAsiaTheme="minorEastAsia"/>
            <w:noProof/>
            <w:sz w:val="22"/>
            <w:szCs w:val="22"/>
            <w:lang w:eastAsia="ro-RO"/>
          </w:rPr>
          <w:tab/>
        </w:r>
        <w:r w:rsidRPr="000247E7">
          <w:rPr>
            <w:rStyle w:val="Hyperlink"/>
            <w:noProof/>
          </w:rPr>
          <w:t>Noua procedură în fața Agenției</w:t>
        </w:r>
        <w:r>
          <w:rPr>
            <w:noProof/>
            <w:webHidden/>
          </w:rPr>
          <w:tab/>
        </w:r>
        <w:r>
          <w:rPr>
            <w:noProof/>
            <w:webHidden/>
          </w:rPr>
          <w:fldChar w:fldCharType="begin"/>
        </w:r>
        <w:r>
          <w:rPr>
            <w:noProof/>
            <w:webHidden/>
          </w:rPr>
          <w:instrText xml:space="preserve"> PAGEREF _Toc236764721 \h </w:instrText>
        </w:r>
        <w:r>
          <w:rPr>
            <w:noProof/>
            <w:webHidden/>
          </w:rPr>
        </w:r>
        <w:r>
          <w:rPr>
            <w:noProof/>
            <w:webHidden/>
          </w:rPr>
          <w:fldChar w:fldCharType="separate"/>
        </w:r>
        <w:r>
          <w:rPr>
            <w:noProof/>
            <w:webHidden/>
          </w:rPr>
          <w:t>9</w:t>
        </w:r>
        <w:r>
          <w:rPr>
            <w:noProof/>
            <w:webHidden/>
          </w:rPr>
          <w:fldChar w:fldCharType="end"/>
        </w:r>
      </w:hyperlink>
    </w:p>
    <w:p w:rsidR="00C64FB7" w:rsidRDefault="00C64FB7">
      <w:pPr>
        <w:pStyle w:val="TOC2"/>
        <w:rPr>
          <w:rFonts w:eastAsiaTheme="minorEastAsia"/>
          <w:noProof/>
          <w:sz w:val="22"/>
          <w:szCs w:val="22"/>
          <w:lang w:eastAsia="ro-RO"/>
        </w:rPr>
      </w:pPr>
      <w:hyperlink w:anchor="_Toc236764722" w:history="1">
        <w:r w:rsidRPr="000247E7">
          <w:rPr>
            <w:rStyle w:val="Hyperlink"/>
            <w:noProof/>
          </w:rPr>
          <w:t>VI.</w:t>
        </w:r>
        <w:r>
          <w:rPr>
            <w:rFonts w:eastAsiaTheme="minorEastAsia"/>
            <w:noProof/>
            <w:sz w:val="22"/>
            <w:szCs w:val="22"/>
            <w:lang w:eastAsia="ro-RO"/>
          </w:rPr>
          <w:tab/>
        </w:r>
        <w:r w:rsidRPr="000247E7">
          <w:rPr>
            <w:rStyle w:val="Hyperlink"/>
            <w:noProof/>
          </w:rPr>
          <w:t>INFORMAȚIILE SOLICITATE DE AGENTUL GUVERNAMENTAL</w:t>
        </w:r>
        <w:r>
          <w:rPr>
            <w:noProof/>
            <w:webHidden/>
          </w:rPr>
          <w:tab/>
        </w:r>
        <w:r>
          <w:rPr>
            <w:noProof/>
            <w:webHidden/>
          </w:rPr>
          <w:fldChar w:fldCharType="begin"/>
        </w:r>
        <w:r>
          <w:rPr>
            <w:noProof/>
            <w:webHidden/>
          </w:rPr>
          <w:instrText xml:space="preserve"> PAGEREF _Toc236764722 \h </w:instrText>
        </w:r>
        <w:r>
          <w:rPr>
            <w:noProof/>
            <w:webHidden/>
          </w:rPr>
        </w:r>
        <w:r>
          <w:rPr>
            <w:noProof/>
            <w:webHidden/>
          </w:rPr>
          <w:fldChar w:fldCharType="separate"/>
        </w:r>
        <w:r>
          <w:rPr>
            <w:noProof/>
            <w:webHidden/>
          </w:rPr>
          <w:t>10</w:t>
        </w:r>
        <w:r>
          <w:rPr>
            <w:noProof/>
            <w:webHidden/>
          </w:rPr>
          <w:fldChar w:fldCharType="end"/>
        </w:r>
      </w:hyperlink>
    </w:p>
    <w:p w:rsidR="00C64FB7" w:rsidRDefault="00C64FB7">
      <w:pPr>
        <w:pStyle w:val="TOC1"/>
        <w:rPr>
          <w:rFonts w:eastAsiaTheme="minorEastAsia"/>
          <w:b w:val="0"/>
          <w:sz w:val="22"/>
          <w:szCs w:val="22"/>
          <w:lang w:eastAsia="ro-RO"/>
        </w:rPr>
      </w:pPr>
      <w:hyperlink w:anchor="_Toc236764723" w:history="1">
        <w:r w:rsidRPr="000247E7">
          <w:rPr>
            <w:rStyle w:val="Hyperlink"/>
          </w:rPr>
          <w:t>CADRUL JURIDIC ȘI PRACTICA RELEVANTE</w:t>
        </w:r>
        <w:r>
          <w:rPr>
            <w:webHidden/>
          </w:rPr>
          <w:tab/>
        </w:r>
        <w:r>
          <w:rPr>
            <w:webHidden/>
          </w:rPr>
          <w:fldChar w:fldCharType="begin"/>
        </w:r>
        <w:r>
          <w:rPr>
            <w:webHidden/>
          </w:rPr>
          <w:instrText xml:space="preserve"> PAGEREF _Toc236764723 \h </w:instrText>
        </w:r>
        <w:r>
          <w:rPr>
            <w:webHidden/>
          </w:rPr>
        </w:r>
        <w:r>
          <w:rPr>
            <w:webHidden/>
          </w:rPr>
          <w:fldChar w:fldCharType="separate"/>
        </w:r>
        <w:r>
          <w:rPr>
            <w:webHidden/>
          </w:rPr>
          <w:t>10</w:t>
        </w:r>
        <w:r>
          <w:rPr>
            <w:webHidden/>
          </w:rPr>
          <w:fldChar w:fldCharType="end"/>
        </w:r>
      </w:hyperlink>
    </w:p>
    <w:p w:rsidR="00C64FB7" w:rsidRDefault="00C64FB7">
      <w:pPr>
        <w:pStyle w:val="TOC2"/>
        <w:rPr>
          <w:rFonts w:eastAsiaTheme="minorEastAsia"/>
          <w:noProof/>
          <w:sz w:val="22"/>
          <w:szCs w:val="22"/>
          <w:lang w:eastAsia="ro-RO"/>
        </w:rPr>
      </w:pPr>
      <w:hyperlink w:anchor="_Toc236764724" w:history="1">
        <w:r w:rsidRPr="000247E7">
          <w:rPr>
            <w:rStyle w:val="Hyperlink"/>
            <w:noProof/>
          </w:rPr>
          <w:t>I.</w:t>
        </w:r>
        <w:r>
          <w:rPr>
            <w:rFonts w:eastAsiaTheme="minorEastAsia"/>
            <w:noProof/>
            <w:sz w:val="22"/>
            <w:szCs w:val="22"/>
            <w:lang w:eastAsia="ro-RO"/>
          </w:rPr>
          <w:tab/>
        </w:r>
        <w:r w:rsidRPr="000247E7">
          <w:rPr>
            <w:rStyle w:val="Hyperlink"/>
            <w:noProof/>
          </w:rPr>
          <w:t>DREPTUL ȘI PRACTICA INTERNE BULGARE</w:t>
        </w:r>
        <w:r>
          <w:rPr>
            <w:noProof/>
            <w:webHidden/>
          </w:rPr>
          <w:tab/>
        </w:r>
        <w:r>
          <w:rPr>
            <w:noProof/>
            <w:webHidden/>
          </w:rPr>
          <w:fldChar w:fldCharType="begin"/>
        </w:r>
        <w:r>
          <w:rPr>
            <w:noProof/>
            <w:webHidden/>
          </w:rPr>
          <w:instrText xml:space="preserve"> PAGEREF _Toc236764724 \h </w:instrText>
        </w:r>
        <w:r>
          <w:rPr>
            <w:noProof/>
            <w:webHidden/>
          </w:rPr>
        </w:r>
        <w:r>
          <w:rPr>
            <w:noProof/>
            <w:webHidden/>
          </w:rPr>
          <w:fldChar w:fldCharType="separate"/>
        </w:r>
        <w:r>
          <w:rPr>
            <w:noProof/>
            <w:webHidden/>
          </w:rPr>
          <w:t>10</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25" w:history="1">
        <w:r w:rsidRPr="000247E7">
          <w:rPr>
            <w:rStyle w:val="Hyperlink"/>
            <w:caps/>
            <w:noProof/>
          </w:rPr>
          <w:t>A.</w:t>
        </w:r>
        <w:r>
          <w:rPr>
            <w:rFonts w:eastAsiaTheme="minorEastAsia"/>
            <w:noProof/>
            <w:sz w:val="22"/>
            <w:szCs w:val="22"/>
            <w:lang w:eastAsia="ro-RO"/>
          </w:rPr>
          <w:tab/>
        </w:r>
        <w:r w:rsidRPr="000247E7">
          <w:rPr>
            <w:rStyle w:val="Hyperlink"/>
            <w:noProof/>
          </w:rPr>
          <w:t>Legea din 2007 privind Agenția de Stat pentru Securitate Națională</w:t>
        </w:r>
        <w:r>
          <w:rPr>
            <w:noProof/>
            <w:webHidden/>
          </w:rPr>
          <w:tab/>
        </w:r>
        <w:r>
          <w:rPr>
            <w:noProof/>
            <w:webHidden/>
          </w:rPr>
          <w:fldChar w:fldCharType="begin"/>
        </w:r>
        <w:r>
          <w:rPr>
            <w:noProof/>
            <w:webHidden/>
          </w:rPr>
          <w:instrText xml:space="preserve"> PAGEREF _Toc236764725 \h </w:instrText>
        </w:r>
        <w:r>
          <w:rPr>
            <w:noProof/>
            <w:webHidden/>
          </w:rPr>
        </w:r>
        <w:r>
          <w:rPr>
            <w:noProof/>
            <w:webHidden/>
          </w:rPr>
          <w:fldChar w:fldCharType="separate"/>
        </w:r>
        <w:r>
          <w:rPr>
            <w:noProof/>
            <w:webHidden/>
          </w:rPr>
          <w:t>10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26" w:history="1">
        <w:r w:rsidRPr="000247E7">
          <w:rPr>
            <w:rStyle w:val="Hyperlink"/>
            <w:noProof/>
          </w:rPr>
          <w:t>1.</w:t>
        </w:r>
        <w:r>
          <w:rPr>
            <w:rFonts w:eastAsiaTheme="minorEastAsia"/>
            <w:noProof/>
            <w:sz w:val="22"/>
            <w:szCs w:val="22"/>
            <w:lang w:eastAsia="ro-RO"/>
          </w:rPr>
          <w:tab/>
        </w:r>
        <w:r w:rsidRPr="000247E7">
          <w:rPr>
            <w:rStyle w:val="Hyperlink"/>
            <w:noProof/>
          </w:rPr>
          <w:t>Agenția, sarcinile și competențele sale</w:t>
        </w:r>
        <w:r>
          <w:rPr>
            <w:noProof/>
            <w:webHidden/>
          </w:rPr>
          <w:tab/>
        </w:r>
        <w:r>
          <w:rPr>
            <w:noProof/>
            <w:webHidden/>
          </w:rPr>
          <w:fldChar w:fldCharType="begin"/>
        </w:r>
        <w:r>
          <w:rPr>
            <w:noProof/>
            <w:webHidden/>
          </w:rPr>
          <w:instrText xml:space="preserve"> PAGEREF _Toc236764726 \h </w:instrText>
        </w:r>
        <w:r>
          <w:rPr>
            <w:noProof/>
            <w:webHidden/>
          </w:rPr>
        </w:r>
        <w:r>
          <w:rPr>
            <w:noProof/>
            <w:webHidden/>
          </w:rPr>
          <w:fldChar w:fldCharType="separate"/>
        </w:r>
        <w:r>
          <w:rPr>
            <w:noProof/>
            <w:webHidden/>
          </w:rPr>
          <w:t>10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27" w:history="1">
        <w:r w:rsidRPr="000247E7">
          <w:rPr>
            <w:rStyle w:val="Hyperlink"/>
            <w:noProof/>
          </w:rPr>
          <w:t>2.</w:t>
        </w:r>
        <w:r>
          <w:rPr>
            <w:rFonts w:eastAsiaTheme="minorEastAsia"/>
            <w:noProof/>
            <w:sz w:val="22"/>
            <w:szCs w:val="22"/>
            <w:lang w:eastAsia="ro-RO"/>
          </w:rPr>
          <w:tab/>
        </w:r>
        <w:r w:rsidRPr="000247E7">
          <w:rPr>
            <w:rStyle w:val="Hyperlink"/>
            <w:noProof/>
          </w:rPr>
          <w:t>Informatorii recrutați de Agenție</w:t>
        </w:r>
        <w:r>
          <w:rPr>
            <w:noProof/>
            <w:webHidden/>
          </w:rPr>
          <w:tab/>
        </w:r>
        <w:r>
          <w:rPr>
            <w:noProof/>
            <w:webHidden/>
          </w:rPr>
          <w:fldChar w:fldCharType="begin"/>
        </w:r>
        <w:r>
          <w:rPr>
            <w:noProof/>
            <w:webHidden/>
          </w:rPr>
          <w:instrText xml:space="preserve"> PAGEREF _Toc236764727 \h </w:instrText>
        </w:r>
        <w:r>
          <w:rPr>
            <w:noProof/>
            <w:webHidden/>
          </w:rPr>
        </w:r>
        <w:r>
          <w:rPr>
            <w:noProof/>
            <w:webHidden/>
          </w:rPr>
          <w:fldChar w:fldCharType="separate"/>
        </w:r>
        <w:r>
          <w:rPr>
            <w:noProof/>
            <w:webHidden/>
          </w:rPr>
          <w:t>11</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28" w:history="1">
        <w:r w:rsidRPr="000247E7">
          <w:rPr>
            <w:rStyle w:val="Hyperlink"/>
            <w:noProof/>
          </w:rPr>
          <w:t>3.</w:t>
        </w:r>
        <w:r>
          <w:rPr>
            <w:rFonts w:eastAsiaTheme="minorEastAsia"/>
            <w:noProof/>
            <w:sz w:val="22"/>
            <w:szCs w:val="22"/>
            <w:lang w:eastAsia="ro-RO"/>
          </w:rPr>
          <w:tab/>
        </w:r>
        <w:r w:rsidRPr="000247E7">
          <w:rPr>
            <w:rStyle w:val="Hyperlink"/>
            <w:noProof/>
          </w:rPr>
          <w:t>Datele cu caracter personal prelucrate de Agenție</w:t>
        </w:r>
        <w:r>
          <w:rPr>
            <w:noProof/>
            <w:webHidden/>
          </w:rPr>
          <w:tab/>
        </w:r>
        <w:r>
          <w:rPr>
            <w:noProof/>
            <w:webHidden/>
          </w:rPr>
          <w:fldChar w:fldCharType="begin"/>
        </w:r>
        <w:r>
          <w:rPr>
            <w:noProof/>
            <w:webHidden/>
          </w:rPr>
          <w:instrText xml:space="preserve"> PAGEREF _Toc236764728 \h </w:instrText>
        </w:r>
        <w:r>
          <w:rPr>
            <w:noProof/>
            <w:webHidden/>
          </w:rPr>
        </w:r>
        <w:r>
          <w:rPr>
            <w:noProof/>
            <w:webHidden/>
          </w:rPr>
          <w:fldChar w:fldCharType="separate"/>
        </w:r>
        <w:r>
          <w:rPr>
            <w:noProof/>
            <w:webHidden/>
          </w:rPr>
          <w:t>12</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29" w:history="1">
        <w:r w:rsidRPr="000247E7">
          <w:rPr>
            <w:rStyle w:val="Hyperlink"/>
            <w:noProof/>
          </w:rPr>
          <w:t>(a)</w:t>
        </w:r>
        <w:r>
          <w:rPr>
            <w:rFonts w:eastAsiaTheme="minorEastAsia"/>
            <w:noProof/>
            <w:sz w:val="22"/>
            <w:szCs w:val="22"/>
            <w:lang w:eastAsia="ro-RO"/>
          </w:rPr>
          <w:tab/>
        </w:r>
        <w:r w:rsidRPr="000247E7">
          <w:rPr>
            <w:rStyle w:val="Hyperlink"/>
            <w:noProof/>
          </w:rPr>
          <w:t>Accesul la datele cu caracter personal prelucrate de Agenție</w:t>
        </w:r>
        <w:r>
          <w:rPr>
            <w:noProof/>
            <w:webHidden/>
          </w:rPr>
          <w:tab/>
        </w:r>
        <w:r>
          <w:rPr>
            <w:noProof/>
            <w:webHidden/>
          </w:rPr>
          <w:fldChar w:fldCharType="begin"/>
        </w:r>
        <w:r>
          <w:rPr>
            <w:noProof/>
            <w:webHidden/>
          </w:rPr>
          <w:instrText xml:space="preserve"> PAGEREF _Toc236764729 \h </w:instrText>
        </w:r>
        <w:r>
          <w:rPr>
            <w:noProof/>
            <w:webHidden/>
          </w:rPr>
        </w:r>
        <w:r>
          <w:rPr>
            <w:noProof/>
            <w:webHidden/>
          </w:rPr>
          <w:fldChar w:fldCharType="separate"/>
        </w:r>
        <w:r>
          <w:rPr>
            <w:noProof/>
            <w:webHidden/>
          </w:rPr>
          <w:t>12</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730" w:history="1">
        <w:r w:rsidRPr="000247E7">
          <w:rPr>
            <w:rStyle w:val="Hyperlink"/>
            <w:noProof/>
            <w:lang w:bidi="en-US"/>
          </w:rPr>
          <w:t>(i)</w:t>
        </w:r>
        <w:r>
          <w:rPr>
            <w:rFonts w:eastAsiaTheme="minorEastAsia"/>
            <w:noProof/>
            <w:sz w:val="22"/>
            <w:szCs w:val="22"/>
            <w:lang w:eastAsia="ro-RO"/>
          </w:rPr>
          <w:tab/>
        </w:r>
        <w:r w:rsidRPr="000247E7">
          <w:rPr>
            <w:rStyle w:val="Hyperlink"/>
            <w:noProof/>
            <w:lang w:bidi="en-US"/>
          </w:rPr>
          <w:t>Dispoziții și reglementări legale relevante</w:t>
        </w:r>
        <w:r>
          <w:rPr>
            <w:noProof/>
            <w:webHidden/>
          </w:rPr>
          <w:tab/>
        </w:r>
        <w:r>
          <w:rPr>
            <w:noProof/>
            <w:webHidden/>
          </w:rPr>
          <w:fldChar w:fldCharType="begin"/>
        </w:r>
        <w:r>
          <w:rPr>
            <w:noProof/>
            <w:webHidden/>
          </w:rPr>
          <w:instrText xml:space="preserve"> PAGEREF _Toc236764730 \h </w:instrText>
        </w:r>
        <w:r>
          <w:rPr>
            <w:noProof/>
            <w:webHidden/>
          </w:rPr>
        </w:r>
        <w:r>
          <w:rPr>
            <w:noProof/>
            <w:webHidden/>
          </w:rPr>
          <w:fldChar w:fldCharType="separate"/>
        </w:r>
        <w:r>
          <w:rPr>
            <w:noProof/>
            <w:webHidden/>
          </w:rPr>
          <w:t>12</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731" w:history="1">
        <w:r w:rsidRPr="000247E7">
          <w:rPr>
            <w:rStyle w:val="Hyperlink"/>
            <w:noProof/>
            <w:lang w:bidi="en-US"/>
          </w:rPr>
          <w:t>(ii)</w:t>
        </w:r>
        <w:r>
          <w:rPr>
            <w:rFonts w:eastAsiaTheme="minorEastAsia"/>
            <w:noProof/>
            <w:sz w:val="22"/>
            <w:szCs w:val="22"/>
            <w:lang w:eastAsia="ro-RO"/>
          </w:rPr>
          <w:tab/>
        </w:r>
        <w:r w:rsidRPr="000247E7">
          <w:rPr>
            <w:rStyle w:val="Hyperlink"/>
            <w:noProof/>
            <w:lang w:bidi="en-US"/>
          </w:rPr>
          <w:t>Jurisprudența instanțelor bulgare în temeiul acestor dispoziții</w:t>
        </w:r>
        <w:r>
          <w:rPr>
            <w:noProof/>
            <w:webHidden/>
          </w:rPr>
          <w:tab/>
        </w:r>
        <w:r>
          <w:rPr>
            <w:noProof/>
            <w:webHidden/>
          </w:rPr>
          <w:fldChar w:fldCharType="begin"/>
        </w:r>
        <w:r>
          <w:rPr>
            <w:noProof/>
            <w:webHidden/>
          </w:rPr>
          <w:instrText xml:space="preserve"> PAGEREF _Toc236764731 \h </w:instrText>
        </w:r>
        <w:r>
          <w:rPr>
            <w:noProof/>
            <w:webHidden/>
          </w:rPr>
        </w:r>
        <w:r>
          <w:rPr>
            <w:noProof/>
            <w:webHidden/>
          </w:rPr>
          <w:fldChar w:fldCharType="separate"/>
        </w:r>
        <w:r>
          <w:rPr>
            <w:noProof/>
            <w:webHidden/>
          </w:rPr>
          <w:t>13</w:t>
        </w:r>
        <w:r>
          <w:rPr>
            <w:noProof/>
            <w:webHidden/>
          </w:rPr>
          <w:fldChar w:fldCharType="end"/>
        </w:r>
      </w:hyperlink>
    </w:p>
    <w:p w:rsidR="00C64FB7" w:rsidRDefault="00C64FB7">
      <w:pPr>
        <w:pStyle w:val="TOC7"/>
        <w:tabs>
          <w:tab w:val="left" w:pos="2721"/>
        </w:tabs>
        <w:rPr>
          <w:rFonts w:eastAsiaTheme="minorEastAsia"/>
          <w:noProof/>
          <w:sz w:val="22"/>
          <w:szCs w:val="22"/>
          <w:lang w:eastAsia="ro-RO"/>
        </w:rPr>
      </w:pPr>
      <w:hyperlink w:anchor="_Toc236764732" w:history="1">
        <w:r w:rsidRPr="000247E7">
          <w:rPr>
            <w:rStyle w:val="Hyperlink"/>
            <w:noProof/>
            <w:lang w:bidi="en-US"/>
          </w:rPr>
          <w:t>(α)</w:t>
        </w:r>
        <w:r>
          <w:rPr>
            <w:rFonts w:eastAsiaTheme="minorEastAsia"/>
            <w:noProof/>
            <w:sz w:val="22"/>
            <w:szCs w:val="22"/>
            <w:lang w:eastAsia="ro-RO"/>
          </w:rPr>
          <w:tab/>
        </w:r>
        <w:r w:rsidRPr="000247E7">
          <w:rPr>
            <w:rStyle w:val="Hyperlink"/>
            <w:noProof/>
            <w:lang w:bidi="en-US"/>
          </w:rPr>
          <w:t>Cauza din 2012</w:t>
        </w:r>
        <w:r>
          <w:rPr>
            <w:noProof/>
            <w:webHidden/>
          </w:rPr>
          <w:tab/>
        </w:r>
        <w:r>
          <w:rPr>
            <w:noProof/>
            <w:webHidden/>
          </w:rPr>
          <w:fldChar w:fldCharType="begin"/>
        </w:r>
        <w:r>
          <w:rPr>
            <w:noProof/>
            <w:webHidden/>
          </w:rPr>
          <w:instrText xml:space="preserve"> PAGEREF _Toc236764732 \h </w:instrText>
        </w:r>
        <w:r>
          <w:rPr>
            <w:noProof/>
            <w:webHidden/>
          </w:rPr>
        </w:r>
        <w:r>
          <w:rPr>
            <w:noProof/>
            <w:webHidden/>
          </w:rPr>
          <w:fldChar w:fldCharType="separate"/>
        </w:r>
        <w:r>
          <w:rPr>
            <w:noProof/>
            <w:webHidden/>
          </w:rPr>
          <w:t>13</w:t>
        </w:r>
        <w:r>
          <w:rPr>
            <w:noProof/>
            <w:webHidden/>
          </w:rPr>
          <w:fldChar w:fldCharType="end"/>
        </w:r>
      </w:hyperlink>
    </w:p>
    <w:p w:rsidR="00C64FB7" w:rsidRDefault="00C64FB7">
      <w:pPr>
        <w:pStyle w:val="TOC7"/>
        <w:tabs>
          <w:tab w:val="left" w:pos="2721"/>
        </w:tabs>
        <w:rPr>
          <w:rFonts w:eastAsiaTheme="minorEastAsia"/>
          <w:noProof/>
          <w:sz w:val="22"/>
          <w:szCs w:val="22"/>
          <w:lang w:eastAsia="ro-RO"/>
        </w:rPr>
      </w:pPr>
      <w:hyperlink w:anchor="_Toc236764733" w:history="1">
        <w:r w:rsidRPr="000247E7">
          <w:rPr>
            <w:rStyle w:val="Hyperlink"/>
            <w:noProof/>
            <w:lang w:bidi="en-US"/>
          </w:rPr>
          <w:t>(β)</w:t>
        </w:r>
        <w:r>
          <w:rPr>
            <w:rFonts w:eastAsiaTheme="minorEastAsia"/>
            <w:noProof/>
            <w:sz w:val="22"/>
            <w:szCs w:val="22"/>
            <w:lang w:eastAsia="ro-RO"/>
          </w:rPr>
          <w:tab/>
        </w:r>
        <w:r w:rsidRPr="000247E7">
          <w:rPr>
            <w:rStyle w:val="Hyperlink"/>
            <w:noProof/>
            <w:lang w:bidi="en-US"/>
          </w:rPr>
          <w:t>Cauza din 2014-2018</w:t>
        </w:r>
        <w:r>
          <w:rPr>
            <w:noProof/>
            <w:webHidden/>
          </w:rPr>
          <w:tab/>
        </w:r>
        <w:r>
          <w:rPr>
            <w:noProof/>
            <w:webHidden/>
          </w:rPr>
          <w:fldChar w:fldCharType="begin"/>
        </w:r>
        <w:r>
          <w:rPr>
            <w:noProof/>
            <w:webHidden/>
          </w:rPr>
          <w:instrText xml:space="preserve"> PAGEREF _Toc236764733 \h </w:instrText>
        </w:r>
        <w:r>
          <w:rPr>
            <w:noProof/>
            <w:webHidden/>
          </w:rPr>
        </w:r>
        <w:r>
          <w:rPr>
            <w:noProof/>
            <w:webHidden/>
          </w:rPr>
          <w:fldChar w:fldCharType="separate"/>
        </w:r>
        <w:r>
          <w:rPr>
            <w:noProof/>
            <w:webHidden/>
          </w:rPr>
          <w:t>13</w:t>
        </w:r>
        <w:r>
          <w:rPr>
            <w:noProof/>
            <w:webHidden/>
          </w:rPr>
          <w:fldChar w:fldCharType="end"/>
        </w:r>
      </w:hyperlink>
    </w:p>
    <w:p w:rsidR="00C64FB7" w:rsidRDefault="00C64FB7">
      <w:pPr>
        <w:pStyle w:val="TOC7"/>
        <w:rPr>
          <w:rFonts w:eastAsiaTheme="minorEastAsia"/>
          <w:noProof/>
          <w:sz w:val="22"/>
          <w:szCs w:val="22"/>
          <w:lang w:eastAsia="ro-RO"/>
        </w:rPr>
      </w:pPr>
      <w:hyperlink w:anchor="_Toc236764734" w:history="1">
        <w:r w:rsidRPr="000247E7">
          <w:rPr>
            <w:rStyle w:val="Hyperlink"/>
            <w:noProof/>
            <w:lang w:bidi="en-US"/>
          </w:rPr>
          <w:t>(γ)</w:t>
        </w:r>
        <w:r>
          <w:rPr>
            <w:noProof/>
            <w:webHidden/>
          </w:rPr>
          <w:tab/>
        </w:r>
        <w:r>
          <w:rPr>
            <w:noProof/>
            <w:webHidden/>
          </w:rPr>
          <w:fldChar w:fldCharType="begin"/>
        </w:r>
        <w:r>
          <w:rPr>
            <w:noProof/>
            <w:webHidden/>
          </w:rPr>
          <w:instrText xml:space="preserve"> PAGEREF _Toc236764734 \h </w:instrText>
        </w:r>
        <w:r>
          <w:rPr>
            <w:noProof/>
            <w:webHidden/>
          </w:rPr>
        </w:r>
        <w:r>
          <w:rPr>
            <w:noProof/>
            <w:webHidden/>
          </w:rPr>
          <w:fldChar w:fldCharType="separate"/>
        </w:r>
        <w:r>
          <w:rPr>
            <w:noProof/>
            <w:webHidden/>
          </w:rPr>
          <w:t>14</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35" w:history="1">
        <w:r w:rsidRPr="000247E7">
          <w:rPr>
            <w:rStyle w:val="Hyperlink"/>
            <w:noProof/>
          </w:rPr>
          <w:t>(b)</w:t>
        </w:r>
        <w:r>
          <w:rPr>
            <w:rFonts w:eastAsiaTheme="minorEastAsia"/>
            <w:noProof/>
            <w:sz w:val="22"/>
            <w:szCs w:val="22"/>
            <w:lang w:eastAsia="ro-RO"/>
          </w:rPr>
          <w:tab/>
        </w:r>
        <w:r w:rsidRPr="000247E7">
          <w:rPr>
            <w:rStyle w:val="Hyperlink"/>
            <w:noProof/>
          </w:rPr>
          <w:t>Supravegherea prelucrării datelor cu caracter personal de către Agenție</w:t>
        </w:r>
        <w:r>
          <w:rPr>
            <w:noProof/>
            <w:webHidden/>
          </w:rPr>
          <w:tab/>
        </w:r>
        <w:r>
          <w:rPr>
            <w:noProof/>
            <w:webHidden/>
          </w:rPr>
          <w:fldChar w:fldCharType="begin"/>
        </w:r>
        <w:r>
          <w:rPr>
            <w:noProof/>
            <w:webHidden/>
          </w:rPr>
          <w:instrText xml:space="preserve"> PAGEREF _Toc236764735 \h </w:instrText>
        </w:r>
        <w:r>
          <w:rPr>
            <w:noProof/>
            <w:webHidden/>
          </w:rPr>
        </w:r>
        <w:r>
          <w:rPr>
            <w:noProof/>
            <w:webHidden/>
          </w:rPr>
          <w:fldChar w:fldCharType="separate"/>
        </w:r>
        <w:r>
          <w:rPr>
            <w:noProof/>
            <w:webHidden/>
          </w:rPr>
          <w:t>14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36" w:history="1">
        <w:r w:rsidRPr="000247E7">
          <w:rPr>
            <w:rStyle w:val="Hyperlink"/>
            <w:noProof/>
          </w:rPr>
          <w:t>4.</w:t>
        </w:r>
        <w:r>
          <w:rPr>
            <w:rFonts w:eastAsiaTheme="minorEastAsia"/>
            <w:noProof/>
            <w:sz w:val="22"/>
            <w:szCs w:val="22"/>
            <w:lang w:eastAsia="ro-RO"/>
          </w:rPr>
          <w:tab/>
        </w:r>
        <w:r w:rsidRPr="000247E7">
          <w:rPr>
            <w:rStyle w:val="Hyperlink"/>
            <w:noProof/>
          </w:rPr>
          <w:t>Supravegherea generală a activității Agenției</w:t>
        </w:r>
        <w:r>
          <w:rPr>
            <w:noProof/>
            <w:webHidden/>
          </w:rPr>
          <w:tab/>
        </w:r>
        <w:r>
          <w:rPr>
            <w:noProof/>
            <w:webHidden/>
          </w:rPr>
          <w:fldChar w:fldCharType="begin"/>
        </w:r>
        <w:r>
          <w:rPr>
            <w:noProof/>
            <w:webHidden/>
          </w:rPr>
          <w:instrText xml:space="preserve"> PAGEREF _Toc236764736 \h </w:instrText>
        </w:r>
        <w:r>
          <w:rPr>
            <w:noProof/>
            <w:webHidden/>
          </w:rPr>
        </w:r>
        <w:r>
          <w:rPr>
            <w:noProof/>
            <w:webHidden/>
          </w:rPr>
          <w:fldChar w:fldCharType="separate"/>
        </w:r>
        <w:r>
          <w:rPr>
            <w:noProof/>
            <w:webHidden/>
          </w:rPr>
          <w:t>14</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37" w:history="1">
        <w:r w:rsidRPr="000247E7">
          <w:rPr>
            <w:rStyle w:val="Hyperlink"/>
            <w:noProof/>
          </w:rPr>
          <w:t>(a)</w:t>
        </w:r>
        <w:r>
          <w:rPr>
            <w:rFonts w:eastAsiaTheme="minorEastAsia"/>
            <w:noProof/>
            <w:sz w:val="22"/>
            <w:szCs w:val="22"/>
            <w:lang w:eastAsia="ro-RO"/>
          </w:rPr>
          <w:tab/>
        </w:r>
        <w:r w:rsidRPr="000247E7">
          <w:rPr>
            <w:rStyle w:val="Hyperlink"/>
            <w:noProof/>
          </w:rPr>
          <w:t>Supravegherea de către Parlament</w:t>
        </w:r>
        <w:r>
          <w:rPr>
            <w:noProof/>
            <w:webHidden/>
          </w:rPr>
          <w:tab/>
        </w:r>
        <w:r>
          <w:rPr>
            <w:noProof/>
            <w:webHidden/>
          </w:rPr>
          <w:fldChar w:fldCharType="begin"/>
        </w:r>
        <w:r>
          <w:rPr>
            <w:noProof/>
            <w:webHidden/>
          </w:rPr>
          <w:instrText xml:space="preserve"> PAGEREF _Toc236764737 \h </w:instrText>
        </w:r>
        <w:r>
          <w:rPr>
            <w:noProof/>
            <w:webHidden/>
          </w:rPr>
        </w:r>
        <w:r>
          <w:rPr>
            <w:noProof/>
            <w:webHidden/>
          </w:rPr>
          <w:fldChar w:fldCharType="separate"/>
        </w:r>
        <w:r>
          <w:rPr>
            <w:noProof/>
            <w:webHidden/>
          </w:rPr>
          <w:t>14</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38" w:history="1">
        <w:r w:rsidRPr="000247E7">
          <w:rPr>
            <w:rStyle w:val="Hyperlink"/>
            <w:noProof/>
          </w:rPr>
          <w:t>(b)</w:t>
        </w:r>
        <w:r>
          <w:rPr>
            <w:rFonts w:eastAsiaTheme="minorEastAsia"/>
            <w:noProof/>
            <w:sz w:val="22"/>
            <w:szCs w:val="22"/>
            <w:lang w:eastAsia="ro-RO"/>
          </w:rPr>
          <w:tab/>
        </w:r>
        <w:r w:rsidRPr="000247E7">
          <w:rPr>
            <w:rStyle w:val="Hyperlink"/>
            <w:noProof/>
          </w:rPr>
          <w:t>Supravegherea de către Guvern</w:t>
        </w:r>
        <w:r>
          <w:rPr>
            <w:noProof/>
            <w:webHidden/>
          </w:rPr>
          <w:tab/>
        </w:r>
        <w:r>
          <w:rPr>
            <w:noProof/>
            <w:webHidden/>
          </w:rPr>
          <w:fldChar w:fldCharType="begin"/>
        </w:r>
        <w:r>
          <w:rPr>
            <w:noProof/>
            <w:webHidden/>
          </w:rPr>
          <w:instrText xml:space="preserve"> PAGEREF _Toc236764738 \h </w:instrText>
        </w:r>
        <w:r>
          <w:rPr>
            <w:noProof/>
            <w:webHidden/>
          </w:rPr>
        </w:r>
        <w:r>
          <w:rPr>
            <w:noProof/>
            <w:webHidden/>
          </w:rPr>
          <w:fldChar w:fldCharType="separate"/>
        </w:r>
        <w:r>
          <w:rPr>
            <w:noProof/>
            <w:webHidden/>
          </w:rPr>
          <w:t>15</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39" w:history="1">
        <w:r w:rsidRPr="000247E7">
          <w:rPr>
            <w:rStyle w:val="Hyperlink"/>
            <w:noProof/>
          </w:rPr>
          <w:t>(c)</w:t>
        </w:r>
        <w:r>
          <w:rPr>
            <w:rFonts w:eastAsiaTheme="minorEastAsia"/>
            <w:noProof/>
            <w:sz w:val="22"/>
            <w:szCs w:val="22"/>
            <w:lang w:eastAsia="ro-RO"/>
          </w:rPr>
          <w:tab/>
        </w:r>
        <w:r w:rsidRPr="000247E7">
          <w:rPr>
            <w:rStyle w:val="Hyperlink"/>
            <w:noProof/>
          </w:rPr>
          <w:t>Supravegherea de către Președintele Republicii</w:t>
        </w:r>
        <w:r>
          <w:rPr>
            <w:noProof/>
            <w:webHidden/>
          </w:rPr>
          <w:tab/>
        </w:r>
        <w:r>
          <w:rPr>
            <w:noProof/>
            <w:webHidden/>
          </w:rPr>
          <w:fldChar w:fldCharType="begin"/>
        </w:r>
        <w:r>
          <w:rPr>
            <w:noProof/>
            <w:webHidden/>
          </w:rPr>
          <w:instrText xml:space="preserve"> PAGEREF _Toc236764739 \h </w:instrText>
        </w:r>
        <w:r>
          <w:rPr>
            <w:noProof/>
            <w:webHidden/>
          </w:rPr>
        </w:r>
        <w:r>
          <w:rPr>
            <w:noProof/>
            <w:webHidden/>
          </w:rPr>
          <w:fldChar w:fldCharType="separate"/>
        </w:r>
        <w:r>
          <w:rPr>
            <w:noProof/>
            <w:webHidden/>
          </w:rPr>
          <w:t>15</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40" w:history="1">
        <w:r w:rsidRPr="000247E7">
          <w:rPr>
            <w:rStyle w:val="Hyperlink"/>
            <w:caps/>
            <w:noProof/>
          </w:rPr>
          <w:t>B.</w:t>
        </w:r>
        <w:r>
          <w:rPr>
            <w:rFonts w:eastAsiaTheme="minorEastAsia"/>
            <w:noProof/>
            <w:sz w:val="22"/>
            <w:szCs w:val="22"/>
            <w:lang w:eastAsia="ro-RO"/>
          </w:rPr>
          <w:tab/>
        </w:r>
        <w:r w:rsidRPr="000247E7">
          <w:rPr>
            <w:rStyle w:val="Hyperlink"/>
            <w:noProof/>
          </w:rPr>
          <w:t>Legea din 1997 privind mijloacele speciale de supraveghere</w:t>
        </w:r>
        <w:r>
          <w:rPr>
            <w:noProof/>
            <w:webHidden/>
          </w:rPr>
          <w:tab/>
        </w:r>
        <w:r>
          <w:rPr>
            <w:noProof/>
            <w:webHidden/>
          </w:rPr>
          <w:fldChar w:fldCharType="begin"/>
        </w:r>
        <w:r>
          <w:rPr>
            <w:noProof/>
            <w:webHidden/>
          </w:rPr>
          <w:instrText xml:space="preserve"> PAGEREF _Toc236764740 \h </w:instrText>
        </w:r>
        <w:r>
          <w:rPr>
            <w:noProof/>
            <w:webHidden/>
          </w:rPr>
        </w:r>
        <w:r>
          <w:rPr>
            <w:noProof/>
            <w:webHidden/>
          </w:rPr>
          <w:fldChar w:fldCharType="separate"/>
        </w:r>
        <w:r>
          <w:rPr>
            <w:noProof/>
            <w:webHidden/>
          </w:rPr>
          <w:t>15</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41" w:history="1">
        <w:r w:rsidRPr="000247E7">
          <w:rPr>
            <w:rStyle w:val="Hyperlink"/>
            <w:noProof/>
          </w:rPr>
          <w:t>C.</w:t>
        </w:r>
        <w:r>
          <w:rPr>
            <w:rFonts w:eastAsiaTheme="minorEastAsia"/>
            <w:noProof/>
            <w:sz w:val="22"/>
            <w:szCs w:val="22"/>
            <w:lang w:eastAsia="ro-RO"/>
          </w:rPr>
          <w:tab/>
        </w:r>
        <w:r w:rsidRPr="000247E7">
          <w:rPr>
            <w:rStyle w:val="Hyperlink"/>
            <w:noProof/>
          </w:rPr>
          <w:t>Legea din 2002 privind protecția datelor cu caracter personal</w:t>
        </w:r>
        <w:r>
          <w:rPr>
            <w:noProof/>
            <w:webHidden/>
          </w:rPr>
          <w:tab/>
        </w:r>
        <w:r>
          <w:rPr>
            <w:noProof/>
            <w:webHidden/>
          </w:rPr>
          <w:fldChar w:fldCharType="begin"/>
        </w:r>
        <w:r>
          <w:rPr>
            <w:noProof/>
            <w:webHidden/>
          </w:rPr>
          <w:instrText xml:space="preserve"> PAGEREF _Toc236764741 \h </w:instrText>
        </w:r>
        <w:r>
          <w:rPr>
            <w:noProof/>
            <w:webHidden/>
          </w:rPr>
        </w:r>
        <w:r>
          <w:rPr>
            <w:noProof/>
            <w:webHidden/>
          </w:rPr>
          <w:fldChar w:fldCharType="separate"/>
        </w:r>
        <w:r>
          <w:rPr>
            <w:noProof/>
            <w:webHidden/>
          </w:rPr>
          <w:t>16</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42" w:history="1">
        <w:r w:rsidRPr="000247E7">
          <w:rPr>
            <w:rStyle w:val="Hyperlink"/>
            <w:noProof/>
          </w:rPr>
          <w:t>1.</w:t>
        </w:r>
        <w:r>
          <w:rPr>
            <w:rFonts w:eastAsiaTheme="minorEastAsia"/>
            <w:noProof/>
            <w:sz w:val="22"/>
            <w:szCs w:val="22"/>
            <w:lang w:eastAsia="ro-RO"/>
          </w:rPr>
          <w:tab/>
        </w:r>
        <w:r w:rsidRPr="000247E7">
          <w:rPr>
            <w:rStyle w:val="Hyperlink"/>
            <w:noProof/>
          </w:rPr>
          <w:t>Domeniu de aplicare</w:t>
        </w:r>
        <w:r>
          <w:rPr>
            <w:noProof/>
            <w:webHidden/>
          </w:rPr>
          <w:tab/>
        </w:r>
        <w:r>
          <w:rPr>
            <w:noProof/>
            <w:webHidden/>
          </w:rPr>
          <w:fldChar w:fldCharType="begin"/>
        </w:r>
        <w:r>
          <w:rPr>
            <w:noProof/>
            <w:webHidden/>
          </w:rPr>
          <w:instrText xml:space="preserve"> PAGEREF _Toc236764742 \h </w:instrText>
        </w:r>
        <w:r>
          <w:rPr>
            <w:noProof/>
            <w:webHidden/>
          </w:rPr>
        </w:r>
        <w:r>
          <w:rPr>
            <w:noProof/>
            <w:webHidden/>
          </w:rPr>
          <w:fldChar w:fldCharType="separate"/>
        </w:r>
        <w:r>
          <w:rPr>
            <w:noProof/>
            <w:webHidden/>
          </w:rPr>
          <w:t>17</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43" w:history="1">
        <w:r w:rsidRPr="000247E7">
          <w:rPr>
            <w:rStyle w:val="Hyperlink"/>
            <w:noProof/>
          </w:rPr>
          <w:t>(a)</w:t>
        </w:r>
        <w:r>
          <w:rPr>
            <w:rFonts w:eastAsiaTheme="minorEastAsia"/>
            <w:noProof/>
            <w:sz w:val="22"/>
            <w:szCs w:val="22"/>
            <w:lang w:eastAsia="ro-RO"/>
          </w:rPr>
          <w:tab/>
        </w:r>
        <w:r w:rsidRPr="000247E7">
          <w:rPr>
            <w:rStyle w:val="Hyperlink"/>
            <w:i/>
            <w:noProof/>
          </w:rPr>
          <w:t>Ratione personae</w:t>
        </w:r>
        <w:r>
          <w:rPr>
            <w:noProof/>
            <w:webHidden/>
          </w:rPr>
          <w:tab/>
        </w:r>
        <w:r>
          <w:rPr>
            <w:noProof/>
            <w:webHidden/>
          </w:rPr>
          <w:fldChar w:fldCharType="begin"/>
        </w:r>
        <w:r>
          <w:rPr>
            <w:noProof/>
            <w:webHidden/>
          </w:rPr>
          <w:instrText xml:space="preserve"> PAGEREF _Toc236764743 \h </w:instrText>
        </w:r>
        <w:r>
          <w:rPr>
            <w:noProof/>
            <w:webHidden/>
          </w:rPr>
        </w:r>
        <w:r>
          <w:rPr>
            <w:noProof/>
            <w:webHidden/>
          </w:rPr>
          <w:fldChar w:fldCharType="separate"/>
        </w:r>
        <w:r>
          <w:rPr>
            <w:noProof/>
            <w:webHidden/>
          </w:rPr>
          <w:t>17</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44" w:history="1">
        <w:r w:rsidRPr="000247E7">
          <w:rPr>
            <w:rStyle w:val="Hyperlink"/>
            <w:noProof/>
          </w:rPr>
          <w:t>(b)</w:t>
        </w:r>
        <w:r>
          <w:rPr>
            <w:rFonts w:eastAsiaTheme="minorEastAsia"/>
            <w:noProof/>
            <w:sz w:val="22"/>
            <w:szCs w:val="22"/>
            <w:lang w:eastAsia="ro-RO"/>
          </w:rPr>
          <w:tab/>
        </w:r>
        <w:r w:rsidRPr="000247E7">
          <w:rPr>
            <w:rStyle w:val="Hyperlink"/>
            <w:noProof/>
          </w:rPr>
          <w:t>Aplicarea acestor dispoziții în cazul prelucrării în scopuri legate de securitatea națională</w:t>
        </w:r>
        <w:r>
          <w:rPr>
            <w:noProof/>
            <w:webHidden/>
          </w:rPr>
          <w:tab/>
        </w:r>
        <w:r>
          <w:rPr>
            <w:noProof/>
            <w:webHidden/>
          </w:rPr>
          <w:fldChar w:fldCharType="begin"/>
        </w:r>
        <w:r>
          <w:rPr>
            <w:noProof/>
            <w:webHidden/>
          </w:rPr>
          <w:instrText xml:space="preserve"> PAGEREF _Toc236764744 \h </w:instrText>
        </w:r>
        <w:r>
          <w:rPr>
            <w:noProof/>
            <w:webHidden/>
          </w:rPr>
        </w:r>
        <w:r>
          <w:rPr>
            <w:noProof/>
            <w:webHidden/>
          </w:rPr>
          <w:fldChar w:fldCharType="separate"/>
        </w:r>
        <w:r>
          <w:rPr>
            <w:noProof/>
            <w:webHidden/>
          </w:rPr>
          <w:t>17</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45" w:history="1">
        <w:r w:rsidRPr="000247E7">
          <w:rPr>
            <w:rStyle w:val="Hyperlink"/>
            <w:noProof/>
          </w:rPr>
          <w:t>2.</w:t>
        </w:r>
        <w:r>
          <w:rPr>
            <w:rFonts w:eastAsiaTheme="minorEastAsia"/>
            <w:noProof/>
            <w:sz w:val="22"/>
            <w:szCs w:val="22"/>
            <w:lang w:eastAsia="ro-RO"/>
          </w:rPr>
          <w:tab/>
        </w:r>
        <w:r w:rsidRPr="000247E7">
          <w:rPr>
            <w:rStyle w:val="Hyperlink"/>
            <w:noProof/>
          </w:rPr>
          <w:t>Dreptul de acces la datele cu caracter personal și restrângerile aplicate acestui drept</w:t>
        </w:r>
        <w:r>
          <w:rPr>
            <w:noProof/>
            <w:webHidden/>
          </w:rPr>
          <w:tab/>
        </w:r>
        <w:r>
          <w:rPr>
            <w:noProof/>
            <w:webHidden/>
          </w:rPr>
          <w:fldChar w:fldCharType="begin"/>
        </w:r>
        <w:r>
          <w:rPr>
            <w:noProof/>
            <w:webHidden/>
          </w:rPr>
          <w:instrText xml:space="preserve"> PAGEREF _Toc236764745 \h </w:instrText>
        </w:r>
        <w:r>
          <w:rPr>
            <w:noProof/>
            <w:webHidden/>
          </w:rPr>
        </w:r>
        <w:r>
          <w:rPr>
            <w:noProof/>
            <w:webHidden/>
          </w:rPr>
          <w:fldChar w:fldCharType="separate"/>
        </w:r>
        <w:r>
          <w:rPr>
            <w:noProof/>
            <w:webHidden/>
          </w:rPr>
          <w:t>18</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46" w:history="1">
        <w:r w:rsidRPr="000247E7">
          <w:rPr>
            <w:rStyle w:val="Hyperlink"/>
            <w:noProof/>
          </w:rPr>
          <w:t>(a)</w:t>
        </w:r>
        <w:r>
          <w:rPr>
            <w:rFonts w:eastAsiaTheme="minorEastAsia"/>
            <w:noProof/>
            <w:sz w:val="22"/>
            <w:szCs w:val="22"/>
            <w:lang w:eastAsia="ro-RO"/>
          </w:rPr>
          <w:tab/>
        </w:r>
        <w:r w:rsidRPr="000247E7">
          <w:rPr>
            <w:rStyle w:val="Hyperlink"/>
            <w:noProof/>
          </w:rPr>
          <w:t>Cu privire la prelucrarea care intră în domeniul de aplicare al RGPD</w:t>
        </w:r>
        <w:r>
          <w:rPr>
            <w:noProof/>
            <w:webHidden/>
          </w:rPr>
          <w:tab/>
        </w:r>
        <w:r>
          <w:rPr>
            <w:noProof/>
            <w:webHidden/>
          </w:rPr>
          <w:fldChar w:fldCharType="begin"/>
        </w:r>
        <w:r>
          <w:rPr>
            <w:noProof/>
            <w:webHidden/>
          </w:rPr>
          <w:instrText xml:space="preserve"> PAGEREF _Toc236764746 \h </w:instrText>
        </w:r>
        <w:r>
          <w:rPr>
            <w:noProof/>
            <w:webHidden/>
          </w:rPr>
        </w:r>
        <w:r>
          <w:rPr>
            <w:noProof/>
            <w:webHidden/>
          </w:rPr>
          <w:fldChar w:fldCharType="separate"/>
        </w:r>
        <w:r>
          <w:rPr>
            <w:noProof/>
            <w:webHidden/>
          </w:rPr>
          <w:t>18</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47" w:history="1">
        <w:r w:rsidRPr="000247E7">
          <w:rPr>
            <w:rStyle w:val="Hyperlink"/>
            <w:noProof/>
          </w:rPr>
          <w:t>(b)</w:t>
        </w:r>
        <w:r>
          <w:rPr>
            <w:rFonts w:eastAsiaTheme="minorEastAsia"/>
            <w:noProof/>
            <w:sz w:val="22"/>
            <w:szCs w:val="22"/>
            <w:lang w:eastAsia="ro-RO"/>
          </w:rPr>
          <w:tab/>
        </w:r>
        <w:r w:rsidRPr="000247E7">
          <w:rPr>
            <w:rStyle w:val="Hyperlink"/>
            <w:noProof/>
          </w:rPr>
          <w:t>Cu privire la prelucrarea datelor de către autorități în scopul aplicării legii</w:t>
        </w:r>
        <w:r>
          <w:rPr>
            <w:noProof/>
            <w:webHidden/>
          </w:rPr>
          <w:tab/>
        </w:r>
        <w:r>
          <w:rPr>
            <w:noProof/>
            <w:webHidden/>
          </w:rPr>
          <w:fldChar w:fldCharType="begin"/>
        </w:r>
        <w:r>
          <w:rPr>
            <w:noProof/>
            <w:webHidden/>
          </w:rPr>
          <w:instrText xml:space="preserve"> PAGEREF _Toc236764747 \h </w:instrText>
        </w:r>
        <w:r>
          <w:rPr>
            <w:noProof/>
            <w:webHidden/>
          </w:rPr>
        </w:r>
        <w:r>
          <w:rPr>
            <w:noProof/>
            <w:webHidden/>
          </w:rPr>
          <w:fldChar w:fldCharType="separate"/>
        </w:r>
        <w:r>
          <w:rPr>
            <w:noProof/>
            <w:webHidden/>
          </w:rPr>
          <w:t>18</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48" w:history="1">
        <w:r w:rsidRPr="000247E7">
          <w:rPr>
            <w:rStyle w:val="Hyperlink"/>
            <w:noProof/>
          </w:rPr>
          <w:t>3.</w:t>
        </w:r>
        <w:r>
          <w:rPr>
            <w:rFonts w:eastAsiaTheme="minorEastAsia"/>
            <w:noProof/>
            <w:sz w:val="22"/>
            <w:szCs w:val="22"/>
            <w:lang w:eastAsia="ro-RO"/>
          </w:rPr>
          <w:tab/>
        </w:r>
        <w:r w:rsidRPr="000247E7">
          <w:rPr>
            <w:rStyle w:val="Hyperlink"/>
            <w:noProof/>
          </w:rPr>
          <w:t>Autoritatea de supraveghere</w:t>
        </w:r>
        <w:r>
          <w:rPr>
            <w:noProof/>
            <w:webHidden/>
          </w:rPr>
          <w:tab/>
        </w:r>
        <w:r>
          <w:rPr>
            <w:noProof/>
            <w:webHidden/>
          </w:rPr>
          <w:fldChar w:fldCharType="begin"/>
        </w:r>
        <w:r>
          <w:rPr>
            <w:noProof/>
            <w:webHidden/>
          </w:rPr>
          <w:instrText xml:space="preserve"> PAGEREF _Toc236764748 \h </w:instrText>
        </w:r>
        <w:r>
          <w:rPr>
            <w:noProof/>
            <w:webHidden/>
          </w:rPr>
        </w:r>
        <w:r>
          <w:rPr>
            <w:noProof/>
            <w:webHidden/>
          </w:rPr>
          <w:fldChar w:fldCharType="separate"/>
        </w:r>
        <w:r>
          <w:rPr>
            <w:noProof/>
            <w:webHidden/>
          </w:rPr>
          <w:t>19</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49" w:history="1">
        <w:r w:rsidRPr="000247E7">
          <w:rPr>
            <w:rStyle w:val="Hyperlink"/>
            <w:noProof/>
          </w:rPr>
          <w:t>4.</w:t>
        </w:r>
        <w:r>
          <w:rPr>
            <w:rFonts w:eastAsiaTheme="minorEastAsia"/>
            <w:noProof/>
            <w:sz w:val="22"/>
            <w:szCs w:val="22"/>
            <w:lang w:eastAsia="ro-RO"/>
          </w:rPr>
          <w:tab/>
        </w:r>
        <w:r w:rsidRPr="000247E7">
          <w:rPr>
            <w:rStyle w:val="Hyperlink"/>
            <w:noProof/>
          </w:rPr>
          <w:t>Căi de atac</w:t>
        </w:r>
        <w:r>
          <w:rPr>
            <w:noProof/>
            <w:webHidden/>
          </w:rPr>
          <w:tab/>
        </w:r>
        <w:r>
          <w:rPr>
            <w:noProof/>
            <w:webHidden/>
          </w:rPr>
          <w:fldChar w:fldCharType="begin"/>
        </w:r>
        <w:r>
          <w:rPr>
            <w:noProof/>
            <w:webHidden/>
          </w:rPr>
          <w:instrText xml:space="preserve"> PAGEREF _Toc236764749 \h </w:instrText>
        </w:r>
        <w:r>
          <w:rPr>
            <w:noProof/>
            <w:webHidden/>
          </w:rPr>
        </w:r>
        <w:r>
          <w:rPr>
            <w:noProof/>
            <w:webHidden/>
          </w:rPr>
          <w:fldChar w:fldCharType="separate"/>
        </w:r>
        <w:r>
          <w:rPr>
            <w:noProof/>
            <w:webHidden/>
          </w:rPr>
          <w:t>20</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50" w:history="1">
        <w:r w:rsidRPr="000247E7">
          <w:rPr>
            <w:rStyle w:val="Hyperlink"/>
            <w:noProof/>
          </w:rPr>
          <w:t>(a)</w:t>
        </w:r>
        <w:r>
          <w:rPr>
            <w:rFonts w:eastAsiaTheme="minorEastAsia"/>
            <w:noProof/>
            <w:sz w:val="22"/>
            <w:szCs w:val="22"/>
            <w:lang w:eastAsia="ro-RO"/>
          </w:rPr>
          <w:tab/>
        </w:r>
        <w:r w:rsidRPr="000247E7">
          <w:rPr>
            <w:rStyle w:val="Hyperlink"/>
            <w:noProof/>
          </w:rPr>
          <w:t>În ceea ce privește prelucrarea care intră în domeniul de aplicare al RGPD</w:t>
        </w:r>
        <w:r>
          <w:rPr>
            <w:noProof/>
            <w:webHidden/>
          </w:rPr>
          <w:tab/>
        </w:r>
        <w:r>
          <w:rPr>
            <w:noProof/>
            <w:webHidden/>
          </w:rPr>
          <w:fldChar w:fldCharType="begin"/>
        </w:r>
        <w:r>
          <w:rPr>
            <w:noProof/>
            <w:webHidden/>
          </w:rPr>
          <w:instrText xml:space="preserve"> PAGEREF _Toc236764750 \h </w:instrText>
        </w:r>
        <w:r>
          <w:rPr>
            <w:noProof/>
            <w:webHidden/>
          </w:rPr>
        </w:r>
        <w:r>
          <w:rPr>
            <w:noProof/>
            <w:webHidden/>
          </w:rPr>
          <w:fldChar w:fldCharType="separate"/>
        </w:r>
        <w:r>
          <w:rPr>
            <w:noProof/>
            <w:webHidden/>
          </w:rPr>
          <w:t>20</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51" w:history="1">
        <w:r w:rsidRPr="000247E7">
          <w:rPr>
            <w:rStyle w:val="Hyperlink"/>
            <w:noProof/>
          </w:rPr>
          <w:t>(b)</w:t>
        </w:r>
        <w:r>
          <w:rPr>
            <w:rFonts w:eastAsiaTheme="minorEastAsia"/>
            <w:noProof/>
            <w:sz w:val="22"/>
            <w:szCs w:val="22"/>
            <w:lang w:eastAsia="ro-RO"/>
          </w:rPr>
          <w:tab/>
        </w:r>
        <w:r w:rsidRPr="000247E7">
          <w:rPr>
            <w:rStyle w:val="Hyperlink"/>
            <w:noProof/>
          </w:rPr>
          <w:t>În ceea ce privește prelucrarea efectuată de autorități în scopul aplicării legii</w:t>
        </w:r>
        <w:r>
          <w:rPr>
            <w:noProof/>
            <w:webHidden/>
          </w:rPr>
          <w:tab/>
        </w:r>
        <w:r>
          <w:rPr>
            <w:noProof/>
            <w:webHidden/>
          </w:rPr>
          <w:fldChar w:fldCharType="begin"/>
        </w:r>
        <w:r>
          <w:rPr>
            <w:noProof/>
            <w:webHidden/>
          </w:rPr>
          <w:instrText xml:space="preserve"> PAGEREF _Toc236764751 \h </w:instrText>
        </w:r>
        <w:r>
          <w:rPr>
            <w:noProof/>
            <w:webHidden/>
          </w:rPr>
        </w:r>
        <w:r>
          <w:rPr>
            <w:noProof/>
            <w:webHidden/>
          </w:rPr>
          <w:fldChar w:fldCharType="separate"/>
        </w:r>
        <w:r>
          <w:rPr>
            <w:noProof/>
            <w:webHidden/>
          </w:rPr>
          <w:t>20</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52" w:history="1">
        <w:r w:rsidRPr="000247E7">
          <w:rPr>
            <w:rStyle w:val="Hyperlink"/>
            <w:caps/>
            <w:noProof/>
          </w:rPr>
          <w:t>D.</w:t>
        </w:r>
        <w:r>
          <w:rPr>
            <w:rFonts w:eastAsiaTheme="minorEastAsia"/>
            <w:noProof/>
            <w:sz w:val="22"/>
            <w:szCs w:val="22"/>
            <w:lang w:eastAsia="ro-RO"/>
          </w:rPr>
          <w:tab/>
        </w:r>
        <w:r w:rsidRPr="000247E7">
          <w:rPr>
            <w:rStyle w:val="Hyperlink"/>
            <w:noProof/>
          </w:rPr>
          <w:t>Legea din 2002 privind protecția informațiilor clasificate</w:t>
        </w:r>
        <w:r>
          <w:rPr>
            <w:noProof/>
            <w:webHidden/>
          </w:rPr>
          <w:tab/>
        </w:r>
        <w:r>
          <w:rPr>
            <w:noProof/>
            <w:webHidden/>
          </w:rPr>
          <w:fldChar w:fldCharType="begin"/>
        </w:r>
        <w:r>
          <w:rPr>
            <w:noProof/>
            <w:webHidden/>
          </w:rPr>
          <w:instrText xml:space="preserve"> PAGEREF _Toc236764752 \h </w:instrText>
        </w:r>
        <w:r>
          <w:rPr>
            <w:noProof/>
            <w:webHidden/>
          </w:rPr>
        </w:r>
        <w:r>
          <w:rPr>
            <w:noProof/>
            <w:webHidden/>
          </w:rPr>
          <w:fldChar w:fldCharType="separate"/>
        </w:r>
        <w:r>
          <w:rPr>
            <w:noProof/>
            <w:webHidden/>
          </w:rPr>
          <w:t>20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53" w:history="1">
        <w:r w:rsidRPr="000247E7">
          <w:rPr>
            <w:rStyle w:val="Hyperlink"/>
            <w:noProof/>
          </w:rPr>
          <w:t>1.</w:t>
        </w:r>
        <w:r>
          <w:rPr>
            <w:rFonts w:eastAsiaTheme="minorEastAsia"/>
            <w:noProof/>
            <w:sz w:val="22"/>
            <w:szCs w:val="22"/>
            <w:lang w:eastAsia="ro-RO"/>
          </w:rPr>
          <w:tab/>
        </w:r>
        <w:r w:rsidRPr="000247E7">
          <w:rPr>
            <w:rStyle w:val="Hyperlink"/>
            <w:noProof/>
          </w:rPr>
          <w:t>Tipuri de informații clasificate</w:t>
        </w:r>
        <w:r>
          <w:rPr>
            <w:noProof/>
            <w:webHidden/>
          </w:rPr>
          <w:tab/>
        </w:r>
        <w:r>
          <w:rPr>
            <w:noProof/>
            <w:webHidden/>
          </w:rPr>
          <w:fldChar w:fldCharType="begin"/>
        </w:r>
        <w:r>
          <w:rPr>
            <w:noProof/>
            <w:webHidden/>
          </w:rPr>
          <w:instrText xml:space="preserve"> PAGEREF _Toc236764753 \h </w:instrText>
        </w:r>
        <w:r>
          <w:rPr>
            <w:noProof/>
            <w:webHidden/>
          </w:rPr>
        </w:r>
        <w:r>
          <w:rPr>
            <w:noProof/>
            <w:webHidden/>
          </w:rPr>
          <w:fldChar w:fldCharType="separate"/>
        </w:r>
        <w:r>
          <w:rPr>
            <w:noProof/>
            <w:webHidden/>
          </w:rPr>
          <w:t>20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54" w:history="1">
        <w:r w:rsidRPr="000247E7">
          <w:rPr>
            <w:rStyle w:val="Hyperlink"/>
            <w:noProof/>
          </w:rPr>
          <w:t>2.</w:t>
        </w:r>
        <w:r>
          <w:rPr>
            <w:rFonts w:eastAsiaTheme="minorEastAsia"/>
            <w:noProof/>
            <w:sz w:val="22"/>
            <w:szCs w:val="22"/>
            <w:lang w:eastAsia="ro-RO"/>
          </w:rPr>
          <w:tab/>
        </w:r>
        <w:r w:rsidRPr="000247E7">
          <w:rPr>
            <w:rStyle w:val="Hyperlink"/>
            <w:noProof/>
          </w:rPr>
          <w:t>Termenele aplicabile protecției informațiilor clasificate</w:t>
        </w:r>
        <w:r>
          <w:rPr>
            <w:noProof/>
            <w:webHidden/>
          </w:rPr>
          <w:tab/>
        </w:r>
        <w:r>
          <w:rPr>
            <w:noProof/>
            <w:webHidden/>
          </w:rPr>
          <w:fldChar w:fldCharType="begin"/>
        </w:r>
        <w:r>
          <w:rPr>
            <w:noProof/>
            <w:webHidden/>
          </w:rPr>
          <w:instrText xml:space="preserve"> PAGEREF _Toc236764754 \h </w:instrText>
        </w:r>
        <w:r>
          <w:rPr>
            <w:noProof/>
            <w:webHidden/>
          </w:rPr>
        </w:r>
        <w:r>
          <w:rPr>
            <w:noProof/>
            <w:webHidden/>
          </w:rPr>
          <w:fldChar w:fldCharType="separate"/>
        </w:r>
        <w:r>
          <w:rPr>
            <w:noProof/>
            <w:webHidden/>
          </w:rPr>
          <w:t>21</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55" w:history="1">
        <w:r w:rsidRPr="000247E7">
          <w:rPr>
            <w:rStyle w:val="Hyperlink"/>
            <w:noProof/>
          </w:rPr>
          <w:t>3.</w:t>
        </w:r>
        <w:r>
          <w:rPr>
            <w:rFonts w:eastAsiaTheme="minorEastAsia"/>
            <w:noProof/>
            <w:sz w:val="22"/>
            <w:szCs w:val="22"/>
            <w:lang w:eastAsia="ro-RO"/>
          </w:rPr>
          <w:tab/>
        </w:r>
        <w:r w:rsidRPr="000247E7">
          <w:rPr>
            <w:rStyle w:val="Hyperlink"/>
            <w:noProof/>
          </w:rPr>
          <w:t>Accesul avocaților și al justițiabililor la informații clasificate</w:t>
        </w:r>
        <w:r>
          <w:rPr>
            <w:noProof/>
            <w:webHidden/>
          </w:rPr>
          <w:tab/>
        </w:r>
        <w:r>
          <w:rPr>
            <w:noProof/>
            <w:webHidden/>
          </w:rPr>
          <w:fldChar w:fldCharType="begin"/>
        </w:r>
        <w:r>
          <w:rPr>
            <w:noProof/>
            <w:webHidden/>
          </w:rPr>
          <w:instrText xml:space="preserve"> PAGEREF _Toc236764755 \h </w:instrText>
        </w:r>
        <w:r>
          <w:rPr>
            <w:noProof/>
            <w:webHidden/>
          </w:rPr>
        </w:r>
        <w:r>
          <w:rPr>
            <w:noProof/>
            <w:webHidden/>
          </w:rPr>
          <w:fldChar w:fldCharType="separate"/>
        </w:r>
        <w:r>
          <w:rPr>
            <w:noProof/>
            <w:webHidden/>
          </w:rPr>
          <w:t>21</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56" w:history="1">
        <w:r w:rsidRPr="000247E7">
          <w:rPr>
            <w:rStyle w:val="Hyperlink"/>
            <w:noProof/>
          </w:rPr>
          <w:t>(a)</w:t>
        </w:r>
        <w:r>
          <w:rPr>
            <w:rFonts w:eastAsiaTheme="minorEastAsia"/>
            <w:noProof/>
            <w:sz w:val="22"/>
            <w:szCs w:val="22"/>
            <w:lang w:eastAsia="ro-RO"/>
          </w:rPr>
          <w:tab/>
        </w:r>
        <w:r w:rsidRPr="000247E7">
          <w:rPr>
            <w:rStyle w:val="Hyperlink"/>
            <w:noProof/>
          </w:rPr>
          <w:t>Dispozițiile relevante ale Legii</w:t>
        </w:r>
        <w:r>
          <w:rPr>
            <w:noProof/>
            <w:webHidden/>
          </w:rPr>
          <w:tab/>
        </w:r>
        <w:r>
          <w:rPr>
            <w:noProof/>
            <w:webHidden/>
          </w:rPr>
          <w:fldChar w:fldCharType="begin"/>
        </w:r>
        <w:r>
          <w:rPr>
            <w:noProof/>
            <w:webHidden/>
          </w:rPr>
          <w:instrText xml:space="preserve"> PAGEREF _Toc236764756 \h </w:instrText>
        </w:r>
        <w:r>
          <w:rPr>
            <w:noProof/>
            <w:webHidden/>
          </w:rPr>
        </w:r>
        <w:r>
          <w:rPr>
            <w:noProof/>
            <w:webHidden/>
          </w:rPr>
          <w:fldChar w:fldCharType="separate"/>
        </w:r>
        <w:r>
          <w:rPr>
            <w:noProof/>
            <w:webHidden/>
          </w:rPr>
          <w:t>21</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57" w:history="1">
        <w:r w:rsidRPr="000247E7">
          <w:rPr>
            <w:rStyle w:val="Hyperlink"/>
            <w:noProof/>
          </w:rPr>
          <w:t>(b)</w:t>
        </w:r>
        <w:r>
          <w:rPr>
            <w:rFonts w:eastAsiaTheme="minorEastAsia"/>
            <w:noProof/>
            <w:sz w:val="22"/>
            <w:szCs w:val="22"/>
            <w:lang w:eastAsia="ro-RO"/>
          </w:rPr>
          <w:tab/>
        </w:r>
        <w:r w:rsidRPr="000247E7">
          <w:rPr>
            <w:rStyle w:val="Hyperlink"/>
            <w:noProof/>
          </w:rPr>
          <w:t>Jurisprudența și practica instanțelor administrative în temeiul articolului 39 alineatul (3) punctul 3 și al articolului 39a din Legea din 2002 privind protecția informațiilor clasificate</w:t>
        </w:r>
        <w:r>
          <w:rPr>
            <w:noProof/>
            <w:webHidden/>
          </w:rPr>
          <w:tab/>
        </w:r>
        <w:r>
          <w:rPr>
            <w:noProof/>
            <w:webHidden/>
          </w:rPr>
          <w:fldChar w:fldCharType="begin"/>
        </w:r>
        <w:r>
          <w:rPr>
            <w:noProof/>
            <w:webHidden/>
          </w:rPr>
          <w:instrText xml:space="preserve"> PAGEREF _Toc236764757 \h </w:instrText>
        </w:r>
        <w:r>
          <w:rPr>
            <w:noProof/>
            <w:webHidden/>
          </w:rPr>
        </w:r>
        <w:r>
          <w:rPr>
            <w:noProof/>
            <w:webHidden/>
          </w:rPr>
          <w:fldChar w:fldCharType="separate"/>
        </w:r>
        <w:r>
          <w:rPr>
            <w:noProof/>
            <w:webHidden/>
          </w:rPr>
          <w:t>22</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58" w:history="1">
        <w:r w:rsidRPr="000247E7">
          <w:rPr>
            <w:rStyle w:val="Hyperlink"/>
            <w:noProof/>
          </w:rPr>
          <w:t>E.</w:t>
        </w:r>
        <w:r>
          <w:rPr>
            <w:rFonts w:eastAsiaTheme="minorEastAsia"/>
            <w:noProof/>
            <w:sz w:val="22"/>
            <w:szCs w:val="22"/>
            <w:lang w:eastAsia="ro-RO"/>
          </w:rPr>
          <w:tab/>
        </w:r>
        <w:r w:rsidRPr="000247E7">
          <w:rPr>
            <w:rStyle w:val="Hyperlink"/>
            <w:noProof/>
          </w:rPr>
          <w:t>Legea din 2015 privind gestionarea și funcționarea sistemului de protecție a securității naționale</w:t>
        </w:r>
        <w:r>
          <w:rPr>
            <w:noProof/>
            <w:webHidden/>
          </w:rPr>
          <w:tab/>
        </w:r>
        <w:r>
          <w:rPr>
            <w:noProof/>
            <w:webHidden/>
          </w:rPr>
          <w:fldChar w:fldCharType="begin"/>
        </w:r>
        <w:r>
          <w:rPr>
            <w:noProof/>
            <w:webHidden/>
          </w:rPr>
          <w:instrText xml:space="preserve"> PAGEREF _Toc236764758 \h </w:instrText>
        </w:r>
        <w:r>
          <w:rPr>
            <w:noProof/>
            <w:webHidden/>
          </w:rPr>
        </w:r>
        <w:r>
          <w:rPr>
            <w:noProof/>
            <w:webHidden/>
          </w:rPr>
          <w:fldChar w:fldCharType="separate"/>
        </w:r>
        <w:r>
          <w:rPr>
            <w:noProof/>
            <w:webHidden/>
          </w:rPr>
          <w:t>23</w:t>
        </w:r>
        <w:r>
          <w:rPr>
            <w:noProof/>
            <w:webHidden/>
          </w:rPr>
          <w:fldChar w:fldCharType="end"/>
        </w:r>
      </w:hyperlink>
    </w:p>
    <w:p w:rsidR="00C64FB7" w:rsidRDefault="00C64FB7">
      <w:pPr>
        <w:pStyle w:val="TOC2"/>
        <w:rPr>
          <w:rFonts w:eastAsiaTheme="minorEastAsia"/>
          <w:noProof/>
          <w:sz w:val="22"/>
          <w:szCs w:val="22"/>
          <w:lang w:eastAsia="ro-RO"/>
        </w:rPr>
      </w:pPr>
      <w:hyperlink w:anchor="_Toc236764759" w:history="1">
        <w:r w:rsidRPr="000247E7">
          <w:rPr>
            <w:rStyle w:val="Hyperlink"/>
            <w:noProof/>
          </w:rPr>
          <w:t>II.</w:t>
        </w:r>
        <w:r>
          <w:rPr>
            <w:rFonts w:eastAsiaTheme="minorEastAsia"/>
            <w:noProof/>
            <w:sz w:val="22"/>
            <w:szCs w:val="22"/>
            <w:lang w:eastAsia="ro-RO"/>
          </w:rPr>
          <w:tab/>
        </w:r>
        <w:r w:rsidRPr="000247E7">
          <w:rPr>
            <w:rStyle w:val="Hyperlink"/>
            <w:noProof/>
          </w:rPr>
          <w:t>DREPTUL UNIUNII EUROPENE (UE)</w:t>
        </w:r>
        <w:r>
          <w:rPr>
            <w:noProof/>
            <w:webHidden/>
          </w:rPr>
          <w:tab/>
        </w:r>
        <w:r>
          <w:rPr>
            <w:noProof/>
            <w:webHidden/>
          </w:rPr>
          <w:fldChar w:fldCharType="begin"/>
        </w:r>
        <w:r>
          <w:rPr>
            <w:noProof/>
            <w:webHidden/>
          </w:rPr>
          <w:instrText xml:space="preserve"> PAGEREF _Toc236764759 \h </w:instrText>
        </w:r>
        <w:r>
          <w:rPr>
            <w:noProof/>
            <w:webHidden/>
          </w:rPr>
        </w:r>
        <w:r>
          <w:rPr>
            <w:noProof/>
            <w:webHidden/>
          </w:rPr>
          <w:fldChar w:fldCharType="separate"/>
        </w:r>
        <w:r>
          <w:rPr>
            <w:noProof/>
            <w:webHidden/>
          </w:rPr>
          <w:t>23</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60" w:history="1">
        <w:r w:rsidRPr="000247E7">
          <w:rPr>
            <w:rStyle w:val="Hyperlink"/>
            <w:noProof/>
          </w:rPr>
          <w:t>A.</w:t>
        </w:r>
        <w:r>
          <w:rPr>
            <w:rFonts w:eastAsiaTheme="minorEastAsia"/>
            <w:noProof/>
            <w:sz w:val="22"/>
            <w:szCs w:val="22"/>
            <w:lang w:eastAsia="ro-RO"/>
          </w:rPr>
          <w:tab/>
        </w:r>
        <w:r w:rsidRPr="000247E7">
          <w:rPr>
            <w:rStyle w:val="Hyperlink"/>
            <w:noProof/>
          </w:rPr>
          <w:t>Tratatul privind Uniunea Europeană</w:t>
        </w:r>
        <w:r>
          <w:rPr>
            <w:noProof/>
            <w:webHidden/>
          </w:rPr>
          <w:tab/>
        </w:r>
        <w:r>
          <w:rPr>
            <w:noProof/>
            <w:webHidden/>
          </w:rPr>
          <w:fldChar w:fldCharType="begin"/>
        </w:r>
        <w:r>
          <w:rPr>
            <w:noProof/>
            <w:webHidden/>
          </w:rPr>
          <w:instrText xml:space="preserve"> PAGEREF _Toc236764760 \h </w:instrText>
        </w:r>
        <w:r>
          <w:rPr>
            <w:noProof/>
            <w:webHidden/>
          </w:rPr>
        </w:r>
        <w:r>
          <w:rPr>
            <w:noProof/>
            <w:webHidden/>
          </w:rPr>
          <w:fldChar w:fldCharType="separate"/>
        </w:r>
        <w:r>
          <w:rPr>
            <w:noProof/>
            <w:webHidden/>
          </w:rPr>
          <w:t>23</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61" w:history="1">
        <w:r w:rsidRPr="000247E7">
          <w:rPr>
            <w:rStyle w:val="Hyperlink"/>
            <w:noProof/>
          </w:rPr>
          <w:t>B.</w:t>
        </w:r>
        <w:r>
          <w:rPr>
            <w:rFonts w:eastAsiaTheme="minorEastAsia"/>
            <w:noProof/>
            <w:sz w:val="22"/>
            <w:szCs w:val="22"/>
            <w:lang w:eastAsia="ro-RO"/>
          </w:rPr>
          <w:tab/>
        </w:r>
        <w:r w:rsidRPr="000247E7">
          <w:rPr>
            <w:rStyle w:val="Hyperlink"/>
            <w:noProof/>
          </w:rPr>
          <w:t>Tratatul privind funcționarea Uniunii Europene</w:t>
        </w:r>
        <w:r>
          <w:rPr>
            <w:noProof/>
            <w:webHidden/>
          </w:rPr>
          <w:tab/>
        </w:r>
        <w:r>
          <w:rPr>
            <w:noProof/>
            <w:webHidden/>
          </w:rPr>
          <w:fldChar w:fldCharType="begin"/>
        </w:r>
        <w:r>
          <w:rPr>
            <w:noProof/>
            <w:webHidden/>
          </w:rPr>
          <w:instrText xml:space="preserve"> PAGEREF _Toc236764761 \h </w:instrText>
        </w:r>
        <w:r>
          <w:rPr>
            <w:noProof/>
            <w:webHidden/>
          </w:rPr>
        </w:r>
        <w:r>
          <w:rPr>
            <w:noProof/>
            <w:webHidden/>
          </w:rPr>
          <w:fldChar w:fldCharType="separate"/>
        </w:r>
        <w:r>
          <w:rPr>
            <w:noProof/>
            <w:webHidden/>
          </w:rPr>
          <w:t>23</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62" w:history="1">
        <w:r w:rsidRPr="000247E7">
          <w:rPr>
            <w:rStyle w:val="Hyperlink"/>
            <w:noProof/>
          </w:rPr>
          <w:t>C.</w:t>
        </w:r>
        <w:r>
          <w:rPr>
            <w:rFonts w:eastAsiaTheme="minorEastAsia"/>
            <w:noProof/>
            <w:sz w:val="22"/>
            <w:szCs w:val="22"/>
            <w:lang w:eastAsia="ro-RO"/>
          </w:rPr>
          <w:tab/>
        </w:r>
        <w:r w:rsidRPr="000247E7">
          <w:rPr>
            <w:rStyle w:val="Hyperlink"/>
            <w:noProof/>
          </w:rPr>
          <w:t>Carta drepturilor fundamentale a Uniunii Europene</w:t>
        </w:r>
        <w:r>
          <w:rPr>
            <w:noProof/>
            <w:webHidden/>
          </w:rPr>
          <w:tab/>
        </w:r>
        <w:r>
          <w:rPr>
            <w:noProof/>
            <w:webHidden/>
          </w:rPr>
          <w:fldChar w:fldCharType="begin"/>
        </w:r>
        <w:r>
          <w:rPr>
            <w:noProof/>
            <w:webHidden/>
          </w:rPr>
          <w:instrText xml:space="preserve"> PAGEREF _Toc236764762 \h </w:instrText>
        </w:r>
        <w:r>
          <w:rPr>
            <w:noProof/>
            <w:webHidden/>
          </w:rPr>
        </w:r>
        <w:r>
          <w:rPr>
            <w:noProof/>
            <w:webHidden/>
          </w:rPr>
          <w:fldChar w:fldCharType="separate"/>
        </w:r>
        <w:r>
          <w:rPr>
            <w:noProof/>
            <w:webHidden/>
          </w:rPr>
          <w:t>24</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63" w:history="1">
        <w:r w:rsidRPr="000247E7">
          <w:rPr>
            <w:rStyle w:val="Hyperlink"/>
            <w:noProof/>
          </w:rPr>
          <w:t>D.</w:t>
        </w:r>
        <w:r>
          <w:rPr>
            <w:rFonts w:eastAsiaTheme="minorEastAsia"/>
            <w:noProof/>
            <w:sz w:val="22"/>
            <w:szCs w:val="22"/>
            <w:lang w:eastAsia="ro-RO"/>
          </w:rPr>
          <w:tab/>
        </w:r>
        <w:r w:rsidRPr="000247E7">
          <w:rPr>
            <w:rStyle w:val="Hyperlink"/>
            <w:noProof/>
          </w:rPr>
          <w:t>Regulamentul general privind protecția datelor</w:t>
        </w:r>
        <w:r>
          <w:rPr>
            <w:noProof/>
            <w:webHidden/>
          </w:rPr>
          <w:tab/>
        </w:r>
        <w:r>
          <w:rPr>
            <w:noProof/>
            <w:webHidden/>
          </w:rPr>
          <w:fldChar w:fldCharType="begin"/>
        </w:r>
        <w:r>
          <w:rPr>
            <w:noProof/>
            <w:webHidden/>
          </w:rPr>
          <w:instrText xml:space="preserve"> PAGEREF _Toc236764763 \h </w:instrText>
        </w:r>
        <w:r>
          <w:rPr>
            <w:noProof/>
            <w:webHidden/>
          </w:rPr>
        </w:r>
        <w:r>
          <w:rPr>
            <w:noProof/>
            <w:webHidden/>
          </w:rPr>
          <w:fldChar w:fldCharType="separate"/>
        </w:r>
        <w:r>
          <w:rPr>
            <w:noProof/>
            <w:webHidden/>
          </w:rPr>
          <w:t>24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64" w:history="1">
        <w:r w:rsidRPr="000247E7">
          <w:rPr>
            <w:rStyle w:val="Hyperlink"/>
            <w:noProof/>
          </w:rPr>
          <w:t>1.</w:t>
        </w:r>
        <w:r>
          <w:rPr>
            <w:rFonts w:eastAsiaTheme="minorEastAsia"/>
            <w:noProof/>
            <w:sz w:val="22"/>
            <w:szCs w:val="22"/>
            <w:lang w:eastAsia="ro-RO"/>
          </w:rPr>
          <w:tab/>
        </w:r>
        <w:r w:rsidRPr="000247E7">
          <w:rPr>
            <w:rStyle w:val="Hyperlink"/>
            <w:noProof/>
          </w:rPr>
          <w:t>Domeniul de aplicare ratione materiae</w:t>
        </w:r>
        <w:r>
          <w:rPr>
            <w:noProof/>
            <w:webHidden/>
          </w:rPr>
          <w:tab/>
        </w:r>
        <w:r>
          <w:rPr>
            <w:noProof/>
            <w:webHidden/>
          </w:rPr>
          <w:fldChar w:fldCharType="begin"/>
        </w:r>
        <w:r>
          <w:rPr>
            <w:noProof/>
            <w:webHidden/>
          </w:rPr>
          <w:instrText xml:space="preserve"> PAGEREF _Toc236764764 \h </w:instrText>
        </w:r>
        <w:r>
          <w:rPr>
            <w:noProof/>
            <w:webHidden/>
          </w:rPr>
        </w:r>
        <w:r>
          <w:rPr>
            <w:noProof/>
            <w:webHidden/>
          </w:rPr>
          <w:fldChar w:fldCharType="separate"/>
        </w:r>
        <w:r>
          <w:rPr>
            <w:noProof/>
            <w:webHidden/>
          </w:rPr>
          <w:t>25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65" w:history="1">
        <w:r w:rsidRPr="000247E7">
          <w:rPr>
            <w:rStyle w:val="Hyperlink"/>
            <w:noProof/>
          </w:rPr>
          <w:t>2.</w:t>
        </w:r>
        <w:r>
          <w:rPr>
            <w:rFonts w:eastAsiaTheme="minorEastAsia"/>
            <w:noProof/>
            <w:sz w:val="22"/>
            <w:szCs w:val="22"/>
            <w:lang w:eastAsia="ro-RO"/>
          </w:rPr>
          <w:tab/>
        </w:r>
        <w:r w:rsidRPr="000247E7">
          <w:rPr>
            <w:rStyle w:val="Hyperlink"/>
            <w:noProof/>
          </w:rPr>
          <w:t>Dreptul de acces la datele cu caracter personal</w:t>
        </w:r>
        <w:r>
          <w:rPr>
            <w:noProof/>
            <w:webHidden/>
          </w:rPr>
          <w:tab/>
        </w:r>
        <w:r>
          <w:rPr>
            <w:noProof/>
            <w:webHidden/>
          </w:rPr>
          <w:fldChar w:fldCharType="begin"/>
        </w:r>
        <w:r>
          <w:rPr>
            <w:noProof/>
            <w:webHidden/>
          </w:rPr>
          <w:instrText xml:space="preserve"> PAGEREF _Toc236764765 \h </w:instrText>
        </w:r>
        <w:r>
          <w:rPr>
            <w:noProof/>
            <w:webHidden/>
          </w:rPr>
        </w:r>
        <w:r>
          <w:rPr>
            <w:noProof/>
            <w:webHidden/>
          </w:rPr>
          <w:fldChar w:fldCharType="separate"/>
        </w:r>
        <w:r>
          <w:rPr>
            <w:noProof/>
            <w:webHidden/>
          </w:rPr>
          <w:t>25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66" w:history="1">
        <w:r w:rsidRPr="000247E7">
          <w:rPr>
            <w:rStyle w:val="Hyperlink"/>
            <w:noProof/>
          </w:rPr>
          <w:t>3.</w:t>
        </w:r>
        <w:r>
          <w:rPr>
            <w:rFonts w:eastAsiaTheme="minorEastAsia"/>
            <w:noProof/>
            <w:sz w:val="22"/>
            <w:szCs w:val="22"/>
            <w:lang w:eastAsia="ro-RO"/>
          </w:rPr>
          <w:tab/>
        </w:r>
        <w:r w:rsidRPr="000247E7">
          <w:rPr>
            <w:rStyle w:val="Hyperlink"/>
            <w:noProof/>
          </w:rPr>
          <w:t>Restricții aplicate dreptului de acces</w:t>
        </w:r>
        <w:r>
          <w:rPr>
            <w:noProof/>
            <w:webHidden/>
          </w:rPr>
          <w:tab/>
        </w:r>
        <w:r>
          <w:rPr>
            <w:noProof/>
            <w:webHidden/>
          </w:rPr>
          <w:fldChar w:fldCharType="begin"/>
        </w:r>
        <w:r>
          <w:rPr>
            <w:noProof/>
            <w:webHidden/>
          </w:rPr>
          <w:instrText xml:space="preserve"> PAGEREF _Toc236764766 \h </w:instrText>
        </w:r>
        <w:r>
          <w:rPr>
            <w:noProof/>
            <w:webHidden/>
          </w:rPr>
        </w:r>
        <w:r>
          <w:rPr>
            <w:noProof/>
            <w:webHidden/>
          </w:rPr>
          <w:fldChar w:fldCharType="separate"/>
        </w:r>
        <w:r>
          <w:rPr>
            <w:noProof/>
            <w:webHidden/>
          </w:rPr>
          <w:t>25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67" w:history="1">
        <w:r w:rsidRPr="000247E7">
          <w:rPr>
            <w:rStyle w:val="Hyperlink"/>
            <w:noProof/>
          </w:rPr>
          <w:t>4.</w:t>
        </w:r>
        <w:r>
          <w:rPr>
            <w:rFonts w:eastAsiaTheme="minorEastAsia"/>
            <w:noProof/>
            <w:sz w:val="22"/>
            <w:szCs w:val="22"/>
            <w:lang w:eastAsia="ro-RO"/>
          </w:rPr>
          <w:tab/>
        </w:r>
        <w:r w:rsidRPr="000247E7">
          <w:rPr>
            <w:rStyle w:val="Hyperlink"/>
            <w:noProof/>
          </w:rPr>
          <w:t>Autoritatea de supraveghere</w:t>
        </w:r>
        <w:r>
          <w:rPr>
            <w:noProof/>
            <w:webHidden/>
          </w:rPr>
          <w:tab/>
        </w:r>
        <w:r>
          <w:rPr>
            <w:noProof/>
            <w:webHidden/>
          </w:rPr>
          <w:fldChar w:fldCharType="begin"/>
        </w:r>
        <w:r>
          <w:rPr>
            <w:noProof/>
            <w:webHidden/>
          </w:rPr>
          <w:instrText xml:space="preserve"> PAGEREF _Toc236764767 \h </w:instrText>
        </w:r>
        <w:r>
          <w:rPr>
            <w:noProof/>
            <w:webHidden/>
          </w:rPr>
        </w:r>
        <w:r>
          <w:rPr>
            <w:noProof/>
            <w:webHidden/>
          </w:rPr>
          <w:fldChar w:fldCharType="separate"/>
        </w:r>
        <w:r>
          <w:rPr>
            <w:noProof/>
            <w:webHidden/>
          </w:rPr>
          <w:t>26</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68" w:history="1">
        <w:r w:rsidRPr="000247E7">
          <w:rPr>
            <w:rStyle w:val="Hyperlink"/>
            <w:noProof/>
          </w:rPr>
          <w:t>5.</w:t>
        </w:r>
        <w:r>
          <w:rPr>
            <w:rFonts w:eastAsiaTheme="minorEastAsia"/>
            <w:noProof/>
            <w:sz w:val="22"/>
            <w:szCs w:val="22"/>
            <w:lang w:eastAsia="ro-RO"/>
          </w:rPr>
          <w:tab/>
        </w:r>
        <w:r w:rsidRPr="000247E7">
          <w:rPr>
            <w:rStyle w:val="Hyperlink"/>
            <w:noProof/>
          </w:rPr>
          <w:t>Căi de atac</w:t>
        </w:r>
        <w:r>
          <w:rPr>
            <w:noProof/>
            <w:webHidden/>
          </w:rPr>
          <w:tab/>
        </w:r>
        <w:r>
          <w:rPr>
            <w:noProof/>
            <w:webHidden/>
          </w:rPr>
          <w:fldChar w:fldCharType="begin"/>
        </w:r>
        <w:r>
          <w:rPr>
            <w:noProof/>
            <w:webHidden/>
          </w:rPr>
          <w:instrText xml:space="preserve"> PAGEREF _Toc236764768 \h </w:instrText>
        </w:r>
        <w:r>
          <w:rPr>
            <w:noProof/>
            <w:webHidden/>
          </w:rPr>
        </w:r>
        <w:r>
          <w:rPr>
            <w:noProof/>
            <w:webHidden/>
          </w:rPr>
          <w:fldChar w:fldCharType="separate"/>
        </w:r>
        <w:r>
          <w:rPr>
            <w:noProof/>
            <w:webHidden/>
          </w:rPr>
          <w:t>27</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69" w:history="1">
        <w:r w:rsidRPr="000247E7">
          <w:rPr>
            <w:rStyle w:val="Hyperlink"/>
            <w:noProof/>
          </w:rPr>
          <w:t>E.</w:t>
        </w:r>
        <w:r>
          <w:rPr>
            <w:rFonts w:eastAsiaTheme="minorEastAsia"/>
            <w:noProof/>
            <w:sz w:val="22"/>
            <w:szCs w:val="22"/>
            <w:lang w:eastAsia="ro-RO"/>
          </w:rPr>
          <w:tab/>
        </w:r>
        <w:r w:rsidRPr="000247E7">
          <w:rPr>
            <w:rStyle w:val="Hyperlink"/>
            <w:noProof/>
          </w:rPr>
          <w:t>Directiva privind protecția datelor în materie de asigurare a respectării legii</w:t>
        </w:r>
        <w:r>
          <w:rPr>
            <w:noProof/>
            <w:webHidden/>
          </w:rPr>
          <w:tab/>
        </w:r>
        <w:r>
          <w:rPr>
            <w:noProof/>
            <w:webHidden/>
          </w:rPr>
          <w:fldChar w:fldCharType="begin"/>
        </w:r>
        <w:r>
          <w:rPr>
            <w:noProof/>
            <w:webHidden/>
          </w:rPr>
          <w:instrText xml:space="preserve"> PAGEREF _Toc236764769 \h </w:instrText>
        </w:r>
        <w:r>
          <w:rPr>
            <w:noProof/>
            <w:webHidden/>
          </w:rPr>
        </w:r>
        <w:r>
          <w:rPr>
            <w:noProof/>
            <w:webHidden/>
          </w:rPr>
          <w:fldChar w:fldCharType="separate"/>
        </w:r>
        <w:r>
          <w:rPr>
            <w:noProof/>
            <w:webHidden/>
          </w:rPr>
          <w:t>27</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70" w:history="1">
        <w:r w:rsidRPr="000247E7">
          <w:rPr>
            <w:rStyle w:val="Hyperlink"/>
            <w:noProof/>
          </w:rPr>
          <w:t>1.</w:t>
        </w:r>
        <w:r>
          <w:rPr>
            <w:rFonts w:eastAsiaTheme="minorEastAsia"/>
            <w:noProof/>
            <w:sz w:val="22"/>
            <w:szCs w:val="22"/>
            <w:lang w:eastAsia="ro-RO"/>
          </w:rPr>
          <w:tab/>
        </w:r>
        <w:r w:rsidRPr="000247E7">
          <w:rPr>
            <w:rStyle w:val="Hyperlink"/>
            <w:noProof/>
          </w:rPr>
          <w:t>Domeniul de aplicare ratione materiae</w:t>
        </w:r>
        <w:r>
          <w:rPr>
            <w:noProof/>
            <w:webHidden/>
          </w:rPr>
          <w:tab/>
        </w:r>
        <w:r>
          <w:rPr>
            <w:noProof/>
            <w:webHidden/>
          </w:rPr>
          <w:fldChar w:fldCharType="begin"/>
        </w:r>
        <w:r>
          <w:rPr>
            <w:noProof/>
            <w:webHidden/>
          </w:rPr>
          <w:instrText xml:space="preserve"> PAGEREF _Toc236764770 \h </w:instrText>
        </w:r>
        <w:r>
          <w:rPr>
            <w:noProof/>
            <w:webHidden/>
          </w:rPr>
        </w:r>
        <w:r>
          <w:rPr>
            <w:noProof/>
            <w:webHidden/>
          </w:rPr>
          <w:fldChar w:fldCharType="separate"/>
        </w:r>
        <w:r>
          <w:rPr>
            <w:noProof/>
            <w:webHidden/>
          </w:rPr>
          <w:t>27</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71" w:history="1">
        <w:r w:rsidRPr="000247E7">
          <w:rPr>
            <w:rStyle w:val="Hyperlink"/>
            <w:noProof/>
          </w:rPr>
          <w:t>2.</w:t>
        </w:r>
        <w:r>
          <w:rPr>
            <w:rFonts w:eastAsiaTheme="minorEastAsia"/>
            <w:noProof/>
            <w:sz w:val="22"/>
            <w:szCs w:val="22"/>
            <w:lang w:eastAsia="ro-RO"/>
          </w:rPr>
          <w:tab/>
        </w:r>
        <w:r w:rsidRPr="000247E7">
          <w:rPr>
            <w:rStyle w:val="Hyperlink"/>
            <w:noProof/>
          </w:rPr>
          <w:t>Dreptul de acces la datele cu caracter personal</w:t>
        </w:r>
        <w:r>
          <w:rPr>
            <w:noProof/>
            <w:webHidden/>
          </w:rPr>
          <w:tab/>
        </w:r>
        <w:r>
          <w:rPr>
            <w:noProof/>
            <w:webHidden/>
          </w:rPr>
          <w:fldChar w:fldCharType="begin"/>
        </w:r>
        <w:r>
          <w:rPr>
            <w:noProof/>
            <w:webHidden/>
          </w:rPr>
          <w:instrText xml:space="preserve"> PAGEREF _Toc236764771 \h </w:instrText>
        </w:r>
        <w:r>
          <w:rPr>
            <w:noProof/>
            <w:webHidden/>
          </w:rPr>
        </w:r>
        <w:r>
          <w:rPr>
            <w:noProof/>
            <w:webHidden/>
          </w:rPr>
          <w:fldChar w:fldCharType="separate"/>
        </w:r>
        <w:r>
          <w:rPr>
            <w:noProof/>
            <w:webHidden/>
          </w:rPr>
          <w:t>28</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72" w:history="1">
        <w:r w:rsidRPr="000247E7">
          <w:rPr>
            <w:rStyle w:val="Hyperlink"/>
            <w:noProof/>
          </w:rPr>
          <w:t>3.</w:t>
        </w:r>
        <w:r>
          <w:rPr>
            <w:rFonts w:eastAsiaTheme="minorEastAsia"/>
            <w:noProof/>
            <w:sz w:val="22"/>
            <w:szCs w:val="22"/>
            <w:lang w:eastAsia="ro-RO"/>
          </w:rPr>
          <w:tab/>
        </w:r>
        <w:r w:rsidRPr="000247E7">
          <w:rPr>
            <w:rStyle w:val="Hyperlink"/>
            <w:noProof/>
          </w:rPr>
          <w:t>Restrângeri aduse dreptului de acces</w:t>
        </w:r>
        <w:r>
          <w:rPr>
            <w:noProof/>
            <w:webHidden/>
          </w:rPr>
          <w:tab/>
        </w:r>
        <w:r>
          <w:rPr>
            <w:noProof/>
            <w:webHidden/>
          </w:rPr>
          <w:fldChar w:fldCharType="begin"/>
        </w:r>
        <w:r>
          <w:rPr>
            <w:noProof/>
            <w:webHidden/>
          </w:rPr>
          <w:instrText xml:space="preserve"> PAGEREF _Toc236764772 \h </w:instrText>
        </w:r>
        <w:r>
          <w:rPr>
            <w:noProof/>
            <w:webHidden/>
          </w:rPr>
        </w:r>
        <w:r>
          <w:rPr>
            <w:noProof/>
            <w:webHidden/>
          </w:rPr>
          <w:fldChar w:fldCharType="separate"/>
        </w:r>
        <w:r>
          <w:rPr>
            <w:noProof/>
            <w:webHidden/>
          </w:rPr>
          <w:t>28</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73" w:history="1">
        <w:r w:rsidRPr="000247E7">
          <w:rPr>
            <w:rStyle w:val="Hyperlink"/>
            <w:noProof/>
          </w:rPr>
          <w:t>4.</w:t>
        </w:r>
        <w:r>
          <w:rPr>
            <w:rFonts w:eastAsiaTheme="minorEastAsia"/>
            <w:noProof/>
            <w:sz w:val="22"/>
            <w:szCs w:val="22"/>
            <w:lang w:eastAsia="ro-RO"/>
          </w:rPr>
          <w:tab/>
        </w:r>
        <w:r w:rsidRPr="000247E7">
          <w:rPr>
            <w:rStyle w:val="Hyperlink"/>
            <w:noProof/>
          </w:rPr>
          <w:t>Exercitarea indirectă a dreptului de acces</w:t>
        </w:r>
        <w:r>
          <w:rPr>
            <w:noProof/>
            <w:webHidden/>
          </w:rPr>
          <w:tab/>
        </w:r>
        <w:r>
          <w:rPr>
            <w:noProof/>
            <w:webHidden/>
          </w:rPr>
          <w:fldChar w:fldCharType="begin"/>
        </w:r>
        <w:r>
          <w:rPr>
            <w:noProof/>
            <w:webHidden/>
          </w:rPr>
          <w:instrText xml:space="preserve"> PAGEREF _Toc236764773 \h </w:instrText>
        </w:r>
        <w:r>
          <w:rPr>
            <w:noProof/>
            <w:webHidden/>
          </w:rPr>
        </w:r>
        <w:r>
          <w:rPr>
            <w:noProof/>
            <w:webHidden/>
          </w:rPr>
          <w:fldChar w:fldCharType="separate"/>
        </w:r>
        <w:r>
          <w:rPr>
            <w:noProof/>
            <w:webHidden/>
          </w:rPr>
          <w:t>29</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74" w:history="1">
        <w:r w:rsidRPr="000247E7">
          <w:rPr>
            <w:rStyle w:val="Hyperlink"/>
            <w:noProof/>
          </w:rPr>
          <w:t>5.</w:t>
        </w:r>
        <w:r>
          <w:rPr>
            <w:rFonts w:eastAsiaTheme="minorEastAsia"/>
            <w:noProof/>
            <w:sz w:val="22"/>
            <w:szCs w:val="22"/>
            <w:lang w:eastAsia="ro-RO"/>
          </w:rPr>
          <w:tab/>
        </w:r>
        <w:r w:rsidRPr="000247E7">
          <w:rPr>
            <w:rStyle w:val="Hyperlink"/>
            <w:noProof/>
          </w:rPr>
          <w:t>Autoritatea de supraveghere</w:t>
        </w:r>
        <w:r>
          <w:rPr>
            <w:noProof/>
            <w:webHidden/>
          </w:rPr>
          <w:tab/>
        </w:r>
        <w:r>
          <w:rPr>
            <w:noProof/>
            <w:webHidden/>
          </w:rPr>
          <w:fldChar w:fldCharType="begin"/>
        </w:r>
        <w:r>
          <w:rPr>
            <w:noProof/>
            <w:webHidden/>
          </w:rPr>
          <w:instrText xml:space="preserve"> PAGEREF _Toc236764774 \h </w:instrText>
        </w:r>
        <w:r>
          <w:rPr>
            <w:noProof/>
            <w:webHidden/>
          </w:rPr>
        </w:r>
        <w:r>
          <w:rPr>
            <w:noProof/>
            <w:webHidden/>
          </w:rPr>
          <w:fldChar w:fldCharType="separate"/>
        </w:r>
        <w:r>
          <w:rPr>
            <w:noProof/>
            <w:webHidden/>
          </w:rPr>
          <w:t>30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75" w:history="1">
        <w:r w:rsidRPr="000247E7">
          <w:rPr>
            <w:rStyle w:val="Hyperlink"/>
            <w:noProof/>
          </w:rPr>
          <w:t>6.</w:t>
        </w:r>
        <w:r>
          <w:rPr>
            <w:rFonts w:eastAsiaTheme="minorEastAsia"/>
            <w:noProof/>
            <w:sz w:val="22"/>
            <w:szCs w:val="22"/>
            <w:lang w:eastAsia="ro-RO"/>
          </w:rPr>
          <w:tab/>
        </w:r>
        <w:r w:rsidRPr="000247E7">
          <w:rPr>
            <w:rStyle w:val="Hyperlink"/>
            <w:noProof/>
          </w:rPr>
          <w:t>Căi de atac</w:t>
        </w:r>
        <w:r>
          <w:rPr>
            <w:noProof/>
            <w:webHidden/>
          </w:rPr>
          <w:tab/>
        </w:r>
        <w:r>
          <w:rPr>
            <w:noProof/>
            <w:webHidden/>
          </w:rPr>
          <w:fldChar w:fldCharType="begin"/>
        </w:r>
        <w:r>
          <w:rPr>
            <w:noProof/>
            <w:webHidden/>
          </w:rPr>
          <w:instrText xml:space="preserve"> PAGEREF _Toc236764775 \h </w:instrText>
        </w:r>
        <w:r>
          <w:rPr>
            <w:noProof/>
            <w:webHidden/>
          </w:rPr>
        </w:r>
        <w:r>
          <w:rPr>
            <w:noProof/>
            <w:webHidden/>
          </w:rPr>
          <w:fldChar w:fldCharType="separate"/>
        </w:r>
        <w:r>
          <w:rPr>
            <w:noProof/>
            <w:webHidden/>
          </w:rPr>
          <w:t>31</w:t>
        </w:r>
        <w:r>
          <w:rPr>
            <w:noProof/>
            <w:webHidden/>
          </w:rPr>
          <w:fldChar w:fldCharType="end"/>
        </w:r>
      </w:hyperlink>
    </w:p>
    <w:p w:rsidR="00C64FB7" w:rsidRDefault="00C64FB7">
      <w:pPr>
        <w:pStyle w:val="TOC2"/>
        <w:rPr>
          <w:rFonts w:eastAsiaTheme="minorEastAsia"/>
          <w:noProof/>
          <w:sz w:val="22"/>
          <w:szCs w:val="22"/>
          <w:lang w:eastAsia="ro-RO"/>
        </w:rPr>
      </w:pPr>
      <w:hyperlink w:anchor="_Toc236764776" w:history="1">
        <w:r w:rsidRPr="000247E7">
          <w:rPr>
            <w:rStyle w:val="Hyperlink"/>
            <w:noProof/>
          </w:rPr>
          <w:t>III.</w:t>
        </w:r>
        <w:r>
          <w:rPr>
            <w:rFonts w:eastAsiaTheme="minorEastAsia"/>
            <w:noProof/>
            <w:sz w:val="22"/>
            <w:szCs w:val="22"/>
            <w:lang w:eastAsia="ro-RO"/>
          </w:rPr>
          <w:tab/>
        </w:r>
        <w:r w:rsidRPr="000247E7">
          <w:rPr>
            <w:rStyle w:val="Hyperlink"/>
            <w:noProof/>
          </w:rPr>
          <w:t>INSTRUMENTELE CONSILIULUI EUROPEI</w:t>
        </w:r>
        <w:r>
          <w:rPr>
            <w:noProof/>
            <w:webHidden/>
          </w:rPr>
          <w:tab/>
        </w:r>
        <w:r>
          <w:rPr>
            <w:noProof/>
            <w:webHidden/>
          </w:rPr>
          <w:fldChar w:fldCharType="begin"/>
        </w:r>
        <w:r>
          <w:rPr>
            <w:noProof/>
            <w:webHidden/>
          </w:rPr>
          <w:instrText xml:space="preserve"> PAGEREF _Toc236764776 \h </w:instrText>
        </w:r>
        <w:r>
          <w:rPr>
            <w:noProof/>
            <w:webHidden/>
          </w:rPr>
        </w:r>
        <w:r>
          <w:rPr>
            <w:noProof/>
            <w:webHidden/>
          </w:rPr>
          <w:fldChar w:fldCharType="separate"/>
        </w:r>
        <w:r>
          <w:rPr>
            <w:noProof/>
            <w:webHidden/>
          </w:rPr>
          <w:t>32</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77" w:history="1">
        <w:r w:rsidRPr="000247E7">
          <w:rPr>
            <w:rStyle w:val="Hyperlink"/>
            <w:noProof/>
          </w:rPr>
          <w:t>A.</w:t>
        </w:r>
        <w:r>
          <w:rPr>
            <w:rFonts w:eastAsiaTheme="minorEastAsia"/>
            <w:noProof/>
            <w:sz w:val="22"/>
            <w:szCs w:val="22"/>
            <w:lang w:eastAsia="ro-RO"/>
          </w:rPr>
          <w:tab/>
        </w:r>
        <w:r w:rsidRPr="000247E7">
          <w:rPr>
            <w:rStyle w:val="Hyperlink"/>
            <w:noProof/>
          </w:rPr>
          <w:t>Convenția pentru protejarea persoanelor față de prelucrarea automatizată a datelor cu caracter personal</w:t>
        </w:r>
        <w:r>
          <w:rPr>
            <w:noProof/>
            <w:webHidden/>
          </w:rPr>
          <w:tab/>
        </w:r>
        <w:r>
          <w:rPr>
            <w:noProof/>
            <w:webHidden/>
          </w:rPr>
          <w:fldChar w:fldCharType="begin"/>
        </w:r>
        <w:r>
          <w:rPr>
            <w:noProof/>
            <w:webHidden/>
          </w:rPr>
          <w:instrText xml:space="preserve"> PAGEREF _Toc236764777 \h </w:instrText>
        </w:r>
        <w:r>
          <w:rPr>
            <w:noProof/>
            <w:webHidden/>
          </w:rPr>
        </w:r>
        <w:r>
          <w:rPr>
            <w:noProof/>
            <w:webHidden/>
          </w:rPr>
          <w:fldChar w:fldCharType="separate"/>
        </w:r>
        <w:r>
          <w:rPr>
            <w:noProof/>
            <w:webHidden/>
          </w:rPr>
          <w:t>32</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78" w:history="1">
        <w:r w:rsidRPr="000247E7">
          <w:rPr>
            <w:rStyle w:val="Hyperlink"/>
            <w:noProof/>
          </w:rPr>
          <w:t>B.</w:t>
        </w:r>
        <w:r>
          <w:rPr>
            <w:rFonts w:eastAsiaTheme="minorEastAsia"/>
            <w:noProof/>
            <w:sz w:val="22"/>
            <w:szCs w:val="22"/>
            <w:lang w:eastAsia="ro-RO"/>
          </w:rPr>
          <w:tab/>
        </w:r>
        <w:r w:rsidRPr="000247E7">
          <w:rPr>
            <w:rStyle w:val="Hyperlink"/>
            <w:noProof/>
          </w:rPr>
          <w:t>Protocolul adițional la Convenția din 1981</w:t>
        </w:r>
        <w:r>
          <w:rPr>
            <w:noProof/>
            <w:webHidden/>
          </w:rPr>
          <w:tab/>
        </w:r>
        <w:r>
          <w:rPr>
            <w:noProof/>
            <w:webHidden/>
          </w:rPr>
          <w:fldChar w:fldCharType="begin"/>
        </w:r>
        <w:r>
          <w:rPr>
            <w:noProof/>
            <w:webHidden/>
          </w:rPr>
          <w:instrText xml:space="preserve"> PAGEREF _Toc236764778 \h </w:instrText>
        </w:r>
        <w:r>
          <w:rPr>
            <w:noProof/>
            <w:webHidden/>
          </w:rPr>
        </w:r>
        <w:r>
          <w:rPr>
            <w:noProof/>
            <w:webHidden/>
          </w:rPr>
          <w:fldChar w:fldCharType="separate"/>
        </w:r>
        <w:r>
          <w:rPr>
            <w:noProof/>
            <w:webHidden/>
          </w:rPr>
          <w:t>32</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79" w:history="1">
        <w:r w:rsidRPr="000247E7">
          <w:rPr>
            <w:rStyle w:val="Hyperlink"/>
            <w:noProof/>
          </w:rPr>
          <w:t>C.</w:t>
        </w:r>
        <w:r>
          <w:rPr>
            <w:rFonts w:eastAsiaTheme="minorEastAsia"/>
            <w:noProof/>
            <w:sz w:val="22"/>
            <w:szCs w:val="22"/>
            <w:lang w:eastAsia="ro-RO"/>
          </w:rPr>
          <w:tab/>
        </w:r>
        <w:r w:rsidRPr="000247E7">
          <w:rPr>
            <w:rStyle w:val="Hyperlink"/>
            <w:noProof/>
          </w:rPr>
          <w:t>Convenția modernizată pentru protejarea persoanelor față de prelucrarea automatizată a datelor cu caracter personal</w:t>
        </w:r>
        <w:r>
          <w:rPr>
            <w:noProof/>
            <w:webHidden/>
          </w:rPr>
          <w:tab/>
        </w:r>
        <w:r>
          <w:rPr>
            <w:noProof/>
            <w:webHidden/>
          </w:rPr>
          <w:fldChar w:fldCharType="begin"/>
        </w:r>
        <w:r>
          <w:rPr>
            <w:noProof/>
            <w:webHidden/>
          </w:rPr>
          <w:instrText xml:space="preserve"> PAGEREF _Toc236764779 \h </w:instrText>
        </w:r>
        <w:r>
          <w:rPr>
            <w:noProof/>
            <w:webHidden/>
          </w:rPr>
        </w:r>
        <w:r>
          <w:rPr>
            <w:noProof/>
            <w:webHidden/>
          </w:rPr>
          <w:fldChar w:fldCharType="separate"/>
        </w:r>
        <w:r>
          <w:rPr>
            <w:noProof/>
            <w:webHidden/>
          </w:rPr>
          <w:t>33</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0" w:history="1">
        <w:r w:rsidRPr="000247E7">
          <w:rPr>
            <w:rStyle w:val="Hyperlink"/>
            <w:noProof/>
          </w:rPr>
          <w:t>1.</w:t>
        </w:r>
        <w:r>
          <w:rPr>
            <w:rFonts w:eastAsiaTheme="minorEastAsia"/>
            <w:noProof/>
            <w:sz w:val="22"/>
            <w:szCs w:val="22"/>
            <w:lang w:eastAsia="ro-RO"/>
          </w:rPr>
          <w:tab/>
        </w:r>
        <w:r w:rsidRPr="000247E7">
          <w:rPr>
            <w:rStyle w:val="Hyperlink"/>
            <w:noProof/>
          </w:rPr>
          <w:t>Obligația punerii în aplicare</w:t>
        </w:r>
        <w:r>
          <w:rPr>
            <w:noProof/>
            <w:webHidden/>
          </w:rPr>
          <w:tab/>
        </w:r>
        <w:r>
          <w:rPr>
            <w:noProof/>
            <w:webHidden/>
          </w:rPr>
          <w:fldChar w:fldCharType="begin"/>
        </w:r>
        <w:r>
          <w:rPr>
            <w:noProof/>
            <w:webHidden/>
          </w:rPr>
          <w:instrText xml:space="preserve"> PAGEREF _Toc236764780 \h </w:instrText>
        </w:r>
        <w:r>
          <w:rPr>
            <w:noProof/>
            <w:webHidden/>
          </w:rPr>
        </w:r>
        <w:r>
          <w:rPr>
            <w:noProof/>
            <w:webHidden/>
          </w:rPr>
          <w:fldChar w:fldCharType="separate"/>
        </w:r>
        <w:r>
          <w:rPr>
            <w:noProof/>
            <w:webHidden/>
          </w:rPr>
          <w:t>34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1" w:history="1">
        <w:r w:rsidRPr="000247E7">
          <w:rPr>
            <w:rStyle w:val="Hyperlink"/>
            <w:noProof/>
          </w:rPr>
          <w:t>2.</w:t>
        </w:r>
        <w:r>
          <w:rPr>
            <w:rFonts w:eastAsiaTheme="minorEastAsia"/>
            <w:noProof/>
            <w:sz w:val="22"/>
            <w:szCs w:val="22"/>
            <w:lang w:eastAsia="ro-RO"/>
          </w:rPr>
          <w:tab/>
        </w:r>
        <w:r w:rsidRPr="000247E7">
          <w:rPr>
            <w:rStyle w:val="Hyperlink"/>
            <w:noProof/>
          </w:rPr>
          <w:t>Dreptul de acces și excepțiile de la acest drept</w:t>
        </w:r>
        <w:r>
          <w:rPr>
            <w:noProof/>
            <w:webHidden/>
          </w:rPr>
          <w:tab/>
        </w:r>
        <w:r>
          <w:rPr>
            <w:noProof/>
            <w:webHidden/>
          </w:rPr>
          <w:fldChar w:fldCharType="begin"/>
        </w:r>
        <w:r>
          <w:rPr>
            <w:noProof/>
            <w:webHidden/>
          </w:rPr>
          <w:instrText xml:space="preserve"> PAGEREF _Toc236764781 \h </w:instrText>
        </w:r>
        <w:r>
          <w:rPr>
            <w:noProof/>
            <w:webHidden/>
          </w:rPr>
        </w:r>
        <w:r>
          <w:rPr>
            <w:noProof/>
            <w:webHidden/>
          </w:rPr>
          <w:fldChar w:fldCharType="separate"/>
        </w:r>
        <w:r>
          <w:rPr>
            <w:noProof/>
            <w:webHidden/>
          </w:rPr>
          <w:t>34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2" w:history="1">
        <w:r w:rsidRPr="000247E7">
          <w:rPr>
            <w:rStyle w:val="Hyperlink"/>
            <w:noProof/>
          </w:rPr>
          <w:t>3.</w:t>
        </w:r>
        <w:r>
          <w:rPr>
            <w:rFonts w:eastAsiaTheme="minorEastAsia"/>
            <w:noProof/>
            <w:sz w:val="22"/>
            <w:szCs w:val="22"/>
            <w:lang w:eastAsia="ro-RO"/>
          </w:rPr>
          <w:tab/>
        </w:r>
        <w:r w:rsidRPr="000247E7">
          <w:rPr>
            <w:rStyle w:val="Hyperlink"/>
            <w:noProof/>
          </w:rPr>
          <w:t>Obligația de a demonstra conformitatea cu dispozițiile Convenției modernizate</w:t>
        </w:r>
        <w:r>
          <w:rPr>
            <w:noProof/>
            <w:webHidden/>
          </w:rPr>
          <w:tab/>
        </w:r>
        <w:r>
          <w:rPr>
            <w:noProof/>
            <w:webHidden/>
          </w:rPr>
          <w:fldChar w:fldCharType="begin"/>
        </w:r>
        <w:r>
          <w:rPr>
            <w:noProof/>
            <w:webHidden/>
          </w:rPr>
          <w:instrText xml:space="preserve"> PAGEREF _Toc236764782 \h </w:instrText>
        </w:r>
        <w:r>
          <w:rPr>
            <w:noProof/>
            <w:webHidden/>
          </w:rPr>
        </w:r>
        <w:r>
          <w:rPr>
            <w:noProof/>
            <w:webHidden/>
          </w:rPr>
          <w:fldChar w:fldCharType="separate"/>
        </w:r>
        <w:r>
          <w:rPr>
            <w:noProof/>
            <w:webHidden/>
          </w:rPr>
          <w:t>34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3" w:history="1">
        <w:r w:rsidRPr="000247E7">
          <w:rPr>
            <w:rStyle w:val="Hyperlink"/>
            <w:noProof/>
          </w:rPr>
          <w:t>4.</w:t>
        </w:r>
        <w:r>
          <w:rPr>
            <w:rFonts w:eastAsiaTheme="minorEastAsia"/>
            <w:noProof/>
            <w:sz w:val="22"/>
            <w:szCs w:val="22"/>
            <w:lang w:eastAsia="ro-RO"/>
          </w:rPr>
          <w:tab/>
        </w:r>
        <w:r w:rsidRPr="000247E7">
          <w:rPr>
            <w:rStyle w:val="Hyperlink"/>
            <w:noProof/>
          </w:rPr>
          <w:t>Competențele autorităților de supraveghere</w:t>
        </w:r>
        <w:r>
          <w:rPr>
            <w:noProof/>
            <w:webHidden/>
          </w:rPr>
          <w:tab/>
        </w:r>
        <w:r>
          <w:rPr>
            <w:noProof/>
            <w:webHidden/>
          </w:rPr>
          <w:fldChar w:fldCharType="begin"/>
        </w:r>
        <w:r>
          <w:rPr>
            <w:noProof/>
            <w:webHidden/>
          </w:rPr>
          <w:instrText xml:space="preserve"> PAGEREF _Toc236764783 \h </w:instrText>
        </w:r>
        <w:r>
          <w:rPr>
            <w:noProof/>
            <w:webHidden/>
          </w:rPr>
        </w:r>
        <w:r>
          <w:rPr>
            <w:noProof/>
            <w:webHidden/>
          </w:rPr>
          <w:fldChar w:fldCharType="separate"/>
        </w:r>
        <w:r>
          <w:rPr>
            <w:noProof/>
            <w:webHidden/>
          </w:rPr>
          <w:t>34</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4" w:history="1">
        <w:r w:rsidRPr="000247E7">
          <w:rPr>
            <w:rStyle w:val="Hyperlink"/>
            <w:noProof/>
          </w:rPr>
          <w:t>5.</w:t>
        </w:r>
        <w:r>
          <w:rPr>
            <w:rFonts w:eastAsiaTheme="minorEastAsia"/>
            <w:noProof/>
            <w:sz w:val="22"/>
            <w:szCs w:val="22"/>
            <w:lang w:eastAsia="ro-RO"/>
          </w:rPr>
          <w:tab/>
        </w:r>
        <w:r w:rsidRPr="000247E7">
          <w:rPr>
            <w:rStyle w:val="Hyperlink"/>
            <w:noProof/>
          </w:rPr>
          <w:t>Căi de atac</w:t>
        </w:r>
        <w:r>
          <w:rPr>
            <w:noProof/>
            <w:webHidden/>
          </w:rPr>
          <w:tab/>
        </w:r>
        <w:r>
          <w:rPr>
            <w:noProof/>
            <w:webHidden/>
          </w:rPr>
          <w:fldChar w:fldCharType="begin"/>
        </w:r>
        <w:r>
          <w:rPr>
            <w:noProof/>
            <w:webHidden/>
          </w:rPr>
          <w:instrText xml:space="preserve"> PAGEREF _Toc236764784 \h </w:instrText>
        </w:r>
        <w:r>
          <w:rPr>
            <w:noProof/>
            <w:webHidden/>
          </w:rPr>
        </w:r>
        <w:r>
          <w:rPr>
            <w:noProof/>
            <w:webHidden/>
          </w:rPr>
          <w:fldChar w:fldCharType="separate"/>
        </w:r>
        <w:r>
          <w:rPr>
            <w:noProof/>
            <w:webHidden/>
          </w:rPr>
          <w:t>35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5" w:history="1">
        <w:r w:rsidRPr="000247E7">
          <w:rPr>
            <w:rStyle w:val="Hyperlink"/>
            <w:noProof/>
          </w:rPr>
          <w:t>6.</w:t>
        </w:r>
        <w:r>
          <w:rPr>
            <w:rFonts w:eastAsiaTheme="minorEastAsia"/>
            <w:noProof/>
            <w:sz w:val="22"/>
            <w:szCs w:val="22"/>
            <w:lang w:eastAsia="ro-RO"/>
          </w:rPr>
          <w:tab/>
        </w:r>
        <w:r w:rsidRPr="000247E7">
          <w:rPr>
            <w:rStyle w:val="Hyperlink"/>
            <w:noProof/>
          </w:rPr>
          <w:t>Aplicarea cu titlu provizoriu a Protocolului de amendare</w:t>
        </w:r>
        <w:r>
          <w:rPr>
            <w:noProof/>
            <w:webHidden/>
          </w:rPr>
          <w:tab/>
        </w:r>
        <w:r>
          <w:rPr>
            <w:noProof/>
            <w:webHidden/>
          </w:rPr>
          <w:fldChar w:fldCharType="begin"/>
        </w:r>
        <w:r>
          <w:rPr>
            <w:noProof/>
            <w:webHidden/>
          </w:rPr>
          <w:instrText xml:space="preserve"> PAGEREF _Toc236764785 \h </w:instrText>
        </w:r>
        <w:r>
          <w:rPr>
            <w:noProof/>
            <w:webHidden/>
          </w:rPr>
        </w:r>
        <w:r>
          <w:rPr>
            <w:noProof/>
            <w:webHidden/>
          </w:rPr>
          <w:fldChar w:fldCharType="separate"/>
        </w:r>
        <w:r>
          <w:rPr>
            <w:noProof/>
            <w:webHidden/>
          </w:rPr>
          <w:t>35</w:t>
        </w:r>
        <w:r>
          <w:rPr>
            <w:noProof/>
            <w:webHidden/>
          </w:rPr>
          <w:fldChar w:fldCharType="end"/>
        </w:r>
      </w:hyperlink>
    </w:p>
    <w:p w:rsidR="00C64FB7" w:rsidRDefault="00C64FB7">
      <w:pPr>
        <w:pStyle w:val="TOC2"/>
        <w:rPr>
          <w:rFonts w:eastAsiaTheme="minorEastAsia"/>
          <w:noProof/>
          <w:sz w:val="22"/>
          <w:szCs w:val="22"/>
          <w:lang w:eastAsia="ro-RO"/>
        </w:rPr>
      </w:pPr>
      <w:hyperlink w:anchor="_Toc236764786" w:history="1">
        <w:r w:rsidRPr="000247E7">
          <w:rPr>
            <w:rStyle w:val="Hyperlink"/>
            <w:noProof/>
          </w:rPr>
          <w:t>IV.</w:t>
        </w:r>
        <w:r>
          <w:rPr>
            <w:rFonts w:eastAsiaTheme="minorEastAsia"/>
            <w:noProof/>
            <w:sz w:val="22"/>
            <w:szCs w:val="22"/>
            <w:lang w:eastAsia="ro-RO"/>
          </w:rPr>
          <w:tab/>
        </w:r>
        <w:r w:rsidRPr="000247E7">
          <w:rPr>
            <w:rStyle w:val="Hyperlink"/>
            <w:noProof/>
          </w:rPr>
          <w:t>ALTE DOCUMENTE INTERNAȚIONALE RELEVANTE</w:t>
        </w:r>
        <w:r>
          <w:rPr>
            <w:noProof/>
            <w:webHidden/>
          </w:rPr>
          <w:tab/>
        </w:r>
        <w:r>
          <w:rPr>
            <w:noProof/>
            <w:webHidden/>
          </w:rPr>
          <w:fldChar w:fldCharType="begin"/>
        </w:r>
        <w:r>
          <w:rPr>
            <w:noProof/>
            <w:webHidden/>
          </w:rPr>
          <w:instrText xml:space="preserve"> PAGEREF _Toc236764786 \h </w:instrText>
        </w:r>
        <w:r>
          <w:rPr>
            <w:noProof/>
            <w:webHidden/>
          </w:rPr>
        </w:r>
        <w:r>
          <w:rPr>
            <w:noProof/>
            <w:webHidden/>
          </w:rPr>
          <w:fldChar w:fldCharType="separate"/>
        </w:r>
        <w:r>
          <w:rPr>
            <w:noProof/>
            <w:webHidden/>
          </w:rPr>
          <w:t>35</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87" w:history="1">
        <w:r w:rsidRPr="000247E7">
          <w:rPr>
            <w:rStyle w:val="Hyperlink"/>
            <w:noProof/>
          </w:rPr>
          <w:t>A.</w:t>
        </w:r>
        <w:r>
          <w:rPr>
            <w:rFonts w:eastAsiaTheme="minorEastAsia"/>
            <w:noProof/>
            <w:sz w:val="22"/>
            <w:szCs w:val="22"/>
            <w:lang w:eastAsia="ro-RO"/>
          </w:rPr>
          <w:tab/>
        </w:r>
        <w:r w:rsidRPr="000247E7">
          <w:rPr>
            <w:rStyle w:val="Hyperlink"/>
            <w:noProof/>
          </w:rPr>
          <w:t>Rapoarte relevante</w:t>
        </w:r>
        <w:r>
          <w:rPr>
            <w:noProof/>
            <w:webHidden/>
          </w:rPr>
          <w:tab/>
        </w:r>
        <w:r>
          <w:rPr>
            <w:noProof/>
            <w:webHidden/>
          </w:rPr>
          <w:fldChar w:fldCharType="begin"/>
        </w:r>
        <w:r>
          <w:rPr>
            <w:noProof/>
            <w:webHidden/>
          </w:rPr>
          <w:instrText xml:space="preserve"> PAGEREF _Toc236764787 \h </w:instrText>
        </w:r>
        <w:r>
          <w:rPr>
            <w:noProof/>
            <w:webHidden/>
          </w:rPr>
        </w:r>
        <w:r>
          <w:rPr>
            <w:noProof/>
            <w:webHidden/>
          </w:rPr>
          <w:fldChar w:fldCharType="separate"/>
        </w:r>
        <w:r>
          <w:rPr>
            <w:noProof/>
            <w:webHidden/>
          </w:rPr>
          <w:t>35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8" w:history="1">
        <w:r w:rsidRPr="000247E7">
          <w:rPr>
            <w:rStyle w:val="Hyperlink"/>
            <w:noProof/>
          </w:rPr>
          <w:t>1.</w:t>
        </w:r>
        <w:r>
          <w:rPr>
            <w:rFonts w:eastAsiaTheme="minorEastAsia"/>
            <w:noProof/>
            <w:sz w:val="22"/>
            <w:szCs w:val="22"/>
            <w:lang w:eastAsia="ro-RO"/>
          </w:rPr>
          <w:tab/>
        </w:r>
        <w:r w:rsidRPr="000247E7">
          <w:rPr>
            <w:rStyle w:val="Hyperlink"/>
            <w:noProof/>
          </w:rPr>
          <w:t>Raportul Comisiei de la Veneția</w:t>
        </w:r>
        <w:r>
          <w:rPr>
            <w:noProof/>
            <w:webHidden/>
          </w:rPr>
          <w:tab/>
        </w:r>
        <w:r>
          <w:rPr>
            <w:noProof/>
            <w:webHidden/>
          </w:rPr>
          <w:fldChar w:fldCharType="begin"/>
        </w:r>
        <w:r>
          <w:rPr>
            <w:noProof/>
            <w:webHidden/>
          </w:rPr>
          <w:instrText xml:space="preserve"> PAGEREF _Toc236764788 \h </w:instrText>
        </w:r>
        <w:r>
          <w:rPr>
            <w:noProof/>
            <w:webHidden/>
          </w:rPr>
        </w:r>
        <w:r>
          <w:rPr>
            <w:noProof/>
            <w:webHidden/>
          </w:rPr>
          <w:fldChar w:fldCharType="separate"/>
        </w:r>
        <w:r>
          <w:rPr>
            <w:noProof/>
            <w:webHidden/>
          </w:rPr>
          <w:t>35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89" w:history="1">
        <w:r w:rsidRPr="000247E7">
          <w:rPr>
            <w:rStyle w:val="Hyperlink"/>
            <w:noProof/>
          </w:rPr>
          <w:t>2.</w:t>
        </w:r>
        <w:r>
          <w:rPr>
            <w:rFonts w:eastAsiaTheme="minorEastAsia"/>
            <w:noProof/>
            <w:sz w:val="22"/>
            <w:szCs w:val="22"/>
            <w:lang w:eastAsia="ro-RO"/>
          </w:rPr>
          <w:tab/>
        </w:r>
        <w:r w:rsidRPr="000247E7">
          <w:rPr>
            <w:rStyle w:val="Hyperlink"/>
            <w:noProof/>
          </w:rPr>
          <w:t>Rapoarte ale Agenției pentru Drepturi Fundamentale a Uniunii Europene</w:t>
        </w:r>
        <w:r>
          <w:rPr>
            <w:noProof/>
            <w:webHidden/>
          </w:rPr>
          <w:tab/>
        </w:r>
        <w:r>
          <w:rPr>
            <w:noProof/>
            <w:webHidden/>
          </w:rPr>
          <w:fldChar w:fldCharType="begin"/>
        </w:r>
        <w:r>
          <w:rPr>
            <w:noProof/>
            <w:webHidden/>
          </w:rPr>
          <w:instrText xml:space="preserve"> PAGEREF _Toc236764789 \h </w:instrText>
        </w:r>
        <w:r>
          <w:rPr>
            <w:noProof/>
            <w:webHidden/>
          </w:rPr>
        </w:r>
        <w:r>
          <w:rPr>
            <w:noProof/>
            <w:webHidden/>
          </w:rPr>
          <w:fldChar w:fldCharType="separate"/>
        </w:r>
        <w:r>
          <w:rPr>
            <w:noProof/>
            <w:webHidden/>
          </w:rPr>
          <w:t>37</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90" w:history="1">
        <w:r w:rsidRPr="000247E7">
          <w:rPr>
            <w:rStyle w:val="Hyperlink"/>
            <w:noProof/>
          </w:rPr>
          <w:t>B.</w:t>
        </w:r>
        <w:r>
          <w:rPr>
            <w:rFonts w:eastAsiaTheme="minorEastAsia"/>
            <w:noProof/>
            <w:sz w:val="22"/>
            <w:szCs w:val="22"/>
            <w:lang w:eastAsia="ro-RO"/>
          </w:rPr>
          <w:tab/>
        </w:r>
        <w:r w:rsidRPr="000247E7">
          <w:rPr>
            <w:rStyle w:val="Hyperlink"/>
            <w:noProof/>
          </w:rPr>
          <w:t>Decizia relevantă a Comitetului de Miniștri al Consiliului Europei</w:t>
        </w:r>
        <w:r>
          <w:rPr>
            <w:noProof/>
            <w:webHidden/>
          </w:rPr>
          <w:tab/>
        </w:r>
        <w:r>
          <w:rPr>
            <w:noProof/>
            <w:webHidden/>
          </w:rPr>
          <w:fldChar w:fldCharType="begin"/>
        </w:r>
        <w:r>
          <w:rPr>
            <w:noProof/>
            <w:webHidden/>
          </w:rPr>
          <w:instrText xml:space="preserve"> PAGEREF _Toc236764790 \h </w:instrText>
        </w:r>
        <w:r>
          <w:rPr>
            <w:noProof/>
            <w:webHidden/>
          </w:rPr>
        </w:r>
        <w:r>
          <w:rPr>
            <w:noProof/>
            <w:webHidden/>
          </w:rPr>
          <w:fldChar w:fldCharType="separate"/>
        </w:r>
        <w:r>
          <w:rPr>
            <w:noProof/>
            <w:webHidden/>
          </w:rPr>
          <w:t>39</w:t>
        </w:r>
        <w:r>
          <w:rPr>
            <w:noProof/>
            <w:webHidden/>
          </w:rPr>
          <w:fldChar w:fldCharType="end"/>
        </w:r>
      </w:hyperlink>
    </w:p>
    <w:p w:rsidR="00C64FB7" w:rsidRDefault="00C64FB7">
      <w:pPr>
        <w:pStyle w:val="TOC1"/>
        <w:rPr>
          <w:rFonts w:eastAsiaTheme="minorEastAsia"/>
          <w:b w:val="0"/>
          <w:sz w:val="22"/>
          <w:szCs w:val="22"/>
          <w:lang w:eastAsia="ro-RO"/>
        </w:rPr>
      </w:pPr>
      <w:hyperlink w:anchor="_Toc236764791" w:history="1">
        <w:r w:rsidRPr="000247E7">
          <w:rPr>
            <w:rStyle w:val="Hyperlink"/>
          </w:rPr>
          <w:t>ÎN DREPT</w:t>
        </w:r>
        <w:r>
          <w:rPr>
            <w:webHidden/>
          </w:rPr>
          <w:tab/>
        </w:r>
        <w:r>
          <w:rPr>
            <w:webHidden/>
          </w:rPr>
          <w:fldChar w:fldCharType="begin"/>
        </w:r>
        <w:r>
          <w:rPr>
            <w:webHidden/>
          </w:rPr>
          <w:instrText xml:space="preserve"> PAGEREF _Toc236764791 \h </w:instrText>
        </w:r>
        <w:r>
          <w:rPr>
            <w:webHidden/>
          </w:rPr>
        </w:r>
        <w:r>
          <w:rPr>
            <w:webHidden/>
          </w:rPr>
          <w:fldChar w:fldCharType="separate"/>
        </w:r>
        <w:r>
          <w:rPr>
            <w:webHidden/>
          </w:rPr>
          <w:t>40</w:t>
        </w:r>
        <w:r>
          <w:rPr>
            <w:webHidden/>
          </w:rPr>
          <w:fldChar w:fldCharType="end"/>
        </w:r>
      </w:hyperlink>
    </w:p>
    <w:p w:rsidR="00C64FB7" w:rsidRDefault="00C64FB7">
      <w:pPr>
        <w:pStyle w:val="TOC2"/>
        <w:rPr>
          <w:rFonts w:eastAsiaTheme="minorEastAsia"/>
          <w:noProof/>
          <w:sz w:val="22"/>
          <w:szCs w:val="22"/>
          <w:lang w:eastAsia="ro-RO"/>
        </w:rPr>
      </w:pPr>
      <w:hyperlink w:anchor="_Toc236764792" w:history="1">
        <w:r w:rsidRPr="000247E7">
          <w:rPr>
            <w:rStyle w:val="Hyperlink"/>
            <w:noProof/>
          </w:rPr>
          <w:t>I.</w:t>
        </w:r>
        <w:r>
          <w:rPr>
            <w:rFonts w:eastAsiaTheme="minorEastAsia"/>
            <w:noProof/>
            <w:sz w:val="22"/>
            <w:szCs w:val="22"/>
            <w:lang w:eastAsia="ro-RO"/>
          </w:rPr>
          <w:tab/>
        </w:r>
        <w:r w:rsidRPr="000247E7">
          <w:rPr>
            <w:rStyle w:val="Hyperlink"/>
            <w:noProof/>
          </w:rPr>
          <w:t>CU PRIVIRE LA PRETINSA ÎNCĂLCARE A ART. 8 DIN CONVENȚIE</w:t>
        </w:r>
        <w:r>
          <w:rPr>
            <w:noProof/>
            <w:webHidden/>
          </w:rPr>
          <w:tab/>
        </w:r>
        <w:r>
          <w:rPr>
            <w:noProof/>
            <w:webHidden/>
          </w:rPr>
          <w:fldChar w:fldCharType="begin"/>
        </w:r>
        <w:r>
          <w:rPr>
            <w:noProof/>
            <w:webHidden/>
          </w:rPr>
          <w:instrText xml:space="preserve"> PAGEREF _Toc236764792 \h </w:instrText>
        </w:r>
        <w:r>
          <w:rPr>
            <w:noProof/>
            <w:webHidden/>
          </w:rPr>
        </w:r>
        <w:r>
          <w:rPr>
            <w:noProof/>
            <w:webHidden/>
          </w:rPr>
          <w:fldChar w:fldCharType="separate"/>
        </w:r>
        <w:r>
          <w:rPr>
            <w:noProof/>
            <w:webHidden/>
          </w:rPr>
          <w:t>40</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793" w:history="1">
        <w:r w:rsidRPr="000247E7">
          <w:rPr>
            <w:rStyle w:val="Hyperlink"/>
            <w:noProof/>
          </w:rPr>
          <w:t>A.</w:t>
        </w:r>
        <w:r>
          <w:rPr>
            <w:rFonts w:eastAsiaTheme="minorEastAsia"/>
            <w:noProof/>
            <w:sz w:val="22"/>
            <w:szCs w:val="22"/>
            <w:lang w:eastAsia="ro-RO"/>
          </w:rPr>
          <w:tab/>
        </w:r>
        <w:r w:rsidRPr="000247E7">
          <w:rPr>
            <w:rStyle w:val="Hyperlink"/>
            <w:noProof/>
          </w:rPr>
          <w:t>Cu privire la admisibilitate</w:t>
        </w:r>
        <w:r>
          <w:rPr>
            <w:noProof/>
            <w:webHidden/>
          </w:rPr>
          <w:tab/>
        </w:r>
        <w:r>
          <w:rPr>
            <w:noProof/>
            <w:webHidden/>
          </w:rPr>
          <w:fldChar w:fldCharType="begin"/>
        </w:r>
        <w:r>
          <w:rPr>
            <w:noProof/>
            <w:webHidden/>
          </w:rPr>
          <w:instrText xml:space="preserve"> PAGEREF _Toc236764793 \h </w:instrText>
        </w:r>
        <w:r>
          <w:rPr>
            <w:noProof/>
            <w:webHidden/>
          </w:rPr>
        </w:r>
        <w:r>
          <w:rPr>
            <w:noProof/>
            <w:webHidden/>
          </w:rPr>
          <w:fldChar w:fldCharType="separate"/>
        </w:r>
        <w:r>
          <w:rPr>
            <w:noProof/>
            <w:webHidden/>
          </w:rPr>
          <w:t>40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94" w:history="1">
        <w:r w:rsidRPr="000247E7">
          <w:rPr>
            <w:rStyle w:val="Hyperlink"/>
            <w:noProof/>
          </w:rPr>
          <w:t>1.</w:t>
        </w:r>
        <w:r>
          <w:rPr>
            <w:rFonts w:eastAsiaTheme="minorEastAsia"/>
            <w:noProof/>
            <w:sz w:val="22"/>
            <w:szCs w:val="22"/>
            <w:lang w:eastAsia="ro-RO"/>
          </w:rPr>
          <w:tab/>
        </w:r>
        <w:r w:rsidRPr="000247E7">
          <w:rPr>
            <w:rStyle w:val="Hyperlink"/>
            <w:noProof/>
          </w:rPr>
          <w:t>Compatibilitate ratione materiae</w:t>
        </w:r>
        <w:r>
          <w:rPr>
            <w:noProof/>
            <w:webHidden/>
          </w:rPr>
          <w:tab/>
        </w:r>
        <w:r>
          <w:rPr>
            <w:noProof/>
            <w:webHidden/>
          </w:rPr>
          <w:fldChar w:fldCharType="begin"/>
        </w:r>
        <w:r>
          <w:rPr>
            <w:noProof/>
            <w:webHidden/>
          </w:rPr>
          <w:instrText xml:space="preserve"> PAGEREF _Toc236764794 \h </w:instrText>
        </w:r>
        <w:r>
          <w:rPr>
            <w:noProof/>
            <w:webHidden/>
          </w:rPr>
        </w:r>
        <w:r>
          <w:rPr>
            <w:noProof/>
            <w:webHidden/>
          </w:rPr>
          <w:fldChar w:fldCharType="separate"/>
        </w:r>
        <w:r>
          <w:rPr>
            <w:noProof/>
            <w:webHidden/>
          </w:rPr>
          <w:t>40</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95"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_Toc236764795 \h </w:instrText>
        </w:r>
        <w:r>
          <w:rPr>
            <w:noProof/>
            <w:webHidden/>
          </w:rPr>
        </w:r>
        <w:r>
          <w:rPr>
            <w:noProof/>
            <w:webHidden/>
          </w:rPr>
          <w:fldChar w:fldCharType="separate"/>
        </w:r>
        <w:r>
          <w:rPr>
            <w:noProof/>
            <w:webHidden/>
          </w:rPr>
          <w:t>40</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96"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_Toc236764796 \h </w:instrText>
        </w:r>
        <w:r>
          <w:rPr>
            <w:noProof/>
            <w:webHidden/>
          </w:rPr>
        </w:r>
        <w:r>
          <w:rPr>
            <w:noProof/>
            <w:webHidden/>
          </w:rPr>
          <w:fldChar w:fldCharType="separate"/>
        </w:r>
        <w:r>
          <w:rPr>
            <w:noProof/>
            <w:webHidden/>
          </w:rPr>
          <w:t>40</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797" w:history="1">
        <w:r w:rsidRPr="000247E7">
          <w:rPr>
            <w:rStyle w:val="Hyperlink"/>
            <w:noProof/>
          </w:rPr>
          <w:t>2.</w:t>
        </w:r>
        <w:r>
          <w:rPr>
            <w:rFonts w:eastAsiaTheme="minorEastAsia"/>
            <w:noProof/>
            <w:sz w:val="22"/>
            <w:szCs w:val="22"/>
            <w:lang w:eastAsia="ro-RO"/>
          </w:rPr>
          <w:tab/>
        </w:r>
        <w:r w:rsidRPr="000247E7">
          <w:rPr>
            <w:rStyle w:val="Hyperlink"/>
            <w:noProof/>
          </w:rPr>
          <w:t>Epuizarea căilor de atac interne</w:t>
        </w:r>
        <w:r>
          <w:rPr>
            <w:noProof/>
            <w:webHidden/>
          </w:rPr>
          <w:tab/>
        </w:r>
        <w:r>
          <w:rPr>
            <w:noProof/>
            <w:webHidden/>
          </w:rPr>
          <w:fldChar w:fldCharType="begin"/>
        </w:r>
        <w:r>
          <w:rPr>
            <w:noProof/>
            <w:webHidden/>
          </w:rPr>
          <w:instrText xml:space="preserve"> PAGEREF _Toc236764797 \h </w:instrText>
        </w:r>
        <w:r>
          <w:rPr>
            <w:noProof/>
            <w:webHidden/>
          </w:rPr>
        </w:r>
        <w:r>
          <w:rPr>
            <w:noProof/>
            <w:webHidden/>
          </w:rPr>
          <w:fldChar w:fldCharType="separate"/>
        </w:r>
        <w:r>
          <w:rPr>
            <w:noProof/>
            <w:webHidden/>
          </w:rPr>
          <w:t>43</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98"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_Toc236764798 \h </w:instrText>
        </w:r>
        <w:r>
          <w:rPr>
            <w:noProof/>
            <w:webHidden/>
          </w:rPr>
        </w:r>
        <w:r>
          <w:rPr>
            <w:noProof/>
            <w:webHidden/>
          </w:rPr>
          <w:fldChar w:fldCharType="separate"/>
        </w:r>
        <w:r>
          <w:rPr>
            <w:noProof/>
            <w:webHidden/>
          </w:rPr>
          <w:t>43</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799"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_Toc236764799 \h </w:instrText>
        </w:r>
        <w:r>
          <w:rPr>
            <w:noProof/>
            <w:webHidden/>
          </w:rPr>
        </w:r>
        <w:r>
          <w:rPr>
            <w:noProof/>
            <w:webHidden/>
          </w:rPr>
          <w:fldChar w:fldCharType="separate"/>
        </w:r>
        <w:r>
          <w:rPr>
            <w:noProof/>
            <w:webHidden/>
          </w:rPr>
          <w:t>43</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00" w:history="1">
        <w:r w:rsidRPr="000247E7">
          <w:rPr>
            <w:rStyle w:val="Hyperlink"/>
            <w:noProof/>
            <w:lang w:bidi="en-US"/>
          </w:rPr>
          <w:t>(i)</w:t>
        </w:r>
        <w:r>
          <w:rPr>
            <w:rFonts w:eastAsiaTheme="minorEastAsia"/>
            <w:noProof/>
            <w:sz w:val="22"/>
            <w:szCs w:val="22"/>
            <w:lang w:eastAsia="ro-RO"/>
          </w:rPr>
          <w:tab/>
        </w:r>
        <w:r w:rsidRPr="000247E7">
          <w:rPr>
            <w:rStyle w:val="Hyperlink"/>
            <w:noProof/>
            <w:lang w:bidi="en-US"/>
          </w:rPr>
          <w:t>Primul argument pe care s-a întemeiat excepția privind neepuizarea căilor de atac</w:t>
        </w:r>
        <w:r>
          <w:rPr>
            <w:noProof/>
            <w:webHidden/>
          </w:rPr>
          <w:tab/>
        </w:r>
        <w:r>
          <w:rPr>
            <w:noProof/>
            <w:webHidden/>
          </w:rPr>
          <w:fldChar w:fldCharType="begin"/>
        </w:r>
        <w:r>
          <w:rPr>
            <w:noProof/>
            <w:webHidden/>
          </w:rPr>
          <w:instrText xml:space="preserve"> PAGEREF _Toc236764800 \h </w:instrText>
        </w:r>
        <w:r>
          <w:rPr>
            <w:noProof/>
            <w:webHidden/>
          </w:rPr>
        </w:r>
        <w:r>
          <w:rPr>
            <w:noProof/>
            <w:webHidden/>
          </w:rPr>
          <w:fldChar w:fldCharType="separate"/>
        </w:r>
        <w:r>
          <w:rPr>
            <w:noProof/>
            <w:webHidden/>
          </w:rPr>
          <w:t>43</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01" w:history="1">
        <w:r w:rsidRPr="000247E7">
          <w:rPr>
            <w:rStyle w:val="Hyperlink"/>
            <w:noProof/>
            <w:lang w:bidi="en-US"/>
          </w:rPr>
          <w:t>(ii)</w:t>
        </w:r>
        <w:r>
          <w:rPr>
            <w:rFonts w:eastAsiaTheme="minorEastAsia"/>
            <w:noProof/>
            <w:sz w:val="22"/>
            <w:szCs w:val="22"/>
            <w:lang w:eastAsia="ro-RO"/>
          </w:rPr>
          <w:tab/>
        </w:r>
        <w:r w:rsidRPr="000247E7">
          <w:rPr>
            <w:rStyle w:val="Hyperlink"/>
            <w:noProof/>
            <w:lang w:bidi="en-US"/>
          </w:rPr>
          <w:t>Al doilea argument pe care s-a întemeiat excepția privind neepuizarea căilor de atac</w:t>
        </w:r>
        <w:r>
          <w:rPr>
            <w:noProof/>
            <w:webHidden/>
          </w:rPr>
          <w:tab/>
        </w:r>
        <w:r>
          <w:rPr>
            <w:noProof/>
            <w:webHidden/>
          </w:rPr>
          <w:fldChar w:fldCharType="begin"/>
        </w:r>
        <w:r>
          <w:rPr>
            <w:noProof/>
            <w:webHidden/>
          </w:rPr>
          <w:instrText xml:space="preserve"> PAGEREF _Toc236764801 \h </w:instrText>
        </w:r>
        <w:r>
          <w:rPr>
            <w:noProof/>
            <w:webHidden/>
          </w:rPr>
        </w:r>
        <w:r>
          <w:rPr>
            <w:noProof/>
            <w:webHidden/>
          </w:rPr>
          <w:fldChar w:fldCharType="separate"/>
        </w:r>
        <w:r>
          <w:rPr>
            <w:noProof/>
            <w:webHidden/>
          </w:rPr>
          <w:t>44</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02" w:history="1">
        <w:r w:rsidRPr="000247E7">
          <w:rPr>
            <w:rStyle w:val="Hyperlink"/>
            <w:noProof/>
            <w:lang w:bidi="en-US"/>
          </w:rPr>
          <w:t>(iii)</w:t>
        </w:r>
        <w:r>
          <w:rPr>
            <w:rFonts w:eastAsiaTheme="minorEastAsia"/>
            <w:noProof/>
            <w:sz w:val="22"/>
            <w:szCs w:val="22"/>
            <w:lang w:eastAsia="ro-RO"/>
          </w:rPr>
          <w:tab/>
        </w:r>
        <w:r w:rsidRPr="000247E7">
          <w:rPr>
            <w:rStyle w:val="Hyperlink"/>
            <w:noProof/>
            <w:lang w:bidi="en-US"/>
          </w:rPr>
          <w:t>Al treilea argument pe care s-a întemeiat excepția privind neepuizarea căilor de atac</w:t>
        </w:r>
        <w:r>
          <w:rPr>
            <w:noProof/>
            <w:webHidden/>
          </w:rPr>
          <w:tab/>
        </w:r>
        <w:r>
          <w:rPr>
            <w:noProof/>
            <w:webHidden/>
          </w:rPr>
          <w:fldChar w:fldCharType="begin"/>
        </w:r>
        <w:r>
          <w:rPr>
            <w:noProof/>
            <w:webHidden/>
          </w:rPr>
          <w:instrText xml:space="preserve"> PAGEREF _Toc236764802 \h </w:instrText>
        </w:r>
        <w:r>
          <w:rPr>
            <w:noProof/>
            <w:webHidden/>
          </w:rPr>
        </w:r>
        <w:r>
          <w:rPr>
            <w:noProof/>
            <w:webHidden/>
          </w:rPr>
          <w:fldChar w:fldCharType="separate"/>
        </w:r>
        <w:r>
          <w:rPr>
            <w:noProof/>
            <w:webHidden/>
          </w:rPr>
          <w:t>44</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03" w:history="1">
        <w:r w:rsidRPr="000247E7">
          <w:rPr>
            <w:rStyle w:val="Hyperlink"/>
            <w:noProof/>
            <w:lang w:bidi="en-US"/>
          </w:rPr>
          <w:t>(iv)</w:t>
        </w:r>
        <w:r>
          <w:rPr>
            <w:rFonts w:eastAsiaTheme="minorEastAsia"/>
            <w:noProof/>
            <w:sz w:val="22"/>
            <w:szCs w:val="22"/>
            <w:lang w:eastAsia="ro-RO"/>
          </w:rPr>
          <w:tab/>
        </w:r>
        <w:r w:rsidRPr="000247E7">
          <w:rPr>
            <w:rStyle w:val="Hyperlink"/>
            <w:noProof/>
            <w:lang w:bidi="en-US"/>
          </w:rPr>
          <w:t>Concluzie</w:t>
        </w:r>
        <w:r>
          <w:rPr>
            <w:noProof/>
            <w:webHidden/>
          </w:rPr>
          <w:tab/>
        </w:r>
        <w:r>
          <w:rPr>
            <w:noProof/>
            <w:webHidden/>
          </w:rPr>
          <w:fldChar w:fldCharType="begin"/>
        </w:r>
        <w:r>
          <w:rPr>
            <w:noProof/>
            <w:webHidden/>
          </w:rPr>
          <w:instrText xml:space="preserve"> PAGEREF _Toc236764803 \h </w:instrText>
        </w:r>
        <w:r>
          <w:rPr>
            <w:noProof/>
            <w:webHidden/>
          </w:rPr>
        </w:r>
        <w:r>
          <w:rPr>
            <w:noProof/>
            <w:webHidden/>
          </w:rPr>
          <w:fldChar w:fldCharType="separate"/>
        </w:r>
        <w:r>
          <w:rPr>
            <w:noProof/>
            <w:webHidden/>
          </w:rPr>
          <w:t>45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04" w:history="1">
        <w:r w:rsidRPr="000247E7">
          <w:rPr>
            <w:rStyle w:val="Hyperlink"/>
            <w:noProof/>
          </w:rPr>
          <w:t>3.</w:t>
        </w:r>
        <w:r>
          <w:rPr>
            <w:rFonts w:eastAsiaTheme="minorEastAsia"/>
            <w:noProof/>
            <w:sz w:val="22"/>
            <w:szCs w:val="22"/>
            <w:lang w:eastAsia="ro-RO"/>
          </w:rPr>
          <w:tab/>
        </w:r>
        <w:r w:rsidRPr="000247E7">
          <w:rPr>
            <w:rStyle w:val="Hyperlink"/>
            <w:noProof/>
          </w:rPr>
          <w:t>Concluzia Curții cu privire la admisibilitatea capătului de cerere</w:t>
        </w:r>
        <w:r>
          <w:rPr>
            <w:noProof/>
            <w:webHidden/>
          </w:rPr>
          <w:tab/>
        </w:r>
        <w:r>
          <w:rPr>
            <w:noProof/>
            <w:webHidden/>
          </w:rPr>
          <w:fldChar w:fldCharType="begin"/>
        </w:r>
        <w:r>
          <w:rPr>
            <w:noProof/>
            <w:webHidden/>
          </w:rPr>
          <w:instrText xml:space="preserve"> PAGEREF _Toc236764804 \h </w:instrText>
        </w:r>
        <w:r>
          <w:rPr>
            <w:noProof/>
            <w:webHidden/>
          </w:rPr>
        </w:r>
        <w:r>
          <w:rPr>
            <w:noProof/>
            <w:webHidden/>
          </w:rPr>
          <w:fldChar w:fldCharType="separate"/>
        </w:r>
        <w:r>
          <w:rPr>
            <w:noProof/>
            <w:webHidden/>
          </w:rPr>
          <w:t>45</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05" w:history="1">
        <w:r w:rsidRPr="000247E7">
          <w:rPr>
            <w:rStyle w:val="Hyperlink"/>
            <w:noProof/>
          </w:rPr>
          <w:t>B.</w:t>
        </w:r>
        <w:r>
          <w:rPr>
            <w:rFonts w:eastAsiaTheme="minorEastAsia"/>
            <w:noProof/>
            <w:sz w:val="22"/>
            <w:szCs w:val="22"/>
            <w:lang w:eastAsia="ro-RO"/>
          </w:rPr>
          <w:tab/>
        </w:r>
        <w:r w:rsidRPr="000247E7">
          <w:rPr>
            <w:rStyle w:val="Hyperlink"/>
            <w:noProof/>
          </w:rPr>
          <w:t>Cu privire la fond</w:t>
        </w:r>
        <w:r>
          <w:rPr>
            <w:noProof/>
            <w:webHidden/>
          </w:rPr>
          <w:tab/>
        </w:r>
        <w:r>
          <w:rPr>
            <w:noProof/>
            <w:webHidden/>
          </w:rPr>
          <w:fldChar w:fldCharType="begin"/>
        </w:r>
        <w:r>
          <w:rPr>
            <w:noProof/>
            <w:webHidden/>
          </w:rPr>
          <w:instrText xml:space="preserve"> PAGEREF _Toc236764805 \h </w:instrText>
        </w:r>
        <w:r>
          <w:rPr>
            <w:noProof/>
            <w:webHidden/>
          </w:rPr>
        </w:r>
        <w:r>
          <w:rPr>
            <w:noProof/>
            <w:webHidden/>
          </w:rPr>
          <w:fldChar w:fldCharType="separate"/>
        </w:r>
        <w:r>
          <w:rPr>
            <w:noProof/>
            <w:webHidden/>
          </w:rPr>
          <w:t>45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06" w:history="1">
        <w:r w:rsidRPr="000247E7">
          <w:rPr>
            <w:rStyle w:val="Hyperlink"/>
            <w:noProof/>
          </w:rPr>
          <w:t>1.</w:t>
        </w:r>
        <w:r>
          <w:rPr>
            <w:rFonts w:eastAsiaTheme="minorEastAsia"/>
            <w:noProof/>
            <w:sz w:val="22"/>
            <w:szCs w:val="22"/>
            <w:lang w:eastAsia="ro-RO"/>
          </w:rPr>
          <w:tab/>
        </w:r>
        <w:r w:rsidRPr="000247E7">
          <w:rPr>
            <w:rStyle w:val="Hyperlink"/>
            <w:noProof/>
          </w:rPr>
          <w:t>Existența unei ingerințe în exercitarea drepturilor protejate în temeiul art. 8 din Convenție</w:t>
        </w:r>
        <w:r>
          <w:rPr>
            <w:noProof/>
            <w:webHidden/>
          </w:rPr>
          <w:tab/>
        </w:r>
        <w:r>
          <w:rPr>
            <w:noProof/>
            <w:webHidden/>
          </w:rPr>
          <w:fldChar w:fldCharType="begin"/>
        </w:r>
        <w:r>
          <w:rPr>
            <w:noProof/>
            <w:webHidden/>
          </w:rPr>
          <w:instrText xml:space="preserve"> PAGEREF _Toc236764806 \h </w:instrText>
        </w:r>
        <w:r>
          <w:rPr>
            <w:noProof/>
            <w:webHidden/>
          </w:rPr>
        </w:r>
        <w:r>
          <w:rPr>
            <w:noProof/>
            <w:webHidden/>
          </w:rPr>
          <w:fldChar w:fldCharType="separate"/>
        </w:r>
        <w:r>
          <w:rPr>
            <w:noProof/>
            <w:webHidden/>
          </w:rPr>
          <w:t>45</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07"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_Toc236764807 \h </w:instrText>
        </w:r>
        <w:r>
          <w:rPr>
            <w:noProof/>
            <w:webHidden/>
          </w:rPr>
        </w:r>
        <w:r>
          <w:rPr>
            <w:noProof/>
            <w:webHidden/>
          </w:rPr>
          <w:fldChar w:fldCharType="separate"/>
        </w:r>
        <w:r>
          <w:rPr>
            <w:noProof/>
            <w:webHidden/>
          </w:rPr>
          <w:t>45</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08"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_Toc236764808 \h </w:instrText>
        </w:r>
        <w:r>
          <w:rPr>
            <w:noProof/>
            <w:webHidden/>
          </w:rPr>
        </w:r>
        <w:r>
          <w:rPr>
            <w:noProof/>
            <w:webHidden/>
          </w:rPr>
          <w:fldChar w:fldCharType="separate"/>
        </w:r>
        <w:r>
          <w:rPr>
            <w:noProof/>
            <w:webHidden/>
          </w:rPr>
          <w:t>46</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09" w:history="1">
        <w:r w:rsidRPr="000247E7">
          <w:rPr>
            <w:rStyle w:val="Hyperlink"/>
            <w:noProof/>
          </w:rPr>
          <w:t>2.</w:t>
        </w:r>
        <w:r>
          <w:rPr>
            <w:rFonts w:eastAsiaTheme="minorEastAsia"/>
            <w:noProof/>
            <w:sz w:val="22"/>
            <w:szCs w:val="22"/>
            <w:lang w:eastAsia="ro-RO"/>
          </w:rPr>
          <w:tab/>
        </w:r>
        <w:r w:rsidRPr="000247E7">
          <w:rPr>
            <w:rStyle w:val="Hyperlink"/>
            <w:noProof/>
          </w:rPr>
          <w:t>Justificarea ingerinței</w:t>
        </w:r>
        <w:r>
          <w:rPr>
            <w:noProof/>
            <w:webHidden/>
          </w:rPr>
          <w:tab/>
        </w:r>
        <w:r>
          <w:rPr>
            <w:noProof/>
            <w:webHidden/>
          </w:rPr>
          <w:fldChar w:fldCharType="begin"/>
        </w:r>
        <w:r>
          <w:rPr>
            <w:noProof/>
            <w:webHidden/>
          </w:rPr>
          <w:instrText xml:space="preserve"> PAGEREF _Toc236764809 \h </w:instrText>
        </w:r>
        <w:r>
          <w:rPr>
            <w:noProof/>
            <w:webHidden/>
          </w:rPr>
        </w:r>
        <w:r>
          <w:rPr>
            <w:noProof/>
            <w:webHidden/>
          </w:rPr>
          <w:fldChar w:fldCharType="separate"/>
        </w:r>
        <w:r>
          <w:rPr>
            <w:noProof/>
            <w:webHidden/>
          </w:rPr>
          <w:t>46</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10"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_Toc236764810 \h </w:instrText>
        </w:r>
        <w:r>
          <w:rPr>
            <w:noProof/>
            <w:webHidden/>
          </w:rPr>
        </w:r>
        <w:r>
          <w:rPr>
            <w:noProof/>
            <w:webHidden/>
          </w:rPr>
          <w:fldChar w:fldCharType="separate"/>
        </w:r>
        <w:r>
          <w:rPr>
            <w:noProof/>
            <w:webHidden/>
          </w:rPr>
          <w:t>46</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11"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_Toc236764811 \h </w:instrText>
        </w:r>
        <w:r>
          <w:rPr>
            <w:noProof/>
            <w:webHidden/>
          </w:rPr>
        </w:r>
        <w:r>
          <w:rPr>
            <w:noProof/>
            <w:webHidden/>
          </w:rPr>
          <w:fldChar w:fldCharType="separate"/>
        </w:r>
        <w:r>
          <w:rPr>
            <w:noProof/>
            <w:webHidden/>
          </w:rPr>
          <w:t>47</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12" w:history="1">
        <w:r w:rsidRPr="000247E7">
          <w:rPr>
            <w:rStyle w:val="Hyperlink"/>
            <w:noProof/>
            <w:lang w:bidi="en-US"/>
          </w:rPr>
          <w:t>(i)</w:t>
        </w:r>
        <w:r>
          <w:rPr>
            <w:rFonts w:eastAsiaTheme="minorEastAsia"/>
            <w:noProof/>
            <w:sz w:val="22"/>
            <w:szCs w:val="22"/>
            <w:lang w:eastAsia="ro-RO"/>
          </w:rPr>
          <w:tab/>
        </w:r>
        <w:r w:rsidRPr="000247E7">
          <w:rPr>
            <w:rStyle w:val="Hyperlink"/>
            <w:noProof/>
            <w:lang w:bidi="en-US"/>
          </w:rPr>
          <w:t>A fost ingerința „prevăzută de lege”?</w:t>
        </w:r>
        <w:r>
          <w:rPr>
            <w:noProof/>
            <w:webHidden/>
          </w:rPr>
          <w:tab/>
        </w:r>
        <w:r>
          <w:rPr>
            <w:noProof/>
            <w:webHidden/>
          </w:rPr>
          <w:fldChar w:fldCharType="begin"/>
        </w:r>
        <w:r>
          <w:rPr>
            <w:noProof/>
            <w:webHidden/>
          </w:rPr>
          <w:instrText xml:space="preserve"> PAGEREF _Toc236764812 \h </w:instrText>
        </w:r>
        <w:r>
          <w:rPr>
            <w:noProof/>
            <w:webHidden/>
          </w:rPr>
        </w:r>
        <w:r>
          <w:rPr>
            <w:noProof/>
            <w:webHidden/>
          </w:rPr>
          <w:fldChar w:fldCharType="separate"/>
        </w:r>
        <w:r>
          <w:rPr>
            <w:noProof/>
            <w:webHidden/>
          </w:rPr>
          <w:t>47</w:t>
        </w:r>
        <w:r>
          <w:rPr>
            <w:noProof/>
            <w:webHidden/>
          </w:rPr>
          <w:fldChar w:fldCharType="end"/>
        </w:r>
      </w:hyperlink>
    </w:p>
    <w:p w:rsidR="00C64FB7" w:rsidRDefault="00C64FB7">
      <w:pPr>
        <w:pStyle w:val="TOC7"/>
        <w:tabs>
          <w:tab w:val="left" w:pos="2721"/>
        </w:tabs>
        <w:rPr>
          <w:rFonts w:eastAsiaTheme="minorEastAsia"/>
          <w:noProof/>
          <w:sz w:val="22"/>
          <w:szCs w:val="22"/>
          <w:lang w:eastAsia="ro-RO"/>
        </w:rPr>
      </w:pPr>
      <w:hyperlink w:anchor="_Toc236764813" w:history="1">
        <w:r w:rsidRPr="000247E7">
          <w:rPr>
            <w:rStyle w:val="Hyperlink"/>
            <w:noProof/>
            <w:lang w:bidi="en-US"/>
          </w:rPr>
          <w:t>(α)</w:t>
        </w:r>
        <w:r>
          <w:rPr>
            <w:rFonts w:eastAsiaTheme="minorEastAsia"/>
            <w:noProof/>
            <w:sz w:val="22"/>
            <w:szCs w:val="22"/>
            <w:lang w:eastAsia="ro-RO"/>
          </w:rPr>
          <w:tab/>
        </w:r>
        <w:r w:rsidRPr="000247E7">
          <w:rPr>
            <w:rStyle w:val="Hyperlink"/>
            <w:noProof/>
            <w:lang w:bidi="en-US"/>
          </w:rPr>
          <w:t>Principii generale</w:t>
        </w:r>
        <w:r>
          <w:rPr>
            <w:noProof/>
            <w:webHidden/>
          </w:rPr>
          <w:tab/>
        </w:r>
        <w:r>
          <w:rPr>
            <w:noProof/>
            <w:webHidden/>
          </w:rPr>
          <w:fldChar w:fldCharType="begin"/>
        </w:r>
        <w:r>
          <w:rPr>
            <w:noProof/>
            <w:webHidden/>
          </w:rPr>
          <w:instrText xml:space="preserve"> PAGEREF _Toc236764813 \h </w:instrText>
        </w:r>
        <w:r>
          <w:rPr>
            <w:noProof/>
            <w:webHidden/>
          </w:rPr>
        </w:r>
        <w:r>
          <w:rPr>
            <w:noProof/>
            <w:webHidden/>
          </w:rPr>
          <w:fldChar w:fldCharType="separate"/>
        </w:r>
        <w:r>
          <w:rPr>
            <w:noProof/>
            <w:webHidden/>
          </w:rPr>
          <w:t>47</w:t>
        </w:r>
        <w:r>
          <w:rPr>
            <w:noProof/>
            <w:webHidden/>
          </w:rPr>
          <w:fldChar w:fldCharType="end"/>
        </w:r>
      </w:hyperlink>
    </w:p>
    <w:p w:rsidR="00C64FB7" w:rsidRDefault="00C64FB7">
      <w:pPr>
        <w:pStyle w:val="TOC7"/>
        <w:tabs>
          <w:tab w:val="left" w:pos="2721"/>
        </w:tabs>
        <w:rPr>
          <w:rFonts w:eastAsiaTheme="minorEastAsia"/>
          <w:noProof/>
          <w:sz w:val="22"/>
          <w:szCs w:val="22"/>
          <w:lang w:eastAsia="ro-RO"/>
        </w:rPr>
      </w:pPr>
      <w:hyperlink w:anchor="_Toc236764814" w:history="1">
        <w:r w:rsidRPr="000247E7">
          <w:rPr>
            <w:rStyle w:val="Hyperlink"/>
            <w:noProof/>
            <w:lang w:bidi="en-US"/>
          </w:rPr>
          <w:t>(β)</w:t>
        </w:r>
        <w:r>
          <w:rPr>
            <w:rFonts w:eastAsiaTheme="minorEastAsia"/>
            <w:noProof/>
            <w:sz w:val="22"/>
            <w:szCs w:val="22"/>
            <w:lang w:eastAsia="ro-RO"/>
          </w:rPr>
          <w:tab/>
        </w:r>
        <w:r w:rsidRPr="000247E7">
          <w:rPr>
            <w:rStyle w:val="Hyperlink"/>
            <w:noProof/>
            <w:lang w:bidi="en-US"/>
          </w:rPr>
          <w:t>Aplicarea acestor principii</w:t>
        </w:r>
        <w:r>
          <w:rPr>
            <w:noProof/>
            <w:webHidden/>
          </w:rPr>
          <w:tab/>
        </w:r>
        <w:r>
          <w:rPr>
            <w:noProof/>
            <w:webHidden/>
          </w:rPr>
          <w:fldChar w:fldCharType="begin"/>
        </w:r>
        <w:r>
          <w:rPr>
            <w:noProof/>
            <w:webHidden/>
          </w:rPr>
          <w:instrText xml:space="preserve"> PAGEREF _Toc236764814 \h </w:instrText>
        </w:r>
        <w:r>
          <w:rPr>
            <w:noProof/>
            <w:webHidden/>
          </w:rPr>
        </w:r>
        <w:r>
          <w:rPr>
            <w:noProof/>
            <w:webHidden/>
          </w:rPr>
          <w:fldChar w:fldCharType="separate"/>
        </w:r>
        <w:r>
          <w:rPr>
            <w:noProof/>
            <w:webHidden/>
          </w:rPr>
          <w:t>49</w:t>
        </w:r>
        <w:r>
          <w:rPr>
            <w:noProof/>
            <w:webHidden/>
          </w:rPr>
          <w:fldChar w:fldCharType="end"/>
        </w:r>
      </w:hyperlink>
    </w:p>
    <w:p w:rsidR="00C64FB7" w:rsidRDefault="00C64FB7">
      <w:pPr>
        <w:pStyle w:val="TOC8"/>
        <w:tabs>
          <w:tab w:val="left" w:pos="2721"/>
        </w:tabs>
        <w:rPr>
          <w:rFonts w:asciiTheme="minorHAnsi" w:eastAsiaTheme="minorEastAsia" w:hAnsiTheme="minorHAnsi" w:cstheme="minorBidi"/>
          <w:sz w:val="22"/>
          <w:szCs w:val="22"/>
          <w:lang w:eastAsia="ro-RO" w:bidi="ar-SA"/>
        </w:rPr>
      </w:pPr>
      <w:hyperlink w:anchor="_Toc236764815" w:history="1">
        <w:r w:rsidRPr="000247E7">
          <w:rPr>
            <w:rStyle w:val="Hyperlink"/>
          </w:rPr>
          <w:t>‒</w:t>
        </w:r>
        <w:r>
          <w:rPr>
            <w:rFonts w:asciiTheme="minorHAnsi" w:eastAsiaTheme="minorEastAsia" w:hAnsiTheme="minorHAnsi" w:cstheme="minorBidi"/>
            <w:sz w:val="22"/>
            <w:szCs w:val="22"/>
            <w:lang w:eastAsia="ro-RO" w:bidi="ar-SA"/>
          </w:rPr>
          <w:tab/>
        </w:r>
        <w:r w:rsidRPr="000247E7">
          <w:rPr>
            <w:rStyle w:val="Hyperlink"/>
          </w:rPr>
          <w:t>Controlul jurisdicțional al refuzului Agenției de a dezvălui dacă prelucra sau nu date referitoare la reclamanți</w:t>
        </w:r>
        <w:r>
          <w:rPr>
            <w:webHidden/>
          </w:rPr>
          <w:tab/>
        </w:r>
        <w:r>
          <w:rPr>
            <w:webHidden/>
          </w:rPr>
          <w:fldChar w:fldCharType="begin"/>
        </w:r>
        <w:r>
          <w:rPr>
            <w:webHidden/>
          </w:rPr>
          <w:instrText xml:space="preserve"> PAGEREF _Toc236764815 \h </w:instrText>
        </w:r>
        <w:r>
          <w:rPr>
            <w:webHidden/>
          </w:rPr>
        </w:r>
        <w:r>
          <w:rPr>
            <w:webHidden/>
          </w:rPr>
          <w:fldChar w:fldCharType="separate"/>
        </w:r>
        <w:r>
          <w:rPr>
            <w:webHidden/>
          </w:rPr>
          <w:t>50</w:t>
        </w:r>
        <w:r>
          <w:rPr>
            <w:webHidden/>
          </w:rPr>
          <w:fldChar w:fldCharType="end"/>
        </w:r>
      </w:hyperlink>
    </w:p>
    <w:p w:rsidR="00C64FB7" w:rsidRDefault="00C64FB7">
      <w:pPr>
        <w:pStyle w:val="TOC8"/>
        <w:tabs>
          <w:tab w:val="left" w:pos="2721"/>
        </w:tabs>
        <w:rPr>
          <w:rFonts w:asciiTheme="minorHAnsi" w:eastAsiaTheme="minorEastAsia" w:hAnsiTheme="minorHAnsi" w:cstheme="minorBidi"/>
          <w:sz w:val="22"/>
          <w:szCs w:val="22"/>
          <w:lang w:eastAsia="ro-RO" w:bidi="ar-SA"/>
        </w:rPr>
      </w:pPr>
      <w:hyperlink w:anchor="_Toc236764816" w:history="1">
        <w:r w:rsidRPr="000247E7">
          <w:rPr>
            <w:rStyle w:val="Hyperlink"/>
          </w:rPr>
          <w:t>‒</w:t>
        </w:r>
        <w:r>
          <w:rPr>
            <w:rFonts w:asciiTheme="minorHAnsi" w:eastAsiaTheme="minorEastAsia" w:hAnsiTheme="minorHAnsi" w:cstheme="minorBidi"/>
            <w:sz w:val="22"/>
            <w:szCs w:val="22"/>
            <w:lang w:eastAsia="ro-RO" w:bidi="ar-SA"/>
          </w:rPr>
          <w:tab/>
        </w:r>
        <w:r w:rsidRPr="000247E7">
          <w:rPr>
            <w:rStyle w:val="Hyperlink"/>
          </w:rPr>
          <w:t>Supravegherea de către Comisia pentru protecția datelor cu caracter personal</w:t>
        </w:r>
        <w:r>
          <w:rPr>
            <w:webHidden/>
          </w:rPr>
          <w:tab/>
        </w:r>
        <w:r>
          <w:rPr>
            <w:webHidden/>
          </w:rPr>
          <w:fldChar w:fldCharType="begin"/>
        </w:r>
        <w:r>
          <w:rPr>
            <w:webHidden/>
          </w:rPr>
          <w:instrText xml:space="preserve"> PAGEREF _Toc236764816 \h </w:instrText>
        </w:r>
        <w:r>
          <w:rPr>
            <w:webHidden/>
          </w:rPr>
        </w:r>
        <w:r>
          <w:rPr>
            <w:webHidden/>
          </w:rPr>
          <w:fldChar w:fldCharType="separate"/>
        </w:r>
        <w:r>
          <w:rPr>
            <w:webHidden/>
          </w:rPr>
          <w:t>51</w:t>
        </w:r>
        <w:r>
          <w:rPr>
            <w:webHidden/>
          </w:rPr>
          <w:fldChar w:fldCharType="end"/>
        </w:r>
      </w:hyperlink>
    </w:p>
    <w:p w:rsidR="00C64FB7" w:rsidRDefault="00C64FB7">
      <w:pPr>
        <w:pStyle w:val="TOC8"/>
        <w:tabs>
          <w:tab w:val="left" w:pos="2721"/>
        </w:tabs>
        <w:rPr>
          <w:rFonts w:asciiTheme="minorHAnsi" w:eastAsiaTheme="minorEastAsia" w:hAnsiTheme="minorHAnsi" w:cstheme="minorBidi"/>
          <w:sz w:val="22"/>
          <w:szCs w:val="22"/>
          <w:lang w:eastAsia="ro-RO" w:bidi="ar-SA"/>
        </w:rPr>
      </w:pPr>
      <w:hyperlink w:anchor="_Toc236764817" w:history="1">
        <w:r w:rsidRPr="000247E7">
          <w:rPr>
            <w:rStyle w:val="Hyperlink"/>
          </w:rPr>
          <w:t>‒</w:t>
        </w:r>
        <w:r>
          <w:rPr>
            <w:rFonts w:asciiTheme="minorHAnsi" w:eastAsiaTheme="minorEastAsia" w:hAnsiTheme="minorHAnsi" w:cstheme="minorBidi"/>
            <w:sz w:val="22"/>
            <w:szCs w:val="22"/>
            <w:lang w:eastAsia="ro-RO" w:bidi="ar-SA"/>
          </w:rPr>
          <w:tab/>
        </w:r>
        <w:r w:rsidRPr="000247E7">
          <w:rPr>
            <w:rStyle w:val="Hyperlink"/>
          </w:rPr>
          <w:t>Supravegherea de către Biroul Național</w:t>
        </w:r>
        <w:r>
          <w:rPr>
            <w:webHidden/>
          </w:rPr>
          <w:tab/>
        </w:r>
        <w:r>
          <w:rPr>
            <w:webHidden/>
          </w:rPr>
          <w:fldChar w:fldCharType="begin"/>
        </w:r>
        <w:r>
          <w:rPr>
            <w:webHidden/>
          </w:rPr>
          <w:instrText xml:space="preserve"> PAGEREF _Toc236764817 \h </w:instrText>
        </w:r>
        <w:r>
          <w:rPr>
            <w:webHidden/>
          </w:rPr>
        </w:r>
        <w:r>
          <w:rPr>
            <w:webHidden/>
          </w:rPr>
          <w:fldChar w:fldCharType="separate"/>
        </w:r>
        <w:r>
          <w:rPr>
            <w:webHidden/>
          </w:rPr>
          <w:t>52</w:t>
        </w:r>
        <w:r>
          <w:rPr>
            <w:webHidden/>
          </w:rPr>
          <w:fldChar w:fldCharType="end"/>
        </w:r>
      </w:hyperlink>
    </w:p>
    <w:p w:rsidR="00C64FB7" w:rsidRDefault="00C64FB7">
      <w:pPr>
        <w:pStyle w:val="TOC8"/>
        <w:tabs>
          <w:tab w:val="left" w:pos="2721"/>
        </w:tabs>
        <w:rPr>
          <w:rFonts w:asciiTheme="minorHAnsi" w:eastAsiaTheme="minorEastAsia" w:hAnsiTheme="minorHAnsi" w:cstheme="minorBidi"/>
          <w:sz w:val="22"/>
          <w:szCs w:val="22"/>
          <w:lang w:eastAsia="ro-RO" w:bidi="ar-SA"/>
        </w:rPr>
      </w:pPr>
      <w:hyperlink w:anchor="_Toc236764818" w:history="1">
        <w:r w:rsidRPr="000247E7">
          <w:rPr>
            <w:rStyle w:val="Hyperlink"/>
          </w:rPr>
          <w:t>‒</w:t>
        </w:r>
        <w:r>
          <w:rPr>
            <w:rFonts w:asciiTheme="minorHAnsi" w:eastAsiaTheme="minorEastAsia" w:hAnsiTheme="minorHAnsi" w:cstheme="minorBidi"/>
            <w:sz w:val="22"/>
            <w:szCs w:val="22"/>
            <w:lang w:eastAsia="ro-RO" w:bidi="ar-SA"/>
          </w:rPr>
          <w:tab/>
        </w:r>
        <w:r w:rsidRPr="000247E7">
          <w:rPr>
            <w:rStyle w:val="Hyperlink"/>
          </w:rPr>
          <w:t>Supravegherea de către o comisie parlamentară specială și de către Parlament în ansamblul său</w:t>
        </w:r>
        <w:r>
          <w:rPr>
            <w:webHidden/>
          </w:rPr>
          <w:tab/>
        </w:r>
        <w:r>
          <w:rPr>
            <w:webHidden/>
          </w:rPr>
          <w:fldChar w:fldCharType="begin"/>
        </w:r>
        <w:r>
          <w:rPr>
            <w:webHidden/>
          </w:rPr>
          <w:instrText xml:space="preserve"> PAGEREF _Toc236764818 \h </w:instrText>
        </w:r>
        <w:r>
          <w:rPr>
            <w:webHidden/>
          </w:rPr>
        </w:r>
        <w:r>
          <w:rPr>
            <w:webHidden/>
          </w:rPr>
          <w:fldChar w:fldCharType="separate"/>
        </w:r>
        <w:r>
          <w:rPr>
            <w:webHidden/>
          </w:rPr>
          <w:t>53</w:t>
        </w:r>
        <w:r>
          <w:rPr>
            <w:webHidden/>
          </w:rPr>
          <w:fldChar w:fldCharType="end"/>
        </w:r>
      </w:hyperlink>
    </w:p>
    <w:p w:rsidR="00C64FB7" w:rsidRDefault="00C64FB7">
      <w:pPr>
        <w:pStyle w:val="TOC8"/>
        <w:tabs>
          <w:tab w:val="left" w:pos="2721"/>
        </w:tabs>
        <w:rPr>
          <w:rFonts w:asciiTheme="minorHAnsi" w:eastAsiaTheme="minorEastAsia" w:hAnsiTheme="minorHAnsi" w:cstheme="minorBidi"/>
          <w:sz w:val="22"/>
          <w:szCs w:val="22"/>
          <w:lang w:eastAsia="ro-RO" w:bidi="ar-SA"/>
        </w:rPr>
      </w:pPr>
      <w:hyperlink w:anchor="_Toc236764819" w:history="1">
        <w:r w:rsidRPr="000247E7">
          <w:rPr>
            <w:rStyle w:val="Hyperlink"/>
          </w:rPr>
          <w:t>‒</w:t>
        </w:r>
        <w:r>
          <w:rPr>
            <w:rFonts w:asciiTheme="minorHAnsi" w:eastAsiaTheme="minorEastAsia" w:hAnsiTheme="minorHAnsi" w:cstheme="minorBidi"/>
            <w:sz w:val="22"/>
            <w:szCs w:val="22"/>
            <w:lang w:eastAsia="ro-RO" w:bidi="ar-SA"/>
          </w:rPr>
          <w:tab/>
        </w:r>
        <w:r w:rsidRPr="000247E7">
          <w:rPr>
            <w:rStyle w:val="Hyperlink"/>
          </w:rPr>
          <w:t>Supravegherea de către Guvern și Președintele Republicii</w:t>
        </w:r>
        <w:r>
          <w:rPr>
            <w:webHidden/>
          </w:rPr>
          <w:tab/>
        </w:r>
        <w:r>
          <w:rPr>
            <w:webHidden/>
          </w:rPr>
          <w:fldChar w:fldCharType="begin"/>
        </w:r>
        <w:r>
          <w:rPr>
            <w:webHidden/>
          </w:rPr>
          <w:instrText xml:space="preserve"> PAGEREF _Toc236764819 \h </w:instrText>
        </w:r>
        <w:r>
          <w:rPr>
            <w:webHidden/>
          </w:rPr>
        </w:r>
        <w:r>
          <w:rPr>
            <w:webHidden/>
          </w:rPr>
          <w:fldChar w:fldCharType="separate"/>
        </w:r>
        <w:r>
          <w:rPr>
            <w:webHidden/>
          </w:rPr>
          <w:t>53</w:t>
        </w:r>
        <w:r>
          <w:rPr>
            <w:webHidden/>
          </w:rPr>
          <w:fldChar w:fldCharType="end"/>
        </w:r>
      </w:hyperlink>
    </w:p>
    <w:p w:rsidR="00C64FB7" w:rsidRDefault="00C64FB7">
      <w:pPr>
        <w:pStyle w:val="TOC8"/>
        <w:tabs>
          <w:tab w:val="left" w:pos="2721"/>
        </w:tabs>
        <w:rPr>
          <w:rFonts w:asciiTheme="minorHAnsi" w:eastAsiaTheme="minorEastAsia" w:hAnsiTheme="minorHAnsi" w:cstheme="minorBidi"/>
          <w:sz w:val="22"/>
          <w:szCs w:val="22"/>
          <w:lang w:eastAsia="ro-RO" w:bidi="ar-SA"/>
        </w:rPr>
      </w:pPr>
      <w:hyperlink w:anchor="_Toc236764820" w:history="1">
        <w:r w:rsidRPr="000247E7">
          <w:rPr>
            <w:rStyle w:val="Hyperlink"/>
          </w:rPr>
          <w:t>‒</w:t>
        </w:r>
        <w:r>
          <w:rPr>
            <w:rFonts w:asciiTheme="minorHAnsi" w:eastAsiaTheme="minorEastAsia" w:hAnsiTheme="minorHAnsi" w:cstheme="minorBidi"/>
            <w:sz w:val="22"/>
            <w:szCs w:val="22"/>
            <w:lang w:eastAsia="ro-RO" w:bidi="ar-SA"/>
          </w:rPr>
          <w:tab/>
        </w:r>
        <w:r w:rsidRPr="000247E7">
          <w:rPr>
            <w:rStyle w:val="Hyperlink"/>
          </w:rPr>
          <w:t>Concluzie</w:t>
        </w:r>
        <w:r>
          <w:rPr>
            <w:webHidden/>
          </w:rPr>
          <w:tab/>
        </w:r>
        <w:r>
          <w:rPr>
            <w:webHidden/>
          </w:rPr>
          <w:fldChar w:fldCharType="begin"/>
        </w:r>
        <w:r>
          <w:rPr>
            <w:webHidden/>
          </w:rPr>
          <w:instrText xml:space="preserve"> PAGEREF _Toc236764820 \h </w:instrText>
        </w:r>
        <w:r>
          <w:rPr>
            <w:webHidden/>
          </w:rPr>
        </w:r>
        <w:r>
          <w:rPr>
            <w:webHidden/>
          </w:rPr>
          <w:fldChar w:fldCharType="separate"/>
        </w:r>
        <w:r>
          <w:rPr>
            <w:webHidden/>
          </w:rPr>
          <w:t>53</w:t>
        </w:r>
        <w:r>
          <w:rPr>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21" w:history="1">
        <w:r w:rsidRPr="000247E7">
          <w:rPr>
            <w:rStyle w:val="Hyperlink"/>
            <w:noProof/>
            <w:lang w:bidi="en-US"/>
          </w:rPr>
          <w:t>(ii)</w:t>
        </w:r>
        <w:r>
          <w:rPr>
            <w:rFonts w:eastAsiaTheme="minorEastAsia"/>
            <w:noProof/>
            <w:sz w:val="22"/>
            <w:szCs w:val="22"/>
            <w:lang w:eastAsia="ro-RO"/>
          </w:rPr>
          <w:tab/>
        </w:r>
        <w:r w:rsidRPr="000247E7">
          <w:rPr>
            <w:rStyle w:val="Hyperlink"/>
            <w:noProof/>
            <w:lang w:bidi="en-US"/>
          </w:rPr>
          <w:t>Scopul și necesitatea ingerinței</w:t>
        </w:r>
        <w:r>
          <w:rPr>
            <w:noProof/>
            <w:webHidden/>
          </w:rPr>
          <w:tab/>
        </w:r>
        <w:r>
          <w:rPr>
            <w:noProof/>
            <w:webHidden/>
          </w:rPr>
          <w:fldChar w:fldCharType="begin"/>
        </w:r>
        <w:r>
          <w:rPr>
            <w:noProof/>
            <w:webHidden/>
          </w:rPr>
          <w:instrText xml:space="preserve"> PAGEREF _Toc236764821 \h </w:instrText>
        </w:r>
        <w:r>
          <w:rPr>
            <w:noProof/>
            <w:webHidden/>
          </w:rPr>
        </w:r>
        <w:r>
          <w:rPr>
            <w:noProof/>
            <w:webHidden/>
          </w:rPr>
          <w:fldChar w:fldCharType="separate"/>
        </w:r>
        <w:r>
          <w:rPr>
            <w:noProof/>
            <w:webHidden/>
          </w:rPr>
          <w:t>53</w:t>
        </w:r>
        <w:r>
          <w:rPr>
            <w:noProof/>
            <w:webHidden/>
          </w:rPr>
          <w:fldChar w:fldCharType="end"/>
        </w:r>
      </w:hyperlink>
    </w:p>
    <w:p w:rsidR="00C64FB7" w:rsidRDefault="00C64FB7">
      <w:pPr>
        <w:pStyle w:val="TOC6"/>
        <w:tabs>
          <w:tab w:val="left" w:pos="2381"/>
        </w:tabs>
        <w:rPr>
          <w:rFonts w:eastAsiaTheme="minorEastAsia"/>
          <w:noProof/>
          <w:sz w:val="22"/>
          <w:szCs w:val="22"/>
          <w:lang w:eastAsia="ro-RO"/>
        </w:rPr>
      </w:pPr>
      <w:hyperlink w:anchor="_Toc236764822" w:history="1">
        <w:r w:rsidRPr="000247E7">
          <w:rPr>
            <w:rStyle w:val="Hyperlink"/>
            <w:noProof/>
            <w:lang w:bidi="en-US"/>
          </w:rPr>
          <w:t>(iii)</w:t>
        </w:r>
        <w:r>
          <w:rPr>
            <w:rFonts w:eastAsiaTheme="minorEastAsia"/>
            <w:noProof/>
            <w:sz w:val="22"/>
            <w:szCs w:val="22"/>
            <w:lang w:eastAsia="ro-RO"/>
          </w:rPr>
          <w:tab/>
        </w:r>
        <w:r w:rsidRPr="000247E7">
          <w:rPr>
            <w:rStyle w:val="Hyperlink"/>
            <w:noProof/>
            <w:lang w:bidi="en-US"/>
          </w:rPr>
          <w:t>Concluzie finală</w:t>
        </w:r>
        <w:r>
          <w:rPr>
            <w:noProof/>
            <w:webHidden/>
          </w:rPr>
          <w:tab/>
        </w:r>
        <w:r>
          <w:rPr>
            <w:noProof/>
            <w:webHidden/>
          </w:rPr>
          <w:fldChar w:fldCharType="begin"/>
        </w:r>
        <w:r>
          <w:rPr>
            <w:noProof/>
            <w:webHidden/>
          </w:rPr>
          <w:instrText xml:space="preserve"> PAGEREF _Toc236764822 \h </w:instrText>
        </w:r>
        <w:r>
          <w:rPr>
            <w:noProof/>
            <w:webHidden/>
          </w:rPr>
        </w:r>
        <w:r>
          <w:rPr>
            <w:noProof/>
            <w:webHidden/>
          </w:rPr>
          <w:fldChar w:fldCharType="separate"/>
        </w:r>
        <w:r>
          <w:rPr>
            <w:noProof/>
            <w:webHidden/>
          </w:rPr>
          <w:t>54</w:t>
        </w:r>
        <w:r>
          <w:rPr>
            <w:noProof/>
            <w:webHidden/>
          </w:rPr>
          <w:fldChar w:fldCharType="end"/>
        </w:r>
      </w:hyperlink>
    </w:p>
    <w:p w:rsidR="00C64FB7" w:rsidRDefault="00C64FB7">
      <w:pPr>
        <w:pStyle w:val="TOC2"/>
        <w:rPr>
          <w:rFonts w:eastAsiaTheme="minorEastAsia"/>
          <w:noProof/>
          <w:sz w:val="22"/>
          <w:szCs w:val="22"/>
          <w:lang w:eastAsia="ro-RO"/>
        </w:rPr>
      </w:pPr>
      <w:hyperlink w:anchor="_Toc236764823" w:history="1">
        <w:r w:rsidRPr="000247E7">
          <w:rPr>
            <w:rStyle w:val="Hyperlink"/>
            <w:noProof/>
          </w:rPr>
          <w:t>II.</w:t>
        </w:r>
        <w:r>
          <w:rPr>
            <w:rFonts w:eastAsiaTheme="minorEastAsia"/>
            <w:noProof/>
            <w:sz w:val="22"/>
            <w:szCs w:val="22"/>
            <w:lang w:eastAsia="ro-RO"/>
          </w:rPr>
          <w:tab/>
        </w:r>
        <w:r w:rsidRPr="000247E7">
          <w:rPr>
            <w:rStyle w:val="Hyperlink"/>
            <w:noProof/>
          </w:rPr>
          <w:t>CU PRIVIRE LA PRETINSA PRELUCRARE DE DATE PRIVIND OPINIILE, AFILIERILE ȘI ACTIVITĂȚILE POLITICE ALE RECLAMANȚILOR</w:t>
        </w:r>
        <w:r>
          <w:rPr>
            <w:noProof/>
            <w:webHidden/>
          </w:rPr>
          <w:tab/>
        </w:r>
        <w:r>
          <w:rPr>
            <w:noProof/>
            <w:webHidden/>
          </w:rPr>
          <w:fldChar w:fldCharType="begin"/>
        </w:r>
        <w:r>
          <w:rPr>
            <w:noProof/>
            <w:webHidden/>
          </w:rPr>
          <w:instrText xml:space="preserve"> PAGEREF _Toc236764823 \h </w:instrText>
        </w:r>
        <w:r>
          <w:rPr>
            <w:noProof/>
            <w:webHidden/>
          </w:rPr>
        </w:r>
        <w:r>
          <w:rPr>
            <w:noProof/>
            <w:webHidden/>
          </w:rPr>
          <w:fldChar w:fldCharType="separate"/>
        </w:r>
        <w:r>
          <w:rPr>
            <w:noProof/>
            <w:webHidden/>
          </w:rPr>
          <w:t>54</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24"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_Toc236764824 \h </w:instrText>
        </w:r>
        <w:r>
          <w:rPr>
            <w:noProof/>
            <w:webHidden/>
          </w:rPr>
        </w:r>
        <w:r>
          <w:rPr>
            <w:noProof/>
            <w:webHidden/>
          </w:rPr>
          <w:fldChar w:fldCharType="separate"/>
        </w:r>
        <w:r>
          <w:rPr>
            <w:noProof/>
            <w:webHidden/>
          </w:rPr>
          <w:t>54</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25"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_Toc236764825 \h </w:instrText>
        </w:r>
        <w:r>
          <w:rPr>
            <w:noProof/>
            <w:webHidden/>
          </w:rPr>
        </w:r>
        <w:r>
          <w:rPr>
            <w:noProof/>
            <w:webHidden/>
          </w:rPr>
          <w:fldChar w:fldCharType="separate"/>
        </w:r>
        <w:r>
          <w:rPr>
            <w:noProof/>
            <w:webHidden/>
          </w:rPr>
          <w:t>54</w:t>
        </w:r>
        <w:r>
          <w:rPr>
            <w:noProof/>
            <w:webHidden/>
          </w:rPr>
          <w:fldChar w:fldCharType="end"/>
        </w:r>
      </w:hyperlink>
    </w:p>
    <w:p w:rsidR="00C64FB7" w:rsidRDefault="00C64FB7">
      <w:pPr>
        <w:pStyle w:val="TOC2"/>
        <w:rPr>
          <w:rFonts w:eastAsiaTheme="minorEastAsia"/>
          <w:noProof/>
          <w:sz w:val="22"/>
          <w:szCs w:val="22"/>
          <w:lang w:eastAsia="ro-RO"/>
        </w:rPr>
      </w:pPr>
      <w:hyperlink w:anchor="_Toc236764826" w:history="1">
        <w:r w:rsidRPr="000247E7">
          <w:rPr>
            <w:rStyle w:val="Hyperlink"/>
            <w:noProof/>
          </w:rPr>
          <w:t>III.</w:t>
        </w:r>
        <w:r>
          <w:rPr>
            <w:rFonts w:eastAsiaTheme="minorEastAsia"/>
            <w:noProof/>
            <w:sz w:val="22"/>
            <w:szCs w:val="22"/>
            <w:lang w:eastAsia="ro-RO"/>
          </w:rPr>
          <w:tab/>
        </w:r>
        <w:r w:rsidRPr="000247E7">
          <w:rPr>
            <w:rStyle w:val="Hyperlink"/>
            <w:noProof/>
          </w:rPr>
          <w:t>CU PRIVIRE LA PRETINSA ÎNCĂLCARE A DREPTULUI DE A PRIMI INFORMAȚII</w:t>
        </w:r>
        <w:r>
          <w:rPr>
            <w:noProof/>
            <w:webHidden/>
          </w:rPr>
          <w:tab/>
        </w:r>
        <w:r>
          <w:rPr>
            <w:noProof/>
            <w:webHidden/>
          </w:rPr>
          <w:fldChar w:fldCharType="begin"/>
        </w:r>
        <w:r>
          <w:rPr>
            <w:noProof/>
            <w:webHidden/>
          </w:rPr>
          <w:instrText xml:space="preserve"> PAGEREF _Toc236764826 \h </w:instrText>
        </w:r>
        <w:r>
          <w:rPr>
            <w:noProof/>
            <w:webHidden/>
          </w:rPr>
        </w:r>
        <w:r>
          <w:rPr>
            <w:noProof/>
            <w:webHidden/>
          </w:rPr>
          <w:fldChar w:fldCharType="separate"/>
        </w:r>
        <w:r>
          <w:rPr>
            <w:noProof/>
            <w:webHidden/>
          </w:rPr>
          <w:t>55</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27"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_Toc236764827 \h </w:instrText>
        </w:r>
        <w:r>
          <w:rPr>
            <w:noProof/>
            <w:webHidden/>
          </w:rPr>
        </w:r>
        <w:r>
          <w:rPr>
            <w:noProof/>
            <w:webHidden/>
          </w:rPr>
          <w:fldChar w:fldCharType="separate"/>
        </w:r>
        <w:r>
          <w:rPr>
            <w:noProof/>
            <w:webHidden/>
          </w:rPr>
          <w:t>55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28" w:history="1">
        <w:r w:rsidRPr="000247E7">
          <w:rPr>
            <w:rStyle w:val="Hyperlink"/>
            <w:noProof/>
          </w:rPr>
          <w:t>1.</w:t>
        </w:r>
        <w:r>
          <w:rPr>
            <w:rFonts w:eastAsiaTheme="minorEastAsia"/>
            <w:noProof/>
            <w:sz w:val="22"/>
            <w:szCs w:val="22"/>
            <w:lang w:eastAsia="ro-RO"/>
          </w:rPr>
          <w:tab/>
        </w:r>
        <w:r w:rsidRPr="000247E7">
          <w:rPr>
            <w:rStyle w:val="Hyperlink"/>
            <w:noProof/>
          </w:rPr>
          <w:t>Guvernul</w:t>
        </w:r>
        <w:r>
          <w:rPr>
            <w:noProof/>
            <w:webHidden/>
          </w:rPr>
          <w:tab/>
        </w:r>
        <w:r>
          <w:rPr>
            <w:noProof/>
            <w:webHidden/>
          </w:rPr>
          <w:fldChar w:fldCharType="begin"/>
        </w:r>
        <w:r>
          <w:rPr>
            <w:noProof/>
            <w:webHidden/>
          </w:rPr>
          <w:instrText xml:space="preserve"> PAGEREF _Toc236764828 \h </w:instrText>
        </w:r>
        <w:r>
          <w:rPr>
            <w:noProof/>
            <w:webHidden/>
          </w:rPr>
        </w:r>
        <w:r>
          <w:rPr>
            <w:noProof/>
            <w:webHidden/>
          </w:rPr>
          <w:fldChar w:fldCharType="separate"/>
        </w:r>
        <w:r>
          <w:rPr>
            <w:noProof/>
            <w:webHidden/>
          </w:rPr>
          <w:t>55</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29" w:history="1">
        <w:r w:rsidRPr="000247E7">
          <w:rPr>
            <w:rStyle w:val="Hyperlink"/>
            <w:noProof/>
          </w:rPr>
          <w:t>2.</w:t>
        </w:r>
        <w:r>
          <w:rPr>
            <w:rFonts w:eastAsiaTheme="minorEastAsia"/>
            <w:noProof/>
            <w:sz w:val="22"/>
            <w:szCs w:val="22"/>
            <w:lang w:eastAsia="ro-RO"/>
          </w:rPr>
          <w:tab/>
        </w:r>
        <w:r w:rsidRPr="000247E7">
          <w:rPr>
            <w:rStyle w:val="Hyperlink"/>
            <w:noProof/>
          </w:rPr>
          <w:t>Reclamanții</w:t>
        </w:r>
        <w:r>
          <w:rPr>
            <w:noProof/>
            <w:webHidden/>
          </w:rPr>
          <w:tab/>
        </w:r>
        <w:r>
          <w:rPr>
            <w:noProof/>
            <w:webHidden/>
          </w:rPr>
          <w:fldChar w:fldCharType="begin"/>
        </w:r>
        <w:r>
          <w:rPr>
            <w:noProof/>
            <w:webHidden/>
          </w:rPr>
          <w:instrText xml:space="preserve"> PAGEREF _Toc236764829 \h </w:instrText>
        </w:r>
        <w:r>
          <w:rPr>
            <w:noProof/>
            <w:webHidden/>
          </w:rPr>
        </w:r>
        <w:r>
          <w:rPr>
            <w:noProof/>
            <w:webHidden/>
          </w:rPr>
          <w:fldChar w:fldCharType="separate"/>
        </w:r>
        <w:r>
          <w:rPr>
            <w:noProof/>
            <w:webHidden/>
          </w:rPr>
          <w:t>56</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30"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_Toc236764830 \h </w:instrText>
        </w:r>
        <w:r>
          <w:rPr>
            <w:noProof/>
            <w:webHidden/>
          </w:rPr>
        </w:r>
        <w:r>
          <w:rPr>
            <w:noProof/>
            <w:webHidden/>
          </w:rPr>
          <w:fldChar w:fldCharType="separate"/>
        </w:r>
        <w:r>
          <w:rPr>
            <w:noProof/>
            <w:webHidden/>
          </w:rPr>
          <w:t>56</w:t>
        </w:r>
        <w:r>
          <w:rPr>
            <w:noProof/>
            <w:webHidden/>
          </w:rPr>
          <w:fldChar w:fldCharType="end"/>
        </w:r>
      </w:hyperlink>
    </w:p>
    <w:p w:rsidR="00C64FB7" w:rsidRDefault="00C64FB7">
      <w:pPr>
        <w:pStyle w:val="TOC2"/>
        <w:rPr>
          <w:rFonts w:eastAsiaTheme="minorEastAsia"/>
          <w:noProof/>
          <w:sz w:val="22"/>
          <w:szCs w:val="22"/>
          <w:lang w:eastAsia="ro-RO"/>
        </w:rPr>
      </w:pPr>
      <w:hyperlink w:anchor="_Toc236764831" w:history="1">
        <w:r w:rsidRPr="000247E7">
          <w:rPr>
            <w:rStyle w:val="Hyperlink"/>
            <w:noProof/>
          </w:rPr>
          <w:t>IV.</w:t>
        </w:r>
        <w:r>
          <w:rPr>
            <w:rFonts w:eastAsiaTheme="minorEastAsia"/>
            <w:noProof/>
            <w:sz w:val="22"/>
            <w:szCs w:val="22"/>
            <w:lang w:eastAsia="ro-RO"/>
          </w:rPr>
          <w:tab/>
        </w:r>
        <w:r w:rsidRPr="000247E7">
          <w:rPr>
            <w:rStyle w:val="Hyperlink"/>
            <w:noProof/>
          </w:rPr>
          <w:t>CU PRIVIRE LA PRETINSA ÎNCĂLCARE A ART. 13 DIN CONVENȚIE</w:t>
        </w:r>
        <w:r>
          <w:rPr>
            <w:noProof/>
            <w:webHidden/>
          </w:rPr>
          <w:tab/>
        </w:r>
        <w:r>
          <w:rPr>
            <w:noProof/>
            <w:webHidden/>
          </w:rPr>
          <w:fldChar w:fldCharType="begin"/>
        </w:r>
        <w:r>
          <w:rPr>
            <w:noProof/>
            <w:webHidden/>
          </w:rPr>
          <w:instrText xml:space="preserve"> PAGEREF _Toc236764831 \h </w:instrText>
        </w:r>
        <w:r>
          <w:rPr>
            <w:noProof/>
            <w:webHidden/>
          </w:rPr>
        </w:r>
        <w:r>
          <w:rPr>
            <w:noProof/>
            <w:webHidden/>
          </w:rPr>
          <w:fldChar w:fldCharType="separate"/>
        </w:r>
        <w:r>
          <w:rPr>
            <w:noProof/>
            <w:webHidden/>
          </w:rPr>
          <w:t>56</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32" w:history="1">
        <w:r w:rsidRPr="000247E7">
          <w:rPr>
            <w:rStyle w:val="Hyperlink"/>
            <w:noProof/>
          </w:rPr>
          <w:t>A.</w:t>
        </w:r>
        <w:r>
          <w:rPr>
            <w:rFonts w:eastAsiaTheme="minorEastAsia"/>
            <w:noProof/>
            <w:sz w:val="22"/>
            <w:szCs w:val="22"/>
            <w:lang w:eastAsia="ro-RO"/>
          </w:rPr>
          <w:tab/>
        </w:r>
        <w:r w:rsidRPr="000247E7">
          <w:rPr>
            <w:rStyle w:val="Hyperlink"/>
            <w:noProof/>
          </w:rPr>
          <w:t>Argumentele părților</w:t>
        </w:r>
        <w:r>
          <w:rPr>
            <w:noProof/>
            <w:webHidden/>
          </w:rPr>
          <w:tab/>
        </w:r>
        <w:r>
          <w:rPr>
            <w:noProof/>
            <w:webHidden/>
          </w:rPr>
          <w:fldChar w:fldCharType="begin"/>
        </w:r>
        <w:r>
          <w:rPr>
            <w:noProof/>
            <w:webHidden/>
          </w:rPr>
          <w:instrText xml:space="preserve"> PAGEREF _Toc236764832 \h </w:instrText>
        </w:r>
        <w:r>
          <w:rPr>
            <w:noProof/>
            <w:webHidden/>
          </w:rPr>
        </w:r>
        <w:r>
          <w:rPr>
            <w:noProof/>
            <w:webHidden/>
          </w:rPr>
          <w:fldChar w:fldCharType="separate"/>
        </w:r>
        <w:r>
          <w:rPr>
            <w:noProof/>
            <w:webHidden/>
          </w:rPr>
          <w:t>56</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33" w:history="1">
        <w:r w:rsidRPr="000247E7">
          <w:rPr>
            <w:rStyle w:val="Hyperlink"/>
            <w:noProof/>
          </w:rPr>
          <w:t>B.</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_Toc236764833 \h </w:instrText>
        </w:r>
        <w:r>
          <w:rPr>
            <w:noProof/>
            <w:webHidden/>
          </w:rPr>
        </w:r>
        <w:r>
          <w:rPr>
            <w:noProof/>
            <w:webHidden/>
          </w:rPr>
          <w:fldChar w:fldCharType="separate"/>
        </w:r>
        <w:r>
          <w:rPr>
            <w:noProof/>
            <w:webHidden/>
          </w:rPr>
          <w:t>57</w:t>
        </w:r>
        <w:r>
          <w:rPr>
            <w:noProof/>
            <w:webHidden/>
          </w:rPr>
          <w:fldChar w:fldCharType="end"/>
        </w:r>
      </w:hyperlink>
    </w:p>
    <w:p w:rsidR="00C64FB7" w:rsidRDefault="00C64FB7">
      <w:pPr>
        <w:pStyle w:val="TOC2"/>
        <w:rPr>
          <w:rFonts w:eastAsiaTheme="minorEastAsia"/>
          <w:noProof/>
          <w:sz w:val="22"/>
          <w:szCs w:val="22"/>
          <w:lang w:eastAsia="ro-RO"/>
        </w:rPr>
      </w:pPr>
      <w:hyperlink w:anchor="_Toc236764834" w:history="1">
        <w:r w:rsidRPr="000247E7">
          <w:rPr>
            <w:rStyle w:val="Hyperlink"/>
            <w:noProof/>
          </w:rPr>
          <w:t>V.</w:t>
        </w:r>
        <w:r>
          <w:rPr>
            <w:rFonts w:eastAsiaTheme="minorEastAsia"/>
            <w:noProof/>
            <w:sz w:val="22"/>
            <w:szCs w:val="22"/>
            <w:lang w:eastAsia="ro-RO"/>
          </w:rPr>
          <w:tab/>
        </w:r>
        <w:r w:rsidRPr="000247E7">
          <w:rPr>
            <w:rStyle w:val="Hyperlink"/>
            <w:noProof/>
          </w:rPr>
          <w:t>CU PRIVIRE LA APLICAREA ART. 41 DIN CONVENȚIE</w:t>
        </w:r>
        <w:r>
          <w:rPr>
            <w:noProof/>
            <w:webHidden/>
          </w:rPr>
          <w:tab/>
        </w:r>
        <w:r>
          <w:rPr>
            <w:noProof/>
            <w:webHidden/>
          </w:rPr>
          <w:fldChar w:fldCharType="begin"/>
        </w:r>
        <w:r>
          <w:rPr>
            <w:noProof/>
            <w:webHidden/>
          </w:rPr>
          <w:instrText xml:space="preserve"> PAGEREF _Toc236764834 \h </w:instrText>
        </w:r>
        <w:r>
          <w:rPr>
            <w:noProof/>
            <w:webHidden/>
          </w:rPr>
        </w:r>
        <w:r>
          <w:rPr>
            <w:noProof/>
            <w:webHidden/>
          </w:rPr>
          <w:fldChar w:fldCharType="separate"/>
        </w:r>
        <w:r>
          <w:rPr>
            <w:noProof/>
            <w:webHidden/>
          </w:rPr>
          <w:t>57</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35" w:history="1">
        <w:r w:rsidRPr="000247E7">
          <w:rPr>
            <w:rStyle w:val="Hyperlink"/>
            <w:noProof/>
          </w:rPr>
          <w:t>A.</w:t>
        </w:r>
        <w:r>
          <w:rPr>
            <w:rFonts w:eastAsiaTheme="minorEastAsia"/>
            <w:noProof/>
            <w:sz w:val="22"/>
            <w:szCs w:val="22"/>
            <w:lang w:eastAsia="ro-RO"/>
          </w:rPr>
          <w:tab/>
        </w:r>
        <w:r w:rsidRPr="000247E7">
          <w:rPr>
            <w:rStyle w:val="Hyperlink"/>
            <w:noProof/>
          </w:rPr>
          <w:t>Prejudiciu</w:t>
        </w:r>
        <w:r>
          <w:rPr>
            <w:noProof/>
            <w:webHidden/>
          </w:rPr>
          <w:tab/>
        </w:r>
        <w:r>
          <w:rPr>
            <w:noProof/>
            <w:webHidden/>
          </w:rPr>
          <w:fldChar w:fldCharType="begin"/>
        </w:r>
        <w:r>
          <w:rPr>
            <w:noProof/>
            <w:webHidden/>
          </w:rPr>
          <w:instrText xml:space="preserve"> PAGEREF _Toc236764835 \h </w:instrText>
        </w:r>
        <w:r>
          <w:rPr>
            <w:noProof/>
            <w:webHidden/>
          </w:rPr>
        </w:r>
        <w:r>
          <w:rPr>
            <w:noProof/>
            <w:webHidden/>
          </w:rPr>
          <w:fldChar w:fldCharType="separate"/>
        </w:r>
        <w:r>
          <w:rPr>
            <w:noProof/>
            <w:webHidden/>
          </w:rPr>
          <w:t>57</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36" w:history="1">
        <w:r w:rsidRPr="000247E7">
          <w:rPr>
            <w:rStyle w:val="Hyperlink"/>
            <w:noProof/>
          </w:rPr>
          <w:t>1.</w:t>
        </w:r>
        <w:r>
          <w:rPr>
            <w:rFonts w:eastAsiaTheme="minorEastAsia"/>
            <w:noProof/>
            <w:sz w:val="22"/>
            <w:szCs w:val="22"/>
            <w:lang w:eastAsia="ro-RO"/>
          </w:rPr>
          <w:tab/>
        </w:r>
        <w:r w:rsidRPr="000247E7">
          <w:rPr>
            <w:rStyle w:val="Hyperlink"/>
            <w:noProof/>
          </w:rPr>
          <w:t>Cu privire la cererea reclamanților și la observațiile Guvernului referitoare la aceasta</w:t>
        </w:r>
        <w:r>
          <w:rPr>
            <w:noProof/>
            <w:webHidden/>
          </w:rPr>
          <w:tab/>
        </w:r>
        <w:r>
          <w:rPr>
            <w:noProof/>
            <w:webHidden/>
          </w:rPr>
          <w:fldChar w:fldCharType="begin"/>
        </w:r>
        <w:r>
          <w:rPr>
            <w:noProof/>
            <w:webHidden/>
          </w:rPr>
          <w:instrText xml:space="preserve"> PAGEREF _Toc236764836 \h </w:instrText>
        </w:r>
        <w:r>
          <w:rPr>
            <w:noProof/>
            <w:webHidden/>
          </w:rPr>
        </w:r>
        <w:r>
          <w:rPr>
            <w:noProof/>
            <w:webHidden/>
          </w:rPr>
          <w:fldChar w:fldCharType="separate"/>
        </w:r>
        <w:r>
          <w:rPr>
            <w:noProof/>
            <w:webHidden/>
          </w:rPr>
          <w:t>57</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37" w:history="1">
        <w:r w:rsidRPr="000247E7">
          <w:rPr>
            <w:rStyle w:val="Hyperlink"/>
            <w:noProof/>
          </w:rPr>
          <w:t>2.</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_Toc236764837 \h </w:instrText>
        </w:r>
        <w:r>
          <w:rPr>
            <w:noProof/>
            <w:webHidden/>
          </w:rPr>
        </w:r>
        <w:r>
          <w:rPr>
            <w:noProof/>
            <w:webHidden/>
          </w:rPr>
          <w:fldChar w:fldCharType="separate"/>
        </w:r>
        <w:r>
          <w:rPr>
            <w:noProof/>
            <w:webHidden/>
          </w:rPr>
          <w:t>57</w:t>
        </w:r>
        <w:r>
          <w:rPr>
            <w:noProof/>
            <w:webHidden/>
          </w:rPr>
          <w:fldChar w:fldCharType="end"/>
        </w:r>
      </w:hyperlink>
    </w:p>
    <w:p w:rsidR="00C64FB7" w:rsidRDefault="00C64FB7">
      <w:pPr>
        <w:pStyle w:val="TOC3"/>
        <w:tabs>
          <w:tab w:val="left" w:pos="1361"/>
        </w:tabs>
        <w:rPr>
          <w:rFonts w:eastAsiaTheme="minorEastAsia"/>
          <w:noProof/>
          <w:sz w:val="22"/>
          <w:szCs w:val="22"/>
          <w:lang w:eastAsia="ro-RO"/>
        </w:rPr>
      </w:pPr>
      <w:hyperlink w:anchor="_Toc236764838" w:history="1">
        <w:r w:rsidRPr="000247E7">
          <w:rPr>
            <w:rStyle w:val="Hyperlink"/>
            <w:noProof/>
          </w:rPr>
          <w:t>B.</w:t>
        </w:r>
        <w:r>
          <w:rPr>
            <w:rFonts w:eastAsiaTheme="minorEastAsia"/>
            <w:noProof/>
            <w:sz w:val="22"/>
            <w:szCs w:val="22"/>
            <w:lang w:eastAsia="ro-RO"/>
          </w:rPr>
          <w:tab/>
        </w:r>
        <w:r w:rsidRPr="000247E7">
          <w:rPr>
            <w:rStyle w:val="Hyperlink"/>
            <w:noProof/>
          </w:rPr>
          <w:t>Cheltuieli de judecată</w:t>
        </w:r>
        <w:r>
          <w:rPr>
            <w:noProof/>
            <w:webHidden/>
          </w:rPr>
          <w:tab/>
        </w:r>
        <w:r>
          <w:rPr>
            <w:noProof/>
            <w:webHidden/>
          </w:rPr>
          <w:fldChar w:fldCharType="begin"/>
        </w:r>
        <w:r>
          <w:rPr>
            <w:noProof/>
            <w:webHidden/>
          </w:rPr>
          <w:instrText xml:space="preserve"> PAGEREF _Toc236764838 \h </w:instrText>
        </w:r>
        <w:r>
          <w:rPr>
            <w:noProof/>
            <w:webHidden/>
          </w:rPr>
        </w:r>
        <w:r>
          <w:rPr>
            <w:noProof/>
            <w:webHidden/>
          </w:rPr>
          <w:fldChar w:fldCharType="separate"/>
        </w:r>
        <w:r>
          <w:rPr>
            <w:noProof/>
            <w:webHidden/>
          </w:rPr>
          <w:t>58</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39" w:history="1">
        <w:r w:rsidRPr="000247E7">
          <w:rPr>
            <w:rStyle w:val="Hyperlink"/>
            <w:noProof/>
          </w:rPr>
          <w:t>1.</w:t>
        </w:r>
        <w:r>
          <w:rPr>
            <w:rFonts w:eastAsiaTheme="minorEastAsia"/>
            <w:noProof/>
            <w:sz w:val="22"/>
            <w:szCs w:val="22"/>
            <w:lang w:eastAsia="ro-RO"/>
          </w:rPr>
          <w:tab/>
        </w:r>
        <w:r w:rsidRPr="000247E7">
          <w:rPr>
            <w:rStyle w:val="Hyperlink"/>
            <w:noProof/>
          </w:rPr>
          <w:t>Cu privire la cererea reclamanților și la observațiile Guvernului în legătură cu aceasta</w:t>
        </w:r>
        <w:r>
          <w:rPr>
            <w:noProof/>
            <w:webHidden/>
          </w:rPr>
          <w:tab/>
        </w:r>
        <w:r>
          <w:rPr>
            <w:noProof/>
            <w:webHidden/>
          </w:rPr>
          <w:fldChar w:fldCharType="begin"/>
        </w:r>
        <w:r>
          <w:rPr>
            <w:noProof/>
            <w:webHidden/>
          </w:rPr>
          <w:instrText xml:space="preserve"> PAGEREF _Toc236764839 \h </w:instrText>
        </w:r>
        <w:r>
          <w:rPr>
            <w:noProof/>
            <w:webHidden/>
          </w:rPr>
        </w:r>
        <w:r>
          <w:rPr>
            <w:noProof/>
            <w:webHidden/>
          </w:rPr>
          <w:fldChar w:fldCharType="separate"/>
        </w:r>
        <w:r>
          <w:rPr>
            <w:noProof/>
            <w:webHidden/>
          </w:rPr>
          <w:t>58</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40" w:history="1">
        <w:r w:rsidRPr="000247E7">
          <w:rPr>
            <w:rStyle w:val="Hyperlink"/>
            <w:noProof/>
          </w:rPr>
          <w:t>(a)</w:t>
        </w:r>
        <w:r>
          <w:rPr>
            <w:rFonts w:eastAsiaTheme="minorEastAsia"/>
            <w:noProof/>
            <w:sz w:val="22"/>
            <w:szCs w:val="22"/>
            <w:lang w:eastAsia="ro-RO"/>
          </w:rPr>
          <w:tab/>
        </w:r>
        <w:r w:rsidRPr="000247E7">
          <w:rPr>
            <w:rStyle w:val="Hyperlink"/>
            <w:noProof/>
          </w:rPr>
          <w:t>Cu privire la cerere și la documentele prezentate în susținerea acesteia</w:t>
        </w:r>
        <w:r>
          <w:rPr>
            <w:noProof/>
            <w:webHidden/>
          </w:rPr>
          <w:tab/>
        </w:r>
        <w:r>
          <w:rPr>
            <w:noProof/>
            <w:webHidden/>
          </w:rPr>
          <w:fldChar w:fldCharType="begin"/>
        </w:r>
        <w:r>
          <w:rPr>
            <w:noProof/>
            <w:webHidden/>
          </w:rPr>
          <w:instrText xml:space="preserve"> PAGEREF _Toc236764840 \h </w:instrText>
        </w:r>
        <w:r>
          <w:rPr>
            <w:noProof/>
            <w:webHidden/>
          </w:rPr>
        </w:r>
        <w:r>
          <w:rPr>
            <w:noProof/>
            <w:webHidden/>
          </w:rPr>
          <w:fldChar w:fldCharType="separate"/>
        </w:r>
        <w:r>
          <w:rPr>
            <w:noProof/>
            <w:webHidden/>
          </w:rPr>
          <w:t>58</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41" w:history="1">
        <w:r w:rsidRPr="000247E7">
          <w:rPr>
            <w:rStyle w:val="Hyperlink"/>
            <w:noProof/>
          </w:rPr>
          <w:t>(b)</w:t>
        </w:r>
        <w:r>
          <w:rPr>
            <w:rFonts w:eastAsiaTheme="minorEastAsia"/>
            <w:noProof/>
            <w:sz w:val="22"/>
            <w:szCs w:val="22"/>
            <w:lang w:eastAsia="ro-RO"/>
          </w:rPr>
          <w:tab/>
        </w:r>
        <w:r w:rsidRPr="000247E7">
          <w:rPr>
            <w:rStyle w:val="Hyperlink"/>
            <w:noProof/>
          </w:rPr>
          <w:t>Observațiile Guvernului</w:t>
        </w:r>
        <w:r>
          <w:rPr>
            <w:noProof/>
            <w:webHidden/>
          </w:rPr>
          <w:tab/>
        </w:r>
        <w:r>
          <w:rPr>
            <w:noProof/>
            <w:webHidden/>
          </w:rPr>
          <w:fldChar w:fldCharType="begin"/>
        </w:r>
        <w:r>
          <w:rPr>
            <w:noProof/>
            <w:webHidden/>
          </w:rPr>
          <w:instrText xml:space="preserve"> PAGEREF _Toc236764841 \h </w:instrText>
        </w:r>
        <w:r>
          <w:rPr>
            <w:noProof/>
            <w:webHidden/>
          </w:rPr>
        </w:r>
        <w:r>
          <w:rPr>
            <w:noProof/>
            <w:webHidden/>
          </w:rPr>
          <w:fldChar w:fldCharType="separate"/>
        </w:r>
        <w:r>
          <w:rPr>
            <w:noProof/>
            <w:webHidden/>
          </w:rPr>
          <w:t>59</w:t>
        </w:r>
        <w:r>
          <w:rPr>
            <w:noProof/>
            <w:webHidden/>
          </w:rPr>
          <w:fldChar w:fldCharType="end"/>
        </w:r>
      </w:hyperlink>
    </w:p>
    <w:p w:rsidR="00C64FB7" w:rsidRDefault="00C64FB7">
      <w:pPr>
        <w:pStyle w:val="TOC4"/>
        <w:tabs>
          <w:tab w:val="left" w:pos="1701"/>
        </w:tabs>
        <w:rPr>
          <w:rFonts w:eastAsiaTheme="minorEastAsia"/>
          <w:noProof/>
          <w:sz w:val="22"/>
          <w:szCs w:val="22"/>
          <w:lang w:eastAsia="ro-RO"/>
        </w:rPr>
      </w:pPr>
      <w:hyperlink w:anchor="_Toc236764842" w:history="1">
        <w:r w:rsidRPr="000247E7">
          <w:rPr>
            <w:rStyle w:val="Hyperlink"/>
            <w:noProof/>
          </w:rPr>
          <w:t>2.</w:t>
        </w:r>
        <w:r>
          <w:rPr>
            <w:rFonts w:eastAsiaTheme="minorEastAsia"/>
            <w:noProof/>
            <w:sz w:val="22"/>
            <w:szCs w:val="22"/>
            <w:lang w:eastAsia="ro-RO"/>
          </w:rPr>
          <w:tab/>
        </w:r>
        <w:r w:rsidRPr="000247E7">
          <w:rPr>
            <w:rStyle w:val="Hyperlink"/>
            <w:noProof/>
          </w:rPr>
          <w:t>Motivarea Curții</w:t>
        </w:r>
        <w:r>
          <w:rPr>
            <w:noProof/>
            <w:webHidden/>
          </w:rPr>
          <w:tab/>
        </w:r>
        <w:r>
          <w:rPr>
            <w:noProof/>
            <w:webHidden/>
          </w:rPr>
          <w:fldChar w:fldCharType="begin"/>
        </w:r>
        <w:r>
          <w:rPr>
            <w:noProof/>
            <w:webHidden/>
          </w:rPr>
          <w:instrText xml:space="preserve"> PAGEREF _Toc236764842 \h </w:instrText>
        </w:r>
        <w:r>
          <w:rPr>
            <w:noProof/>
            <w:webHidden/>
          </w:rPr>
        </w:r>
        <w:r>
          <w:rPr>
            <w:noProof/>
            <w:webHidden/>
          </w:rPr>
          <w:fldChar w:fldCharType="separate"/>
        </w:r>
        <w:r>
          <w:rPr>
            <w:noProof/>
            <w:webHidden/>
          </w:rPr>
          <w:t>59</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43" w:history="1">
        <w:r w:rsidRPr="000247E7">
          <w:rPr>
            <w:rStyle w:val="Hyperlink"/>
            <w:noProof/>
          </w:rPr>
          <w:t>(a)</w:t>
        </w:r>
        <w:r>
          <w:rPr>
            <w:rFonts w:eastAsiaTheme="minorEastAsia"/>
            <w:noProof/>
            <w:sz w:val="22"/>
            <w:szCs w:val="22"/>
            <w:lang w:eastAsia="ro-RO"/>
          </w:rPr>
          <w:tab/>
        </w:r>
        <w:r w:rsidRPr="000247E7">
          <w:rPr>
            <w:rStyle w:val="Hyperlink"/>
            <w:noProof/>
          </w:rPr>
          <w:t>Cheltuieli poștale</w:t>
        </w:r>
        <w:r>
          <w:rPr>
            <w:noProof/>
            <w:webHidden/>
          </w:rPr>
          <w:tab/>
        </w:r>
        <w:r>
          <w:rPr>
            <w:noProof/>
            <w:webHidden/>
          </w:rPr>
          <w:fldChar w:fldCharType="begin"/>
        </w:r>
        <w:r>
          <w:rPr>
            <w:noProof/>
            <w:webHidden/>
          </w:rPr>
          <w:instrText xml:space="preserve"> PAGEREF _Toc236764843 \h </w:instrText>
        </w:r>
        <w:r>
          <w:rPr>
            <w:noProof/>
            <w:webHidden/>
          </w:rPr>
        </w:r>
        <w:r>
          <w:rPr>
            <w:noProof/>
            <w:webHidden/>
          </w:rPr>
          <w:fldChar w:fldCharType="separate"/>
        </w:r>
        <w:r>
          <w:rPr>
            <w:noProof/>
            <w:webHidden/>
          </w:rPr>
          <w:t>59</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44" w:history="1">
        <w:r w:rsidRPr="000247E7">
          <w:rPr>
            <w:rStyle w:val="Hyperlink"/>
            <w:noProof/>
          </w:rPr>
          <w:t>(b)</w:t>
        </w:r>
        <w:r>
          <w:rPr>
            <w:rFonts w:eastAsiaTheme="minorEastAsia"/>
            <w:noProof/>
            <w:sz w:val="22"/>
            <w:szCs w:val="22"/>
            <w:lang w:eastAsia="ro-RO"/>
          </w:rPr>
          <w:tab/>
        </w:r>
        <w:r w:rsidRPr="000247E7">
          <w:rPr>
            <w:rStyle w:val="Hyperlink"/>
            <w:noProof/>
          </w:rPr>
          <w:t>Cheltuieli aferente procedurilor interne</w:t>
        </w:r>
        <w:r>
          <w:rPr>
            <w:noProof/>
            <w:webHidden/>
          </w:rPr>
          <w:tab/>
        </w:r>
        <w:r>
          <w:rPr>
            <w:noProof/>
            <w:webHidden/>
          </w:rPr>
          <w:fldChar w:fldCharType="begin"/>
        </w:r>
        <w:r>
          <w:rPr>
            <w:noProof/>
            <w:webHidden/>
          </w:rPr>
          <w:instrText xml:space="preserve"> PAGEREF _Toc236764844 \h </w:instrText>
        </w:r>
        <w:r>
          <w:rPr>
            <w:noProof/>
            <w:webHidden/>
          </w:rPr>
        </w:r>
        <w:r>
          <w:rPr>
            <w:noProof/>
            <w:webHidden/>
          </w:rPr>
          <w:fldChar w:fldCharType="separate"/>
        </w:r>
        <w:r>
          <w:rPr>
            <w:noProof/>
            <w:webHidden/>
          </w:rPr>
          <w:t>60</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45" w:history="1">
        <w:r w:rsidRPr="000247E7">
          <w:rPr>
            <w:rStyle w:val="Hyperlink"/>
            <w:noProof/>
          </w:rPr>
          <w:t>(c)</w:t>
        </w:r>
        <w:r>
          <w:rPr>
            <w:rFonts w:eastAsiaTheme="minorEastAsia"/>
            <w:noProof/>
            <w:sz w:val="22"/>
            <w:szCs w:val="22"/>
            <w:lang w:eastAsia="ro-RO"/>
          </w:rPr>
          <w:tab/>
        </w:r>
        <w:r w:rsidRPr="000247E7">
          <w:rPr>
            <w:rStyle w:val="Hyperlink"/>
            <w:noProof/>
          </w:rPr>
          <w:t>Onorariile avocaților</w:t>
        </w:r>
        <w:r>
          <w:rPr>
            <w:noProof/>
            <w:webHidden/>
          </w:rPr>
          <w:tab/>
        </w:r>
        <w:r>
          <w:rPr>
            <w:noProof/>
            <w:webHidden/>
          </w:rPr>
          <w:fldChar w:fldCharType="begin"/>
        </w:r>
        <w:r>
          <w:rPr>
            <w:noProof/>
            <w:webHidden/>
          </w:rPr>
          <w:instrText xml:space="preserve"> PAGEREF _Toc236764845 \h </w:instrText>
        </w:r>
        <w:r>
          <w:rPr>
            <w:noProof/>
            <w:webHidden/>
          </w:rPr>
        </w:r>
        <w:r>
          <w:rPr>
            <w:noProof/>
            <w:webHidden/>
          </w:rPr>
          <w:fldChar w:fldCharType="separate"/>
        </w:r>
        <w:r>
          <w:rPr>
            <w:noProof/>
            <w:webHidden/>
          </w:rPr>
          <w:t>60</w:t>
        </w:r>
        <w:r>
          <w:rPr>
            <w:noProof/>
            <w:webHidden/>
          </w:rPr>
          <w:fldChar w:fldCharType="end"/>
        </w:r>
      </w:hyperlink>
    </w:p>
    <w:p w:rsidR="00C64FB7" w:rsidRDefault="00C64FB7">
      <w:pPr>
        <w:pStyle w:val="TOC5"/>
        <w:tabs>
          <w:tab w:val="left" w:pos="2041"/>
        </w:tabs>
        <w:rPr>
          <w:rFonts w:eastAsiaTheme="minorEastAsia"/>
          <w:noProof/>
          <w:sz w:val="22"/>
          <w:szCs w:val="22"/>
          <w:lang w:eastAsia="ro-RO"/>
        </w:rPr>
      </w:pPr>
      <w:hyperlink w:anchor="_Toc236764846" w:history="1">
        <w:r w:rsidRPr="000247E7">
          <w:rPr>
            <w:rStyle w:val="Hyperlink"/>
            <w:noProof/>
          </w:rPr>
          <w:t>(d)</w:t>
        </w:r>
        <w:r>
          <w:rPr>
            <w:rFonts w:eastAsiaTheme="minorEastAsia"/>
            <w:noProof/>
            <w:sz w:val="22"/>
            <w:szCs w:val="22"/>
            <w:lang w:eastAsia="ro-RO"/>
          </w:rPr>
          <w:tab/>
        </w:r>
        <w:r w:rsidRPr="000247E7">
          <w:rPr>
            <w:rStyle w:val="Hyperlink"/>
            <w:noProof/>
          </w:rPr>
          <w:t>Recapitulare</w:t>
        </w:r>
        <w:r>
          <w:rPr>
            <w:noProof/>
            <w:webHidden/>
          </w:rPr>
          <w:tab/>
        </w:r>
        <w:r>
          <w:rPr>
            <w:noProof/>
            <w:webHidden/>
          </w:rPr>
          <w:fldChar w:fldCharType="begin"/>
        </w:r>
        <w:r>
          <w:rPr>
            <w:noProof/>
            <w:webHidden/>
          </w:rPr>
          <w:instrText xml:space="preserve"> PAGEREF _Toc236764846 \h </w:instrText>
        </w:r>
        <w:r>
          <w:rPr>
            <w:noProof/>
            <w:webHidden/>
          </w:rPr>
        </w:r>
        <w:r>
          <w:rPr>
            <w:noProof/>
            <w:webHidden/>
          </w:rPr>
          <w:fldChar w:fldCharType="separate"/>
        </w:r>
        <w:r>
          <w:rPr>
            <w:noProof/>
            <w:webHidden/>
          </w:rPr>
          <w:t>60</w:t>
        </w:r>
        <w:r>
          <w:rPr>
            <w:noProof/>
            <w:webHidden/>
          </w:rPr>
          <w:fldChar w:fldCharType="end"/>
        </w:r>
      </w:hyperlink>
    </w:p>
    <w:p w:rsidR="00C64FB7" w:rsidRDefault="00C64FB7">
      <w:pPr>
        <w:pStyle w:val="TOC1"/>
        <w:rPr>
          <w:rFonts w:eastAsiaTheme="minorEastAsia"/>
          <w:b w:val="0"/>
          <w:sz w:val="22"/>
          <w:szCs w:val="22"/>
          <w:lang w:eastAsia="ro-RO"/>
        </w:rPr>
      </w:pPr>
      <w:hyperlink w:anchor="_Toc236764847" w:history="1">
        <w:r w:rsidRPr="000247E7">
          <w:rPr>
            <w:rStyle w:val="Hyperlink"/>
          </w:rPr>
          <w:t>PENTRU ACESTE MOTIVE, CURTEA</w:t>
        </w:r>
        <w:r>
          <w:rPr>
            <w:webHidden/>
          </w:rPr>
          <w:tab/>
        </w:r>
        <w:r>
          <w:rPr>
            <w:webHidden/>
          </w:rPr>
          <w:fldChar w:fldCharType="begin"/>
        </w:r>
        <w:r>
          <w:rPr>
            <w:webHidden/>
          </w:rPr>
          <w:instrText xml:space="preserve"> PAGEREF _Toc236764847 \h </w:instrText>
        </w:r>
        <w:r>
          <w:rPr>
            <w:webHidden/>
          </w:rPr>
        </w:r>
        <w:r>
          <w:rPr>
            <w:webHidden/>
          </w:rPr>
          <w:fldChar w:fldCharType="separate"/>
        </w:r>
        <w:r>
          <w:rPr>
            <w:webHidden/>
          </w:rPr>
          <w:t>60</w:t>
        </w:r>
        <w:r>
          <w:rPr>
            <w:webHidden/>
          </w:rPr>
          <w:fldChar w:fldCharType="end"/>
        </w:r>
      </w:hyperlink>
    </w:p>
    <w:p w:rsidR="00C64FB7" w:rsidRDefault="00C64FB7">
      <w:pPr>
        <w:pStyle w:val="TOC1"/>
        <w:rPr>
          <w:rFonts w:eastAsiaTheme="minorEastAsia"/>
          <w:b w:val="0"/>
          <w:sz w:val="22"/>
          <w:szCs w:val="22"/>
          <w:lang w:eastAsia="ro-RO"/>
        </w:rPr>
      </w:pPr>
      <w:hyperlink w:anchor="_Toc236764848" w:history="1">
        <w:r w:rsidRPr="000247E7">
          <w:rPr>
            <w:rStyle w:val="Hyperlink"/>
          </w:rPr>
          <w:t>OPINIA SEPARATĂ COMUNĂ A JUDECĂTORILOR PAVLI ȘI NÍ RAIFEARTAIGH</w:t>
        </w:r>
        <w:r>
          <w:rPr>
            <w:webHidden/>
          </w:rPr>
          <w:tab/>
        </w:r>
        <w:r>
          <w:rPr>
            <w:webHidden/>
          </w:rPr>
          <w:fldChar w:fldCharType="begin"/>
        </w:r>
        <w:r>
          <w:rPr>
            <w:webHidden/>
          </w:rPr>
          <w:instrText xml:space="preserve"> PAGEREF _Toc236764848 \h </w:instrText>
        </w:r>
        <w:r>
          <w:rPr>
            <w:webHidden/>
          </w:rPr>
        </w:r>
        <w:r>
          <w:rPr>
            <w:webHidden/>
          </w:rPr>
          <w:fldChar w:fldCharType="separate"/>
        </w:r>
        <w:r>
          <w:rPr>
            <w:webHidden/>
          </w:rPr>
          <w:t>62</w:t>
        </w:r>
        <w:r>
          <w:rPr>
            <w:webHidden/>
          </w:rPr>
          <w:fldChar w:fldCharType="end"/>
        </w:r>
      </w:hyperlink>
    </w:p>
    <w:p w:rsidR="00DE4BFE" w:rsidRPr="000B62B5" w:rsidRDefault="00E34145" w:rsidP="000B62B5">
      <w:r w:rsidRPr="000B62B5">
        <w:fldChar w:fldCharType="end"/>
      </w:r>
    </w:p>
    <w:p w:rsidR="00DE4BFE" w:rsidRPr="000B62B5" w:rsidRDefault="00DE4BFE" w:rsidP="000B62B5">
      <w:pPr>
        <w:pStyle w:val="JuPara"/>
        <w:sectPr w:rsidR="00DE4BFE" w:rsidRPr="000B62B5" w:rsidSect="0078450C">
          <w:headerReference w:type="even" r:id="rId13"/>
          <w:headerReference w:type="default" r:id="rId14"/>
          <w:footerReference w:type="even" r:id="rId15"/>
          <w:footerReference w:type="default" r:id="rId16"/>
          <w:footnotePr>
            <w:numRestart w:val="eachSect"/>
          </w:footnotePr>
          <w:endnotePr>
            <w:numFmt w:val="decimal"/>
          </w:endnotePr>
          <w:type w:val="oddPage"/>
          <w:pgSz w:w="11906" w:h="16838" w:code="9"/>
          <w:pgMar w:top="1134" w:right="1134" w:bottom="1134" w:left="1701" w:header="1701" w:footer="720" w:gutter="0"/>
          <w:pgNumType w:fmt="lowerRoman" w:start="1"/>
          <w:cols w:space="720"/>
          <w:docGrid w:linePitch="326"/>
        </w:sectPr>
      </w:pPr>
    </w:p>
    <w:p w:rsidR="00DE4BFE" w:rsidRPr="000B62B5" w:rsidRDefault="00E34145" w:rsidP="000B62B5">
      <w:pPr>
        <w:pStyle w:val="JuCase"/>
        <w:rPr>
          <w:bCs/>
        </w:rPr>
      </w:pPr>
      <w:r>
        <w:lastRenderedPageBreak/>
        <w:t>În cauza Kanev și Comitetul Helsinki din Bulgaria împotriva Bulgariei,</w:t>
      </w:r>
    </w:p>
    <w:p w:rsidR="00DE4BFE" w:rsidRPr="000B62B5" w:rsidRDefault="00E34145" w:rsidP="000B62B5">
      <w:pPr>
        <w:pStyle w:val="JuPara"/>
      </w:pPr>
      <w:r>
        <w:t>Curtea Europeană a Drepturilor Omului (Secția a treia), reunită într-o cameră compusă din:</w:t>
      </w:r>
    </w:p>
    <w:p w:rsidR="00DE4BFE" w:rsidRPr="000B62B5" w:rsidRDefault="00E34145" w:rsidP="000B62B5">
      <w:pPr>
        <w:pStyle w:val="JuJudges"/>
      </w:pPr>
      <w:r>
        <w:tab/>
        <w:t xml:space="preserve">Ioannis Ktistakis, </w:t>
      </w:r>
      <w:r>
        <w:rPr>
          <w:i/>
        </w:rPr>
        <w:t>președinte</w:t>
      </w:r>
      <w:r>
        <w:t>,</w:t>
      </w:r>
      <w:r>
        <w:br/>
      </w:r>
      <w:r>
        <w:tab/>
        <w:t>Peeter Roosma,</w:t>
      </w:r>
      <w:r>
        <w:br/>
      </w:r>
      <w:r>
        <w:tab/>
        <w:t>Darian Pavli,</w:t>
      </w:r>
      <w:r>
        <w:br/>
      </w:r>
      <w:r>
        <w:tab/>
        <w:t>Úna Ní Raifeartaigh,</w:t>
      </w:r>
      <w:r>
        <w:br/>
      </w:r>
      <w:r>
        <w:tab/>
        <w:t>Mateja Đurović,</w:t>
      </w:r>
      <w:r>
        <w:br/>
      </w:r>
      <w:r>
        <w:tab/>
        <w:t xml:space="preserve">Vasilka Sancin, </w:t>
      </w:r>
      <w:r>
        <w:rPr>
          <w:i/>
        </w:rPr>
        <w:t>judecători</w:t>
      </w:r>
      <w:r>
        <w:t>,</w:t>
      </w:r>
      <w:r>
        <w:br/>
      </w:r>
      <w:r>
        <w:tab/>
        <w:t xml:space="preserve">Mira Raycheva, </w:t>
      </w:r>
      <w:r>
        <w:rPr>
          <w:i/>
          <w:iCs/>
        </w:rPr>
        <w:t xml:space="preserve">judecător </w:t>
      </w:r>
      <w:r>
        <w:t>ad hoc,</w:t>
      </w:r>
      <w:r>
        <w:br/>
        <w:t xml:space="preserve">și Milan Blaško, </w:t>
      </w:r>
      <w:r>
        <w:rPr>
          <w:i/>
          <w:iCs/>
        </w:rPr>
        <w:t>grefier de secție</w:t>
      </w:r>
      <w:r>
        <w:t>,</w:t>
      </w:r>
    </w:p>
    <w:p w:rsidR="00DE4BFE" w:rsidRPr="000B62B5" w:rsidRDefault="00E34145" w:rsidP="000B62B5">
      <w:pPr>
        <w:pStyle w:val="JuPara"/>
      </w:pPr>
      <w:r>
        <w:t>având în vedere:</w:t>
      </w:r>
    </w:p>
    <w:p w:rsidR="00DE4BFE" w:rsidRPr="000B62B5" w:rsidRDefault="00E34145" w:rsidP="000B62B5">
      <w:pPr>
        <w:pStyle w:val="JuPara"/>
      </w:pPr>
      <w:r>
        <w:t>cererea (nr. 45864/22) îndreptată împotriva Republicii Bulgaria, prin care un resortisant bulgar, domnul Krasimir Ivanov Kanev, și o asociație cu sediul social în Bulgaria, Comitetul Helsinki din Bulgaria („reclamanții”), au sesizat Curtea la 19 septembrie 2022, în temeiul art. 34 din Convenția pentru apărarea drepturilor omului și a libertăților fundamentale („Convenția”);</w:t>
      </w:r>
    </w:p>
    <w:p w:rsidR="00DE4BFE" w:rsidRPr="000B62B5" w:rsidRDefault="00E34145" w:rsidP="000B62B5">
      <w:pPr>
        <w:pStyle w:val="JuPara"/>
      </w:pPr>
      <w:r>
        <w:t>decizia de a comunica această cerere Guvernului bulgar („Guvernul”);</w:t>
      </w:r>
    </w:p>
    <w:p w:rsidR="008C45F8" w:rsidRPr="000B62B5" w:rsidRDefault="00E34145" w:rsidP="000B62B5">
      <w:pPr>
        <w:pStyle w:val="JuPara"/>
      </w:pPr>
      <w:r>
        <w:t>observațiile părților;</w:t>
      </w:r>
    </w:p>
    <w:p w:rsidR="00DE4BFE" w:rsidRPr="000B62B5" w:rsidRDefault="00E34145" w:rsidP="000B62B5">
      <w:pPr>
        <w:pStyle w:val="JuPara"/>
      </w:pPr>
      <w:r>
        <w:t>decizia comitetului special compus în cadrul Secției a cincea a Curții de a examina cererea formulată de Guvern în temeiul art. 44F § 2 din Regulamentul Curții în legătură cu un document clasificat prezentat de acesta;</w:t>
      </w:r>
    </w:p>
    <w:p w:rsidR="00DE4BFE" w:rsidRPr="000B62B5" w:rsidRDefault="00E34145" w:rsidP="000B62B5">
      <w:pPr>
        <w:pStyle w:val="JuPara"/>
      </w:pPr>
      <w:r>
        <w:t xml:space="preserve">decizia președintelui Secției de a o exonera pe Diana Kovatcheva, judecătoarea aleasă să reprezinte Bulgaria, de obligația de a examina această cauză și decizia sa ulterioară de a o numi pe Mira Raycheva în calitate de judecătoare </w:t>
      </w:r>
      <w:r>
        <w:rPr>
          <w:i/>
        </w:rPr>
        <w:t>ad-hoc</w:t>
      </w:r>
      <w:r>
        <w:t xml:space="preserve"> în această cauză; și</w:t>
      </w:r>
    </w:p>
    <w:p w:rsidR="00DE4BFE" w:rsidRPr="000B62B5" w:rsidRDefault="00E34145" w:rsidP="000B62B5">
      <w:pPr>
        <w:pStyle w:val="JuPara"/>
        <w:keepNext/>
        <w:keepLines/>
      </w:pPr>
      <w:r>
        <w:t xml:space="preserve">decizia unei Camere a Secției de a respinge cererea reclamanților de recuzare a doamnei Mira Raycheva, judecătoarea </w:t>
      </w:r>
      <w:r>
        <w:rPr>
          <w:i/>
        </w:rPr>
        <w:t>ad-hoc</w:t>
      </w:r>
      <w:r>
        <w:t xml:space="preserve"> desemnată în cauză;</w:t>
      </w:r>
    </w:p>
    <w:p w:rsidR="00DE4BFE" w:rsidRPr="000B62B5" w:rsidRDefault="00E34145" w:rsidP="000B62B5">
      <w:pPr>
        <w:pStyle w:val="JuPara"/>
      </w:pPr>
      <w:r>
        <w:t>după ce a deliberat în camera de consiliu, la 27 ianuarie și 17 martie 2026,</w:t>
      </w:r>
    </w:p>
    <w:p w:rsidR="00DE4BFE" w:rsidRPr="000B62B5" w:rsidRDefault="00E34145" w:rsidP="000B62B5">
      <w:pPr>
        <w:pStyle w:val="JuPara"/>
      </w:pPr>
      <w:r>
        <w:t>pronunță prezenta hotărâre, adoptată la cea din urmă dată:</w:t>
      </w:r>
    </w:p>
    <w:p w:rsidR="00DE4BFE" w:rsidRPr="000B62B5" w:rsidRDefault="00E34145" w:rsidP="000B62B5">
      <w:pPr>
        <w:pStyle w:val="JuHHead"/>
        <w:numPr>
          <w:ilvl w:val="0"/>
          <w:numId w:val="0"/>
        </w:numPr>
      </w:pPr>
      <w:bookmarkStart w:id="0" w:name="_Toc176454104"/>
      <w:bookmarkStart w:id="1" w:name="_Toc236764702"/>
      <w:r>
        <w:t>INTRODUCERE</w:t>
      </w:r>
      <w:bookmarkEnd w:id="0"/>
      <w:bookmarkEnd w:id="1"/>
    </w:p>
    <w:bookmarkStart w:id="2" w:name="I_1"/>
    <w:p w:rsidR="00DE4BFE" w:rsidRPr="000B62B5" w:rsidRDefault="00E34145" w:rsidP="000B62B5">
      <w:pPr>
        <w:pStyle w:val="JuPara"/>
        <w:spacing w:before="240"/>
      </w:pPr>
      <w:r w:rsidRPr="000B62B5">
        <w:fldChar w:fldCharType="begin"/>
      </w:r>
      <w:r w:rsidRPr="000B62B5">
        <w:instrText xml:space="preserve"> SEQ level0 \*arabic \* MERGEFORMAT </w:instrText>
      </w:r>
      <w:r w:rsidRPr="000B62B5">
        <w:fldChar w:fldCharType="separate"/>
      </w:r>
      <w:r w:rsidR="000B62B5" w:rsidRPr="000B62B5">
        <w:t>1</w:t>
      </w:r>
      <w:r w:rsidRPr="000B62B5">
        <w:fldChar w:fldCharType="end"/>
      </w:r>
      <w:bookmarkEnd w:id="2"/>
      <w:r>
        <w:t>. În urma dezvăluirilor oficiale privind supravegherea secretă, pe scară largă, a politicienilor și a activiștilor societății civile, efectuată, printre alte autorități, de Agenția de Stat pentru Securitate Națională din Bulgaria („Agenția”), în perioada 2020-2021, cei doi reclamanți – o asociație bine-cunoscută pentru apărarea drepturilor omului și, respectiv, președintele acesteia – au întrebat Agenția dacă a colectat informații cu privire la aceștia și dacă a recrutat, în calitate de informator, vreun membru al Asociației sau vreun membru al personalului acesteia. Agenția a refuzat să divulge astfel de informații, iar instanțele administrative au confirmat decizia acesteia.</w:t>
      </w:r>
    </w:p>
    <w:bookmarkStart w:id="3" w:name="I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w:t>
      </w:r>
      <w:r w:rsidRPr="000B62B5">
        <w:fldChar w:fldCharType="end"/>
      </w:r>
      <w:bookmarkEnd w:id="3"/>
      <w:r>
        <w:t>. Problema principală din prezenta cauză este dacă acest refuz – privit în contextul unor suspiciuni pretins întemeiate, potrivit cărora Agenția ar fi abuzat de competențele sale extinse de supraveghere, și al pretinsei absențe a unei supravegheri efective a modului în care aceasta prelucrează datele obținute în urma operațiunilor sale – a încălcat art. 8 din Convenție.</w:t>
      </w:r>
    </w:p>
    <w:p w:rsidR="00DE4BFE" w:rsidRPr="000B62B5" w:rsidRDefault="00E34145" w:rsidP="000B62B5">
      <w:pPr>
        <w:pStyle w:val="JuHHead"/>
      </w:pPr>
      <w:bookmarkStart w:id="4" w:name="_Toc176454105"/>
      <w:bookmarkStart w:id="5" w:name="_Toc236764703"/>
      <w:r>
        <w:t>ÎN FAPT</w:t>
      </w:r>
      <w:bookmarkEnd w:id="4"/>
      <w:bookmarkEnd w:id="5"/>
    </w:p>
    <w:p w:rsidR="00DE4BFE"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3</w:t>
      </w:r>
      <w:r w:rsidRPr="000B62B5">
        <w:fldChar w:fldCharType="end"/>
      </w:r>
      <w:r>
        <w:t xml:space="preserve">. Primul reclamant, domnul Kanev, s-a născut în 1958 și locuiește în Sofia. A doua reclamantă, Comitetul Helsinki din Bulgaria („Comitetul”), este o asociație înființată în 1992, </w:t>
      </w:r>
      <w:r>
        <w:lastRenderedPageBreak/>
        <w:t>cu sediul social în Sofia. La momentul faptelor, domnul Kanev era președintele Comitetului. Ambii reclamanți au fost reprezentați de doamna A. Kachaunova, avocată în Sofia.</w:t>
      </w:r>
    </w:p>
    <w:p w:rsidR="00DE4BFE"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4</w:t>
      </w:r>
      <w:r w:rsidRPr="000B62B5">
        <w:fldChar w:fldCharType="end"/>
      </w:r>
      <w:r>
        <w:t>. Guvernul a fost reprezentat de agentul guvernamental, doamna I. Stancheva-Chinova, din cadrul Ministerului Justiției.</w:t>
      </w:r>
    </w:p>
    <w:p w:rsidR="00DE4BFE" w:rsidRPr="000B62B5" w:rsidRDefault="00E34145" w:rsidP="000B62B5">
      <w:pPr>
        <w:pStyle w:val="JuHIRoman"/>
      </w:pPr>
      <w:bookmarkStart w:id="6" w:name="_Toc176454106"/>
      <w:bookmarkStart w:id="7" w:name="_Toc236764704"/>
      <w:r>
        <w:rPr>
          <w:caps w:val="0"/>
        </w:rPr>
        <w:t>CONTEXT</w:t>
      </w:r>
      <w:bookmarkEnd w:id="6"/>
      <w:bookmarkEnd w:id="7"/>
    </w:p>
    <w:bookmarkStart w:id="8" w:name="F_backgroun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w:t>
      </w:r>
      <w:r w:rsidRPr="000B62B5">
        <w:fldChar w:fldCharType="end"/>
      </w:r>
      <w:bookmarkEnd w:id="8"/>
      <w:r>
        <w:t xml:space="preserve">. La jumătatea anului 2021, ministrul interimar de la acea vreme al Afacerilor Interne – care, în perioada 2013-2018, a fost șeful Biroului Național pentru Controlul Mijloacelor Speciale de Supraveghere („Biroul Național”; pentru detalii cu privire la acest organism, a se vedea </w:t>
      </w:r>
      <w:r>
        <w:rPr>
          <w:i/>
          <w:iCs/>
        </w:rPr>
        <w:t xml:space="preserve">Ekimdjiev </w:t>
      </w:r>
      <w:r>
        <w:rPr>
          <w:i/>
        </w:rPr>
        <w:t>și alții împotriva Bulgariei</w:t>
      </w:r>
      <w:r>
        <w:t>, nr. 70078/12, pct. 14-16 și 108-124, 11 ianuarie 2022) – a declarat public că mai multe autorități, inclusiv Agenția, au interceptat în secret „aproape nonstop” comunicațiile a numeroase persoane, inclusiv politicieni și activiști ai societății civile, care au luat parte la o serie prelungită de proteste împotriva guvernului anterior și a procurorului-șef, desfășurate în a doua jumătate a anului 2020 și la începutul anului 2021. Deși ministrul a spus că știa numele persoanelor vizate de această operațiune de supraveghere, nu le-a dezvăluit, cu excepția celui al noului prim-ministru interimar.</w:t>
      </w:r>
    </w:p>
    <w:p w:rsidR="00DE4BFE" w:rsidRPr="000B62B5" w:rsidRDefault="00E34145" w:rsidP="000B62B5">
      <w:pPr>
        <w:pStyle w:val="JuHIRoman"/>
      </w:pPr>
      <w:bookmarkStart w:id="9" w:name="_Toc176454107"/>
      <w:bookmarkStart w:id="10" w:name="_Toc236764705"/>
      <w:r>
        <w:rPr>
          <w:caps w:val="0"/>
        </w:rPr>
        <w:t>CEREREA ADRESATĂ AGENȚIEI ÎN IUNIE 2021</w:t>
      </w:r>
      <w:bookmarkEnd w:id="9"/>
      <w:bookmarkEnd w:id="10"/>
    </w:p>
    <w:p w:rsidR="00DE4BFE" w:rsidRPr="000B62B5" w:rsidRDefault="00E34145" w:rsidP="000B62B5">
      <w:pPr>
        <w:pStyle w:val="JuHA"/>
      </w:pPr>
      <w:bookmarkStart w:id="11" w:name="_Toc176454108"/>
      <w:bookmarkStart w:id="12" w:name="_Toc236764706"/>
      <w:r>
        <w:t>Cererea de informații și răspunsul Agenției la aceasta</w:t>
      </w:r>
      <w:bookmarkEnd w:id="11"/>
      <w:bookmarkEnd w:id="12"/>
    </w:p>
    <w:bookmarkStart w:id="13" w:name="F_1_inf_req"/>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w:t>
      </w:r>
      <w:r w:rsidRPr="000B62B5">
        <w:fldChar w:fldCharType="end"/>
      </w:r>
      <w:bookmarkEnd w:id="13"/>
      <w:r>
        <w:t xml:space="preserve">. Făcând referire la dezvăluirile prezentate la punctul </w:t>
      </w:r>
      <w:r w:rsidRPr="000B62B5">
        <w:fldChar w:fldCharType="begin"/>
      </w:r>
      <w:r w:rsidRPr="000B62B5">
        <w:instrText xml:space="preserve"> REF  F_background \h  \* MERGEFORMAT </w:instrText>
      </w:r>
      <w:r w:rsidRPr="000B62B5">
        <w:fldChar w:fldCharType="separate"/>
      </w:r>
      <w:r w:rsidR="000B62B5" w:rsidRPr="000B62B5">
        <w:t>5</w:t>
      </w:r>
      <w:r w:rsidRPr="000B62B5">
        <w:fldChar w:fldCharType="end"/>
      </w:r>
      <w:r>
        <w:t xml:space="preserve"> de mai sus, în iunie 2021, domnul Kanev a trimis Agenției o scrisoare prin care solicita următoarele informații:</w:t>
      </w:r>
    </w:p>
    <w:p w:rsidR="00DE4BFE" w:rsidRPr="000B62B5" w:rsidRDefault="00E34145" w:rsidP="000B62B5">
      <w:pPr>
        <w:pStyle w:val="JuPara"/>
      </w:pPr>
      <w:r>
        <w:t>(</w:t>
      </w:r>
      <w:bookmarkStart w:id="14" w:name="F_1_inf_req_special_means"/>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14"/>
      <w:r>
        <w:t>) dacă a utilizat „mijloace speciale de supraveghere” (pentru definiția acestui termen în dreptul bulgar, a se vedea</w:t>
      </w:r>
      <w:bookmarkStart w:id="15" w:name="_cl41284THEFACTS"/>
      <w:r>
        <w:t xml:space="preserve"> </w:t>
      </w:r>
      <w:r>
        <w:rPr>
          <w:i/>
          <w:iCs/>
        </w:rPr>
        <w:t>Ekimdjiev</w:t>
      </w:r>
      <w:r>
        <w:rPr>
          <w:i/>
        </w:rPr>
        <w:t xml:space="preserve"> </w:t>
      </w:r>
      <w:r>
        <w:rPr>
          <w:i/>
          <w:iCs/>
        </w:rPr>
        <w:t>și alții</w:t>
      </w:r>
      <w:bookmarkEnd w:id="15"/>
      <w:r>
        <w:t>, citată anterior, pct. 11) în ceea ce îl privea pe el, personal, sau în privința membrilor sau a personalului Comitetului ori a avocaților care acționau în numele acestuia; și</w:t>
      </w:r>
    </w:p>
    <w:p w:rsidR="00DE4BFE" w:rsidRPr="000B62B5" w:rsidRDefault="00E34145" w:rsidP="000B62B5">
      <w:pPr>
        <w:pStyle w:val="JuPara"/>
      </w:pPr>
      <w:r>
        <w:t>(</w:t>
      </w:r>
      <w:bookmarkStart w:id="16" w:name="F_1_inf_req_intelligence_agents"/>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16"/>
      <w:r>
        <w:t>) dacă au fost utilizate metode sau tehnici de colectare de informații cu privire la Comitet sau la vreun membru al Comitetului sau vreun membru al personalului Comitetului și dacă vreunul dintre aceștia a fost recrutat în calitate de informator în ultimii zece ani sau mai devreme.</w:t>
      </w:r>
    </w:p>
    <w:bookmarkStart w:id="17" w:name="F_1_inf_req_initial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w:t>
      </w:r>
      <w:r w:rsidRPr="000B62B5">
        <w:fldChar w:fldCharType="end"/>
      </w:r>
      <w:bookmarkEnd w:id="17"/>
      <w:r>
        <w:t>. La sfârșitul lunii iunie 2021, Agenția a răspuns că, în măsura în care cererea se referea la „mijloace speciale de supraveghere”, partea respectivă a cererii trebuia să fie adresată Biroului Național. Cantitatea de informații referitoare la folosirea unor astfel de mijloace și modul în care acestea puteau fi obținute erau stabilite la articolul 34g din Legea din 1997 privind mijloacele speciale de supraveghere [„Legea din 1997” – a se vedea </w:t>
      </w:r>
      <w:r>
        <w:rPr>
          <w:i/>
          <w:iCs/>
        </w:rPr>
        <w:t>Ekimdjiev</w:t>
      </w:r>
      <w:r>
        <w:rPr>
          <w:i/>
        </w:rPr>
        <w:t xml:space="preserve"> și alții</w:t>
      </w:r>
      <w:r>
        <w:t>, citată anterior, pct. 130; a se vedea și infra, pct. </w:t>
      </w:r>
      <w:r w:rsidRPr="000B62B5">
        <w:rPr>
          <w:rFonts w:cstheme="minorHAnsi"/>
        </w:rPr>
        <w:fldChar w:fldCharType="begin"/>
      </w:r>
      <w:r w:rsidRPr="000B62B5">
        <w:rPr>
          <w:rFonts w:cstheme="minorHAnsi"/>
        </w:rPr>
        <w:instrText xml:space="preserve"> REF  RLF_SSMA \h  \* MERGEFORMAT </w:instrText>
      </w:r>
      <w:r w:rsidRPr="000B62B5">
        <w:rPr>
          <w:rFonts w:cstheme="minorHAnsi"/>
        </w:rPr>
      </w:r>
      <w:r w:rsidRPr="000B62B5">
        <w:rPr>
          <w:rFonts w:cstheme="minorHAnsi"/>
        </w:rPr>
        <w:fldChar w:fldCharType="separate"/>
      </w:r>
      <w:r w:rsidR="000B62B5" w:rsidRPr="000B62B5">
        <w:t>82</w:t>
      </w:r>
      <w:r w:rsidRPr="000B62B5">
        <w:rPr>
          <w:rFonts w:cstheme="minorHAnsi"/>
        </w:rPr>
        <w:fldChar w:fldCharType="end"/>
      </w:r>
      <w:r>
        <w:t> (</w:t>
      </w:r>
      <w:r w:rsidRPr="000B62B5">
        <w:rPr>
          <w:rFonts w:cstheme="minorHAnsi"/>
        </w:rPr>
        <w:fldChar w:fldCharType="begin"/>
      </w:r>
      <w:r w:rsidRPr="000B62B5">
        <w:rPr>
          <w:rFonts w:cstheme="minorHAnsi"/>
        </w:rPr>
        <w:instrText xml:space="preserve"> REF  RLF_SSMA_notification \h  \* MERGEFORMAT </w:instrText>
      </w:r>
      <w:r w:rsidRPr="000B62B5">
        <w:rPr>
          <w:rFonts w:cstheme="minorHAnsi"/>
        </w:rPr>
      </w:r>
      <w:r w:rsidRPr="000B62B5">
        <w:rPr>
          <w:rFonts w:cstheme="minorHAnsi"/>
        </w:rPr>
        <w:fldChar w:fldCharType="separate"/>
      </w:r>
      <w:r w:rsidR="000B62B5" w:rsidRPr="000B62B5">
        <w:t>e</w:t>
      </w:r>
      <w:r w:rsidRPr="000B62B5">
        <w:rPr>
          <w:rFonts w:cstheme="minorHAnsi"/>
        </w:rPr>
        <w:fldChar w:fldCharType="end"/>
      </w:r>
      <w:r>
        <w:t>)]. În măsura în care cererea făcea referire la alte metode sau tehnici de colectare a informațiilor și la recrutarea de informatori, aceasta privea existența (sau inexistența) unor date în bazele de date ale Agenției, la care accesul era reglementat de articolul 36 alineatul (4) din Legea din 2007 privind Agenția de Stat pentru Securitate Națională („Legea din 2007”) și de regulile emise de șeful Agenției în 2009 (a se vedea infra, pct.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w:t>
      </w:r>
      <w:r w:rsidRPr="000B62B5">
        <w:fldChar w:fldCharType="begin"/>
      </w:r>
      <w:r w:rsidRPr="000B62B5">
        <w:instrText xml:space="preserve"> REF  RLF_SANSA_s_36_9 \h  \* MERGEFORMAT </w:instrText>
      </w:r>
      <w:r w:rsidRPr="000B62B5">
        <w:fldChar w:fldCharType="separate"/>
      </w:r>
      <w:r w:rsidR="000B62B5" w:rsidRPr="000B62B5">
        <w:t>72</w:t>
      </w:r>
      <w:r w:rsidRPr="000B62B5">
        <w:fldChar w:fldCharType="end"/>
      </w:r>
      <w:r>
        <w:t>). Cererea nu a respectat cerințele prevăzute de aceste reguli, potrivit cărora o astfel de cerere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trebuia depusă la sediul Agenției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trebuia să conțină informații precise cu privire la identitatea persoanei care a depus-o.</w:t>
      </w:r>
    </w:p>
    <w:bookmarkStart w:id="18" w:name="F_1_inf_req_amende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w:t>
      </w:r>
      <w:r w:rsidRPr="000B62B5">
        <w:fldChar w:fldCharType="end"/>
      </w:r>
      <w:bookmarkEnd w:id="18"/>
      <w:r>
        <w:t>. Într-o cerere modificată, depusă la Agenție la sfârșitul lunii iunie 2021, domnul Kanev a întrebat dacă bazele de date ale acesteia conțineau informații cu privire la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aspectul dacă au fost utilizate metode sau tehnici de colectare de informații în privința lui sau a Comitetului, pe care acesta îl reprezenta, și cu privire la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xml:space="preserve">) aspectul dacă, în ultimii zece ani sau anterior, a fost recrutat vreun membru al Comitetului sau vreun membru al personalului Comitetului, în calitate </w:t>
      </w:r>
      <w:r>
        <w:lastRenderedPageBreak/>
        <w:t>de informator al Agenției. Acesta a făcut referire la articolul 36 alineatul (4) din Legea din 2007 (a se vedea infra, pct.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w:t>
      </w:r>
    </w:p>
    <w:bookmarkStart w:id="19" w:name="F_1_inf_req_amended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w:t>
      </w:r>
      <w:r w:rsidRPr="000B62B5">
        <w:fldChar w:fldCharType="end"/>
      </w:r>
      <w:bookmarkEnd w:id="19"/>
      <w:r>
        <w:t>. La jumătatea lunii iulie 2021, Agenția a răspuns că refuza să divulge astfel de informații, citând articolul 36 alineatul (7) din Legea din 2007 și regula corespunzătoare (a se vedea infra, pct. </w:t>
      </w:r>
      <w:r w:rsidRPr="000B62B5">
        <w:fldChar w:fldCharType="begin"/>
      </w:r>
      <w:r w:rsidRPr="000B62B5">
        <w:instrText xml:space="preserve"> REF  RLF_SANSA_s_36_10 \h  \* MERGEFORMAT </w:instrText>
      </w:r>
      <w:r w:rsidRPr="000B62B5">
        <w:fldChar w:fldCharType="separate"/>
      </w:r>
      <w:r w:rsidR="000B62B5" w:rsidRPr="000B62B5">
        <w:t>69</w:t>
      </w:r>
      <w:r w:rsidRPr="000B62B5">
        <w:fldChar w:fldCharType="end"/>
      </w:r>
      <w:r>
        <w:t>-</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w:t>
      </w:r>
    </w:p>
    <w:bookmarkStart w:id="20" w:name="F_1_inf_req_amended_response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w:t>
      </w:r>
      <w:r w:rsidRPr="000B62B5">
        <w:fldChar w:fldCharType="end"/>
      </w:r>
      <w:bookmarkEnd w:id="20"/>
      <w:r>
        <w:t>. Agenția a declarat că a colectat informații prin utilizarea unor metode și tehnici specifice, dar și prin „mijloace speciale de supraveghere” și prin intermediul unor persoane particulare care colaborau cu aceasta. Informațiile cu privire la toate aceste practici erau clasificate. Tehnicile pe care le folosea pentru a colecta informații erau stabilite în reglementări ale Guvernului, acestea fiind, de asemenea, clasificate. Toate răspunsurile la întrebările referitoare la informațiile stocate în bazele sale de date erau, de asemenea, clasificate. Singura modalitate de a obține informații cu privire la utilizarea unor „mijloace speciale de supraveghere” era prevăzută la articolul 34g din Legea din 1997, iar astfel de cereri trebuiau să fie adresate Biroului Național [a se vedea supra, pct. </w:t>
      </w:r>
      <w:r w:rsidRPr="000B62B5">
        <w:fldChar w:fldCharType="begin"/>
      </w:r>
      <w:r w:rsidRPr="000B62B5">
        <w:instrText xml:space="preserve"> REF  F_background \h  \* MERGEFORMAT </w:instrText>
      </w:r>
      <w:r w:rsidRPr="000B62B5">
        <w:fldChar w:fldCharType="separate"/>
      </w:r>
      <w:r w:rsidR="000B62B5" w:rsidRPr="000B62B5">
        <w:t>5</w:t>
      </w:r>
      <w:r w:rsidRPr="000B62B5">
        <w:fldChar w:fldCharType="end"/>
      </w:r>
      <w:r>
        <w:t xml:space="preserve"> și </w:t>
      </w:r>
      <w:r w:rsidRPr="000B62B5">
        <w:fldChar w:fldCharType="begin"/>
      </w:r>
      <w:r w:rsidRPr="000B62B5">
        <w:instrText xml:space="preserve"> REF  F_1_inf_req_initial_response \h  \* MERGEFORMAT </w:instrText>
      </w:r>
      <w:r w:rsidRPr="000B62B5">
        <w:fldChar w:fldCharType="separate"/>
      </w:r>
      <w:r w:rsidR="000B62B5" w:rsidRPr="000B62B5">
        <w:t>7</w:t>
      </w:r>
      <w:r w:rsidRPr="000B62B5">
        <w:fldChar w:fldCharType="end"/>
      </w:r>
      <w:r>
        <w:t>, și infra, pct. </w:t>
      </w:r>
      <w:r w:rsidRPr="000B62B5">
        <w:fldChar w:fldCharType="begin"/>
      </w:r>
      <w:r w:rsidRPr="000B62B5">
        <w:instrText xml:space="preserve"> REF  RLF_SSMA \h  \* MERGEFORMAT </w:instrText>
      </w:r>
      <w:r w:rsidRPr="000B62B5">
        <w:fldChar w:fldCharType="separate"/>
      </w:r>
      <w:r w:rsidR="000B62B5" w:rsidRPr="000B62B5">
        <w:t>82</w:t>
      </w:r>
      <w:r w:rsidRPr="000B62B5">
        <w:fldChar w:fldCharType="end"/>
      </w:r>
      <w:r>
        <w:t xml:space="preserve"> (</w:t>
      </w:r>
      <w:r w:rsidRPr="000B62B5">
        <w:rPr>
          <w:rFonts w:cstheme="minorHAnsi"/>
        </w:rPr>
        <w:fldChar w:fldCharType="begin"/>
      </w:r>
      <w:r w:rsidRPr="000B62B5">
        <w:rPr>
          <w:rFonts w:cstheme="minorHAnsi"/>
        </w:rPr>
        <w:instrText xml:space="preserve"> REF  RLF_SSMA_notification \h  \* MERGEFORMAT </w:instrText>
      </w:r>
      <w:r w:rsidRPr="000B62B5">
        <w:rPr>
          <w:rFonts w:cstheme="minorHAnsi"/>
        </w:rPr>
      </w:r>
      <w:r w:rsidRPr="000B62B5">
        <w:rPr>
          <w:rFonts w:cstheme="minorHAnsi"/>
        </w:rPr>
        <w:fldChar w:fldCharType="separate"/>
      </w:r>
      <w:r w:rsidR="000B62B5" w:rsidRPr="000B62B5">
        <w:t>e</w:t>
      </w:r>
      <w:r w:rsidRPr="000B62B5">
        <w:rPr>
          <w:rFonts w:cstheme="minorHAnsi"/>
        </w:rPr>
        <w:fldChar w:fldCharType="end"/>
      </w:r>
      <w:r>
        <w:t>)].</w:t>
      </w:r>
    </w:p>
    <w:bookmarkStart w:id="21" w:name="F_1_inf_req_amended_response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w:t>
      </w:r>
      <w:r w:rsidRPr="000B62B5">
        <w:fldChar w:fldCharType="end"/>
      </w:r>
      <w:bookmarkEnd w:id="21"/>
      <w:r>
        <w:t>. În măsura în care cererea privea informațiile referitoare la membrii Comitetului și membrii personalului acestuia, Legea din 2007 interzicea Agenției să divulge informații despre alte persoane, cu excepția cazului în care persoanele respective au autorizat persoana care solicita informațiile să facă acest lucru în numele lor. În plus, în temeiul articolului 23 alineatul (3) din legea menționată, identitățile, datele cu caracter personal și activitatea informatorilor Agenției trebuiau să fie păstrate secrete. În temeiul articolului 23 alineatul (4), astfel de informații puteau fi comunicate doar instanțelor sau organelor de urmărire penală în legătură cu o anumită cauză penală, în conformitate cu cerințele Legii din 2002 privind protecția informațiilor clasificate (a se vedea infra, pct. </w:t>
      </w:r>
      <w:r w:rsidRPr="000B62B5">
        <w:fldChar w:fldCharType="begin"/>
      </w:r>
      <w:r w:rsidRPr="000B62B5">
        <w:instrText xml:space="preserve"> REF  RLF_SANSA_SANS_collaborators \h  \* MERGEFORMAT </w:instrText>
      </w:r>
      <w:r w:rsidRPr="000B62B5">
        <w:fldChar w:fldCharType="separate"/>
      </w:r>
      <w:r w:rsidR="000B62B5" w:rsidRPr="000B62B5">
        <w:t>61</w:t>
      </w:r>
      <w:r w:rsidRPr="000B62B5">
        <w:fldChar w:fldCharType="end"/>
      </w:r>
      <w:r>
        <w:t>) și numai după ce informatorii în cauză au fost de acord cu acest lucru.</w:t>
      </w:r>
    </w:p>
    <w:p w:rsidR="00DE4BFE" w:rsidRPr="000B62B5" w:rsidRDefault="00E34145" w:rsidP="000B62B5">
      <w:pPr>
        <w:pStyle w:val="JuHA"/>
      </w:pPr>
      <w:bookmarkStart w:id="22" w:name="_Toc176454109"/>
      <w:bookmarkStart w:id="23" w:name="_Toc236764707"/>
      <w:r>
        <w:t>Controlul jurisdicțional al refuzului Agenției de a divulga informațiile</w:t>
      </w:r>
      <w:bookmarkEnd w:id="22"/>
      <w:bookmarkEnd w:id="23"/>
    </w:p>
    <w:p w:rsidR="00DE4BFE" w:rsidRPr="000B62B5" w:rsidRDefault="00E34145" w:rsidP="000B62B5">
      <w:pPr>
        <w:pStyle w:val="JuH1"/>
      </w:pPr>
      <w:bookmarkStart w:id="24" w:name="_Toc176454110"/>
      <w:bookmarkStart w:id="25" w:name="_Toc236764708"/>
      <w:r>
        <w:t>Procedura în fața Tribunalului Administrativ al Orașului Sofia</w:t>
      </w:r>
      <w:bookmarkEnd w:id="24"/>
      <w:bookmarkEnd w:id="25"/>
    </w:p>
    <w:p w:rsidR="00DE4BFE" w:rsidRPr="000B62B5" w:rsidRDefault="00E34145" w:rsidP="000B62B5">
      <w:pPr>
        <w:pStyle w:val="JuHa0"/>
      </w:pPr>
      <w:bookmarkStart w:id="26" w:name="_Toc176454111"/>
      <w:bookmarkStart w:id="27" w:name="_Toc236764709"/>
      <w:r>
        <w:t>Desfășurarea procedurii</w:t>
      </w:r>
      <w:bookmarkEnd w:id="26"/>
      <w:bookmarkEnd w:id="27"/>
    </w:p>
    <w:bookmarkStart w:id="28" w:name="F_1_inf_req_jud_rev_claim"/>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w:t>
      </w:r>
      <w:r w:rsidRPr="000B62B5">
        <w:fldChar w:fldCharType="end"/>
      </w:r>
      <w:bookmarkEnd w:id="28"/>
      <w:r>
        <w:t>. Domnul Kanev, acționând atât în nume propriu, cât și în numele Comitetului, a solicitat controlul jurisdicțional, în temeiul articolului 36 alineatul (9) din Legea din 2007 (a se vedea infra, pct. </w:t>
      </w:r>
      <w:r w:rsidRPr="000B62B5">
        <w:fldChar w:fldCharType="begin"/>
      </w:r>
      <w:r w:rsidRPr="000B62B5">
        <w:instrText xml:space="preserve"> REF  RLF_SANSA_s_36_9 \h  \* MERGEFORMAT </w:instrText>
      </w:r>
      <w:r w:rsidRPr="000B62B5">
        <w:fldChar w:fldCharType="separate"/>
      </w:r>
      <w:r w:rsidR="000B62B5" w:rsidRPr="000B62B5">
        <w:t>72</w:t>
      </w:r>
      <w:r w:rsidRPr="000B62B5">
        <w:fldChar w:fldCharType="end"/>
      </w:r>
      <w:r>
        <w:t>), al deciziei Agenției de a nu divulga informațiile pe care le cerea. Acesta a făcut referire, de asemenea, la mai multe alte legi, în special la Legea din 2002 privind protecția datelor cu caracter personal (a se vedea infra, pct. </w:t>
      </w:r>
      <w:r w:rsidRPr="000B62B5">
        <w:fldChar w:fldCharType="begin"/>
      </w:r>
      <w:r w:rsidRPr="000B62B5">
        <w:instrText xml:space="preserve"> REF RLF_PPDA \h \* MERGEFORMAT </w:instrText>
      </w:r>
      <w:r w:rsidRPr="000B62B5">
        <w:fldChar w:fldCharType="separate"/>
      </w:r>
      <w:r w:rsidR="000B62B5" w:rsidRPr="000B62B5">
        <w:t>84</w:t>
      </w:r>
      <w:r w:rsidRPr="000B62B5">
        <w:fldChar w:fldCharType="end"/>
      </w:r>
      <w:r>
        <w:t>).</w:t>
      </w:r>
    </w:p>
    <w:bookmarkStart w:id="29" w:name="F_1_inf_req_jud_rev_claim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w:t>
      </w:r>
      <w:r w:rsidRPr="000B62B5">
        <w:fldChar w:fldCharType="end"/>
      </w:r>
      <w:bookmarkEnd w:id="29"/>
      <w:r>
        <w:t>. A susținut că nu toate informațiile păstrate de Agenție erau „secrete de stat” sau „secrete de serviciu” (pentru definițiile acestor termeni din dreptul bulgar, a se vedea infra, pct. </w:t>
      </w:r>
      <w:r w:rsidRPr="000B62B5">
        <w:fldChar w:fldCharType="begin"/>
      </w:r>
      <w:r w:rsidRPr="000B62B5">
        <w:instrText xml:space="preserve"> REF  RLF_PCIA_s_25 \h  \* MERGEFORMAT </w:instrText>
      </w:r>
      <w:r w:rsidRPr="000B62B5">
        <w:fldChar w:fldCharType="separate"/>
      </w:r>
      <w:r w:rsidR="000B62B5" w:rsidRPr="000B62B5">
        <w:t>107</w:t>
      </w:r>
      <w:r w:rsidRPr="000B62B5">
        <w:fldChar w:fldCharType="end"/>
      </w:r>
      <w:r>
        <w:t>-</w:t>
      </w:r>
      <w:r w:rsidRPr="000B62B5">
        <w:fldChar w:fldCharType="begin"/>
      </w:r>
      <w:r w:rsidRPr="000B62B5">
        <w:instrText xml:space="preserve"> REF  RLF_PCIA_s_26_2_3 \h  \* MERGEFORMAT </w:instrText>
      </w:r>
      <w:r w:rsidRPr="000B62B5">
        <w:fldChar w:fldCharType="separate"/>
      </w:r>
      <w:r w:rsidR="000B62B5" w:rsidRPr="000B62B5">
        <w:t>109</w:t>
      </w:r>
      <w:r w:rsidRPr="000B62B5">
        <w:fldChar w:fldCharType="end"/>
      </w:r>
      <w:r>
        <w:t>). Prin urmare, era absurd și contrar articolului 36 alineatul (4) din Legea din 2007 (a se vedea infra, pct.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 xml:space="preserve">) – care consacra dreptul de acces la datele cu caracter personal prelucrate de Agenție – să se afirme că toate răspunsurile la întrebările privind informațiile din bazele sale de date erau clasificate. În plus, potrivit jurisprudenței Curții, persoanele aflate sub supraveghere secretă trebuiau să fie informate cu privire la acest fapt după încheierea supravegherii respective, și atât colectarea, cât și păstrarea datelor obținute în acest mod puteau constitui încălcări ale Convenției. Nu doar persoanele particulare, ci și persoanele juridice puteau solicita astfel de informații, deoarece drepturile lor garantate de Convenție – în special dreptul la respectarea „corespondenței” – puteau fi, de asemenea, afectate de supravegherea secretă. O astfel de supraveghere putea fi folosită, în mod evident, pentru protejarea securității naționale, dar această noțiune putea fi cu ușurință interpretată de către autorități într-un mod nejustificat de extins. O eventuală folosire abuzivă a sistemului de supraveghere putea aduce atingere dreptului său la respectarea vieții sale private, precum și dreptului său și al Comitetului </w:t>
      </w:r>
      <w:r>
        <w:lastRenderedPageBreak/>
        <w:t>la respectarea corespondenței acestora. De asemenea, era necesar să se țină seama de contextul în care acesta și-a formulat cererea: Curtea constatase deja că sistemul de supraveghere secretă din Bulgaria era utilizat în mod excesiv, iar declarațiile ministrului interimar al Afacerilor Interne (a se vedea supra, pct. </w:t>
      </w:r>
      <w:r w:rsidRPr="000B62B5">
        <w:fldChar w:fldCharType="begin"/>
      </w:r>
      <w:r w:rsidRPr="000B62B5">
        <w:instrText xml:space="preserve"> REF  F_background \h  \* MERGEFORMAT </w:instrText>
      </w:r>
      <w:r w:rsidRPr="000B62B5">
        <w:fldChar w:fldCharType="separate"/>
      </w:r>
      <w:r w:rsidR="000B62B5" w:rsidRPr="000B62B5">
        <w:t>5</w:t>
      </w:r>
      <w:r w:rsidRPr="000B62B5">
        <w:fldChar w:fldCharType="end"/>
      </w:r>
      <w:r>
        <w:t>) au reaprins îndoielile publicului cu privire la acest aspect.</w:t>
      </w:r>
    </w:p>
    <w:bookmarkStart w:id="30" w:name="F_1_inf_req_jud_rev_claim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w:t>
      </w:r>
      <w:r w:rsidRPr="000B62B5">
        <w:fldChar w:fldCharType="end"/>
      </w:r>
      <w:bookmarkEnd w:id="30"/>
      <w:r>
        <w:t>. În cererea sa de control jurisdicțional, domnul Kanev a solicitat, de asemenea, Tribunalului Administrativ al orașului Sofia să dispună ca Agenția să prezinte (</w:t>
      </w:r>
      <w:bookmarkStart w:id="31" w:name="F_1_inf_req_jud_rev_claim_ter_a"/>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31"/>
      <w:r>
        <w:t>) ordinul emis de șeful Agenției (necesar în temeiul articolului 32 din Legea din 2007 – a se vedea infra, pct. </w:t>
      </w:r>
      <w:r w:rsidRPr="000B62B5">
        <w:fldChar w:fldCharType="begin"/>
      </w:r>
      <w:r w:rsidRPr="000B62B5">
        <w:instrText xml:space="preserve"> REF  RLF_PCIA_s_26_2_3 \h  \* MERGEFORMAT </w:instrText>
      </w:r>
      <w:r w:rsidRPr="000B62B5">
        <w:fldChar w:fldCharType="separate"/>
      </w:r>
      <w:r w:rsidR="000B62B5" w:rsidRPr="000B62B5">
        <w:t>109</w:t>
      </w:r>
      <w:r w:rsidRPr="000B62B5">
        <w:fldChar w:fldCharType="end"/>
      </w:r>
      <w:r>
        <w:t xml:space="preserve"> </w:t>
      </w:r>
      <w:r>
        <w:rPr>
          <w:i/>
        </w:rPr>
        <w:t>in fine</w:t>
      </w:r>
      <w:r>
        <w:t>), în care erau enumerate categoriile de informații care trebuiau clasificate ca fiind „secrete de serviciu”, și (</w:t>
      </w:r>
      <w:bookmarkStart w:id="32" w:name="F_1_inf_req_jud_rev_claim_ter_b"/>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32"/>
      <w:r>
        <w:t>) orice date cu caracter personal ale acestuia, care erau prelucrate de Agenție. Potrivit domnului Kanev, instanța putea să examineze în mod corespunzător decizia Agenției doar dacă dispunea de aceste elemente de probă.</w:t>
      </w:r>
    </w:p>
    <w:bookmarkStart w:id="33" w:name="F_1_inf_req_jud_rev_claim_evidence_ord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w:t>
      </w:r>
      <w:r w:rsidRPr="000B62B5">
        <w:fldChar w:fldCharType="end"/>
      </w:r>
      <w:bookmarkEnd w:id="33"/>
      <w:r>
        <w:t>. Ca răspuns la cererea de control jurisdicțional, în octombrie 2021, Agenția a prezentat un ordin din mai 2020, emis de șeful său, care stabilea categoriile de informații deținute de Agenție care trebuiau clasificate ca reprezentând „secrete de serviciu”. Punctul 14 din anexa la acest ordin preciza că una dintre aceste categorii includea „datele rezultate din verificările efectuate în bazele de date ale [Agenției] care conțineau informații clasificate, în cazul în care aceste date nu conțineau un secret de stat” (pentru definițiile termenilor „secret de serviciu” și „secret de stat” din dreptul bulgar, a se vedea infra, pct. </w:t>
      </w:r>
      <w:r w:rsidRPr="000B62B5">
        <w:fldChar w:fldCharType="begin"/>
      </w:r>
      <w:r w:rsidRPr="000B62B5">
        <w:instrText xml:space="preserve"> REF  RLF_PCIA_s_25 \h  \* MERGEFORMAT </w:instrText>
      </w:r>
      <w:r w:rsidRPr="000B62B5">
        <w:fldChar w:fldCharType="separate"/>
      </w:r>
      <w:r w:rsidR="000B62B5" w:rsidRPr="000B62B5">
        <w:t>107</w:t>
      </w:r>
      <w:r w:rsidRPr="000B62B5">
        <w:fldChar w:fldCharType="end"/>
      </w:r>
      <w:r>
        <w:t>-</w:t>
      </w:r>
      <w:r w:rsidRPr="000B62B5">
        <w:fldChar w:fldCharType="begin"/>
      </w:r>
      <w:r w:rsidRPr="000B62B5">
        <w:instrText xml:space="preserve"> REF  RLF_PCIA_s_26_2_3 \h  \* MERGEFORMAT </w:instrText>
      </w:r>
      <w:r w:rsidRPr="000B62B5">
        <w:fldChar w:fldCharType="separate"/>
      </w:r>
      <w:r w:rsidR="000B62B5" w:rsidRPr="000B62B5">
        <w:t>109</w:t>
      </w:r>
      <w:r w:rsidRPr="000B62B5">
        <w:fldChar w:fldCharType="end"/>
      </w:r>
      <w:r>
        <w:t>). Potrivit Agenției, refuzul de a divulga informațiile solicitate de reclamanți a fost justificat, având în vedere că intrau sub incidența acestui punct. În măsura în care includeau datele cu caracter personal ale altor persoane, aceste informații nu puteau fi divulgate decât autorităților însărcinate cu protejarea securității naționale, autorităților judiciare, în scopul instrumentării unei anumite cauze penale, sau autorităților străine (dacă acest lucru era necesar în temeiul unui tratat internațional la care Bulgaria era parte).</w:t>
      </w:r>
    </w:p>
    <w:bookmarkStart w:id="34" w:name="F_1_inf_req_jud_rev_claim_separate_jr_c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w:t>
      </w:r>
      <w:r w:rsidRPr="000B62B5">
        <w:fldChar w:fldCharType="end"/>
      </w:r>
      <w:bookmarkEnd w:id="34"/>
      <w:r>
        <w:t>. O lună mai târziu, în noiembrie 2021, domnul Kanev a introdus o acțiune separată având ca obiect controlul jurisdicțional al punctului 14 din anexa la ordinul menționat mai sus (a se vedea infra, pct. </w:t>
      </w:r>
      <w:r w:rsidRPr="000B62B5">
        <w:fldChar w:fldCharType="begin"/>
      </w:r>
      <w:r w:rsidRPr="000B62B5">
        <w:instrText xml:space="preserve"> REF  F_p14_claim \h  \* MERGEFORMAT </w:instrText>
      </w:r>
      <w:r w:rsidRPr="000B62B5">
        <w:fldChar w:fldCharType="separate"/>
      </w:r>
      <w:r w:rsidR="000B62B5" w:rsidRPr="000B62B5">
        <w:t>32</w:t>
      </w:r>
      <w:r w:rsidRPr="000B62B5">
        <w:fldChar w:fldCharType="end"/>
      </w:r>
      <w:r>
        <w:t>-</w:t>
      </w:r>
      <w:r w:rsidRPr="000B62B5">
        <w:fldChar w:fldCharType="begin"/>
      </w:r>
      <w:r w:rsidRPr="000B62B5">
        <w:instrText xml:space="preserve"> REF  F_p14_SCAC_Mar_2024_appeal \h  \* MERGEFORMAT </w:instrText>
      </w:r>
      <w:r w:rsidRPr="000B62B5">
        <w:fldChar w:fldCharType="separate"/>
      </w:r>
      <w:r w:rsidR="000B62B5" w:rsidRPr="000B62B5">
        <w:t>39</w:t>
      </w:r>
      <w:r w:rsidRPr="000B62B5">
        <w:fldChar w:fldCharType="end"/>
      </w:r>
      <w:r>
        <w:t>).</w:t>
      </w:r>
    </w:p>
    <w:bookmarkStart w:id="35" w:name="F_1_inf_req_jud_rev_claim_evidence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w:t>
      </w:r>
      <w:r w:rsidRPr="000B62B5">
        <w:fldChar w:fldCharType="end"/>
      </w:r>
      <w:bookmarkEnd w:id="35"/>
      <w:r>
        <w:t>. Tribunalul Administrativ al Orașului Sofia nu a dispus ca Agenția să prezinte date referitoare la domnul Kanev [astfel cum solicitase acesta – a se vedea supra, pct. </w:t>
      </w:r>
      <w:r w:rsidRPr="000B62B5">
        <w:fldChar w:fldCharType="begin"/>
      </w:r>
      <w:r w:rsidRPr="000B62B5">
        <w:instrText xml:space="preserve"> REF  F_1_inf_req_jud_rev_claim_ter \h  \* MERGEFORMAT </w:instrText>
      </w:r>
      <w:r w:rsidRPr="000B62B5">
        <w:fldChar w:fldCharType="separate"/>
      </w:r>
      <w:r w:rsidR="000B62B5" w:rsidRPr="000B62B5">
        <w:t>14</w:t>
      </w:r>
      <w:r w:rsidRPr="000B62B5">
        <w:fldChar w:fldCharType="end"/>
      </w:r>
      <w:r>
        <w:t> (</w:t>
      </w:r>
      <w:r w:rsidRPr="000B62B5">
        <w:fldChar w:fldCharType="begin"/>
      </w:r>
      <w:r w:rsidRPr="000B62B5">
        <w:instrText xml:space="preserve"> REF  F_1_inf_req_jud_rev_claim_ter_b \h  \* MERGEFORMAT </w:instrText>
      </w:r>
      <w:r w:rsidRPr="000B62B5">
        <w:fldChar w:fldCharType="separate"/>
      </w:r>
      <w:r w:rsidR="000B62B5" w:rsidRPr="000B62B5">
        <w:t>b</w:t>
      </w:r>
      <w:r w:rsidRPr="000B62B5">
        <w:fldChar w:fldCharType="end"/>
      </w:r>
      <w:r>
        <w:t>)], iar Agenția nu a făcut acest lucru.</w:t>
      </w:r>
    </w:p>
    <w:bookmarkStart w:id="36" w:name="F_1_inf_req_jud_rev_claim_add_subm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w:t>
      </w:r>
      <w:r w:rsidRPr="000B62B5">
        <w:fldChar w:fldCharType="end"/>
      </w:r>
      <w:bookmarkEnd w:id="36"/>
      <w:r>
        <w:t>. În observațiile sale scrise suplimentare, domnul Kanev a susținut în special că refuzul Agenției de a divulga informațiile pe care le solicitase nu a fost justificat în mod corespunzător, prin referire la impedimente specifice în calea divulgării acestora. De asemenea, a reiterat că, potrivit legii, informațiile marcate ca „secrete de serviciu” puteau să rămână clasificate doar o perioadă de șase luni și că Agenția nu a precizat când a început să curgă acest termen în cazul său.</w:t>
      </w:r>
    </w:p>
    <w:p w:rsidR="00DE4BFE" w:rsidRPr="000B62B5" w:rsidRDefault="00E34145" w:rsidP="000B62B5">
      <w:pPr>
        <w:pStyle w:val="JuHa0"/>
      </w:pPr>
      <w:bookmarkStart w:id="37" w:name="_Toc176454112"/>
      <w:bookmarkStart w:id="38" w:name="_Toc236764710"/>
      <w:r>
        <w:t>Hotărârea Tribunalului Administrativ al orașului Sofia</w:t>
      </w:r>
      <w:bookmarkEnd w:id="37"/>
      <w:bookmarkEnd w:id="38"/>
    </w:p>
    <w:bookmarkStart w:id="39" w:name="F_1_inf_req_jud_rev_claim_SCAC_ju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w:t>
      </w:r>
      <w:r w:rsidRPr="000B62B5">
        <w:fldChar w:fldCharType="end"/>
      </w:r>
      <w:bookmarkEnd w:id="39"/>
      <w:r>
        <w:t>. În noiembrie 2021, Tribunalul Administrativ al Orașului Sofia a respins acțiunea în control jurisdicțional. Acesta a subliniat că articolul 15 alineatul (1) din Regulamentul general privind protecția datelor (a se vedea infra, pct. </w:t>
      </w:r>
      <w:r w:rsidRPr="000B62B5">
        <w:fldChar w:fldCharType="begin"/>
      </w:r>
      <w:r w:rsidRPr="000B62B5">
        <w:instrText xml:space="preserve"> REF  REUL_GDPR \h  \* MERGEFORMAT </w:instrText>
      </w:r>
      <w:r w:rsidRPr="000B62B5">
        <w:fldChar w:fldCharType="separate"/>
      </w:r>
      <w:r w:rsidR="000B62B5" w:rsidRPr="000B62B5">
        <w:t>132</w:t>
      </w:r>
      <w:r w:rsidRPr="000B62B5">
        <w:fldChar w:fldCharType="end"/>
      </w:r>
      <w:r>
        <w:t xml:space="preserve"> și </w:t>
      </w:r>
      <w:r w:rsidRPr="000B62B5">
        <w:fldChar w:fldCharType="begin"/>
      </w:r>
      <w:r w:rsidRPr="000B62B5">
        <w:instrText xml:space="preserve"> REF  REUL_GDPR_A_15_1_a_rec_63 \h  \* MERGEFORMAT </w:instrText>
      </w:r>
      <w:r w:rsidRPr="000B62B5">
        <w:fldChar w:fldCharType="separate"/>
      </w:r>
      <w:r w:rsidR="000B62B5" w:rsidRPr="000B62B5">
        <w:t>137</w:t>
      </w:r>
      <w:r w:rsidRPr="000B62B5">
        <w:fldChar w:fldCharType="end"/>
      </w:r>
      <w:r>
        <w:t>) consacră dreptul de acces la datele cu caracter personal, dar că, în temeiul articolului 37a din Legea din 2002 privind protecția datelor cu caracter personal (a se vedea infra, pct. </w:t>
      </w:r>
      <w:r w:rsidRPr="000B62B5">
        <w:fldChar w:fldCharType="begin"/>
      </w:r>
      <w:r w:rsidRPr="000B62B5">
        <w:instrText xml:space="preserve"> REF  RLF_PPDA_right_access_GDPR_lim \h  \* MERGEFORMAT </w:instrText>
      </w:r>
      <w:r w:rsidRPr="000B62B5">
        <w:fldChar w:fldCharType="separate"/>
      </w:r>
      <w:r w:rsidR="000B62B5" w:rsidRPr="000B62B5">
        <w:t>92</w:t>
      </w:r>
      <w:r w:rsidRPr="000B62B5">
        <w:fldChar w:fldCharType="end"/>
      </w:r>
      <w:r>
        <w:t>), acest drept putea fi restrâns prin lege. Legea care prevedea restrângerea dreptului de acces în cazul de față era articolul 36 alineatul (7) din Legea din 2007 (a se vedea infra, pct. </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 xml:space="preserve">), care enumera cinci motive pentru care Agenția putea refuza să acorde acces la datele cu caracter personal. Printre acestea se număra protejarea „secretelor de stat” și a „secretelor de serviciu”, a surselor informațiilor și a metodelor sau tehnicilor secrete de colectare a acestora. Informațiile solicitate de domnul Kanev puteau fi considerate ca făcând parte din categoria „secretului de serviciu”, astfel cum este definit la </w:t>
      </w:r>
      <w:r>
        <w:lastRenderedPageBreak/>
        <w:t>punctul 14 din anexa la ordinul menționat la punctul </w:t>
      </w:r>
      <w:r w:rsidRPr="000B62B5">
        <w:fldChar w:fldCharType="begin"/>
      </w:r>
      <w:r w:rsidRPr="000B62B5">
        <w:instrText xml:space="preserve"> REF  F_1_inf_req_jud_rev_claim_evidence_order \h  \* MERGEFORMAT </w:instrText>
      </w:r>
      <w:r w:rsidRPr="000B62B5">
        <w:fldChar w:fldCharType="separate"/>
      </w:r>
      <w:r w:rsidR="000B62B5" w:rsidRPr="000B62B5">
        <w:t>15</w:t>
      </w:r>
      <w:r w:rsidRPr="000B62B5">
        <w:fldChar w:fldCharType="end"/>
      </w:r>
      <w:r>
        <w:t xml:space="preserve"> de mai sus (a cărui legalitate nu a putut fi controlată de instanță în cadrul acestor proceduri). Rămânea la latitudinea Agenției să aprecieze dacă divulgarea acestor informații putea să compromită informațiile clasificate sau activitatea sa. Acesta era motivul pentru care articolul 36 alineatul (8) din Legea din 2007 (a se vedea infra, pct. </w:t>
      </w:r>
      <w:r w:rsidRPr="000B62B5">
        <w:fldChar w:fldCharType="begin"/>
      </w:r>
      <w:r w:rsidRPr="000B62B5">
        <w:instrText xml:space="preserve"> REF  RLF_SANSA_s_36_8 \h  \* MERGEFORMAT </w:instrText>
      </w:r>
      <w:r w:rsidRPr="000B62B5">
        <w:fldChar w:fldCharType="separate"/>
      </w:r>
      <w:r w:rsidR="000B62B5" w:rsidRPr="000B62B5">
        <w:t>71</w:t>
      </w:r>
      <w:r w:rsidRPr="000B62B5">
        <w:fldChar w:fldCharType="end"/>
      </w:r>
      <w:r>
        <w:t>) impunea ca Agenția să prezinte doar motivele de drept pentru refuzul său de a divulga astfel de informații. În măsura în care cererea se referea la informatori ai Agenției, aceasta era pe deplin justificată să o refuze, întrucât nu putea divulga astfel de informații altor autorități decât în circumstanțe limitate (</w:t>
      </w:r>
      <w:r>
        <w:rPr>
          <w:i/>
        </w:rPr>
        <w:t>реш. № 6820 от 19.11.2021 г. по адм. д. № 8299/2021 г., АС-София-град</w:t>
      </w:r>
      <w:r>
        <w:t>).</w:t>
      </w:r>
    </w:p>
    <w:p w:rsidR="00DE4BFE" w:rsidRPr="000B62B5" w:rsidRDefault="00E34145" w:rsidP="000B62B5">
      <w:pPr>
        <w:pStyle w:val="JuH1"/>
      </w:pPr>
      <w:bookmarkStart w:id="40" w:name="_Toc176454113"/>
      <w:bookmarkStart w:id="41" w:name="_Toc236764711"/>
      <w:r>
        <w:t>Procedura de apel în fața Curții Administrative Supreme</w:t>
      </w:r>
      <w:bookmarkEnd w:id="40"/>
      <w:bookmarkEnd w:id="41"/>
    </w:p>
    <w:p w:rsidR="00DE4BFE" w:rsidRPr="000B62B5" w:rsidRDefault="00E34145" w:rsidP="000B62B5">
      <w:pPr>
        <w:pStyle w:val="JuHa0"/>
      </w:pPr>
      <w:bookmarkStart w:id="42" w:name="_Toc176454114"/>
      <w:bookmarkStart w:id="43" w:name="_Toc236764712"/>
      <w:r>
        <w:t>Desfășurarea procedurii</w:t>
      </w:r>
      <w:bookmarkEnd w:id="42"/>
      <w:bookmarkEnd w:id="43"/>
    </w:p>
    <w:bookmarkStart w:id="44" w:name="F_1_inf_req_jud_rev_claim_appea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w:t>
      </w:r>
      <w:r w:rsidRPr="000B62B5">
        <w:fldChar w:fldCharType="end"/>
      </w:r>
      <w:bookmarkEnd w:id="44"/>
      <w:r>
        <w:t>. Domnul Kanev a formulat apel împotriva hotărârii Tribunalului Administrativ al Orașului Sofia, acționând din nou atât în numele său, cât și în numele Comitetului.</w:t>
      </w:r>
    </w:p>
    <w:bookmarkStart w:id="45" w:name="F_1_inf_req_jud_rev_claim_appeal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w:t>
      </w:r>
      <w:r w:rsidRPr="000B62B5">
        <w:fldChar w:fldCharType="end"/>
      </w:r>
      <w:bookmarkEnd w:id="45"/>
      <w:r>
        <w:t>. Domnul Kanev a susținut în special că nu era clar motivul pentru care informațiile pe care le solicitase trebuiau considerate „secrete de serviciu”. Datele cu caracter personal nu puteau fi informații clasificate, întrucât acest lucru ar lipsi de efect dreptul legal de a obține acces la astfel de date. Legea din 2002 privind protecția datelor cu caracter personal (a se vedea infra, pct. </w:t>
      </w:r>
      <w:r w:rsidRPr="000B62B5">
        <w:fldChar w:fldCharType="begin"/>
      </w:r>
      <w:r w:rsidRPr="000B62B5">
        <w:instrText xml:space="preserve"> REF  RLF_PPDA \h  \* MERGEFORMAT </w:instrText>
      </w:r>
      <w:r w:rsidRPr="000B62B5">
        <w:fldChar w:fldCharType="separate"/>
      </w:r>
      <w:r w:rsidR="000B62B5" w:rsidRPr="000B62B5">
        <w:t>84</w:t>
      </w:r>
      <w:r w:rsidRPr="000B62B5">
        <w:fldChar w:fldCharType="end"/>
      </w:r>
      <w:r>
        <w:t>-</w:t>
      </w:r>
      <w:r w:rsidRPr="000B62B5">
        <w:fldChar w:fldCharType="begin"/>
      </w:r>
      <w:r w:rsidRPr="000B62B5">
        <w:instrText xml:space="preserve"> REF  RLF_PPDA_remedies_LED \h  \* MERGEFORMAT </w:instrText>
      </w:r>
      <w:r w:rsidRPr="000B62B5">
        <w:fldChar w:fldCharType="separate"/>
      </w:r>
      <w:r w:rsidR="000B62B5" w:rsidRPr="000B62B5">
        <w:t>105</w:t>
      </w:r>
      <w:r w:rsidRPr="000B62B5">
        <w:fldChar w:fldCharType="end"/>
      </w:r>
      <w:r>
        <w:t>) consacra dreptul absolut al persoanelor vizate de a obține, din partea operatorilor de date, confirmarea faptului că datele lor cu caracter personal erau prelucrate, precum și informații cu privire la scopurile prelucrării respective; Agenția nu a ținut seama deloc de această lege. De asemenea, a rămas neclar care dintre cele cinci motive enumerate la articolul 36 alineatul (7) din Legea din 2007 (a se vedea infra, pct. </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 a stat la baza refuzului Agenției de a divulga informațiile pe care le solicitase. Domnul Kanev a reiterat, de asemenea, că informațiile marcate ca „secrete de serviciu” puteau să rămână clasificate doar o perioadă de șase luni și că Agenția nu a explicat când a început să curgă acest termen în cazul său. În continuare, a susținut că, Tribunalul Administrativ al orașului Sofia a încălcat regulile de procedură ca urmare a faptului că nu a dispus ca Agenția să prezinte datele cu caracter personal care îl priveau și pe care aceasta le prelucra, și ca urmare a faptului că, ulterior, această instanță s-a pronunțat cu privire la aspectul dacă refuzul de a divulga aceste date fusese justificat abia după ce le-a văzut [a se vedea supra, pct. </w:t>
      </w:r>
      <w:r w:rsidRPr="000B62B5">
        <w:fldChar w:fldCharType="begin"/>
      </w:r>
      <w:r w:rsidRPr="000B62B5">
        <w:instrText xml:space="preserve"> REF  F_1_inf_req_jud_rev_claim_ter \h  \* MERGEFORMAT </w:instrText>
      </w:r>
      <w:r w:rsidRPr="000B62B5">
        <w:fldChar w:fldCharType="separate"/>
      </w:r>
      <w:r w:rsidR="000B62B5" w:rsidRPr="000B62B5">
        <w:t>14</w:t>
      </w:r>
      <w:r w:rsidRPr="000B62B5">
        <w:fldChar w:fldCharType="end"/>
      </w:r>
      <w:r>
        <w:t xml:space="preserve"> (</w:t>
      </w:r>
      <w:r w:rsidRPr="000B62B5">
        <w:fldChar w:fldCharType="begin"/>
      </w:r>
      <w:r w:rsidRPr="000B62B5">
        <w:instrText xml:space="preserve"> REF  F_1_inf_req_jud_rev_claim_ter_b \h  \* MERGEFORMAT </w:instrText>
      </w:r>
      <w:r w:rsidRPr="000B62B5">
        <w:fldChar w:fldCharType="separate"/>
      </w:r>
      <w:r w:rsidR="000B62B5" w:rsidRPr="000B62B5">
        <w:t>b</w:t>
      </w:r>
      <w:r w:rsidRPr="000B62B5">
        <w:fldChar w:fldCharType="end"/>
      </w:r>
      <w:r>
        <w:t xml:space="preserve">) și </w:t>
      </w:r>
      <w:r w:rsidRPr="000B62B5">
        <w:fldChar w:fldCharType="begin"/>
      </w:r>
      <w:r w:rsidRPr="000B62B5">
        <w:instrText xml:space="preserve"> REF  F_1_inf_req_jud_rev_claim_evidence_bis \h  \* MERGEFORMAT </w:instrText>
      </w:r>
      <w:r w:rsidRPr="000B62B5">
        <w:fldChar w:fldCharType="separate"/>
      </w:r>
      <w:r w:rsidR="000B62B5" w:rsidRPr="000B62B5">
        <w:t>17</w:t>
      </w:r>
      <w:r w:rsidRPr="000B62B5">
        <w:fldChar w:fldCharType="end"/>
      </w:r>
      <w:r>
        <w:t>]. În sfârșit, domnul Kanev a făcut referire la jurisprudența Curții în temeiul art. 8 din Convenție, referitoare la protecția datelor cu caracter personal (inclusiv prelucrarea acestor date de către agențiile de securitate) și la supravegherea secretă.</w:t>
      </w:r>
    </w:p>
    <w:bookmarkStart w:id="46" w:name="F_1_inf_req_jud_rev_claim_appeal_stay_rq"/>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w:t>
      </w:r>
      <w:r w:rsidRPr="000B62B5">
        <w:fldChar w:fldCharType="end"/>
      </w:r>
      <w:bookmarkEnd w:id="46"/>
      <w:r>
        <w:t xml:space="preserve">. La sfârșitul lunii iunie 2022, domnul Kanev a solicitat Curții Administrative Supreme să suspende procedura până la soluționarea cererii sale de control jurisdicțional al punctului 14 din anexa la ordinul menționat la punctul </w:t>
      </w:r>
      <w:r w:rsidRPr="000B62B5">
        <w:fldChar w:fldCharType="begin"/>
      </w:r>
      <w:r w:rsidRPr="000B62B5">
        <w:instrText xml:space="preserve"> REF  F_1_inf_req_jud_rev_claim_evidence_order \h  \* MERGEFORMAT </w:instrText>
      </w:r>
      <w:r w:rsidRPr="000B62B5">
        <w:fldChar w:fldCharType="separate"/>
      </w:r>
      <w:r w:rsidR="000B62B5" w:rsidRPr="000B62B5">
        <w:t>15</w:t>
      </w:r>
      <w:r w:rsidRPr="000B62B5">
        <w:fldChar w:fldCharType="end"/>
      </w:r>
      <w:r>
        <w:t xml:space="preserve"> de mai sus. La momentul respectiv, această procedură era pendinte în apel, în fața unui complet de cinci judecători din cadrul aceleiași instanțe (a se vedea infra, pct. </w:t>
      </w:r>
      <w:r w:rsidRPr="000B62B5">
        <w:fldChar w:fldCharType="begin"/>
      </w:r>
      <w:r w:rsidRPr="000B62B5">
        <w:instrText xml:space="preserve"> REF  F_p14_SAC_Jun_2022 \h  \* MERGEFORMAT </w:instrText>
      </w:r>
      <w:r w:rsidRPr="000B62B5">
        <w:fldChar w:fldCharType="separate"/>
      </w:r>
      <w:r w:rsidR="000B62B5" w:rsidRPr="000B62B5">
        <w:t>33</w:t>
      </w:r>
      <w:r w:rsidRPr="000B62B5">
        <w:fldChar w:fldCharType="end"/>
      </w:r>
      <w:r>
        <w:t>-</w:t>
      </w:r>
      <w:r w:rsidRPr="000B62B5">
        <w:fldChar w:fldCharType="begin"/>
      </w:r>
      <w:r w:rsidRPr="000B62B5">
        <w:instrText xml:space="preserve"> REF  F_p14_SAC_Dec_2022 \h  \* MERGEFORMAT </w:instrText>
      </w:r>
      <w:r w:rsidRPr="000B62B5">
        <w:fldChar w:fldCharType="separate"/>
      </w:r>
      <w:r w:rsidR="000B62B5" w:rsidRPr="000B62B5">
        <w:t>34</w:t>
      </w:r>
      <w:r w:rsidRPr="000B62B5">
        <w:fldChar w:fldCharType="end"/>
      </w:r>
      <w:r>
        <w:t>)</w:t>
      </w:r>
    </w:p>
    <w:p w:rsidR="00DE4BFE" w:rsidRPr="000B62B5" w:rsidRDefault="00E34145" w:rsidP="000B62B5">
      <w:pPr>
        <w:pStyle w:val="JuHa0"/>
      </w:pPr>
      <w:bookmarkStart w:id="47" w:name="_Toc176454115"/>
      <w:bookmarkStart w:id="48" w:name="_Toc236764713"/>
      <w:r>
        <w:t>Hotărârea Curții Administrative Supreme</w:t>
      </w:r>
      <w:bookmarkEnd w:id="47"/>
      <w:bookmarkEnd w:id="48"/>
    </w:p>
    <w:bookmarkStart w:id="49" w:name="F_1_inf_req_jud_rev_claim_SAC_ju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w:t>
      </w:r>
      <w:r w:rsidRPr="000B62B5">
        <w:fldChar w:fldCharType="end"/>
      </w:r>
      <w:bookmarkEnd w:id="49"/>
      <w:r>
        <w:t>. Printr-o hotărâre definitivă din 6 iulie 2022 (</w:t>
      </w:r>
      <w:r>
        <w:rPr>
          <w:i/>
        </w:rPr>
        <w:t>реш. № 6724 от 06.07.2022 г. по адм. д. № 2157/2022 г., ВАС, V о.</w:t>
      </w:r>
      <w:r>
        <w:t>), Curtea Administrativă Supremă a confirmat hotărârea Tribunalului Administrativ al orașului Sofia.</w:t>
      </w:r>
    </w:p>
    <w:bookmarkStart w:id="50" w:name="F_1_inf_req_jud_rev_claim_SAC_jud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w:t>
      </w:r>
      <w:r w:rsidRPr="000B62B5">
        <w:fldChar w:fldCharType="end"/>
      </w:r>
      <w:bookmarkEnd w:id="50"/>
      <w:r>
        <w:t>. Aceasta a constatat că faptul că instanța respectivă nu a dispus ca Agenția să prezinte informațiile solicitate de domnul Kanev [a se vedea supra, pct. </w:t>
      </w:r>
      <w:r w:rsidRPr="000B62B5">
        <w:fldChar w:fldCharType="begin"/>
      </w:r>
      <w:r w:rsidRPr="000B62B5">
        <w:instrText xml:space="preserve"> REF  F_1_inf_req_jud_rev_claim_ter \h  \* MERGEFORMAT </w:instrText>
      </w:r>
      <w:r w:rsidRPr="000B62B5">
        <w:fldChar w:fldCharType="separate"/>
      </w:r>
      <w:r w:rsidR="000B62B5" w:rsidRPr="000B62B5">
        <w:t>14</w:t>
      </w:r>
      <w:r w:rsidRPr="000B62B5">
        <w:fldChar w:fldCharType="end"/>
      </w:r>
      <w:r>
        <w:t xml:space="preserve"> (</w:t>
      </w:r>
      <w:r w:rsidRPr="000B62B5">
        <w:fldChar w:fldCharType="begin"/>
      </w:r>
      <w:r w:rsidRPr="000B62B5">
        <w:instrText xml:space="preserve"> REF  F_1_inf_req_jud_rev_claim_ter_b \h  \* MERGEFORMAT </w:instrText>
      </w:r>
      <w:r w:rsidRPr="000B62B5">
        <w:fldChar w:fldCharType="separate"/>
      </w:r>
      <w:r w:rsidR="000B62B5" w:rsidRPr="000B62B5">
        <w:t>b</w:t>
      </w:r>
      <w:r w:rsidRPr="000B62B5">
        <w:fldChar w:fldCharType="end"/>
      </w:r>
      <w:r>
        <w:t xml:space="preserve">) și </w:t>
      </w:r>
      <w:r w:rsidRPr="000B62B5">
        <w:fldChar w:fldCharType="begin"/>
      </w:r>
      <w:r w:rsidRPr="000B62B5">
        <w:instrText xml:space="preserve"> REF  F_1_inf_req_jud_rev_claim_evidence_bis \h  \* MERGEFORMAT </w:instrText>
      </w:r>
      <w:r w:rsidRPr="000B62B5">
        <w:fldChar w:fldCharType="separate"/>
      </w:r>
      <w:r w:rsidR="000B62B5" w:rsidRPr="000B62B5">
        <w:t>17</w:t>
      </w:r>
      <w:r w:rsidRPr="000B62B5">
        <w:fldChar w:fldCharType="end"/>
      </w:r>
      <w:r>
        <w:t xml:space="preserve">] era pe deplin conform cu regulile de procedură, întrucât întreaga cauză avea ca obiect, în esență, tocmai aspectul dacă aceste informații trebuiau sau nu divulgate – în timp ce domnul Kanev încercase </w:t>
      </w:r>
      <w:r>
        <w:lastRenderedPageBreak/>
        <w:t>efectiv să obțină divulgarea lor prin intermediul acestei cereri de obținere de probe. În cadrul unei proceduri de control jurisdicțional al refuzului Agenției de a divulga astfel de informații, instanțele nu trebuiau decât să aprecieze legalitatea acestui refuz.</w:t>
      </w:r>
    </w:p>
    <w:bookmarkStart w:id="51" w:name="F_1_inf_req_jud_rev_claim_SAC_jud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w:t>
      </w:r>
      <w:r w:rsidRPr="000B62B5">
        <w:fldChar w:fldCharType="end"/>
      </w:r>
      <w:bookmarkEnd w:id="51"/>
      <w:r>
        <w:t>. Curtea Administrativă Supremă a subliniat că, în exercitarea sarcinilor sale statutare de prelucrare a informațiilor, Agenția putea să prelucreze date cu caracter personal (a se vedea infra, pct. </w:t>
      </w:r>
      <w:r w:rsidRPr="000B62B5">
        <w:fldChar w:fldCharType="begin"/>
      </w:r>
      <w:r w:rsidRPr="000B62B5">
        <w:instrText xml:space="preserve"> REF RLF_SANSA_s_28_1_29_1_2 \h \* MERGEFORMAT </w:instrText>
      </w:r>
      <w:r w:rsidRPr="000B62B5">
        <w:fldChar w:fldCharType="separate"/>
      </w:r>
      <w:r w:rsidR="000B62B5" w:rsidRPr="000B62B5">
        <w:t>60</w:t>
      </w:r>
      <w:r w:rsidRPr="000B62B5">
        <w:fldChar w:fldCharType="end"/>
      </w:r>
      <w:r>
        <w:t>). Legea din 2007 nu definea „datele cu caracter personal”, dar definiția termenului putea fi găsită la articolul 4 alineatul (1) din Regulamentul (UE) 2016/679 privind protecția persoanelor fizice în ceea ce privește prelucrarea datelor cu caracter personal și privind libera circulație a acestor date („Regulamentul general privind protecția datelor” – „RGPD”) (a se vedea infra, pct. </w:t>
      </w:r>
      <w:r w:rsidRPr="000B62B5">
        <w:fldChar w:fldCharType="begin"/>
      </w:r>
      <w:r w:rsidRPr="000B62B5">
        <w:instrText xml:space="preserve"> REF REUL_GDPR \h \* MERGEFORMAT </w:instrText>
      </w:r>
      <w:r w:rsidRPr="000B62B5">
        <w:fldChar w:fldCharType="separate"/>
      </w:r>
      <w:r w:rsidR="000B62B5" w:rsidRPr="000B62B5">
        <w:t>132</w:t>
      </w:r>
      <w:r w:rsidRPr="000B62B5">
        <w:fldChar w:fldCharType="end"/>
      </w:r>
      <w:r>
        <w:t>-</w:t>
      </w:r>
      <w:r w:rsidRPr="000B62B5">
        <w:fldChar w:fldCharType="begin"/>
      </w:r>
      <w:r w:rsidRPr="000B62B5">
        <w:instrText xml:space="preserve"> REF REUL_GDPR_A_4_1 \h \* MERGEFORMAT </w:instrText>
      </w:r>
      <w:r w:rsidRPr="000B62B5">
        <w:fldChar w:fldCharType="separate"/>
      </w:r>
      <w:r w:rsidR="000B62B5" w:rsidRPr="000B62B5">
        <w:t>133</w:t>
      </w:r>
      <w:r w:rsidRPr="000B62B5">
        <w:fldChar w:fldCharType="end"/>
      </w:r>
      <w:r>
        <w:t>). În temeiul articolului 36 alineatul (4) din Legea din 2007 (a se vedea infra, pct.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 orice persoană putea solicita accesul la datele cu caracter personal care o priveau și care erau prelucrate în bazele de date ale Agenției fără cunoștința sa. Cu toate acestea, cererea adresată de domnul Kanev Agenției se referea, de fapt, mai degrabă la metodele sale de colectare a informațiilor decât la orice fel de date cu caracter personal colectate de aceasta. Astfel cum a precizat Agenția în răspunsul său adresat domnului Kanev, informațiile cu privire la aceste metode erau clasificate și, prin urmare, Agenția a refuzat în mod întemeiat să le divulge. În ceea ce privește în mod specific „mijloacele speciale de supraveghere”, Biroul Național era singura autoritate care putea să dezvăluie dacă au fost sau nu folosite astfel de mijloace [a se vedea supra, pct. </w:t>
      </w:r>
      <w:r w:rsidRPr="000B62B5">
        <w:fldChar w:fldCharType="begin"/>
      </w:r>
      <w:r w:rsidRPr="000B62B5">
        <w:instrText xml:space="preserve"> REF  F_background \h  \* MERGEFORMAT </w:instrText>
      </w:r>
      <w:r w:rsidRPr="000B62B5">
        <w:fldChar w:fldCharType="separate"/>
      </w:r>
      <w:r w:rsidR="000B62B5" w:rsidRPr="000B62B5">
        <w:t>5</w:t>
      </w:r>
      <w:r w:rsidRPr="000B62B5">
        <w:fldChar w:fldCharType="end"/>
      </w:r>
      <w:r>
        <w:t>, și infra, pct. </w:t>
      </w:r>
      <w:r w:rsidRPr="000B62B5">
        <w:fldChar w:fldCharType="begin"/>
      </w:r>
      <w:r w:rsidRPr="000B62B5">
        <w:instrText xml:space="preserve"> REF  RLF_SSMA \h  \* MERGEFORMAT </w:instrText>
      </w:r>
      <w:r w:rsidRPr="000B62B5">
        <w:fldChar w:fldCharType="separate"/>
      </w:r>
      <w:r w:rsidR="000B62B5" w:rsidRPr="000B62B5">
        <w:t>82</w:t>
      </w:r>
      <w:r w:rsidRPr="000B62B5">
        <w:fldChar w:fldCharType="end"/>
      </w:r>
      <w:r>
        <w:t xml:space="preserve"> (</w:t>
      </w:r>
      <w:r w:rsidRPr="000B62B5">
        <w:fldChar w:fldCharType="begin"/>
      </w:r>
      <w:r w:rsidRPr="000B62B5">
        <w:instrText xml:space="preserve"> REF  RLF_SSMA_oversight \h  \* MERGEFORMAT </w:instrText>
      </w:r>
      <w:r w:rsidRPr="000B62B5">
        <w:fldChar w:fldCharType="separate"/>
      </w:r>
      <w:r w:rsidR="000B62B5" w:rsidRPr="000B62B5">
        <w:t>d</w:t>
      </w:r>
      <w:r w:rsidRPr="000B62B5">
        <w:fldChar w:fldCharType="end"/>
      </w:r>
      <w:r>
        <w:t>)]. Având în vedere că domnul Kanev a avut posibilitatea să se adreseze el însuși Biroului, nu se poate considera că refuzul Agenției de a divulga informații a încălcat art. 8 din Convenție.</w:t>
      </w:r>
    </w:p>
    <w:bookmarkStart w:id="52" w:name="F_1_inf_req_jud_rev_claim_SAC_jud_qua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w:t>
      </w:r>
      <w:r w:rsidRPr="000B62B5">
        <w:fldChar w:fldCharType="end"/>
      </w:r>
      <w:bookmarkEnd w:id="52"/>
      <w:r>
        <w:t>. În opinia Curții Administrative Supreme, Agenția a procedat corect și în ceea ce privește decizia de a nu dezvălui identitatea persoanei care fusese recrutată de aceasta în calitate de informator. În temeiul articolului 23 alineatul (3) punctul 3 din Legea din 2007 (a se vedea infra, pct. </w:t>
      </w:r>
      <w:r w:rsidRPr="000B62B5">
        <w:fldChar w:fldCharType="begin"/>
      </w:r>
      <w:r w:rsidRPr="000B62B5">
        <w:instrText xml:space="preserve"> REF  RLF_SANSA_SANS_collaborators \h  \* MERGEFORMAT </w:instrText>
      </w:r>
      <w:r w:rsidRPr="000B62B5">
        <w:fldChar w:fldCharType="separate"/>
      </w:r>
      <w:r w:rsidR="000B62B5" w:rsidRPr="000B62B5">
        <w:t>61</w:t>
      </w:r>
      <w:r w:rsidRPr="000B62B5">
        <w:fldChar w:fldCharType="end"/>
      </w:r>
      <w:r>
        <w:t>), identitatea și datele cu caracter personal ale persoanelor care au colaborat cu Agenția trebuiau să rămână secrete. Acestea puteau fi divulgate doar autorităților naționale de securitate sau autorităților judiciare în legătură cu o anumită cauză penală.</w:t>
      </w:r>
    </w:p>
    <w:bookmarkStart w:id="53" w:name="F_1_inf_req_jud_rev_claim_SAC_jud_quinq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w:t>
      </w:r>
      <w:r w:rsidRPr="000B62B5">
        <w:fldChar w:fldCharType="end"/>
      </w:r>
      <w:bookmarkEnd w:id="53"/>
      <w:r>
        <w:t>. În sfârșit, instanța a constatat că nu exista niciun motiv pentru a suspenda procedura în așteptarea soluționării acțiunii în control jurisdicțional al punctului 14 din anexa la ordinul la care se face referire la punctul </w:t>
      </w:r>
      <w:r w:rsidRPr="000B62B5">
        <w:fldChar w:fldCharType="begin"/>
      </w:r>
      <w:r w:rsidRPr="000B62B5">
        <w:instrText xml:space="preserve"> REF  F_1_inf_req_jud_rev_claim_evidence_order \h  \* MERGEFORMAT </w:instrText>
      </w:r>
      <w:r w:rsidRPr="000B62B5">
        <w:fldChar w:fldCharType="separate"/>
      </w:r>
      <w:r w:rsidR="000B62B5" w:rsidRPr="000B62B5">
        <w:t>15</w:t>
      </w:r>
      <w:r w:rsidRPr="000B62B5">
        <w:fldChar w:fldCharType="end"/>
      </w:r>
      <w:r>
        <w:t xml:space="preserve"> de mai sus introdusă de domnul Kanev (a se vedea, de asemenea, infra, pct. </w:t>
      </w:r>
      <w:r w:rsidRPr="000B62B5">
        <w:fldChar w:fldCharType="begin"/>
      </w:r>
      <w:r w:rsidRPr="000B62B5">
        <w:instrText xml:space="preserve"> REF  F_p14_claim \h  \* MERGEFORMAT </w:instrText>
      </w:r>
      <w:r w:rsidRPr="000B62B5">
        <w:fldChar w:fldCharType="separate"/>
      </w:r>
      <w:r w:rsidR="000B62B5" w:rsidRPr="000B62B5">
        <w:t>32</w:t>
      </w:r>
      <w:r w:rsidRPr="000B62B5">
        <w:fldChar w:fldCharType="end"/>
      </w:r>
      <w:r>
        <w:t>-</w:t>
      </w:r>
      <w:r w:rsidRPr="000B62B5">
        <w:fldChar w:fldCharType="begin"/>
      </w:r>
      <w:r w:rsidRPr="000B62B5">
        <w:instrText xml:space="preserve"> REF  F_p14_SCAC_Mar_2024_appeal \h  \* MERGEFORMAT </w:instrText>
      </w:r>
      <w:r w:rsidRPr="000B62B5">
        <w:fldChar w:fldCharType="separate"/>
      </w:r>
      <w:r w:rsidR="000B62B5" w:rsidRPr="000B62B5">
        <w:t>39</w:t>
      </w:r>
      <w:r w:rsidRPr="000B62B5">
        <w:fldChar w:fldCharType="end"/>
      </w:r>
      <w:r>
        <w:t>). Această soluționare nu putea să afecteze legalitatea refuzului Agenției de a divulga informațiile solicitate de domnul Kanev întrucât Agenția însăși nu a făcut referire la această dispoziție atunci când i-a respins cererea; doar instanța inferioară a făcut referire la respectiva dispoziție, ceea ce a fost o eroare – care însă nu a afectat corectitudinea globală a hotărârii instanței inferioare.</w:t>
      </w:r>
    </w:p>
    <w:p w:rsidR="00DE4BFE" w:rsidRPr="000B62B5" w:rsidRDefault="00E34145" w:rsidP="000B62B5">
      <w:pPr>
        <w:pStyle w:val="JuHIRoman"/>
      </w:pPr>
      <w:bookmarkStart w:id="54" w:name="_Toc176454116"/>
      <w:bookmarkStart w:id="55" w:name="_Toc236764714"/>
      <w:r>
        <w:t>CEREREA ADRESATĂ BIROULUI NAȚIONAL</w:t>
      </w:r>
      <w:bookmarkEnd w:id="54"/>
      <w:bookmarkEnd w:id="55"/>
    </w:p>
    <w:bookmarkStart w:id="56" w:name="F_NB_req"/>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w:t>
      </w:r>
      <w:r w:rsidRPr="000B62B5">
        <w:fldChar w:fldCharType="end"/>
      </w:r>
      <w:bookmarkEnd w:id="56"/>
      <w:r>
        <w:t>. În iunie 2021, concomitent cu cererea sa de informații adresată Agenției (a se vedea supra, pct. </w:t>
      </w:r>
      <w:r w:rsidRPr="000B62B5">
        <w:fldChar w:fldCharType="begin"/>
      </w:r>
      <w:r w:rsidRPr="000B62B5">
        <w:instrText xml:space="preserve"> REF  F_1_inf_req \h  \* MERGEFORMAT </w:instrText>
      </w:r>
      <w:r w:rsidRPr="000B62B5">
        <w:fldChar w:fldCharType="separate"/>
      </w:r>
      <w:r w:rsidR="000B62B5" w:rsidRPr="000B62B5">
        <w:t>6</w:t>
      </w:r>
      <w:r w:rsidRPr="000B62B5">
        <w:fldChar w:fldCharType="end"/>
      </w:r>
      <w:r>
        <w:t>), domnul Kanev a depus la Biroul Național o cerere de informații în care a întrebat dacă, în ultimii zece ani, au fost utilizate „mijloace speciale de supraveghere” în ceea ce îl privea pe el, personal, sau în privința membrilor sau a personalului Comitetului ori a avocaților care acționau în numele acestuia.</w:t>
      </w:r>
    </w:p>
    <w:bookmarkStart w:id="57" w:name="F_NB_req_initial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w:t>
      </w:r>
      <w:r w:rsidRPr="000B62B5">
        <w:fldChar w:fldCharType="end"/>
      </w:r>
      <w:bookmarkEnd w:id="57"/>
      <w:r>
        <w:t>. La jumătatea lunii iunie 2021, Biroul Național i-a solicitat domnului Kanev să își rectifice cererea prin indicarea numărului personal de identificare și a adresei sale. De asemenea, acesta l-a informat că putea verifica dacă au fost utilizate „mijloace speciale de supraveghere” în ceea ce privește membrii, personalul sau avocații Comitetului doar dacă fiecare dintre persoanele în cauză a solicitat astfel de informații în legătură cu propria persoană. În plus, astfel cum se prevede la articolul 34g din Legea din 1997 [a se vedea infra, pct. </w:t>
      </w:r>
      <w:r w:rsidRPr="000B62B5">
        <w:rPr>
          <w:rFonts w:cstheme="minorHAnsi"/>
        </w:rPr>
        <w:fldChar w:fldCharType="begin"/>
      </w:r>
      <w:r w:rsidRPr="000B62B5">
        <w:rPr>
          <w:rFonts w:cstheme="minorHAnsi"/>
        </w:rPr>
        <w:instrText xml:space="preserve"> REF  RLF_SSMA \h  \* MERGEFORMAT </w:instrText>
      </w:r>
      <w:r w:rsidRPr="000B62B5">
        <w:rPr>
          <w:rFonts w:cstheme="minorHAnsi"/>
        </w:rPr>
      </w:r>
      <w:r w:rsidRPr="000B62B5">
        <w:rPr>
          <w:rFonts w:cstheme="minorHAnsi"/>
        </w:rPr>
        <w:fldChar w:fldCharType="separate"/>
      </w:r>
      <w:r w:rsidR="000B62B5" w:rsidRPr="000B62B5">
        <w:t>82</w:t>
      </w:r>
      <w:r w:rsidRPr="000B62B5">
        <w:rPr>
          <w:rFonts w:cstheme="minorHAnsi"/>
        </w:rPr>
        <w:fldChar w:fldCharType="end"/>
      </w:r>
      <w:r>
        <w:t> (</w:t>
      </w:r>
      <w:r w:rsidRPr="000B62B5">
        <w:rPr>
          <w:rFonts w:cstheme="minorHAnsi"/>
        </w:rPr>
        <w:fldChar w:fldCharType="begin"/>
      </w:r>
      <w:r w:rsidRPr="000B62B5">
        <w:rPr>
          <w:rFonts w:cstheme="minorHAnsi"/>
        </w:rPr>
        <w:instrText xml:space="preserve"> REF  RLF_SSMA_notification \h  \* MERGEFORMAT </w:instrText>
      </w:r>
      <w:r w:rsidRPr="000B62B5">
        <w:rPr>
          <w:rFonts w:cstheme="minorHAnsi"/>
        </w:rPr>
      </w:r>
      <w:r w:rsidRPr="000B62B5">
        <w:rPr>
          <w:rFonts w:cstheme="minorHAnsi"/>
        </w:rPr>
        <w:fldChar w:fldCharType="separate"/>
      </w:r>
      <w:r w:rsidR="000B62B5" w:rsidRPr="000B62B5">
        <w:t>e</w:t>
      </w:r>
      <w:r w:rsidRPr="000B62B5">
        <w:rPr>
          <w:rFonts w:cstheme="minorHAnsi"/>
        </w:rPr>
        <w:fldChar w:fldCharType="end"/>
      </w:r>
      <w:r>
        <w:t xml:space="preserve">)], </w:t>
      </w:r>
      <w:r>
        <w:lastRenderedPageBreak/>
        <w:t>Biroul trebuia să informeze persoanele în privința cărora au fost utilizate „mijloace speciale de supraveghere” cu privire la acest lucru doar dacă supravegherea a fost ilegală.</w:t>
      </w:r>
    </w:p>
    <w:bookmarkStart w:id="58" w:name="F_NB_req_amende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30</w:t>
      </w:r>
      <w:r w:rsidRPr="000B62B5">
        <w:fldChar w:fldCharType="end"/>
      </w:r>
      <w:bookmarkEnd w:id="58"/>
      <w:r>
        <w:t>. La sfârșitul lunii iunie 2021, domnul Kanev și-a rectificat cererea, în conformitate cu aceste instrucțiuni.</w:t>
      </w:r>
    </w:p>
    <w:bookmarkStart w:id="59" w:name="F_NB_req_amended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31</w:t>
      </w:r>
      <w:r w:rsidRPr="000B62B5">
        <w:fldChar w:fldCharType="end"/>
      </w:r>
      <w:bookmarkEnd w:id="59"/>
      <w:r>
        <w:t>. La începutul lunii iulie 2021, Biroul Național a trimis scrisori celor cinci autorități abilitate, în temeiul dreptului bulgar, să folosească „mijloace speciale de supraveghere” [a se vedea infra, pct. </w:t>
      </w:r>
      <w:r w:rsidRPr="000B62B5">
        <w:fldChar w:fldCharType="begin"/>
      </w:r>
      <w:r w:rsidRPr="000B62B5">
        <w:instrText xml:space="preserve"> REF  RLF_SSMA \h  \* MERGEFORMAT </w:instrText>
      </w:r>
      <w:r w:rsidRPr="000B62B5">
        <w:fldChar w:fldCharType="separate"/>
      </w:r>
      <w:r w:rsidR="000B62B5" w:rsidRPr="000B62B5">
        <w:t>82</w:t>
      </w:r>
      <w:r w:rsidRPr="000B62B5">
        <w:fldChar w:fldCharType="end"/>
      </w:r>
      <w:r>
        <w:t xml:space="preserve"> (</w:t>
      </w:r>
      <w:r w:rsidRPr="000B62B5">
        <w:fldChar w:fldCharType="begin"/>
      </w:r>
      <w:r w:rsidRPr="000B62B5">
        <w:instrText xml:space="preserve"> REF  RLF_SSMA_surveillance_authorities \h  \* MERGEFORMAT </w:instrText>
      </w:r>
      <w:r w:rsidRPr="000B62B5">
        <w:fldChar w:fldCharType="separate"/>
      </w:r>
      <w:r w:rsidR="000B62B5" w:rsidRPr="000B62B5">
        <w:t>c</w:t>
      </w:r>
      <w:r w:rsidRPr="000B62B5">
        <w:fldChar w:fldCharType="end"/>
      </w:r>
      <w:r>
        <w:t>)], întrebându-le dacă au făcut acest lucru în ceea ce îl privea pe domnul Kanev. Trei dintre aceste autorități – Serviciul militar de informații al Ministerului Apărării, Agenția Națională de Informații și Ministerul Afacerilor Interne – au răspuns negativ. Răspunsurile celorlalte două autorități – Agenția și Agenția pentru Operațiuni Tehnice – au fost clasificate. După examinarea tuturor acestor răspunsuri, la 3 august 2021, Biroul l-a informat pe domnul Kanev că investigațiile sale nu au indicat faptul că au fost utilizate în mod ilegal „mijloace speciale de supraveghere” împotriva sa.</w:t>
      </w:r>
    </w:p>
    <w:p w:rsidR="00DE4BFE" w:rsidRPr="000B62B5" w:rsidRDefault="00E34145" w:rsidP="000B62B5">
      <w:pPr>
        <w:pStyle w:val="JuHIRoman"/>
      </w:pPr>
      <w:bookmarkStart w:id="60" w:name="_Toc176454117"/>
      <w:bookmarkStart w:id="61" w:name="_Toc236764715"/>
      <w:r>
        <w:t>CONTROLUL JURISDICȚIONAL AL REGULAMENTULUI AGENȚIEI PRIVIND INFORMAȚIILE SECRETE DE SERVICIU</w:t>
      </w:r>
      <w:bookmarkEnd w:id="60"/>
      <w:bookmarkEnd w:id="61"/>
    </w:p>
    <w:bookmarkStart w:id="62" w:name="F_p14_claim"/>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32</w:t>
      </w:r>
      <w:r w:rsidRPr="000B62B5">
        <w:fldChar w:fldCharType="end"/>
      </w:r>
      <w:bookmarkEnd w:id="62"/>
      <w:r>
        <w:t xml:space="preserve">. În noiembrie 2021, domnul Kanev, acționând exclusiv în nume propriu, a solicitat Curții Administrative Supreme fie să declare nul punctul 14 din anexa la ordinul menționat la punctul </w:t>
      </w:r>
      <w:r w:rsidRPr="000B62B5">
        <w:fldChar w:fldCharType="begin"/>
      </w:r>
      <w:r w:rsidRPr="000B62B5">
        <w:instrText xml:space="preserve"> REF  F_1_inf_req_jud_rev_claim_evidence_order \h  \* MERGEFORMAT </w:instrText>
      </w:r>
      <w:r w:rsidRPr="000B62B5">
        <w:fldChar w:fldCharType="separate"/>
      </w:r>
      <w:r w:rsidR="000B62B5" w:rsidRPr="000B62B5">
        <w:t>15</w:t>
      </w:r>
      <w:r w:rsidRPr="000B62B5">
        <w:fldChar w:fldCharType="end"/>
      </w:r>
      <w:r>
        <w:t xml:space="preserve"> de mai sus, fie să îl anuleze, pe motiv că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nu a fost publicat în mod corespunzător,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depășea delegarea statutară și avea o sferă de aplicare prea largă, și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încălca art. 8 din Convenție.</w:t>
      </w:r>
    </w:p>
    <w:bookmarkStart w:id="63" w:name="F_p14_SAC_Jun_202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33</w:t>
      </w:r>
      <w:r w:rsidRPr="000B62B5">
        <w:fldChar w:fldCharType="end"/>
      </w:r>
      <w:bookmarkEnd w:id="63"/>
      <w:r>
        <w:t>. În iunie 2022, un complet de trei judecători al acestei instanțe a admis acțiunea în control jurisdicțional, hotărând că anexa în cauză, pe care o considera un act normativ, nu fusese publicată și că procedura de adoptare a acesteia nu fusese urmată în mod corespunzător (</w:t>
      </w:r>
      <w:r>
        <w:rPr>
          <w:i/>
        </w:rPr>
        <w:t>реш. № 6191 от 22.06.2022 г. по адм. д. № 12238/2021 г., ВАС, VI о.</w:t>
      </w:r>
      <w:r>
        <w:t>).</w:t>
      </w:r>
    </w:p>
    <w:bookmarkStart w:id="64" w:name="F_p14_SAC_Dec_202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34</w:t>
      </w:r>
      <w:r w:rsidRPr="000B62B5">
        <w:fldChar w:fldCharType="end"/>
      </w:r>
      <w:bookmarkEnd w:id="64"/>
      <w:r>
        <w:t>. În urma apelului formulat de Agenție, în decembrie 2022, un complet de cinci judecători al aceleiași instanțe a desființat hotărârea respectivă și a trimis cauza spre rejudecare unui alt complet de trei judecători. Acesta a statuat că respectivul complet inițial de trei judecători a considerat în mod eronat că ordinul în cauză era un act normativ, acesta fiind mai degrabă un act intern al Agenției, ceea ce însemna că normele care reglementau adoptarea și publicarea actelor legislative nu se aplicau ordinului (</w:t>
      </w:r>
      <w:r>
        <w:rPr>
          <w:i/>
        </w:rPr>
        <w:t>реш. № 11947 от 21.12.2022 г. по адм. д. № 7413/2022 г., ВАС, петчл. с-в</w:t>
      </w:r>
      <w:r>
        <w:t>).</w:t>
      </w:r>
    </w:p>
    <w:bookmarkStart w:id="65" w:name="F_p14_SAC_Jan_202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35</w:t>
      </w:r>
      <w:r w:rsidRPr="000B62B5">
        <w:fldChar w:fldCharType="end"/>
      </w:r>
      <w:bookmarkEnd w:id="65"/>
      <w:r>
        <w:t>. În ianuarie 2023, noul complet de trei judecători a trimis cauza la Tribunalul Administrativ al orașului Sofia, pe motiv că această instanță (mai degrabă decât Curtea Administrativă Supremă) avea competența materială de a examina o cerere îndreptată împotriva anexei la ordinul în cauză, care era un act intern al Agenției (</w:t>
      </w:r>
      <w:r>
        <w:rPr>
          <w:i/>
        </w:rPr>
        <w:t>опр. № 544 от 17.01.2023 г. по адм. д. № 11878/2022 г., ВАС, I о.</w:t>
      </w:r>
      <w:r>
        <w:t>).</w:t>
      </w:r>
    </w:p>
    <w:bookmarkStart w:id="66" w:name="F_p14_SCAC_Jun_202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36</w:t>
      </w:r>
      <w:r w:rsidRPr="000B62B5">
        <w:fldChar w:fldCharType="end"/>
      </w:r>
      <w:bookmarkEnd w:id="66"/>
      <w:r>
        <w:t>. În iunie 2023, un complet de trei judecători al Tribunalului Administrativ al orașului Sofia a respins cererea, constatând că tipurile de informații prevăzute la punctul 14 au fost încadrate în mod corespunzător în categoria informațiilor „secrete de serviciu” (</w:t>
      </w:r>
      <w:r>
        <w:rPr>
          <w:i/>
        </w:rPr>
        <w:t>реш. № 3623 от 02.06.2023 г. по адм. д. № 620/2023 г., АдмС-София-град</w:t>
      </w:r>
      <w:r>
        <w:t>).</w:t>
      </w:r>
    </w:p>
    <w:bookmarkStart w:id="67" w:name="F_p14_SCAC_Jun_2023_quashe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37</w:t>
      </w:r>
      <w:r w:rsidRPr="000B62B5">
        <w:fldChar w:fldCharType="end"/>
      </w:r>
      <w:bookmarkEnd w:id="67"/>
      <w:r>
        <w:t>. Domnul Kanev a declarat apel împotriva acestei hotărâri, și, în decembrie 2023, Curtea Administrativă Supremă a desființat-o și a trimis cauza spre rejudecare la Tribunalul Administrativ al orașului Sofia, pe motiv că, în conformitate cu regulile sale de procedură, acesta ar fi trebuit să examineze cererea în complet de judecător unic, iar nu în complet de trei judecători (</w:t>
      </w:r>
      <w:r>
        <w:rPr>
          <w:i/>
        </w:rPr>
        <w:t>реш. № 13059 от 28.12.2023 г. по адм. д. № 7313/2023 г., ВАС, V о.</w:t>
      </w:r>
      <w:r>
        <w:t>).</w:t>
      </w:r>
    </w:p>
    <w:bookmarkStart w:id="68" w:name="F_p14_SCAC_Mar_2024"/>
    <w:p w:rsidR="00DE4BFE" w:rsidRPr="000B62B5" w:rsidRDefault="00E34145" w:rsidP="000B62B5">
      <w:pPr>
        <w:pStyle w:val="JuPara"/>
        <w:rPr>
          <w:iCs/>
        </w:rPr>
      </w:pPr>
      <w:r w:rsidRPr="000B62B5">
        <w:fldChar w:fldCharType="begin"/>
      </w:r>
      <w:r w:rsidRPr="000B62B5">
        <w:instrText xml:space="preserve"> SEQ level0 \*arabic \* MERGEFORMAT </w:instrText>
      </w:r>
      <w:r w:rsidRPr="000B62B5">
        <w:fldChar w:fldCharType="separate"/>
      </w:r>
      <w:r w:rsidR="000B62B5" w:rsidRPr="000B62B5">
        <w:t>38</w:t>
      </w:r>
      <w:r w:rsidRPr="000B62B5">
        <w:fldChar w:fldCharType="end"/>
      </w:r>
      <w:bookmarkEnd w:id="68"/>
      <w:r>
        <w:t>. În martie 2024, Tribunalul Administrativ al orașului Sofia, statuând în complet de judecător unic, a respins cererea, invocând aceleași motive pe care se întemeiase anterior (</w:t>
      </w:r>
      <w:r>
        <w:rPr>
          <w:i/>
        </w:rPr>
        <w:t>реш. № 1830 от 20.03.2024 г. по адм. д. № 90/2024 г., АдмС-София-град</w:t>
      </w:r>
      <w:r>
        <w:t>).</w:t>
      </w:r>
    </w:p>
    <w:bookmarkStart w:id="69" w:name="F_p14_SCAC_Mar_2024_appeal"/>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39</w:t>
      </w:r>
      <w:r w:rsidRPr="000B62B5">
        <w:fldChar w:fldCharType="end"/>
      </w:r>
      <w:bookmarkEnd w:id="69"/>
      <w:r>
        <w:t>. Domnul Kanev a declarat apel la Curtea Administrativă Supremă. La 24 iunie 2025, această instanță a respins apelul, fiind de acord cu motivele prezentate de instanța inferioară (</w:t>
      </w:r>
      <w:r>
        <w:rPr>
          <w:i/>
        </w:rPr>
        <w:t>реш. № 6883 от 24.06.2025 г. по адм. д. № 4426/2024 г., ВАС, V о.</w:t>
      </w:r>
      <w:r>
        <w:t>).</w:t>
      </w:r>
    </w:p>
    <w:p w:rsidR="00DE4BFE" w:rsidRPr="000B62B5" w:rsidRDefault="00E34145" w:rsidP="000B62B5">
      <w:pPr>
        <w:pStyle w:val="JuHIRoman"/>
        <w:rPr>
          <w:caps w:val="0"/>
        </w:rPr>
      </w:pPr>
      <w:bookmarkStart w:id="70" w:name="_Toc176454118"/>
      <w:bookmarkStart w:id="71" w:name="_Toc236764716"/>
      <w:r>
        <w:rPr>
          <w:caps w:val="0"/>
        </w:rPr>
        <w:t>CEREREA ADRESATĂ AGENȚIEI ÎN IUNIE 2023</w:t>
      </w:r>
      <w:bookmarkEnd w:id="70"/>
      <w:bookmarkEnd w:id="71"/>
    </w:p>
    <w:p w:rsidR="00DE4BFE" w:rsidRPr="000B62B5" w:rsidRDefault="00E34145" w:rsidP="000B62B5">
      <w:pPr>
        <w:pStyle w:val="JuHA"/>
      </w:pPr>
      <w:bookmarkStart w:id="72" w:name="_Toc176454119"/>
      <w:bookmarkStart w:id="73" w:name="_Toc236764717"/>
      <w:r>
        <w:t>Cererea și răspunsul Agenției la aceasta</w:t>
      </w:r>
      <w:bookmarkEnd w:id="72"/>
      <w:bookmarkEnd w:id="73"/>
    </w:p>
    <w:bookmarkStart w:id="74" w:name="F_2_inf_req"/>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40</w:t>
      </w:r>
      <w:r w:rsidRPr="000B62B5">
        <w:fldChar w:fldCharType="end"/>
      </w:r>
      <w:bookmarkEnd w:id="74"/>
      <w:r>
        <w:t>. La jumătatea lunii iunie 2023, domnul Kanev a solicitat din nou Agenției să îl informeze dacă bazele sale de date conțineau informații din care să reiasă dacă el, personal, sau Comitetul (în numele căruia acționa și el) a fost ținta colectării de informații și dacă, în ultimii zece ani sau în anii anteriori, Agenția a recrutat persoane din rândul membrilor sau al personalului Comitetului.</w:t>
      </w:r>
    </w:p>
    <w:bookmarkStart w:id="75" w:name="F_2_inf_req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41</w:t>
      </w:r>
      <w:r w:rsidRPr="000B62B5">
        <w:fldChar w:fldCharType="end"/>
      </w:r>
      <w:bookmarkEnd w:id="75"/>
      <w:r>
        <w:t xml:space="preserve">. La sfârșitul lunii iunie 2023, Agenția a refuzat din nou să divulge informațiile solicitate de domnul Kanev, invocând din nou articolul 36 alineatul (7) din Legea din 2007 și regula corespunzătoare (a se vedea infra, pct. </w:t>
      </w:r>
      <w:r w:rsidRPr="000B62B5">
        <w:fldChar w:fldCharType="begin"/>
      </w:r>
      <w:r w:rsidRPr="000B62B5">
        <w:instrText xml:space="preserve"> REF  RLF_SANSA_s_36_10 \h  \* MERGEFORMAT </w:instrText>
      </w:r>
      <w:r w:rsidRPr="000B62B5">
        <w:fldChar w:fldCharType="separate"/>
      </w:r>
      <w:r w:rsidR="000B62B5" w:rsidRPr="000B62B5">
        <w:t>69</w:t>
      </w:r>
      <w:r w:rsidRPr="000B62B5">
        <w:fldChar w:fldCharType="end"/>
      </w:r>
      <w:r>
        <w:t>-</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 Aceasta a invocat aproape aceleași motive pe care le prezentase în iulie 2021 (a se vedea supra, pct. </w:t>
      </w:r>
      <w:r w:rsidRPr="000B62B5">
        <w:fldChar w:fldCharType="begin"/>
      </w:r>
      <w:r w:rsidRPr="000B62B5">
        <w:instrText xml:space="preserve"> REF  F_1_inf_req_amended_response_bis \h  \* MERGEFORMAT </w:instrText>
      </w:r>
      <w:r w:rsidRPr="000B62B5">
        <w:fldChar w:fldCharType="separate"/>
      </w:r>
      <w:r w:rsidR="000B62B5" w:rsidRPr="000B62B5">
        <w:t>10</w:t>
      </w:r>
      <w:r w:rsidRPr="000B62B5">
        <w:fldChar w:fldCharType="end"/>
      </w:r>
      <w:r>
        <w:t>-</w:t>
      </w:r>
      <w:r w:rsidRPr="000B62B5">
        <w:fldChar w:fldCharType="begin"/>
      </w:r>
      <w:r w:rsidRPr="000B62B5">
        <w:instrText xml:space="preserve"> REF  F_1_inf_req_amended_response_ter \h  \* MERGEFORMAT </w:instrText>
      </w:r>
      <w:r w:rsidRPr="000B62B5">
        <w:fldChar w:fldCharType="separate"/>
      </w:r>
      <w:r w:rsidR="000B62B5" w:rsidRPr="000B62B5">
        <w:t>11</w:t>
      </w:r>
      <w:r w:rsidRPr="000B62B5">
        <w:fldChar w:fldCharType="end"/>
      </w:r>
      <w:r>
        <w:t>) și a adăugat că, în temeiul punctului 5 din partea a II-a a anexei 1 la Legea din 2002 privind protecția informațiilor clasificate (a se vedea infra, pct. </w:t>
      </w:r>
      <w:r w:rsidRPr="000B62B5">
        <w:fldChar w:fldCharType="begin"/>
      </w:r>
      <w:r w:rsidRPr="000B62B5">
        <w:instrText xml:space="preserve"> REF  RLF_PCIA_s_1_3 \h  \* MERGEFORMAT </w:instrText>
      </w:r>
      <w:r w:rsidRPr="000B62B5">
        <w:fldChar w:fldCharType="separate"/>
      </w:r>
      <w:r w:rsidR="000B62B5" w:rsidRPr="000B62B5">
        <w:t>106</w:t>
      </w:r>
      <w:r w:rsidRPr="000B62B5">
        <w:fldChar w:fldCharType="end"/>
      </w:r>
      <w:r>
        <w:t xml:space="preserve"> și </w:t>
      </w:r>
      <w:r w:rsidRPr="000B62B5">
        <w:fldChar w:fldCharType="begin"/>
      </w:r>
      <w:r w:rsidRPr="000B62B5">
        <w:instrText xml:space="preserve"> REF  RLF_PCIA_s_26_1 \h  \* MERGEFORMAT </w:instrText>
      </w:r>
      <w:r w:rsidRPr="000B62B5">
        <w:fldChar w:fldCharType="separate"/>
      </w:r>
      <w:r w:rsidR="000B62B5" w:rsidRPr="000B62B5">
        <w:t>108</w:t>
      </w:r>
      <w:r w:rsidRPr="000B62B5">
        <w:fldChar w:fldCharType="end"/>
      </w:r>
      <w:r>
        <w:t>), informațiile care puteau conduce la identificarea informatorilor serviciilor de securitate constituiau „secrete de stat”.</w:t>
      </w:r>
    </w:p>
    <w:p w:rsidR="00DE4BFE" w:rsidRPr="000B62B5" w:rsidRDefault="00E34145" w:rsidP="000B62B5">
      <w:pPr>
        <w:pStyle w:val="JuHA"/>
      </w:pPr>
      <w:bookmarkStart w:id="76" w:name="_Toc176454120"/>
      <w:bookmarkStart w:id="77" w:name="_Toc236764718"/>
      <w:r>
        <w:t>Controlul jurisdicțional al refuzului Agenției de a divulga informațiile</w:t>
      </w:r>
      <w:bookmarkEnd w:id="76"/>
      <w:bookmarkEnd w:id="77"/>
    </w:p>
    <w:p w:rsidR="00DE4BFE" w:rsidRPr="000B62B5" w:rsidRDefault="00E34145" w:rsidP="000B62B5">
      <w:pPr>
        <w:pStyle w:val="JuH1"/>
      </w:pPr>
      <w:bookmarkStart w:id="78" w:name="_Toc176454121"/>
      <w:bookmarkStart w:id="79" w:name="_Toc236764719"/>
      <w:r>
        <w:t>Procedura în fața Tribunalului Administrativ al Orașului Sofia</w:t>
      </w:r>
      <w:bookmarkEnd w:id="78"/>
      <w:bookmarkEnd w:id="79"/>
    </w:p>
    <w:bookmarkStart w:id="80" w:name="F_2_inf_req_jud_rev_claim"/>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42</w:t>
      </w:r>
      <w:r w:rsidRPr="000B62B5">
        <w:fldChar w:fldCharType="end"/>
      </w:r>
      <w:bookmarkEnd w:id="80"/>
      <w:r>
        <w:t>. Domnul Kanev, acționând atât în nume propriu, cât și în numele Comitetului, a solicitat controlul jurisdicțional, în temeiul articolului 36 alineatul (9) din Legea din 2007 (a se vedea infra, pct. </w:t>
      </w:r>
      <w:r w:rsidRPr="000B62B5">
        <w:fldChar w:fldCharType="begin"/>
      </w:r>
      <w:r w:rsidRPr="000B62B5">
        <w:instrText xml:space="preserve"> REF  RLF_SANSA_s_36_9 \h  \* MERGEFORMAT </w:instrText>
      </w:r>
      <w:r w:rsidRPr="000B62B5">
        <w:fldChar w:fldCharType="separate"/>
      </w:r>
      <w:r w:rsidR="000B62B5" w:rsidRPr="000B62B5">
        <w:t>72</w:t>
      </w:r>
      <w:r w:rsidRPr="000B62B5">
        <w:fldChar w:fldCharType="end"/>
      </w:r>
      <w:r>
        <w:t>), al noii decizii a Agenției de a nu divulga informațiile pe care le solicita.</w:t>
      </w:r>
    </w:p>
    <w:bookmarkStart w:id="81" w:name="F_2_inf_req_jud_rev_claim_SCAC_ju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43</w:t>
      </w:r>
      <w:r w:rsidRPr="000B62B5">
        <w:fldChar w:fldCharType="end"/>
      </w:r>
      <w:bookmarkEnd w:id="81"/>
      <w:r>
        <w:t>. În ianuarie 2024, Tribunalul Administrativ al Orașului Sofia a anulat decizia Agenției. Acesta a considerat că, în măsura în care cererea domnului Kanev privea alte persoane (membri ai Comitetului sau membri ai personalului Comitetului), decizia respectivă era nelegală, întrucât domnul Kanev nici nu a menționat numele persoanelor în cauză, nici nu a prezentat vreo dovadă că era împuternicit să solicite informații în numele lor. O persoană putea solicita doar accesul la propriile date cu caracter personal. Prin examinarea cererii pe fond, în loc să o trimită înapoi domnului Kanev în scopul rectificării acesteia, Agenția a încălcat regulamentul de procedură. În rest, decizia sa era, de asemenea, contrară regulamentului, întrucât Agenția nu a prezentat faptele care justificau refuzul său de a divulga informații, ci s-a limitat să citeze dispozițiile legale relevante. În plus, Agenția nu și-a respectat decizia cu privire la cererea domnului Kanev din iunie 2021 (a se vedea supra, pct. </w:t>
      </w:r>
      <w:r w:rsidRPr="000B62B5">
        <w:fldChar w:fldCharType="begin"/>
      </w:r>
      <w:r w:rsidRPr="000B62B5">
        <w:instrText xml:space="preserve"> REF  F_1_inf_req_amended_response \h  \* MERGEFORMAT </w:instrText>
      </w:r>
      <w:r w:rsidRPr="000B62B5">
        <w:fldChar w:fldCharType="separate"/>
      </w:r>
      <w:r w:rsidR="000B62B5" w:rsidRPr="000B62B5">
        <w:t>9</w:t>
      </w:r>
      <w:r w:rsidRPr="000B62B5">
        <w:fldChar w:fldCharType="end"/>
      </w:r>
      <w:r>
        <w:t>-</w:t>
      </w:r>
      <w:r w:rsidRPr="000B62B5">
        <w:fldChar w:fldCharType="begin"/>
      </w:r>
      <w:r w:rsidRPr="000B62B5">
        <w:instrText xml:space="preserve"> REF  F_1_inf_req_amended_response_ter \h  \* MERGEFORMAT </w:instrText>
      </w:r>
      <w:r w:rsidRPr="000B62B5">
        <w:fldChar w:fldCharType="separate"/>
      </w:r>
      <w:r w:rsidR="000B62B5" w:rsidRPr="000B62B5">
        <w:t>11</w:t>
      </w:r>
      <w:r w:rsidRPr="000B62B5">
        <w:fldChar w:fldCharType="end"/>
      </w:r>
      <w:r>
        <w:t>), decizie care a rămas definitivă după ce a fost respinsă calea de atac introdusă împotriva acesteia și care, în mod normal, s-ar opune pronunțării unei noi decizii cu privire la aceeași problemă. Prin urmare, chestiunea trebuia să fie trimisă înapoi Agenției, însoțită de instrucțiunile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a-i solicita domnului Kanev să își rectifice cererea în măsura în care aceasta se referea la alte persoane,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 a ține seama de decizia sa anterioară și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de a-și motiva în mod corespunzător decizia (</w:t>
      </w:r>
      <w:r>
        <w:rPr>
          <w:i/>
        </w:rPr>
        <w:t>реш. № 136 от 05.01.2024 г. по адм. д. № 7471/2023 г., АдмС-София-град</w:t>
      </w:r>
      <w:r>
        <w:t>).</w:t>
      </w:r>
    </w:p>
    <w:p w:rsidR="00DE4BFE" w:rsidRPr="000B62B5" w:rsidRDefault="00E34145" w:rsidP="000B62B5">
      <w:pPr>
        <w:pStyle w:val="JuH1"/>
      </w:pPr>
      <w:bookmarkStart w:id="82" w:name="_Toc176454122"/>
      <w:bookmarkStart w:id="83" w:name="_Toc236764720"/>
      <w:r>
        <w:t>Procedura de apel în fața Curții Administrative Supreme</w:t>
      </w:r>
      <w:bookmarkEnd w:id="82"/>
      <w:bookmarkEnd w:id="83"/>
    </w:p>
    <w:bookmarkStart w:id="84" w:name="F_2_inf_req_jud_rev_claim_appea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44</w:t>
      </w:r>
      <w:r w:rsidRPr="000B62B5">
        <w:fldChar w:fldCharType="end"/>
      </w:r>
      <w:bookmarkEnd w:id="84"/>
      <w:r>
        <w:t>. Agenția a declarat apel împotriva hotărârii Tribunalului Administrativ al Orașului Sofia.</w:t>
      </w:r>
    </w:p>
    <w:bookmarkStart w:id="85" w:name="F_2_inf_req_jud_rev_claim_SAC_jud"/>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45</w:t>
      </w:r>
      <w:r w:rsidRPr="000B62B5">
        <w:fldChar w:fldCharType="end"/>
      </w:r>
      <w:bookmarkEnd w:id="85"/>
      <w:r>
        <w:t>. Printr-o hotărâre definitivă din 16 iulie 2024 (</w:t>
      </w:r>
      <w:r>
        <w:rPr>
          <w:i/>
        </w:rPr>
        <w:t>реш. № 8858 от 16.07.2024 г. по адм. д. № 2605/2024 г., ВАС, V о.</w:t>
      </w:r>
      <w:r>
        <w:t>), Curtea Administrativă Supremă a confirmat parțial hotărârea instanței inferioare.</w:t>
      </w:r>
    </w:p>
    <w:bookmarkStart w:id="86" w:name="F_2_inf_req_jud_rev_claim_SAC_jud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46</w:t>
      </w:r>
      <w:r w:rsidRPr="000B62B5">
        <w:fldChar w:fldCharType="end"/>
      </w:r>
      <w:bookmarkEnd w:id="86"/>
      <w:r>
        <w:t>. Potrivit acesteia, instanța inferioară a apreciat în mod întemeiat că, în măsura în care cererea domnului Kanev privea alte persoane, aceasta era nelegală, întrucât domnul Kanev nici nu a menționat numele persoanelor în cauză, nici nu a făcut dovada că era abilitat să solicite informații în numele lor. De asemenea, instanța inferioară a apreciat în mod întemeiat că Agenția nu și-a respectat decizia definitivă cu privire la cererea reclamanților din iunie 2021 (a se vedea supra, pct. </w:t>
      </w:r>
      <w:r w:rsidRPr="000B62B5">
        <w:fldChar w:fldCharType="begin"/>
      </w:r>
      <w:r w:rsidRPr="000B62B5">
        <w:instrText xml:space="preserve"> REF  F_1_inf_req_amended_response \h  \* MERGEFORMAT </w:instrText>
      </w:r>
      <w:r w:rsidRPr="000B62B5">
        <w:fldChar w:fldCharType="separate"/>
      </w:r>
      <w:r w:rsidR="000B62B5" w:rsidRPr="000B62B5">
        <w:t>9</w:t>
      </w:r>
      <w:r w:rsidRPr="000B62B5">
        <w:fldChar w:fldCharType="end"/>
      </w:r>
      <w:r>
        <w:t>-</w:t>
      </w:r>
      <w:r w:rsidRPr="000B62B5">
        <w:fldChar w:fldCharType="begin"/>
      </w:r>
      <w:r w:rsidRPr="000B62B5">
        <w:instrText xml:space="preserve"> REF  F_1_inf_req_amended_response_ter \h  \* MERGEFORMAT </w:instrText>
      </w:r>
      <w:r w:rsidRPr="000B62B5">
        <w:fldChar w:fldCharType="separate"/>
      </w:r>
      <w:r w:rsidR="000B62B5" w:rsidRPr="000B62B5">
        <w:t>11</w:t>
      </w:r>
      <w:r w:rsidRPr="000B62B5">
        <w:fldChar w:fldCharType="end"/>
      </w:r>
      <w:r>
        <w:t>).</w:t>
      </w:r>
    </w:p>
    <w:bookmarkStart w:id="87" w:name="F_2_inf_req_jud_rev_claim_SAC_jud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47</w:t>
      </w:r>
      <w:r w:rsidRPr="000B62B5">
        <w:fldChar w:fldCharType="end"/>
      </w:r>
      <w:bookmarkEnd w:id="87"/>
      <w:r>
        <w:t>. Cu toate acestea, instanța inferioară a contestat în mod eronat omisiunea Agenției de a prezenta faptele care justificau refuzul său de a divulga informații. Dispozițiile articolului 36 alineatul (8) din Legea din 2007 (infra, pct. </w:t>
      </w:r>
      <w:r w:rsidRPr="000B62B5">
        <w:fldChar w:fldCharType="begin"/>
      </w:r>
      <w:r w:rsidRPr="000B62B5">
        <w:instrText xml:space="preserve"> REF  RLF_SANSA_s_36_8 \h  \* MERGEFORMAT </w:instrText>
      </w:r>
      <w:r w:rsidRPr="000B62B5">
        <w:fldChar w:fldCharType="separate"/>
      </w:r>
      <w:r w:rsidR="000B62B5" w:rsidRPr="000B62B5">
        <w:t>71</w:t>
      </w:r>
      <w:r w:rsidRPr="000B62B5">
        <w:fldChar w:fldCharType="end"/>
      </w:r>
      <w:r>
        <w:t>) precizau faptul că Agenția nu avea nicio obligație în acest sens. Rezulta că, într-adevăr, chestiunea trebuia să fie trimisă înapoi Agenției, dar fără să fie însoțită de instrucțiunea ca Agenția să prezinte o motivare cu privire la aspectele de fapt.</w:t>
      </w:r>
    </w:p>
    <w:p w:rsidR="00DE4BFE" w:rsidRPr="000B62B5" w:rsidRDefault="00E34145" w:rsidP="000B62B5">
      <w:pPr>
        <w:pStyle w:val="JuHA"/>
      </w:pPr>
      <w:bookmarkStart w:id="88" w:name="_Toc236764721"/>
      <w:r>
        <w:t>Noua procedură în fața Agenției</w:t>
      </w:r>
      <w:bookmarkEnd w:id="88"/>
    </w:p>
    <w:bookmarkStart w:id="89" w:name="F_2_inf_req_renew_rect_invitation"/>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48</w:t>
      </w:r>
      <w:r w:rsidRPr="000B62B5">
        <w:fldChar w:fldCharType="end"/>
      </w:r>
      <w:bookmarkEnd w:id="89"/>
      <w:r>
        <w:t>. După ce a primit hotărârile sus-menționate, la începutul lunii august 2024, Agenția i-a solicitat domnului Kanev să își rectifice cererea, în măsura în care aceasta privea alte persoane, specificând numele persoanelor respective și prezentând dovada faptului că era abilitat să solicite informații în numele lor.</w:t>
      </w:r>
    </w:p>
    <w:bookmarkStart w:id="90" w:name="F_2_inf_req_renew_rect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49</w:t>
      </w:r>
      <w:r w:rsidRPr="000B62B5">
        <w:fldChar w:fldCharType="end"/>
      </w:r>
      <w:bookmarkEnd w:id="90"/>
      <w:r>
        <w:t>. În replică, domnul Kanev a solicitat Agenției să se conformeze imediat hotărârilor și să dezvăluie dacă bazele sale de date conțineau sau nu informații potrivit cărora au fost folosite metode și tehnici de colectare a informațiilor în ceea ce îl privea pe el, personal. În ceea ce privește întrebarea lui referitoare la activitățile de colectare de informații care vizau Comitetul, el nu a solicitat Agenției să divulge informații despre alte persoane și nici nu a pretins că acționa în numele altor persoane; cererea lui se referea doar la informații cu privire la Comitetul însuși. Prin urmare, nu exista nimic de rectificat, iar Agenția a trebuit pur și simplu să răspundă cererii și să divulge informațiile solicitate cu privire la Comitet.</w:t>
      </w:r>
    </w:p>
    <w:bookmarkStart w:id="91" w:name="F_2_inf_req_renew_dec_22_08_202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50</w:t>
      </w:r>
      <w:r w:rsidRPr="000B62B5">
        <w:fldChar w:fldCharType="end"/>
      </w:r>
      <w:bookmarkEnd w:id="91"/>
      <w:r>
        <w:t>. Într-o decizie din 22 august 2024, Agenția a reiterat faptul că îi era interzis prin lege să divulge unei persoane informații cu privire la alte persoane, cu excepția cazului în care acestea din urmă au autorizat în mod corespunzător persoana care solicita informațiile să facă acest lucru în numele lor; a subliniat, de asemenea, că acest aspect a fost confirmat de instanțele care au examinat primul său răspuns. Întrucât domnul Kanev nu a rectificat această parte a cererii sale (partea referitoare la membrii sau personalul Comitetului),  cererea respectivă trebuia considerată nelegală și nu necesita o examinare. În măsura în care cererea îl privea personal pe domnul Kanev, aceasta nu putea fi examinată în raport cu perioada care preceda cererea lui anterioară (cea formulată în iunie 2021 – a se vedea supra, pct. </w:t>
      </w:r>
      <w:r w:rsidRPr="000B62B5">
        <w:fldChar w:fldCharType="begin"/>
      </w:r>
      <w:r w:rsidRPr="000B62B5">
        <w:instrText xml:space="preserve"> REF  F_1_inf_req_amended \h  \* MERGEFORMAT </w:instrText>
      </w:r>
      <w:r w:rsidRPr="000B62B5">
        <w:fldChar w:fldCharType="separate"/>
      </w:r>
      <w:r w:rsidR="000B62B5" w:rsidRPr="000B62B5">
        <w:t>8</w:t>
      </w:r>
      <w:r w:rsidRPr="000B62B5">
        <w:fldChar w:fldCharType="end"/>
      </w:r>
      <w:r>
        <w:t>), întrucât, prin lege, o autoritate publică nu putea să reexamineze o chestiune asupra căreia se pronunțase definitiv, iar în iulie 2021 Agenția adoptase deja o decizie (confirmată ulterior de instanțe) ca răspuns la această cerere anterioară (a se vedea supra, pct. </w:t>
      </w:r>
      <w:r w:rsidRPr="000B62B5">
        <w:fldChar w:fldCharType="begin"/>
      </w:r>
      <w:r w:rsidRPr="000B62B5">
        <w:instrText xml:space="preserve"> REF  F_1_inf_req_amended_response \h  \* MERGEFORMAT </w:instrText>
      </w:r>
      <w:r w:rsidRPr="000B62B5">
        <w:fldChar w:fldCharType="separate"/>
      </w:r>
      <w:r w:rsidR="000B62B5" w:rsidRPr="000B62B5">
        <w:t>9</w:t>
      </w:r>
      <w:r w:rsidRPr="000B62B5">
        <w:fldChar w:fldCharType="end"/>
      </w:r>
      <w:r>
        <w:t>-</w:t>
      </w:r>
      <w:r w:rsidRPr="000B62B5">
        <w:fldChar w:fldCharType="begin"/>
      </w:r>
      <w:r w:rsidRPr="000B62B5">
        <w:instrText xml:space="preserve"> REF  F_1_inf_req_amended_response_ter \h  \* MERGEFORMAT </w:instrText>
      </w:r>
      <w:r w:rsidRPr="000B62B5">
        <w:fldChar w:fldCharType="separate"/>
      </w:r>
      <w:r w:rsidR="000B62B5" w:rsidRPr="000B62B5">
        <w:t>11</w:t>
      </w:r>
      <w:r w:rsidRPr="000B62B5">
        <w:fldChar w:fldCharType="end"/>
      </w:r>
      <w:r>
        <w:t xml:space="preserve"> și </w:t>
      </w:r>
      <w:r w:rsidRPr="000B62B5">
        <w:fldChar w:fldCharType="begin"/>
      </w:r>
      <w:r w:rsidRPr="000B62B5">
        <w:instrText xml:space="preserve"> REF  F_1_inf_req_jud_rev_claim \h  \* MERGEFORMAT </w:instrText>
      </w:r>
      <w:r w:rsidRPr="000B62B5">
        <w:fldChar w:fldCharType="separate"/>
      </w:r>
      <w:r w:rsidR="000B62B5" w:rsidRPr="000B62B5">
        <w:t>12</w:t>
      </w:r>
      <w:r w:rsidRPr="000B62B5">
        <w:fldChar w:fldCharType="end"/>
      </w:r>
      <w:r>
        <w:t>-</w:t>
      </w:r>
      <w:r w:rsidRPr="000B62B5">
        <w:fldChar w:fldCharType="begin"/>
      </w:r>
      <w:r w:rsidRPr="000B62B5">
        <w:instrText xml:space="preserve"> REF  F_1_inf_req_jud_rev_claim_SAC_jud_quinqs \h  \* MERGEFORMAT </w:instrText>
      </w:r>
      <w:r w:rsidRPr="000B62B5">
        <w:fldChar w:fldCharType="separate"/>
      </w:r>
      <w:r w:rsidR="000B62B5" w:rsidRPr="000B62B5">
        <w:t>27</w:t>
      </w:r>
      <w:r w:rsidRPr="000B62B5">
        <w:fldChar w:fldCharType="end"/>
      </w:r>
      <w:r>
        <w:t>). În ceea ce privește perioada cuprinsă între iunie 2021 și iunie 2023, în privința căreia nu exista niciun obstacol în calea examinării noii cereri, Agenția a respins cererea, pe baza acelorași motive, aproape cuvânt cu cuvânt, pe care le-a furnizat ca răspuns la cererea din iunie 2021 (a se vedea supra, pct. </w:t>
      </w:r>
      <w:r w:rsidRPr="000B62B5">
        <w:fldChar w:fldCharType="begin"/>
      </w:r>
      <w:r w:rsidRPr="000B62B5">
        <w:instrText xml:space="preserve"> REF  F_1_inf_req_amended_response_bis \h  \* MERGEFORMAT </w:instrText>
      </w:r>
      <w:r w:rsidRPr="000B62B5">
        <w:fldChar w:fldCharType="separate"/>
      </w:r>
      <w:r w:rsidR="000B62B5" w:rsidRPr="000B62B5">
        <w:t>10</w:t>
      </w:r>
      <w:r w:rsidRPr="000B62B5">
        <w:fldChar w:fldCharType="end"/>
      </w:r>
      <w:r>
        <w:t>). De asemenea, aceasta a observat (la fel cum făcuse deja în iunie 2023 – a se vedea supra, pct. </w:t>
      </w:r>
      <w:r w:rsidRPr="000B62B5">
        <w:fldChar w:fldCharType="begin"/>
      </w:r>
      <w:r w:rsidRPr="000B62B5">
        <w:instrText xml:space="preserve"> REF  F_2_inf_req_response \h  \* MERGEFORMAT </w:instrText>
      </w:r>
      <w:r w:rsidRPr="000B62B5">
        <w:fldChar w:fldCharType="separate"/>
      </w:r>
      <w:r w:rsidR="000B62B5" w:rsidRPr="000B62B5">
        <w:t>41</w:t>
      </w:r>
      <w:r w:rsidRPr="000B62B5">
        <w:fldChar w:fldCharType="end"/>
      </w:r>
      <w:r>
        <w:t>) că, în temeiul punctului 5 din partea a II-a a anexei 1 la Legea din 2002 privind protecția informațiilor clasificate (a se vedea infra, pct. </w:t>
      </w:r>
      <w:r w:rsidRPr="000B62B5">
        <w:fldChar w:fldCharType="begin"/>
      </w:r>
      <w:r w:rsidRPr="000B62B5">
        <w:instrText xml:space="preserve"> REF  RLF_PCIA_s_1_3 \h  \* MERGEFORMAT </w:instrText>
      </w:r>
      <w:r w:rsidRPr="000B62B5">
        <w:fldChar w:fldCharType="separate"/>
      </w:r>
      <w:r w:rsidR="000B62B5" w:rsidRPr="000B62B5">
        <w:t>106</w:t>
      </w:r>
      <w:r w:rsidRPr="000B62B5">
        <w:fldChar w:fldCharType="end"/>
      </w:r>
      <w:r>
        <w:t xml:space="preserve"> și </w:t>
      </w:r>
      <w:r w:rsidRPr="000B62B5">
        <w:fldChar w:fldCharType="begin"/>
      </w:r>
      <w:r w:rsidRPr="000B62B5">
        <w:instrText xml:space="preserve"> REF  RLF_PCIA_s_26_1 \h  \* MERGEFORMAT </w:instrText>
      </w:r>
      <w:r w:rsidRPr="000B62B5">
        <w:fldChar w:fldCharType="separate"/>
      </w:r>
      <w:r w:rsidR="000B62B5" w:rsidRPr="000B62B5">
        <w:t>108</w:t>
      </w:r>
      <w:r w:rsidRPr="000B62B5">
        <w:fldChar w:fldCharType="end"/>
      </w:r>
      <w:r>
        <w:t>), informațiile care puteau conduce la identificarea informatorilor serviciilor de securitate constituiau „secrete de stat”.</w:t>
      </w:r>
    </w:p>
    <w:bookmarkStart w:id="92" w:name="F_2_inf_req_renew_dec_22_08_2024_no_jr"/>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51</w:t>
      </w:r>
      <w:r w:rsidRPr="000B62B5">
        <w:fldChar w:fldCharType="end"/>
      </w:r>
      <w:bookmarkEnd w:id="92"/>
      <w:r>
        <w:t>. Se pare că domnul Kanev și Comitetul nu au solicitat controlul jurisdicțional al acestei noi decizii a Agenției.</w:t>
      </w:r>
    </w:p>
    <w:p w:rsidR="00DE4BFE" w:rsidRPr="000B62B5" w:rsidRDefault="00E34145" w:rsidP="000B62B5">
      <w:pPr>
        <w:pStyle w:val="JuHIRoman"/>
        <w:rPr>
          <w:caps w:val="0"/>
        </w:rPr>
      </w:pPr>
      <w:bookmarkStart w:id="93" w:name="_Toc176454123"/>
      <w:bookmarkStart w:id="94" w:name="_Toc236764722"/>
      <w:r>
        <w:rPr>
          <w:caps w:val="0"/>
        </w:rPr>
        <w:t>INFORMAȚIILE SOLICITATE DE AGENTUL GUVERNAMENTAL</w:t>
      </w:r>
      <w:bookmarkEnd w:id="93"/>
      <w:bookmarkEnd w:id="94"/>
    </w:p>
    <w:bookmarkStart w:id="95" w:name="F_GA_A_respons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52</w:t>
      </w:r>
      <w:r w:rsidRPr="000B62B5">
        <w:fldChar w:fldCharType="end"/>
      </w:r>
      <w:bookmarkEnd w:id="95"/>
      <w:r>
        <w:t>. În octombrie 2023, agentul guvernamental responsabil de prezenta cauză a întrebat Agenția dacă a colectat date cu privire la reclamanți. În răspunsul său din 26 octombrie 2023, Agenția a declarat că a prelucrat date ale reclamanților în legătură cu mai multe cereri de acces la informații, pe care aceștia le-au formulat, și în legătură cu procedurile de control jurisdicțional aferente, inclusiv procedura din prezenta cauză. Totuși, nu putea să dezvăluie dacă o anumită persoană prezenta un interes operațional pentru Agenție, întrucât acest tip de informații – inclusiv informațiile privind folosirea unor „mijloace speciale de supraveghere” – erau clasificate, iar divulgarea lor către persoana în cauză putea să compromită securitatea națională. Acesta era motivul pentru care legiuitorul a prevăzut, la articolul 34g din Legea din 1997 [a se vedea infra, pct. </w:t>
      </w:r>
      <w:r w:rsidRPr="000B62B5">
        <w:rPr>
          <w:rFonts w:cstheme="minorHAnsi"/>
        </w:rPr>
        <w:fldChar w:fldCharType="begin"/>
      </w:r>
      <w:r w:rsidRPr="000B62B5">
        <w:rPr>
          <w:rFonts w:cstheme="minorHAnsi"/>
        </w:rPr>
        <w:instrText xml:space="preserve"> REF  RLF_SSMA \h  \* MERGEFORMAT </w:instrText>
      </w:r>
      <w:r w:rsidRPr="000B62B5">
        <w:rPr>
          <w:rFonts w:cstheme="minorHAnsi"/>
        </w:rPr>
      </w:r>
      <w:r w:rsidRPr="000B62B5">
        <w:rPr>
          <w:rFonts w:cstheme="minorHAnsi"/>
        </w:rPr>
        <w:fldChar w:fldCharType="separate"/>
      </w:r>
      <w:r w:rsidR="000B62B5" w:rsidRPr="000B62B5">
        <w:t>82</w:t>
      </w:r>
      <w:r w:rsidRPr="000B62B5">
        <w:rPr>
          <w:rFonts w:cstheme="minorHAnsi"/>
        </w:rPr>
        <w:fldChar w:fldCharType="end"/>
      </w:r>
      <w:r>
        <w:t xml:space="preserve"> (</w:t>
      </w:r>
      <w:r w:rsidRPr="000B62B5">
        <w:rPr>
          <w:rFonts w:cstheme="minorHAnsi"/>
        </w:rPr>
        <w:fldChar w:fldCharType="begin"/>
      </w:r>
      <w:r w:rsidRPr="000B62B5">
        <w:rPr>
          <w:rFonts w:cstheme="minorHAnsi"/>
        </w:rPr>
        <w:instrText xml:space="preserve"> REF  RLF_SSMA_notification \h  \* MERGEFORMAT </w:instrText>
      </w:r>
      <w:r w:rsidRPr="000B62B5">
        <w:rPr>
          <w:rFonts w:cstheme="minorHAnsi"/>
        </w:rPr>
      </w:r>
      <w:r w:rsidRPr="000B62B5">
        <w:rPr>
          <w:rFonts w:cstheme="minorHAnsi"/>
        </w:rPr>
        <w:fldChar w:fldCharType="separate"/>
      </w:r>
      <w:r w:rsidR="000B62B5" w:rsidRPr="000B62B5">
        <w:t>e</w:t>
      </w:r>
      <w:r w:rsidRPr="000B62B5">
        <w:rPr>
          <w:rFonts w:cstheme="minorHAnsi"/>
        </w:rPr>
        <w:fldChar w:fldCharType="end"/>
      </w:r>
      <w:r>
        <w:t>)], posibilitatea divulgării de informații cu privire la utilizarea unor „mijloace speciale de supraveghere” în privința unei anumite persoane în cazul în care utilizarea respectivă a fost ilegală, mai degrabă decât posibilitatea generală de a verifica dacă astfel de mijloace au fost utilizate în privința persoanei respective. Nici informațiile privind informatorii Agenției nu puteau să fie divulgate, din motivele prezentate în cadrul răspunsului la solicitările domnului Kanev (a se vedea supra, pct. </w:t>
      </w:r>
      <w:r w:rsidRPr="000B62B5">
        <w:rPr>
          <w:rFonts w:cstheme="minorHAnsi"/>
        </w:rPr>
        <w:fldChar w:fldCharType="begin"/>
      </w:r>
      <w:r w:rsidRPr="000B62B5">
        <w:rPr>
          <w:rFonts w:cstheme="minorHAnsi"/>
        </w:rPr>
        <w:instrText xml:space="preserve"> REF  F_1_inf_req_amended_response_ter \h  \* MERGEFORMAT </w:instrText>
      </w:r>
      <w:r w:rsidRPr="000B62B5">
        <w:rPr>
          <w:rFonts w:cstheme="minorHAnsi"/>
        </w:rPr>
      </w:r>
      <w:r w:rsidRPr="000B62B5">
        <w:rPr>
          <w:rFonts w:cstheme="minorHAnsi"/>
        </w:rPr>
        <w:fldChar w:fldCharType="separate"/>
      </w:r>
      <w:r w:rsidR="000B62B5" w:rsidRPr="000B62B5">
        <w:t>11</w:t>
      </w:r>
      <w:r w:rsidRPr="000B62B5">
        <w:rPr>
          <w:rFonts w:cstheme="minorHAnsi"/>
        </w:rPr>
        <w:fldChar w:fldCharType="end"/>
      </w:r>
      <w:r>
        <w:t xml:space="preserve"> și </w:t>
      </w:r>
      <w:r w:rsidRPr="000B62B5">
        <w:rPr>
          <w:rFonts w:cstheme="minorHAnsi"/>
        </w:rPr>
        <w:fldChar w:fldCharType="begin"/>
      </w:r>
      <w:r w:rsidRPr="000B62B5">
        <w:rPr>
          <w:rFonts w:cstheme="minorHAnsi"/>
        </w:rPr>
        <w:instrText xml:space="preserve"> REF  F_2_inf_req_response \h  \* MERGEFORMAT </w:instrText>
      </w:r>
      <w:r w:rsidRPr="000B62B5">
        <w:rPr>
          <w:rFonts w:cstheme="minorHAnsi"/>
        </w:rPr>
      </w:r>
      <w:r w:rsidRPr="000B62B5">
        <w:rPr>
          <w:rFonts w:cstheme="minorHAnsi"/>
        </w:rPr>
        <w:fldChar w:fldCharType="separate"/>
      </w:r>
      <w:r w:rsidR="000B62B5" w:rsidRPr="000B62B5">
        <w:t>41</w:t>
      </w:r>
      <w:r w:rsidRPr="000B62B5">
        <w:rPr>
          <w:rFonts w:cstheme="minorHAnsi"/>
        </w:rPr>
        <w:fldChar w:fldCharType="end"/>
      </w:r>
      <w:r>
        <w:t xml:space="preserve"> </w:t>
      </w:r>
      <w:r>
        <w:rPr>
          <w:i/>
        </w:rPr>
        <w:t>in fine</w:t>
      </w:r>
      <w:r>
        <w:t>).</w:t>
      </w:r>
    </w:p>
    <w:p w:rsidR="00DE4BFE" w:rsidRPr="000B62B5" w:rsidRDefault="00E34145" w:rsidP="000B62B5">
      <w:pPr>
        <w:pStyle w:val="JuHHead"/>
      </w:pPr>
      <w:bookmarkStart w:id="96" w:name="_Toc176454124"/>
      <w:bookmarkStart w:id="97" w:name="_Toc236764723"/>
      <w:r>
        <w:t>CADRUL JURIDIC ȘI PRACTICA RELEVANTE</w:t>
      </w:r>
      <w:bookmarkEnd w:id="96"/>
      <w:bookmarkEnd w:id="97"/>
      <w:r>
        <w:t xml:space="preserve"> </w:t>
      </w:r>
    </w:p>
    <w:p w:rsidR="00DE4BFE" w:rsidRPr="000B62B5" w:rsidRDefault="00E34145" w:rsidP="000B62B5">
      <w:pPr>
        <w:pStyle w:val="JuHIRoman"/>
      </w:pPr>
      <w:bookmarkStart w:id="98" w:name="_Toc176454125"/>
      <w:bookmarkStart w:id="99" w:name="_Toc236764724"/>
      <w:r>
        <w:t>DREPTUL ȘI PRACTICA INTERNE BULGARE</w:t>
      </w:r>
      <w:bookmarkEnd w:id="98"/>
      <w:bookmarkEnd w:id="99"/>
    </w:p>
    <w:p w:rsidR="00DE4BFE" w:rsidRPr="000B62B5" w:rsidRDefault="00E34145" w:rsidP="000B62B5">
      <w:pPr>
        <w:pStyle w:val="JuHA"/>
        <w:rPr>
          <w:caps/>
        </w:rPr>
      </w:pPr>
      <w:bookmarkStart w:id="100" w:name="_Toc176454126"/>
      <w:bookmarkStart w:id="101" w:name="_Toc236764725"/>
      <w:r>
        <w:t>Legea din 2007 privind Agenția de Stat pentru Securitate Națională</w:t>
      </w:r>
      <w:bookmarkEnd w:id="100"/>
      <w:bookmarkEnd w:id="101"/>
    </w:p>
    <w:p w:rsidR="00DE4BFE" w:rsidRPr="000B62B5" w:rsidRDefault="00E34145" w:rsidP="000B62B5">
      <w:pPr>
        <w:pStyle w:val="JuH1"/>
      </w:pPr>
      <w:bookmarkStart w:id="102" w:name="_Toc176454127"/>
      <w:bookmarkStart w:id="103" w:name="_Toc236764726"/>
      <w:r>
        <w:t>Agenția, sarcinile și competențele sale</w:t>
      </w:r>
      <w:bookmarkEnd w:id="102"/>
      <w:bookmarkEnd w:id="103"/>
    </w:p>
    <w:bookmarkStart w:id="104" w:name="RLF_SANS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53</w:t>
      </w:r>
      <w:r w:rsidRPr="000B62B5">
        <w:fldChar w:fldCharType="end"/>
      </w:r>
      <w:bookmarkEnd w:id="104"/>
      <w:r>
        <w:t>. Legea din 2007 privind Agenția de Stat pentru Securitate Națională („Legea din 2007”) – care a înființat Agenția și a definit sarcinile și competențele acesteia – a fost adoptată în decembrie 2007 și a intrat în vigoare în ianuarie 2008.</w:t>
      </w:r>
    </w:p>
    <w:bookmarkStart w:id="105" w:name="RLF_SANSA_SANS_task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54</w:t>
      </w:r>
      <w:r w:rsidRPr="000B62B5">
        <w:fldChar w:fldCharType="end"/>
      </w:r>
      <w:bookmarkEnd w:id="105"/>
      <w:r>
        <w:t>. Agenția se află sub supravegherea directă a Guvernului [articolul 2 alineatul (1)]. Șeful său este numit de Președintele Republicii, după ce a fost numit de Guvern, iar cei doi adjuncți ai acestuia sunt numiți de Guvern [articolul 8 alineatele (1) și (2)]. Principalele sarcini ale Agenției sunt: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protejarea securității naționale împotriva „încălcărilor îndreptate împotriva intereselor naționale, a independenței și a suveranității Republicii Bulgaria, a integrității [sale] teritoriale, a drepturilor și a libertăților fundamentale ale cetățenilor, a funcționării democratice a statului și a instituțiilor civice sau a ordinii constituționale stabilite” [articolul 4 alineatul (1)]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desfășurarea de activități de contrainformații – în special pentru protecția instalațiilor strategice [articolul 4 alineatele (2) și (4)]. Alte atribuții îi pot fi încredințate numai prin lege (articolul 7).</w:t>
      </w:r>
    </w:p>
    <w:bookmarkStart w:id="106" w:name="RLF_SANSA_SANS_tasks_bis"/>
    <w:p w:rsidR="00DE4BFE" w:rsidRPr="000B62B5" w:rsidRDefault="00E34145" w:rsidP="000B62B5">
      <w:pPr>
        <w:pStyle w:val="JuPara"/>
        <w:keepNext/>
      </w:pPr>
      <w:r w:rsidRPr="000B62B5">
        <w:fldChar w:fldCharType="begin"/>
      </w:r>
      <w:r w:rsidRPr="000B62B5">
        <w:instrText xml:space="preserve"> SEQ level0 \*arabic \* MERGEFORMAT </w:instrText>
      </w:r>
      <w:r w:rsidRPr="000B62B5">
        <w:fldChar w:fldCharType="separate"/>
      </w:r>
      <w:r w:rsidR="000B62B5" w:rsidRPr="000B62B5">
        <w:t>55</w:t>
      </w:r>
      <w:r w:rsidRPr="000B62B5">
        <w:fldChar w:fldCharType="end"/>
      </w:r>
      <w:bookmarkEnd w:id="106"/>
      <w:r>
        <w:t>. De exemplu, i-au fost încredințate diverse sarcini în ceea ce privește:</w:t>
      </w:r>
    </w:p>
    <w:p w:rsidR="00DE4BFE" w:rsidRPr="000B62B5" w:rsidRDefault="00E34145" w:rsidP="000B62B5">
      <w:pPr>
        <w:pStyle w:val="JuPara"/>
      </w:pPr>
      <w:r>
        <w:t>(</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spălarea banilor și finanțarea terorismului (articolele 4, 4a, 5, 5b, 9, 9a, 9b, 9v, 11, 11a, 13-14a și 15 din Legea din 2003 privind măsurile împotriva finanțării terorismului și articolele 8, 9e, 36a, 68, 71-79, 81-85, 87-94, 103-104, 108-109 din Legea din 2018 privind măsurile împotriva spălării banilor);</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combaterea terorismului [articolul 8 alineatul (1) din Legea din 2016 privind măsurile de contracarare a terorismului];</w:t>
      </w:r>
    </w:p>
    <w:p w:rsidR="00DE4BFE" w:rsidRPr="000B62B5" w:rsidRDefault="00E34145" w:rsidP="000B62B5">
      <w:pPr>
        <w:pStyle w:val="JuPara"/>
      </w:pPr>
      <w:r>
        <w:lastRenderedPageBreak/>
        <w:t>(</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dobândirea cetățeniei bulgare [articolele 33 și 35 din Legea din 1998 privind cetățenia bulgară și articolul 41 alineatul (1) punctul 3 din Legea din 2007];</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d</w:t>
      </w:r>
      <w:r w:rsidR="000B62B5" w:rsidRPr="000B62B5">
        <w:fldChar w:fldCharType="end"/>
      </w:r>
      <w:r>
        <w:t>) efectuarea de verificări de securitate pentru autorizarea accesului la anumite tipuri de informații clasificate (articolele 11, 12, 14, 48-49 din Legea din 2002 privind protecția informațiilor clasificate);</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e</w:t>
      </w:r>
      <w:r w:rsidR="000B62B5" w:rsidRPr="000B62B5">
        <w:fldChar w:fldCharType="end"/>
      </w:r>
      <w:r>
        <w:t>) controlul imigrației și expulzarea, precum și detenția străinilor legată de acestea [articolul 22 alineatul (4), articolul 24c alineatul (17), articolul 24i alineatul (11), articolul 24i alineatul (6), articolul 33h alineatul (1), articolul 33kk alineatul (8), articolul 33p alineatul (9), articolul 42g și articolul 44 din Legea din 1998 privind străinii și articolul 41 alineatul (1) punctul 2 și alineatele (2) și (3) din Legea din 2007];</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f</w:t>
      </w:r>
      <w:r w:rsidR="000B62B5" w:rsidRPr="000B62B5">
        <w:fldChar w:fldCharType="end"/>
      </w:r>
      <w:r>
        <w:t>) acordarea de azil sau de protecție umanitară [articolul 58 alineatul (10) din Legea din 2002 privind refugiații și azilul și articolul 41 alineatul (1) punctul 1 din Legea din 2007];</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g</w:t>
      </w:r>
      <w:r w:rsidR="000B62B5" w:rsidRPr="000B62B5">
        <w:fldChar w:fldCharType="end"/>
      </w:r>
      <w:r>
        <w:t>) protecția instalațiilor nucleare (articolele 112-114 din Legea din 2002 privind utilizarea pașnică a energiei nucleare);</w:t>
      </w:r>
    </w:p>
    <w:p w:rsidR="00DE4BFE" w:rsidRPr="000B62B5" w:rsidRDefault="00E34145" w:rsidP="000B62B5">
      <w:pPr>
        <w:pStyle w:val="JuPara"/>
        <w:rPr>
          <w:rFonts w:ascii="Verdana" w:eastAsia="Times New Roman" w:hAnsi="Verdana" w:cs="Times New Roman"/>
          <w:b/>
          <w:bCs/>
          <w:color w:val="565656"/>
          <w:sz w:val="23"/>
          <w:szCs w:val="23"/>
        </w:rPr>
      </w:pPr>
      <w:r>
        <w:t>(</w:t>
      </w:r>
      <w:r w:rsidR="000B62B5" w:rsidRPr="000B62B5">
        <w:fldChar w:fldCharType="begin"/>
      </w:r>
      <w:r>
        <w:instrText xml:space="preserve"> SEQ level1 \*alphabetic \* MERGEFORMAT </w:instrText>
      </w:r>
      <w:r w:rsidR="000B62B5" w:rsidRPr="000B62B5">
        <w:fldChar w:fldCharType="separate"/>
      </w:r>
      <w:r w:rsidR="000B62B5" w:rsidRPr="000B62B5">
        <w:t>h</w:t>
      </w:r>
      <w:r w:rsidR="000B62B5" w:rsidRPr="000B62B5">
        <w:fldChar w:fldCharType="end"/>
      </w:r>
      <w:r>
        <w:t>) securitatea cibernetică (articolul 15 din Legea din 2018 privind securitatea cibernetică).</w:t>
      </w:r>
    </w:p>
    <w:bookmarkStart w:id="107" w:name="RLF_SANSA_SANS_tasks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56</w:t>
      </w:r>
      <w:r w:rsidRPr="000B62B5">
        <w:fldChar w:fldCharType="end"/>
      </w:r>
      <w:bookmarkEnd w:id="107"/>
      <w:r>
        <w:t>. În perioada 2013-2015, Agenția a avut, de asemenea, sarcina de a investiga infracțiunile legate de securitatea națională [articolul 4 alineatul (6) din Legea din 2007, adăugat în iunie 2013 și abrogat în februarie 2015].</w:t>
      </w:r>
    </w:p>
    <w:bookmarkStart w:id="108" w:name="RLF_SANSA_SANS_power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57</w:t>
      </w:r>
      <w:r w:rsidRPr="000B62B5">
        <w:fldChar w:fldCharType="end"/>
      </w:r>
      <w:bookmarkEnd w:id="108"/>
      <w:r>
        <w:t>. Principalele două domenii de activitate ale Agenției sunt colectarea și analiza de informații (articolele 18-20 și 28-29 din Legea din 2007). Aceasta poate desfășura, în special, activități de analiză, prognoză și control al informațiilor (</w:t>
      </w:r>
      <w:r>
        <w:rPr>
          <w:i/>
        </w:rPr>
        <w:t>прогностична [и] контролна дейност</w:t>
      </w:r>
      <w:r>
        <w:t>)</w:t>
      </w:r>
      <w:r>
        <w:rPr>
          <w:i/>
        </w:rPr>
        <w:t>,</w:t>
      </w:r>
      <w:r>
        <w:t xml:space="preserve"> utilizând informațiile proprii sau informațiile obținute de la alte autorități, care sunt relevante pentru securitatea națională [articolul 4 alineatul (3)]. Poate monitoriza persoane, obiecte și activități (articolul 5).</w:t>
      </w:r>
    </w:p>
    <w:bookmarkStart w:id="109" w:name="RLF_SANSA_SANS_powers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58</w:t>
      </w:r>
      <w:r w:rsidRPr="000B62B5">
        <w:fldChar w:fldCharType="end"/>
      </w:r>
      <w:bookmarkEnd w:id="109"/>
      <w:r>
        <w:t>. Agenția poate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să verifice bazele de date în ceea ce privește persoanele implicate în infracțiuni care pun în pericol securitatea națională;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să desfășoare activități de supraveghere;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să pătrundă și să desfășoare percheziții în incinte, clădiri, instalații, vehicule sau alte locuri; (</w:t>
      </w:r>
      <w:r w:rsidR="000B62B5" w:rsidRPr="000B62B5">
        <w:fldChar w:fldCharType="begin"/>
      </w:r>
      <w:r>
        <w:instrText xml:space="preserve"> SEQ level1 \*alphabetic \* MERGEFORMAT </w:instrText>
      </w:r>
      <w:r w:rsidR="000B62B5" w:rsidRPr="000B62B5">
        <w:fldChar w:fldCharType="separate"/>
      </w:r>
      <w:r w:rsidR="000B62B5" w:rsidRPr="000B62B5">
        <w:t>d</w:t>
      </w:r>
      <w:r w:rsidR="000B62B5" w:rsidRPr="000B62B5">
        <w:fldChar w:fldCharType="end"/>
      </w:r>
      <w:r>
        <w:t>) să intercepteze convorbiri telefonice; (</w:t>
      </w:r>
      <w:r w:rsidR="000B62B5" w:rsidRPr="000B62B5">
        <w:fldChar w:fldCharType="begin"/>
      </w:r>
      <w:r>
        <w:instrText xml:space="preserve"> SEQ level1 \*alphabetic \* MERGEFORMAT </w:instrText>
      </w:r>
      <w:r w:rsidR="000B62B5" w:rsidRPr="000B62B5">
        <w:fldChar w:fldCharType="separate"/>
      </w:r>
      <w:r w:rsidR="000B62B5" w:rsidRPr="000B62B5">
        <w:t>e</w:t>
      </w:r>
      <w:r w:rsidR="000B62B5" w:rsidRPr="000B62B5">
        <w:fldChar w:fldCharType="end"/>
      </w:r>
      <w:r>
        <w:t>) să obțină informații de la alte canale de comunicare; și (</w:t>
      </w:r>
      <w:r w:rsidR="000B62B5" w:rsidRPr="000B62B5">
        <w:fldChar w:fldCharType="begin"/>
      </w:r>
      <w:r>
        <w:instrText xml:space="preserve"> SEQ level1 \*alphabetic \* MERGEFORMAT </w:instrText>
      </w:r>
      <w:r w:rsidR="000B62B5" w:rsidRPr="000B62B5">
        <w:fldChar w:fldCharType="separate"/>
      </w:r>
      <w:r w:rsidR="000B62B5" w:rsidRPr="000B62B5">
        <w:t>f</w:t>
      </w:r>
      <w:r w:rsidR="000B62B5" w:rsidRPr="000B62B5">
        <w:fldChar w:fldCharType="end"/>
      </w:r>
      <w:r>
        <w:t>) să folosească persoane juridice fără scop lucrativ sau societăți comerciale [articolul 20 alineatul (1) punctele 2, 6, 8-11 și 20 din Legea din 2007). Poate face toate acestea prin „metode și tehnici specifice” și „mijloace speciale de supraveghere”, precum și prin intermediul unor persoane cu care colaborează [articolul 20 alineatul (2)].</w:t>
      </w:r>
    </w:p>
    <w:bookmarkStart w:id="110" w:name="RLF_SANSA_SANS_powers_special_means_surv"/>
    <w:p w:rsidR="00DE4BFE" w:rsidRPr="000B62B5" w:rsidRDefault="00E34145" w:rsidP="000B62B5">
      <w:pPr>
        <w:pStyle w:val="JuPara"/>
        <w:rPr>
          <w:rFonts w:cstheme="minorHAnsi"/>
        </w:rPr>
      </w:pPr>
      <w:r w:rsidRPr="000B62B5">
        <w:fldChar w:fldCharType="begin"/>
      </w:r>
      <w:r w:rsidRPr="000B62B5">
        <w:instrText xml:space="preserve"> SEQ level0 \*arabic \* MERGEFORMAT </w:instrText>
      </w:r>
      <w:r w:rsidRPr="000B62B5">
        <w:fldChar w:fldCharType="separate"/>
      </w:r>
      <w:r w:rsidR="000B62B5" w:rsidRPr="000B62B5">
        <w:t>59</w:t>
      </w:r>
      <w:r w:rsidRPr="000B62B5">
        <w:fldChar w:fldCharType="end"/>
      </w:r>
      <w:bookmarkEnd w:id="110"/>
      <w:r>
        <w:t>. Articolul 21 din Legea din 2007 precizează că Agenția are la dispoziție și poate utiliza „mijloace speciale de supraveghere”, în condițiile prevăzute în Legea din 1997 (a se vedea infra, pct. </w:t>
      </w:r>
      <w:r w:rsidRPr="000B62B5">
        <w:rPr>
          <w:rFonts w:cstheme="minorHAnsi"/>
        </w:rPr>
        <w:fldChar w:fldCharType="begin"/>
      </w:r>
      <w:r w:rsidRPr="000B62B5">
        <w:rPr>
          <w:rFonts w:cstheme="minorHAnsi"/>
        </w:rPr>
        <w:instrText xml:space="preserve"> REF  RLF_SSMA \h  \* MERGEFORMAT </w:instrText>
      </w:r>
      <w:r w:rsidRPr="000B62B5">
        <w:rPr>
          <w:rFonts w:cstheme="minorHAnsi"/>
        </w:rPr>
      </w:r>
      <w:r w:rsidRPr="000B62B5">
        <w:rPr>
          <w:rFonts w:cstheme="minorHAnsi"/>
        </w:rPr>
        <w:fldChar w:fldCharType="separate"/>
      </w:r>
      <w:r w:rsidR="000B62B5" w:rsidRPr="000B62B5">
        <w:t>82</w:t>
      </w:r>
      <w:r w:rsidRPr="000B62B5">
        <w:rPr>
          <w:rFonts w:cstheme="minorHAnsi"/>
        </w:rPr>
        <w:fldChar w:fldCharType="end"/>
      </w:r>
      <w:r>
        <w:t>).</w:t>
      </w:r>
    </w:p>
    <w:bookmarkStart w:id="111" w:name="RLF_SANSA_s_28_1_29_1_2"/>
    <w:p w:rsidR="00DE4BFE" w:rsidRPr="000B62B5" w:rsidRDefault="00E34145" w:rsidP="000B62B5">
      <w:pPr>
        <w:pStyle w:val="JuPara"/>
        <w:rPr>
          <w:rFonts w:cstheme="minorHAnsi"/>
        </w:rPr>
      </w:pPr>
      <w:r w:rsidRPr="000B62B5">
        <w:rPr>
          <w:rFonts w:cstheme="minorHAnsi"/>
        </w:rPr>
        <w:fldChar w:fldCharType="begin"/>
      </w:r>
      <w:r w:rsidRPr="000B62B5">
        <w:rPr>
          <w:rFonts w:cstheme="minorHAnsi"/>
        </w:rPr>
        <w:instrText xml:space="preserve"> SEQ level0 \*arabic \* MERGEFORMAT </w:instrText>
      </w:r>
      <w:r w:rsidRPr="000B62B5">
        <w:rPr>
          <w:rFonts w:cstheme="minorHAnsi"/>
        </w:rPr>
        <w:fldChar w:fldCharType="separate"/>
      </w:r>
      <w:r w:rsidR="000B62B5" w:rsidRPr="000B62B5">
        <w:rPr>
          <w:rFonts w:cstheme="minorHAnsi"/>
        </w:rPr>
        <w:t>60</w:t>
      </w:r>
      <w:r w:rsidRPr="000B62B5">
        <w:rPr>
          <w:rFonts w:cstheme="minorHAnsi"/>
        </w:rPr>
        <w:fldChar w:fldCharType="end"/>
      </w:r>
      <w:bookmarkEnd w:id="111"/>
      <w:r>
        <w:t>. Agenția poate păstra și utiliza baze de date [articolul 28 alineatul (1) din Legea din 2007] și poate prelucra informații – inclusiv date cu caracter personal [articolul 29 alineatele (1) și (2)].</w:t>
      </w:r>
    </w:p>
    <w:p w:rsidR="00DE4BFE" w:rsidRPr="000B62B5" w:rsidRDefault="00E34145" w:rsidP="000B62B5">
      <w:pPr>
        <w:pStyle w:val="JuH1"/>
      </w:pPr>
      <w:bookmarkStart w:id="112" w:name="_Toc176454128"/>
      <w:bookmarkStart w:id="113" w:name="_Toc236764727"/>
      <w:r>
        <w:t>Informatorii recrutați de Agenție</w:t>
      </w:r>
      <w:bookmarkEnd w:id="112"/>
      <w:bookmarkEnd w:id="113"/>
    </w:p>
    <w:bookmarkStart w:id="114" w:name="RLF_SANSA_SANS_collaborator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61</w:t>
      </w:r>
      <w:r w:rsidRPr="000B62B5">
        <w:fldChar w:fldCharType="end"/>
      </w:r>
      <w:bookmarkEnd w:id="114"/>
      <w:r>
        <w:t>. Agenția poate utiliza informatori (</w:t>
      </w:r>
      <w:r>
        <w:rPr>
          <w:i/>
        </w:rPr>
        <w:t>сътрудници</w:t>
      </w:r>
      <w:r>
        <w:t>), care trebuie protejați în perioada colaborării lor sau în legătură cu aceasta [articolul 23 alineatul (1) și alineatul (3) punctul 2 din Legea din 2007]. Identitatea lor, datele cu caracter personal și munca acestora trebuie să fie păstrate secrete [articolul 23 alineatul (3) punctul 3]. Informațiile cu privire la acestea pot fi transmise doar instanțelor sau organelor de urmărire penală în legătură cu o anumită cauză penală, în conformitate cu cerințele Legii din 2002 privind protecția informațiilor clasificate (a se vedea infra, pct. </w:t>
      </w:r>
      <w:r w:rsidRPr="000B62B5">
        <w:fldChar w:fldCharType="begin"/>
      </w:r>
      <w:r w:rsidRPr="000B62B5">
        <w:instrText xml:space="preserve"> REF  RLF_PCIA_s_1_3 \h  \* MERGEFORMAT </w:instrText>
      </w:r>
      <w:r w:rsidRPr="000B62B5">
        <w:fldChar w:fldCharType="separate"/>
      </w:r>
      <w:r w:rsidR="000B62B5" w:rsidRPr="000B62B5">
        <w:t>106</w:t>
      </w:r>
      <w:r w:rsidRPr="000B62B5">
        <w:fldChar w:fldCharType="end"/>
      </w:r>
      <w:r>
        <w:t>-</w:t>
      </w:r>
      <w:r w:rsidRPr="000B62B5">
        <w:fldChar w:fldCharType="begin"/>
      </w:r>
      <w:r w:rsidRPr="000B62B5">
        <w:instrText xml:space="preserve"> REF  RLF_PCIA_s_34_1_2 \h  \* MERGEFORMAT </w:instrText>
      </w:r>
      <w:r w:rsidRPr="000B62B5">
        <w:fldChar w:fldCharType="separate"/>
      </w:r>
      <w:r w:rsidR="000B62B5" w:rsidRPr="000B62B5">
        <w:t>111</w:t>
      </w:r>
      <w:r w:rsidRPr="000B62B5">
        <w:fldChar w:fldCharType="end"/>
      </w:r>
      <w:r>
        <w:t xml:space="preserve">) – și numai după ce informatorii în cauză au fost de acord cu acest lucru [articolul 23 alineatul (4)]. Agenția poate, de asemenea, să refuze să comunice informații </w:t>
      </w:r>
      <w:r>
        <w:lastRenderedPageBreak/>
        <w:t>cu privire la informatori pentru a-și proteja metodele sau tehnicile de colectare a informațiilor (articolul 35a).</w:t>
      </w:r>
    </w:p>
    <w:p w:rsidR="00DE4BFE" w:rsidRPr="000B62B5" w:rsidRDefault="00E34145" w:rsidP="000B62B5">
      <w:pPr>
        <w:pStyle w:val="JuH1"/>
      </w:pPr>
      <w:bookmarkStart w:id="115" w:name="_Toc176454129"/>
      <w:bookmarkStart w:id="116" w:name="_Toc236764728"/>
      <w:r>
        <w:t>Datele cu caracter personal prelucrate de Agenție</w:t>
      </w:r>
      <w:bookmarkEnd w:id="115"/>
      <w:bookmarkEnd w:id="116"/>
    </w:p>
    <w:bookmarkStart w:id="117" w:name="RLF_SANSA_s_36_1"/>
    <w:bookmarkStart w:id="118" w:name="RLF_SANSA_personal_data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62</w:t>
      </w:r>
      <w:r w:rsidRPr="000B62B5">
        <w:fldChar w:fldCharType="end"/>
      </w:r>
      <w:bookmarkEnd w:id="117"/>
      <w:bookmarkEnd w:id="118"/>
      <w:r>
        <w:t>. Bazele de date ale Agenției pot fi automatizate [articolul 34 alineatul (1) și articolul 36 alineatul (2) din Legea din 2007]. Acestea pot fi utilizate pentru prelucrarea datelor cu caracter personal [articolul 34 alineatul (2)]. Operatorul de date este șeful Agenției, care poate încredința prelucrarea de date unor funcționari desemnați [articolul 34 alineatul (9)].</w:t>
      </w:r>
    </w:p>
    <w:bookmarkStart w:id="119" w:name="RLF_SANSA_personal_data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63</w:t>
      </w:r>
      <w:r w:rsidRPr="000B62B5">
        <w:fldChar w:fldCharType="end"/>
      </w:r>
      <w:bookmarkEnd w:id="119"/>
      <w:r>
        <w:t>. Atunci când prelucrează date cu caracter personal referitoare la orice activități legate de protejarea securității naționale, Agenția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nu solicită consimțământul persoanelor în cauză;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nu le informează înaintea sau în timpul prelucrării datelor; sau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nu pune la dispoziție datele cu caracter personal ale altor persoane [articolul 34 alineatul (2)]. Aceste date cu caracter personal trebuie șterse în cazul în care nu mai există niciun motiv legal pentru păstrarea lor sau în cazul în care se dispune astfel de către o instanță [articolul 34 alineatul (5)]. Printre factorii care trebuie luați în considerare în cadrul evaluării privind datele se numără: vârsta persoanei vizate, natura datelor prelucrate, necesitatea prelucrării acestora până la încheierea unei proceduri judiciare sau a unei investigații și expirarea oricărui termen legal de prescripție [articolul 34 alineatul (6)]. Datele cu caracter personal din bazele de date ale Agenției pot fi furnizate doar autorităților care protejează securitatea națională sau autorităților judiciare pentru a răspunde necesităților unei anumite cauze penale [articolul 34 alineatul (7)]. Aceste date pot fi furnizate, de asemenea, autorităților străine în temeiul unui tratat internațional la care Bulgaria este parte [articolul 34 alineatul (8)].</w:t>
      </w:r>
    </w:p>
    <w:bookmarkStart w:id="120" w:name="RLF_SANSA_s_35_1"/>
    <w:bookmarkStart w:id="121" w:name="RLF_SANSA_personal_data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64</w:t>
      </w:r>
      <w:r w:rsidRPr="000B62B5">
        <w:fldChar w:fldCharType="end"/>
      </w:r>
      <w:bookmarkEnd w:id="120"/>
      <w:bookmarkEnd w:id="121"/>
      <w:r>
        <w:t>. Agenția nu poate colecta informații cu privire la: convingeri politice, religioase sau filozofice: apartenența la partide sau organizații politice, apartenența la asociații care au scopuri religioase, filozofice, politice sau sindicale; sau sănătatea ori sexualitatea unei persoane [articolul 35 alineatul (1)].</w:t>
      </w:r>
    </w:p>
    <w:bookmarkStart w:id="122" w:name="RLF_SANSA_personal_data_regs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65</w:t>
      </w:r>
      <w:r w:rsidRPr="000B62B5">
        <w:fldChar w:fldCharType="end"/>
      </w:r>
      <w:bookmarkEnd w:id="122"/>
      <w:r>
        <w:t>. Regulile emise de șeful Agenției în octombrie 2019, în temeiul unei delegări statutare prevăzute la articolul 34 alineatul (10) din Legea din 2007 (</w:t>
      </w:r>
      <w:r>
        <w:rPr>
          <w:i/>
        </w:rPr>
        <w:t>Наредба № I-4 от</w:t>
      </w:r>
      <w:r>
        <w:t xml:space="preserve"> </w:t>
      </w:r>
      <w:r>
        <w:rPr>
          <w:i/>
        </w:rPr>
        <w:t>22.10.2019 г. за реда за обработване на лични данни в Държавна агенция „Национална сигурност“</w:t>
      </w:r>
      <w:r>
        <w:t>), stabilesc norme mai detaliate privind prelucrarea datelor cu caracter personal de către Agenție. Conform regulii 2, această prelucrare trebuie să fie conformă cu principiile legalității, integrității, relevanței și proporționalității, precum și al securității datelor. În temeiul regulii 4, șeful Agenției: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stabilește modul în care Agenția creează, gestionează și controlează baze de date care conțin date cu caracter personal;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verifică dacă prelucrarea unor astfel de date îndeplinește cerințele de protecție a acestora;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ia măsuri pentru remedierea neregulilor; și (</w:t>
      </w:r>
      <w:r w:rsidR="000B62B5" w:rsidRPr="000B62B5">
        <w:fldChar w:fldCharType="begin"/>
      </w:r>
      <w:r>
        <w:instrText xml:space="preserve"> SEQ level1 \*alphabetic \* MERGEFORMAT </w:instrText>
      </w:r>
      <w:r w:rsidR="000B62B5" w:rsidRPr="000B62B5">
        <w:fldChar w:fldCharType="separate"/>
      </w:r>
      <w:r w:rsidR="000B62B5" w:rsidRPr="000B62B5">
        <w:t>d</w:t>
      </w:r>
      <w:r w:rsidR="000B62B5" w:rsidRPr="000B62B5">
        <w:fldChar w:fldCharType="end"/>
      </w:r>
      <w:r>
        <w:t>) asistă Comisia pentru protecția datelor cu caracter personal (a se vedea infra, pct. </w:t>
      </w:r>
      <w:r w:rsidRPr="000B62B5">
        <w:fldChar w:fldCharType="begin"/>
      </w:r>
      <w:r w:rsidRPr="000B62B5">
        <w:instrText xml:space="preserve"> REF  RLF_PPDA_CPPD \h  \* MERGEFORMAT </w:instrText>
      </w:r>
      <w:r w:rsidRPr="000B62B5">
        <w:fldChar w:fldCharType="separate"/>
      </w:r>
      <w:r w:rsidR="000B62B5" w:rsidRPr="000B62B5">
        <w:t>97</w:t>
      </w:r>
      <w:r w:rsidRPr="000B62B5">
        <w:fldChar w:fldCharType="end"/>
      </w:r>
      <w:r>
        <w:t>-</w:t>
      </w:r>
      <w:r w:rsidRPr="000B62B5">
        <w:fldChar w:fldCharType="begin"/>
      </w:r>
      <w:r w:rsidRPr="000B62B5">
        <w:instrText xml:space="preserve"> REF  RLF_PPDA_CPPD_quinquies \h  \* MERGEFORMAT </w:instrText>
      </w:r>
      <w:r w:rsidRPr="000B62B5">
        <w:fldChar w:fldCharType="separate"/>
      </w:r>
      <w:r w:rsidR="000B62B5" w:rsidRPr="000B62B5">
        <w:t>101</w:t>
      </w:r>
      <w:r w:rsidRPr="000B62B5">
        <w:fldChar w:fldCharType="end"/>
      </w:r>
      <w:r>
        <w:t>) în exercitarea funcțiilor sale de supraveghere în temeiul Legii privind protecția datelor cu caracter personal din 2002 (a se vedea infra, pct. </w:t>
      </w:r>
      <w:r w:rsidRPr="000B62B5">
        <w:fldChar w:fldCharType="begin"/>
      </w:r>
      <w:r w:rsidRPr="000B62B5">
        <w:instrText xml:space="preserve"> REF  RLF_PPDA \h  \* MERGEFORMAT </w:instrText>
      </w:r>
      <w:r w:rsidRPr="000B62B5">
        <w:fldChar w:fldCharType="separate"/>
      </w:r>
      <w:r w:rsidR="000B62B5" w:rsidRPr="000B62B5">
        <w:t>84</w:t>
      </w:r>
      <w:r w:rsidRPr="000B62B5">
        <w:fldChar w:fldCharType="end"/>
      </w:r>
      <w:r>
        <w:t>-</w:t>
      </w:r>
      <w:r w:rsidRPr="000B62B5">
        <w:fldChar w:fldCharType="begin"/>
      </w:r>
      <w:r w:rsidRPr="000B62B5">
        <w:instrText xml:space="preserve"> REF  RLF_PPDA_remedies_LED \h  \* MERGEFORMAT </w:instrText>
      </w:r>
      <w:r w:rsidRPr="000B62B5">
        <w:fldChar w:fldCharType="separate"/>
      </w:r>
      <w:r w:rsidR="000B62B5" w:rsidRPr="000B62B5">
        <w:t>105</w:t>
      </w:r>
      <w:r w:rsidRPr="000B62B5">
        <w:fldChar w:fldCharType="end"/>
      </w:r>
      <w:r>
        <w:t>). Șeful Agenției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stabilește ofițerii Agenției care pot prelucra date cu caracter personal (regula 6 punctul 1)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decide, în fiecare caz în parte, dacă aceste date prelucrate de Agenție trebuie să fie șterse, pe baza unei recomandări din partea șefului de unitate respectiv (regula 17).</w:t>
      </w:r>
    </w:p>
    <w:p w:rsidR="00DE4BFE" w:rsidRPr="000B62B5" w:rsidRDefault="00E34145" w:rsidP="000B62B5">
      <w:pPr>
        <w:pStyle w:val="JuHa0"/>
      </w:pPr>
      <w:bookmarkStart w:id="123" w:name="_Toc176454130"/>
      <w:bookmarkStart w:id="124" w:name="_Toc236764729"/>
      <w:r>
        <w:t>Accesul la datele cu caracter personal prelucrate de Agenție</w:t>
      </w:r>
      <w:bookmarkEnd w:id="123"/>
      <w:bookmarkEnd w:id="124"/>
    </w:p>
    <w:p w:rsidR="00DE4BFE" w:rsidRPr="000B62B5" w:rsidRDefault="00E34145" w:rsidP="000B62B5">
      <w:pPr>
        <w:pStyle w:val="JuHi"/>
        <w:spacing w:line="240" w:lineRule="auto"/>
      </w:pPr>
      <w:bookmarkStart w:id="125" w:name="_Toc176454131"/>
      <w:bookmarkStart w:id="126" w:name="_Toc236764730"/>
      <w:r>
        <w:t>Dispoziții și reglementări legale relevante</w:t>
      </w:r>
      <w:bookmarkEnd w:id="125"/>
      <w:bookmarkEnd w:id="126"/>
    </w:p>
    <w:bookmarkStart w:id="127" w:name="RLF_SANSA_s_35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66</w:t>
      </w:r>
      <w:r w:rsidRPr="000B62B5">
        <w:fldChar w:fldCharType="end"/>
      </w:r>
      <w:bookmarkEnd w:id="127"/>
      <w:r>
        <w:t>. Ofițerii Agenției nu pot divulga informațiile deținute de Agenție altor autorități ale statului, organizații, persoane juridice sau persoane fizice, cu excepția cazurilor prevăzute de lege [articolul 35 alineatul (3) din Legea din 2007].</w:t>
      </w:r>
    </w:p>
    <w:bookmarkStart w:id="128" w:name="RLF_SANSA_s_36_4_5_6"/>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67</w:t>
      </w:r>
      <w:r w:rsidRPr="000B62B5">
        <w:fldChar w:fldCharType="end"/>
      </w:r>
      <w:bookmarkEnd w:id="128"/>
      <w:r>
        <w:t>. Orice persoană are dreptul de a solicita accesul la datele cu caracter personal care o privesc și care sunt prelucrate în bazele de date ale Agenției fără cunoștința sa [articolul 36 alineatul (4)]. Șeful Agenției sau un adjunct autorizat în mod corespunzător trebuie să răspundă unei astfel de cereri în termen de 14 zile de la formularea acesteia [articolul 36 alineatul (5)]. În cazul în care o persoană solicită acest lucru, ea trebuie să primească o copie pe suport de hârtie a oricăror date cu caracter personal care o privesc și care sunt prelucrate de Agenție [articolul 36 alineatul (6)].</w:t>
      </w:r>
    </w:p>
    <w:bookmarkStart w:id="129" w:name="RLF_SANSA_s_35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68</w:t>
      </w:r>
      <w:r w:rsidRPr="000B62B5">
        <w:fldChar w:fldCharType="end"/>
      </w:r>
      <w:bookmarkEnd w:id="129"/>
      <w:r>
        <w:t>. În cazul în care exercitarea dreptului de acces ar putea dezvălui datele cu caracter personal ale unei alte persoane, operatorul de date trebuie să acorde acces doar la datele care privesc persoana care solicită accesul [articolul 35 alineatul (2)].</w:t>
      </w:r>
    </w:p>
    <w:bookmarkStart w:id="130" w:name="RLF_SANSA_s_36_10"/>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69</w:t>
      </w:r>
      <w:r w:rsidRPr="000B62B5">
        <w:fldChar w:fldCharType="end"/>
      </w:r>
      <w:bookmarkEnd w:id="130"/>
      <w:r>
        <w:t>. Modul exact de accesare a bazelor de date ale Agenției este prevăzut în regulile adoptate de șeful acesteia [articolul 36 alineatul (10)]. Aceste reguli (</w:t>
      </w:r>
      <w:r>
        <w:rPr>
          <w:i/>
        </w:rPr>
        <w:t xml:space="preserve">Наредба № I-7 от 13.07.2009 г. за реда за достъп до информационните фондове на Държавна агенция „Национална </w:t>
      </w:r>
      <w:r>
        <w:rPr>
          <w:i/>
          <w:iCs/>
        </w:rPr>
        <w:t>сигурност</w:t>
      </w:r>
      <w:r>
        <w:t>“) au fost emise în 2009 și prevăd, printre altele, că, în cazul în care o persoană depune o cerere de acces incompletă, Agenția trebuie să o informeze cu privire la acest lucru; iar în cazul în care persoana respectivă nu rectifică cererea, aceasta nu este examinată (Regula 7 punctele 1 și 2).</w:t>
      </w:r>
    </w:p>
    <w:bookmarkStart w:id="131" w:name="RLF_SANSA_s_36_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70</w:t>
      </w:r>
      <w:r w:rsidRPr="000B62B5">
        <w:fldChar w:fldCharType="end"/>
      </w:r>
      <w:bookmarkEnd w:id="131"/>
      <w:r>
        <w:t>. Agenția poate refuza integral sau parțial, să divulge date în cazul în care acest lucru ar pune în pericol securitatea națională, protecția informațiilor clasificate ca fiind „secrete de stat” sau „secrete de serviciu” (pentru definițiile celor doi termeni din dreptul bulgar, a se vedea infra, pct. </w:t>
      </w:r>
      <w:r w:rsidRPr="000B62B5">
        <w:fldChar w:fldCharType="begin"/>
      </w:r>
      <w:r w:rsidRPr="000B62B5">
        <w:instrText xml:space="preserve"> REF  RLF_PCIA_s_25 \h  \* MERGEFORMAT </w:instrText>
      </w:r>
      <w:r w:rsidRPr="000B62B5">
        <w:fldChar w:fldCharType="separate"/>
      </w:r>
      <w:r w:rsidR="000B62B5" w:rsidRPr="000B62B5">
        <w:t>107</w:t>
      </w:r>
      <w:r w:rsidRPr="000B62B5">
        <w:fldChar w:fldCharType="end"/>
      </w:r>
      <w:r>
        <w:t>-</w:t>
      </w:r>
      <w:r w:rsidRPr="000B62B5">
        <w:fldChar w:fldCharType="begin"/>
      </w:r>
      <w:r w:rsidRPr="000B62B5">
        <w:instrText xml:space="preserve"> REF  RLF_PCIA_s_26_2_3 \h  \* MERGEFORMAT </w:instrText>
      </w:r>
      <w:r w:rsidRPr="000B62B5">
        <w:fldChar w:fldCharType="separate"/>
      </w:r>
      <w:r w:rsidR="000B62B5" w:rsidRPr="000B62B5">
        <w:t>109</w:t>
      </w:r>
      <w:r w:rsidRPr="000B62B5">
        <w:fldChar w:fldCharType="end"/>
      </w:r>
      <w:r>
        <w:t>) sau confidențialitatea surselor sale de informații sau a metodelor și tehnicilor secrete pe care le utilizează pentru a colecta informațiile respective, sau în cazul în care divulgarea ar împiedica în alt mod sarcinile statutare ale Agenției [articolul 36 alineatul (7) și articolul 11 alineatul (1)].</w:t>
      </w:r>
    </w:p>
    <w:bookmarkStart w:id="132" w:name="RLF_SANSA_s_36_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71</w:t>
      </w:r>
      <w:r w:rsidRPr="000B62B5">
        <w:fldChar w:fldCharType="end"/>
      </w:r>
      <w:bookmarkEnd w:id="132"/>
      <w:r>
        <w:t xml:space="preserve">. O persoană a cărei cerere a fost refuzată trebuie să fie informată în scris cu privire la acest lucru, dar este necesar să fie furnizate doar temeiurile juridice pentru refuz [articolul 36 alineatul (8) și regula 11 punctul 2]. Absența unui răspuns în termen trebuie considerată un refuz [articolul 36 alineatul (8) </w:t>
      </w:r>
      <w:r>
        <w:rPr>
          <w:i/>
        </w:rPr>
        <w:t>in fine</w:t>
      </w:r>
      <w:r>
        <w:t>].</w:t>
      </w:r>
    </w:p>
    <w:bookmarkStart w:id="133" w:name="RLF_SANSA_s_36_9"/>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72</w:t>
      </w:r>
      <w:r w:rsidRPr="000B62B5">
        <w:fldChar w:fldCharType="end"/>
      </w:r>
      <w:bookmarkEnd w:id="133"/>
      <w:r>
        <w:t>. Orice astfel de refuz poate fi contestat în justiție în temeiul dispozițiilor relevante din Codul de procedură administrativă [articolul 36 alineatul (9)] – în special pe calea unei acțiuni în control jurisdicțional.</w:t>
      </w:r>
    </w:p>
    <w:p w:rsidR="00DE4BFE" w:rsidRPr="000B62B5" w:rsidRDefault="00E34145" w:rsidP="000B62B5">
      <w:pPr>
        <w:pStyle w:val="JuHi"/>
        <w:spacing w:line="240" w:lineRule="auto"/>
      </w:pPr>
      <w:bookmarkStart w:id="134" w:name="_Toc176454132"/>
      <w:bookmarkStart w:id="135" w:name="_Toc236764731"/>
      <w:r>
        <w:t>Jurisprudența instanțelor bulgare în temeiul acestor dispoziții</w:t>
      </w:r>
      <w:bookmarkEnd w:id="134"/>
      <w:bookmarkEnd w:id="135"/>
    </w:p>
    <w:p w:rsidR="00DE4BFE" w:rsidRPr="000B62B5" w:rsidRDefault="00E34145" w:rsidP="000B62B5">
      <w:pPr>
        <w:pStyle w:val="JuHalpha"/>
        <w:ind w:left="1248" w:hanging="397"/>
      </w:pPr>
      <w:bookmarkStart w:id="136" w:name="_Toc176454133"/>
      <w:bookmarkStart w:id="137" w:name="_Toc236764732"/>
      <w:r>
        <w:t>Cauza din 2012</w:t>
      </w:r>
      <w:bookmarkEnd w:id="136"/>
      <w:bookmarkEnd w:id="137"/>
    </w:p>
    <w:bookmarkStart w:id="138" w:name="RLF_SANSA_s_36_7_case_law_NGO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73</w:t>
      </w:r>
      <w:r w:rsidRPr="000B62B5">
        <w:fldChar w:fldCharType="end"/>
      </w:r>
      <w:bookmarkEnd w:id="138"/>
      <w:r>
        <w:t>. Într-o hotărâre din 2012 (</w:t>
      </w:r>
      <w:r>
        <w:rPr>
          <w:i/>
        </w:rPr>
        <w:t>реш. № 593 от 08.02.2012 г. по адм. д. № 6653/2011 г., АдмС-София-град</w:t>
      </w:r>
      <w:r>
        <w:t>) – care se pare că nu a făcut obiectul unui apel – Tribunalul Administrativ al Orașului Sofia a respins o cerere de control jurisdicțional, formulată de o organizație neguvernamentală, cu privire la refuzul Agenției de a divulga numărul de organizații neguvernamentale pe care le-a investigat în perioada ianuarie 2008-iulie 2011 și rezultatele unor astfel de investigații. Instanța a constatat, printre altele, că informațiile privind operațiunile serviciilor de securitate și rezultatele acestora constituiau un „secret de stat” și, pe această bază, a statuat că informațiile solicitate de organizație erau clasificate. În continuare, aceasta a afirmat că divulgarea unor astfel de informații era, de asemenea, interzisă de articolul 36 alineatul (7) din Legea din 2007 (a se vedea supra, pct. </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w:t>
      </w:r>
    </w:p>
    <w:p w:rsidR="00DE4BFE" w:rsidRPr="000B62B5" w:rsidRDefault="00E34145" w:rsidP="000B62B5">
      <w:pPr>
        <w:pStyle w:val="JuHalpha"/>
        <w:ind w:left="1248" w:hanging="397"/>
      </w:pPr>
      <w:bookmarkStart w:id="139" w:name="_Toc175214981"/>
      <w:bookmarkStart w:id="140" w:name="_Toc176342819"/>
      <w:bookmarkStart w:id="141" w:name="_Toc176454134"/>
      <w:bookmarkStart w:id="142" w:name="_Toc236764733"/>
      <w:r>
        <w:t>Cauza din 2014-2018</w:t>
      </w:r>
      <w:bookmarkEnd w:id="139"/>
      <w:bookmarkEnd w:id="140"/>
      <w:bookmarkEnd w:id="141"/>
      <w:bookmarkEnd w:id="142"/>
    </w:p>
    <w:bookmarkStart w:id="143" w:name="RLF_SANSA_s_36_7_case_law_pers_dat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74</w:t>
      </w:r>
      <w:r w:rsidRPr="000B62B5">
        <w:fldChar w:fldCharType="end"/>
      </w:r>
      <w:bookmarkEnd w:id="143"/>
      <w:r>
        <w:t>. Într-o hotărâre din 2014 (</w:t>
      </w:r>
      <w:r>
        <w:rPr>
          <w:i/>
        </w:rPr>
        <w:t>реш. № 13080 от 04.11.2014 г. по адм. д. № 6237/2014 г., ВАС, V о.</w:t>
      </w:r>
      <w:r>
        <w:t xml:space="preserve">), Curtea Administrativă Supremă a anulat refuzul tacit al Agenției de a dezvălui dacă prelucra sau nu datele unei anumite persoane și, în caz afirmativ, de a acorda persoanei </w:t>
      </w:r>
      <w:r>
        <w:lastRenderedPageBreak/>
        <w:t>respective acces la orice date care o priveau și pe care le prelucra. Instanța a statuat că, în absența unei decizii exprese luate de Agenție, nu exista niciun element care să indice că refuzul de a divulga informațiile referitoare la datele persoanei în cauză a fost justificat. În toate aceste cazuri, era necesar să se verifice că Agenția, în calitate de operator de date, a apreciat în mod corespunzător, în raport cu normele relevante [inclusiv articolul 36 alineatul (7) – a se vedea supra, pct. </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 că informațiile în cauză nu trebuiau divulgate.</w:t>
      </w:r>
    </w:p>
    <w:bookmarkStart w:id="144" w:name="RLF_SANSA_s_36_7_case_law_pers_dat_1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75</w:t>
      </w:r>
      <w:r w:rsidRPr="000B62B5">
        <w:fldChar w:fldCharType="end"/>
      </w:r>
      <w:bookmarkEnd w:id="144"/>
      <w:r>
        <w:t>. În urma acestei hotărâri, Agenția și-a exprimat în mod expres refuzul de a divulga astfel de informații, precizând că acest lucru ar expune sursele și metodele sale. Tribunalul Administrativ din Varna a respins acțiunea în control jurisdicțional al acestei decizii, iar în 2018 Curtea Administrativă Supremă a confirmat hotărârea acesteia. Aceasta a citat articolul 36 alineatul (7) (a se vedea supra, pct. </w:t>
      </w:r>
      <w:r w:rsidRPr="000B62B5">
        <w:fldChar w:fldCharType="begin"/>
      </w:r>
      <w:r w:rsidRPr="000B62B5">
        <w:instrText xml:space="preserve"> REF  RLF_SANSA_s_36_7 \h  \* MERGEFORMAT </w:instrText>
      </w:r>
      <w:r w:rsidRPr="000B62B5">
        <w:fldChar w:fldCharType="separate"/>
      </w:r>
      <w:r w:rsidR="000B62B5" w:rsidRPr="000B62B5">
        <w:t>70</w:t>
      </w:r>
      <w:r w:rsidRPr="000B62B5">
        <w:fldChar w:fldCharType="end"/>
      </w:r>
      <w:r>
        <w:t>) și a menționat pe scurt că, potrivit articolului 3 alineatul (1) din Legea din 2002 privind protecția informațiilor clasificate (a se vedea infra, pct. </w:t>
      </w:r>
      <w:r w:rsidRPr="000B62B5">
        <w:fldChar w:fldCharType="begin"/>
      </w:r>
      <w:r w:rsidRPr="000B62B5">
        <w:instrText xml:space="preserve"> REF RLF_PCIA_s_38_1 \h </w:instrText>
      </w:r>
      <w:r w:rsidRPr="000B62B5">
        <w:fldChar w:fldCharType="separate"/>
      </w:r>
      <w:r w:rsidR="000B62B5" w:rsidRPr="000B62B5">
        <w:t>112</w:t>
      </w:r>
      <w:r w:rsidRPr="000B62B5">
        <w:fldChar w:fldCharType="end"/>
      </w:r>
      <w:r>
        <w:t xml:space="preserve"> </w:t>
      </w:r>
      <w:r>
        <w:rPr>
          <w:i/>
        </w:rPr>
        <w:t>in fine</w:t>
      </w:r>
      <w:r>
        <w:t xml:space="preserve">), doar persoanele care dețineau un certificat de securitate și care aveau nevoie de astfel de informații clasificate pentru îndeplinirea sarcinilor lor specifice puteau avea acces la aceste informații (a se vedea </w:t>
      </w:r>
      <w:r>
        <w:rPr>
          <w:i/>
        </w:rPr>
        <w:t>реш. № 94 от 04.01.2018 г. по адм. д. № 5244/2016 г., ВАС, V о.</w:t>
      </w:r>
      <w:r>
        <w:t>). Cauza din 2021-2022</w:t>
      </w:r>
    </w:p>
    <w:p w:rsidR="00DE4BFE" w:rsidRPr="000B62B5" w:rsidRDefault="00DE4BFE" w:rsidP="000B62B5">
      <w:pPr>
        <w:pStyle w:val="JuHalpha"/>
        <w:ind w:left="1248" w:hanging="397"/>
      </w:pPr>
      <w:bookmarkStart w:id="145" w:name="_Toc175214982"/>
      <w:bookmarkStart w:id="146" w:name="_Toc176342820"/>
      <w:bookmarkStart w:id="147" w:name="_Toc176454135"/>
      <w:bookmarkStart w:id="148" w:name="_Toc236764734"/>
      <w:bookmarkEnd w:id="145"/>
      <w:bookmarkEnd w:id="146"/>
      <w:bookmarkEnd w:id="147"/>
      <w:bookmarkEnd w:id="148"/>
    </w:p>
    <w:bookmarkStart w:id="149" w:name="RLF_SANSA_s_36_7_case_law_pers_dat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76</w:t>
      </w:r>
      <w:r w:rsidRPr="000B62B5">
        <w:fldChar w:fldCharType="end"/>
      </w:r>
      <w:bookmarkEnd w:id="149"/>
      <w:r>
        <w:t>. Într-o hotărâre din iulie 2021 (</w:t>
      </w:r>
      <w:r>
        <w:rPr>
          <w:i/>
        </w:rPr>
        <w:t>реш. № 4760 от 16.07.2021 г. по адм. д. № 3553/2021 г., АдмС-София-град</w:t>
      </w:r>
      <w:r>
        <w:t>), Tribunalul Administrativ al Orașului Sofia a respins o acțiune în control jurisdicțional al refuzului Agenției de a divulga dacă prelucra sau nu datele unei persoane și, în caz afirmativ, de a-i permite accesul la oricare dintre datele sale cu caracter personal pe care era posibil să le prelucreze Agenția. Tribunalul a prezentat motive similare celor pe care le-a prezentat patru luni mai târziu, în noiembrie 2021, pentru respingerea primei acțiuni în control jurisdicțional formulate de reclamanții în prezenta cauză (a se vedea supra, pct. </w:t>
      </w:r>
      <w:r w:rsidRPr="000B62B5">
        <w:fldChar w:fldCharType="begin"/>
      </w:r>
      <w:r w:rsidRPr="000B62B5">
        <w:instrText xml:space="preserve"> REF  F_1_inf_req_jud_rev_claim_SCAC_jud \h  \* MERGEFORMAT </w:instrText>
      </w:r>
      <w:r w:rsidRPr="000B62B5">
        <w:fldChar w:fldCharType="separate"/>
      </w:r>
      <w:r w:rsidR="000B62B5" w:rsidRPr="000B62B5">
        <w:t>19</w:t>
      </w:r>
      <w:r w:rsidRPr="000B62B5">
        <w:fldChar w:fldCharType="end"/>
      </w:r>
      <w:r>
        <w:t xml:space="preserve">). Apelul declarat împotriva hotărârii tribunalului a fost respins din motive procedurale, fără examinarea fondului, întrucât era afectat de vicii, iar reclamantul nu a făcut rectificările necesare în termenul dispus de instanță (a se vedea </w:t>
      </w:r>
      <w:r>
        <w:rPr>
          <w:i/>
        </w:rPr>
        <w:t>опр. № 3358 от 08.04.2022 г. по адм. д. № 798/2022 г., ВАС, V о.</w:t>
      </w:r>
      <w:r>
        <w:t>).</w:t>
      </w:r>
    </w:p>
    <w:p w:rsidR="00DE4BFE" w:rsidRPr="000B62B5" w:rsidRDefault="00E34145" w:rsidP="000B62B5">
      <w:pPr>
        <w:pStyle w:val="JuHa0"/>
      </w:pPr>
      <w:bookmarkStart w:id="150" w:name="_Toc176454136"/>
      <w:bookmarkStart w:id="151" w:name="_Toc236764735"/>
      <w:r>
        <w:t>Supravegherea prelucrării datelor cu caracter personal de către Agenție</w:t>
      </w:r>
      <w:bookmarkEnd w:id="150"/>
      <w:bookmarkEnd w:id="151"/>
    </w:p>
    <w:bookmarkStart w:id="152" w:name="RLF_SANSA_s_3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77</w:t>
      </w:r>
      <w:r w:rsidRPr="000B62B5">
        <w:fldChar w:fldCharType="end"/>
      </w:r>
      <w:bookmarkEnd w:id="152"/>
      <w:r>
        <w:t>. Articolul 37 din Legea din 2007, astfel cum a fost adoptată inițial (nemodificată ulterior), prevede că supravegherea protecției drepturilor persoanelor fizice în cursul prelucrării datelor lor cu caracter personal de către Agenție și a accesului la aceste date ar trebui să fie efectuată de Comisia pentru protecția datelor cu caracter personal, în condițiile și potrivit modalităților prevăzute de Legea din 2002 privind protecția datelor cu caracter personal (a se vedea infra, pct. </w:t>
      </w:r>
      <w:r w:rsidRPr="000B62B5">
        <w:fldChar w:fldCharType="begin"/>
      </w:r>
      <w:r w:rsidRPr="000B62B5">
        <w:instrText xml:space="preserve"> REF  RLF_PPDA \h  \* MERGEFORMAT </w:instrText>
      </w:r>
      <w:r w:rsidRPr="000B62B5">
        <w:fldChar w:fldCharType="separate"/>
      </w:r>
      <w:r w:rsidR="000B62B5" w:rsidRPr="000B62B5">
        <w:t>84</w:t>
      </w:r>
      <w:r w:rsidRPr="000B62B5">
        <w:fldChar w:fldCharType="end"/>
      </w:r>
      <w:r>
        <w:t>-</w:t>
      </w:r>
      <w:r w:rsidRPr="000B62B5">
        <w:fldChar w:fldCharType="begin"/>
      </w:r>
      <w:r w:rsidRPr="000B62B5">
        <w:instrText xml:space="preserve"> REF  RLF_PPDA_CPPD_quinquies \h  \* MERGEFORMAT </w:instrText>
      </w:r>
      <w:r w:rsidRPr="000B62B5">
        <w:fldChar w:fldCharType="separate"/>
      </w:r>
      <w:r w:rsidR="000B62B5" w:rsidRPr="000B62B5">
        <w:t>101</w:t>
      </w:r>
      <w:r w:rsidRPr="000B62B5">
        <w:fldChar w:fldCharType="end"/>
      </w:r>
      <w:r>
        <w:t>).</w:t>
      </w:r>
    </w:p>
    <w:p w:rsidR="00DE4BFE" w:rsidRPr="000B62B5" w:rsidRDefault="00E34145" w:rsidP="000B62B5">
      <w:pPr>
        <w:pStyle w:val="JuH1"/>
      </w:pPr>
      <w:bookmarkStart w:id="153" w:name="_Toc176342811"/>
      <w:bookmarkStart w:id="154" w:name="_Toc176454137"/>
      <w:bookmarkStart w:id="155" w:name="_Toc236764736"/>
      <w:r>
        <w:t>Supravegherea generală a activității Agenției</w:t>
      </w:r>
      <w:bookmarkEnd w:id="153"/>
      <w:bookmarkEnd w:id="154"/>
      <w:bookmarkEnd w:id="155"/>
    </w:p>
    <w:p w:rsidR="00DE4BFE" w:rsidRPr="000B62B5" w:rsidRDefault="00E34145" w:rsidP="000B62B5">
      <w:pPr>
        <w:pStyle w:val="JuHa0"/>
      </w:pPr>
      <w:bookmarkStart w:id="156" w:name="_Toc176342812"/>
      <w:bookmarkStart w:id="157" w:name="_Toc176454138"/>
      <w:bookmarkStart w:id="158" w:name="_Toc236764737"/>
      <w:r>
        <w:t>Supravegherea de către Parlament</w:t>
      </w:r>
      <w:bookmarkEnd w:id="156"/>
      <w:bookmarkEnd w:id="157"/>
      <w:bookmarkEnd w:id="158"/>
    </w:p>
    <w:bookmarkStart w:id="159" w:name="RLF_SANSA_s_132_1_et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78</w:t>
      </w:r>
      <w:r w:rsidRPr="000B62B5">
        <w:fldChar w:fldCharType="end"/>
      </w:r>
      <w:bookmarkEnd w:id="159"/>
      <w:r>
        <w:t xml:space="preserve">. Parlamentul Bulgariei (Adunarea Națională) are o comisie permanentă specială – Comisia pentru supravegherea serviciilor de securitate, a aplicării și utilizării mijloacelor speciale de supraveghere și a accesului la date în temeiul Legii privind comunicațiile electronice – care are sarcina, printre altele, de a supraveghea activitatea Agenției în temeiul articolului 132 alineatul (1) din Legea din 2007 și al articolului 22 alineatul (1) din Legea din 2015 privind gestionarea și funcționarea sistemului de apărare a securității naționale („Legea din 2015”), în temeiul articolului 16 alineatul (1) punctul 11 din Regulamentul Adunării Naționale pentru perioadele 2021-2022, 2022-2023 și 2023-2024 [care a fost înlocuit de articolul 16 alineatul (1) </w:t>
      </w:r>
      <w:r>
        <w:lastRenderedPageBreak/>
        <w:t>punctul 10 din Regulamentul Adunării Naționale din 2024], și în temeiul articolului 4 din cele mai recente (și aproape identice) revizuiri ale Regulamentului de procedură al Comitetului, care au fost adoptate în ianuarie 2022, noiembrie 2022, mai 2023 și iulie 2024). În perioada 2021-2023, Comitetul a avut 14 membri și, din mai 2023, are 12 membri. Comitetul este reconstituit de fiecare Parlament nou-ales. În conformitate cu toate deciziile succesive privind alegerea Comitetului (cele mai recente au fost luate în decembrie 2021, octombrie 2022, mai 2023 și iulie 2024), acesta trebuie să aibă în componență deputați din fiecare grup parlamentar. Acesta trebuie să verifice, în special, dacă, în exercitarea activității lor, serviciile de securitate respectă dispozițiile legale care garantează drepturile fundamentale ale omului [articolul 15 alineatul (1) punctul 6 din Regulamentul de procedură al Comitetului]. Acesta poate solicita serviciilor de securitate să elaboreze rapoarte tematice [articolul 15 alineatul (1) punctul 4 din Regulamentul de procedură al Comitetului]. De asemenea, acesta poate examina rapoartele persoanelor fizice sau ale organizațiilor cu privire la abaterile comise de ofițerii serviciilor de securitate [articolul 15 alineatul (1) punctul 9 din Regulamentul de procedură al Comitetului] și poate sesiza organele de urmărire penală sau alte autorități competente cu privire la comportamentele ilegale ale serviciilor respective, pe care le-a identificat în cursul propriilor inspecții (sau care au fost reclamate de persoane fizice) [articolul 15 alineatul (1) punctul 10 din Regulamentul de procedură al Comitetului].</w:t>
      </w:r>
    </w:p>
    <w:bookmarkStart w:id="160" w:name="RLF_SANSA_s_132_2_et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79</w:t>
      </w:r>
      <w:r w:rsidRPr="000B62B5">
        <w:fldChar w:fldCharType="end"/>
      </w:r>
      <w:bookmarkEnd w:id="160"/>
      <w:r>
        <w:t xml:space="preserve">. Șeful Agenției, șefii adjuncți și ofițerii trebuie să se prezinte în fața Parlamentului sau a Comitetului, în cazul în care sunt invitați să facă acest lucru, și să le pună la dispoziție orice informații pe care trebuie să le divulge [articolul 132 alineatul (2) din Legea din 2007, articolul 22 alineatul (2) din Legea din 2015 și regula 15 alineatul (1) punctul 5 din Regulamentul de procedură al Comitetului]. Articolul 22 alineatul (2) </w:t>
      </w:r>
      <w:r>
        <w:rPr>
          <w:i/>
        </w:rPr>
        <w:t>in fine</w:t>
      </w:r>
      <w:r>
        <w:t xml:space="preserve"> din Legea din 2015 prevede, de asemenea, că acest lucru trebuie realizat în conformitate cu cerințele Legii din 2002 privind </w:t>
      </w:r>
      <w:bookmarkStart w:id="161" w:name="_Toc175565283"/>
      <w:r>
        <w:t>protecția informațiilor clasificate</w:t>
      </w:r>
      <w:bookmarkEnd w:id="161"/>
      <w:r>
        <w:t>.</w:t>
      </w:r>
    </w:p>
    <w:p w:rsidR="00DE4BFE" w:rsidRPr="000B62B5" w:rsidRDefault="00E34145" w:rsidP="000B62B5">
      <w:pPr>
        <w:pStyle w:val="JuHa0"/>
      </w:pPr>
      <w:bookmarkStart w:id="162" w:name="_Toc176342813"/>
      <w:bookmarkStart w:id="163" w:name="_Toc176454139"/>
      <w:bookmarkStart w:id="164" w:name="_Toc236764738"/>
      <w:r>
        <w:t>Supravegherea de către Guvern</w:t>
      </w:r>
      <w:bookmarkEnd w:id="162"/>
      <w:bookmarkEnd w:id="163"/>
      <w:bookmarkEnd w:id="164"/>
    </w:p>
    <w:bookmarkStart w:id="165" w:name="RLF_SANSA_s_132_3_et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80</w:t>
      </w:r>
      <w:r w:rsidRPr="000B62B5">
        <w:fldChar w:fldCharType="end"/>
      </w:r>
      <w:bookmarkEnd w:id="165"/>
      <w:r>
        <w:t>. Șeful Agenției prezintă Guvernului un raport anual cu privire la activitatea Agenției, iar apoi Guvernul prezintă acest raport Parlamentului, care îl aprobă [articolul 132 alineatul (3) din Legea din 2007 și articolul 22 alineatul (3) din Legea din 2015].</w:t>
      </w:r>
    </w:p>
    <w:p w:rsidR="00DE4BFE" w:rsidRPr="000B62B5" w:rsidRDefault="00E34145" w:rsidP="000B62B5">
      <w:pPr>
        <w:pStyle w:val="JuHa0"/>
      </w:pPr>
      <w:bookmarkStart w:id="166" w:name="_Toc176342814"/>
      <w:bookmarkStart w:id="167" w:name="_Toc176454140"/>
      <w:bookmarkStart w:id="168" w:name="_Toc236764739"/>
      <w:r>
        <w:t>Supravegherea de către Președintele Republicii</w:t>
      </w:r>
      <w:bookmarkEnd w:id="166"/>
      <w:bookmarkEnd w:id="167"/>
      <w:bookmarkEnd w:id="168"/>
    </w:p>
    <w:bookmarkStart w:id="169" w:name="RLF_SANSA_s_132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81</w:t>
      </w:r>
      <w:r w:rsidRPr="000B62B5">
        <w:fldChar w:fldCharType="end"/>
      </w:r>
      <w:bookmarkEnd w:id="169"/>
      <w:r>
        <w:t>. Președintele Republicii poate solicita șefului Agenției să efectueze analize ale unor chestiuni legate de securitatea națională (articolul 132a din Legea din 2007).</w:t>
      </w:r>
    </w:p>
    <w:p w:rsidR="00DE4BFE" w:rsidRPr="000B62B5" w:rsidRDefault="00E34145" w:rsidP="000B62B5">
      <w:pPr>
        <w:pStyle w:val="JuHA"/>
        <w:rPr>
          <w:caps/>
        </w:rPr>
      </w:pPr>
      <w:bookmarkStart w:id="170" w:name="_Toc176454141"/>
      <w:bookmarkStart w:id="171" w:name="_Toc236764740"/>
      <w:r>
        <w:t>Legea din 1997 privind mijloacele speciale de supraveghere</w:t>
      </w:r>
      <w:bookmarkEnd w:id="170"/>
      <w:bookmarkEnd w:id="171"/>
    </w:p>
    <w:bookmarkStart w:id="172" w:name="RLF_SSMA"/>
    <w:p w:rsidR="00DE4BFE" w:rsidRPr="000B62B5" w:rsidRDefault="00E34145" w:rsidP="000B62B5">
      <w:pPr>
        <w:pStyle w:val="JuPara"/>
        <w:rPr>
          <w:rFonts w:cstheme="minorHAnsi"/>
        </w:rPr>
      </w:pPr>
      <w:r w:rsidRPr="000B62B5">
        <w:fldChar w:fldCharType="begin"/>
      </w:r>
      <w:r w:rsidRPr="000B62B5">
        <w:instrText xml:space="preserve"> SEQ level0 \*arabic \* MERGEFORMAT </w:instrText>
      </w:r>
      <w:r w:rsidRPr="000B62B5">
        <w:fldChar w:fldCharType="separate"/>
      </w:r>
      <w:r w:rsidR="000B62B5" w:rsidRPr="000B62B5">
        <w:t>82</w:t>
      </w:r>
      <w:r w:rsidRPr="000B62B5">
        <w:fldChar w:fldCharType="end"/>
      </w:r>
      <w:bookmarkEnd w:id="172"/>
      <w:r>
        <w:t xml:space="preserve">. Legea din 1997 privind mijloacele speciale de supraveghere, astfel cum a fost modificată („Legea din 1997”), și aplicarea acesteia au fost descrise recent, în detaliu, în hotărârea </w:t>
      </w:r>
      <w:r>
        <w:rPr>
          <w:i/>
          <w:iCs/>
        </w:rPr>
        <w:t>Ekimdjiev</w:t>
      </w:r>
      <w:r>
        <w:t xml:space="preserve"> </w:t>
      </w:r>
      <w:r>
        <w:rPr>
          <w:i/>
        </w:rPr>
        <w:t>și alții</w:t>
      </w:r>
      <w:r>
        <w:t xml:space="preserve"> (citată anterior, pct. 11-135). În speță, este suficient să se constate că:</w:t>
      </w:r>
    </w:p>
    <w:p w:rsidR="00DE4BFE" w:rsidRPr="000B62B5" w:rsidRDefault="00E34145" w:rsidP="000B62B5">
      <w:pPr>
        <w:pStyle w:val="JuPara"/>
        <w:rPr>
          <w:rFonts w:cstheme="minorHAnsi"/>
        </w:rPr>
      </w:pPr>
      <w:r>
        <w:t>(</w:t>
      </w:r>
      <w:bookmarkStart w:id="173" w:name="RLF_SSMA_authorities_which_can_seek"/>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173"/>
      <w:r>
        <w:t>) singurele autorități care pot solicita utilizarea „mijloacelor speciale de supraveghere” în afara cadrului procedurilor penale deja pendinte sunt: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diferitele direcții ale Ministerului Afacerilor Interne;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direcțiile și unitățile teritoriale ale Agenției (</w:t>
      </w:r>
      <w:r w:rsidR="000B62B5" w:rsidRPr="000B62B5">
        <w:fldChar w:fldCharType="begin"/>
      </w:r>
      <w:r>
        <w:instrText xml:space="preserve"> SEQ level2 \*roman \* MERGEFORMAT </w:instrText>
      </w:r>
      <w:r w:rsidR="000B62B5" w:rsidRPr="000B62B5">
        <w:fldChar w:fldCharType="separate"/>
      </w:r>
      <w:r w:rsidR="000B62B5" w:rsidRPr="000B62B5">
        <w:t>iii</w:t>
      </w:r>
      <w:r w:rsidR="000B62B5" w:rsidRPr="000B62B5">
        <w:fldChar w:fldCharType="end"/>
      </w:r>
      <w:r>
        <w:t>) Serviciul militar de informații și Serviciul de poliție militară ale Ministerului Apărării; (</w:t>
      </w:r>
      <w:r w:rsidR="000B62B5" w:rsidRPr="000B62B5">
        <w:fldChar w:fldCharType="begin"/>
      </w:r>
      <w:r>
        <w:instrText xml:space="preserve"> SEQ level2 \*roman \* MERGEFORMAT </w:instrText>
      </w:r>
      <w:r w:rsidR="000B62B5" w:rsidRPr="000B62B5">
        <w:fldChar w:fldCharType="separate"/>
      </w:r>
      <w:r w:rsidR="000B62B5" w:rsidRPr="000B62B5">
        <w:t>iv</w:t>
      </w:r>
      <w:r w:rsidR="000B62B5" w:rsidRPr="000B62B5">
        <w:fldChar w:fldCharType="end"/>
      </w:r>
      <w:r>
        <w:t>) Agenția Națională de Informații; (</w:t>
      </w:r>
      <w:r w:rsidR="000B62B5" w:rsidRPr="000B62B5">
        <w:fldChar w:fldCharType="begin"/>
      </w:r>
      <w:r>
        <w:instrText xml:space="preserve"> SEQ level2 \*roman \* MERGEFORMAT </w:instrText>
      </w:r>
      <w:r w:rsidR="000B62B5" w:rsidRPr="000B62B5">
        <w:fldChar w:fldCharType="separate"/>
      </w:r>
      <w:r w:rsidR="000B62B5" w:rsidRPr="000B62B5">
        <w:t>v</w:t>
      </w:r>
      <w:r w:rsidR="000B62B5" w:rsidRPr="000B62B5">
        <w:fldChar w:fldCharType="end"/>
      </w:r>
      <w:r>
        <w:t>) parchetele regionale (doar în legătură cu infracțiuni electorale grave); și (</w:t>
      </w:r>
      <w:r w:rsidR="000B62B5" w:rsidRPr="000B62B5">
        <w:fldChar w:fldCharType="begin"/>
      </w:r>
      <w:r>
        <w:instrText xml:space="preserve"> SEQ level2 \*roman \* MERGEFORMAT </w:instrText>
      </w:r>
      <w:r w:rsidR="000B62B5" w:rsidRPr="000B62B5">
        <w:fldChar w:fldCharType="separate"/>
      </w:r>
      <w:r w:rsidR="000B62B5" w:rsidRPr="000B62B5">
        <w:t>vi</w:t>
      </w:r>
      <w:r w:rsidR="000B62B5" w:rsidRPr="000B62B5">
        <w:fldChar w:fldCharType="end"/>
      </w:r>
      <w:r>
        <w:t>) direcția specializată anticorupție [articolul 13 alineatul (1) din Legea din 1997]. În cadrul procedurilor penale, acest lucru poate fi realizat de procurorul responsabil cu supravegherea anchetei preliminare [articolul 13 alineatul (2) din Legea din 1997 și articolul 173 alineatul (1) din Codul de procedură penală].</w:t>
      </w:r>
    </w:p>
    <w:p w:rsidR="00DE4BFE" w:rsidRPr="000B62B5" w:rsidRDefault="00E34145" w:rsidP="000B62B5">
      <w:pPr>
        <w:pStyle w:val="JuPara"/>
        <w:rPr>
          <w:rFonts w:cstheme="minorHAnsi"/>
        </w:rPr>
      </w:pPr>
      <w:r>
        <w:lastRenderedPageBreak/>
        <w:t>(</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ca regulă generală, mandatele de supraveghere pot fi emise doar de președintele Tribunalului orașului Sofia și de președinții tribunalelor regionale sau militare respective (și, în perioada august 2011-iulie 2022, fostul Tribunal Penal Specializat) sau de un adjunct autorizat în mod expres [articolul 15 alineatele (1) și (2) din Legea din 1997 și articolul 174 alineatele (1) și (2) din Codul de procedură penală].</w:t>
      </w:r>
    </w:p>
    <w:p w:rsidR="00DE4BFE" w:rsidRPr="000B62B5" w:rsidRDefault="00E34145" w:rsidP="000B62B5">
      <w:pPr>
        <w:pStyle w:val="JuPara"/>
        <w:rPr>
          <w:rFonts w:cstheme="minorHAnsi"/>
        </w:rPr>
      </w:pPr>
      <w:r>
        <w:t>(</w:t>
      </w:r>
      <w:bookmarkStart w:id="174" w:name="RLF_SSMA_surveillance_authorities"/>
      <w:r w:rsidRPr="000B62B5">
        <w:fldChar w:fldCharType="begin"/>
      </w:r>
      <w:r w:rsidRPr="000B62B5">
        <w:instrText xml:space="preserve"> SEQ level1 \*alphabetic \* MERGEFORMAT </w:instrText>
      </w:r>
      <w:r w:rsidRPr="000B62B5">
        <w:fldChar w:fldCharType="separate"/>
      </w:r>
      <w:r w:rsidR="000B62B5" w:rsidRPr="000B62B5">
        <w:t>c</w:t>
      </w:r>
      <w:r w:rsidRPr="000B62B5">
        <w:fldChar w:fldCharType="end"/>
      </w:r>
      <w:bookmarkEnd w:id="174"/>
      <w:r>
        <w:t>) singurele autorități care pot folosi „mijloace speciale de supraveghere” sunt: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Agenția pentru operațiuni tehnice, sub supravegherea directă a Guvernului;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Direcția Operațiuni Tehnice a Agenției; (</w:t>
      </w:r>
      <w:r w:rsidR="000B62B5" w:rsidRPr="000B62B5">
        <w:fldChar w:fldCharType="begin"/>
      </w:r>
      <w:r>
        <w:instrText xml:space="preserve"> SEQ level2 \*roman \* MERGEFORMAT </w:instrText>
      </w:r>
      <w:r w:rsidR="000B62B5" w:rsidRPr="000B62B5">
        <w:fldChar w:fldCharType="separate"/>
      </w:r>
      <w:r w:rsidR="000B62B5" w:rsidRPr="000B62B5">
        <w:t>iii</w:t>
      </w:r>
      <w:r w:rsidR="000B62B5" w:rsidRPr="000B62B5">
        <w:fldChar w:fldCharType="end"/>
      </w:r>
      <w:r>
        <w:t>) Agenția Națională de Informații (în cadrul sferei sale specifice de competență); (</w:t>
      </w:r>
      <w:r w:rsidR="000B62B5" w:rsidRPr="000B62B5">
        <w:fldChar w:fldCharType="begin"/>
      </w:r>
      <w:r>
        <w:instrText xml:space="preserve"> SEQ level2 \*roman \* MERGEFORMAT </w:instrText>
      </w:r>
      <w:r w:rsidR="000B62B5" w:rsidRPr="000B62B5">
        <w:fldChar w:fldCharType="separate"/>
      </w:r>
      <w:r w:rsidR="000B62B5" w:rsidRPr="000B62B5">
        <w:t>iv</w:t>
      </w:r>
      <w:r w:rsidR="000B62B5" w:rsidRPr="000B62B5">
        <w:fldChar w:fldCharType="end"/>
      </w:r>
      <w:r>
        <w:t>) Serviciile de Informații ale Ministerului Apărării (tot în cadrul sferei lor specifice de competență); și (</w:t>
      </w:r>
      <w:r w:rsidR="000B62B5" w:rsidRPr="000B62B5">
        <w:fldChar w:fldCharType="begin"/>
      </w:r>
      <w:r>
        <w:instrText xml:space="preserve"> SEQ level2 \*roman \* MERGEFORMAT </w:instrText>
      </w:r>
      <w:r w:rsidR="000B62B5" w:rsidRPr="000B62B5">
        <w:fldChar w:fldCharType="separate"/>
      </w:r>
      <w:r w:rsidR="000B62B5" w:rsidRPr="000B62B5">
        <w:t>v</w:t>
      </w:r>
      <w:r w:rsidR="000B62B5" w:rsidRPr="000B62B5">
        <w:fldChar w:fldCharType="end"/>
      </w:r>
      <w:r>
        <w:t>) (dar numai în ceea ce privește agenții sub acoperire, livrările supravegheate și tranzacțiile simulate</w:t>
      </w:r>
      <w:r>
        <w:rPr>
          <w:rStyle w:val="FootnoteReference"/>
          <w:rFonts w:cstheme="minorHAnsi"/>
        </w:rPr>
        <w:footnoteReference w:id="1"/>
      </w:r>
      <w:r>
        <w:t>) Ministerul Afacerilor Interne [articolul 20 alineatele (1) și (2) din Legea din 1997];</w:t>
      </w:r>
    </w:p>
    <w:p w:rsidR="00DE4BFE" w:rsidRPr="000B62B5" w:rsidRDefault="00E34145" w:rsidP="000B62B5">
      <w:pPr>
        <w:pStyle w:val="JuPara"/>
      </w:pPr>
      <w:r>
        <w:t>(</w:t>
      </w:r>
      <w:bookmarkStart w:id="175" w:name="RLF_SSMA_oversight"/>
      <w:r w:rsidRPr="000B62B5">
        <w:fldChar w:fldCharType="begin"/>
      </w:r>
      <w:r w:rsidRPr="000B62B5">
        <w:instrText xml:space="preserve"> SEQ level1 \*alphabetic \* MERGEFORMAT </w:instrText>
      </w:r>
      <w:r w:rsidRPr="000B62B5">
        <w:fldChar w:fldCharType="separate"/>
      </w:r>
      <w:r w:rsidR="000B62B5" w:rsidRPr="000B62B5">
        <w:t>d</w:t>
      </w:r>
      <w:r w:rsidRPr="000B62B5">
        <w:fldChar w:fldCharType="end"/>
      </w:r>
      <w:bookmarkEnd w:id="175"/>
      <w:r>
        <w:t>) monitorizarea generală a utilizării „mijloacelor speciale de supraveghere” a fost încredințată, din 2013, Biroului Național (a se vedea supra, pct. </w:t>
      </w:r>
      <w:r w:rsidRPr="000B62B5">
        <w:fldChar w:fldCharType="begin"/>
      </w:r>
      <w:r w:rsidRPr="000B62B5">
        <w:instrText xml:space="preserve"> REF  F_background \h  \* MERGEFORMAT </w:instrText>
      </w:r>
      <w:r w:rsidRPr="000B62B5">
        <w:fldChar w:fldCharType="separate"/>
      </w:r>
      <w:r w:rsidR="000B62B5" w:rsidRPr="000B62B5">
        <w:t>5</w:t>
      </w:r>
      <w:r w:rsidRPr="000B62B5">
        <w:fldChar w:fldCharType="end"/>
      </w:r>
      <w:r>
        <w:t xml:space="preserve">, și </w:t>
      </w:r>
      <w:r>
        <w:rPr>
          <w:i/>
          <w:iCs/>
        </w:rPr>
        <w:t>Ekimdjiev</w:t>
      </w:r>
      <w:r>
        <w:t xml:space="preserve"> </w:t>
      </w:r>
      <w:r>
        <w:rPr>
          <w:i/>
          <w:iCs/>
        </w:rPr>
        <w:t>și alții</w:t>
      </w:r>
      <w:r>
        <w:t>, citată anterior, pct. 108-124); și (</w:t>
      </w:r>
      <w:bookmarkStart w:id="176" w:name="RLF_SSMA_notification"/>
      <w:r w:rsidRPr="000B62B5">
        <w:fldChar w:fldCharType="begin"/>
      </w:r>
      <w:r w:rsidRPr="000B62B5">
        <w:instrText xml:space="preserve"> SEQ level1 \*alphabetic \* MERGEFORMAT </w:instrText>
      </w:r>
      <w:r w:rsidRPr="000B62B5">
        <w:fldChar w:fldCharType="separate"/>
      </w:r>
      <w:r w:rsidR="000B62B5" w:rsidRPr="000B62B5">
        <w:t>e</w:t>
      </w:r>
      <w:r w:rsidRPr="000B62B5">
        <w:fldChar w:fldCharType="end"/>
      </w:r>
      <w:bookmarkEnd w:id="176"/>
      <w:r>
        <w:t>) Biroul național trebuie să notifice persoanele aflate sub supraveghere secretă cu privire la acest lucru doar în cazul în care supravegherea respectivă a fost ilegală și doar în cazul în care o astfel de notificare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nu ar contraveni scopului supravegherii,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nu ar dezvălui tehnicile sau echipamentele utilizate pentru efectuarea acesteia sau (</w:t>
      </w:r>
      <w:r w:rsidR="000B62B5" w:rsidRPr="000B62B5">
        <w:fldChar w:fldCharType="begin"/>
      </w:r>
      <w:r>
        <w:instrText xml:space="preserve"> SEQ level2 \*roman \* MERGEFORMAT </w:instrText>
      </w:r>
      <w:r w:rsidR="000B62B5" w:rsidRPr="000B62B5">
        <w:fldChar w:fldCharType="separate"/>
      </w:r>
      <w:r w:rsidR="000B62B5" w:rsidRPr="000B62B5">
        <w:t>iii</w:t>
      </w:r>
      <w:r w:rsidR="000B62B5" w:rsidRPr="000B62B5">
        <w:fldChar w:fldCharType="end"/>
      </w:r>
      <w:r>
        <w:t>) nu ar implica un risc la adresa vieții unui agent sub acoperire sau a vieții rudelor ori prietenilor acestuia (articolul 34g din Legea din 1997).</w:t>
      </w:r>
    </w:p>
    <w:p w:rsidR="00DE4BFE" w:rsidRPr="000B62B5" w:rsidRDefault="00E34145" w:rsidP="000B62B5">
      <w:pPr>
        <w:pStyle w:val="JuPara"/>
        <w:rPr>
          <w:rFonts w:cstheme="minorHAnsi"/>
        </w:rPr>
      </w:pPr>
      <w:r>
        <w:t xml:space="preserve"> În două decizii pronunțate în 2016, Curtea Administrativă Supremă a statuat că astfel de notificări din partea Biroului nu pot fi supuse controlului jurisdicțional (a se vedea </w:t>
      </w:r>
      <w:r>
        <w:rPr>
          <w:i/>
          <w:iCs/>
        </w:rPr>
        <w:t>Ekimdjiev</w:t>
      </w:r>
      <w:r>
        <w:t xml:space="preserve"> </w:t>
      </w:r>
      <w:r>
        <w:rPr>
          <w:i/>
          <w:iCs/>
        </w:rPr>
        <w:t>și alții</w:t>
      </w:r>
      <w:r>
        <w:t>, citată anterior, pct. 133).</w:t>
      </w:r>
    </w:p>
    <w:bookmarkStart w:id="177" w:name="RLF_SSMA_NB_repors_2022_202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83</w:t>
      </w:r>
      <w:r w:rsidRPr="000B62B5">
        <w:fldChar w:fldCharType="end"/>
      </w:r>
      <w:bookmarkEnd w:id="177"/>
      <w:r>
        <w:t>. În rapoartele anuale ale Biroului Național pentru 2022 și 2023 s-a consemnat faptul că ponderea cererilor formulate de Agenție din totalul cererilor de mandate pentru „mijloace speciale de supraveghere” a fost de 11,27% din numărul total de astfel de cereri depuse în 2022 și, respectiv, 10,88% din numărul total de astfel de cereri depuse în 2023.</w:t>
      </w:r>
    </w:p>
    <w:p w:rsidR="00DE4BFE" w:rsidRPr="000B62B5" w:rsidRDefault="00E34145" w:rsidP="000B62B5">
      <w:pPr>
        <w:pStyle w:val="JuHA"/>
      </w:pPr>
      <w:bookmarkStart w:id="178" w:name="_Toc176454142"/>
      <w:bookmarkStart w:id="179" w:name="_Toc236764741"/>
      <w:r>
        <w:t>Legea din 2002 privind protecția datelor cu caracter personal</w:t>
      </w:r>
      <w:bookmarkEnd w:id="178"/>
      <w:bookmarkEnd w:id="179"/>
    </w:p>
    <w:bookmarkStart w:id="180" w:name="RLF_PPD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84</w:t>
      </w:r>
      <w:r w:rsidRPr="000B62B5">
        <w:fldChar w:fldCharType="end"/>
      </w:r>
      <w:bookmarkEnd w:id="180"/>
      <w:r>
        <w:t>. Legea din 2002 privind protecția datelor cu caracter personal („Legea din 2002”) a fost adoptată, printre altele, pentru a se garanta că Bulgaria își va respecta obligația, care îi revine în temeiul Convenției din 1981 pentru protejarea persoanelor față de prelucrarea automatizată a datelor cu caracter personal, pe care a semnat-o în 1998 și a ratificat-o în 2002 (a se vedea infra, pct. </w:t>
      </w:r>
      <w:r w:rsidRPr="000B62B5">
        <w:fldChar w:fldCharType="begin"/>
      </w:r>
      <w:r w:rsidRPr="000B62B5">
        <w:instrText xml:space="preserve"> REF  RCoEM_C_108 \h  \* MERGEFORMAT </w:instrText>
      </w:r>
      <w:r w:rsidRPr="000B62B5">
        <w:fldChar w:fldCharType="separate"/>
      </w:r>
      <w:r w:rsidR="000B62B5" w:rsidRPr="000B62B5">
        <w:t>179</w:t>
      </w:r>
      <w:r w:rsidRPr="000B62B5">
        <w:fldChar w:fldCharType="end"/>
      </w:r>
      <w:r>
        <w:t>), de a adopta măsurile necesare în dreptul său intern pentru a pune în aplicare principiile fundamentale privind protecția datelor.</w:t>
      </w:r>
    </w:p>
    <w:bookmarkStart w:id="181" w:name="RLF_PPDA_Mar_2019_amendment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85</w:t>
      </w:r>
      <w:r w:rsidRPr="000B62B5">
        <w:fldChar w:fldCharType="end"/>
      </w:r>
      <w:bookmarkEnd w:id="181"/>
      <w:r>
        <w:t>. Astfel cum a fost modificată, cu efect din martie 2019, în vederea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alinierii la dispozițiile RGPD (a se vedea infra, pct. </w:t>
      </w:r>
      <w:r w:rsidRPr="000B62B5">
        <w:fldChar w:fldCharType="begin"/>
      </w:r>
      <w:r w:rsidRPr="000B62B5">
        <w:instrText xml:space="preserve"> REF REUL_GDPR \h \* MERGEFORMAT </w:instrText>
      </w:r>
      <w:r w:rsidRPr="000B62B5">
        <w:fldChar w:fldCharType="separate"/>
      </w:r>
      <w:r w:rsidR="000B62B5" w:rsidRPr="000B62B5">
        <w:t>132</w:t>
      </w:r>
      <w:r w:rsidRPr="000B62B5">
        <w:fldChar w:fldCharType="end"/>
      </w:r>
      <w:r>
        <w:t>)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transpunerii Directivei (UE) 2016/680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[„Directiva privind protecția datelor în materie de asigurare a respectării legii” – „LED” (Law Enforcement Directive) – a se vedea infra, pct. </w:t>
      </w:r>
      <w:r w:rsidRPr="000B62B5">
        <w:fldChar w:fldCharType="begin"/>
      </w:r>
      <w:r w:rsidRPr="000B62B5">
        <w:instrText xml:space="preserve"> REF REUL_LED \h \* MERGEFORMAT </w:instrText>
      </w:r>
      <w:r w:rsidRPr="000B62B5">
        <w:fldChar w:fldCharType="separate"/>
      </w:r>
      <w:r w:rsidR="000B62B5" w:rsidRPr="000B62B5">
        <w:t>149</w:t>
      </w:r>
      <w:r w:rsidRPr="000B62B5">
        <w:fldChar w:fldCharType="end"/>
      </w:r>
      <w:r>
        <w:t>], Legea din 2002 reglementează toate aspectele legate de protecția datelor cu caracter personal care nu sunt prevăzute în textul RGPD [articolul 1 alineatul (1)].</w:t>
      </w:r>
    </w:p>
    <w:bookmarkStart w:id="182" w:name="RLF_PPDA_definition_personal_dat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86</w:t>
      </w:r>
      <w:r w:rsidRPr="000B62B5">
        <w:fldChar w:fldCharType="end"/>
      </w:r>
      <w:bookmarkEnd w:id="182"/>
      <w:r>
        <w:t xml:space="preserve">. La articolul 1 alineatul (1) din dispozițiile suplimentare ale Legii din 2002 (astfel cum a fost modificată cu efect din martie 2019) se folosește expresia „date cu caracter personal”, în </w:t>
      </w:r>
      <w:r>
        <w:lastRenderedPageBreak/>
        <w:t>sensul legii, aceasta având aceeași semnificație ca și sintagma (date cu caracter personal) folosită la articolul 4 alineatul (1) din RGPD (a se vedea infra, pct. </w:t>
      </w:r>
      <w:r w:rsidRPr="000B62B5">
        <w:fldChar w:fldCharType="begin"/>
      </w:r>
      <w:r w:rsidRPr="000B62B5">
        <w:instrText xml:space="preserve"> REF  REUL_GDPR_A_4_1 \h  \* MERGEFORMAT </w:instrText>
      </w:r>
      <w:r w:rsidRPr="000B62B5">
        <w:fldChar w:fldCharType="separate"/>
      </w:r>
      <w:r w:rsidR="000B62B5" w:rsidRPr="000B62B5">
        <w:t>133</w:t>
      </w:r>
      <w:r w:rsidRPr="000B62B5">
        <w:fldChar w:fldCharType="end"/>
      </w:r>
      <w:r>
        <w:t>).</w:t>
      </w:r>
    </w:p>
    <w:p w:rsidR="00DE4BFE" w:rsidRPr="000B62B5" w:rsidRDefault="00E34145" w:rsidP="000B62B5">
      <w:pPr>
        <w:pStyle w:val="JuH1"/>
      </w:pPr>
      <w:bookmarkStart w:id="183" w:name="_Toc176454143"/>
      <w:bookmarkStart w:id="184" w:name="_Toc236764742"/>
      <w:r>
        <w:t>Domeniu de aplicare</w:t>
      </w:r>
      <w:bookmarkEnd w:id="183"/>
      <w:bookmarkEnd w:id="184"/>
    </w:p>
    <w:p w:rsidR="00DE4BFE" w:rsidRPr="000B62B5" w:rsidRDefault="00E34145" w:rsidP="000B62B5">
      <w:pPr>
        <w:pStyle w:val="JuHa0"/>
      </w:pPr>
      <w:bookmarkStart w:id="185" w:name="_Toc176454144"/>
      <w:bookmarkStart w:id="186" w:name="_Toc236764743"/>
      <w:r>
        <w:rPr>
          <w:i/>
        </w:rPr>
        <w:t>Ratione personae</w:t>
      </w:r>
      <w:bookmarkEnd w:id="185"/>
      <w:bookmarkEnd w:id="186"/>
    </w:p>
    <w:bookmarkStart w:id="187" w:name="RLF_PPDA_scope_ratione_persona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87</w:t>
      </w:r>
      <w:r w:rsidRPr="000B62B5">
        <w:fldChar w:fldCharType="end"/>
      </w:r>
      <w:bookmarkEnd w:id="187"/>
      <w:r>
        <w:t>. Dispozițiile Legii din 2002, indiferent dacă se referă la prelucrarea datelor cu caracter personal care intră în domeniul de aplicare al RGPD sau la prelucrarea acestor date de către autorități în scopul asigurării respectării legii, se aplică doar datelor referitoare la persoane (adică persoane fizice) [articolul 1 alineatele (1) și (2)].</w:t>
      </w:r>
    </w:p>
    <w:p w:rsidR="00DE4BFE" w:rsidRPr="000B62B5" w:rsidRDefault="00E34145" w:rsidP="000B62B5">
      <w:pPr>
        <w:pStyle w:val="JuHa0"/>
      </w:pPr>
      <w:bookmarkStart w:id="188" w:name="_Toc176454145"/>
      <w:bookmarkStart w:id="189" w:name="_Toc236764744"/>
      <w:r>
        <w:t>Aplicarea acestor dispoziții în cazul prelucrării în scopuri legate de securitatea națională</w:t>
      </w:r>
      <w:bookmarkEnd w:id="188"/>
      <w:bookmarkEnd w:id="189"/>
    </w:p>
    <w:bookmarkStart w:id="190" w:name="RLF_PPDA_scope_ratione_materiae"/>
    <w:bookmarkStart w:id="191" w:name="RLF_PPDA_scope_ratione_materiae_history"/>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88</w:t>
      </w:r>
      <w:r w:rsidRPr="000B62B5">
        <w:fldChar w:fldCharType="end"/>
      </w:r>
      <w:bookmarkEnd w:id="190"/>
      <w:bookmarkEnd w:id="191"/>
      <w:r>
        <w:t>. Legea din 2002, astfel cum a fost formulată începând din martie 2019, nu se aplică prelucrării datelor cu caracter personal în scopuri legate de securitatea națională, cu excepția cazului în care acest lucru este prevăzut în mod expres în altă parte [articolul 1 alineatul (5)]. În notele explicative la proiectul de lege al Guvernului (nr. 802-01-27) care a condus la modificarea Legii din martie 2019 (a se vedea supra, pct. </w:t>
      </w:r>
      <w:r w:rsidRPr="000B62B5">
        <w:fldChar w:fldCharType="begin"/>
      </w:r>
      <w:r w:rsidRPr="000B62B5">
        <w:instrText xml:space="preserve"> REF  RLF_PPDA \h  \* MERGEFORMAT </w:instrText>
      </w:r>
      <w:r w:rsidRPr="000B62B5">
        <w:fldChar w:fldCharType="separate"/>
      </w:r>
      <w:r w:rsidR="000B62B5" w:rsidRPr="000B62B5">
        <w:t>84</w:t>
      </w:r>
      <w:r w:rsidRPr="000B62B5">
        <w:fldChar w:fldCharType="end"/>
      </w:r>
      <w:r>
        <w:t>) s-a afirmat că articolul 1 alineatul (5) a fost instituit pentru a reflecta poziția potrivit căreia RGPD și LED nu se aplicau prelucrării datelor cu caracter personal în privința activităților care nu intrau în domeniul de aplicare al dreptului Uniunii Europene (UE) (a se vedea infra, pct. </w:t>
      </w:r>
      <w:r w:rsidRPr="000B62B5">
        <w:fldChar w:fldCharType="begin"/>
      </w:r>
      <w:r w:rsidRPr="000B62B5">
        <w:instrText xml:space="preserve"> REF  REUL_TEU_A_4_2 \h  \* MERGEFORMAT </w:instrText>
      </w:r>
      <w:r w:rsidRPr="000B62B5">
        <w:fldChar w:fldCharType="separate"/>
      </w:r>
      <w:r w:rsidR="000B62B5" w:rsidRPr="000B62B5">
        <w:t>123</w:t>
      </w:r>
      <w:r w:rsidRPr="000B62B5">
        <w:fldChar w:fldCharType="end"/>
      </w:r>
      <w:r>
        <w:t xml:space="preserve">, </w:t>
      </w:r>
      <w:r w:rsidRPr="000B62B5">
        <w:fldChar w:fldCharType="begin"/>
      </w:r>
      <w:r w:rsidRPr="000B62B5">
        <w:instrText xml:space="preserve"> REF  REUL_GDPR_A_2_2_a_rec_16 \h  \* MERGEFORMAT </w:instrText>
      </w:r>
      <w:r w:rsidRPr="000B62B5">
        <w:fldChar w:fldCharType="separate"/>
      </w:r>
      <w:r w:rsidR="000B62B5" w:rsidRPr="000B62B5">
        <w:t>134</w:t>
      </w:r>
      <w:r w:rsidRPr="000B62B5">
        <w:fldChar w:fldCharType="end"/>
      </w:r>
      <w:r>
        <w:t>-</w:t>
      </w:r>
      <w:r w:rsidRPr="000B62B5">
        <w:fldChar w:fldCharType="begin"/>
      </w:r>
      <w:r w:rsidRPr="000B62B5">
        <w:instrText xml:space="preserve"> REF  REUL_GDPR_A_2_2_a_rec_16_case_law_bis \h  \* MERGEFORMAT </w:instrText>
      </w:r>
      <w:r w:rsidRPr="000B62B5">
        <w:fldChar w:fldCharType="separate"/>
      </w:r>
      <w:r w:rsidR="000B62B5" w:rsidRPr="000B62B5">
        <w:t>136</w:t>
      </w:r>
      <w:r w:rsidRPr="000B62B5">
        <w:fldChar w:fldCharType="end"/>
      </w:r>
      <w:r>
        <w:t xml:space="preserve"> și </w:t>
      </w:r>
      <w:r w:rsidRPr="000B62B5">
        <w:fldChar w:fldCharType="begin"/>
      </w:r>
      <w:r w:rsidRPr="000B62B5">
        <w:instrText xml:space="preserve"> REF  REUL_LED_A_2_3_a_rec_14 \h  \* MERGEFORMAT </w:instrText>
      </w:r>
      <w:r w:rsidRPr="000B62B5">
        <w:fldChar w:fldCharType="separate"/>
      </w:r>
      <w:r w:rsidR="000B62B5" w:rsidRPr="000B62B5">
        <w:t>151</w:t>
      </w:r>
      <w:r w:rsidRPr="000B62B5">
        <w:fldChar w:fldCharType="end"/>
      </w:r>
      <w:r>
        <w:t>-</w:t>
      </w:r>
      <w:r w:rsidRPr="000B62B5">
        <w:fldChar w:fldCharType="begin"/>
      </w:r>
      <w:r w:rsidRPr="000B62B5">
        <w:instrText xml:space="preserve"> REF  REUL_LED_A_2_3_a_rec_14_case_law \h  \* MERGEFORMAT </w:instrText>
      </w:r>
      <w:r w:rsidRPr="000B62B5">
        <w:fldChar w:fldCharType="separate"/>
      </w:r>
      <w:r w:rsidR="000B62B5" w:rsidRPr="000B62B5">
        <w:t>152</w:t>
      </w:r>
      <w:r w:rsidRPr="000B62B5">
        <w:fldChar w:fldCharType="end"/>
      </w:r>
      <w:r>
        <w:t>). Într-o hotărâre din noiembrie 2023 (</w:t>
      </w:r>
      <w:r>
        <w:rPr>
          <w:i/>
        </w:rPr>
        <w:t>реш. № 10522 от 02.11.2023 г. по адм. д. № 140/2023 г., ВАС, V о.</w:t>
      </w:r>
      <w:r>
        <w:t>), Curtea Administrativă Supremă a subliniat că era necesar să se facă distincție între scopurile legate de securitatea națională, în sensul articolului 1 alineatul (5), și scopurile legate de asigurarea respectării legii.</w:t>
      </w:r>
    </w:p>
    <w:bookmarkStart w:id="192" w:name="RLF_PPDA_scope_ratione_materiae_history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89</w:t>
      </w:r>
      <w:r w:rsidRPr="000B62B5">
        <w:fldChar w:fldCharType="end"/>
      </w:r>
      <w:bookmarkEnd w:id="192"/>
      <w:r>
        <w:t>. Atunci când a fost adoptată inițial, Legea din 2002 prevedea că prelucrarea datelor cu caracter personal în scopuri legate de securitatea națională putea fi reglementată de o lege specială [articolul 1 alineatul (4), astfel cum a fost formulat în perioada 2002-2005]. În 2005, acest alineat a fost modificat pentru a prevedea că o astfel de prelucrare urma să fie reglementată de o lege specială [articolul 1 alineatul (4), astfel cum a fost formulat în perioada 2005-2006]. La sfârșitul anului 2006, articolul 1 alineatul (4), care a devenit articolul 1 alineatul (5), a fost modificat din nou – de această dată pentru a preciza că Legea se aplica prelucrării datelor cu caracter personal în scopuri legate de securitatea națională, cu excepția cazului în care o lege specială prevedea altfel [articolul 1 alineatul (5), astfel cum a fost formulat în perioada 2006-2019].</w:t>
      </w:r>
    </w:p>
    <w:bookmarkStart w:id="193" w:name="RLF_PPDA_scope_ratione_materiae_history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90</w:t>
      </w:r>
      <w:r w:rsidRPr="000B62B5">
        <w:fldChar w:fldCharType="end"/>
      </w:r>
      <w:bookmarkEnd w:id="193"/>
      <w:r>
        <w:t>. În această perioadă, în 2014, autoritatea responsabilă cu supravegherea aplicării Legii din 2002, Comisia pentru protecția datelor cu caracter personal (a se vedea infra, pct. </w:t>
      </w:r>
      <w:r w:rsidRPr="000B62B5">
        <w:fldChar w:fldCharType="begin"/>
      </w:r>
      <w:r w:rsidRPr="000B62B5">
        <w:instrText xml:space="preserve"> REF  RLF_PPDA_CPPD \h  \* MERGEFORMAT </w:instrText>
      </w:r>
      <w:r w:rsidRPr="000B62B5">
        <w:fldChar w:fldCharType="separate"/>
      </w:r>
      <w:r w:rsidR="000B62B5" w:rsidRPr="000B62B5">
        <w:t>97</w:t>
      </w:r>
      <w:r w:rsidRPr="000B62B5">
        <w:fldChar w:fldCharType="end"/>
      </w:r>
      <w:r>
        <w:t>), a primit o plângere din partea unei persoane care suspecta că Agenția interceptase în secret comunicațiile sale telefonice. Persoana a solicitat Agenției informații cu privire la acest aspect în temeiul Legii din 2002, iar Agenția a refuzat să i le furnizeze, declarând că informațiile respective nu intrau în domeniul de aplicare al Legii în cauză. În continuare, persoana în cauză s-a plâns cu privire la acest refuz în fața Comisiei, care i-a respins plângerea, fiind de acord că informațiile pe care le solicitase Agenției nu intrau în domeniul de aplicare al Legii din 2002 întrucât nu priveau date cu caracter personal. Potrivit acestei Comisii, informațiile privind utilizarea „mijloacelor speciale de supraveghere” puteau fi solicitate numai de la Biroul Național [a se vedea supra, pct. </w:t>
      </w:r>
      <w:r w:rsidRPr="000B62B5">
        <w:fldChar w:fldCharType="begin"/>
      </w:r>
      <w:r w:rsidRPr="000B62B5">
        <w:instrText xml:space="preserve"> REF  RLF_SSMA \h  \* MERGEFORMAT </w:instrText>
      </w:r>
      <w:r w:rsidRPr="000B62B5">
        <w:fldChar w:fldCharType="separate"/>
      </w:r>
      <w:r w:rsidR="000B62B5" w:rsidRPr="000B62B5">
        <w:t>82</w:t>
      </w:r>
      <w:r w:rsidRPr="000B62B5">
        <w:fldChar w:fldCharType="end"/>
      </w:r>
      <w:r>
        <w:t xml:space="preserve"> (</w:t>
      </w:r>
      <w:r w:rsidRPr="000B62B5">
        <w:fldChar w:fldCharType="begin"/>
      </w:r>
      <w:r w:rsidRPr="000B62B5">
        <w:instrText xml:space="preserve"> REF  RLF_SSMA_notification \h  \* MERGEFORMAT </w:instrText>
      </w:r>
      <w:r w:rsidRPr="000B62B5">
        <w:fldChar w:fldCharType="separate"/>
      </w:r>
      <w:r w:rsidR="000B62B5" w:rsidRPr="000B62B5">
        <w:t>e</w:t>
      </w:r>
      <w:r w:rsidRPr="000B62B5">
        <w:fldChar w:fldCharType="end"/>
      </w:r>
      <w:r>
        <w:t>)] (a se vedea реш.</w:t>
      </w:r>
      <w:r>
        <w:rPr>
          <w:i/>
        </w:rPr>
        <w:t xml:space="preserve"> </w:t>
      </w:r>
      <w:r>
        <w:t xml:space="preserve">№ И-780 от 08.10.2014 г., КЗЛД). </w:t>
      </w:r>
    </w:p>
    <w:p w:rsidR="00DE4BFE" w:rsidRPr="000B62B5" w:rsidRDefault="00C64FB7" w:rsidP="000B62B5">
      <w:pPr>
        <w:pStyle w:val="JuH1"/>
      </w:pPr>
      <w:bookmarkStart w:id="194" w:name="_Toc176454146"/>
      <w:bookmarkStart w:id="195" w:name="_Toc236764745"/>
      <w:bookmarkEnd w:id="194"/>
      <w:r>
        <w:lastRenderedPageBreak/>
        <w:t>Dreptul de acces la datele cu caracter personal și restrângerile aplicate acestui drept</w:t>
      </w:r>
      <w:bookmarkEnd w:id="195"/>
    </w:p>
    <w:p w:rsidR="00DE4BFE" w:rsidRPr="000B62B5" w:rsidRDefault="00E34145" w:rsidP="000B62B5">
      <w:pPr>
        <w:pStyle w:val="JuHa0"/>
      </w:pPr>
      <w:bookmarkStart w:id="196" w:name="_Toc176454147"/>
      <w:bookmarkStart w:id="197" w:name="_Toc236764746"/>
      <w:r>
        <w:t>Cu privire la prelucrarea care intră în domeniul de aplicare al RGPD</w:t>
      </w:r>
      <w:bookmarkEnd w:id="196"/>
      <w:bookmarkEnd w:id="197"/>
    </w:p>
    <w:bookmarkStart w:id="198" w:name="RLF_PPDA_right_access_GDP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91</w:t>
      </w:r>
      <w:r w:rsidRPr="000B62B5">
        <w:fldChar w:fldCharType="end"/>
      </w:r>
      <w:bookmarkEnd w:id="198"/>
      <w:r>
        <w:t>. Dreptul de acces la informațiile a căror prelucrare intră în domeniul de aplicare al RGPD este reglementat de articolul 15 alineatul (1) litera (a) din acesta (a se vedea infra, pct. </w:t>
      </w:r>
      <w:r w:rsidRPr="000B62B5">
        <w:fldChar w:fldCharType="begin"/>
      </w:r>
      <w:r w:rsidRPr="000B62B5">
        <w:instrText xml:space="preserve"> REF  REUL_GDPR_A_15_1_a_rec_63 \h  \* MERGEFORMAT </w:instrText>
      </w:r>
      <w:r w:rsidRPr="000B62B5">
        <w:fldChar w:fldCharType="separate"/>
      </w:r>
      <w:r w:rsidR="000B62B5" w:rsidRPr="000B62B5">
        <w:t>137</w:t>
      </w:r>
      <w:r w:rsidRPr="000B62B5">
        <w:fldChar w:fldCharType="end"/>
      </w:r>
      <w:r>
        <w:t>).</w:t>
      </w:r>
    </w:p>
    <w:bookmarkStart w:id="199" w:name="RLF_PPDA_right_access_GDPR_lim"/>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92</w:t>
      </w:r>
      <w:r w:rsidRPr="000B62B5">
        <w:fldChar w:fldCharType="end"/>
      </w:r>
      <w:bookmarkEnd w:id="199"/>
      <w:r>
        <w:t>. Un operator de date sau o persoană împuternicită de operator poate restricționa, integral sau parțial, accesul persoanei vizate sau alte drepturi prevăzute la articolele 12-22 din RGPD în cazul în care exercitarea acestora ar crea un risc la adresa securității naționale [articolul 37a alineatul (1) punctul 1 din Legea din 2002, care reflectă articolul 23 alineatul (1) litera (a) din RGPD – a se vedea infra, pct. </w:t>
      </w:r>
      <w:r w:rsidRPr="000B62B5">
        <w:fldChar w:fldCharType="begin"/>
      </w:r>
      <w:r w:rsidRPr="000B62B5">
        <w:instrText xml:space="preserve"> REF  REUL_GDPR_A_23_1_rec_73 \h  \* MERGEFORMAT </w:instrText>
      </w:r>
      <w:r w:rsidRPr="000B62B5">
        <w:fldChar w:fldCharType="separate"/>
      </w:r>
      <w:r w:rsidR="000B62B5" w:rsidRPr="000B62B5">
        <w:t>138</w:t>
      </w:r>
      <w:r w:rsidRPr="000B62B5">
        <w:fldChar w:fldCharType="end"/>
      </w:r>
      <w:r>
        <w:t>]. Articolul 37a alineatul (2) precizează că modul în care poate fi realizat acest lucru trebuie să fie prevăzut de lege și în conformitate cu articolul 23 alineatul (2) din RGPD.</w:t>
      </w:r>
    </w:p>
    <w:p w:rsidR="00DE4BFE" w:rsidRPr="000B62B5" w:rsidRDefault="00E34145" w:rsidP="000B62B5">
      <w:pPr>
        <w:pStyle w:val="JuHa0"/>
      </w:pPr>
      <w:bookmarkStart w:id="200" w:name="_Toc176454148"/>
      <w:bookmarkStart w:id="201" w:name="_Toc236764747"/>
      <w:r>
        <w:t xml:space="preserve">Cu privire la prelucrarea datelor de către autorități </w:t>
      </w:r>
      <w:bookmarkEnd w:id="200"/>
      <w:r>
        <w:t>în scopul aplicării legii</w:t>
      </w:r>
      <w:bookmarkEnd w:id="201"/>
    </w:p>
    <w:bookmarkStart w:id="202" w:name="RLF_PPDA_right_access_LE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93</w:t>
      </w:r>
      <w:r w:rsidRPr="000B62B5">
        <w:fldChar w:fldCharType="end"/>
      </w:r>
      <w:bookmarkEnd w:id="202"/>
      <w:r>
        <w:t>. Persoana vizată are dreptul de a obține din partea operatorului confirmarea aspectului dacă sunt sau nu prelucrate date cu caracter personal care o privesc și (în caz afirmativ) acces la datele respective și la informaț</w:t>
      </w:r>
      <w:bookmarkStart w:id="203" w:name="_GoBack"/>
      <w:bookmarkEnd w:id="203"/>
      <w:r>
        <w:t>ii cu privire la scopurile prelucrării acestora [articolul 55 alineatul (1) punctul 1, coroborat cu articolul 54 alineatul (1) punctul 5 și alineatul (2) punctul 1 din Legea din 2002, care a transpus articolul 14 litera (a) din LED – a se vedea infra, pct. </w:t>
      </w:r>
      <w:r w:rsidRPr="000B62B5">
        <w:fldChar w:fldCharType="begin"/>
      </w:r>
      <w:r w:rsidRPr="000B62B5">
        <w:instrText xml:space="preserve"> REF  REUL_LED_A_14_1_rec_43 \h  \* MERGEFORMAT </w:instrText>
      </w:r>
      <w:r w:rsidRPr="000B62B5">
        <w:fldChar w:fldCharType="separate"/>
      </w:r>
      <w:r w:rsidR="000B62B5" w:rsidRPr="000B62B5">
        <w:t>153</w:t>
      </w:r>
      <w:r w:rsidRPr="000B62B5">
        <w:fldChar w:fldCharType="end"/>
      </w:r>
      <w:r>
        <w:t>].</w:t>
      </w:r>
    </w:p>
    <w:bookmarkStart w:id="204" w:name="RLF_PPDA_right_access_LED_lim"/>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94</w:t>
      </w:r>
      <w:r w:rsidRPr="000B62B5">
        <w:fldChar w:fldCharType="end"/>
      </w:r>
      <w:bookmarkEnd w:id="204"/>
      <w:r>
        <w:t>. Drepturile menționate pot fi restrânse, integral sau parțial, în cazul în care acest lucru este necesar, printre altele, pentru protejarea securității naționale – atât timp cât se ține seama în mod corespunzător de drepturile fundamentale și de interesele legitime ale persoanelor în cauză [articolul 55 alineatul (3), coroborat cu articolul 54 alineatul (3) punctul 4 din Legea din 2002, care a pus în aplicare scutirea permisă la articolul 15 alineatul (1) litera (d) din LED – a se vedea infra, pct. </w:t>
      </w:r>
      <w:r w:rsidRPr="000B62B5">
        <w:fldChar w:fldCharType="begin"/>
      </w:r>
      <w:r w:rsidRPr="000B62B5">
        <w:instrText xml:space="preserve"> REF  REUL_LED_A_15_1_c_d \h  \* MERGEFORMAT </w:instrText>
      </w:r>
      <w:r w:rsidRPr="000B62B5">
        <w:fldChar w:fldCharType="separate"/>
      </w:r>
      <w:r w:rsidR="000B62B5" w:rsidRPr="000B62B5">
        <w:t>156</w:t>
      </w:r>
      <w:r w:rsidRPr="000B62B5">
        <w:fldChar w:fldCharType="end"/>
      </w:r>
      <w:r>
        <w:t xml:space="preserve">] Atunci când nu mai există obstacolul în cauză, operatorul de date trebuie, în mod normal, să furnizeze informațiile respective în termen de două luni de la data la care persoana vizată le-a solicitat [articolul 55 alineatul (3) </w:t>
      </w:r>
      <w:r>
        <w:rPr>
          <w:i/>
        </w:rPr>
        <w:t>in fine,</w:t>
      </w:r>
      <w:r>
        <w:t xml:space="preserve"> coroborat cu articolul 54 alineatul (4) și cu articolul 53 alineatul (3)].</w:t>
      </w:r>
    </w:p>
    <w:bookmarkStart w:id="205" w:name="RLF_PPDA_right_access_LED_lim_reason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95</w:t>
      </w:r>
      <w:r w:rsidRPr="000B62B5">
        <w:fldChar w:fldCharType="end"/>
      </w:r>
      <w:bookmarkEnd w:id="205"/>
      <w:r>
        <w:t>. În cazul în care accesul la datele cu caracter personal este refuzat sau limitat în temeiul dispozițiilor sus-menționate, operatorul de date trebuie să informeze persoana vizată cu privire la refuzarea sau limitarea accesului (și la motivele refuzului sau ale limitării) în termen de două luni, dar poate omite să furnizeze aceste informații în cazul în care acest lucru ar contraveni scopului măsurilor respective [articolul 55 alineatul (4), coroborat cu articolul 53 alineatul (3) din Legea din 2002, care a transpus articolul 15 alineatul (3) din LED – a se vedea infra, pct. </w:t>
      </w:r>
      <w:r w:rsidRPr="000B62B5">
        <w:fldChar w:fldCharType="begin"/>
      </w:r>
      <w:r w:rsidRPr="000B62B5">
        <w:instrText xml:space="preserve"> REF  REUL_LED_A_15_3 \h  \* MERGEFORMAT </w:instrText>
      </w:r>
      <w:r w:rsidRPr="000B62B5">
        <w:fldChar w:fldCharType="separate"/>
      </w:r>
      <w:r w:rsidR="000B62B5" w:rsidRPr="000B62B5">
        <w:t>158</w:t>
      </w:r>
      <w:r w:rsidRPr="000B62B5">
        <w:fldChar w:fldCharType="end"/>
      </w:r>
      <w:r>
        <w:t>]. În acest caz, operatorul de date trebuie totuși să consemneze motivele de fapt și de drept pe care se întemeiază această decizie și să le pună la dispoziția autorității de supraveghere competente – care este, în majoritatea cazurilor, Comisia pentru protecția datelor cu caracter personal, ale cărei sarcini și competențe sunt menționate la punctele </w:t>
      </w:r>
      <w:r w:rsidRPr="000B62B5">
        <w:fldChar w:fldCharType="begin"/>
      </w:r>
      <w:r w:rsidRPr="000B62B5">
        <w:instrText xml:space="preserve"> REF  RLF_PPDA_CPPD \h  \* MERGEFORMAT </w:instrText>
      </w:r>
      <w:r w:rsidRPr="000B62B5">
        <w:fldChar w:fldCharType="separate"/>
      </w:r>
      <w:r w:rsidR="000B62B5" w:rsidRPr="000B62B5">
        <w:t>97</w:t>
      </w:r>
      <w:r w:rsidRPr="000B62B5">
        <w:fldChar w:fldCharType="end"/>
      </w:r>
      <w:r>
        <w:t>-</w:t>
      </w:r>
      <w:r w:rsidRPr="000B62B5">
        <w:fldChar w:fldCharType="begin"/>
      </w:r>
      <w:r w:rsidRPr="000B62B5">
        <w:instrText xml:space="preserve"> REF  RLF_PPDA_CPPD_quinquies \h  \* MERGEFORMAT </w:instrText>
      </w:r>
      <w:r w:rsidRPr="000B62B5">
        <w:fldChar w:fldCharType="separate"/>
      </w:r>
      <w:r w:rsidR="000B62B5" w:rsidRPr="000B62B5">
        <w:t>101</w:t>
      </w:r>
      <w:r w:rsidRPr="000B62B5">
        <w:fldChar w:fldCharType="end"/>
      </w:r>
      <w:r>
        <w:t xml:space="preserve"> de mai jos [articolul 55 alineatul (5) din Legea din 2002, care a transpus articolul 15 alineatul (4) din LED – a se vedea infra, pct. </w:t>
      </w:r>
      <w:r w:rsidRPr="000B62B5">
        <w:fldChar w:fldCharType="begin"/>
      </w:r>
      <w:r w:rsidRPr="000B62B5">
        <w:instrText xml:space="preserve"> REF  REUL_LED_A_15_4 \h  \* MERGEFORMAT </w:instrText>
      </w:r>
      <w:r w:rsidRPr="000B62B5">
        <w:fldChar w:fldCharType="separate"/>
      </w:r>
      <w:r w:rsidR="000B62B5" w:rsidRPr="000B62B5">
        <w:t>159</w:t>
      </w:r>
      <w:r w:rsidRPr="000B62B5">
        <w:fldChar w:fldCharType="end"/>
      </w:r>
      <w:r>
        <w:t>].</w:t>
      </w:r>
    </w:p>
    <w:bookmarkStart w:id="206" w:name="RLF_PPDA_right_access_LED_indirect"/>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96</w:t>
      </w:r>
      <w:r w:rsidRPr="000B62B5">
        <w:fldChar w:fldCharType="end"/>
      </w:r>
      <w:bookmarkEnd w:id="206"/>
      <w:r>
        <w:t>. În cazul în care astfel de restricții au fost instituite de un operator de date care nu este o instanță sau un organ de anchetă sau de urmărire penală,</w:t>
      </w:r>
      <w:bookmarkStart w:id="207" w:name="_Ref174363220"/>
      <w:r>
        <w:rPr>
          <w:rStyle w:val="FootnoteReference"/>
        </w:rPr>
        <w:footnoteReference w:id="2"/>
      </w:r>
      <w:bookmarkEnd w:id="207"/>
      <w:r>
        <w:t xml:space="preserve"> persoana vizată își poate exercita dreptul de acces în temeiul articolului 55 alineatul (1) din Legea din 2002 în mod indirect, prin intermediul Comisiei pentru protecția datelor cu caracter personal. În cazul în care persoana își exercită acest drept, Comisia trebuie să verifice legalitatea restricției [articolul 57 alineatul (1) </w:t>
      </w:r>
      <w:r>
        <w:lastRenderedPageBreak/>
        <w:t>din Legea din 2002, care a transpus articolul 17 alineatul (1) din LED – a se vedea infra, pct. </w:t>
      </w:r>
      <w:r w:rsidRPr="000B62B5">
        <w:fldChar w:fldCharType="begin"/>
      </w:r>
      <w:r w:rsidRPr="000B62B5">
        <w:instrText xml:space="preserve"> REF  REUL_LED_A_17_1_2 \h  \* MERGEFORMAT </w:instrText>
      </w:r>
      <w:r w:rsidRPr="000B62B5">
        <w:fldChar w:fldCharType="separate"/>
      </w:r>
      <w:r w:rsidR="000B62B5" w:rsidRPr="000B62B5">
        <w:t>162</w:t>
      </w:r>
      <w:r w:rsidRPr="000B62B5">
        <w:fldChar w:fldCharType="end"/>
      </w:r>
      <w:r>
        <w:t>] și să informeze persoana vizată cel puțin că au fost realizate toate verificările necesare sau o revizuire [articolul 57 alineatul (2) din Legea din 2002, care a transpus articolul 17 alineatul (3) din LED – a se vedea infra, pct. </w:t>
      </w:r>
      <w:r w:rsidRPr="000B62B5">
        <w:fldChar w:fldCharType="begin"/>
      </w:r>
      <w:r w:rsidRPr="000B62B5">
        <w:instrText xml:space="preserve"> REF  REUL_LED_A_17_3 \h  \* MERGEFORMAT </w:instrText>
      </w:r>
      <w:r w:rsidRPr="000B62B5">
        <w:fldChar w:fldCharType="separate"/>
      </w:r>
      <w:r w:rsidR="000B62B5" w:rsidRPr="000B62B5">
        <w:t>163</w:t>
      </w:r>
      <w:r w:rsidRPr="000B62B5">
        <w:fldChar w:fldCharType="end"/>
      </w:r>
      <w:r>
        <w:t>].</w:t>
      </w:r>
    </w:p>
    <w:p w:rsidR="00DE4BFE" w:rsidRPr="000B62B5" w:rsidRDefault="00E34145" w:rsidP="000B62B5">
      <w:pPr>
        <w:pStyle w:val="JuH1"/>
      </w:pPr>
      <w:bookmarkStart w:id="208" w:name="_Toc176454149"/>
      <w:bookmarkStart w:id="209" w:name="_Toc236764748"/>
      <w:r>
        <w:t>Autoritatea de supraveghere</w:t>
      </w:r>
      <w:bookmarkEnd w:id="208"/>
      <w:bookmarkEnd w:id="209"/>
    </w:p>
    <w:bookmarkStart w:id="210" w:name="RLF_PPDA_CPP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97</w:t>
      </w:r>
      <w:r w:rsidRPr="000B62B5">
        <w:fldChar w:fldCharType="end"/>
      </w:r>
      <w:bookmarkEnd w:id="210"/>
      <w:r>
        <w:t>. Comisia pentru protecția datelor cu caracter personal supraveghează prelucrarea datelor cu caracter personal care intră în domeniul de aplicare al RGPD, precum și o astfel de prelucrare în scopul asigurării respectării legii de către toate autoritățile, cu excepția instanțelor și a organelor de anchetă și de urmărire penală [articolul 6 alineatul (1), articolul 10 alineatul (1), articolul 10a alineatul (1) și articolul 78 din Legea din 2002].</w:t>
      </w:r>
      <w:r>
        <w:rPr>
          <w:rStyle w:val="FootnoteReference"/>
        </w:rPr>
        <w:footnoteReference w:id="3"/>
      </w:r>
    </w:p>
    <w:bookmarkStart w:id="211" w:name="RLF_PPDA_CPPD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98</w:t>
      </w:r>
      <w:r w:rsidRPr="000B62B5">
        <w:fldChar w:fldCharType="end"/>
      </w:r>
      <w:bookmarkEnd w:id="211"/>
      <w:r>
        <w:t>. În cadrul acestei supravegheri, Comisia respectivă trebuie, printre altele,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să trateze plângerile depuse de persoane vizate,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să verifice legalitatea prelucrării în cazurile în care a fost restricționat dreptul de acces al persoanei vizate (a se vedea supra, pct. </w:t>
      </w:r>
      <w:r w:rsidRPr="000B62B5">
        <w:fldChar w:fldCharType="begin"/>
      </w:r>
      <w:r w:rsidRPr="000B62B5">
        <w:instrText xml:space="preserve"> REF  RLF_PPDA_right_access_LED_lim \h  \* MERGEFORMAT </w:instrText>
      </w:r>
      <w:r w:rsidRPr="000B62B5">
        <w:fldChar w:fldCharType="separate"/>
      </w:r>
      <w:r w:rsidR="000B62B5" w:rsidRPr="000B62B5">
        <w:t>94</w:t>
      </w:r>
      <w:r w:rsidRPr="000B62B5">
        <w:fldChar w:fldCharType="end"/>
      </w:r>
      <w:r>
        <w:t xml:space="preserve"> și </w:t>
      </w:r>
      <w:r w:rsidRPr="000B62B5">
        <w:fldChar w:fldCharType="begin"/>
      </w:r>
      <w:r w:rsidRPr="000B62B5">
        <w:instrText xml:space="preserve"> REF  RLF_PPDA_right_access_LED_indirect \h  \* MERGEFORMAT </w:instrText>
      </w:r>
      <w:r w:rsidRPr="000B62B5">
        <w:fldChar w:fldCharType="separate"/>
      </w:r>
      <w:r w:rsidR="000B62B5" w:rsidRPr="000B62B5">
        <w:t>96</w:t>
      </w:r>
      <w:r w:rsidRPr="000B62B5">
        <w:fldChar w:fldCharType="end"/>
      </w:r>
      <w:r>
        <w:t>) și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să informeze persoana vizată în termen de trei luni cu privire la rezultatul acestei verificări sau la motivele pentru care nu a avut loc verificarea [articolul 57 alineatul (1) litera (f) din RGPD și articolul 79 alineatul (1) punctele 5 și 6 din Legea din 2002, care a transpus articolul 46 alineatul (1) literele (f) și (g) din LED – a se vedea infra, pct. </w:t>
      </w:r>
      <w:r w:rsidRPr="000B62B5">
        <w:fldChar w:fldCharType="begin"/>
      </w:r>
      <w:r w:rsidRPr="000B62B5">
        <w:instrText xml:space="preserve"> REF  REUL_LED_A_46_1_f_g \h  \* MERGEFORMAT </w:instrText>
      </w:r>
      <w:r w:rsidRPr="000B62B5">
        <w:fldChar w:fldCharType="separate"/>
      </w:r>
      <w:r w:rsidR="000B62B5" w:rsidRPr="000B62B5">
        <w:t>170</w:t>
      </w:r>
      <w:r w:rsidRPr="000B62B5">
        <w:fldChar w:fldCharType="end"/>
      </w:r>
      <w:r>
        <w:t>].</w:t>
      </w:r>
    </w:p>
    <w:bookmarkStart w:id="212" w:name="RLF_PPDA_CPPD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99</w:t>
      </w:r>
      <w:r w:rsidRPr="000B62B5">
        <w:fldChar w:fldCharType="end"/>
      </w:r>
      <w:bookmarkEnd w:id="212"/>
      <w:r>
        <w:t>. Atunci când supraveghează prelucrarea datelor în scopul asigurării respectării legii, Comisia respectivă poate obține, din partea operatorului sau a persoanei împuternicite de operator, accesul la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toate datele cu caracter personal care sunt prelucrate și la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toate informațiile necesare pentru îndeplinirea sarcinilor sale [articolul 80 alineatul (1) punctele 1 și 2 din Legea din 2002, care a transpus articolul 47 alineatul (1) din LED – a se vedea infra, pct. </w:t>
      </w:r>
      <w:r w:rsidRPr="000B62B5">
        <w:fldChar w:fldCharType="begin"/>
      </w:r>
      <w:r w:rsidRPr="000B62B5">
        <w:instrText xml:space="preserve"> REF  REUL_LED_A_47_1 \h  \* MERGEFORMAT </w:instrText>
      </w:r>
      <w:r w:rsidRPr="000B62B5">
        <w:fldChar w:fldCharType="separate"/>
      </w:r>
      <w:r w:rsidR="000B62B5" w:rsidRPr="000B62B5">
        <w:t>171</w:t>
      </w:r>
      <w:r w:rsidRPr="000B62B5">
        <w:fldChar w:fldCharType="end"/>
      </w:r>
      <w:r>
        <w:t>].</w:t>
      </w:r>
    </w:p>
    <w:bookmarkStart w:id="213" w:name="RLF_PPDA_CPPD_qua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100</w:t>
      </w:r>
      <w:r w:rsidRPr="000B62B5">
        <w:fldChar w:fldCharType="end"/>
      </w:r>
      <w:bookmarkEnd w:id="213"/>
      <w:r>
        <w:t>. Atunci când supraveghează prelucrarea datelor în scopul asigurării respectării legii, Comisia respectivă poate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să dea dispoziții operatorului sau persoanei împuternicite de operator să asigure conformitatea operațiunilor de prelucrare cu partea relevantă din Legea din 2002 – în special dispunând rectificarea sau ștergerea datelor cu caracter personal sau restricționarea prelucrării acestora, în temeiul articolului 56 din Lege,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xml:space="preserve">) să impună o limitare temporară sau definitivă, inclusiv o interdicție, în ceea ce privește prelucrarea [articolul 80 alineatul (1) punctele 3 și 4 din Legea din 2002, care a transpus articolul 47 alineatul (2) literele (b) și (c) din LED]. Comisia și-a exercitat aceste competențe cel puțin în trei rânduri în raport cu Ministerul Afacerilor Interne (a se vedea </w:t>
      </w:r>
      <w:r>
        <w:rPr>
          <w:i/>
        </w:rPr>
        <w:t>реш. № ППН-01-482/2020 от 10.05.2021 г., КЗЛД</w:t>
      </w:r>
      <w:r>
        <w:t xml:space="preserve">; </w:t>
      </w:r>
      <w:r>
        <w:rPr>
          <w:i/>
        </w:rPr>
        <w:t>реш. № ППН-01-361/2021 от 18.01.2022 г., КЗЛД</w:t>
      </w:r>
      <w:r>
        <w:t xml:space="preserve">; and </w:t>
      </w:r>
      <w:r>
        <w:rPr>
          <w:i/>
        </w:rPr>
        <w:t>реш. № ППН-01-350/2021 г. от 17.03.2022 г., КЗЛД</w:t>
      </w:r>
      <w:r>
        <w:t>).</w:t>
      </w:r>
    </w:p>
    <w:bookmarkStart w:id="214" w:name="RLF_PPDA_CPPD_quinquie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101</w:t>
      </w:r>
      <w:r w:rsidRPr="000B62B5">
        <w:fldChar w:fldCharType="end"/>
      </w:r>
      <w:bookmarkEnd w:id="214"/>
      <w:r>
        <w:t>. Comisia în cauză poate, de asemenea, să aducă în atenția autorităților judiciare cazurile de încălcare a dispozițiilor din partea relevantă din Legea din 2002 [articolul 80 alineatul (3) din Legea din 2002, care a transpus articolul 47 alineatul (5) din LED – a se vedea infra, pct. </w:t>
      </w:r>
      <w:r w:rsidRPr="000B62B5">
        <w:fldChar w:fldCharType="begin"/>
      </w:r>
      <w:r w:rsidRPr="000B62B5">
        <w:instrText xml:space="preserve"> REF  REUL_LED_A_47_5 \h  \* MERGEFORMAT </w:instrText>
      </w:r>
      <w:r w:rsidRPr="000B62B5">
        <w:fldChar w:fldCharType="separate"/>
      </w:r>
      <w:r w:rsidR="000B62B5" w:rsidRPr="000B62B5">
        <w:t>173</w:t>
      </w:r>
      <w:r w:rsidRPr="000B62B5">
        <w:fldChar w:fldCharType="end"/>
      </w:r>
      <w:r>
        <w:t>].</w:t>
      </w:r>
    </w:p>
    <w:bookmarkStart w:id="215" w:name="RLF_PPDA_CPPD_sexies_annual_report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102</w:t>
      </w:r>
      <w:r w:rsidRPr="000B62B5">
        <w:fldChar w:fldCharType="end"/>
      </w:r>
      <w:bookmarkEnd w:id="215"/>
      <w:r>
        <w:t xml:space="preserve">. În raportul său anual pentru 2009, Comisia a consemnat, la pagina 28, faptul că a încheiat un acord de cooperare cu Agenția în scopul realizării unei colaborări mai strânse între cele două părți în domeniul protecției datelor cu caracter personal (în spiritul respectării independenței fiecăreia și a domeniilor de responsabilitate respective); această cooperare includea coordonarea, schimbul, deținerea și utilizarea de date și informații, precum și crearea unor grupuri de lucru comune și furnizarea de asistență tehnică sau de specialitate. De asemenea, Comisia a subliniat, la pagina 35 </w:t>
      </w:r>
      <w:r>
        <w:rPr>
          <w:i/>
        </w:rPr>
        <w:t>in fine</w:t>
      </w:r>
      <w:r>
        <w:t xml:space="preserve">, că era pe punctul de a finaliza un audit al Agenției în legătură cu pregătirile pentru procesul viitor de punere în aplicare a Sistemului de </w:t>
      </w:r>
      <w:r>
        <w:lastRenderedPageBreak/>
        <w:t>Informații Schengen. În raportul său anual pentru 2010, Comisia a menționat, la pagina 38, că a continuat cooperarea sa cu Agenția în temeiul acordului încheiat în 2009. În raportul său anual pentru 2015, Comisia a făcut referire, la paginile 42-43, la o verificare a unei fundații private, pe care a efectuat-o împreună cu alte autorități, inclusiv cu Agenția. În raportul său anual pentru 2016, Comisia a făcut referire, la paginile 98-99, la cooperarea sa cu Agenția în ceea ce privește transpunerea noii legislații (de exemplu, în ceea ce privește crearea unei noi unități de informații financiare în cadrul Agenției) și cooperarea internațională. În niciunul dintre rapoartele sale anuale pentru perioada 2009-2023, Comisia nu a menționat inspecțiile pe care le-a efectuat în cadrul Agenției, cu excepția auditului din 2009 sus-menționat, referitor la procesul viitor de punere în aplicare a Sistemului de Informații Schengen.</w:t>
      </w:r>
    </w:p>
    <w:p w:rsidR="00DE4BFE" w:rsidRPr="000B62B5" w:rsidRDefault="00E34145" w:rsidP="000B62B5">
      <w:pPr>
        <w:pStyle w:val="JuH1"/>
      </w:pPr>
      <w:bookmarkStart w:id="216" w:name="_Toc176454150"/>
      <w:bookmarkStart w:id="217" w:name="_Toc236764749"/>
      <w:r>
        <w:t>Căi de atac</w:t>
      </w:r>
      <w:bookmarkEnd w:id="216"/>
      <w:bookmarkEnd w:id="217"/>
    </w:p>
    <w:p w:rsidR="00DE4BFE" w:rsidRPr="000B62B5" w:rsidRDefault="00E34145" w:rsidP="000B62B5">
      <w:pPr>
        <w:pStyle w:val="JuHa0"/>
      </w:pPr>
      <w:bookmarkStart w:id="218" w:name="_Toc176454151"/>
      <w:bookmarkStart w:id="219" w:name="_Toc236764750"/>
      <w:r>
        <w:t>În ceea ce privește prelucrarea care intră în domeniul de aplicare al RGPD</w:t>
      </w:r>
      <w:bookmarkEnd w:id="218"/>
      <w:bookmarkEnd w:id="219"/>
    </w:p>
    <w:bookmarkStart w:id="220" w:name="RLF_PPDA_remedies_GDPR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103</w:t>
      </w:r>
      <w:r w:rsidRPr="000B62B5">
        <w:fldChar w:fldCharType="end"/>
      </w:r>
      <w:bookmarkEnd w:id="220"/>
      <w:r>
        <w:t>. Persoanele vizate care consideră că le-au fost încălcate drepturile în temeiul RGPD sau al Legii din 2002 pot depune o plângere la Comisia pentru protecția datelor cu caracter personal și pot solicita controlul jurisdicțional al deciziei acesteia [articolul 38 alineatele (1) și (7) [din mai 2023, alineatul (8)] din Legea din 2002, care reflectă articolul 77 alineatul (1) și articolul 78 alineatele (1) și (2) din RGPD – a se vedea infra, pct. </w:t>
      </w:r>
      <w:r w:rsidRPr="000B62B5">
        <w:fldChar w:fldCharType="begin"/>
      </w:r>
      <w:r w:rsidRPr="000B62B5">
        <w:instrText xml:space="preserve"> REF  REUL_GDPR_A_77_1 \h  \* MERGEFORMAT </w:instrText>
      </w:r>
      <w:r w:rsidRPr="000B62B5">
        <w:fldChar w:fldCharType="separate"/>
      </w:r>
      <w:r w:rsidR="000B62B5" w:rsidRPr="000B62B5">
        <w:t>145</w:t>
      </w:r>
      <w:r w:rsidRPr="000B62B5">
        <w:fldChar w:fldCharType="end"/>
      </w:r>
      <w:r>
        <w:t xml:space="preserve"> și </w:t>
      </w:r>
      <w:r w:rsidRPr="000B62B5">
        <w:fldChar w:fldCharType="begin"/>
      </w:r>
      <w:r w:rsidRPr="000B62B5">
        <w:instrText xml:space="preserve"> REF  REUL_GDPR_A_78_1_2 \h  \* MERGEFORMAT </w:instrText>
      </w:r>
      <w:r w:rsidRPr="000B62B5">
        <w:fldChar w:fldCharType="separate"/>
      </w:r>
      <w:r w:rsidR="000B62B5" w:rsidRPr="000B62B5">
        <w:t>147</w:t>
      </w:r>
      <w:r w:rsidRPr="000B62B5">
        <w:fldChar w:fldCharType="end"/>
      </w:r>
      <w:r>
        <w:t>].</w:t>
      </w:r>
    </w:p>
    <w:bookmarkStart w:id="221" w:name="RLF_PPDA_remedies_GDPR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104</w:t>
      </w:r>
      <w:r w:rsidRPr="000B62B5">
        <w:fldChar w:fldCharType="end"/>
      </w:r>
      <w:bookmarkEnd w:id="221"/>
      <w:r>
        <w:t>. Persoanele vizate pot, de asemenea, să solicite în mod direct controlul jurisdicțional al acțiunilor întreprinse sau al deciziilor emise de operatorul de date sau de persoana împuternicită de operator sau să solicite despăgubiri din partea acestora pentru prejudiciul suferit, în cazul în care operatorul de date sau persoana împuternicită de operator a prelucrat în mod ilegal datele cu caracter personal ale acestora [articolul 39 alineatele (1) și (2) din Legea din 2002, care reflectă articolul 79 alineatul (1) și articolul 82 alineatul (1) din RGPD – a se vedea infra, pct. </w:t>
      </w:r>
      <w:r w:rsidRPr="000B62B5">
        <w:fldChar w:fldCharType="begin"/>
      </w:r>
      <w:r w:rsidRPr="000B62B5">
        <w:instrText xml:space="preserve"> REF  REUL_GDPR_A_79_1 \h  \* MERGEFORMAT </w:instrText>
      </w:r>
      <w:r w:rsidRPr="000B62B5">
        <w:fldChar w:fldCharType="separate"/>
      </w:r>
      <w:r w:rsidR="000B62B5" w:rsidRPr="000B62B5">
        <w:t>146</w:t>
      </w:r>
      <w:r w:rsidRPr="000B62B5">
        <w:fldChar w:fldCharType="end"/>
      </w:r>
      <w:r>
        <w:t xml:space="preserve"> și </w:t>
      </w:r>
      <w:r w:rsidRPr="000B62B5">
        <w:fldChar w:fldCharType="begin"/>
      </w:r>
      <w:r w:rsidRPr="000B62B5">
        <w:instrText xml:space="preserve"> REF  REUL_GDPR_A_82 \h  \* MERGEFORMAT </w:instrText>
      </w:r>
      <w:r w:rsidRPr="000B62B5">
        <w:fldChar w:fldCharType="separate"/>
      </w:r>
      <w:r w:rsidR="000B62B5" w:rsidRPr="000B62B5">
        <w:t>148</w:t>
      </w:r>
      <w:r w:rsidRPr="000B62B5">
        <w:fldChar w:fldCharType="end"/>
      </w:r>
      <w:r>
        <w:t>].</w:t>
      </w:r>
    </w:p>
    <w:p w:rsidR="00DE4BFE" w:rsidRPr="000B62B5" w:rsidRDefault="00E34145" w:rsidP="000B62B5">
      <w:pPr>
        <w:pStyle w:val="JuHa0"/>
      </w:pPr>
      <w:bookmarkStart w:id="222" w:name="_Toc176454152"/>
      <w:bookmarkStart w:id="223" w:name="_Toc236764751"/>
      <w:r>
        <w:t xml:space="preserve">În ceea ce privește prelucrarea efectuată de autorități </w:t>
      </w:r>
      <w:bookmarkEnd w:id="222"/>
      <w:r>
        <w:t>în scopul aplicării legii</w:t>
      </w:r>
      <w:bookmarkEnd w:id="223"/>
    </w:p>
    <w:bookmarkStart w:id="224" w:name="RLF_PPDA_remedies_LE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105</w:t>
      </w:r>
      <w:r w:rsidRPr="000B62B5">
        <w:fldChar w:fldCharType="end"/>
      </w:r>
      <w:bookmarkEnd w:id="224"/>
      <w:r>
        <w:t>. Căile de atac privind pretinsele încălcări ale drepturilor persoanelor vizate, care au loc în cursul prelucrării datelor cu caracter personal de către autorități în scopul asigurării respectării legii, sunt aceleași ca și cele referitoare la pretinsele încălcări care au loc în cursul prelucrării datelor care intră în domeniul de aplicare al RGPD [articolul 82 alineatul (1) din Legea din 2002, care a transpus articolul 52 alineatul (1) și articolele 53 și 54 din LED – a se vedea infra, pct. </w:t>
      </w:r>
      <w:r w:rsidRPr="000B62B5">
        <w:fldChar w:fldCharType="begin"/>
      </w:r>
      <w:r w:rsidRPr="000B62B5">
        <w:instrText xml:space="preserve"> REF  REUL_LED_A_52_1_2 \h  \* MERGEFORMAT </w:instrText>
      </w:r>
      <w:r w:rsidRPr="000B62B5">
        <w:fldChar w:fldCharType="separate"/>
      </w:r>
      <w:r w:rsidR="000B62B5" w:rsidRPr="000B62B5">
        <w:t>174</w:t>
      </w:r>
      <w:r w:rsidRPr="000B62B5">
        <w:fldChar w:fldCharType="end"/>
      </w:r>
      <w:r>
        <w:t>-</w:t>
      </w:r>
      <w:r w:rsidRPr="000B62B5">
        <w:fldChar w:fldCharType="begin"/>
      </w:r>
      <w:r w:rsidRPr="000B62B5">
        <w:instrText xml:space="preserve"> REF  REUL_LED_A_54 \h  \* MERGEFORMAT </w:instrText>
      </w:r>
      <w:r w:rsidRPr="000B62B5">
        <w:fldChar w:fldCharType="separate"/>
      </w:r>
      <w:r w:rsidR="000B62B5" w:rsidRPr="000B62B5">
        <w:t>178</w:t>
      </w:r>
      <w:r w:rsidRPr="000B62B5">
        <w:fldChar w:fldCharType="end"/>
      </w:r>
      <w:r>
        <w:t>].</w:t>
      </w:r>
    </w:p>
    <w:p w:rsidR="00DE4BFE" w:rsidRPr="000B62B5" w:rsidRDefault="00E34145" w:rsidP="000B62B5">
      <w:pPr>
        <w:pStyle w:val="JuHA"/>
        <w:rPr>
          <w:caps/>
        </w:rPr>
      </w:pPr>
      <w:bookmarkStart w:id="225" w:name="_Toc176454153"/>
      <w:bookmarkStart w:id="226" w:name="_Toc236764752"/>
      <w:r>
        <w:t>Legea din 2002 privind protecția informațiilor clasificate</w:t>
      </w:r>
      <w:bookmarkEnd w:id="225"/>
      <w:bookmarkEnd w:id="226"/>
    </w:p>
    <w:p w:rsidR="00DE4BFE" w:rsidRPr="000B62B5" w:rsidRDefault="00E34145" w:rsidP="000B62B5">
      <w:pPr>
        <w:pStyle w:val="JuH1"/>
      </w:pPr>
      <w:bookmarkStart w:id="227" w:name="_Toc176454154"/>
      <w:bookmarkStart w:id="228" w:name="_Toc236764753"/>
      <w:r>
        <w:t>Tipuri de informații clasificate</w:t>
      </w:r>
      <w:bookmarkEnd w:id="227"/>
      <w:bookmarkEnd w:id="228"/>
    </w:p>
    <w:bookmarkStart w:id="229" w:name="RLF_PCIA_s_1_1_3_1"/>
    <w:bookmarkStart w:id="230" w:name="RLF_PCIA_s_1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106</w:t>
      </w:r>
      <w:r w:rsidRPr="000B62B5">
        <w:fldChar w:fldCharType="end"/>
      </w:r>
      <w:bookmarkEnd w:id="229"/>
      <w:bookmarkEnd w:id="230"/>
      <w:r>
        <w:t>. În temeiul articolului 1 alineatul (3) din Legea din 2002 privind protecția informațiilor clasificate, informațiile clasificate includ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„secrete de stat”,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„secrete de serviciu” și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informații clasificate obținute de la un alt stat.</w:t>
      </w:r>
    </w:p>
    <w:bookmarkStart w:id="231" w:name="RLF_PCIA_s_2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107</w:t>
      </w:r>
      <w:r w:rsidRPr="000B62B5">
        <w:fldChar w:fldCharType="end"/>
      </w:r>
      <w:bookmarkEnd w:id="231"/>
      <w:r>
        <w:t>. Articolul 25 definește „secretele de stat” ca fiind „informațiile [care intră sub incidența] anexei 1 [la Lege], la care accesul nereglementat ar putea pune în pericol sau prejudicia interesele Republicii Bulgaria și care au legătură cu securitatea națională, apărarea, politica externă sau protecția ordinii constituționale”. Anexa 1 stabilește categoriile de informații care pot fi clasificate drept „secrete de stat”. Potrivit punctului 5 din partea a II-a a anexei respective, aceasta include informații care ar putea conduce la identificarea informatorilor serviciilor de securitate.</w:t>
      </w:r>
    </w:p>
    <w:bookmarkStart w:id="232" w:name="RLF_PCIA_s_26_1"/>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108</w:t>
      </w:r>
      <w:r w:rsidRPr="000B62B5">
        <w:fldChar w:fldCharType="end"/>
      </w:r>
      <w:bookmarkEnd w:id="232"/>
      <w:r>
        <w:t>. Articolul 26 alineatul (1) definește „secretele de serviciu” ca fiind „informațiile create sau stocate de autorități de stat sau locale, care nu sunt secrete de stat, dar la care accesul nereglementat ar putea afecta în mod negativ interesele statului sau un alt interes protejat prin lege”. Articolul 1 alineatul (3) din dispozițiile suplimentare ale Legii din 2007 (a se vedea supra, pct. </w:t>
      </w:r>
      <w:r w:rsidRPr="000B62B5">
        <w:fldChar w:fldCharType="begin"/>
      </w:r>
      <w:r w:rsidRPr="000B62B5">
        <w:instrText xml:space="preserve"> REF  RLF_SANSA \h  \* MERGEFORMAT </w:instrText>
      </w:r>
      <w:r w:rsidRPr="000B62B5">
        <w:fldChar w:fldCharType="separate"/>
      </w:r>
      <w:r w:rsidR="000B62B5" w:rsidRPr="000B62B5">
        <w:t>53</w:t>
      </w:r>
      <w:r w:rsidRPr="000B62B5">
        <w:fldChar w:fldCharType="end"/>
      </w:r>
      <w:r>
        <w:t>) conține o definiție similară; cu toate acestea, face referire la „informațiile privind funcțiile și sarcinile Agenției sau la exercitarea competențelor acesteia sau la [informațiile] care rezultă din acestea” și, în mod specific, la un posibil efect negativ asupra „activităților Agenției [și] a personalului său, în ceea ce privește îndeplinirea sarcinilor acestuia, sau [asupra] unor terțe persoane”.</w:t>
      </w:r>
    </w:p>
    <w:bookmarkStart w:id="233" w:name="RLF_PCIA_s_26_2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109</w:t>
      </w:r>
      <w:r w:rsidRPr="000B62B5">
        <w:fldChar w:fldCharType="end"/>
      </w:r>
      <w:bookmarkEnd w:id="233"/>
      <w:r>
        <w:t>. Tipurile de informații care pot fi clasificate drept „secrete de serviciu” trebuie să fie prevăzute de lege [articolul 26 alineatul (2)]. Apoi, șeful autorității respective trebuie să stabilească, în aceste limite, categoriile de informații care intră în sfera de activitate a autorității și care trebuie clasificate „secrete de serviciu” [articolul 26 alineatul (3)]. În special în ceea ce privește Agenția, categoriile de informații care sunt prelucrate de aceasta și care trebuie clasificate drept „secrete de serviciu” trebuie să fie specificate într-un ordin emis de șeful acesteia (articolul 32 din Legea din 2007); un astfel de ordin a fost emis în mai 2020 (a se vedea supra, pct. </w:t>
      </w:r>
      <w:r w:rsidRPr="000B62B5">
        <w:fldChar w:fldCharType="begin"/>
      </w:r>
      <w:r w:rsidRPr="000B62B5">
        <w:instrText xml:space="preserve"> REF  F_1_inf_req_jud_rev_claim_evidence_order \h  \* MERGEFORMAT </w:instrText>
      </w:r>
      <w:r w:rsidRPr="000B62B5">
        <w:fldChar w:fldCharType="separate"/>
      </w:r>
      <w:r w:rsidR="000B62B5" w:rsidRPr="000B62B5">
        <w:t>15</w:t>
      </w:r>
      <w:r w:rsidRPr="000B62B5">
        <w:fldChar w:fldCharType="end"/>
      </w:r>
      <w:r>
        <w:t>).</w:t>
      </w:r>
    </w:p>
    <w:p w:rsidR="00DE4BFE" w:rsidRPr="000B62B5" w:rsidRDefault="00E34145" w:rsidP="000B62B5">
      <w:pPr>
        <w:pStyle w:val="JuH1"/>
      </w:pPr>
      <w:bookmarkStart w:id="234" w:name="_Toc176454155"/>
      <w:bookmarkStart w:id="235" w:name="_Toc236764754"/>
      <w:r>
        <w:t>Termenele aplicabile protecției informațiilor clasificate</w:t>
      </w:r>
      <w:bookmarkEnd w:id="234"/>
      <w:bookmarkEnd w:id="235"/>
    </w:p>
    <w:bookmarkStart w:id="236" w:name="RLF_PCIA_s_2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110</w:t>
      </w:r>
      <w:r w:rsidRPr="000B62B5">
        <w:fldChar w:fldCharType="end"/>
      </w:r>
      <w:bookmarkEnd w:id="236"/>
      <w:r>
        <w:t>. Articolul 28 din Lege stabilește nivelurile de secretizare. Informațiile care constituie „secrete de stat” trebuie marcate „strict secrete”, „secrete” sau „confidențiale”, în funcție de gravitatea prejudiciului pe care l-ar putea produce divulgarea neautorizată a acestora. Informațiile care constituie „secrete de serviciu” sunt marcate cu mențiunea „destinate exclusiv uzului oficial”.</w:t>
      </w:r>
    </w:p>
    <w:bookmarkStart w:id="237" w:name="RLF_PCIA_s_34_1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111</w:t>
      </w:r>
      <w:r w:rsidRPr="000B62B5">
        <w:fldChar w:fldCharType="end"/>
      </w:r>
      <w:bookmarkEnd w:id="237"/>
      <w:r>
        <w:t>. Articolul 34 alineatul (1) stabilește termenele pentru protecția informațiilor clasificate: 30 de ani, dacă sunt „strict secrete”; 15 ani, dacă sunt „secrete”; 5 ani, dacă sunt „confidențiale”; și 6 luni, dacă sunt clasificate drept „secrete de serviciu”. Aceste termene pot fi prelungite o singură dată – perioada maximă fiind dublul perioadei inițiale [articolul 34 alineatul (2)].</w:t>
      </w:r>
    </w:p>
    <w:p w:rsidR="00DE4BFE" w:rsidRPr="000B62B5" w:rsidRDefault="00E34145" w:rsidP="000B62B5">
      <w:pPr>
        <w:pStyle w:val="JuH1"/>
      </w:pPr>
      <w:bookmarkStart w:id="238" w:name="_Toc202202711"/>
      <w:bookmarkStart w:id="239" w:name="_Toc236764755"/>
      <w:r>
        <w:t>Accesul avocaților și al justițiabililor la informații clasificate</w:t>
      </w:r>
      <w:bookmarkEnd w:id="238"/>
      <w:bookmarkEnd w:id="239"/>
    </w:p>
    <w:p w:rsidR="00DE4BFE" w:rsidRPr="000B62B5" w:rsidRDefault="00E34145" w:rsidP="000B62B5">
      <w:pPr>
        <w:pStyle w:val="JuHa0"/>
      </w:pPr>
      <w:bookmarkStart w:id="240" w:name="_Toc202202712"/>
      <w:bookmarkStart w:id="241" w:name="_Toc236764756"/>
      <w:r>
        <w:t>Dispozițiile relevante ale Legii</w:t>
      </w:r>
      <w:bookmarkEnd w:id="240"/>
      <w:bookmarkEnd w:id="241"/>
    </w:p>
    <w:bookmarkStart w:id="242" w:name="RLF_PCIA_s_38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112</w:t>
      </w:r>
      <w:r w:rsidRPr="000B62B5">
        <w:fldChar w:fldCharType="end"/>
      </w:r>
      <w:bookmarkEnd w:id="242"/>
      <w:r>
        <w:t>. Regula generală prevăzută de Lege este aceea că nicio persoană nu poate avea acces la informații clasificate care aparțin uneia dintre cele trei categorii de informații clasificate (a se vedea supra, pct. </w:t>
      </w:r>
      <w:r w:rsidRPr="000B62B5">
        <w:fldChar w:fldCharType="begin"/>
      </w:r>
      <w:r w:rsidRPr="000B62B5">
        <w:instrText xml:space="preserve"> REF RLF_PCIA_s_1_3 \h \* MERGEFORMAT </w:instrText>
      </w:r>
      <w:r w:rsidRPr="000B62B5">
        <w:fldChar w:fldCharType="separate"/>
      </w:r>
      <w:r w:rsidR="000B62B5" w:rsidRPr="000B62B5">
        <w:t>106</w:t>
      </w:r>
      <w:r w:rsidRPr="000B62B5">
        <w:fldChar w:fldCharType="end"/>
      </w:r>
      <w:r>
        <w:t>), cu excepția cazului în care acest lucru este necesar pentru îndeplinirea atribuțiilor sau sarcinilor sale profesionale („necesitatea de a cunoaște”) și cu excepția cazului în care persoanei în cauză i s-a eliberat o autorizație de acces după efectuarea verificărilor de securitate necesare în acest sens [articolul 3 alineatele (1) și (2) și articolul 38 alineatul (1) punctul 1].</w:t>
      </w:r>
    </w:p>
    <w:bookmarkStart w:id="243" w:name="RLF_PCIA_s_39_seme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113</w:t>
      </w:r>
      <w:r w:rsidRPr="000B62B5">
        <w:fldChar w:fldCharType="end"/>
      </w:r>
      <w:bookmarkEnd w:id="243"/>
      <w:r>
        <w:t xml:space="preserve">. Articolul 39 detaliază cazurile în care astfel de verificări nu sunt necesare. Acest lucru este valabil, în general, pentru persoanele care dețin anumite funcții înalte. Spre deosebire de alți oficiali, persoanele care dețin anumite funcții deosebit de înalte (președintele Parlamentului, Președintele Republicii și prim-ministrul) nu sunt constrânse de limitarea „necesității de a cunoaște” și au </w:t>
      </w:r>
      <w:r>
        <w:rPr>
          <w:i/>
        </w:rPr>
        <w:t>ex officio</w:t>
      </w:r>
      <w:r>
        <w:t xml:space="preserve"> dreptul de acces la orice informație clasificată [articolul 39 alineatele (1) și (2)]. Alte persoane, cum ar fi miniștrii guvernului și membrii Parlamentului, au acces automat la informații clasificate care intră în sfera lor de responsabilitate, pe baza principiului „necesității de a cunoaște” [articolul 39 alineatele (1) și (3)].</w:t>
      </w:r>
    </w:p>
    <w:bookmarkStart w:id="244" w:name="RLF_PCIA_s_39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114</w:t>
      </w:r>
      <w:r w:rsidRPr="000B62B5">
        <w:fldChar w:fldCharType="end"/>
      </w:r>
      <w:bookmarkEnd w:id="244"/>
      <w:r>
        <w:t xml:space="preserve">. Judecătorii Curții Constituționale, judecătorii, procurorii și anchetatorii au, de asemenea, dreptul de a accesa, fără a fi supuși unor verificări de securitate, toate nivelurile de </w:t>
      </w:r>
      <w:r>
        <w:lastRenderedPageBreak/>
        <w:t>informații clasificate referitoare la cauzele pe care le instrumentează, tot pe baza principiului „necesității de a cunoaște” [articolul 39 alineatul (1) și alineatul (3) punctul 3]. O modificare din iunie 2004 a articolului 39 alineatul (3) punctul 3 a extins această categorie pentru a include avocații practicanți.</w:t>
      </w:r>
    </w:p>
    <w:bookmarkStart w:id="245" w:name="RLF_PCIA_s_39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115</w:t>
      </w:r>
      <w:r w:rsidRPr="000B62B5">
        <w:fldChar w:fldCharType="end"/>
      </w:r>
      <w:bookmarkEnd w:id="245"/>
      <w:r>
        <w:t>. Un nou articol 39a, adăugat în octombrie 2004, prevede, la paragraful 1, că persoanele care au nevoie să aibă acces la informații clasificate în cursul exercitării sau în legătură cu exercitarea „dreptului lor constituțional la apărare” nu trebuie să fie supuse unor verificări de securitate. În continuare, paragraful al doilea prevede că aceste persoane au dreptul de a avea acces la toate nivelurile de informații clasificate pentru durata necesară pentru a-și exercita „dreptul la apărare”, pe baza principiului „necesității de a cunoaște”.</w:t>
      </w:r>
    </w:p>
    <w:bookmarkStart w:id="246" w:name="RLF_PCIA_s_39a_trav_prep"/>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116</w:t>
      </w:r>
      <w:r w:rsidRPr="000B62B5">
        <w:fldChar w:fldCharType="end"/>
      </w:r>
      <w:bookmarkEnd w:id="246"/>
      <w:r>
        <w:t>. Formularea specifică a acestui nou articol 39a nu exista în proiectul de lege inițial al Guvernului (nr. 402-01-41), care a condus la adoptarea sa. Formularea a apărut în cursul deliberărilor cu privire la acest proiect de lege, în cadrul Comisiei pentru afaceri juridice a Parlamentului, la 29 septembrie 2004, între prima și a doua lectură în plen, și s-a bazat pe o propunere din partea a doi reprezentanți ai Comisiei de Stat pentru Securitatea Informațiilor – organismul care supraveghează stocarea și utilizarea informațiilor clasificate –, care au fost prezenți și la deliberări. În cursul discuției privind formularea exactă a dispoziției, un membru al Comitetului a opinat că aceasta se va referi la accesul la informații clasificate deja disponibile în dosarul cauzei relevante. La a doua lectură în plen a proiectului de lege din 30 septembrie 2004, noul articol 39a, astfel cum a fost propus de comisia respectivă, a fost adoptat de Parlament fără nicio discuție, cu 91 de voturi pentru și niciun vot împotrivă.</w:t>
      </w:r>
    </w:p>
    <w:p w:rsidR="00DE4BFE" w:rsidRPr="000B62B5" w:rsidRDefault="00E34145" w:rsidP="000B62B5">
      <w:pPr>
        <w:pStyle w:val="JuHa0"/>
      </w:pPr>
      <w:bookmarkStart w:id="247" w:name="_Toc202202713"/>
      <w:bookmarkStart w:id="248" w:name="_Toc236764757"/>
      <w:r>
        <w:t>Jurisprudența și practica instanțelor administrative în temeiul articolului 39 alineatul (3) punctul 3 și al articolului 39a din Legea din 2002 privind protecția informațiilor clasificate</w:t>
      </w:r>
      <w:bookmarkEnd w:id="247"/>
      <w:bookmarkEnd w:id="248"/>
    </w:p>
    <w:bookmarkStart w:id="249" w:name="RLF_PCIA_s_39_practice_intro"/>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117</w:t>
      </w:r>
      <w:r w:rsidRPr="000B62B5">
        <w:fldChar w:fldCharType="end"/>
      </w:r>
      <w:bookmarkEnd w:id="249"/>
      <w:r>
        <w:t>. Sunt puține cauze raportate, care se referă la aplicarea articolului 39 alineatul (3) punctul 3 și a articolului 39a din Lege (a se vedea supra, pct. </w:t>
      </w:r>
      <w:r w:rsidRPr="000B62B5">
        <w:fldChar w:fldCharType="begin"/>
      </w:r>
      <w:r w:rsidRPr="000B62B5">
        <w:instrText xml:space="preserve"> REF RLF_PCIA_s_39_bis \h \* MERGEFORMAT </w:instrText>
      </w:r>
      <w:r w:rsidRPr="000B62B5">
        <w:fldChar w:fldCharType="separate"/>
      </w:r>
      <w:r w:rsidR="000B62B5" w:rsidRPr="000B62B5">
        <w:t>114</w:t>
      </w:r>
      <w:r w:rsidRPr="000B62B5">
        <w:fldChar w:fldCharType="end"/>
      </w:r>
      <w:r>
        <w:t xml:space="preserve"> </w:t>
      </w:r>
      <w:r>
        <w:rPr>
          <w:i/>
        </w:rPr>
        <w:t>in fine</w:t>
      </w:r>
      <w:r>
        <w:t xml:space="preserve"> și </w:t>
      </w:r>
      <w:r w:rsidRPr="000B62B5">
        <w:fldChar w:fldCharType="begin"/>
      </w:r>
      <w:r w:rsidRPr="000B62B5">
        <w:instrText xml:space="preserve"> REF RLF_PCIA_s_39a \h \* MERGEFORMAT </w:instrText>
      </w:r>
      <w:r w:rsidRPr="000B62B5">
        <w:fldChar w:fldCharType="separate"/>
      </w:r>
      <w:r w:rsidR="000B62B5" w:rsidRPr="000B62B5">
        <w:t>115</w:t>
      </w:r>
      <w:r w:rsidRPr="000B62B5">
        <w:fldChar w:fldCharType="end"/>
      </w:r>
      <w:r>
        <w:t>) de către instanțele administrative.</w:t>
      </w:r>
    </w:p>
    <w:bookmarkStart w:id="250" w:name="RLF_PCIA_s_39_practice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118</w:t>
      </w:r>
      <w:r w:rsidRPr="000B62B5">
        <w:fldChar w:fldCharType="end"/>
      </w:r>
      <w:bookmarkEnd w:id="250"/>
      <w:r>
        <w:t>. În șapte cauze pe care le-a examinat în perioada 2019-2023 și care au avut ca obiect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o sancțiune disciplinară aplicată unui angajat al Agenției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xml:space="preserve">) mai multe decizii ale Agenției în legătură cu un angajat pe care l-a concediat (refuzul reîncadrării acestuia în funcție sau refuzul reîncadrării conform așteptărilor sale, demiterea sa temporară din funcție, concedierea sa ulterioară etc.), Tribunalul Administrativ din Plevna a informat reclamanții care au introdus o acțiune în control jurisdicțional că aceștia, respectiv avocații lor, aveau dreptul, în temeiul articolului 39a și, respectiv, al articolului 39 alineatul (3) punctul 3, să aibă acces la informațiile clasificate în cauzele prezentate de Agenție (a se vedea </w:t>
      </w:r>
      <w:r>
        <w:rPr>
          <w:i/>
        </w:rPr>
        <w:t>опр. № 2080 от 18.10.2019 г. по адм. д. № 1031/2019 г., АдмС-Плевен</w:t>
      </w:r>
      <w:r>
        <w:t xml:space="preserve">; </w:t>
      </w:r>
      <w:r>
        <w:rPr>
          <w:i/>
        </w:rPr>
        <w:t>опр. № 1379 от 17.09.2020 г. по адм. д. № 492/2020 г., АдмС-Плевен</w:t>
      </w:r>
      <w:r>
        <w:t xml:space="preserve">; </w:t>
      </w:r>
      <w:r>
        <w:rPr>
          <w:i/>
        </w:rPr>
        <w:t>опр. № 1387 от 18.09.2020 г. по адм. д. № 315/2020 г., АдмС-Плевен</w:t>
      </w:r>
      <w:r>
        <w:t xml:space="preserve">; </w:t>
      </w:r>
      <w:r>
        <w:rPr>
          <w:i/>
        </w:rPr>
        <w:t>опр. № 109 от 21.01.2022 г. по адм. д. № 934/2021 г., АдмС-Плевен</w:t>
      </w:r>
      <w:r>
        <w:t xml:space="preserve">; </w:t>
      </w:r>
      <w:r>
        <w:rPr>
          <w:i/>
        </w:rPr>
        <w:t>опр. № 961 от 18.05.2022 г. по адм. д. № 349/2022 г., АдмС-Плевен</w:t>
      </w:r>
      <w:r>
        <w:t xml:space="preserve">; </w:t>
      </w:r>
      <w:r>
        <w:rPr>
          <w:i/>
        </w:rPr>
        <w:t>опр. № 1665 от 23.08.2022 г. по адм. д. № 102/2022 г., АдмС-Плевен</w:t>
      </w:r>
      <w:r>
        <w:t xml:space="preserve">; și </w:t>
      </w:r>
      <w:r>
        <w:rPr>
          <w:i/>
        </w:rPr>
        <w:t>опр. № 346 от 13.02.2023 г. по адм. д. № 90/2023 г., АдмС-Плевен</w:t>
      </w:r>
      <w:r>
        <w:t>).</w:t>
      </w:r>
    </w:p>
    <w:bookmarkStart w:id="251" w:name="RLF_PCIA_s_39_practice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119</w:t>
      </w:r>
      <w:r w:rsidRPr="000B62B5">
        <w:fldChar w:fldCharType="end"/>
      </w:r>
      <w:bookmarkEnd w:id="251"/>
      <w:r>
        <w:t xml:space="preserve">. În 2012 și, respectiv, în 2024, într-o cauză referitoare la exproprierea unui bun și într-o cauză având ca obiect refuzul de a acorda protecție internațională, Tribunalul Administrativ al Orașului Sofia a statuat, de asemenea, că articolul 39a conferea dreptul de acces la informații clasificate reclamanților care au introdus o acțiune în control jurisdicțional (a se vedea </w:t>
      </w:r>
      <w:r>
        <w:rPr>
          <w:i/>
        </w:rPr>
        <w:t>реш. № 1565 от 23.03.2012 г. по адм. д. № 5906/2011 г., АдмС-София-град</w:t>
      </w:r>
      <w:r>
        <w:t xml:space="preserve">, și </w:t>
      </w:r>
      <w:r>
        <w:rPr>
          <w:i/>
        </w:rPr>
        <w:t>опр. № 2119 от 06.11.2024 г. област по адм. д. № 1222/2024 г., АдмС-София</w:t>
      </w:r>
      <w:r>
        <w:t>).</w:t>
      </w:r>
    </w:p>
    <w:bookmarkStart w:id="252" w:name="RLF_PCIA_s_39_practice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120</w:t>
      </w:r>
      <w:r w:rsidRPr="000B62B5">
        <w:fldChar w:fldCharType="end"/>
      </w:r>
      <w:bookmarkEnd w:id="252"/>
      <w:r>
        <w:t xml:space="preserve">. În schimb, în alte trei cauze, pe care le-a soluționat în 2016, 2021 și 2022, Tribunalul Administrativ al Orașului Sofia a statuat că articolul 39a se aplica numai în cazul în care </w:t>
      </w:r>
      <w:r>
        <w:lastRenderedPageBreak/>
        <w:t xml:space="preserve">justițiabilii făceau obiectul unor acuzații în materie penală sau privind săvârșirea unei abateri disciplinare (a se vedea </w:t>
      </w:r>
      <w:r>
        <w:rPr>
          <w:i/>
        </w:rPr>
        <w:t>реш. № 6140 от 10.10.2016 г. по адм. д. № 5115/2016 г., АдмС-София-град</w:t>
      </w:r>
      <w:r>
        <w:t xml:space="preserve">; </w:t>
      </w:r>
      <w:r>
        <w:rPr>
          <w:i/>
        </w:rPr>
        <w:t>реш. № 2650 от 20.04.2021 г. по адм. д. № 703/2021 г., АдмС-София-град</w:t>
      </w:r>
      <w:r>
        <w:t xml:space="preserve">; și </w:t>
      </w:r>
      <w:r>
        <w:rPr>
          <w:i/>
        </w:rPr>
        <w:t>реш. № 3750 от 07.06.2022 г. по адм. д. № 4518/2022 г., АдмС-София-град</w:t>
      </w:r>
      <w:r>
        <w:t xml:space="preserve">). De asemenea, în două cauze referitoare la detenția unor solicitanți de azil, pe care le-a soluționat în 2002 și 2023, această instanță a statuat – ca răspuns la susținerile avocatului reclamanților, potrivit cărora, în temeiul articolului 39a, aceștia trebuiau să aibă acces la informațiile clasificate prezentate de Agenție – că lipsa accesului la informațiile respective nu constituia o încălcare a regulamentului de procedură întrucât acestea erau informații clasificate (a se vedea </w:t>
      </w:r>
      <w:r>
        <w:rPr>
          <w:i/>
        </w:rPr>
        <w:t>реш. № 8007 от 23.12.2022 г. по адм. д. № 9515/2022 г., АдмС-София-град</w:t>
      </w:r>
      <w:r>
        <w:t xml:space="preserve">, și </w:t>
      </w:r>
      <w:r>
        <w:rPr>
          <w:i/>
        </w:rPr>
        <w:t>реш. № 1653 от 15.03.2023 г. по адм. д. № 11213/2022 г., АдмС-София-град</w:t>
      </w:r>
      <w:r>
        <w:t>).</w:t>
      </w:r>
    </w:p>
    <w:bookmarkStart w:id="253" w:name="RLF_PCIA_s_39_practice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121</w:t>
      </w:r>
      <w:r w:rsidRPr="000B62B5">
        <w:fldChar w:fldCharType="end"/>
      </w:r>
      <w:bookmarkEnd w:id="253"/>
      <w:r>
        <w:t xml:space="preserve">. În două hotărâri pronunțate în 2018, având ca obiect refuzul de a acorda protecție internațională unor străini, Curtea Administrativă Supremă a statuat că, în temeiul articolului 39a și, respectiv, al articolului 39 alineatul (3) punctul 3, reclamanții, respectiv avocații acestora, aveau drept de acces la informațiile clasificate prezentate de Agenție – în sprijinul afirmației sale potrivit căreia aceștia prezentau un risc la adresa securității naționale – astfel încât ei să poată exercita în mod efectiv căile de atac împotriva refuzului de a li se acorda protecție internațională (a se vedea </w:t>
      </w:r>
      <w:r>
        <w:rPr>
          <w:i/>
        </w:rPr>
        <w:t>реш. № 8286 от 19.06.2018 г. по адм. д. № 1782/2018 г., ВАС, III о.</w:t>
      </w:r>
      <w:r>
        <w:t xml:space="preserve">, și </w:t>
      </w:r>
      <w:r>
        <w:rPr>
          <w:i/>
        </w:rPr>
        <w:t>реш. № 10759 от 04.09.2018 г. по адм. д. № 4056/2017 г., ВАС, III о.</w:t>
      </w:r>
      <w:r>
        <w:t>).</w:t>
      </w:r>
    </w:p>
    <w:p w:rsidR="00DE4BFE" w:rsidRPr="000B62B5" w:rsidRDefault="00E34145" w:rsidP="000B62B5">
      <w:pPr>
        <w:pStyle w:val="JuHA"/>
      </w:pPr>
      <w:bookmarkStart w:id="254" w:name="_Toc176454156"/>
      <w:bookmarkStart w:id="255" w:name="_Toc236764758"/>
      <w:r>
        <w:t>Legea din 2015 privind gestionarea și funcționarea sistemului de protecție a securității naționale</w:t>
      </w:r>
      <w:bookmarkEnd w:id="254"/>
      <w:bookmarkEnd w:id="255"/>
    </w:p>
    <w:bookmarkStart w:id="256" w:name="RLF_SPNSA_s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122</w:t>
      </w:r>
      <w:r w:rsidRPr="000B62B5">
        <w:fldChar w:fldCharType="end"/>
      </w:r>
      <w:bookmarkEnd w:id="256"/>
      <w:r>
        <w:t>. Articolul 2 din Legea din 2015 privind gestionarea și funcționarea sistemului de protecție a securității naționale definește „securitatea națională” ca fiind „o stare dinamică a societății și a statului, în care integritatea teritorială, suveranitatea și ordinea constituțională sunt protejate și funcționarea democratică a instituțiilor și drepturile și libertățile fundamentale ale cetățenilor sunt garantate, stare care permite menținerea și creșterea bunăstării națiunii, precum și dezvoltarea acesteia, și protejarea cu succes de către stat a intereselor sale naționale, precum și realizarea priorităților sale naționale”.</w:t>
      </w:r>
    </w:p>
    <w:p w:rsidR="00DE4BFE" w:rsidRPr="000B62B5" w:rsidRDefault="00E34145" w:rsidP="000B62B5">
      <w:pPr>
        <w:pStyle w:val="JuHIRoman"/>
      </w:pPr>
      <w:bookmarkStart w:id="257" w:name="_Toc176454157"/>
      <w:bookmarkStart w:id="258" w:name="_Toc236764759"/>
      <w:r>
        <w:t>DREPTUL UNIUNII EUROPENE (UE)</w:t>
      </w:r>
      <w:bookmarkEnd w:id="257"/>
      <w:bookmarkEnd w:id="258"/>
    </w:p>
    <w:p w:rsidR="00DE4BFE" w:rsidRPr="000B62B5" w:rsidRDefault="00E34145" w:rsidP="000B62B5">
      <w:pPr>
        <w:pStyle w:val="JuHA"/>
      </w:pPr>
      <w:bookmarkStart w:id="259" w:name="_Toc176454158"/>
      <w:bookmarkStart w:id="260" w:name="_Toc236764760"/>
      <w:r>
        <w:t>Tratatul privind Uniunea Europeană</w:t>
      </w:r>
      <w:bookmarkEnd w:id="259"/>
      <w:bookmarkEnd w:id="260"/>
    </w:p>
    <w:bookmarkStart w:id="261" w:name="REUL_TEU_A_4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123</w:t>
      </w:r>
      <w:r w:rsidRPr="000B62B5">
        <w:fldChar w:fldCharType="end"/>
      </w:r>
      <w:bookmarkEnd w:id="261"/>
      <w:r>
        <w:t>. Potrivit articolului 4 alineatul (2) din Tratatul privind Uniunea Europeană (JO 2016/C 202/01, p. 13 – „TUE”), securitatea națională „rămâne responsabilitatea exclusivă” a fiecărui stat membru al UE.</w:t>
      </w:r>
    </w:p>
    <w:p w:rsidR="00DE4BFE" w:rsidRPr="000B62B5" w:rsidRDefault="00E34145" w:rsidP="000B62B5">
      <w:pPr>
        <w:pStyle w:val="JuHA"/>
      </w:pPr>
      <w:bookmarkStart w:id="262" w:name="_Toc236764761"/>
      <w:r>
        <w:t>Tratatul privind funcționarea Uniunii Europene</w:t>
      </w:r>
      <w:bookmarkEnd w:id="262"/>
    </w:p>
    <w:bookmarkStart w:id="263" w:name="REUL_TFEU_A_16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124</w:t>
      </w:r>
      <w:r w:rsidRPr="000B62B5">
        <w:fldChar w:fldCharType="end"/>
      </w:r>
      <w:bookmarkEnd w:id="263"/>
      <w:r>
        <w:t>. Potrivit articolului 16 alineatul (1) din Tratatul privind funcționarea Uniunii Europene (JO 2016/C 202/01, p. 47, „TFUE”), „[o]rice persoană are dreptul la protecția datelor cu caracter personal care o privesc”.</w:t>
      </w:r>
    </w:p>
    <w:bookmarkStart w:id="264" w:name="REUL_TFEU_A_16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125</w:t>
      </w:r>
      <w:r w:rsidRPr="000B62B5">
        <w:fldChar w:fldCharType="end"/>
      </w:r>
      <w:bookmarkEnd w:id="264"/>
      <w:r>
        <w:t>. Articolul 16 alineatul (2) din TFUE a mandatat Parlamentul European și Consiliul European să stabilească norme privind protecția persoanelor fizice în ceea ce privește prelucrarea datelor cu caracter personal de către instituțiile, organele, oficiile și agențiile UE, precum și de către statele membre ale UE în exercitarea activităților care fac parte din domeniul de aplicare al dreptului UE, precum și normele privind libera circulație a acestor date”, adăugând că respectarea acestor norme face obiectul controlului unor autorități independente.</w:t>
      </w:r>
    </w:p>
    <w:bookmarkStart w:id="265" w:name="REUL_TFEU_A_16_3_A_39_TEU"/>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126</w:t>
      </w:r>
      <w:r w:rsidRPr="000B62B5">
        <w:fldChar w:fldCharType="end"/>
      </w:r>
      <w:bookmarkEnd w:id="265"/>
      <w:r>
        <w:t>. În temeiul articolului 16 alineatul (2) din TFUE, coroborat cu articolul 39 din TUE, normele adoptate în temeiul articolului 16 alineatul (2) nu aduc atingere normelor (care urmau să fie prevăzute într-o decizie a Consiliului European în temeiul articolului 39 din TUE) referitoare la protecția persoanelor fizice în ceea ce privește prelucrarea datelor cu caracter personal de către statele membre ale UE în exercitarea activităților care fac parte din domeniul de aplicare al politicii externe și de securitate comune a UE.</w:t>
      </w:r>
    </w:p>
    <w:p w:rsidR="00DE4BFE" w:rsidRPr="000B62B5" w:rsidRDefault="00E34145" w:rsidP="000B62B5">
      <w:pPr>
        <w:pStyle w:val="JuHA"/>
      </w:pPr>
      <w:bookmarkStart w:id="266" w:name="_Toc176454159"/>
      <w:bookmarkStart w:id="267" w:name="_Toc236764762"/>
      <w:r>
        <w:t>Carta drepturilor fundamentale a Uniunii Europene</w:t>
      </w:r>
      <w:bookmarkEnd w:id="266"/>
      <w:bookmarkEnd w:id="267"/>
    </w:p>
    <w:bookmarkStart w:id="268" w:name="REUL_Charter_A_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127</w:t>
      </w:r>
      <w:r w:rsidRPr="000B62B5">
        <w:fldChar w:fldCharType="end"/>
      </w:r>
      <w:bookmarkEnd w:id="268"/>
      <w:r>
        <w:t>. Potrivit articolului 7 din Carta drepturilor fundamentale a Uniunii Europene (JO 2016/C 202/02, p. 389 – „Carta”), intitulat „Respectarea vieții private și de familie”, „[o]rice persoană are dreptul la respectarea vieții private și de familie, a domiciliului și a secretului comunicațiilor”.</w:t>
      </w:r>
    </w:p>
    <w:bookmarkStart w:id="269" w:name="REUL_Charter_A_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128</w:t>
      </w:r>
      <w:r w:rsidRPr="000B62B5">
        <w:fldChar w:fldCharType="end"/>
      </w:r>
      <w:bookmarkEnd w:id="269"/>
      <w:r>
        <w:t>. Articolul 8 din Cartă, intitulat „Protecția datelor cu caracter personal”, prevede:</w:t>
      </w:r>
    </w:p>
    <w:p w:rsidR="00DE4BFE" w:rsidRPr="000B62B5" w:rsidRDefault="00E34145" w:rsidP="000B62B5">
      <w:pPr>
        <w:pStyle w:val="JuQuot"/>
      </w:pPr>
      <w:r>
        <w:t>„(1) Orice persoană are dreptul la protecția datelor cu caracter personal care o privesc.</w:t>
      </w:r>
    </w:p>
    <w:p w:rsidR="00DE4BFE" w:rsidRPr="000B62B5" w:rsidRDefault="00E34145" w:rsidP="000B62B5">
      <w:pPr>
        <w:pStyle w:val="JuQuot"/>
      </w:pPr>
      <w:r>
        <w:t>(2) Asemenea date trebuie tratate în mod corect, în scopurile precizate și pe baza consimțământului persoanei interesate sau în temeiul unui alt motiv legitim prevăzut de lege. Orice persoană are dreptul de acces la datele colectate care o privesc, precum și dreptul de a obține rectificarea acestora.</w:t>
      </w:r>
    </w:p>
    <w:p w:rsidR="00DE4BFE" w:rsidRPr="000B62B5" w:rsidRDefault="00E34145" w:rsidP="000B62B5">
      <w:pPr>
        <w:pStyle w:val="JuQuot"/>
      </w:pPr>
      <w:r>
        <w:t>(3) Respectarea acestor norme se supune controlului unei autorități independente.”</w:t>
      </w:r>
    </w:p>
    <w:bookmarkStart w:id="270" w:name="REUL_Charter_A_47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129</w:t>
      </w:r>
      <w:r w:rsidRPr="000B62B5">
        <w:fldChar w:fldCharType="end"/>
      </w:r>
      <w:bookmarkEnd w:id="270"/>
      <w:r>
        <w:t>. Potrivit articolului 47 din Cartă, intitulat „Dreptul la o cale de atac eficientă și la un proces echitabil”, „[o]rice persoană ale cărei drepturi și libertăți garantate de dreptul Uniunii sunt încălcate are dreptul la o cale de atac eficientă în fața unei instanțe judecătorești, în conformitate cu condițiile stabilite la prezentul articol”.</w:t>
      </w:r>
    </w:p>
    <w:bookmarkStart w:id="271" w:name="REUL_Charter_A_5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130</w:t>
      </w:r>
      <w:r w:rsidRPr="000B62B5">
        <w:fldChar w:fldCharType="end"/>
      </w:r>
      <w:bookmarkEnd w:id="271"/>
      <w:r>
        <w:t>. Potrivit articolului 51 din Cartă, intitulat „Domeniul de aplicare”, dispozițiile Cartei se adresează statelor membre ale UE numai în cazul în care acestea pun în aplicare dreptul Uniunii.</w:t>
      </w:r>
    </w:p>
    <w:bookmarkStart w:id="272" w:name="REUL_Charter_A_52_1_3"/>
    <w:p w:rsidR="00DE4BFE" w:rsidRPr="000B62B5" w:rsidRDefault="00E34145" w:rsidP="000B62B5">
      <w:pPr>
        <w:pStyle w:val="JuPara"/>
        <w:keepNext/>
      </w:pPr>
      <w:r w:rsidRPr="000B62B5">
        <w:fldChar w:fldCharType="begin"/>
      </w:r>
      <w:r w:rsidRPr="000B62B5">
        <w:instrText xml:space="preserve"> SEQ level0 \*arabic \* MERGEFORMAT </w:instrText>
      </w:r>
      <w:r w:rsidRPr="000B62B5">
        <w:fldChar w:fldCharType="separate"/>
      </w:r>
      <w:r w:rsidR="000B62B5" w:rsidRPr="000B62B5">
        <w:t>131</w:t>
      </w:r>
      <w:r w:rsidRPr="000B62B5">
        <w:fldChar w:fldCharType="end"/>
      </w:r>
      <w:bookmarkEnd w:id="272"/>
      <w:r>
        <w:t>. Articolul 52 din Cartă, intitulat „Întinderea și interpretarea drepturilor și principiilor”, are următorul cuprins, în măsura în care este relevant:</w:t>
      </w:r>
    </w:p>
    <w:p w:rsidR="00DE4BFE" w:rsidRPr="000B62B5" w:rsidRDefault="00E34145" w:rsidP="000B62B5">
      <w:pPr>
        <w:pStyle w:val="JuQuot"/>
      </w:pPr>
      <w:r>
        <w:t>„(1) Orice restrângere a exercițiului drepturilor și libertăților recunoscute prin prezenta cartă trebuie să fie prevăzută de lege și să respecte substanța acestor drepturi și libertăți. Prin respectarea principiului proporționalității, pot fi impuse restrângeri numai în cazul în care acestea sunt necesare și numai dacă răspund efectiv obiectivelor de interes general recunoscute de Uniune sau necesității protejării drepturilor și libertăților celorlalți.</w:t>
      </w:r>
    </w:p>
    <w:p w:rsidR="00DE4BFE" w:rsidRPr="000B62B5" w:rsidRDefault="00E34145" w:rsidP="000B62B5">
      <w:pPr>
        <w:pStyle w:val="JuQuot"/>
      </w:pPr>
      <w:r>
        <w:t>[...]</w:t>
      </w:r>
    </w:p>
    <w:p w:rsidR="00DE4BFE" w:rsidRPr="000B62B5" w:rsidRDefault="00E34145" w:rsidP="000B62B5">
      <w:pPr>
        <w:pStyle w:val="JuQuot"/>
      </w:pPr>
      <w:r>
        <w:t>(3) În măsura în care prezenta cartă conține drepturi ce corespund unor drepturi garantate prin Convenția europeană pentru apărarea drepturilor omului și a libertăților fundamentale, înțelesul și întinderea lor sunt aceleași ca și cele prevăzute de convenția menționată. Această dispoziție nu împiedică dreptul Uniunii să confere o protecție mai largă.”</w:t>
      </w:r>
    </w:p>
    <w:p w:rsidR="00DE4BFE" w:rsidRPr="000B62B5" w:rsidRDefault="00E34145" w:rsidP="000B62B5">
      <w:pPr>
        <w:pStyle w:val="JuHA"/>
      </w:pPr>
      <w:bookmarkStart w:id="273" w:name="_Toc176454160"/>
      <w:bookmarkStart w:id="274" w:name="_Toc236764763"/>
      <w:r>
        <w:t>Regulamentul general privind protecția datelor</w:t>
      </w:r>
      <w:bookmarkEnd w:id="273"/>
      <w:bookmarkEnd w:id="274"/>
    </w:p>
    <w:bookmarkStart w:id="275" w:name="REUL_GDP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132</w:t>
      </w:r>
      <w:r w:rsidRPr="000B62B5">
        <w:fldChar w:fldCharType="end"/>
      </w:r>
      <w:bookmarkEnd w:id="275"/>
      <w:r>
        <w:t>. Regulamentul (UE) 2016/679 al Parlamentului European și al Consiliului din 27 aprilie 2016 privind protecția persoanelor fizice în ceea ce privește prelucrarea datelor cu caracter personal și privind libera circulație a acestor date și de abrogare a Directivei 95/46/CE (JO 2016, L 119, p. 1) („Regulamentul general privind protecția datelor” – „RGPD”) a intrat în vigoare în 2016, dar se aplică de la 25 mai 2018 [articolul 99 alineatul (2)].</w:t>
      </w:r>
      <w:bookmarkStart w:id="276" w:name="_Ref174712230"/>
      <w:r>
        <w:rPr>
          <w:rStyle w:val="FootnoteReference"/>
        </w:rPr>
        <w:footnoteReference w:id="4"/>
      </w:r>
      <w:bookmarkEnd w:id="276"/>
      <w:r>
        <w:t xml:space="preserve"> Acesta se aplică </w:t>
      </w:r>
      <w:r>
        <w:lastRenderedPageBreak/>
        <w:t>„persoanelor fizice” și nu se aplică prelucrării datelor cu caracter personal care privesc persoane juridice (considerentul 14).</w:t>
      </w:r>
    </w:p>
    <w:bookmarkStart w:id="277" w:name="REUL_GDPR_A_4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133</w:t>
      </w:r>
      <w:r w:rsidRPr="000B62B5">
        <w:fldChar w:fldCharType="end"/>
      </w:r>
      <w:bookmarkEnd w:id="277"/>
      <w:r>
        <w:t>. Articolul 4 alineatul (1) din RGPD definește „datele cu caracter personal” ca fiind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p>
    <w:p w:rsidR="00DE4BFE" w:rsidRPr="000B62B5" w:rsidRDefault="00E34145" w:rsidP="000B62B5">
      <w:pPr>
        <w:pStyle w:val="JuH1"/>
      </w:pPr>
      <w:bookmarkStart w:id="278" w:name="_Toc176454161"/>
      <w:bookmarkStart w:id="279" w:name="_Toc236764764"/>
      <w:r>
        <w:t>Domeniul de aplicare</w:t>
      </w:r>
      <w:bookmarkEnd w:id="278"/>
      <w:r>
        <w:t xml:space="preserve"> </w:t>
      </w:r>
      <w:r>
        <w:rPr>
          <w:i w:val="0"/>
        </w:rPr>
        <w:t>ratione materiae</w:t>
      </w:r>
      <w:bookmarkEnd w:id="279"/>
    </w:p>
    <w:bookmarkStart w:id="280" w:name="REUL_GDPR_A_2_2_a_rec_16"/>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134</w:t>
      </w:r>
      <w:r w:rsidRPr="000B62B5">
        <w:fldChar w:fldCharType="end"/>
      </w:r>
      <w:bookmarkEnd w:id="280"/>
      <w:r>
        <w:t>. Articolul 2 alineatul (2) litera (a) din RGPD prevede că acesta „nu se aplică prelucrării datelor cu caracter personal [...] în cadrul unei activități care nu intră sub incidența dreptului [UE]”. Considerentul (16) conex precizează că RGPD „nu se aplică chestiunilor de protecție a drepturilor și libertăților fundamentale sau la libera circulație a datelor cu caracter personal referitoare la activități care nu intră în domeniul de aplicare al dreptului [UE], de exemplu activitățile privind securitatea națională.”</w:t>
      </w:r>
    </w:p>
    <w:bookmarkStart w:id="281" w:name="REUL_GDPR_A_2_2_a_rec_16_case_law"/>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135</w:t>
      </w:r>
      <w:r w:rsidRPr="000B62B5">
        <w:fldChar w:fldCharType="end"/>
      </w:r>
      <w:bookmarkEnd w:id="281"/>
      <w:r>
        <w:t xml:space="preserve">. Curtea de Justiție a Uniunii Europene („CJUE”) a statuat că activitățile care au ca scop apărarea securității naționale prevăzute la articolul 2 alineatul (2) litera (a) din RGPD „cuprind în special activitățile care au ca obiect protejarea funcțiilor esențiale ale statului și a intereselor fundamentale ale societății” [a se vedea Hotărârea CJUE din 22 iunie 2021, </w:t>
      </w:r>
      <w:r>
        <w:rPr>
          <w:i/>
        </w:rPr>
        <w:t>Latvijas Republikas Saeima</w:t>
      </w:r>
      <w:r>
        <w:t xml:space="preserve"> </w:t>
      </w:r>
      <w:r>
        <w:rPr>
          <w:i/>
        </w:rPr>
        <w:t>(puncte de penalizare)</w:t>
      </w:r>
      <w:r>
        <w:t>, C</w:t>
      </w:r>
      <w:r>
        <w:noBreakHyphen/>
        <w:t xml:space="preserve">439/19, EU:C:2021:504, punctul 67; Hotărârea CJUE din 20 octombrie 2022 în cauza </w:t>
      </w:r>
      <w:r>
        <w:rPr>
          <w:i/>
        </w:rPr>
        <w:t>Koalitsia „Demokratichna Bulgaria – Obedinenie”</w:t>
      </w:r>
      <w:r>
        <w:t xml:space="preserve">, C-306/21, EU:C:2022:813, punctul 40; și Hotărârea CJUE din 5 iunie 2023 în cauza </w:t>
      </w:r>
      <w:r>
        <w:rPr>
          <w:i/>
        </w:rPr>
        <w:t>Comisia/Polonia (Independența și viața privată a judecătorilor)</w:t>
      </w:r>
      <w:r>
        <w:t>, C-204/21, EU:C:2023:334, punctul 318).</w:t>
      </w:r>
    </w:p>
    <w:bookmarkStart w:id="282" w:name="REUL_GDPR_A_2_2_a_rec_16_case_law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136</w:t>
      </w:r>
      <w:r w:rsidRPr="000B62B5">
        <w:fldChar w:fldCharType="end"/>
      </w:r>
      <w:bookmarkEnd w:id="282"/>
      <w:r>
        <w:t xml:space="preserve">. Pe această bază, CJUE a constatat recent că activitățile unei comisii parlamentare care au ca obiect anchetarea operațiunilor unei autorități de protecție a statului (ca urmare a unei suspiciuni de influență politică asupra acestei autorități) nu pot fi considerate drept activități referitoare la securitatea națională situate în afara domeniului de aplicare al dreptului UE, în sensul articolului 2 alineatul (2) litera (a) din RGPD (a se vedea Hotărârea CJUE din 16 ianuarie 2024, </w:t>
      </w:r>
      <w:r>
        <w:rPr>
          <w:i/>
          <w:iCs/>
        </w:rPr>
        <w:t>Österreichische Datenschutzbehörde</w:t>
      </w:r>
      <w:r>
        <w:rPr>
          <w:i/>
        </w:rPr>
        <w:t>,</w:t>
      </w:r>
      <w:r>
        <w:t xml:space="preserve"> C-33/22, EU:C:2024:46, punctul 57).</w:t>
      </w:r>
    </w:p>
    <w:p w:rsidR="00DE4BFE" w:rsidRPr="000B62B5" w:rsidRDefault="00E34145" w:rsidP="000B62B5">
      <w:pPr>
        <w:pStyle w:val="JuH1"/>
      </w:pPr>
      <w:bookmarkStart w:id="283" w:name="_Toc176454162"/>
      <w:bookmarkStart w:id="284" w:name="_Toc236764765"/>
      <w:r>
        <w:t>Dreptul de acces la datele cu caracter personal</w:t>
      </w:r>
      <w:bookmarkEnd w:id="283"/>
      <w:bookmarkEnd w:id="284"/>
    </w:p>
    <w:bookmarkStart w:id="285" w:name="REUL_GDPR_A_15_1_a"/>
    <w:bookmarkStart w:id="286" w:name="REUL_GDPR_A_15_1_a_rec_6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137</w:t>
      </w:r>
      <w:r w:rsidRPr="000B62B5">
        <w:fldChar w:fldCharType="end"/>
      </w:r>
      <w:bookmarkEnd w:id="285"/>
      <w:bookmarkEnd w:id="286"/>
      <w:r>
        <w:t>. Persoana vizată are dreptul de a obține din partea operatorului o confirmare că se prelucrează sau nu date cu caracter personal care o privesc și, în caz afirmativ, acces la datele respective și informații cu privire la scopurile prelucrării acestora [articolul 15 alineatul (1) litera (a) din RGPD]. Considerentul (63) conex precizează, printre altele, că „o persoană vizată ar trebui să aibă drept de acces la datele cu caracter personal colectate care o privesc și ar trebui să își exercite acest drept cu ușurință și la intervale de timp rezonabile, pentru a fi informată cu privire la prelucrare și pentru a verifica legalitatea acesteia”.</w:t>
      </w:r>
    </w:p>
    <w:p w:rsidR="00DE4BFE" w:rsidRPr="000B62B5" w:rsidRDefault="00E34145" w:rsidP="000B62B5">
      <w:pPr>
        <w:pStyle w:val="JuH1"/>
      </w:pPr>
      <w:bookmarkStart w:id="287" w:name="_Toc176454163"/>
      <w:bookmarkStart w:id="288" w:name="_Toc236764766"/>
      <w:r>
        <w:t>Restricții aplicate dreptului de acces</w:t>
      </w:r>
      <w:bookmarkEnd w:id="287"/>
      <w:bookmarkEnd w:id="288"/>
    </w:p>
    <w:bookmarkStart w:id="289" w:name="REUL_GDPR_A_23_1_rec_7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138</w:t>
      </w:r>
      <w:r w:rsidRPr="000B62B5">
        <w:fldChar w:fldCharType="end"/>
      </w:r>
      <w:bookmarkEnd w:id="289"/>
      <w:r>
        <w:t>. Potrivit articolului 23 alineatul (1) din RGPD, dreptul intern al statelor membre ale UE poate restricționa, printr-o măsură legislativă, domeniul de aplicare al obligațiilor și al drepturilor prevăzute la articolele 12-22 „atunci când o astfel de restricție respectă esența drepturilor și libertăților fundamentale și constituie o măsură necesară și proporțională într-o societate democratică, pentru a asigura”, printre altele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securitatea națională,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securitatea publică și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xml:space="preserve">) prevenirea, investigarea, depistarea sau urmărirea penală a infracțiunilor sau executarea sancțiunilor penale – inclusiv protejarea împotriva amenințărilor la adresa securității </w:t>
      </w:r>
      <w:r>
        <w:lastRenderedPageBreak/>
        <w:t>publice și prevenirea acestora. Considerentul (73) primul paragraf conex precizează că „[d]reptul Uniunii sau dreptul intern poate impune restricții în privința unor principii specifice, în privința dreptului de informare, a dreptului de acces la datele cu caracter personal și de rectificare sau ștergere a acestora [...] în măsura în care acest lucru este necesar și proporțional într-o societate democratică pentru a se garanta siguranța publică, [...] prevenirea, investigarea și urmărirea penală a infracțiunilor sau executarea pedepselor, inclusiv protejarea împotriva amenințărilor la adresa siguranței publice [...] și prevenirea acestora [...] [sau] alte obiective importante de interes public general ale Uniunii sau ale unui stat membru”, dar considerentul (73) al doilea paragraf precizează, în continuare, că aceste restricții „ar trebui să fie conforme cu cerințele prevăzute de cartă și de [Convenție]”.</w:t>
      </w:r>
    </w:p>
    <w:bookmarkStart w:id="290" w:name="REUL_GDPR_A_23_2_h"/>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139</w:t>
      </w:r>
      <w:r w:rsidRPr="000B62B5">
        <w:fldChar w:fldCharType="end"/>
      </w:r>
      <w:bookmarkEnd w:id="290"/>
      <w:r>
        <w:t>. Dacă este cazul, orice astfel de măsură legislativă trebuie, printre altele, să definească domeniul de aplicare al restricțiilor și să prevadă dreptul persoanelor vizate de a fi informate cu privire la orice restricții impuse – cu excepția cazului în care acest lucru ar putea aduce atingere scopului restricției [articolul 23 alineatul (2) literele (c) și (h) din RGPD].</w:t>
      </w:r>
    </w:p>
    <w:p w:rsidR="00DE4BFE" w:rsidRPr="000B62B5" w:rsidRDefault="00E34145" w:rsidP="000B62B5">
      <w:pPr>
        <w:pStyle w:val="JuH1"/>
      </w:pPr>
      <w:bookmarkStart w:id="291" w:name="_Toc176454164"/>
      <w:bookmarkStart w:id="292" w:name="_Toc236764767"/>
      <w:r>
        <w:t>Autoritatea de supraveghere</w:t>
      </w:r>
      <w:bookmarkEnd w:id="291"/>
      <w:bookmarkEnd w:id="292"/>
    </w:p>
    <w:bookmarkStart w:id="293" w:name="REUL_GDPR_A_51_1_A_52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140</w:t>
      </w:r>
      <w:r w:rsidRPr="000B62B5">
        <w:fldChar w:fldCharType="end"/>
      </w:r>
      <w:bookmarkEnd w:id="293"/>
      <w:r>
        <w:t>. În temeiul articolului 51 alineatul (1) din RGPD, fiecare stat membru al UE trebuie să se asigure că una sau mai multe autorități publice independente sunt responsabile de monitorizarea aplicării RGPD, printre altele în vederea protejării drepturilor și libertăților fundamentale ale persoanelor fizice în ceea ce privește prelucrarea datelor. Aceste autorități beneficiază de independență deplină în îndeplinirea sarcinilor care le revin și în exercitarea competențelor care le revin în temeiul RGPD [articolul 52 alineatul (1)].</w:t>
      </w:r>
    </w:p>
    <w:bookmarkStart w:id="294" w:name="REUL_GDPR_A_57_1_f"/>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141</w:t>
      </w:r>
      <w:r w:rsidRPr="000B62B5">
        <w:fldChar w:fldCharType="end"/>
      </w:r>
      <w:bookmarkEnd w:id="294"/>
      <w:r>
        <w:t>. Sarcinile autorității de supraveghere trebuie să includă tratarea plângerilor depuse de o persoană vizată, investigarea (într-o măsură adecvată) a obiectului plângerilor și informarea persoanei care a depus plângerea cu privire la evoluția și rezultatul investigației, într-un termen rezonabil; autoritatea de supraveghere trebuie să informeze persoana care a depus plângerea în special dacă este necesară efectuarea unei investigații mai amănunțite sau coordonarea cu o altă autoritate de supraveghere [articolul 57 alineatul (1) litera (f) din RGPD].</w:t>
      </w:r>
    </w:p>
    <w:bookmarkStart w:id="295" w:name="REUL_GDPR_A_58_1_a_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142</w:t>
      </w:r>
      <w:r w:rsidRPr="000B62B5">
        <w:fldChar w:fldCharType="end"/>
      </w:r>
      <w:bookmarkEnd w:id="295"/>
      <w:r>
        <w:t>. Autoritățile de supraveghere trebuie să aibă „competențe de investigare”, inclusiv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 da dispoziții operatorului sau persoanei împuternicite de operator să furnizeze orice informații pe care autoritățile de supraveghere le solicită în vederea îndeplinirii sarcinilor acestora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 a obține, din partea operatorului sau a persoanei împuternicite de operator, acces la toate datele cu caracter personal și la toate informațiile necesare pentru îndeplinirea sarcinilor acestora [articolul 58 alineatul (1) literele (a) și (e) din RGPD].</w:t>
      </w:r>
    </w:p>
    <w:bookmarkStart w:id="296" w:name="REUL_GDPR_A_58_2_c_d_f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143</w:t>
      </w:r>
      <w:r w:rsidRPr="000B62B5">
        <w:fldChar w:fldCharType="end"/>
      </w:r>
      <w:bookmarkEnd w:id="296"/>
      <w:r>
        <w:t>. De asemenea, acestea trebuie să aibă „competențe corective”, cum ar fi competența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 da dispoziții operatorului sau persoanei împuternicite de operator să respecte cererile persoanei vizate de a-și exercita drepturile în temeiul RGPD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 a da dispoziții operatorului sau persoanei împuternicite de operator să asigure conformitatea operațiunilor de prelucrare cu dispozițiile RGPD, specificând, după caz, modalitatea și termenul-limită pentru aceasta,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de a impune o limitare temporară sau definitivă (inclusiv o interdicție asupra prelucrării) și (</w:t>
      </w:r>
      <w:r w:rsidR="000B62B5" w:rsidRPr="000B62B5">
        <w:fldChar w:fldCharType="begin"/>
      </w:r>
      <w:r>
        <w:instrText xml:space="preserve"> SEQ level1 \*alphabetic \* MERGEFORMAT </w:instrText>
      </w:r>
      <w:r w:rsidR="000B62B5" w:rsidRPr="000B62B5">
        <w:fldChar w:fldCharType="separate"/>
      </w:r>
      <w:r w:rsidR="000B62B5" w:rsidRPr="000B62B5">
        <w:t>d</w:t>
      </w:r>
      <w:r w:rsidR="000B62B5" w:rsidRPr="000B62B5">
        <w:fldChar w:fldCharType="end"/>
      </w:r>
      <w:r>
        <w:t>) de a dispune rectificarea sau ștergerea datelor cu caracter personal sau restricționarea prelucrării acestora [articolul 58 alineatul (2) literele (c), (d), (f) și (g) din RGPD].</w:t>
      </w:r>
    </w:p>
    <w:bookmarkStart w:id="297" w:name="REUL_GDPR_A_58_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144</w:t>
      </w:r>
      <w:r w:rsidRPr="000B62B5">
        <w:fldChar w:fldCharType="end"/>
      </w:r>
      <w:bookmarkEnd w:id="297"/>
      <w:r>
        <w:t>. Autoritățile de supraveghere trebuie, de asemenea, să aibă competența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 aduce în fața autorităților judiciare cazurile de încălcare a dispozițiilor RGPD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 a iniția sau de a se implica într-un alt mod în proceduri judiciare, în scopul de a asigura aplicarea dispozițiilor RGPD [articolul 58 alineatul (5) din RGPD].</w:t>
      </w:r>
    </w:p>
    <w:p w:rsidR="00DE4BFE" w:rsidRPr="000B62B5" w:rsidRDefault="00E34145" w:rsidP="000B62B5">
      <w:pPr>
        <w:pStyle w:val="JuH1"/>
      </w:pPr>
      <w:bookmarkStart w:id="298" w:name="_Toc176454165"/>
      <w:bookmarkStart w:id="299" w:name="_Toc236764768"/>
      <w:r>
        <w:lastRenderedPageBreak/>
        <w:t>Căi de atac</w:t>
      </w:r>
      <w:bookmarkEnd w:id="298"/>
      <w:bookmarkEnd w:id="299"/>
    </w:p>
    <w:bookmarkStart w:id="300" w:name="REUL_GDPR_A_77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145</w:t>
      </w:r>
      <w:r w:rsidRPr="000B62B5">
        <w:fldChar w:fldCharType="end"/>
      </w:r>
      <w:bookmarkEnd w:id="300"/>
      <w:r>
        <w:t>. Fiecare persoană vizată are dreptul de a depune o plângere la o autoritate de supraveghere în cazul în care consideră că prelucrarea datelor cu caracter personal care o vizează încalcă RGPD [articolul 77 alineatul (1) din RGPD].</w:t>
      </w:r>
    </w:p>
    <w:bookmarkStart w:id="301" w:name="REUL_GDPR_A_79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146</w:t>
      </w:r>
      <w:r w:rsidRPr="000B62B5">
        <w:fldChar w:fldCharType="end"/>
      </w:r>
      <w:bookmarkEnd w:id="301"/>
      <w:r>
        <w:t>. Fiecare persoană vizată are, de asemenea, dreptul, în aceleași circumstanțe, la o cale de atac judiciară eficientă [articolul 79 alineatul (1) din RGPD].</w:t>
      </w:r>
    </w:p>
    <w:bookmarkStart w:id="302" w:name="REUL_GDPR_A_78_1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147</w:t>
      </w:r>
      <w:r w:rsidRPr="000B62B5">
        <w:fldChar w:fldCharType="end"/>
      </w:r>
      <w:bookmarkEnd w:id="302"/>
      <w:r>
        <w:t>. Fiecare persoană fizică sau juridică are, de asemenea, dreptul de a exercita o cale de atac judiciară eficientă împotriva unei decizii obligatorii din punct de vedere juridic a unei autorități de supraveghere care o vizează [articolul 78 alineatul (1) din RGPD]. Fiecare persoană vizată are, de asemenea, dreptul de a exercita o cale de atac judiciară eficientă în cazul în care autoritatea de supraveghere nu tratează o plângere sau nu informează persoana vizată în termen de trei luni cu privire la progresele sau la soluționarea plângerii depuse la această autoritate în temeiul articolului 77 [articolul 78 alineatul (2) din RGPD].</w:t>
      </w:r>
    </w:p>
    <w:bookmarkStart w:id="303" w:name="REUL_GDPR_A_8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148</w:t>
      </w:r>
      <w:r w:rsidRPr="000B62B5">
        <w:fldChar w:fldCharType="end"/>
      </w:r>
      <w:bookmarkEnd w:id="303"/>
      <w:r>
        <w:t>. Orice persoană care a suferit un prejudiciu material sau moral, ca urmare a unei încălcări a dispozițiilor RGPD, are dreptul să obțină despăgubiri din partea operatorului sau a persoanei împuternicite de operator [articolul 82 alineatul (1) din RGPD]. La articolul 82 alineatele (2)-(4) se stabilește procedura în temeiul căreia pot fi solicitate astfel de despăgubiri.</w:t>
      </w:r>
    </w:p>
    <w:p w:rsidR="00DE4BFE" w:rsidRPr="000B62B5" w:rsidRDefault="00E34145" w:rsidP="000B62B5">
      <w:pPr>
        <w:pStyle w:val="JuHA"/>
      </w:pPr>
      <w:bookmarkStart w:id="304" w:name="_Toc176454166"/>
      <w:bookmarkStart w:id="305" w:name="_Toc236764769"/>
      <w:r>
        <w:t>Directiva privind protecția datelor în materie de asigurare a respectării legii</w:t>
      </w:r>
      <w:bookmarkEnd w:id="304"/>
      <w:bookmarkEnd w:id="305"/>
    </w:p>
    <w:bookmarkStart w:id="306" w:name="REUL_LE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149</w:t>
      </w:r>
      <w:r w:rsidRPr="000B62B5">
        <w:fldChar w:fldCharType="end"/>
      </w:r>
      <w:bookmarkEnd w:id="306"/>
      <w:r>
        <w:t>. Directiva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și de abrogare a Deciziei-cadru 2008/977/JAI a Consiliului 2008/977/JHA (JO 2016 L 119, p. 89) [„Directiva privind protecția datelor în materie de asigurare a respectării legii” – „LED” (</w:t>
      </w:r>
      <w:r>
        <w:rPr>
          <w:i/>
          <w:iCs/>
        </w:rPr>
        <w:t>Law Enforcement Directive</w:t>
      </w:r>
      <w:r>
        <w:t>)] reglementează prelucrarea datelor cu caracter personal ale „persoanelor fizice” de către autoritățile competente în scopul „prevenirii, depistării, investigării sau urmăririi penale a infracțiunilor sau al executării pedepselor, inclusiv al protejării împotriva amenințărilor la adresa securității publice și al prevenirii acestora” [articolul 1 alineatul (1) și articolul 2 alineatul (1)].</w:t>
      </w:r>
    </w:p>
    <w:bookmarkStart w:id="307" w:name="REUL_LED_transposition"/>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150</w:t>
      </w:r>
      <w:r w:rsidRPr="000B62B5">
        <w:fldChar w:fldCharType="end"/>
      </w:r>
      <w:bookmarkEnd w:id="307"/>
      <w:r>
        <w:t>. LED trebuia să fie transpusă până în luna mai 2018 [articolul 63 alineatul (1)]. Bulgaria a făcut acest lucru, prin intermediul unei modificări a Legii din 2002, în martie 2019 (a se vedea supra, pct. </w:t>
      </w:r>
      <w:r w:rsidRPr="000B62B5">
        <w:fldChar w:fldCharType="begin"/>
      </w:r>
      <w:r w:rsidRPr="000B62B5">
        <w:instrText xml:space="preserve"> REF  RLF_PPDA_Mar_2019_amendments \h  \* MERGEFORMAT </w:instrText>
      </w:r>
      <w:r w:rsidRPr="000B62B5">
        <w:fldChar w:fldCharType="separate"/>
      </w:r>
      <w:r w:rsidR="000B62B5" w:rsidRPr="000B62B5">
        <w:t>85</w:t>
      </w:r>
      <w:r w:rsidRPr="000B62B5">
        <w:fldChar w:fldCharType="end"/>
      </w:r>
      <w:r>
        <w:t>).</w:t>
      </w:r>
    </w:p>
    <w:p w:rsidR="00DE4BFE" w:rsidRPr="000B62B5" w:rsidRDefault="00E34145" w:rsidP="000B62B5">
      <w:pPr>
        <w:pStyle w:val="JuH1"/>
      </w:pPr>
      <w:bookmarkStart w:id="308" w:name="_Toc176454167"/>
      <w:bookmarkStart w:id="309" w:name="_Toc236764770"/>
      <w:r>
        <w:t>Domeniul de aplicare</w:t>
      </w:r>
      <w:bookmarkEnd w:id="308"/>
      <w:r>
        <w:t xml:space="preserve"> </w:t>
      </w:r>
      <w:r>
        <w:rPr>
          <w:i w:val="0"/>
        </w:rPr>
        <w:t>ratione materiae</w:t>
      </w:r>
      <w:bookmarkEnd w:id="309"/>
    </w:p>
    <w:bookmarkStart w:id="310" w:name="REUL_LED_A_2_3_a_rec_1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151</w:t>
      </w:r>
      <w:r w:rsidRPr="000B62B5">
        <w:fldChar w:fldCharType="end"/>
      </w:r>
      <w:bookmarkEnd w:id="310"/>
      <w:r>
        <w:t>. Articolul 2 alineatul (3) litera (a) din LED – care reflectă articolul 2 alineatul (2) litera (a) din RGPD (a se vedea supra, pct. </w:t>
      </w:r>
      <w:r w:rsidRPr="000B62B5">
        <w:fldChar w:fldCharType="begin"/>
      </w:r>
      <w:r w:rsidRPr="000B62B5">
        <w:instrText xml:space="preserve"> REF  REUL_GDPR_A_2_2_a_rec_16 \h  \* MERGEFORMAT </w:instrText>
      </w:r>
      <w:r w:rsidRPr="000B62B5">
        <w:fldChar w:fldCharType="separate"/>
      </w:r>
      <w:r w:rsidR="000B62B5" w:rsidRPr="000B62B5">
        <w:t>134</w:t>
      </w:r>
      <w:r w:rsidRPr="000B62B5">
        <w:fldChar w:fldCharType="end"/>
      </w:r>
      <w:r>
        <w:t>) – prevede că LED „nu se aplică prelucrării datelor cu caracter personal [...] în cadrul unei activități care nu intră sub incidența dreptului [UE]”. Considerentul (14) conex precizează că „[î]ntrucât [LED] nu ar trebui să se aplice prelucrării datelor cu caracter personal în cadrul unei activități care nu intră sub incidența dreptului [UE], activitățile privind securitatea națională, activitățile agențiilor sau ale unităților specializate pe probleme de securitate națională și prelucrarea datelor cu caracter personal de către statele membre atunci când acestea desfășoară activități circumscrise domeniului de aplicare al titlului V capitolul 2 din Tratatul privind Uniunea Europeană (TUE) [care privesc politica externă și de securitate comună a Uniunii] [...] nu ar trebui considerate activități care se încadrează în domeniul de aplicare al [LED]”.</w:t>
      </w:r>
    </w:p>
    <w:bookmarkStart w:id="311" w:name="REUL_LED_A_2_3_a_rec_14_case_law"/>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152</w:t>
      </w:r>
      <w:r w:rsidRPr="000B62B5">
        <w:fldChar w:fldCharType="end"/>
      </w:r>
      <w:bookmarkEnd w:id="311"/>
      <w:r>
        <w:t xml:space="preserve">. CJUE a statuat că, potrivit articolului 2 alineatul (3) litera (a) din LED, interpretat în lumina considerentului (14) al acesteia, LED nu se aplică prelucrării de date cu caracter </w:t>
      </w:r>
      <w:r>
        <w:lastRenderedPageBreak/>
        <w:t xml:space="preserve">personal în scopuri care țin de protecția securității naționale [a se vedea Hotărârea CJUE din 30 ianuarie 2024, </w:t>
      </w:r>
      <w:r>
        <w:rPr>
          <w:i/>
        </w:rPr>
        <w:t>Direktor na Glavna direktsia „Natsionalna politsia” pri Ministerstvo na vatreshnite raboti (MVR) – Sofia,</w:t>
      </w:r>
      <w:r>
        <w:t xml:space="preserve"> C-118/22, EU:C:2024:97, punctul 38].</w:t>
      </w:r>
    </w:p>
    <w:p w:rsidR="00DE4BFE" w:rsidRPr="000B62B5" w:rsidRDefault="00E34145" w:rsidP="000B62B5">
      <w:pPr>
        <w:pStyle w:val="JuH1"/>
      </w:pPr>
      <w:bookmarkStart w:id="312" w:name="_Toc176454168"/>
      <w:bookmarkStart w:id="313" w:name="_Toc236764771"/>
      <w:r>
        <w:t>Dreptul de acces la datele cu caracter personal</w:t>
      </w:r>
      <w:bookmarkEnd w:id="312"/>
      <w:bookmarkEnd w:id="313"/>
    </w:p>
    <w:bookmarkStart w:id="314" w:name="REUL_LED_A_14_1_rec_4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153</w:t>
      </w:r>
      <w:r w:rsidRPr="000B62B5">
        <w:fldChar w:fldCharType="end"/>
      </w:r>
      <w:bookmarkEnd w:id="314"/>
      <w:r>
        <w:t>. În temeiul articolului 14 alineatul (1) litera (a) din LED, sub rezerva articolului 15 din LED (a se vedea infra, pct. </w:t>
      </w:r>
      <w:r w:rsidRPr="000B62B5">
        <w:fldChar w:fldCharType="begin"/>
      </w:r>
      <w:r w:rsidRPr="000B62B5">
        <w:instrText xml:space="preserve"> REF  REUL_LED_A_15_1_c_d \h  \* MERGEFORMAT </w:instrText>
      </w:r>
      <w:r w:rsidRPr="000B62B5">
        <w:fldChar w:fldCharType="separate"/>
      </w:r>
      <w:r w:rsidR="000B62B5" w:rsidRPr="000B62B5">
        <w:t>156</w:t>
      </w:r>
      <w:r w:rsidRPr="000B62B5">
        <w:fldChar w:fldCharType="end"/>
      </w:r>
      <w:r>
        <w:t>-</w:t>
      </w:r>
      <w:r w:rsidRPr="000B62B5">
        <w:fldChar w:fldCharType="begin"/>
      </w:r>
      <w:r w:rsidRPr="000B62B5">
        <w:instrText xml:space="preserve"> REF  REUL_LED_A_15_4 \h  \* MERGEFORMAT </w:instrText>
      </w:r>
      <w:r w:rsidRPr="000B62B5">
        <w:fldChar w:fldCharType="separate"/>
      </w:r>
      <w:r w:rsidR="000B62B5" w:rsidRPr="000B62B5">
        <w:t>159</w:t>
      </w:r>
      <w:r w:rsidRPr="000B62B5">
        <w:fldChar w:fldCharType="end"/>
      </w:r>
      <w:r>
        <w:t>), statele membre ale UE trebuie să garanteze dreptul persoanei vizate de a obține din partea operatorului o confirmare că se prelucrează sau nu date cu caracter personal care o privesc și, în caz afirmativ, accesul la datele respective și informații cu privire la scopurile și temeiul juridic al prelucrării lor. Considerentul (43) conex precizează, printre altele, că o persoană fizică ar trebui să aibă drept de acces la datele colectate care o privesc și ar trebui să își exercite acest drept cu ușurință și la intervale de timp rezonabile, pentru a fi informată cu privire la prelucrare și pentru a verifica legalitatea acesteia, și că, pentru ca acest drept să fie respectat, este suficient ca persoana vizată să dețină o sinteză completă a respectivelor date într-o formă inteligibilă, care să permită persoanei vizate să ia cunoștință de aceste date și să verifice că acestea sunt exacte și prelucrate în conformitate cu LED, astfel încât persoana vizată să poată să își exercite drepturile care îi sunt conferite prin LED.</w:t>
      </w:r>
    </w:p>
    <w:bookmarkStart w:id="315" w:name="REUL_LED_A_14_1_EU_Com_rep_Jul_202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154</w:t>
      </w:r>
      <w:r w:rsidRPr="000B62B5">
        <w:fldChar w:fldCharType="end"/>
      </w:r>
      <w:bookmarkEnd w:id="315"/>
      <w:r>
        <w:t>. În primul său raport referitor la aplicarea LED, publicat în iulie 2022 [COM(2022) 364 final], Comisia Europeană a menționat, la pagina 18, că practica a arătat că, dintre drepturile conferite în temeiul LED, dreptul de acces și de ștergere a fost cel mai frecvent exercitat.</w:t>
      </w:r>
    </w:p>
    <w:bookmarkStart w:id="316" w:name="REUL_LED_A_14_1_WP29_op_Dec_201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155</w:t>
      </w:r>
      <w:r w:rsidRPr="000B62B5">
        <w:fldChar w:fldCharType="end"/>
      </w:r>
      <w:bookmarkEnd w:id="316"/>
      <w:r>
        <w:t>. Într-un document din noiembrie 2017, intitulat „Aviz cu privire la unele aspecte-cheie ale [LED]” (WP 258), Grupul de lucru pentru protecția persoanelor în ceea ce privește prelucrarea datelor cu caracter personal („Grupul de lucru «Articolul 29»”)</w:t>
      </w:r>
      <w:r>
        <w:rPr>
          <w:rStyle w:val="FootnoteReference"/>
        </w:rPr>
        <w:footnoteReference w:id="5"/>
      </w:r>
      <w:r>
        <w:t xml:space="preserve"> a exprimat, la pagina 19, opinia potrivit căreia articolul 14 din LED cuprinde un „drept la confirmare negativă” (și anume, dreptul unei persoane de a obține de la autoritatea relevantă confirmarea că aceasta nu prelucrează datele persoanei respective, dacă acest lucru este adevărat) și că aplicarea unei politici de tip „nici nu confirmăm, nici nu infirmăm” (</w:t>
      </w:r>
      <w:r>
        <w:rPr>
          <w:i/>
          <w:iCs/>
        </w:rPr>
        <w:t>„neither confirm nor deny” policy</w:t>
      </w:r>
      <w:r>
        <w:t>) este posibilă doar în cazul derogărilor prevăzute la articolul 15 din LED.</w:t>
      </w:r>
    </w:p>
    <w:p w:rsidR="00DE4BFE" w:rsidRPr="000B62B5" w:rsidRDefault="00E34145" w:rsidP="000B62B5">
      <w:pPr>
        <w:pStyle w:val="JuH1"/>
      </w:pPr>
      <w:bookmarkStart w:id="317" w:name="_Toc176454169"/>
      <w:bookmarkStart w:id="318" w:name="_Toc236764772"/>
      <w:r>
        <w:t>Restrângeri aduse dreptului de acces</w:t>
      </w:r>
      <w:bookmarkEnd w:id="317"/>
      <w:bookmarkEnd w:id="318"/>
    </w:p>
    <w:bookmarkStart w:id="319" w:name="REUL_LED_A_15_1_c_d"/>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156</w:t>
      </w:r>
      <w:r w:rsidRPr="000B62B5">
        <w:fldChar w:fldCharType="end"/>
      </w:r>
      <w:bookmarkEnd w:id="319"/>
      <w:r>
        <w:t>. Articolul 15 alineatul (1) literele (c) și (d) din LED permite statelor membre ale UE să adopte măsuri legislative care limitează, integral sau parțial, dreptul de acces al persoanei vizate „în măsura în care și atât timp cât o astfel de limitare, parțială sau totală, constituie o măsură necesară și proporțională într-o societate democratică, ținându-se seama [în mod corespunzător] de drepturile fundamentale și de interesele legitime ale respectivei persoane fizice”, pentru protejarea securității publice sau a securității naționale. În primul său raport referitor la aplicarea LED (a se vedea supra, pct. </w:t>
      </w:r>
      <w:r w:rsidRPr="000B62B5">
        <w:fldChar w:fldCharType="begin"/>
      </w:r>
      <w:r w:rsidRPr="000B62B5">
        <w:instrText xml:space="preserve"> REF  REUL_LED_A_14_1_EU_Com_rep_Jul_2022 \h  \* MERGEFORMAT </w:instrText>
      </w:r>
      <w:r w:rsidRPr="000B62B5">
        <w:fldChar w:fldCharType="separate"/>
      </w:r>
      <w:r w:rsidR="000B62B5" w:rsidRPr="000B62B5">
        <w:t>154</w:t>
      </w:r>
      <w:r w:rsidRPr="000B62B5">
        <w:fldChar w:fldCharType="end"/>
      </w:r>
      <w:r>
        <w:t>), Comisia Europeană a menționat, la pagina 16, că toate statele membre ale UE au ales să facă uz de posibilitatea de a restricționa dreptul de acces al persoanelor vizate [la datele lor cu caracter personal].</w:t>
      </w:r>
    </w:p>
    <w:bookmarkStart w:id="320" w:name="REUL_LED_A_15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157</w:t>
      </w:r>
      <w:r w:rsidRPr="000B62B5">
        <w:fldChar w:fldCharType="end"/>
      </w:r>
      <w:bookmarkEnd w:id="320"/>
      <w:r>
        <w:t>. Potrivit articolului 15 alineatul (2) din LED, statele membre ale UE pot adopta măsuri legislative pentru a stabili „categoriile de prelucrare” care pot intra, integral sau parțial, sub incidența articolului 15 alineatul (1) literele (a)-(e).</w:t>
      </w:r>
    </w:p>
    <w:bookmarkStart w:id="321" w:name="REUL_LED_A_15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158</w:t>
      </w:r>
      <w:r w:rsidRPr="000B62B5">
        <w:fldChar w:fldCharType="end"/>
      </w:r>
      <w:bookmarkEnd w:id="321"/>
      <w:r>
        <w:t xml:space="preserve">. În astfel de situații, statele membre ale UE trebuie să garanteze că operatorul informează în scris persoana vizată, fără întârzieri nejustificate, cu privire la refuzul sau limitarea accesului și la motivele refuzului sau ale limitării, dar aceste informații pot fi omise atunci când furnizarea </w:t>
      </w:r>
      <w:r>
        <w:lastRenderedPageBreak/>
        <w:t>lor ar contraveni unuia dintre scopurile prevăzute la articolul 15 alineatul (1). Statele membre ale UE trebuie, de asemenea, să garanteze că operatorul informează persoana vizată cu privire la posibilitatea de a depune o plângere la autoritatea de supraveghere sau de a introduce o cale de atac judiciară [articolul 15 alineatul (3) din LED].</w:t>
      </w:r>
    </w:p>
    <w:bookmarkStart w:id="322" w:name="REUL_LED_A_15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159</w:t>
      </w:r>
      <w:r w:rsidRPr="000B62B5">
        <w:fldChar w:fldCharType="end"/>
      </w:r>
      <w:bookmarkEnd w:id="322"/>
      <w:r>
        <w:t>. Potrivit articolului 15 alineatul (4) din LED, statele membre ale UE trebuie să garanteze că operatorul justifică motivele de fapt și de drept pe care se întemeiază decizia de limitare a accesului și să se asigure că aceste motive sunt puse la dispoziția autorităților de supraveghere.</w:t>
      </w:r>
    </w:p>
    <w:bookmarkStart w:id="323" w:name="REUL_LED_rec_44_45_46"/>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160</w:t>
      </w:r>
      <w:r w:rsidRPr="000B62B5">
        <w:fldChar w:fldCharType="end"/>
      </w:r>
      <w:bookmarkEnd w:id="323"/>
      <w:r>
        <w:t>. Potrivit considerentului (44) conex, statele membre ale UE ar trebui să aibă posibilitatea de a adopta măsuri legislative în vederea restricționării (integrale sau parțiale a) accesului persoanelor vizate la datele lor cu caracter personal, în măsura în care – și atât timp cât – o astfel de măsură constituie o măsură necesară și proporțională într-o societate democratică, ținând seama în mod corespunzător de drepturile fundamentale și de interesele legitime ale persoanei fizice în cauză, pentru a se proteja, printre altele, securitatea publică sau securitatea națională, dar operatorul ar trebui să aprecieze, prin intermediul unei examinări concrete și individuale a fiecărui caz în parte, dacă dreptul de acces ar trebui să fie limitat parțial sau complet. În continuare, considerentul (45) precizează că orice refuz sau limitare a accesului ar trebui, în principiu, să fie prezentată în scris persoanei vizate și ar trebui să includă motivele de fapt sau de drept pe care se bazează decizia, iar considerentul (46) prevede că orice limitare a drepturilor persoanei vizate trebuie să fie în conformitate cu Carta și Convenția, astfel cum a fost interpretată în jurisprudența CJUE și, respectiv, a CEDO, și, în special, să respecte esența acestor drepturi și libertăți.</w:t>
      </w:r>
    </w:p>
    <w:bookmarkStart w:id="324" w:name="REUL_LED_A_15_WP29_op_Dec_201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161</w:t>
      </w:r>
      <w:r w:rsidRPr="000B62B5">
        <w:fldChar w:fldCharType="end"/>
      </w:r>
      <w:bookmarkEnd w:id="324"/>
      <w:r>
        <w:t xml:space="preserve">. În avizul din noiembrie 2017, citat la punctul </w:t>
      </w:r>
      <w:r w:rsidRPr="000B62B5">
        <w:fldChar w:fldCharType="begin"/>
      </w:r>
      <w:r w:rsidRPr="000B62B5">
        <w:instrText xml:space="preserve"> REF  REUL_LED_A_14_1_WP29_op_Dec_2017 \h  \* MERGEFORMAT </w:instrText>
      </w:r>
      <w:r w:rsidRPr="000B62B5">
        <w:fldChar w:fldCharType="separate"/>
      </w:r>
      <w:r w:rsidR="000B62B5" w:rsidRPr="000B62B5">
        <w:t>155</w:t>
      </w:r>
      <w:r w:rsidRPr="000B62B5">
        <w:fldChar w:fldCharType="end"/>
      </w:r>
      <w:r>
        <w:t xml:space="preserve"> de mai sus, Grupul de lucru „Articolul 29” și-a exprimat, la pagina 20, opinia potrivit căreia un răspuns de tip „nici nu confirmăm, nici nu infirmăm” ar putea fi conform cu articolul 15 din LED, dar că o derogare trebuie aplicată numai în cazul în care se consideră că este strict necesară și proporțională, de la caz la caz, și că nu trebuie utilizate derogări generale.</w:t>
      </w:r>
    </w:p>
    <w:p w:rsidR="00DE4BFE" w:rsidRPr="000B62B5" w:rsidRDefault="00E34145" w:rsidP="000B62B5">
      <w:pPr>
        <w:pStyle w:val="JuH1"/>
      </w:pPr>
      <w:bookmarkStart w:id="325" w:name="_Toc176454170"/>
      <w:bookmarkStart w:id="326" w:name="_Toc236764773"/>
      <w:r>
        <w:t>Exercitarea indirectă a dreptului de acces</w:t>
      </w:r>
      <w:bookmarkEnd w:id="325"/>
      <w:bookmarkEnd w:id="326"/>
    </w:p>
    <w:bookmarkStart w:id="327" w:name="REUL_LED_A_17_1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162</w:t>
      </w:r>
      <w:r w:rsidRPr="000B62B5">
        <w:fldChar w:fldCharType="end"/>
      </w:r>
      <w:bookmarkEnd w:id="327"/>
      <w:r>
        <w:t>. În temeiul articolului 17 alineatul (1) din LED, în tipurile de situații menționate la articolul 15 alineatul (3) (a se vedea supra, pct. </w:t>
      </w:r>
      <w:r w:rsidRPr="000B62B5">
        <w:fldChar w:fldCharType="begin"/>
      </w:r>
      <w:r w:rsidRPr="000B62B5">
        <w:instrText xml:space="preserve"> REF  REUL_LED_A_15_3 \h  \* MERGEFORMAT </w:instrText>
      </w:r>
      <w:r w:rsidRPr="000B62B5">
        <w:fldChar w:fldCharType="separate"/>
      </w:r>
      <w:r w:rsidR="000B62B5" w:rsidRPr="000B62B5">
        <w:t>158</w:t>
      </w:r>
      <w:r w:rsidRPr="000B62B5">
        <w:fldChar w:fldCharType="end"/>
      </w:r>
      <w:r>
        <w:t>), statele membre ale UE trebuie să adopte măsuri prin care se prevede că drepturile persoanei vizate pot fi, de asemenea, exercitate prin intermediul autorității de supraveghere competente; potrivit articolului 17 alineatul (2), statele membre trebuie să garanteze că operatorul informează persoana vizată cu privire la posibilitatea de a-și exercita drepturile prin intermediul autorității de supraveghere.</w:t>
      </w:r>
    </w:p>
    <w:bookmarkStart w:id="328" w:name="REUL_LED_A_17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163</w:t>
      </w:r>
      <w:r w:rsidRPr="000B62B5">
        <w:fldChar w:fldCharType="end"/>
      </w:r>
      <w:bookmarkEnd w:id="328"/>
      <w:r>
        <w:t>. Atunci când este exercitat acest drept, autoritatea de supraveghere trebuie să informeze persoana vizată „cel puțin că au fost realizate toate verificările necesare sau o revizuire de către autoritatea de supraveghere”, precum și că aceasta are dreptul de a introduce o cale de atac judiciară [articolul 17 alineatul (3) din LED].</w:t>
      </w:r>
    </w:p>
    <w:bookmarkStart w:id="329" w:name="REUL_LED_rec_4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164</w:t>
      </w:r>
      <w:r w:rsidRPr="000B62B5">
        <w:fldChar w:fldCharType="end"/>
      </w:r>
      <w:bookmarkEnd w:id="329"/>
      <w:r>
        <w:t>. Potrivit considerentului (48) conex, în cazul în care operatorul refuză unei persoane vizate dreptul acesteia de acces, persoana vizată ar trebui să aibă dreptul de a solicita ca autoritatea națională de supraveghere să verifice legalitatea prelucrării și, în cazul în care autoritatea de supraveghere acționează în numele persoanei vizate, persoana vizată ar trebui să fie informată de către autoritatea de supraveghere cel puțin cu privire la faptul că toate verificările sau revizuirile necesare au fost efectuate de către autoritatea de supraveghere și cu privire la faptul că persoana vizată are dreptul de a introduce o cale de atac judiciară.</w:t>
      </w:r>
    </w:p>
    <w:bookmarkStart w:id="330" w:name="REUL_LED_A_17_WP29_op_Dec_201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165</w:t>
      </w:r>
      <w:r w:rsidRPr="000B62B5">
        <w:fldChar w:fldCharType="end"/>
      </w:r>
      <w:bookmarkEnd w:id="330"/>
      <w:r>
        <w:t xml:space="preserve">. În avizul din noiembrie 2017, citat la punctul </w:t>
      </w:r>
      <w:r w:rsidRPr="000B62B5">
        <w:fldChar w:fldCharType="begin"/>
      </w:r>
      <w:r w:rsidRPr="000B62B5">
        <w:instrText xml:space="preserve"> REF  REUL_LED_A_14_1_WP29_op_Dec_2017 \h  \* MERGEFORMAT </w:instrText>
      </w:r>
      <w:r w:rsidRPr="000B62B5">
        <w:fldChar w:fldCharType="separate"/>
      </w:r>
      <w:r w:rsidR="000B62B5" w:rsidRPr="000B62B5">
        <w:t>155</w:t>
      </w:r>
      <w:r w:rsidRPr="000B62B5">
        <w:fldChar w:fldCharType="end"/>
      </w:r>
      <w:r>
        <w:t xml:space="preserve"> de mai sus, Grupul de lucru „Articolul 29” a subliniat, la paginile 23-24, că această cale suplimentară prin care persoanele vizate își pot exercita drepturile completează dreptul lor de a depune o plângere la autoritatea de supraveghere sau de a solicita un control jurisdicțional și că posibilitatea persoanelor vizate de </w:t>
      </w:r>
      <w:r>
        <w:lastRenderedPageBreak/>
        <w:t>a-și exercita drepturile prin intermediul autorității de supraveghere relevante este distinctă de dreptul de a depune o plângere la autoritatea de supraveghere, de care persoanele vizate trebuie să dispună întotdeauna.</w:t>
      </w:r>
    </w:p>
    <w:bookmarkStart w:id="331" w:name="REUL_LED_A_17_case_law"/>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166</w:t>
      </w:r>
      <w:r w:rsidRPr="000B62B5">
        <w:fldChar w:fldCharType="end"/>
      </w:r>
      <w:bookmarkEnd w:id="331"/>
      <w:r>
        <w:t xml:space="preserve">. La rândul său, CJUE a observat recent că posibilitatea prevăzută la articolul 17 din LED, de exercitare indirectă a dreptului de acces, este necesară pentru a proteja acest drept în situații în care exercitarea directă a acestuia este dificilă sau imposibilă și că acesta reprezintă un mecanism de control al respectării drepturilor persoanelor vizate [a se vedea Hotărârea CJUE din 16 noiembrie 2023, </w:t>
      </w:r>
      <w:r>
        <w:rPr>
          <w:i/>
        </w:rPr>
        <w:t>Ligue des Droits Humains (Verificarea prelucrării datelor de către autoritatea de supraveghere),</w:t>
      </w:r>
      <w:r>
        <w:t xml:space="preserve"> C-333/22, EU:C:2023:874, punctele 44 și 48].</w:t>
      </w:r>
    </w:p>
    <w:bookmarkStart w:id="332" w:name="REUL_LED_A_17_case_law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167</w:t>
      </w:r>
      <w:r w:rsidRPr="000B62B5">
        <w:fldChar w:fldCharType="end"/>
      </w:r>
      <w:bookmarkEnd w:id="332"/>
      <w:r>
        <w:t>. În aceeași hotărâre, CJUE a adăugat că informarea persoanei vizate, ca urmare a unei astfel de exercitări indirecte a dreptului de acces, se poate extinde dincolo de informațiile minime prevăzute la articolul 17 alineatul (3) din LED, dacă acest lucru ar fi impus de necesitatea de a proteja dreptul la o cale de atac judiciară efectivă (a se vedea supra, pct. </w:t>
      </w:r>
      <w:r w:rsidRPr="000B62B5">
        <w:fldChar w:fldCharType="begin"/>
      </w:r>
      <w:r w:rsidRPr="000B62B5">
        <w:instrText xml:space="preserve"> REF  REUL_Charter_A_47_1 \h  \* MERGEFORMAT </w:instrText>
      </w:r>
      <w:r w:rsidRPr="000B62B5">
        <w:fldChar w:fldCharType="separate"/>
      </w:r>
      <w:r w:rsidR="000B62B5" w:rsidRPr="000B62B5">
        <w:t>129</w:t>
      </w:r>
      <w:r w:rsidRPr="000B62B5">
        <w:fldChar w:fldCharType="end"/>
      </w:r>
      <w:r>
        <w:t>) și dacă acestui lucru nu i s-ar opune obiective relevante de interes public. La punerea în aplicare a articolului 17 alineatul (3) din LED, este necesar ca statele membre ale UE să lase autorităților lor de supraveghere o anumită marjă de apreciere pentru a stabili dacă nu pot informa persoana vizată (cel puțin în mod succint) cu privire la rezultatele verificărilor lor (și anume, investigația efectuată de autoritatea pentru protecția datelor pentru a verifica dacă a existat o încălcare a normelor privind protecția datelor) și cu privire la orice măsuri corective instituite (ibid., punctele 65-66). Dacă dreptul național impune totuși ca informațiile furnizate persoanei vizate să fie limitate la minimul prevăzut la articolul 17 alineatul (3), atunci statele membre ale UE trebuie să dispună de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mecanisme care să permită instanțelor lor să pună în balanță necesitatea de a păstra confidențialitatea și drepturile procedurale ale persoanei vizate, și de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norme care să permită acestor instanțe să examineze elementele de probă pe baza cărora autoritățile de supraveghere au apreciat legalitatea prelucrării datelor în cauză. Aceasta înseamnă în special că instanțele trebuie să dispună de motivele de fapt și de drept pe care se întemeiază decizia operatorului de date de limitare a dreptului de acces – motive care, în temeiul articolului 15 alineatul (4) din LED (a se vedea supra, pct. </w:t>
      </w:r>
      <w:r w:rsidRPr="000B62B5">
        <w:fldChar w:fldCharType="begin"/>
      </w:r>
      <w:r w:rsidRPr="000B62B5">
        <w:instrText xml:space="preserve"> REF  REUL_LED_A_15_4 \h  \* MERGEFORMAT </w:instrText>
      </w:r>
      <w:r w:rsidRPr="000B62B5">
        <w:fldChar w:fldCharType="separate"/>
      </w:r>
      <w:r w:rsidR="000B62B5" w:rsidRPr="000B62B5">
        <w:t>159</w:t>
      </w:r>
      <w:r w:rsidRPr="000B62B5">
        <w:fldChar w:fldCharType="end"/>
      </w:r>
      <w:r>
        <w:t>), trebuie, în orice caz, să fie justificate la nivel intern (ibidem, punctele 67-70).</w:t>
      </w:r>
    </w:p>
    <w:bookmarkStart w:id="333" w:name="REUL_LED_A_17_EU_Com_rep_Jul_202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168</w:t>
      </w:r>
      <w:r w:rsidRPr="000B62B5">
        <w:fldChar w:fldCharType="end"/>
      </w:r>
      <w:bookmarkEnd w:id="333"/>
      <w:r>
        <w:t>. În primul său raport referitor la aplicarea LED (a se vedea supra, pct. </w:t>
      </w:r>
      <w:r w:rsidRPr="000B62B5">
        <w:fldChar w:fldCharType="begin"/>
      </w:r>
      <w:r w:rsidRPr="000B62B5">
        <w:instrText xml:space="preserve"> REF  REUL_LED_A_14_1_EU_Com_rep_Jul_2022 \h  \* MERGEFORMAT </w:instrText>
      </w:r>
      <w:r w:rsidRPr="000B62B5">
        <w:fldChar w:fldCharType="separate"/>
      </w:r>
      <w:r w:rsidR="000B62B5" w:rsidRPr="000B62B5">
        <w:t>154</w:t>
      </w:r>
      <w:r w:rsidRPr="000B62B5">
        <w:fldChar w:fldCharType="end"/>
      </w:r>
      <w:r>
        <w:t>), Comisia Europeană a menționat, la pagina 17, că aproximativ jumătate dintre autoritățile de supraveghere din statele membre ale UE au raportat că au primit cereri de acces indirect în temeiul articolului 17. Deși majoritatea acestora au fost inadmisibile, în mai multe cazuri, s-a dispus ca operatorii de date să rectifice sau să șteargă datele cu caracter personal ori să restricționeze prelucrarea acestora.</w:t>
      </w:r>
    </w:p>
    <w:p w:rsidR="00DE4BFE" w:rsidRPr="000B62B5" w:rsidRDefault="00E34145" w:rsidP="000B62B5">
      <w:pPr>
        <w:pStyle w:val="JuH1"/>
      </w:pPr>
      <w:bookmarkStart w:id="334" w:name="_Toc176454171"/>
      <w:bookmarkStart w:id="335" w:name="_Toc236764774"/>
      <w:r>
        <w:t>Autoritatea de supraveghere</w:t>
      </w:r>
      <w:bookmarkEnd w:id="334"/>
      <w:bookmarkEnd w:id="335"/>
    </w:p>
    <w:bookmarkStart w:id="336" w:name="REUL_LED_A_41_1_3_A_42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169</w:t>
      </w:r>
      <w:r w:rsidRPr="000B62B5">
        <w:fldChar w:fldCharType="end"/>
      </w:r>
      <w:bookmarkEnd w:id="336"/>
      <w:r>
        <w:t>. În temeiul articolului 41 alineatul (1) din LED, fiecare stat membru al UE trebuie să garanteze că una sau mai multe autorități publice independente sunt responsabile de monitorizarea aplicării LED, printre altele în vederea protejării drepturilor și libertăților fundamentale ale persoanelor fizice în ceea ce privește prelucrarea datelor. Potrivit articolului 41 alineatul (3) din LED, autoritatea care monitorizează aplicarea LED poate fi aceeași autoritate care monitorizează aplicarea RGPD (a se vedea supra, pct. </w:t>
      </w:r>
      <w:r w:rsidRPr="000B62B5">
        <w:fldChar w:fldCharType="begin"/>
      </w:r>
      <w:r w:rsidRPr="000B62B5">
        <w:instrText xml:space="preserve"> REF  REUL_GDPR_A_51_1_A_52_1 \h  \* MERGEFORMAT </w:instrText>
      </w:r>
      <w:r w:rsidRPr="000B62B5">
        <w:fldChar w:fldCharType="separate"/>
      </w:r>
      <w:r w:rsidR="000B62B5" w:rsidRPr="000B62B5">
        <w:t>140</w:t>
      </w:r>
      <w:r w:rsidRPr="000B62B5">
        <w:fldChar w:fldCharType="end"/>
      </w:r>
      <w:r>
        <w:t>). Autoritatea respectivă trebuie să beneficieze de independență deplină în îndeplinirea sarcinilor și exercitarea competențelor care îi revin în conformitate cu LED [articolul 42 alineatul (1)].</w:t>
      </w:r>
    </w:p>
    <w:bookmarkStart w:id="337" w:name="REUL_LED_A_46_1_f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170</w:t>
      </w:r>
      <w:r w:rsidRPr="000B62B5">
        <w:fldChar w:fldCharType="end"/>
      </w:r>
      <w:bookmarkEnd w:id="337"/>
      <w:r>
        <w:t>. Sarcinile respectivei autorități de supraveghere trebuie să includă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xml:space="preserve">) tratarea plângerilor depuse de o persoană vizată și investigarea, într-o măsură adecvată, a obiectului plângerilor și informarea persoanei care a depus plângerea cu privire la evoluția și rezultatul investigației, într-un termen rezonabil – în special dacă este necesară efectuarea unei investigații </w:t>
      </w:r>
      <w:r>
        <w:lastRenderedPageBreak/>
        <w:t>mai amănunțite sau coordonarea cu o altă autoritate de supraveghere –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verificarea legalității prelucrării (în conformitate cu articolul 17 – a se vedea supra, pct. </w:t>
      </w:r>
      <w:r w:rsidRPr="000B62B5">
        <w:fldChar w:fldCharType="begin"/>
      </w:r>
      <w:r w:rsidRPr="000B62B5">
        <w:instrText xml:space="preserve"> REF  REUL_LED_A_17_1_2 \h  \* MERGEFORMAT </w:instrText>
      </w:r>
      <w:r w:rsidRPr="000B62B5">
        <w:fldChar w:fldCharType="separate"/>
      </w:r>
      <w:r w:rsidR="000B62B5" w:rsidRPr="000B62B5">
        <w:t>162</w:t>
      </w:r>
      <w:r w:rsidRPr="000B62B5">
        <w:fldChar w:fldCharType="end"/>
      </w:r>
      <w:r>
        <w:t>) și informarea persoanei vizate, într-un termen rezonabil, cu privire la rezultatul verificării [în temeiul articolului 17 alineatul (3) – a se vedea supra, pct. </w:t>
      </w:r>
      <w:r w:rsidRPr="000B62B5">
        <w:fldChar w:fldCharType="begin"/>
      </w:r>
      <w:r w:rsidRPr="000B62B5">
        <w:instrText xml:space="preserve"> REF  REUL_LED_A_17_3 \h  \* MERGEFORMAT </w:instrText>
      </w:r>
      <w:r w:rsidRPr="000B62B5">
        <w:fldChar w:fldCharType="separate"/>
      </w:r>
      <w:r w:rsidR="000B62B5" w:rsidRPr="000B62B5">
        <w:t>163</w:t>
      </w:r>
      <w:r w:rsidRPr="000B62B5">
        <w:fldChar w:fldCharType="end"/>
      </w:r>
      <w:r>
        <w:t>] sau cu privire la motivele pentru care nu a avut loc o astfel de verificare [articolul 46 alineatul (1) literele (f) și (g) din LED].</w:t>
      </w:r>
    </w:p>
    <w:bookmarkStart w:id="338" w:name="REUL_LED_A_47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171</w:t>
      </w:r>
      <w:r w:rsidRPr="000B62B5">
        <w:fldChar w:fldCharType="end"/>
      </w:r>
      <w:bookmarkEnd w:id="338"/>
      <w:r>
        <w:t>. Autoritățile de supraveghere trebuie să aibă „competențe de investigare” efective – inclusiv cel puțin competența de a obține, din partea operatorului sau a persoanei împuternicite de operator, accesul la toate datele cu caracter personal care sunt prelucrate și la toate informațiile necesare pentru îndeplinirea sarcinilor lor [articolul 47 alineatul (1) din LED]. În primul său raport referitor la aplicarea LED (a se vedea supra, pct. </w:t>
      </w:r>
      <w:r w:rsidRPr="000B62B5">
        <w:fldChar w:fldCharType="begin"/>
      </w:r>
      <w:r w:rsidRPr="000B62B5">
        <w:instrText xml:space="preserve"> REF  REUL_LED_A_14_1_EU_Com_rep_Jul_2022 \h  \* MERGEFORMAT </w:instrText>
      </w:r>
      <w:r w:rsidRPr="000B62B5">
        <w:fldChar w:fldCharType="separate"/>
      </w:r>
      <w:r w:rsidR="000B62B5" w:rsidRPr="000B62B5">
        <w:t>154</w:t>
      </w:r>
      <w:r w:rsidRPr="000B62B5">
        <w:fldChar w:fldCharType="end"/>
      </w:r>
      <w:r>
        <w:t>), Comisia Europeană a consemnat, la pagina 24, faptul că 19 autorități de supraveghere din statele membre ale UE și-au exercitat aceste „competențe de investigare” – fie din proprie inițiativă, fie pe baza unei plângeri.</w:t>
      </w:r>
    </w:p>
    <w:bookmarkStart w:id="339" w:name="REUL_LED_A_47_2_b_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172</w:t>
      </w:r>
      <w:r w:rsidRPr="000B62B5">
        <w:fldChar w:fldCharType="end"/>
      </w:r>
      <w:bookmarkEnd w:id="339"/>
      <w:r>
        <w:t>. Autoritățile de supraveghere trebuie, de asemenea, să dispună de „competențe corective” efective, cum ar fi competența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 da dispoziții operatorului sau persoanei împuternicite de operator să asigure conformitatea operațiunilor de prelucrare cu dispozițiile adoptate în temeiul LED, specificând, după caz, modalitatea și termenul-limită pentru aceasta – în special dispunând rectificarea sau ștergerea datelor cu caracter personal, sau restricționarea prelucrării acestora,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 a impune o limitare temporară sau definitivă (inclusiv o interdicție) în ceea ce privește prelucrarea [articolul 47 alineatul (2) literele (b) și (c)]. În primul său raport referitor la aplicarea LED (a se vedea supra, pct. </w:t>
      </w:r>
      <w:r w:rsidRPr="000B62B5">
        <w:fldChar w:fldCharType="begin"/>
      </w:r>
      <w:r w:rsidRPr="000B62B5">
        <w:instrText xml:space="preserve"> REF  REUL_LED_A_14_1_EU_Com_rep_Jul_2022 \h  \* MERGEFORMAT </w:instrText>
      </w:r>
      <w:r w:rsidRPr="000B62B5">
        <w:fldChar w:fldCharType="separate"/>
      </w:r>
      <w:r w:rsidR="000B62B5" w:rsidRPr="000B62B5">
        <w:t>154</w:t>
      </w:r>
      <w:r w:rsidRPr="000B62B5">
        <w:fldChar w:fldCharType="end"/>
      </w:r>
      <w:r>
        <w:t>), Comisia Europeană a menționat, la pagina 24, că aceleași autorități care și-au exercitat „competențele de investigare” (a se vedea supra, pct. </w:t>
      </w:r>
      <w:r w:rsidRPr="000B62B5">
        <w:fldChar w:fldCharType="begin"/>
      </w:r>
      <w:r w:rsidRPr="000B62B5">
        <w:instrText xml:space="preserve"> REF  REUL_LED_A_47_1 \h  \* MERGEFORMAT </w:instrText>
      </w:r>
      <w:r w:rsidRPr="000B62B5">
        <w:fldChar w:fldCharType="separate"/>
      </w:r>
      <w:r w:rsidR="000B62B5" w:rsidRPr="000B62B5">
        <w:t>171</w:t>
      </w:r>
      <w:r w:rsidRPr="000B62B5">
        <w:fldChar w:fldCharType="end"/>
      </w:r>
      <w:r>
        <w:t xml:space="preserve"> </w:t>
      </w:r>
      <w:r>
        <w:rPr>
          <w:i/>
        </w:rPr>
        <w:t>in fine</w:t>
      </w:r>
      <w:r>
        <w:t>) și-au exercitat, de asemenea, „competențele corective”. Competența utilizată cel mai frecvent a fost aceea de a emite ordine pentru a asigura conformitatea prelucrării în cauză cu legea – inclusiv ordine de rectificare sau ștergere a datelor cu caracter personal sau de restricționare a prelucrării acestora.</w:t>
      </w:r>
    </w:p>
    <w:bookmarkStart w:id="340" w:name="REUL_LED_A_47_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173</w:t>
      </w:r>
      <w:r w:rsidRPr="000B62B5">
        <w:fldChar w:fldCharType="end"/>
      </w:r>
      <w:bookmarkEnd w:id="340"/>
      <w:r>
        <w:t>. În plus, autoritățile de supraveghere trebuie să aibă competența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 aduce în atenția autorităților judiciare cazurile de încălcare a dispozițiilor adoptate în temeiul LED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de a iniția sau de a se implica într-un alt mod în proceduri judiciare, în scopul de a asigura respectarea dispozițiilor adoptate în temeiul LED [articolul 47 alineatul (5)].</w:t>
      </w:r>
    </w:p>
    <w:p w:rsidR="00DE4BFE" w:rsidRPr="000B62B5" w:rsidRDefault="00E34145" w:rsidP="000B62B5">
      <w:pPr>
        <w:pStyle w:val="JuH1"/>
      </w:pPr>
      <w:bookmarkStart w:id="341" w:name="_Toc176454172"/>
      <w:bookmarkStart w:id="342" w:name="_Toc236764775"/>
      <w:r>
        <w:t>Căi de atac</w:t>
      </w:r>
      <w:bookmarkEnd w:id="341"/>
      <w:bookmarkEnd w:id="342"/>
    </w:p>
    <w:bookmarkStart w:id="343" w:name="REUL_LED_A_52_1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174</w:t>
      </w:r>
      <w:r w:rsidRPr="000B62B5">
        <w:fldChar w:fldCharType="end"/>
      </w:r>
      <w:bookmarkEnd w:id="343"/>
      <w:r>
        <w:t>. În temeiul articolului 52 alineatele (1) și (2) din LED, statele membre ale UE trebuie să garanteze oricărei persoane vizate dreptul de a depune o plângere la o autoritate de supraveghere.</w:t>
      </w:r>
    </w:p>
    <w:bookmarkStart w:id="344" w:name="REUL_LED_A_52_1_2_EU_Com_rep_Jul_202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175</w:t>
      </w:r>
      <w:r w:rsidRPr="000B62B5">
        <w:fldChar w:fldCharType="end"/>
      </w:r>
      <w:bookmarkEnd w:id="344"/>
      <w:r>
        <w:t>. În primul său raport referitor la aplicarea LED (a se vedea supra, pct. </w:t>
      </w:r>
      <w:r w:rsidRPr="000B62B5">
        <w:fldChar w:fldCharType="begin"/>
      </w:r>
      <w:r w:rsidRPr="000B62B5">
        <w:instrText xml:space="preserve"> REF  REUL_LED_A_14_1_EU_Com_rep_Jul_2022 \h  \* MERGEFORMAT </w:instrText>
      </w:r>
      <w:r w:rsidRPr="000B62B5">
        <w:fldChar w:fldCharType="separate"/>
      </w:r>
      <w:r w:rsidR="000B62B5" w:rsidRPr="000B62B5">
        <w:t>154</w:t>
      </w:r>
      <w:r w:rsidRPr="000B62B5">
        <w:fldChar w:fldCharType="end"/>
      </w:r>
      <w:r>
        <w:t>), Comisia Europeană a menționat, la pagina 19, că unele dintre cele mai frecvente plângeri primite de autoritățile de supraveghere a protecției datelor din statele membre ale UE au avut ca obiect limitarea dreptului de acces.</w:t>
      </w:r>
    </w:p>
    <w:bookmarkStart w:id="345" w:name="REUL_LED_A_53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176</w:t>
      </w:r>
      <w:r w:rsidRPr="000B62B5">
        <w:fldChar w:fldCharType="end"/>
      </w:r>
      <w:bookmarkEnd w:id="345"/>
      <w:r>
        <w:t>. Potrivit articolului 53 alineatul (1) din LED, statele membre ale UE trebuie să dispună că o persoană fizică sau juridică are dreptul de a exercita o cale de atac judiciară eficientă împotriva unei decizii obligatorii din punct de vedere juridic emisă de o autoritate de supraveghere care o vizează.</w:t>
      </w:r>
    </w:p>
    <w:bookmarkStart w:id="346" w:name="REUL_LED_A_53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177</w:t>
      </w:r>
      <w:r w:rsidRPr="000B62B5">
        <w:fldChar w:fldCharType="end"/>
      </w:r>
      <w:bookmarkEnd w:id="346"/>
      <w:r>
        <w:t>. În temeiul articolului 53 alineatul (2) din LED, fiecare persoană vizată are, de asemenea, dreptul de a exercita o cale de atac judiciară eficientă în cazul în care autoritatea de supraveghere competentă nu tratează o plângere sau nu o informează în termen de trei luni cu privire la progresele sau soluționarea plângerii depuse în temeiul articolului 52.</w:t>
      </w:r>
    </w:p>
    <w:bookmarkStart w:id="347" w:name="REUL_LED_A_5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178</w:t>
      </w:r>
      <w:r w:rsidRPr="000B62B5">
        <w:fldChar w:fldCharType="end"/>
      </w:r>
      <w:bookmarkEnd w:id="347"/>
      <w:r>
        <w:t xml:space="preserve">. Potrivit articolului 54 din LED, statele membre ale UE trebuie să garanteze persoanelor vizate dreptul la exercitarea unei căi de atac judiciare eficiente în cazul în care acestea consideră </w:t>
      </w:r>
      <w:r>
        <w:lastRenderedPageBreak/>
        <w:t>că drepturile lor prevăzute de dispozițiile adoptate în temeiul LED au fost încălcate ca urmare a prelucrării datelor lor cu caracter personal cu nerespectarea dispozițiilor respective.</w:t>
      </w:r>
    </w:p>
    <w:p w:rsidR="00DE4BFE" w:rsidRPr="000B62B5" w:rsidRDefault="00E34145" w:rsidP="000B62B5">
      <w:pPr>
        <w:pStyle w:val="JuHIRoman"/>
      </w:pPr>
      <w:bookmarkStart w:id="348" w:name="_Toc176454173"/>
      <w:bookmarkStart w:id="349" w:name="_Toc236764776"/>
      <w:r>
        <w:t>INSTRUMENTELE CONSILIULUI EUROPEI</w:t>
      </w:r>
      <w:bookmarkEnd w:id="348"/>
      <w:bookmarkEnd w:id="349"/>
    </w:p>
    <w:p w:rsidR="00DE4BFE" w:rsidRPr="000B62B5" w:rsidRDefault="00E34145" w:rsidP="000B62B5">
      <w:pPr>
        <w:pStyle w:val="JuHA"/>
      </w:pPr>
      <w:bookmarkStart w:id="350" w:name="_Toc176454174"/>
      <w:bookmarkStart w:id="351" w:name="_Toc236764777"/>
      <w:r>
        <w:t>Convenția pentru protejarea persoanelor față de prelucrarea automatizată a datelor cu caracter personal</w:t>
      </w:r>
      <w:bookmarkEnd w:id="350"/>
      <w:bookmarkEnd w:id="351"/>
    </w:p>
    <w:bookmarkStart w:id="352" w:name="RCoEM_C_10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179</w:t>
      </w:r>
      <w:r w:rsidRPr="000B62B5">
        <w:fldChar w:fldCharType="end"/>
      </w:r>
      <w:bookmarkEnd w:id="352"/>
      <w:r>
        <w:t>. Bulgaria a semnat Convenția din 1981 pentru protejarea persoanelor față de prelucrarea automatizată a datelor cu caracter personal (ETS 108; 1496 UNTS 65) în 1998 și a ratificat-o în 2002, iar convenția respectivă a intrat în vigoare în privința Bulgariei în ianuarie 2003. Traducerea acestei convenții în limba bulgară a fost publicată în Monitorul Oficial al Bulgariei în martie 2003 (</w:t>
      </w:r>
      <w:r>
        <w:rPr>
          <w:i/>
        </w:rPr>
        <w:t>ДВ, бр. 26 от 21.03.2003 г., стр. 58-63</w:t>
      </w:r>
      <w:r>
        <w:t>). În consecință, aceasta face parte din dreptul intern al Bulgariei și prevalează asupra oricăror dispoziții contradictorii din legislația internă [articolul 5 alineatul (4) din Constituția Bulgariei din 1991].</w:t>
      </w:r>
    </w:p>
    <w:bookmarkStart w:id="353" w:name="RCoEM_C_108_A_8_b"/>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180</w:t>
      </w:r>
      <w:r w:rsidRPr="000B62B5">
        <w:fldChar w:fldCharType="end"/>
      </w:r>
      <w:bookmarkEnd w:id="353"/>
      <w:r>
        <w:t>. Potrivit articolului 8 litera (a) din Convenția din 1981, orice persoană trebuie „să aibă cunoștință de existența unui fișier automatizat de date cu caracter personal [și] de scopurile sale principale”. În temeiul articolului 8 litera (b), orice persoană trebuie „să obțină la intervale rezonabile și fără întârziere sau cu cheltuieli excesive confirmarea existenței sau inexistenței în fișierul automatizat de date cu caracter personal care o privesc” și, în temeiul articolului 8 litera (d), orice persoană trebuie „să dispună de o cale de atac, dacă nu s-a dat curs la o [astfel de] cerere de confirmare”.</w:t>
      </w:r>
    </w:p>
    <w:bookmarkStart w:id="354" w:name="RCoEM_C_108_A_9_2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181</w:t>
      </w:r>
      <w:r w:rsidRPr="000B62B5">
        <w:fldChar w:fldCharType="end"/>
      </w:r>
      <w:bookmarkEnd w:id="354"/>
      <w:r>
        <w:t>. Potrivit articolului 9 alineatul (2) litera (a) din Convenția din 1981, derogarea de la dispozițiile prevăzute la articolul 8 este permisă atunci când aceasta este „prevăzută prin legea părții [și] constituie o măsură necesară într-o societate democratică pentru protejarea securității statului, siguranței publice, intereselor monetare ale statului sau reprimarea infracțiunilor penale”.</w:t>
      </w:r>
    </w:p>
    <w:bookmarkStart w:id="355" w:name="RCoEM_C_108_A_10"/>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182</w:t>
      </w:r>
      <w:r w:rsidRPr="000B62B5">
        <w:fldChar w:fldCharType="end"/>
      </w:r>
      <w:bookmarkEnd w:id="355"/>
      <w:r>
        <w:t>. Potrivit articolului 10 din Convenția din 1981, fiecare parte trebuie să instituie căi de atac adecvate în cazul încălcării dispozițiilor de drept intern care dau efect principiilor de bază privind protecția datelor.</w:t>
      </w:r>
    </w:p>
    <w:bookmarkStart w:id="356" w:name="RCoEM_C_108_A_9_2_a_expl_rep"/>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183</w:t>
      </w:r>
      <w:r w:rsidRPr="000B62B5">
        <w:fldChar w:fldCharType="end"/>
      </w:r>
      <w:bookmarkEnd w:id="356"/>
      <w:r>
        <w:t xml:space="preserve">. La punctul 55 din Raportul explicativ privind Convenția din 1981 se precizează că textul articolului 9 alineatul (2) a fost „inspirat de textele art. 6 par. 2, art. 8 par. 2, art. 10 par. 2 și art. 11 par. 2 din Convenția europeană a drepturilor omului”, și, la punctul 56 </w:t>
      </w:r>
      <w:r>
        <w:rPr>
          <w:i/>
        </w:rPr>
        <w:t>in fine,</w:t>
      </w:r>
      <w:r>
        <w:t xml:space="preserve"> se menționează că expresia „securitatea statului” trebuie înțeleasă „în sensul tradițional al protecției suveranității naționale împotriva amenințărilor interne sau externe, inclusiv protecția relațiilor internaționale ale statului”.</w:t>
      </w:r>
    </w:p>
    <w:p w:rsidR="00DE4BFE" w:rsidRPr="000B62B5" w:rsidRDefault="00E34145" w:rsidP="000B62B5">
      <w:pPr>
        <w:pStyle w:val="JuHA"/>
      </w:pPr>
      <w:bookmarkStart w:id="357" w:name="_Toc176454175"/>
      <w:bookmarkStart w:id="358" w:name="_Toc236764778"/>
      <w:r>
        <w:t>Protocolul adițional la Convenția din 1981</w:t>
      </w:r>
      <w:bookmarkEnd w:id="357"/>
      <w:bookmarkEnd w:id="358"/>
    </w:p>
    <w:bookmarkStart w:id="359" w:name="RCoEM_C_108_Add_Prot"/>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184</w:t>
      </w:r>
      <w:r w:rsidRPr="000B62B5">
        <w:fldChar w:fldCharType="end"/>
      </w:r>
      <w:bookmarkEnd w:id="359"/>
      <w:r>
        <w:t>. Bulgaria a semnat în 2010 Protocolul adițional din 2001 la Convenția din 1981 pentru protejarea persoanelor față de prelucrarea automatizată a datelor cu caracter personal, cu privire la autoritățile de control și fluxul transfrontalier al datelor (ETS 181; 2297 UNTS 195) și l-a ratificat în același an, iar protocolul a intrat în vigoare în privința Bulgariei în noiembrie 2010. Traducerea acestuia în limba bulgară a fost publicată în Monitorul Oficial al Bulgariei tot în noiembrie 2010 (</w:t>
      </w:r>
      <w:r>
        <w:rPr>
          <w:i/>
        </w:rPr>
        <w:t>ДВ, бр. 93 от 26.11.2010 г., стр. 22-23</w:t>
      </w:r>
      <w:r>
        <w:t>). În consecință, la fel ca și Convenția din 1981, acest protocol face parte din dreptul intern al Bulgariei și prevalează asupra oricăror dispoziții contradictorii din legislația internă [articolul 5 alineatul (4) din Constituția Bulgariei din 1991].</w:t>
      </w:r>
    </w:p>
    <w:bookmarkStart w:id="360" w:name="RCoEM_C_108_Add_Prot_A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185</w:t>
      </w:r>
      <w:r w:rsidRPr="000B62B5">
        <w:fldChar w:fldCharType="end"/>
      </w:r>
      <w:bookmarkEnd w:id="360"/>
      <w:r>
        <w:t>. Articolul 1 din protocolul adițional menționat, intitulat „Autoritățile de control”, are următorul cuprins, în măsura în care este relevant:</w:t>
      </w:r>
    </w:p>
    <w:p w:rsidR="00DE4BFE" w:rsidRPr="000B62B5" w:rsidRDefault="00E34145" w:rsidP="000B62B5">
      <w:pPr>
        <w:pStyle w:val="JuQuot"/>
      </w:pPr>
      <w:r>
        <w:lastRenderedPageBreak/>
        <w:t>„1. Fiecare Parte Contractantă va conferi uneia sau mai multor autorități responsabilitatea pentru asigurarea conformității cu măsurile prevăzute prin legislația sa internă, care pun în vigoare principiile stabilite în Capitolul II și III al Convenției, precum și în acest Protocol.</w:t>
      </w:r>
    </w:p>
    <w:p w:rsidR="00DE4BFE" w:rsidRPr="000B62B5" w:rsidRDefault="00E34145" w:rsidP="000B62B5">
      <w:pPr>
        <w:pStyle w:val="JuQuot"/>
      </w:pPr>
      <w:r>
        <w:t>a. În acest scop autoritățile mai sus menționate vor avea, în special, dreptul de a investiga și de a interveni, precum și dreptul de a se angaja în procedurile legale sau de a aduce în atenția autorităților juridice competente încălcarea prevederilor din legislația internă care pun în aplicare principiile menționate la paragraful 1 al articolului 1 al acestui Protocol.</w:t>
      </w:r>
    </w:p>
    <w:p w:rsidR="00DE4BFE" w:rsidRPr="000B62B5" w:rsidRDefault="00E34145" w:rsidP="000B62B5">
      <w:pPr>
        <w:pStyle w:val="JuQuot"/>
      </w:pPr>
      <w:r>
        <w:t>b. Fiecare autoritate de control va da curs reclamațiilor depuse de orice persoană în legătură cu protecția drepturilor și libertăților sale fundamentale, cu privire la procesarea datelor personale care sunt în competența acesteia.</w:t>
      </w:r>
    </w:p>
    <w:p w:rsidR="00DE4BFE" w:rsidRPr="000B62B5" w:rsidRDefault="00E34145" w:rsidP="000B62B5">
      <w:pPr>
        <w:pStyle w:val="JuQuot"/>
      </w:pPr>
      <w:r>
        <w:t>3. Autoritățile de control își vor exercita atribuțiile în completă independență.</w:t>
      </w:r>
    </w:p>
    <w:p w:rsidR="00DE4BFE" w:rsidRPr="000B62B5" w:rsidRDefault="00E34145" w:rsidP="000B62B5">
      <w:pPr>
        <w:pStyle w:val="JuQuot"/>
      </w:pPr>
      <w:r>
        <w:t>4. Deciziile autorităților de control, care fac obiectul unei plângeri, pot fi atacate în fața unui tribunal.</w:t>
      </w:r>
    </w:p>
    <w:p w:rsidR="00DE4BFE" w:rsidRPr="000B62B5" w:rsidRDefault="00E34145" w:rsidP="000B62B5">
      <w:pPr>
        <w:pStyle w:val="JuQuot"/>
      </w:pPr>
      <w:r>
        <w:t>[...]”</w:t>
      </w:r>
    </w:p>
    <w:bookmarkStart w:id="361" w:name="RCoEM_C_108_Add_Prot_A_1_expl_rep_1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186</w:t>
      </w:r>
      <w:r w:rsidRPr="000B62B5">
        <w:fldChar w:fldCharType="end"/>
      </w:r>
      <w:bookmarkEnd w:id="361"/>
      <w:r>
        <w:t>. La punctul 12 din Raportul explicativ privind acest protocol se precizează că „dreptul de a investiga”, conferit autorității de control în temeiul articolului 1 alineatul (2) litera (b), include posibilitatea ca aceasta să solicite operatorului informații cu privire la prelucrarea datelor cu caracter personal și să le obțină, și că aceste informații trebuie să fie accesibile, în special atunci când autoritatea de control primește o solicitare din partea unor persoane care doresc să își exercite drepturile prevăzute de dreptul intern în temeiul articolului 8 din Convenția din 1981 (a se vedea supra, pct. </w:t>
      </w:r>
      <w:r w:rsidRPr="000B62B5">
        <w:fldChar w:fldCharType="begin"/>
      </w:r>
      <w:r w:rsidRPr="000B62B5">
        <w:instrText xml:space="preserve"> REF  RCoEM_C_108_A_8_b \h  \* MERGEFORMAT </w:instrText>
      </w:r>
      <w:r w:rsidRPr="000B62B5">
        <w:fldChar w:fldCharType="separate"/>
      </w:r>
      <w:r w:rsidR="000B62B5" w:rsidRPr="000B62B5">
        <w:t>180</w:t>
      </w:r>
      <w:r w:rsidRPr="000B62B5">
        <w:fldChar w:fldCharType="end"/>
      </w:r>
      <w:r>
        <w:t>).</w:t>
      </w:r>
    </w:p>
    <w:bookmarkStart w:id="362" w:name="RCoEM_C_108_Add_Prot_A_1_expl_rep_1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187</w:t>
      </w:r>
      <w:r w:rsidRPr="000B62B5">
        <w:fldChar w:fldCharType="end"/>
      </w:r>
      <w:bookmarkEnd w:id="362"/>
      <w:r>
        <w:t>. La punctul 13 din Raportul explicativ se menționează că „dreptul de a interveni”, conferit autorității de control în temeiul articolului 1 alineatul (2) litera (b), ar putea include competența de a obliga operatorul să rectifice, să șteargă sau să distrugă datele inexacte sau colectate ilegal, din proprie inițiativă sau atunci când persoana vizată nu a fost în măsură să își exercite ea însăși aceste drepturi.</w:t>
      </w:r>
    </w:p>
    <w:bookmarkStart w:id="363" w:name="RCoEM_C_108_Add_Prot_A_1_expl_rep_1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188</w:t>
      </w:r>
      <w:r w:rsidRPr="000B62B5">
        <w:fldChar w:fldCharType="end"/>
      </w:r>
      <w:bookmarkEnd w:id="363"/>
      <w:r>
        <w:t>. La punctul 14 din Raportul explicativ s-a precizat că autoritatea de control are, de asemenea, rolul de intermediar între persoana vizată și operator, și că orice persoană trebuie să aibă dreptul de a depune la autoritatea respectivă o cerere în ceea ce privește drepturile sale legate de prelucrarea datelor cu caracter personal; acest drept a contribuit la garantarea dreptului la o cale de atac adecvată, prevăzut la articolul 8 litera (d) și la articolul 10 din Convenția din 1981 (a se vedea supra, pct. </w:t>
      </w:r>
      <w:r w:rsidRPr="000B62B5">
        <w:fldChar w:fldCharType="begin"/>
      </w:r>
      <w:r w:rsidRPr="000B62B5">
        <w:instrText xml:space="preserve"> REF  RCoEM_C_108_A_8_b \h  \* MERGEFORMAT </w:instrText>
      </w:r>
      <w:r w:rsidRPr="000B62B5">
        <w:fldChar w:fldCharType="separate"/>
      </w:r>
      <w:r w:rsidR="000B62B5" w:rsidRPr="000B62B5">
        <w:t>180</w:t>
      </w:r>
      <w:r w:rsidRPr="000B62B5">
        <w:fldChar w:fldCharType="end"/>
      </w:r>
      <w:r>
        <w:t xml:space="preserve"> și </w:t>
      </w:r>
      <w:r w:rsidRPr="000B62B5">
        <w:fldChar w:fldCharType="begin"/>
      </w:r>
      <w:r w:rsidRPr="000B62B5">
        <w:instrText xml:space="preserve"> REF  RCoEM_C_108_A_10 \h  \* MERGEFORMAT </w:instrText>
      </w:r>
      <w:r w:rsidRPr="000B62B5">
        <w:fldChar w:fldCharType="separate"/>
      </w:r>
      <w:r w:rsidR="000B62B5" w:rsidRPr="000B62B5">
        <w:t>182</w:t>
      </w:r>
      <w:r w:rsidRPr="000B62B5">
        <w:fldChar w:fldCharType="end"/>
      </w:r>
      <w:r>
        <w:t>). O persoană vizată dispune de posibilitatea de a formula o astfel de cerere în plus față de posibilitatea de a introduce o cale de atac judiciară.</w:t>
      </w:r>
    </w:p>
    <w:bookmarkStart w:id="364" w:name="RCoEM_C_108_Add_Prot_A_1_declaration"/>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189</w:t>
      </w:r>
      <w:r w:rsidRPr="000B62B5">
        <w:fldChar w:fldCharType="end"/>
      </w:r>
      <w:bookmarkEnd w:id="364"/>
      <w:r>
        <w:t>. Într-o declarație depusă împreună cu instrumentul de ratificare, Bulgaria a declarat că autoritatea sa națională de control, înființată în temeiul articolului 1 alineatul (1) din Protocolul adițional (a se vedea supra, pct. </w:t>
      </w:r>
      <w:r w:rsidRPr="000B62B5">
        <w:fldChar w:fldCharType="begin"/>
      </w:r>
      <w:r w:rsidRPr="000B62B5">
        <w:instrText xml:space="preserve"> REF  RCoEM_C_108_Add_Prot_A_1 \h  \* MERGEFORMAT </w:instrText>
      </w:r>
      <w:r w:rsidRPr="000B62B5">
        <w:fldChar w:fldCharType="separate"/>
      </w:r>
      <w:r w:rsidR="000B62B5" w:rsidRPr="000B62B5">
        <w:t>185</w:t>
      </w:r>
      <w:r w:rsidRPr="000B62B5">
        <w:fldChar w:fldCharType="end"/>
      </w:r>
      <w:r>
        <w:t>), este Comisia pentru protecția datelor cu caracter personal (a se vedea supra, pct. </w:t>
      </w:r>
      <w:r w:rsidRPr="000B62B5">
        <w:fldChar w:fldCharType="begin"/>
      </w:r>
      <w:r w:rsidRPr="000B62B5">
        <w:instrText xml:space="preserve"> REF  RLF_PPDA_CPPD \h  \* MERGEFORMAT </w:instrText>
      </w:r>
      <w:r w:rsidRPr="000B62B5">
        <w:fldChar w:fldCharType="separate"/>
      </w:r>
      <w:r w:rsidR="000B62B5" w:rsidRPr="000B62B5">
        <w:t>97</w:t>
      </w:r>
      <w:r w:rsidRPr="000B62B5">
        <w:fldChar w:fldCharType="end"/>
      </w:r>
      <w:r>
        <w:t>).</w:t>
      </w:r>
    </w:p>
    <w:p w:rsidR="00DE4BFE" w:rsidRPr="000B62B5" w:rsidRDefault="00E34145" w:rsidP="000B62B5">
      <w:pPr>
        <w:pStyle w:val="JuHA"/>
      </w:pPr>
      <w:bookmarkStart w:id="365" w:name="_Toc176454176"/>
      <w:bookmarkStart w:id="366" w:name="_Toc236764779"/>
      <w:r>
        <w:t>Convenția modernizată pentru protejarea persoanelor față de prelucrarea automatizată a datelor cu caracter personal</w:t>
      </w:r>
      <w:bookmarkEnd w:id="365"/>
      <w:bookmarkEnd w:id="366"/>
    </w:p>
    <w:bookmarkStart w:id="367" w:name="RCoEM_Mod_C_10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190</w:t>
      </w:r>
      <w:r w:rsidRPr="000B62B5">
        <w:fldChar w:fldCharType="end"/>
      </w:r>
      <w:bookmarkEnd w:id="367"/>
      <w:r>
        <w:t>. Protocolul de amendare a Convenției din 1981 pentru protejarea persoanelor față de prelucrarea automatizată a datelor cu caracter personal (CETS 223), al cărui scop este modernizarea convenției respective, a fost deschis spre semnare în octombrie 2018, însă nu a intrat încă în vigoare. Bulgaria a semnat Protocolul imediat și l-a ratificat în decembrie 2019 – și a declarat, în ambele ocazii, că va aplica dispozițiile sale cu titlu provizoriu (a se vedea infra, pct. </w:t>
      </w:r>
      <w:r w:rsidRPr="000B62B5">
        <w:fldChar w:fldCharType="begin"/>
      </w:r>
      <w:r w:rsidRPr="000B62B5">
        <w:instrText xml:space="preserve"> REF  RCoEM_Mod_C_108_A_37_3 \h  \* MERGEFORMAT </w:instrText>
      </w:r>
      <w:r w:rsidRPr="000B62B5">
        <w:fldChar w:fldCharType="separate"/>
      </w:r>
      <w:r w:rsidR="000B62B5" w:rsidRPr="000B62B5">
        <w:t>203</w:t>
      </w:r>
      <w:r w:rsidRPr="000B62B5">
        <w:fldChar w:fldCharType="end"/>
      </w:r>
      <w:r>
        <w:t>).</w:t>
      </w:r>
    </w:p>
    <w:bookmarkStart w:id="368" w:name="RCoEM_Mod_C_108_ratification_bil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191</w:t>
      </w:r>
      <w:r w:rsidRPr="000B62B5">
        <w:fldChar w:fldCharType="end"/>
      </w:r>
      <w:bookmarkEnd w:id="368"/>
      <w:r>
        <w:t>. În notele explicative la proiectul de lege privind ratificarea (nr. 902-02-24), introdus de guvern și adoptat de parlamentul bulgar în septembrie 2019, s-a afirmat că punerea în aplicare a Protocolului de amendare nu necesita măsuri legislative suplimentare.</w:t>
      </w:r>
    </w:p>
    <w:p w:rsidR="00DE4BFE" w:rsidRPr="000B62B5" w:rsidRDefault="00E34145" w:rsidP="000B62B5">
      <w:pPr>
        <w:pStyle w:val="JuH1"/>
      </w:pPr>
      <w:bookmarkStart w:id="369" w:name="_Toc176454177"/>
      <w:bookmarkStart w:id="370" w:name="_Toc236764780"/>
      <w:r>
        <w:lastRenderedPageBreak/>
        <w:t>Obligația punerii în aplicare</w:t>
      </w:r>
      <w:bookmarkEnd w:id="369"/>
      <w:bookmarkEnd w:id="370"/>
    </w:p>
    <w:bookmarkStart w:id="371" w:name="RCoEM_Mod_C_108_A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192</w:t>
      </w:r>
      <w:r w:rsidRPr="000B62B5">
        <w:fldChar w:fldCharType="end"/>
      </w:r>
      <w:bookmarkEnd w:id="371"/>
      <w:r>
        <w:t>. Potrivit articolului 4 alineatul (1) din Convenția modernizată (introdus prin articolul 6 din Protocolul de amendare), fiecare parte ia măsurile legislative necesare pentru a pune în aplicare dispozițiile Convenției modificate și a asigura aplicarea efectivă a acestora; potrivit articolului 4 alineatul (2), aceste măsuri vor fi luate de fiecare parte și vor intra în vigoare până la ratificarea Convenției modernizate.</w:t>
      </w:r>
    </w:p>
    <w:p w:rsidR="00DE4BFE" w:rsidRPr="000B62B5" w:rsidRDefault="00E34145" w:rsidP="000B62B5">
      <w:pPr>
        <w:pStyle w:val="JuH1"/>
      </w:pPr>
      <w:bookmarkStart w:id="372" w:name="_Toc176454178"/>
      <w:bookmarkStart w:id="373" w:name="_Toc236764781"/>
      <w:r>
        <w:t>Dreptul de acces și excepțiile de la acest drept</w:t>
      </w:r>
      <w:bookmarkEnd w:id="372"/>
      <w:bookmarkEnd w:id="373"/>
    </w:p>
    <w:bookmarkStart w:id="374" w:name="RCoEM_Mod_C_108_A_9_1_b"/>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193</w:t>
      </w:r>
      <w:r w:rsidRPr="000B62B5">
        <w:fldChar w:fldCharType="end"/>
      </w:r>
      <w:bookmarkEnd w:id="374"/>
      <w:r>
        <w:t>. În temeiul articolului 9 alineatul (1) litera b) din Convenția modernizată (introdus prin articolul 11 din Protocolul de amendare), orice persoană are dreptul, printre altele, să obțină, la cerere, la intervale rezonabile și fără întârzieri sau cheltuieli excesive, confirmarea prelucrării datelor cu caracter personal care o privesc.</w:t>
      </w:r>
    </w:p>
    <w:bookmarkStart w:id="375" w:name="RCoEM_Mod_C_108_A_9_1_b_expl_rep"/>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194</w:t>
      </w:r>
      <w:r w:rsidRPr="000B62B5">
        <w:fldChar w:fldCharType="end"/>
      </w:r>
      <w:bookmarkEnd w:id="375"/>
      <w:r>
        <w:t>. La punctul 74 din Raportul explicativ privind Protocolul de amendare se precizează că, deși Convenția modernizată nu menționează de unde ar putea obține o persoană vizată o astfel de confirmare, în majoritatea cazurilor este vorba despre operator sau persoana împuternicită de operator, dar că este posibil ca, în cazuri excepționale, dreptul de acces să fie exercitat prin intermediul autorității de supraveghere.</w:t>
      </w:r>
    </w:p>
    <w:bookmarkStart w:id="376" w:name="RCoEM_Mod_C_108_A_11_1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195</w:t>
      </w:r>
      <w:r w:rsidRPr="000B62B5">
        <w:fldChar w:fldCharType="end"/>
      </w:r>
      <w:bookmarkEnd w:id="376"/>
      <w:r>
        <w:t>. Potrivit articolului 11 alineatul (1) litera a) din Convenția modernizată (introdus prin articolul 14 din Protocolul de amendare), poate fi permisă o excepție de la prevederile articolului 9 în cazul în care o astfel de excepție este „prevăzută de lege, respectă esența drepturilor și libertăților fundamentale și constituie o măsură necesară și proporțională într-o societate democratică pentru [...] protecția securității naționale [...]”.</w:t>
      </w:r>
    </w:p>
    <w:p w:rsidR="00DE4BFE" w:rsidRPr="000B62B5" w:rsidRDefault="00E34145" w:rsidP="000B62B5">
      <w:pPr>
        <w:pStyle w:val="JuH1"/>
      </w:pPr>
      <w:bookmarkStart w:id="377" w:name="_Toc176454179"/>
      <w:bookmarkStart w:id="378" w:name="_Toc236764782"/>
      <w:r>
        <w:t>Obligația de a demonstra conformitatea cu dispozițiile Convenției modernizate</w:t>
      </w:r>
      <w:bookmarkEnd w:id="377"/>
      <w:bookmarkEnd w:id="378"/>
    </w:p>
    <w:bookmarkStart w:id="379" w:name="RCoEM_Mod_C_108_A_10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196</w:t>
      </w:r>
      <w:r w:rsidRPr="000B62B5">
        <w:fldChar w:fldCharType="end"/>
      </w:r>
      <w:bookmarkEnd w:id="379"/>
      <w:r>
        <w:t>. În temeiul articolului 10 alineatul (1) din Convenția modernizată (introdus prin articolul 12 din Protocolul de amendare), fiecare parte prevede ca operatorii și, după caz, persoanele împuternicite de operatori să adopte toate măsurile necesare pentru a respecta obligațiile prevăzute de Convenția modificată și să poată demonstra – în temeiul legislației interne adoptate în conformitate cu articolul 11 alineatul (3), (a se vedea infra, pct. </w:t>
      </w:r>
      <w:r w:rsidRPr="000B62B5">
        <w:fldChar w:fldCharType="begin"/>
      </w:r>
      <w:r w:rsidRPr="000B62B5">
        <w:instrText xml:space="preserve"> REF  RCoEM_Mod_C_108_A_11_3 \h  \* MERGEFORMAT </w:instrText>
      </w:r>
      <w:r w:rsidRPr="000B62B5">
        <w:fldChar w:fldCharType="separate"/>
      </w:r>
      <w:r w:rsidR="000B62B5" w:rsidRPr="000B62B5">
        <w:t>200</w:t>
      </w:r>
      <w:r w:rsidRPr="000B62B5">
        <w:fldChar w:fldCharType="end"/>
      </w:r>
      <w:r>
        <w:t>) – autorității de supraveghere prevăzute la articolul 15 că prelucrarea datelor aflată sub controlul acestora este în conformitate cu dispozițiile convenției respective.</w:t>
      </w:r>
    </w:p>
    <w:p w:rsidR="00DE4BFE" w:rsidRPr="000B62B5" w:rsidRDefault="00E34145" w:rsidP="000B62B5">
      <w:pPr>
        <w:pStyle w:val="JuH1"/>
      </w:pPr>
      <w:bookmarkStart w:id="380" w:name="_Toc176454180"/>
      <w:bookmarkStart w:id="381" w:name="_Toc236764783"/>
      <w:r>
        <w:t>Competențele autorităților de supraveghere</w:t>
      </w:r>
      <w:bookmarkEnd w:id="380"/>
      <w:bookmarkEnd w:id="381"/>
    </w:p>
    <w:bookmarkStart w:id="382" w:name="RCoEM_Mod_C_108_A_15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197</w:t>
      </w:r>
      <w:r w:rsidRPr="000B62B5">
        <w:fldChar w:fldCharType="end"/>
      </w:r>
      <w:bookmarkEnd w:id="382"/>
      <w:r>
        <w:t>. În temeiul articolului 15 alineatul (1) din Convenția modernizată (introdus prin articolul 19 din Protocolul de amendare), fiecare parte trebuie să prevadă ca una sau mai multe autorități să fie responsabilă/responsabile de asigurarea respectării dispozițiilor convenției respective.</w:t>
      </w:r>
    </w:p>
    <w:bookmarkStart w:id="383" w:name="RCoEM_Mod_C_108_A_15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198</w:t>
      </w:r>
      <w:r w:rsidRPr="000B62B5">
        <w:fldChar w:fldCharType="end"/>
      </w:r>
      <w:bookmarkEnd w:id="383"/>
      <w:r>
        <w:t>. În temeiul alineatului (2) literele a), c) și d) al articolului respectiv, autoritățile de supraveghere în cauză trebuie să aibă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competențe de investigare și de intervenție,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competența de a emite decizii cu privire la încălcarea dispozițiilor convenției în cauză și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competența de a se angaja în proceduri judiciare sau de a aduce la cunoștința autorităților judiciare competente cazurile de încălcare a convenției respective.</w:t>
      </w:r>
    </w:p>
    <w:bookmarkStart w:id="384" w:name="RCoEM_Mod_C_108_A_15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199</w:t>
      </w:r>
      <w:r w:rsidRPr="000B62B5">
        <w:fldChar w:fldCharType="end"/>
      </w:r>
      <w:bookmarkEnd w:id="384"/>
      <w:r>
        <w:t>. În temeiul alineatului (4) al articolului respectiv, fiecare autoritate de supraveghere competentă trebuie să soluționeze cererile și plângerile depuse de persoanele vizate cu privire la drepturile lor în materie de protecție a datelor și să informeze persoanele vizate cu privire la progresele înregistrate.</w:t>
      </w:r>
    </w:p>
    <w:bookmarkStart w:id="385" w:name="RCoEM_Mod_C_108_A_11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200</w:t>
      </w:r>
      <w:r w:rsidRPr="000B62B5">
        <w:fldChar w:fldCharType="end"/>
      </w:r>
      <w:bookmarkEnd w:id="385"/>
      <w:r>
        <w:t xml:space="preserve">. Potrivit articolului 11 alineatul (3) din Convenția modernizată (introdus prin articolul 14 din Protocolul de modificare), în ceea ce privește prelucrarea datelor în scopuri legate de </w:t>
      </w:r>
      <w:r>
        <w:lastRenderedPageBreak/>
        <w:t>securitatea națională, fiecare parte la convenția respectivă poate să prevadă, „prin lege și numai în cazul în care constituie o măsură necesară și proporțională într-o societate democratică [pentru îndeplinirea unui] astfel de scop”, excepții de la articolul 15 alineatul (2) literele a), c) și d).</w:t>
      </w:r>
    </w:p>
    <w:bookmarkStart w:id="386" w:name="RCoEM_Mod_C_108_A_11_3_expl_rep"/>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201</w:t>
      </w:r>
      <w:r w:rsidRPr="000B62B5">
        <w:fldChar w:fldCharType="end"/>
      </w:r>
      <w:bookmarkEnd w:id="386"/>
      <w:r>
        <w:t>. La punctul 86 din Raportul explicativ privind Protocolul de amendare se precizează că, în cazul în care o parte alege să limiteze competențele unei autorități de supraveghere în ceea ce privește prelucrarea datelor în scopuri legate de securitatea națională, operatorul nu are obligația de a demonstra autorității respective respectarea cerințelor în materie de protecție a datelor în ceea ce privește activitățile care intră sub incidența excepțiilor. În continuare, la punctele 98 și 118 se precizează că excepțiile respective nu aduc atingere niciunei cerințe referitoare la independența și eficacitatea mecanismelor de control și de supraveghere, iar la punctul 117 se afirmă că, în cazul în care este declanșată aplicarea articolului 11 alineatul (3), partea în cauză poate să prevadă alte mecanisme adecvate în ceea ce privește controlul și supravegherea independente și efective ale prelucrării datelor în scopuri legate de securitatea națională.</w:t>
      </w:r>
    </w:p>
    <w:p w:rsidR="00DE4BFE" w:rsidRPr="000B62B5" w:rsidRDefault="00E34145" w:rsidP="000B62B5">
      <w:pPr>
        <w:pStyle w:val="JuH1"/>
      </w:pPr>
      <w:bookmarkStart w:id="387" w:name="_Toc176454181"/>
      <w:bookmarkStart w:id="388" w:name="_Toc236764784"/>
      <w:r>
        <w:t>Căi de atac</w:t>
      </w:r>
      <w:bookmarkEnd w:id="387"/>
      <w:bookmarkEnd w:id="388"/>
    </w:p>
    <w:bookmarkStart w:id="389" w:name="RCoEM_Mod_C_108_A_1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202</w:t>
      </w:r>
      <w:r w:rsidRPr="000B62B5">
        <w:fldChar w:fldCharType="end"/>
      </w:r>
      <w:bookmarkEnd w:id="389"/>
      <w:r>
        <w:t>. Potrivit articolului 12 din Convenția modernizată (introdus prin articolul 15 din Protocolul de amendare), fiecare parte se angajează să instituie căi de atac judiciare și extrajudiciare adecvate pentru încălcările convenției respective.</w:t>
      </w:r>
    </w:p>
    <w:p w:rsidR="00DE4BFE" w:rsidRPr="000B62B5" w:rsidRDefault="00E34145" w:rsidP="000B62B5">
      <w:pPr>
        <w:pStyle w:val="JuH1"/>
      </w:pPr>
      <w:bookmarkStart w:id="390" w:name="_Toc176454182"/>
      <w:bookmarkStart w:id="391" w:name="_Toc236764785"/>
      <w:r>
        <w:t>Aplicarea cu titlu provizoriu a Protocolului de amendare</w:t>
      </w:r>
      <w:bookmarkEnd w:id="390"/>
      <w:bookmarkEnd w:id="391"/>
    </w:p>
    <w:bookmarkStart w:id="392" w:name="RCoEM_Mod_C_108_A_37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203</w:t>
      </w:r>
      <w:r w:rsidRPr="000B62B5">
        <w:fldChar w:fldCharType="end"/>
      </w:r>
      <w:bookmarkEnd w:id="392"/>
      <w:r>
        <w:t>. În temeiul articolului 37 alineatul (3) din Protocolul de amendare, o parte la Convenția din 1981 poate, la data semnării Protocolului de amendare sau la orice moment ulterior, să declare că va aplica provizoriu dispozițiile acestui protocol; o astfel de declarație intră în vigoare în prima zi a celei de a treia luni de la data primirii sale de către Secretarul General al Consiliului Europei. La semnarea Protocolului de amendare (a se vedea supra, pct. </w:t>
      </w:r>
      <w:r w:rsidRPr="000B62B5">
        <w:fldChar w:fldCharType="begin"/>
      </w:r>
      <w:r w:rsidRPr="000B62B5">
        <w:instrText xml:space="preserve"> REF  RCoEM_Mod_C_108 \h  \* MERGEFORMAT </w:instrText>
      </w:r>
      <w:r w:rsidRPr="000B62B5">
        <w:fldChar w:fldCharType="separate"/>
      </w:r>
      <w:r w:rsidR="000B62B5" w:rsidRPr="000B62B5">
        <w:t>190</w:t>
      </w:r>
      <w:r w:rsidRPr="000B62B5">
        <w:fldChar w:fldCharType="end"/>
      </w:r>
      <w:r>
        <w:t>), Bulgaria a declarat că va aplica dispozițiile acestuia cu titlu provizoriu [în conformitate cu articolul 37 alineatul (3)] și a confirmat această declarație în instrumentul ulterior de ratificare, care a fost aprobat de Parlamentul său (a se vedea supra, pct. </w:t>
      </w:r>
      <w:r w:rsidRPr="000B62B5">
        <w:fldChar w:fldCharType="begin"/>
      </w:r>
      <w:r w:rsidRPr="000B62B5">
        <w:instrText xml:space="preserve"> REF  RCoEM_Mod_C_108_ratification_bill \h  \* MERGEFORMAT </w:instrText>
      </w:r>
      <w:r w:rsidRPr="000B62B5">
        <w:fldChar w:fldCharType="separate"/>
      </w:r>
      <w:r w:rsidR="000B62B5" w:rsidRPr="000B62B5">
        <w:t>191</w:t>
      </w:r>
      <w:r w:rsidRPr="000B62B5">
        <w:fldChar w:fldCharType="end"/>
      </w:r>
      <w:r>
        <w:t>).</w:t>
      </w:r>
    </w:p>
    <w:p w:rsidR="00DE4BFE" w:rsidRPr="000B62B5" w:rsidRDefault="00E34145" w:rsidP="000B62B5">
      <w:pPr>
        <w:pStyle w:val="JuHIRoman"/>
      </w:pPr>
      <w:bookmarkStart w:id="393" w:name="_Toc236764786"/>
      <w:r>
        <w:t>ALTE DOCUMENTE INTERNAȚIONALE RELEVANTE</w:t>
      </w:r>
      <w:bookmarkEnd w:id="393"/>
    </w:p>
    <w:p w:rsidR="00DE4BFE" w:rsidRPr="000B62B5" w:rsidRDefault="00E34145" w:rsidP="000B62B5">
      <w:pPr>
        <w:pStyle w:val="JuHA"/>
      </w:pPr>
      <w:bookmarkStart w:id="394" w:name="_Toc236764787"/>
      <w:r>
        <w:t>Rapoarte relevante</w:t>
      </w:r>
      <w:bookmarkEnd w:id="394"/>
    </w:p>
    <w:p w:rsidR="00DE4BFE" w:rsidRPr="000B62B5" w:rsidRDefault="00E34145" w:rsidP="000B62B5">
      <w:pPr>
        <w:pStyle w:val="JuH1"/>
      </w:pPr>
      <w:bookmarkStart w:id="395" w:name="_Toc236764788"/>
      <w:r>
        <w:t>Raportul Comisiei de la Veneția</w:t>
      </w:r>
      <w:bookmarkEnd w:id="395"/>
    </w:p>
    <w:bookmarkStart w:id="396" w:name="RREP_VEN_COM_2007_2015"/>
    <w:p w:rsidR="00DE4BFE" w:rsidRPr="000B62B5" w:rsidRDefault="00E34145" w:rsidP="000B62B5">
      <w:pPr>
        <w:pStyle w:val="JuPara"/>
        <w:keepNext/>
      </w:pPr>
      <w:r w:rsidRPr="000B62B5">
        <w:fldChar w:fldCharType="begin"/>
      </w:r>
      <w:r w:rsidRPr="000B62B5">
        <w:instrText xml:space="preserve"> SEQ level0 \*arabic \* MERGEFORMAT </w:instrText>
      </w:r>
      <w:r w:rsidRPr="000B62B5">
        <w:fldChar w:fldCharType="separate"/>
      </w:r>
      <w:r w:rsidR="000B62B5" w:rsidRPr="000B62B5">
        <w:t>204</w:t>
      </w:r>
      <w:r w:rsidRPr="000B62B5">
        <w:fldChar w:fldCharType="end"/>
      </w:r>
      <w:bookmarkEnd w:id="396"/>
      <w:r>
        <w:t>. În Raportul său privind supravegherea democratică a serviciilor de securitate, adoptat în 2007 și actualizat în 2015 (CDL-AD(2015)010), Comisia europeană pentru democrație prin drept („Comisia de la Veneția”) a subliniat, în special (notele de subsol și trimiterile încrucișate interne omise):</w:t>
      </w:r>
    </w:p>
    <w:p w:rsidR="00DE4BFE" w:rsidRPr="000B62B5" w:rsidRDefault="00E34145" w:rsidP="000B62B5">
      <w:pPr>
        <w:pStyle w:val="JuQuot"/>
      </w:pPr>
      <w:r>
        <w:t>„251. În mod evident, este necesar ca persoanele care pretind că au fost afectate negativ de competențele excepționale exercitate de agențiile sau serviciile de securitate și de informații, cum ar fi măsurile de supraveghere sau deciziile privind autorizația de acces la informații clasificate, să dispună de o cale de atac. Pe lângă consolidarea responsabilității, plângerile pot contribui, de asemenea, la îmbunătățirea performanței agențiilor sau serviciilor, prin evidențierea deficiențelor administrative. În mod evident, trebuie avute în vedere și cerințele tratatelor privind drepturile omului, în special [Convenția], cu garanțiile sale referitoare la un proces echitabil și respectarea vieții private, precum și cerința sa privind existența unei căi de atac efective.</w:t>
      </w:r>
    </w:p>
    <w:p w:rsidR="00DE4BFE" w:rsidRPr="000B62B5" w:rsidRDefault="00E34145" w:rsidP="000B62B5">
      <w:pPr>
        <w:pStyle w:val="JuQuot"/>
      </w:pPr>
      <w:r>
        <w:t xml:space="preserve">252. Cu toate acestea, este clar că persoanele care fac în mod legitim obiectul activității unei agenții sau a unui serviciu de securitate sau de informații nu ar trebui să poată utiliza un mecanism de soluționare a </w:t>
      </w:r>
      <w:r>
        <w:lastRenderedPageBreak/>
        <w:t>plângerilor pentru a obține informații cu privire la activitatea agenției sau a serviciului în cauză. Un mecanism de soluționare a plângerilor ar trebui să asigure un echilibru între independență, rigoare și echitate, pe de o parte, și, luarea în considerare a nevoilor de securitate, pe de altă parte. Conceperea unui astfel de sistem este dificilă, dar nu imposibilă.</w:t>
      </w:r>
    </w:p>
    <w:p w:rsidR="00DE4BFE" w:rsidRPr="000B62B5" w:rsidRDefault="00E34145" w:rsidP="000B62B5">
      <w:pPr>
        <w:pStyle w:val="JuQuot"/>
      </w:pPr>
      <w:r>
        <w:t>253. Persoanele care susțin că au fost victime ale unor acte ilicite săvârșite de stat în alte domenii beneficiază, în mod obișnuit, de dreptul de a introduce o acțiune în despăgubiri în fața instanțelor. Eficacitatea dreptului anterior menționat depinde însă de cunoașterea de către persoana în cauză a existenței pretinsului act ilicit și dacă aceasta poate sau nu poate să prezinte în fața instanțelor probe convingătoare privind săvârșirea actului respectiv. După cum s-a menționat deja, din diverse motive, capacitatea instanțelor de drept comun de a oferi o cale de atac adecvată în domeniul securității este limitată. Din jurisprudența Curții Europene a Drepturilor Omului ([...]) reiese foarte clar faptul că o cale de atac nu trebuie să fie pur teoretică.</w:t>
      </w:r>
    </w:p>
    <w:p w:rsidR="00DE4BFE" w:rsidRPr="000B62B5" w:rsidRDefault="00E34145" w:rsidP="000B62B5">
      <w:pPr>
        <w:pStyle w:val="JuQuot"/>
      </w:pPr>
      <w:r>
        <w:t>254. O altă posibilitate este ca investigarea unei plângeri îndreptate împotriva unei agenții sau a unui serviciu și elaborarea unui raport privind această plângere să fie încredințate unei autorități independente, cum ar fi un Ombudsman. Aceasta este situația, de exemplu, în Țările de Jos. În alte țări (de exemplu, Noua Zeelandă și Africa de Sud), plângerile formulate împotriva serviciilor de informații sunt examinate și soluționate de un Inspector General independent pentru Securitate și Informații, în cadrul atribuțiilor generale de supraveghere ale instituției. În plus, anumite structuri înființate în temeiul legislației privind libertatea de acces la informații sau protecția datelor pot avea competența de examinare a plângerilor formulate împotriva acestor agenții sau servicii. De exemplu, în Austria, persoana în cauză are, de regulă, posibilitatea de a depune o plângere la Datenschutzkommission, însă în cazul în care, din motive de confidențialitate, persoana respectivă nu a fost informată cu privire la utilizarea frauduloasă a datelor, plângerea poate fi formulată de Rechtsschutzbeauftragter din oficiu.</w:t>
      </w:r>
    </w:p>
    <w:p w:rsidR="00DE4BFE" w:rsidRPr="000B62B5" w:rsidRDefault="00E34145" w:rsidP="000B62B5">
      <w:pPr>
        <w:pStyle w:val="JuQuot"/>
      </w:pPr>
      <w:r>
        <w:t>255. În aceste sisteme de tip Ombudsman, accentul se pune pe o autoritate independentă, care efectuează o investigație în numele persoanei care a depus plângerea. De obicei, aceste organisme independente au rolul de a examina mai degrabă deficiențele administrative ale organismelor publice decât erorile de drept. Spre deosebire de procedurile judiciare, este posibil ca investigațiile acestor organisme să pună mai puțin accent pe transparență și participarea la proces a persoanei care a depus plângerea. De obicei, o astfel de investigație nu se încheie cu o hotărâre și dispunerea de măsuri reparatorii oficiale, ci cu întocmirea unui raport și (în cazul în care plângerea este admisă) formularea de recomandări privind remedierea situației și măsurile care trebuie adoptate pe viitor.</w:t>
      </w:r>
    </w:p>
    <w:p w:rsidR="00DE4BFE" w:rsidRPr="000B62B5" w:rsidRDefault="00E34145" w:rsidP="000B62B5">
      <w:pPr>
        <w:pStyle w:val="JuQuot"/>
      </w:pPr>
      <w:r>
        <w:t>256. O situație mai puțin obișnuită este ca un stat să încredințeze examinarea plângerilor și a reclamațiilor persoanelor particulare unui organism de supraveghere specializat sau parlamentar, așa cum se întâmplă în Germania, Norvegia și România. Faptul că o comisie parlamentară de supraveghere soluționează plângerile formulate împotriva agențiilor sau serviciilor de securitate și de informații ar putea constitui un avantaj, deoarece acest lucru îi poate oferi o perspectivă asupra potențialelor deficiențe în materie de politică, legalitate și eficiență. Pe de altă parte, în cazul în care există percepția că organismul de supraveghere are o relație prea strânsă cu agențiile sau serviciile pe care le supraveghează sau că acesta își desfășoară activitatea în cadrul aceluiași „regim de secretizare” ca și agențiile sau serviciile în cauză, persoana care a depus plângerea poate considera că procedura de soluționare a plângerilor nu este suficient de independentă. În cazurile în care un singur organism are atât competențe de soluționare a plângerilor, cât și competențe de supraveghere, este de preferat să existe proceduri judiciare distincte în ceea ce privește aceste două roluri diferite.</w:t>
      </w:r>
    </w:p>
    <w:p w:rsidR="00DE4BFE" w:rsidRPr="000B62B5" w:rsidRDefault="00E34145" w:rsidP="000B62B5">
      <w:pPr>
        <w:pStyle w:val="JuQuot"/>
      </w:pPr>
      <w:r>
        <w:t>257. În ansamblu, este preferabil ca aceste două funcții să fie atribuite unor organisme diferite, dar să existe mecanisme care să permită informarea organismului de supraveghere cu privire la implicațiile mai ample ale plângerilor individuale. Această abordare este susținută și de [Convenție]. Cerința de la art. 13 din [Convenție], referitoare la existența unui mecanism de remediere a pretinselor încălcări ale drepturilor garantate de Convenție, care să fie independent de procesul de autorizare, presupune că lipsa unei căi de atac poate conduce la constatarea existenței unei încălcări a Convenției în pofida faptului că sistemul de control al statului în cauză - de exemplu, în materia prelucrării datelor - îndeplinește criteriile care impun ca acest sistem să fie „prevăzut de lege” și „necesar într-o societate democratică”. După cum s-a menționat deja, CEDO a statuat că o cale de atac trebuie să fie eficientă atât din punct de vedere juridic, cât și în practică. Trebuie remarcat în special faptul că CEDO a statuat că o autoritate de verificare a datelor, care este independentă și care dispune, potrivit legii, de competența oficială de a acorda reparații în cazul deținerii unor date de securitate inexacte, neadecvate etc., dar care, în fapt, nu dispune de expertiza necesară pentru evaluarea acestor date, nu constituie o cale de atac efectivă în sensul art. 13.</w:t>
      </w:r>
    </w:p>
    <w:p w:rsidR="00DE4BFE" w:rsidRPr="000B62B5" w:rsidRDefault="00E34145" w:rsidP="000B62B5">
      <w:pPr>
        <w:pStyle w:val="JuQuot"/>
      </w:pPr>
      <w:r>
        <w:lastRenderedPageBreak/>
        <w:t>258. De asemenea, trebuie menționată experiența CEDO în cauza Leander împotriva Suediei. La momentul respectiv, Guvernul suedez a susținut că existau mai multe organisme cu competențe de control și de acordare a unor măsuri de remediere a încălcărilor, menite să prevină erorile din cadrul verificărilor de securitate (</w:t>
      </w:r>
      <w:r>
        <w:rPr>
          <w:i/>
          <w:iCs/>
        </w:rPr>
        <w:t>security screening</w:t>
      </w:r>
      <w:r>
        <w:t>) și să corecteze eventualele erori produse. Totuși, anchetele oficiale desfășurate ulterior au arătat că niciunul dintre aceste organisme cu competențe de control și de dispunere a unor măsuri de remediere a încălcărilor nu funcționa corespunzător în acest domeniu. Persoanele implicate în fiecare dintre aceste mecanisme de control și remediere presupuneau că toate celelalte organisme de acest tip funcționau în mod corespunzător. Totuși, niciunul dintre aceste mecanisme nu aborda un aspect esențial: fiabilitatea și proporționalitatea evaluării de securitate efectuate cu privire la o persoană. Existența mai multor mecanisme „incomplete” sau ineficiente de control și de remediere doar crea impresia unui control, însă, în realitate, nu exista un control efectiv.</w:t>
      </w:r>
    </w:p>
    <w:p w:rsidR="00DE4BFE" w:rsidRPr="000B62B5" w:rsidRDefault="00E34145" w:rsidP="000B62B5">
      <w:pPr>
        <w:pStyle w:val="JuQuot"/>
      </w:pPr>
      <w:r>
        <w:t>259. În unele țări, nu doar persoanele particulare, ci și membrii serviciilor de securitate și de informații au posibilitatea să sesizeze un Ombudsman sau un organism parlamentar de supraveghere cu probleme legate de aceste servicii. De exemplu, în Germania, funcționarii pot semnala existența unor probleme Comisiei parlamentare de control, iar în Africa de Sud, membrii serviciilor se pot adresa Inspectorului General.</w:t>
      </w:r>
    </w:p>
    <w:p w:rsidR="00DE4BFE" w:rsidRPr="000B62B5" w:rsidRDefault="00E34145" w:rsidP="000B62B5">
      <w:pPr>
        <w:pStyle w:val="JuQuot"/>
      </w:pPr>
      <w:r>
        <w:t>260. O altă metodă de soluționare a plângerilor este prin intermediul unei instanțe specializate, înființată în scopul examinării plângerilor formulate împotriva unei anumite agenții sau a unui anumit serviciu ori în legătură cu exercitarea anumitor competențe, cum există, de exemplu, în Regatul Unit [Comisarul pentru Serviciile de Informații (</w:t>
      </w:r>
      <w:r>
        <w:rPr>
          <w:i/>
          <w:iCs/>
        </w:rPr>
        <w:t>Intelligence Services Commissioner</w:t>
      </w:r>
      <w:r>
        <w:t>) și Comisarul pentru Interceptarea Comunicațiilor (</w:t>
      </w:r>
      <w:r>
        <w:rPr>
          <w:i/>
          <w:iCs/>
        </w:rPr>
        <w:t>Commissioner for the Interception of Communications</w:t>
      </w:r>
      <w:r>
        <w:t>)]. O altă metodă de soluționare a plângerilor este în cadrul unei proceduri cvasi-judiciare, desfășurată de către un organism de supraveghere specializat, așa cum este SIRC din Canada. În situația în care organismul de supraveghere este implicat în procesul de aprobare a operațiunilor de securitate, acesta nu poate fi considerat, în același timp, un mecanism independent de soluționare a plângerilor (a se vedea [...]). În alte situații, un organism judiciar de acest tip are anumite avantaje față de o instanță obișnuită în ceea ce privește soluționarea plângerilor legate de securitate și de informații: de exemplu, poate dispune de competențe specializate în domeniul securității și al informațiilor, fiind conceput special pentru gestionarea informațiilor sensibile. Având în vedere natura aspectelor examinate, este puțin probabil ca astfel de plângeri să fie soluționate în cadrul unei proceduri judiciare complete, desfășurată în mod public și cu toate garanțiile procesuale obișnuite. Pe de altă parte, deși unele organisme de acest tip îi pot oferi petentului posibilitatea de a fi audiat, este probabil ca acesta să se confrunte cu dificultăți considerabile de ordin practic în ceea ce privește dovedirea susținerilor sale, obținerea accesului la probele relevante sau contestarea versiunii agenției sau a serviciului în cauză cu privire la fapte. Pentru a remedia unele dintre aceste probleme, în anumite țări au fost introduși avocați „speciali”, care dețin un certificat de securitate sau o autorizație de acces la informații clasificate. Criticile formulate anterior cu privire la limitările acestor avocați speciali (a se vedea supra [...]), precum și cele privind rolul și importanța procedurilor de control desfășurate în domeniul supravegherii de către organisme specializate (a se vedea supra [...]), sunt aplicabile și aici.”</w:t>
      </w:r>
    </w:p>
    <w:p w:rsidR="00DE4BFE" w:rsidRPr="000B62B5" w:rsidRDefault="00E34145" w:rsidP="000B62B5">
      <w:pPr>
        <w:pStyle w:val="JuH1"/>
      </w:pPr>
      <w:bookmarkStart w:id="397" w:name="_Toc236764789"/>
      <w:r>
        <w:t>Rapoarte ale Agenției pentru Drepturi Fundamentale a Uniunii Europene</w:t>
      </w:r>
      <w:bookmarkEnd w:id="397"/>
    </w:p>
    <w:bookmarkStart w:id="398" w:name="RREP_FRA_201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205</w:t>
      </w:r>
      <w:r w:rsidRPr="000B62B5">
        <w:fldChar w:fldCharType="end"/>
      </w:r>
      <w:bookmarkEnd w:id="398"/>
      <w:r>
        <w:t>. La solicitarea Parlamentului European, în noiembrie 2015, Agenția pentru Drepturi Fundamentale a Uniunii Europene („FRA”) a elaborat un raport intitulat „Supravegherea de către serviciile de informații – Garanții și căi de atac privind drepturile fundamentale în UE – Cartografierea cadrelor juridice ale statelor membre” (doi:10.2811/009038). Raportul a analizat legile tuturor celor 28 de state membre ale UE de la acea vreme referitoare la o astfel de supraveghere, concentrându-se asupra mecanismelor de supraveghere și a căilor de atac disponibile. În raport s-a constatat, în special, că, la momentul respectiv:</w:t>
      </w:r>
    </w:p>
    <w:p w:rsidR="00DE4BFE" w:rsidRPr="000B62B5" w:rsidRDefault="00E34145" w:rsidP="000B62B5">
      <w:pPr>
        <w:pStyle w:val="JuPara"/>
      </w:pPr>
      <w:r>
        <w:t>(</w:t>
      </w:r>
      <w:bookmarkStart w:id="399" w:name="RREP_FRA_2015_access"/>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399"/>
      <w:r>
        <w:t>) Legislațiile tuturor statelor permiteau restricționarea dreptului de acces la propriile date, pe motiv că exista o amenințare la adresa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securității naționale sau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xml:space="preserve">) a obiectivelor serviciilor de informații, dar existau diferențe în ceea ce privește condițiile aplicării restricțiilor și severitatea acestora. Opt state (Irlanda, Letonia, Lituania, Polonia, Regatul Unit, Republica Cehă, Slovacia și Spania) nu prevedeau acest drept în ceea ce privește datele prelucrate de aceste servicii. În 20 de state, acest drept era prevăzut de lege, dar era însoțit de restricții privind situațiile în care acesta putea fi exercitat sau de alte condiționări. În majoritatea statelor (Austria, Belgia, Bulgaria, Cipru, Croația, Finlanda, Franța, Germania, Grecia, Italia, Luxemburg, Malta, </w:t>
      </w:r>
      <w:r>
        <w:lastRenderedPageBreak/>
        <w:t>Slovenia și Ungaria), legile privind protecția datelor (de sine stătătoare sau coroborate cu legi specifice) constituiau temeiul juridic pentru astfel de restricții  – în principal pe motiv că furnizarea de informații putea amenința obiectivele serviciilor de informații sau securitatea națională. În cinci state (Danemarca, Estonia, România, Suedia și Țările de Jos), anumite legi exceptau activitățile serviciilor de informații de la aplicarea legislației generale privind protecția datelor. Zece state au contrabalansat astfel de restricții prin împuternicirea organismelor de supraveghere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să verifice caracterul rezonabil al oricărei justificări invocate în legătură cu securitatea națională și/sau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să își exercite dreptul de acces în numele unei anumite persoane (paginile 61-65 din raport).</w:t>
      </w:r>
    </w:p>
    <w:p w:rsidR="00DE4BFE" w:rsidRPr="000B62B5" w:rsidRDefault="00E34145" w:rsidP="000B62B5">
      <w:pPr>
        <w:pStyle w:val="JuPara"/>
      </w:pPr>
      <w:r>
        <w:t>(</w:t>
      </w:r>
      <w:bookmarkStart w:id="400" w:name="RREP_FRA_2015_DPAs"/>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400"/>
      <w:r>
        <w:t>) În șapte state (Austria, Bulgaria, Croația, Finlanda, Slovenia, Suedia și Ungaria), autoritățile de supraveghere a protecției datelor dispuneau, în principiu, de aceleași competențe de supraveghere în privința serviciilor de informații pe care le aveau și asupra oricărui alt operator de date – dar acest lucru nu însemna în mod necesar că autoritățile respective dispuneau de gama completă de competențe pe care le exercitau în mod obișnuit. În 12 state (Danemarca, Estonia, Letonia, Luxemburg, Malta, Portugalia, România, Slovacia, Spania, Regatul Unit, Republica Cehă și Țările de Jos), acestea nu aveau competențe în ceea ce privește serviciile de informații, iar în nouă state (Belgia, Cipru, Franța, Germania, Grecia, Irlanda, Italia, Lituania și Polonia) acestea aveau competențe limitate (paginile 46-51 din raport).</w:t>
      </w:r>
    </w:p>
    <w:bookmarkStart w:id="401" w:name="RREP_FRA_201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206</w:t>
      </w:r>
      <w:r w:rsidRPr="000B62B5">
        <w:fldChar w:fldCharType="end"/>
      </w:r>
      <w:bookmarkEnd w:id="401"/>
      <w:r>
        <w:t>. În octombrie 2017, FRA a elaborat un raport de monitorizare intitulat „Supravegherea de către serviciile de informații – Garanții și căi de atac privind drepturile fundamentale în UE. Volumul II, Perspective dobândite din experiențe practice și observații directe, și actualizare juridică” (doi:10.2811/792946). Raportul respectiv a actualizat analiza FRA din 2015 privind legislația statelor membre ale UE și a completat-o cu informații practice obținute în urma unor interviuri cu experți. În acesta s-a constatat, în special, că, la momentul respectiv:</w:t>
      </w:r>
    </w:p>
    <w:p w:rsidR="00DE4BFE" w:rsidRPr="000B62B5" w:rsidRDefault="00E34145" w:rsidP="000B62B5">
      <w:pPr>
        <w:pStyle w:val="JuPara"/>
      </w:pPr>
      <w:r>
        <w:t>(</w:t>
      </w:r>
      <w:bookmarkStart w:id="402" w:name="RREP_FRA_2017_DPAs"/>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402"/>
      <w:r>
        <w:t>) În 11 state (Danemarca, Estonia, Letonia, Luxemburg, Malta, Portugalia, Republica Cehă, România, Slovacia, Spania și Țările de Jos), autoritățile de supraveghere a protecției datelor nu dispuneau de nicio competență în privința serviciilor de informații; în 10 state (Belgia, Cipru, Franța, Germania, Grecia, Irlanda, Italia, Lituania, Polonia și Regatul Unit), competențele acestora erau limitate; iar în șapte state (Austria, Bulgaria, Croația, Finlanda, Slovenia, Suedia și Ungaria), aceste autorități exercitau, în privința serviciilor de informații, aceleași competențe de supraveghere pe care le aveau în privința oricărui alt operator de date. Autoritățile care dispuneau de competențe limitate acționau în calitate de autorități de reglementare a prelucrării datelor în scopul colectării de informații. Acestea puteau avea un rol consultativ, iar rolul lor era limitat la supravegherea respectării de către serviciile de informații a obligațiilor legate de prelucrarea datelor. În special, autoritățile cu competențe limitate nu analizau conținutul comunicațiilor interceptate. Aceste autorități puteau, de exemplu, să verifice dacă serviciile de informații au respectat limitările relevante legate de stocare, dar accesul acestora la bazele de date care conțineau date colectate prin anumite tehnici de colectare a informațiilor putea fi limitat prin lege. În statele în care autoritățile de supraveghere a protecției datelor nu aveau competențe în privința serviciilor de informații, un organism specializat însărcinat cu supravegherea acestor servicii era responsabil de asigurarea aplicării corespunzătoare a garanțiilor privind protecția vieții private și a datelor. În statele în care atât autoritățile de supraveghere a protecției datelor, cât și organismele de supraveghere specializate aveau competențe de supraveghere asupra serviciilor de informații, în unele cazuri, relațiile dintre acestea erau reglementate prin lege, iar în alte cazuri acestea se întemeiau exclusiv pe anumite practici dezvoltate în timp (paginile 80-83 din raport).</w:t>
      </w:r>
    </w:p>
    <w:p w:rsidR="00DE4BFE" w:rsidRPr="000B62B5" w:rsidRDefault="00E34145" w:rsidP="000B62B5">
      <w:pPr>
        <w:pStyle w:val="JuPara"/>
      </w:pPr>
      <w:r>
        <w:t>(</w:t>
      </w:r>
      <w:bookmarkStart w:id="403" w:name="RREP_FRA_2017_DPAs_bis"/>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403"/>
      <w:r>
        <w:t xml:space="preserve">) În 14 state, autoritățile de supraveghere a protecției datelor puteau să examineze plângeri individuale. În zece dintre statele respective, aceste autorități puteau să adopte decizii cu caracter obligatoriu, și anume autoritățile din cele șapte state sus-menționate, care beneficiau </w:t>
      </w:r>
      <w:r>
        <w:lastRenderedPageBreak/>
        <w:t>de aceleași competențe ca și organismele de supraveghere specializate în ceea ce privește serviciile de informații, precum și autoritățile din Cipru, Grecia și Italia. În alte patru state (Belgia, Franța, Germania și Irlanda), autoritățile de supraveghere a protecției datelor puteau să examineze plângeri individuale sau puteau permite exercitarea indirectă de către o persoană a dreptului de acces, dar nu puteau să adopte decizii cu caracter obligatoriu. În patru state (Cipru, Franța, Germania și Grecia), accesul era condiționat de cerințe mai stricte. În trei state (Belgia, Franța și Italia), persoanele particulare puteau solicita acestei autorități să verifice dacă datele lor erau prelucrate de serviciile de informații, iar autoritatea urma să efectueze verificarea și să informeze persoanele în cauză că a avut loc verificarea, dar nu și dacă datele respective erau prelucrate sau despre ce fel de date era vorba, în cazul în care astfel de informații puteau să afecteze securitatea națională. În cazul constatării unor nereguli, autoritatea respectivă putea solicita serviciului de informații să le remedieze (paginile 116-118 din raport).</w:t>
      </w:r>
    </w:p>
    <w:bookmarkStart w:id="404" w:name="RREP_FRA_202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207</w:t>
      </w:r>
      <w:r w:rsidRPr="000B62B5">
        <w:fldChar w:fldCharType="end"/>
      </w:r>
      <w:bookmarkEnd w:id="404"/>
      <w:r>
        <w:t>. În mai 2023, FRA a elaborat o actualizare parțială a rapoartelor sale din 2015 și 2017, prezentând evoluțiile care au avut loc de atunci în legislația UE privind serviciile de informații (doi:10.2811/150305). În raportul actualizat s-a constatat, în special, că, până în 2023:</w:t>
      </w:r>
    </w:p>
    <w:p w:rsidR="00DE4BFE" w:rsidRPr="000B62B5" w:rsidRDefault="00E34145" w:rsidP="000B62B5">
      <w:pPr>
        <w:pStyle w:val="JuPara"/>
      </w:pPr>
      <w:r>
        <w:t>(</w:t>
      </w:r>
      <w:bookmarkStart w:id="405" w:name="RREP_FRA_2023_DPAs"/>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405"/>
      <w:r>
        <w:t>) Legislația internă adoptată în urma reformei UE din 2016 privind protecția datelor (care a constat în principal în adoptarea RGPD și a LED – a se vedea supra, pct. </w:t>
      </w:r>
      <w:r w:rsidRPr="000B62B5">
        <w:fldChar w:fldCharType="begin"/>
      </w:r>
      <w:r w:rsidRPr="000B62B5">
        <w:instrText xml:space="preserve"> REF  REUL_GDPR \h  \* MERGEFORMAT </w:instrText>
      </w:r>
      <w:r w:rsidRPr="000B62B5">
        <w:fldChar w:fldCharType="separate"/>
      </w:r>
      <w:r w:rsidR="000B62B5" w:rsidRPr="000B62B5">
        <w:t>132</w:t>
      </w:r>
      <w:r w:rsidRPr="000B62B5">
        <w:fldChar w:fldCharType="end"/>
      </w:r>
      <w:r>
        <w:t xml:space="preserve"> și </w:t>
      </w:r>
      <w:r w:rsidRPr="000B62B5">
        <w:fldChar w:fldCharType="begin"/>
      </w:r>
      <w:r w:rsidRPr="000B62B5">
        <w:instrText xml:space="preserve"> REF  REUL_LED \h  \* MERGEFORMAT </w:instrText>
      </w:r>
      <w:r w:rsidRPr="000B62B5">
        <w:fldChar w:fldCharType="separate"/>
      </w:r>
      <w:r w:rsidR="000B62B5" w:rsidRPr="000B62B5">
        <w:t>149</w:t>
      </w:r>
      <w:r w:rsidRPr="000B62B5">
        <w:fldChar w:fldCharType="end"/>
      </w:r>
      <w:r>
        <w:t>) a avut ca rezultat, în principal, aplicarea unor restricții mai ample privind supravegherea (sau chiar împiedicarea supravegherii), de către autoritățile de supraveghere a protecției datelor, a prelucrării datelor de către serviciile de informații. Competențele de supraveghere ale acestor autorități par să fi fost consolidate, față de cele din 2017, doar în câteva state. Situația în ceea ce privește competențele de remediere, în raport cu serviciile de informații, evoluase în șapte state. În Belgia, Bulgaria, Croația, Grecia și Lituania, ca urmare a reformelor naționale în materie de protecție a datelor, care au fost efectuate în urma reformei europene din 2016, aceste autorități nu mai erau însărcinate cu supravegherea aspectelor legate de securitatea națională și își pierduseră competența de a examina plângeri având ca obiect activitățile serviciilor de informații. În schimb, în Cipru și Suedia, punerea în aplicare la nivel național a reformei UE a conferit acestor autorități noi competențe care le-au consolidat capacitatea de a asigura căi de atac efective.</w:t>
      </w:r>
    </w:p>
    <w:p w:rsidR="00DE4BFE" w:rsidRPr="000B62B5" w:rsidRDefault="00E34145" w:rsidP="000B62B5">
      <w:pPr>
        <w:pStyle w:val="JuPara"/>
      </w:pPr>
      <w:r>
        <w:t>(</w:t>
      </w:r>
      <w:bookmarkStart w:id="406" w:name="RREP_FRA_2023_DPAs_bis"/>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406"/>
      <w:r>
        <w:t>) Începând din 2023, situația la nivelul UE a fost următoarea: în cinci state (Austria, Cipru, Finlanda, Slovenia și Suedia), autoritățile de supraveghere a protecției datelor dispuneau, în privința serviciilor de informații, de aceleași competențe pe care le aveau și asupra oricărui alt operator de date; în șapte state (Bulgaria, Franța, Germania, Irlanda, Italia, Luxemburg și Ungaria), acestea aveau competențe limitate; iar în cincisprezece state (Belgia, Croația, Danemarca, Estonia, Grecia, Letonia, Lituania, Malta, Polonia, Portugalia, Republica Cehă, România, Slovacia, Spania și Țările de Jos) nu aveau competențe în ceea ce privește serviciile de informații.</w:t>
      </w:r>
    </w:p>
    <w:p w:rsidR="00DE4BFE" w:rsidRPr="000B62B5" w:rsidRDefault="00E34145" w:rsidP="000B62B5">
      <w:pPr>
        <w:pStyle w:val="JuPara"/>
      </w:pPr>
      <w:r>
        <w:t>(</w:t>
      </w:r>
      <w:bookmarkStart w:id="407" w:name="RREP_FRA_2023_BGR"/>
      <w:r w:rsidRPr="000B62B5">
        <w:fldChar w:fldCharType="begin"/>
      </w:r>
      <w:r w:rsidRPr="000B62B5">
        <w:instrText xml:space="preserve"> SEQ level1 \*alphabetic \* MERGEFORMAT </w:instrText>
      </w:r>
      <w:r w:rsidRPr="000B62B5">
        <w:fldChar w:fldCharType="separate"/>
      </w:r>
      <w:r w:rsidR="000B62B5" w:rsidRPr="000B62B5">
        <w:t>c</w:t>
      </w:r>
      <w:r w:rsidRPr="000B62B5">
        <w:fldChar w:fldCharType="end"/>
      </w:r>
      <w:bookmarkEnd w:id="407"/>
      <w:r>
        <w:t>) În 2023, cadrul de supraveghere din Bulgaria urma modelul în care autoritatea de supraveghere a protecției datelor (Comisia pentru protecția datelor cu caracter personal – a se vedea supra, pct. </w:t>
      </w:r>
      <w:r w:rsidRPr="000B62B5">
        <w:fldChar w:fldCharType="begin"/>
      </w:r>
      <w:r w:rsidRPr="000B62B5">
        <w:instrText xml:space="preserve"> REF  RLF_PPDA_CPPD \h  \* MERGEFORMAT </w:instrText>
      </w:r>
      <w:r w:rsidRPr="000B62B5">
        <w:fldChar w:fldCharType="separate"/>
      </w:r>
      <w:r w:rsidR="000B62B5" w:rsidRPr="000B62B5">
        <w:t>97</w:t>
      </w:r>
      <w:r w:rsidRPr="000B62B5">
        <w:fldChar w:fldCharType="end"/>
      </w:r>
      <w:r>
        <w:t>-</w:t>
      </w:r>
      <w:r w:rsidRPr="000B62B5">
        <w:fldChar w:fldCharType="begin"/>
      </w:r>
      <w:r w:rsidRPr="000B62B5">
        <w:instrText xml:space="preserve"> REF  RLF_PPDA_CPPD_sexies_annual_reports \h  \* MERGEFORMAT </w:instrText>
      </w:r>
      <w:r w:rsidRPr="000B62B5">
        <w:fldChar w:fldCharType="separate"/>
      </w:r>
      <w:r w:rsidR="000B62B5" w:rsidRPr="000B62B5">
        <w:t>102</w:t>
      </w:r>
      <w:r w:rsidRPr="000B62B5">
        <w:fldChar w:fldCharType="end"/>
      </w:r>
      <w:r>
        <w:t>) avea competențe limitate în raport cu cele ale organismului de supraveghere specializat [Biroul Național – a se vedea supra, pct. </w:t>
      </w:r>
      <w:r w:rsidRPr="000B62B5">
        <w:fldChar w:fldCharType="begin"/>
      </w:r>
      <w:r w:rsidRPr="000B62B5">
        <w:instrText xml:space="preserve"> REF  RLF_SSMA \h  \* MERGEFORMAT </w:instrText>
      </w:r>
      <w:r w:rsidRPr="000B62B5">
        <w:fldChar w:fldCharType="separate"/>
      </w:r>
      <w:r w:rsidR="000B62B5" w:rsidRPr="000B62B5">
        <w:t>82</w:t>
      </w:r>
      <w:r w:rsidRPr="000B62B5">
        <w:fldChar w:fldCharType="end"/>
      </w:r>
      <w:r>
        <w:t xml:space="preserve"> (</w:t>
      </w:r>
      <w:r w:rsidRPr="000B62B5">
        <w:fldChar w:fldCharType="begin"/>
      </w:r>
      <w:r w:rsidRPr="000B62B5">
        <w:instrText xml:space="preserve"> REF  RLF_SSMA_oversight \h  \* MERGEFORMAT </w:instrText>
      </w:r>
      <w:r w:rsidRPr="000B62B5">
        <w:fldChar w:fldCharType="separate"/>
      </w:r>
      <w:r w:rsidR="000B62B5" w:rsidRPr="000B62B5">
        <w:t>d</w:t>
      </w:r>
      <w:r w:rsidRPr="000B62B5">
        <w:fldChar w:fldCharType="end"/>
      </w:r>
      <w:r>
        <w:t>)]. Acest organism de supraveghere specializat avea un rol central în această privință, comisia parlamentară specializată în materie de supraveghere având un rol complementar (a se vedea supra, pct. </w:t>
      </w:r>
      <w:r w:rsidRPr="000B62B5">
        <w:fldChar w:fldCharType="begin"/>
      </w:r>
      <w:r w:rsidRPr="000B62B5">
        <w:instrText xml:space="preserve"> REF  RLF_SANSA_s_132_1_etc \h  \* MERGEFORMAT </w:instrText>
      </w:r>
      <w:r w:rsidRPr="000B62B5">
        <w:fldChar w:fldCharType="separate"/>
      </w:r>
      <w:r w:rsidR="000B62B5" w:rsidRPr="000B62B5">
        <w:t>78</w:t>
      </w:r>
      <w:r w:rsidRPr="000B62B5">
        <w:fldChar w:fldCharType="end"/>
      </w:r>
      <w:r>
        <w:t>-</w:t>
      </w:r>
      <w:r w:rsidRPr="000B62B5">
        <w:fldChar w:fldCharType="begin"/>
      </w:r>
      <w:r w:rsidRPr="000B62B5">
        <w:instrText xml:space="preserve"> REF  RLF_SANSA_s_132_2_etc \h  \* MERGEFORMAT </w:instrText>
      </w:r>
      <w:r w:rsidRPr="000B62B5">
        <w:fldChar w:fldCharType="separate"/>
      </w:r>
      <w:r w:rsidR="000B62B5" w:rsidRPr="000B62B5">
        <w:t>79</w:t>
      </w:r>
      <w:r w:rsidRPr="000B62B5">
        <w:fldChar w:fldCharType="end"/>
      </w:r>
      <w:r>
        <w:t>).</w:t>
      </w:r>
    </w:p>
    <w:p w:rsidR="00DE4BFE" w:rsidRPr="000B62B5" w:rsidRDefault="00E34145" w:rsidP="000B62B5">
      <w:pPr>
        <w:pStyle w:val="JuHA"/>
      </w:pPr>
      <w:bookmarkStart w:id="408" w:name="_Toc236764790"/>
      <w:r>
        <w:t>Decizia relevantă a Comitetului de Miniștri al Consiliului Europei</w:t>
      </w:r>
      <w:bookmarkEnd w:id="408"/>
    </w:p>
    <w:bookmarkStart w:id="409" w:name="RDCMCoE_dec_Sep_202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208</w:t>
      </w:r>
      <w:r w:rsidRPr="000B62B5">
        <w:fldChar w:fldCharType="end"/>
      </w:r>
      <w:bookmarkEnd w:id="409"/>
      <w:r>
        <w:t xml:space="preserve">. Până în prezent, Comitetul de Miniștri al Consiliului Europei a examinat executarea hotărârii pronunțate de Curte în cauza </w:t>
      </w:r>
      <w:r>
        <w:rPr>
          <w:i/>
          <w:iCs/>
        </w:rPr>
        <w:t>Ekimdjiev</w:t>
      </w:r>
      <w:r>
        <w:rPr>
          <w:i/>
        </w:rPr>
        <w:t xml:space="preserve"> și alții</w:t>
      </w:r>
      <w:r>
        <w:t xml:space="preserve"> (citată anterior), în decembrie 2022 și în septembrie 2023. Comitetul de Miniștri supraveghează executarea hotărârii în cadrul </w:t>
      </w:r>
      <w:r>
        <w:lastRenderedPageBreak/>
        <w:t>procedurii sale consolidate, procedura în fața sa fiind încă pendinte. În decizia adoptată de acesta la 21 septembrie 2023, printre altele, Comitetul „a îndemnat autoritățile să elaboreze fără întârziere modificări legislative care să consolideze garanțiile referitoare la calificările membrilor [Biroului Național] și la independența acestora față de autoritățile pe care le supraveghează Biroul, înainte de viitoarele alegeri pentru un nou Birou și, în cazul în care o astfel de legislație nu poate fi elaborată înainte de alegeri, să numească un număr suficient de membri cu pregătire juridică și să evite, pe cât posibil, numirea unor membri care sunt agenți ai organelor de aplicare a legii sau ai serviciilor de securitate și care ar putea ca, după încheierea activității lor în cadrul Biroului, să își recâștige posturile deținute anterior, în urma unui aranjament de tip «ușă turnantă» (</w:t>
      </w:r>
      <w:r>
        <w:rPr>
          <w:i/>
          <w:iCs/>
        </w:rPr>
        <w:t>revolving door</w:t>
      </w:r>
      <w:r>
        <w:t>)” [a se vedea CM/Del/Dec(2023)1475/H46-10, punctul 4].</w:t>
      </w:r>
    </w:p>
    <w:p w:rsidR="00DE4BFE" w:rsidRPr="000B62B5" w:rsidRDefault="00E34145" w:rsidP="000B62B5">
      <w:pPr>
        <w:pStyle w:val="JuHHead"/>
        <w:numPr>
          <w:ilvl w:val="0"/>
          <w:numId w:val="22"/>
        </w:numPr>
        <w:tabs>
          <w:tab w:val="num" w:pos="340"/>
          <w:tab w:val="num" w:pos="1492"/>
        </w:tabs>
        <w:ind w:left="340" w:hanging="340"/>
      </w:pPr>
      <w:bookmarkStart w:id="410" w:name="_Toc176454183"/>
      <w:bookmarkStart w:id="411" w:name="_Toc236764791"/>
      <w:r>
        <w:t>ÎN DREPT</w:t>
      </w:r>
      <w:bookmarkEnd w:id="410"/>
      <w:bookmarkEnd w:id="411"/>
    </w:p>
    <w:p w:rsidR="00DE4BFE" w:rsidRPr="000B62B5" w:rsidRDefault="00E34145" w:rsidP="000B62B5">
      <w:pPr>
        <w:pStyle w:val="JuHIRoman"/>
        <w:numPr>
          <w:ilvl w:val="1"/>
          <w:numId w:val="23"/>
        </w:numPr>
        <w:tabs>
          <w:tab w:val="left" w:pos="567"/>
          <w:tab w:val="left" w:pos="680"/>
        </w:tabs>
        <w:ind w:left="357" w:hanging="357"/>
      </w:pPr>
      <w:bookmarkStart w:id="412" w:name="_Toc176454184"/>
      <w:bookmarkStart w:id="413" w:name="_Toc236764792"/>
      <w:r>
        <w:t>CU PRIVIRE LA PRETINSA ÎNCĂLCARE A ART. 8 DIN CONVENȚIE</w:t>
      </w:r>
      <w:bookmarkEnd w:id="412"/>
      <w:bookmarkEnd w:id="413"/>
    </w:p>
    <w:bookmarkStart w:id="414" w:name="L_C_A_8"/>
    <w:p w:rsidR="00DE4BFE" w:rsidRPr="000B62B5" w:rsidRDefault="00E34145" w:rsidP="000B62B5">
      <w:pPr>
        <w:pStyle w:val="JuPara"/>
        <w:keepNext/>
        <w:keepLines/>
      </w:pPr>
      <w:r w:rsidRPr="000B62B5">
        <w:fldChar w:fldCharType="begin"/>
      </w:r>
      <w:r w:rsidRPr="000B62B5">
        <w:instrText xml:space="preserve"> SEQ level0 \*arabic \* MERGEFORMAT </w:instrText>
      </w:r>
      <w:r w:rsidRPr="000B62B5">
        <w:fldChar w:fldCharType="separate"/>
      </w:r>
      <w:r w:rsidR="000B62B5" w:rsidRPr="000B62B5">
        <w:t>209</w:t>
      </w:r>
      <w:r w:rsidRPr="000B62B5">
        <w:fldChar w:fldCharType="end"/>
      </w:r>
      <w:bookmarkEnd w:id="414"/>
      <w:r>
        <w:t>. Reclamanții au susținut că era foarte probabil ca Agenția să fi prelucrat date care îi priveau. Aceștia s-au plâns de faptul că imposibilitatea de a verifica dacă acest lucru era adevărat și care era temeiul unei astfel de prelucrări au generat un sentiment de incertitudine – care, în opinia lor, a fost sporit de absența unor norme clare privind circumstanțele în care Agenția putea să prelucreze astfel de date, precum și de absența unor garanții efective în această privință. Reclamanții au invocat art. 8 din Convenție, care, în măsura în care este relevant, prevede următoarele:</w:t>
      </w:r>
    </w:p>
    <w:p w:rsidR="00DE4BFE" w:rsidRPr="000B62B5" w:rsidRDefault="00E34145" w:rsidP="000B62B5">
      <w:pPr>
        <w:pStyle w:val="JuQuot"/>
      </w:pPr>
      <w:r>
        <w:t>„1. Orice persoană are dreptul la respectarea vieții sale private [...], a domiciliului său și a corespondenței sale.</w:t>
      </w:r>
    </w:p>
    <w:p w:rsidR="00DE4BFE" w:rsidRPr="000B62B5" w:rsidRDefault="00E34145" w:rsidP="000B62B5">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DE4BFE" w:rsidRPr="000B62B5" w:rsidRDefault="00E34145" w:rsidP="000B62B5">
      <w:pPr>
        <w:pStyle w:val="JuHA"/>
      </w:pPr>
      <w:bookmarkStart w:id="415" w:name="_Toc176454185"/>
      <w:bookmarkStart w:id="416" w:name="_Toc236764793"/>
      <w:r>
        <w:t>Cu privire la admisibilitate</w:t>
      </w:r>
      <w:bookmarkEnd w:id="415"/>
      <w:bookmarkEnd w:id="416"/>
    </w:p>
    <w:p w:rsidR="00DE4BFE" w:rsidRPr="000B62B5" w:rsidRDefault="00E34145" w:rsidP="000B62B5">
      <w:pPr>
        <w:pStyle w:val="JuH1"/>
      </w:pPr>
      <w:bookmarkStart w:id="417" w:name="_Toc176454186"/>
      <w:bookmarkStart w:id="418" w:name="_Toc236764794"/>
      <w:r>
        <w:t xml:space="preserve">Compatibilitate </w:t>
      </w:r>
      <w:r>
        <w:rPr>
          <w:i w:val="0"/>
        </w:rPr>
        <w:t>ratione materiae</w:t>
      </w:r>
      <w:bookmarkEnd w:id="417"/>
      <w:bookmarkEnd w:id="418"/>
    </w:p>
    <w:p w:rsidR="00DE4BFE" w:rsidRPr="000B62B5" w:rsidRDefault="00E34145" w:rsidP="000B62B5">
      <w:pPr>
        <w:pStyle w:val="JuHa0"/>
      </w:pPr>
      <w:bookmarkStart w:id="419" w:name="_Toc176454187"/>
      <w:bookmarkStart w:id="420" w:name="_Toc236764795"/>
      <w:r>
        <w:t>Argumentele părților</w:t>
      </w:r>
      <w:bookmarkEnd w:id="419"/>
      <w:bookmarkEnd w:id="420"/>
    </w:p>
    <w:bookmarkStart w:id="421" w:name="L_C_A_8_adm_rm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210</w:t>
      </w:r>
      <w:r w:rsidRPr="000B62B5">
        <w:fldChar w:fldCharType="end"/>
      </w:r>
      <w:bookmarkEnd w:id="421"/>
      <w:r>
        <w:t xml:space="preserve">. Guvernul a susținut că informațiile pe care reclamanții le-au solicitat Agenției nu constituiau date cu caracter personal în sensul jurisprudenței Curții. Cererea lor a avut ca obiect mai degrabă natura și tipul metodelor de colectare de informații utilizate de Agenție decât anumite date care puteau fi considerate date cu caracter personal ale acestora și care, prin urmare, au adus atingere drepturilor lor prevăzute la art. 8 din Convenție. Prin urmare, capătul de cerere formulat de reclamanți era incompatibil </w:t>
      </w:r>
      <w:r>
        <w:rPr>
          <w:i/>
        </w:rPr>
        <w:t>ratione materiae</w:t>
      </w:r>
      <w:r>
        <w:t xml:space="preserve"> cu dispozițiile Convenției.</w:t>
      </w:r>
    </w:p>
    <w:bookmarkStart w:id="422" w:name="L_C_A_8_adm_rm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211</w:t>
      </w:r>
      <w:r w:rsidRPr="000B62B5">
        <w:fldChar w:fldCharType="end"/>
      </w:r>
      <w:bookmarkEnd w:id="422"/>
      <w:r>
        <w:t>. Reclamanții au răspuns că atât Agenția, cât și instanțele care au examinat refuzul acesteia de a divulga informațiile solicitate de ei știau foarte clar că informațiile în cauză – indiferent dacă acestea erau sau nu de interes pentru Agenție – constituiau date cu caracter personal. Cererea lor nu a avut ca obiect metodele de lucru ale Agenției sau identitatea informatorilor acesteia.</w:t>
      </w:r>
    </w:p>
    <w:p w:rsidR="00DE4BFE" w:rsidRPr="000B62B5" w:rsidRDefault="00E34145" w:rsidP="000B62B5">
      <w:pPr>
        <w:pStyle w:val="JuHa0"/>
      </w:pPr>
      <w:bookmarkStart w:id="423" w:name="_Toc176454188"/>
      <w:bookmarkStart w:id="424" w:name="_Toc236764796"/>
      <w:r>
        <w:t>Motivarea Curții</w:t>
      </w:r>
      <w:bookmarkEnd w:id="423"/>
      <w:bookmarkEnd w:id="424"/>
    </w:p>
    <w:bookmarkStart w:id="425" w:name="L_C_A_8_adm_rm_C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212</w:t>
      </w:r>
      <w:r w:rsidRPr="000B62B5">
        <w:fldChar w:fldCharType="end"/>
      </w:r>
      <w:bookmarkEnd w:id="425"/>
      <w:r>
        <w:t xml:space="preserve">. În cererea inițială adresată Agenției de către domnul Kanev, în iunie 2021, atât în nume propriu, cât și în numele Comitetului, acesta a solicitat informații cu privire la utilizarea de către </w:t>
      </w:r>
      <w:r>
        <w:lastRenderedPageBreak/>
        <w:t>Agenție a unor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„mijloace speciale de supraveghere” și a unor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metode sau tehnici de colectare a informațiilor sau a unor informatori (a se vedea supra, pct. </w:t>
      </w:r>
      <w:r w:rsidRPr="000B62B5">
        <w:fldChar w:fldCharType="begin"/>
      </w:r>
      <w:r w:rsidRPr="000B62B5">
        <w:instrText xml:space="preserve"> REF F_1_inf_req \h \* MERGEFORMAT </w:instrText>
      </w:r>
      <w:r w:rsidRPr="000B62B5">
        <w:fldChar w:fldCharType="separate"/>
      </w:r>
      <w:r w:rsidR="000B62B5" w:rsidRPr="000B62B5">
        <w:t>6</w:t>
      </w:r>
      <w:r w:rsidRPr="000B62B5">
        <w:fldChar w:fldCharType="end"/>
      </w:r>
      <w:r>
        <w:t>). În răspunsul său de la sfârșitul lunii iunie 2021, Agenția a afirmat că, în măsura în care cererea se referea la „mijloace speciale de supraveghere”, partea respectivă a cererii trebuia să fie adresată Biroului Național, în timp ce, în măsura în care cererea se referea la alte metode sau tehnici de colectare a informațiilor și la recrutarea de informatori, aceasta privea existența (sau inexistența) unor date în bazele de date ale Agenției, la care accesul era reglementat de articolul 36 alineatul (4) din Legea din 2007 (a se vedea supra, pct. </w:t>
      </w:r>
      <w:r w:rsidRPr="000B62B5">
        <w:fldChar w:fldCharType="begin"/>
      </w:r>
      <w:r w:rsidRPr="000B62B5">
        <w:instrText xml:space="preserve"> REF F_1_inf_req_initial_response \h \* MERGEFORMAT </w:instrText>
      </w:r>
      <w:r w:rsidRPr="000B62B5">
        <w:fldChar w:fldCharType="separate"/>
      </w:r>
      <w:r w:rsidR="000B62B5" w:rsidRPr="000B62B5">
        <w:t>7</w:t>
      </w:r>
      <w:r w:rsidRPr="000B62B5">
        <w:fldChar w:fldCharType="end"/>
      </w:r>
      <w:r>
        <w:t xml:space="preserve"> și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 În urma acestei indicații, domnul Kanev a reformulat cererea, întrebând dacă bazele de date ale Agenției conțineau informații cu privire la utilizarea unor astfel de metode sau tehnici în privința lui sau a Comitetului și dacă membri ai Comitetului sau membri ai personalului Comitetului au fost recrutați ca informatori (a se vedea supra, pct. </w:t>
      </w:r>
      <w:r w:rsidRPr="000B62B5">
        <w:fldChar w:fldCharType="begin"/>
      </w:r>
      <w:r w:rsidRPr="000B62B5">
        <w:instrText xml:space="preserve"> REF  F_1_inf_req_amended \h  \* MERGEFORMAT </w:instrText>
      </w:r>
      <w:r w:rsidRPr="000B62B5">
        <w:fldChar w:fldCharType="separate"/>
      </w:r>
      <w:r w:rsidR="000B62B5" w:rsidRPr="000B62B5">
        <w:t>8</w:t>
      </w:r>
      <w:r w:rsidRPr="000B62B5">
        <w:fldChar w:fldCharType="end"/>
      </w:r>
      <w:r>
        <w:t>). Având în vedere această succesiune de evenimente și contextul general în care a fost formulată cererea, Curtea consideră că reclamanții urmăreau, în esență, să obțină confirmarea aspectului dacă au fost sau nu supuși unor măsuri de colectare de informații de natură să pună în discuție interese protejate de art. 8 din Convenție, mai degrabă decât informații cu privire la detaliile tehnice ale metodelor utilizate.</w:t>
      </w:r>
    </w:p>
    <w:bookmarkStart w:id="426" w:name="L_C_A_8_adm_rm_C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213</w:t>
      </w:r>
      <w:r w:rsidRPr="000B62B5">
        <w:fldChar w:fldCharType="end"/>
      </w:r>
      <w:bookmarkEnd w:id="426"/>
      <w:r>
        <w:t xml:space="preserve">. Dacă Agenția a colectat informații cu privire la domnul Kanev, această activitate era, în principiu, de natură să genereze date referitoare la „viața privată” a acestuia, astfel cum a fost interpretată această noțiune în jurisprudența Curții [a se vedea </w:t>
      </w:r>
      <w:r>
        <w:rPr>
          <w:i/>
        </w:rPr>
        <w:t>Leander împotriva Suediei</w:t>
      </w:r>
      <w:r>
        <w:t xml:space="preserve">, 26 martie 1987, pct. 48, seria A nr. 116; </w:t>
      </w:r>
      <w:r>
        <w:rPr>
          <w:i/>
        </w:rPr>
        <w:t>Amann împotriva </w:t>
      </w:r>
      <w:r>
        <w:rPr>
          <w:i/>
          <w:iCs/>
        </w:rPr>
        <w:t>Elveției</w:t>
      </w:r>
      <w:r>
        <w:t xml:space="preserve"> (MC), nr. 27798/95, pct. 44, CEDO 2000-II; </w:t>
      </w:r>
      <w:r>
        <w:rPr>
          <w:i/>
        </w:rPr>
        <w:t>Rotaru împotriva României</w:t>
      </w:r>
      <w:r>
        <w:t xml:space="preserve"> (MC), nr. 28341/95, pct. 43, CEDO 2000-V;</w:t>
      </w:r>
      <w:bookmarkStart w:id="427" w:name="_cl38588THELAW"/>
      <w:r>
        <w:t xml:space="preserve"> </w:t>
      </w:r>
      <w:r>
        <w:rPr>
          <w:i/>
        </w:rPr>
        <w:t>Van Vondel împotriva Țărilor de Jos</w:t>
      </w:r>
      <w:bookmarkEnd w:id="427"/>
      <w:r>
        <w:t xml:space="preserve">, nr. 38258/03, pct. 48, 25 octombrie 2007; </w:t>
      </w:r>
      <w:r>
        <w:rPr>
          <w:i/>
        </w:rPr>
        <w:t>Haralambie împotriva României</w:t>
      </w:r>
      <w:r>
        <w:t xml:space="preserve">, nr. 21737/03, pct. 78-79, 27 octombrie 2009; </w:t>
      </w:r>
      <w:r>
        <w:rPr>
          <w:i/>
        </w:rPr>
        <w:t>Șimovolos împotriva Rusiei</w:t>
      </w:r>
      <w:r>
        <w:t xml:space="preserve">, nr. 30194/09, pct. 65, 21 iunie 2011; și </w:t>
      </w:r>
      <w:bookmarkStart w:id="428" w:name="_cl44058THELAW"/>
      <w:r>
        <w:rPr>
          <w:i/>
        </w:rPr>
        <w:t>Kaczmarek împotriva Poloniei</w:t>
      </w:r>
      <w:bookmarkEnd w:id="428"/>
      <w:r>
        <w:t xml:space="preserve">, nr. 16974/14, pct. 89, 22 februarie 2024]. Potrivit acestei jurisprudențe, datele în cauză pot fi chiar informații publice, date colectate într-un loc public sau date care privesc exclusiv activitățile profesionale sau publice ale unei persoane – întrucât „viața privată” poate include activități de natură profesională sau comercială (a se vedea </w:t>
      </w:r>
      <w:r>
        <w:rPr>
          <w:i/>
          <w:iCs/>
        </w:rPr>
        <w:t>Amann</w:t>
      </w:r>
      <w:r>
        <w:t xml:space="preserve">, citată anterior, pct. 65; </w:t>
      </w:r>
      <w:r>
        <w:rPr>
          <w:i/>
        </w:rPr>
        <w:t>Rotaru</w:t>
      </w:r>
      <w:r>
        <w:t xml:space="preserve">, pct. 43; </w:t>
      </w:r>
      <w:r>
        <w:rPr>
          <w:i/>
        </w:rPr>
        <w:t>Van Vondel</w:t>
      </w:r>
      <w:r>
        <w:t xml:space="preserve">, pct. 48; și </w:t>
      </w:r>
      <w:r>
        <w:rPr>
          <w:i/>
        </w:rPr>
        <w:t>Șimovolos</w:t>
      </w:r>
      <w:r>
        <w:t>, pct. 64-65, toate citate anterior; a se vedea și </w:t>
      </w:r>
      <w:r>
        <w:rPr>
          <w:i/>
        </w:rPr>
        <w:t>Segerstedt-Wiberg și alții împotriva Suediei</w:t>
      </w:r>
      <w:r>
        <w:t xml:space="preserve">, nr. 62332/00, pct. 72, CEDO 2006-VII). În special, datele în cauză pot fi date privind participarea la proteste publice (a se vedea </w:t>
      </w:r>
      <w:r>
        <w:rPr>
          <w:i/>
        </w:rPr>
        <w:t>Asociația „21 Decembrie 1989” și alții împotriva României</w:t>
      </w:r>
      <w:r>
        <w:t xml:space="preserve">, nr. 33810/07 și 18817/08, pct. 170, 24 mai 2011), sau chiar date referitoare la locul în care se află o persoană sau la deplasările unei persoane în spațiul public (a se vedea </w:t>
      </w:r>
      <w:r>
        <w:rPr>
          <w:i/>
        </w:rPr>
        <w:t>Uzun împotriva Germaniei</w:t>
      </w:r>
      <w:r>
        <w:t>, nr. 35623/05, pct. 51‑52, CEDO 2010).</w:t>
      </w:r>
    </w:p>
    <w:bookmarkStart w:id="429" w:name="L_C_A_8_adm_rm_C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214</w:t>
      </w:r>
      <w:r w:rsidRPr="000B62B5">
        <w:fldChar w:fldCharType="end"/>
      </w:r>
      <w:bookmarkEnd w:id="429"/>
      <w:r>
        <w:t xml:space="preserve">. Dacă Agenția a colectat informații cu privire la domnul Kanev și la Comitet (inclusiv prin recrutarea ca informatori a unor persoane din rândul membrilor Comitetului sau al personalului Comitetului), această activitate ar fi putut, de asemenea, să genereze date referitoare la „corespondența” domnului Kanev și a Comitetului, în sensul art. 8 § 1 din Convenție (a se vedea, </w:t>
      </w:r>
      <w:r>
        <w:rPr>
          <w:i/>
        </w:rPr>
        <w:t>mutatis mutandis</w:t>
      </w:r>
      <w:r>
        <w:t xml:space="preserve">, </w:t>
      </w:r>
      <w:r>
        <w:rPr>
          <w:i/>
          <w:iCs/>
        </w:rPr>
        <w:t>Asociația pentru Integrare Europeană și Drepturile Omului</w:t>
      </w:r>
      <w:r>
        <w:t xml:space="preserve"> </w:t>
      </w:r>
      <w:r>
        <w:rPr>
          <w:i/>
        </w:rPr>
        <w:t xml:space="preserve">și </w:t>
      </w:r>
      <w:r>
        <w:rPr>
          <w:i/>
          <w:iCs/>
        </w:rPr>
        <w:t>Ekimdjiev</w:t>
      </w:r>
      <w:r>
        <w:rPr>
          <w:i/>
        </w:rPr>
        <w:t xml:space="preserve"> împotriva Bulgariei</w:t>
      </w:r>
      <w:r>
        <w:t xml:space="preserve">, nr. 62540/00, pct. 60, 28 iunie 2007, și </w:t>
      </w:r>
      <w:r>
        <w:rPr>
          <w:i/>
          <w:iCs/>
        </w:rPr>
        <w:t>Ekimdjiev</w:t>
      </w:r>
      <w:r>
        <w:rPr>
          <w:i/>
        </w:rPr>
        <w:t xml:space="preserve"> și alții împotriva Bulgariei</w:t>
      </w:r>
      <w:r>
        <w:t xml:space="preserve">, nr. 70078/12, pct. 263, 11 ianuarie 2022). Astfel cum a fost interpretată în jurisprudența Curții, această noțiune cuprinde toate tipurile de comunicații private, indiferent de conținutul sau de forma acestora – comunicări orale, scrisori, convorbiri telefonice sau comunicări electronice (a se vedea </w:t>
      </w:r>
      <w:r>
        <w:rPr>
          <w:i/>
        </w:rPr>
        <w:t>Michaud împotriva Franței</w:t>
      </w:r>
      <w:r>
        <w:t xml:space="preserve">, nr. 12323/11, pct. 90, CEDO 2012; </w:t>
      </w:r>
      <w:r>
        <w:rPr>
          <w:i/>
        </w:rPr>
        <w:t>M.N. și alții împotriva San Marino</w:t>
      </w:r>
      <w:r>
        <w:t xml:space="preserve">, nr. 28005/12, pct. 52, 7 iulie 2015; și </w:t>
      </w:r>
      <w:r>
        <w:rPr>
          <w:i/>
        </w:rPr>
        <w:t>Klaus Müller împotriva Germaniei</w:t>
      </w:r>
      <w:r>
        <w:t xml:space="preserve">, nr. 24173/18, pct. 37, 19 noiembrie 2020). În special, aceasta include apelurile efectuate sau primite prin intermediul telefoanelor de serviciu (a se vedea </w:t>
      </w:r>
      <w:r>
        <w:rPr>
          <w:i/>
        </w:rPr>
        <w:t>Halford împotriva Regatului Unit</w:t>
      </w:r>
      <w:r>
        <w:t xml:space="preserve">, 25 iunie 1997, pct. 44, </w:t>
      </w:r>
      <w:r>
        <w:rPr>
          <w:i/>
        </w:rPr>
        <w:t>Culegere de hotărâri și decizii</w:t>
      </w:r>
      <w:r>
        <w:t xml:space="preserve"> 1997‑III</w:t>
      </w:r>
      <w:bookmarkStart w:id="430" w:name="_cl41736THELAW"/>
      <w:r>
        <w:t>;</w:t>
      </w:r>
      <w:bookmarkStart w:id="431" w:name="_cl29524THELAW"/>
      <w:r>
        <w:t xml:space="preserve"> </w:t>
      </w:r>
      <w:r>
        <w:rPr>
          <w:i/>
        </w:rPr>
        <w:t>Kopp împotriva Elveției</w:t>
      </w:r>
      <w:bookmarkEnd w:id="431"/>
      <w:r>
        <w:t xml:space="preserve">, 25 martie 1998, pct. 50, </w:t>
      </w:r>
      <w:r>
        <w:rPr>
          <w:i/>
          <w:iCs/>
        </w:rPr>
        <w:t>Culegere</w:t>
      </w:r>
      <w:r>
        <w:t xml:space="preserve"> 1998-II; </w:t>
      </w:r>
      <w:r>
        <w:rPr>
          <w:i/>
        </w:rPr>
        <w:t>Amann</w:t>
      </w:r>
      <w:r>
        <w:t xml:space="preserve">, citată </w:t>
      </w:r>
      <w:r>
        <w:lastRenderedPageBreak/>
        <w:t xml:space="preserve">anterior, pct. 44; </w:t>
      </w:r>
      <w:bookmarkStart w:id="432" w:name="_cl30478THELAW"/>
      <w:r>
        <w:rPr>
          <w:i/>
        </w:rPr>
        <w:t>Liblik și alții împotriva Estoniei</w:t>
      </w:r>
      <w:bookmarkEnd w:id="432"/>
      <w:r>
        <w:t xml:space="preserve">, nr. 173/15 și alte 5, pct. 110, 28 mai 2019; și </w:t>
      </w:r>
      <w:r>
        <w:rPr>
          <w:i/>
        </w:rPr>
        <w:t>Algirdas Butkevičius împotriva Lituaniei</w:t>
      </w:r>
      <w:bookmarkEnd w:id="430"/>
      <w:r>
        <w:t>, nr. 70489/17, pct. 63, 14 iunie 2022), precum și e-mailurile de serviciu (a se vedea</w:t>
      </w:r>
      <w:bookmarkStart w:id="433" w:name="_cl23793THELAW"/>
      <w:r>
        <w:t> </w:t>
      </w:r>
      <w:r>
        <w:rPr>
          <w:i/>
        </w:rPr>
        <w:t>Copland împotriva Regatului Unit</w:t>
      </w:r>
      <w:bookmarkEnd w:id="433"/>
      <w:r>
        <w:t xml:space="preserve">, nr. 62617/00, pct. 41, CEDO 2007-I). Noțiunea se extinde, de asemenea, la comunicările efectuate de persoane juridice [a se vedea </w:t>
      </w:r>
      <w:r>
        <w:rPr>
          <w:i/>
        </w:rPr>
        <w:t>Ships Waste Oil Collector B.V. și altele împotriva Țărilor de Jos</w:t>
      </w:r>
      <w:r>
        <w:t xml:space="preserve"> (MC), nr. 2799/16 și alte 3 cereri, pct. 146, 1 aprilie 2025].</w:t>
      </w:r>
    </w:p>
    <w:bookmarkStart w:id="434" w:name="L_C_A_8_adm_rm_C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215</w:t>
      </w:r>
      <w:r w:rsidRPr="000B62B5">
        <w:fldChar w:fldCharType="end"/>
      </w:r>
      <w:bookmarkEnd w:id="434"/>
      <w:r>
        <w:t xml:space="preserve">. În această privință, trebuie să se observe că, astfel cum o confirmă și faptele din numeroase cauze examinate de Curte, „corespondența” poate fi interceptată nu numai în momentul trimiterii sau primirii acesteia, ci și ulterior, prin accesarea suportului – fizic sau electronic – pe care aceasta a fost stocată (a se vedea </w:t>
      </w:r>
      <w:bookmarkStart w:id="435" w:name="_cl32866THELAW"/>
      <w:r>
        <w:rPr>
          <w:i/>
        </w:rPr>
        <w:t>Niemietz împotriva Germaniei</w:t>
      </w:r>
      <w:bookmarkEnd w:id="435"/>
      <w:r>
        <w:t>, 16 decembrie 1992, pct. 32, seria A nr. 251-B;</w:t>
      </w:r>
      <w:bookmarkStart w:id="436" w:name="_cl38924THELAW"/>
      <w:r>
        <w:t xml:space="preserve"> </w:t>
      </w:r>
      <w:bookmarkStart w:id="437" w:name="_cl39254THELAW"/>
      <w:bookmarkEnd w:id="436"/>
      <w:r>
        <w:rPr>
          <w:i/>
        </w:rPr>
        <w:t>Wieser și Bicos Beteiligungen GmbH împotriva Austriei</w:t>
      </w:r>
      <w:bookmarkEnd w:id="437"/>
      <w:r>
        <w:t xml:space="preserve">, nr. 74336/01, pct. 45, CEDO 2007-IV; </w:t>
      </w:r>
      <w:r>
        <w:rPr>
          <w:i/>
        </w:rPr>
        <w:t>Bernh Larsen Holding AS și altele împotriva Norvegiei</w:t>
      </w:r>
      <w:r>
        <w:t xml:space="preserve">, nr. 24117/08, pct. 106, 14 martie 2013; </w:t>
      </w:r>
      <w:r>
        <w:rPr>
          <w:i/>
        </w:rPr>
        <w:t>Vinci Construction și GTM Génie Civil et Services împotriva Franței</w:t>
      </w:r>
      <w:r>
        <w:t>, nr. 63629/10 și 60567/10, pct. 63, 2 aprilie 2015;</w:t>
      </w:r>
      <w:bookmarkStart w:id="438" w:name="_cl36237THELAW"/>
      <w:r>
        <w:t xml:space="preserve"> </w:t>
      </w:r>
      <w:r>
        <w:rPr>
          <w:i/>
        </w:rPr>
        <w:t>M.N. și alții împotriva San Marino</w:t>
      </w:r>
      <w:r>
        <w:t xml:space="preserve">, citată anterior, pct. 54-55; </w:t>
      </w:r>
      <w:r>
        <w:rPr>
          <w:i/>
        </w:rPr>
        <w:t>Sérvulo &amp; Associados – Sociedade de Advogados, RL, și alții împotriva Portugaliei</w:t>
      </w:r>
      <w:bookmarkEnd w:id="438"/>
      <w:r>
        <w:t>, nr. 27013/10, pct. 76, 3 septembrie 2015;</w:t>
      </w:r>
      <w:bookmarkStart w:id="439" w:name="_cl40231THELAW"/>
      <w:r>
        <w:t xml:space="preserve"> </w:t>
      </w:r>
      <w:r>
        <w:rPr>
          <w:i/>
        </w:rPr>
        <w:t>Saber împotriva Norvegiei</w:t>
      </w:r>
      <w:bookmarkEnd w:id="439"/>
      <w:r>
        <w:t xml:space="preserve">, nr. 459/18, pct. 48, 17 decembrie 2020; </w:t>
      </w:r>
      <w:bookmarkStart w:id="440" w:name="_cl41133THELAW"/>
      <w:r>
        <w:rPr>
          <w:i/>
        </w:rPr>
        <w:t>Särgava împotriva Estoniei</w:t>
      </w:r>
      <w:bookmarkEnd w:id="440"/>
      <w:r>
        <w:t xml:space="preserve">, nr. 698/19, pct. 85, 16 noiembrie 2021; și </w:t>
      </w:r>
      <w:r>
        <w:rPr>
          <w:i/>
        </w:rPr>
        <w:t>Naumenko și SIA Rix Shipping împotriva Letoniei</w:t>
      </w:r>
      <w:r>
        <w:t>, nr. 50805/14, pct. 45, 23 iunie 2022).</w:t>
      </w:r>
    </w:p>
    <w:bookmarkStart w:id="441" w:name="L_C_A_8_adm_rm_C_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216</w:t>
      </w:r>
      <w:r w:rsidRPr="000B62B5">
        <w:fldChar w:fldCharType="end"/>
      </w:r>
      <w:bookmarkEnd w:id="441"/>
      <w:r>
        <w:t>. Cu toate acestea, domnul Kanev și Comitetul nu știau dacă Agenția a colectat informații cu privire la ei, inclusiv informații provenite de la orice informatori pe care Agenția i-ar fi putut recruta din rândul membrilor sau al personalului Comitetului. Scopul solicitării adresate de domnul Kanev Agenției – în nume propriu și în numele Comitetului – a fost tocmai acela de a obține informații cu privire la acest aspect (a se vedea supra, pct. </w:t>
      </w:r>
      <w:r w:rsidRPr="000B62B5">
        <w:fldChar w:fldCharType="begin"/>
      </w:r>
      <w:r w:rsidRPr="000B62B5">
        <w:instrText xml:space="preserve"> REF  F_1_inf_req \h  \* MERGEFORMAT </w:instrText>
      </w:r>
      <w:r w:rsidRPr="000B62B5">
        <w:fldChar w:fldCharType="separate"/>
      </w:r>
      <w:r w:rsidR="000B62B5" w:rsidRPr="000B62B5">
        <w:t>6</w:t>
      </w:r>
      <w:r w:rsidRPr="000B62B5">
        <w:fldChar w:fldCharType="end"/>
      </w:r>
      <w:r>
        <w:t xml:space="preserve"> și </w:t>
      </w:r>
      <w:r w:rsidRPr="000B62B5">
        <w:fldChar w:fldCharType="begin"/>
      </w:r>
      <w:r w:rsidRPr="000B62B5">
        <w:instrText xml:space="preserve"> REF  F_1_inf_req_amended \h  \* MERGEFORMAT </w:instrText>
      </w:r>
      <w:r w:rsidRPr="000B62B5">
        <w:fldChar w:fldCharType="separate"/>
      </w:r>
      <w:r w:rsidR="000B62B5" w:rsidRPr="000B62B5">
        <w:t>8</w:t>
      </w:r>
      <w:r w:rsidRPr="000B62B5">
        <w:fldChar w:fldCharType="end"/>
      </w:r>
      <w:r>
        <w:t>).</w:t>
      </w:r>
    </w:p>
    <w:bookmarkStart w:id="442" w:name="L_C_A_8_adm_rm_C_6"/>
    <w:p w:rsidR="008C45F8"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217</w:t>
      </w:r>
      <w:r w:rsidRPr="000B62B5">
        <w:fldChar w:fldCharType="end"/>
      </w:r>
      <w:bookmarkEnd w:id="442"/>
      <w:r>
        <w:t>. Este adevărat că solicitarea nu a fost formulată ca o cerere tipică de acces la date cu caracter personal deținute de Agenție și nici nu a inclus o cerere expresă de acces la anumite înregistrări de date, de rectificare sau de ștergere a acestora. Scopul imediat al solicitării era mai restrâns, și anume acela de a obține confirmarea aspectului dacă reclamanții au fost sau nu supuși unor măsuri de colectare de informații sau dacă Agenția deținea sau nu informații în acest sens. Cu toate acestea, o astfel de cerere este strâns legată de protecția conferită de art. 8 din Convenție, întrucât confirmarea aspectului dacă o autoritate însărcinată cu protejarea securității naționale a colectat sau nu informații cu privire la o persoană poate constitui o etapă preliminară necesară pentru exercitarea oricăror alte drepturi sau căi de atac în ceea ce privește prelucrarea secretă de date care a adus atingere „vieții private” sau „corespondenței” persoanei respective.</w:t>
      </w:r>
    </w:p>
    <w:bookmarkStart w:id="443" w:name="L_C_A_8_adm_rm_C_7"/>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218</w:t>
      </w:r>
      <w:r w:rsidRPr="000B62B5">
        <w:fldChar w:fldCharType="end"/>
      </w:r>
      <w:bookmarkEnd w:id="443"/>
      <w:r>
        <w:t xml:space="preserve">. Ar fi incompatibil cu obiectul și scopul art. 8 din Convenție să se considere că, în cazul în care, în urma unei astfel de cereri, autoritatea relevantă oferă un răspuns evaziv sau în care nu își asumă o poziție clară, ori refuză să dezvăluie dacă a colectat sau nu informații cu privire la persoana în cauză ori dacă prelucrează sau nu date care o privesc, articolul respectiv nu poate fi aplicat decât în cazul în care se stabilește cu certitudine că astfel de date sunt într-adevăr prelucrate. O astfel de opinie ar contraveni, de asemenea, principiului consacrat potrivit căruia Convenția trebuie să fie interpretată astfel încât drepturile pe care le garantează să aibă un caracter practic și efectiv [a se vedea </w:t>
      </w:r>
      <w:r>
        <w:rPr>
          <w:i/>
        </w:rPr>
        <w:t>Artico împotriva Italiei</w:t>
      </w:r>
      <w:r>
        <w:t xml:space="preserve">, 13 mai 1980, pct. 33, seria A nr. 37; </w:t>
      </w:r>
      <w:r>
        <w:rPr>
          <w:i/>
        </w:rPr>
        <w:t>Soering împotriva Regatului Unit</w:t>
      </w:r>
      <w:r>
        <w:t xml:space="preserve">, 7 iulie 1989, pct. 87, seria A nr. 161; și </w:t>
      </w:r>
      <w:r>
        <w:rPr>
          <w:i/>
        </w:rPr>
        <w:t>Demir și Baykara împotriva Turciei</w:t>
      </w:r>
      <w:r>
        <w:t xml:space="preserve"> (MC), nr. 34503/97, pct. 66, CEDO 2008]. Aceasta ar permite, de asemenea, autorităților să se sustragă controlului în acest domeniu prin simplul refuz de a confirma sau infirma că au fost utilizate măsuri de supraveghere secretă care aduc atingere drepturilor protejate de art. 8 [a se vedea, </w:t>
      </w:r>
      <w:r>
        <w:rPr>
          <w:i/>
        </w:rPr>
        <w:t>mutatis mutandis</w:t>
      </w:r>
      <w:r>
        <w:t xml:space="preserve">, </w:t>
      </w:r>
      <w:bookmarkStart w:id="444" w:name="_cl29288THELAW"/>
      <w:r>
        <w:rPr>
          <w:i/>
        </w:rPr>
        <w:t>Klass și alții împotriva Germaniei</w:t>
      </w:r>
      <w:bookmarkEnd w:id="444"/>
      <w:r>
        <w:t xml:space="preserve">, 6 septembrie 1978, pct. 36 </w:t>
      </w:r>
      <w:r>
        <w:rPr>
          <w:i/>
        </w:rPr>
        <w:t>in fine</w:t>
      </w:r>
      <w:r>
        <w:t xml:space="preserve">, seria A nr. 28; </w:t>
      </w:r>
      <w:r>
        <w:rPr>
          <w:i/>
        </w:rPr>
        <w:t>Kennedy împotriva Regatului Unit</w:t>
      </w:r>
      <w:r>
        <w:t xml:space="preserve">, </w:t>
      </w:r>
      <w:r>
        <w:lastRenderedPageBreak/>
        <w:t>nr. 26839/05, pct. 124, 18 mai 2010; și</w:t>
      </w:r>
      <w:bookmarkStart w:id="445" w:name="_cl35159THELAW"/>
      <w:r>
        <w:t xml:space="preserve"> </w:t>
      </w:r>
      <w:r>
        <w:rPr>
          <w:i/>
        </w:rPr>
        <w:t>Roman Zaharov împotriva Rusiei</w:t>
      </w:r>
      <w:bookmarkEnd w:id="445"/>
      <w:r>
        <w:t xml:space="preserve"> (MC), nr. 47143/06, pct. 169, CEDO 2015]. Astfel, atât fosta Comisie, cât și Curtea au avut ocazia de a statua, în conformitate cu acest raționament, că refuzul de a informa o persoană cu privire la toate informațiile care o privesc și pe care le deține o autoritate publică constituie, în sine, o ingerință în exercitarea de către persoana respectivă a drepturilor prevăzute la art. 8 [a se vedea </w:t>
      </w:r>
      <w:r>
        <w:rPr>
          <w:i/>
        </w:rPr>
        <w:t>Schaller Volpi împotriva Elveției</w:t>
      </w:r>
      <w:r>
        <w:t xml:space="preserve">, nr. 25147/94, Decizia Comisiei din 28 februarie 1996, Decizii și rapoarte (DR) 84-B, p. 106, at pp. 109-110, și </w:t>
      </w:r>
      <w:r>
        <w:rPr>
          <w:i/>
        </w:rPr>
        <w:t>Segerstedt-Wiberg și alții</w:t>
      </w:r>
      <w:r>
        <w:t xml:space="preserve">, citată anterior, pct. 99; a se vedea, de asemenea, </w:t>
      </w:r>
      <w:r>
        <w:rPr>
          <w:i/>
        </w:rPr>
        <w:t>mutatis mutandis</w:t>
      </w:r>
      <w:r>
        <w:t xml:space="preserve">, </w:t>
      </w:r>
      <w:bookmarkStart w:id="446" w:name="_cl21016THELAW"/>
      <w:r>
        <w:rPr>
          <w:i/>
        </w:rPr>
        <w:t>Antunes Rocha împotriva Portugaliei</w:t>
      </w:r>
      <w:bookmarkEnd w:id="446"/>
      <w:r>
        <w:t>, nr. 64330/01, pct. 64-65, 31 mai 2005].</w:t>
      </w:r>
    </w:p>
    <w:bookmarkStart w:id="447" w:name="L_C_A_8_adm_rm_C_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219</w:t>
      </w:r>
      <w:r w:rsidRPr="000B62B5">
        <w:fldChar w:fldCharType="end"/>
      </w:r>
      <w:bookmarkEnd w:id="447"/>
      <w:r>
        <w:t xml:space="preserve">. Rezultă că refuzul Agenției de a dezvălui dacă a colectat sau nu informații cu privire la domnul Kanev sau cu privire la Comitet a atras aplicabilitatea art. 8 din Convenție. Prin urmare, trebuie să fie respinsă excepția Guvernului potrivit căreia capătul de cerere este incompatibil </w:t>
      </w:r>
      <w:r>
        <w:rPr>
          <w:i/>
        </w:rPr>
        <w:t>ratione materiae</w:t>
      </w:r>
      <w:r>
        <w:t xml:space="preserve"> cu dispozițiile Convenției.</w:t>
      </w:r>
    </w:p>
    <w:p w:rsidR="00DE4BFE" w:rsidRPr="000B62B5" w:rsidRDefault="00E34145" w:rsidP="000B62B5">
      <w:pPr>
        <w:pStyle w:val="JuH1"/>
      </w:pPr>
      <w:bookmarkStart w:id="448" w:name="_Toc176454189"/>
      <w:bookmarkStart w:id="449" w:name="_Toc236764797"/>
      <w:r>
        <w:t>Epuizarea căilor de atac interne</w:t>
      </w:r>
      <w:bookmarkEnd w:id="448"/>
      <w:bookmarkEnd w:id="449"/>
    </w:p>
    <w:p w:rsidR="00DE4BFE" w:rsidRPr="000B62B5" w:rsidRDefault="00E34145" w:rsidP="000B62B5">
      <w:pPr>
        <w:pStyle w:val="JuHa0"/>
      </w:pPr>
      <w:bookmarkStart w:id="450" w:name="_Toc176454190"/>
      <w:bookmarkStart w:id="451" w:name="_Toc236764798"/>
      <w:r>
        <w:t>Argumentele părților</w:t>
      </w:r>
      <w:bookmarkEnd w:id="450"/>
      <w:bookmarkEnd w:id="451"/>
    </w:p>
    <w:bookmarkStart w:id="452" w:name="L_C_A_8_adm_exh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220</w:t>
      </w:r>
      <w:r w:rsidRPr="000B62B5">
        <w:fldChar w:fldCharType="end"/>
      </w:r>
      <w:bookmarkEnd w:id="452"/>
      <w:r>
        <w:t>. Guvernul a susținut că reclamanții nu au epuizat căile de atac interne. Excepția ridicată de acesta s-a întemeiat pe trei argumente:</w:t>
      </w:r>
    </w:p>
    <w:p w:rsidR="00DE4BFE" w:rsidRPr="000B62B5" w:rsidRDefault="00E34145" w:rsidP="000B62B5">
      <w:pPr>
        <w:pStyle w:val="JuPara"/>
      </w:pPr>
      <w:r>
        <w:t>(</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Reclamanții nu au solicitat accesul la date cu caracter personal referitoare la ei, ci la informații privind operațiunile de colectare a informațiilor care îi priveau. Acest tip de informații nu constituiau date cu caracter personal, așa cum a explicat Curtea Administrativă Supremă atunci când a susținut caracterul întemeiat al refuzului Agenției de a divulga astfel de informații.</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Acțiunea în justiție introdusă de domnul Kanev împotriva normei care prevedea că informațiile de tipul celor pe care le solicitau reclamanții constituiau „secrete de serviciu” era încă în curs de desfășurare (a se vedea supra, pct. </w:t>
      </w:r>
      <w:r w:rsidRPr="000B62B5">
        <w:fldChar w:fldCharType="begin"/>
      </w:r>
      <w:r w:rsidRPr="000B62B5">
        <w:instrText xml:space="preserve"> REF  F_p14_claim \h  \* MERGEFORMAT </w:instrText>
      </w:r>
      <w:r w:rsidRPr="000B62B5">
        <w:fldChar w:fldCharType="separate"/>
      </w:r>
      <w:r w:rsidR="000B62B5" w:rsidRPr="000B62B5">
        <w:t>32</w:t>
      </w:r>
      <w:r w:rsidRPr="000B62B5">
        <w:fldChar w:fldCharType="end"/>
      </w:r>
      <w:r>
        <w:t>-</w:t>
      </w:r>
      <w:r w:rsidRPr="000B62B5">
        <w:fldChar w:fldCharType="begin"/>
      </w:r>
      <w:r w:rsidRPr="000B62B5">
        <w:instrText xml:space="preserve"> REF  F_p14_SCAC_Mar_2024_appeal \h  \* MERGEFORMAT </w:instrText>
      </w:r>
      <w:r w:rsidRPr="000B62B5">
        <w:fldChar w:fldCharType="separate"/>
      </w:r>
      <w:r w:rsidR="000B62B5" w:rsidRPr="000B62B5">
        <w:t>39</w:t>
      </w:r>
      <w:r w:rsidRPr="000B62B5">
        <w:fldChar w:fldCharType="end"/>
      </w:r>
      <w:r>
        <w:t>). În cazul în care acțiunea s-ar încheia cu anularea acestei norme, reclamanții ar putea solicita din nou aceste informații.</w:t>
      </w:r>
    </w:p>
    <w:p w:rsidR="00DE4BFE"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Cererea de control jurisdicțional cu privire la cel de al doilea refuz al Agenției de a divulga informațiile solicitate de reclamanți era, de asemenea, încă în curs de examinare (a se vedea supra, pct. </w:t>
      </w:r>
      <w:r w:rsidRPr="000B62B5">
        <w:fldChar w:fldCharType="begin"/>
      </w:r>
      <w:r w:rsidRPr="000B62B5">
        <w:instrText xml:space="preserve"> REF  F_2_inf_req_jud_rev_claim \h  \* MERGEFORMAT </w:instrText>
      </w:r>
      <w:r w:rsidRPr="000B62B5">
        <w:fldChar w:fldCharType="separate"/>
      </w:r>
      <w:r w:rsidR="000B62B5" w:rsidRPr="000B62B5">
        <w:t>42</w:t>
      </w:r>
      <w:r w:rsidRPr="000B62B5">
        <w:fldChar w:fldCharType="end"/>
      </w:r>
      <w:r>
        <w:t>-</w:t>
      </w:r>
      <w:r w:rsidRPr="000B62B5">
        <w:fldChar w:fldCharType="begin"/>
      </w:r>
      <w:r w:rsidRPr="000B62B5">
        <w:instrText xml:space="preserve"> REF  F_2_inf_req_jud_rev_claim_appeal \h  \* MERGEFORMAT </w:instrText>
      </w:r>
      <w:r w:rsidRPr="000B62B5">
        <w:fldChar w:fldCharType="separate"/>
      </w:r>
      <w:r w:rsidR="000B62B5" w:rsidRPr="000B62B5">
        <w:t>44</w:t>
      </w:r>
      <w:r w:rsidRPr="000B62B5">
        <w:fldChar w:fldCharType="end"/>
      </w:r>
      <w:r>
        <w:t>).</w:t>
      </w:r>
    </w:p>
    <w:bookmarkStart w:id="453" w:name="L_C_A_8_adm_exh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221</w:t>
      </w:r>
      <w:r w:rsidRPr="000B62B5">
        <w:fldChar w:fldCharType="end"/>
      </w:r>
      <w:bookmarkEnd w:id="453"/>
      <w:r>
        <w:t>. Reclamanții au răspuns că au epuizat deja căile de atac interne ca urmare a faptului că au făcut demersuri pentru soluționarea cererii de control jurisdicțional al primului refuz al Agenției de a divulga informațiile pe care le solicitaseră (a se vedea supra, pct. </w:t>
      </w:r>
      <w:r w:rsidRPr="000B62B5">
        <w:fldChar w:fldCharType="begin"/>
      </w:r>
      <w:r w:rsidRPr="000B62B5">
        <w:instrText xml:space="preserve"> REF  F_1_inf_req_jud_rev_claim \h  \* MERGEFORMAT </w:instrText>
      </w:r>
      <w:r w:rsidRPr="000B62B5">
        <w:fldChar w:fldCharType="separate"/>
      </w:r>
      <w:r w:rsidR="000B62B5" w:rsidRPr="000B62B5">
        <w:t>12</w:t>
      </w:r>
      <w:r w:rsidRPr="000B62B5">
        <w:fldChar w:fldCharType="end"/>
      </w:r>
      <w:r>
        <w:t>-</w:t>
      </w:r>
      <w:r w:rsidRPr="000B62B5">
        <w:fldChar w:fldCharType="begin"/>
      </w:r>
      <w:r w:rsidRPr="000B62B5">
        <w:instrText xml:space="preserve"> REF  F_1_inf_req_jud_rev_claim_SAC_jud_quinqs \h  \* MERGEFORMAT </w:instrText>
      </w:r>
      <w:r w:rsidRPr="000B62B5">
        <w:fldChar w:fldCharType="separate"/>
      </w:r>
      <w:r w:rsidR="000B62B5" w:rsidRPr="000B62B5">
        <w:t>27</w:t>
      </w:r>
      <w:r w:rsidRPr="000B62B5">
        <w:fldChar w:fldCharType="end"/>
      </w:r>
      <w:r>
        <w:t>). Procedura având ca obiect controlul jurisdicțional al celui de al doilea refuz al Agenției de a divulga aceste informații (a se vedea supra, pct. </w:t>
      </w:r>
      <w:r w:rsidRPr="000B62B5">
        <w:fldChar w:fldCharType="begin"/>
      </w:r>
      <w:r w:rsidRPr="000B62B5">
        <w:instrText xml:space="preserve"> REF  F_2_inf_req_jud_rev_claim \h  \* MERGEFORMAT </w:instrText>
      </w:r>
      <w:r w:rsidRPr="000B62B5">
        <w:fldChar w:fldCharType="separate"/>
      </w:r>
      <w:r w:rsidR="000B62B5" w:rsidRPr="000B62B5">
        <w:t>42</w:t>
      </w:r>
      <w:r w:rsidRPr="000B62B5">
        <w:fldChar w:fldCharType="end"/>
      </w:r>
      <w:r>
        <w:t>-</w:t>
      </w:r>
      <w:r w:rsidRPr="000B62B5">
        <w:fldChar w:fldCharType="begin"/>
      </w:r>
      <w:r w:rsidRPr="000B62B5">
        <w:instrText xml:space="preserve"> REF  F_2_inf_req_jud_rev_claim_appeal \h  \* MERGEFORMAT </w:instrText>
      </w:r>
      <w:r w:rsidRPr="000B62B5">
        <w:fldChar w:fldCharType="separate"/>
      </w:r>
      <w:r w:rsidR="000B62B5" w:rsidRPr="000B62B5">
        <w:t>44</w:t>
      </w:r>
      <w:r w:rsidRPr="000B62B5">
        <w:fldChar w:fldCharType="end"/>
      </w:r>
      <w:r>
        <w:t>) nu era relevantă pentru admisibilitatea cererii lor în fața Curții; scopul inițierii acestei proceduri a fost doar acela de a verifica încă o dată poziția Agenției. La rândul său, acțiunea în justiție a reclamanților, prin care a fost contestată regula Agenției potrivit căreia informațiile de tipul celor pe care le solicitau reclamanții constituiau „secrete de serviciu”, nu putea avea ca rezultat divulgarea acestor informații, pe care Agenția le-a calificat ulterior drept „secrete de stat”.</w:t>
      </w:r>
    </w:p>
    <w:p w:rsidR="00DE4BFE" w:rsidRPr="000B62B5" w:rsidRDefault="00E34145" w:rsidP="000B62B5">
      <w:pPr>
        <w:pStyle w:val="JuHa0"/>
      </w:pPr>
      <w:bookmarkStart w:id="454" w:name="_Toc176454191"/>
      <w:bookmarkStart w:id="455" w:name="_Toc236764799"/>
      <w:r>
        <w:t>Motivarea Curții</w:t>
      </w:r>
      <w:bookmarkEnd w:id="454"/>
      <w:bookmarkEnd w:id="455"/>
    </w:p>
    <w:p w:rsidR="00DE4BFE" w:rsidRPr="000B62B5" w:rsidRDefault="00E34145" w:rsidP="000B62B5">
      <w:pPr>
        <w:pStyle w:val="JuHi"/>
        <w:spacing w:line="240" w:lineRule="auto"/>
      </w:pPr>
      <w:bookmarkStart w:id="456" w:name="_Toc236764800"/>
      <w:r>
        <w:t>Primul argument pe care s-a întemeiat excepția privind neepuizarea căilor de atac</w:t>
      </w:r>
      <w:bookmarkEnd w:id="456"/>
    </w:p>
    <w:bookmarkStart w:id="457" w:name="L_C_A_8_adm_exh_C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222</w:t>
      </w:r>
      <w:r w:rsidRPr="000B62B5">
        <w:fldChar w:fldCharType="end"/>
      </w:r>
      <w:bookmarkEnd w:id="457"/>
      <w:r>
        <w:t xml:space="preserve">. Referitor la primul argument pe care s-a întemeiat excepția ridicată de Guvern cu privire la neepuizarea căilor de atac, Curtea constată că reclamanții au urmat calea procedurală indicată chiar de Agenție. După ce Agenția a declarat că partea din cererea domnului Kanev din iunie 2021 referitoare la metodele sau tehnicile de colectare a informațiilor și recrutarea de informatori avea legătură cu existența sau inexistența unor date în bazele de date ale Agenției </w:t>
      </w:r>
      <w:r>
        <w:lastRenderedPageBreak/>
        <w:t>și trebuia să fie examinată în temeiul articolului 36 alineatul (4) din Legea din 2007, domnul Kanev a reformulat cererea în consecință și apoi a solicitat controlul jurisdicțional al refuzului ulterior al Agenției în temeiul articolului 36 alineatul (9) din legea respectivă (a se vedea supra, pct. </w:t>
      </w:r>
      <w:r w:rsidRPr="000B62B5">
        <w:fldChar w:fldCharType="begin"/>
      </w:r>
      <w:r w:rsidRPr="000B62B5">
        <w:instrText xml:space="preserve"> REF F_1_inf_req_initial_response \h \* MERGEFORMAT </w:instrText>
      </w:r>
      <w:r w:rsidRPr="000B62B5">
        <w:fldChar w:fldCharType="separate"/>
      </w:r>
      <w:r w:rsidR="000B62B5" w:rsidRPr="000B62B5">
        <w:t>7</w:t>
      </w:r>
      <w:r w:rsidRPr="000B62B5">
        <w:fldChar w:fldCharType="end"/>
      </w:r>
      <w:r>
        <w:t>-</w:t>
      </w:r>
      <w:r w:rsidRPr="000B62B5">
        <w:fldChar w:fldCharType="begin"/>
      </w:r>
      <w:r w:rsidRPr="000B62B5">
        <w:instrText xml:space="preserve"> REF F_1_inf_req_jud_rev_claim \h \* MERGEFORMAT </w:instrText>
      </w:r>
      <w:r w:rsidRPr="000B62B5">
        <w:fldChar w:fldCharType="separate"/>
      </w:r>
      <w:r w:rsidR="000B62B5" w:rsidRPr="000B62B5">
        <w:t>12</w:t>
      </w:r>
      <w:r w:rsidRPr="000B62B5">
        <w:fldChar w:fldCharType="end"/>
      </w:r>
      <w:r>
        <w:t xml:space="preserve"> și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w:t>
      </w:r>
      <w:r w:rsidRPr="000B62B5">
        <w:fldChar w:fldCharType="begin"/>
      </w:r>
      <w:r w:rsidRPr="000B62B5">
        <w:instrText xml:space="preserve"> REF RLF_SANSA_s_36_9 \h \* MERGEFORMAT </w:instrText>
      </w:r>
      <w:r w:rsidRPr="000B62B5">
        <w:fldChar w:fldCharType="separate"/>
      </w:r>
      <w:r w:rsidR="000B62B5" w:rsidRPr="000B62B5">
        <w:t>72</w:t>
      </w:r>
      <w:r w:rsidRPr="000B62B5">
        <w:fldChar w:fldCharType="end"/>
      </w:r>
      <w:r>
        <w:t>). Chiar dacă această cerere nu a fost formulată ca o cerere tipică de acces la datele cu caracter personal, nu se poate afirma că reclamanții nu au utilizat în mod corespunzător calea de atac care, potrivit Agenției însăși, era aplicabilă în circumstanțele cauzei.</w:t>
      </w:r>
    </w:p>
    <w:p w:rsidR="00DE4BFE" w:rsidRPr="000B62B5" w:rsidRDefault="00E34145" w:rsidP="000B62B5">
      <w:pPr>
        <w:pStyle w:val="JuHi"/>
        <w:spacing w:line="240" w:lineRule="auto"/>
      </w:pPr>
      <w:bookmarkStart w:id="458" w:name="_Toc236764801"/>
      <w:r>
        <w:t>Al doilea argument pe care s-a întemeiat excepția privind neepuizarea căilor de atac</w:t>
      </w:r>
      <w:bookmarkEnd w:id="458"/>
    </w:p>
    <w:bookmarkStart w:id="459" w:name="L_C_A_8_adm_exh_C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223</w:t>
      </w:r>
      <w:r w:rsidRPr="000B62B5">
        <w:fldChar w:fldCharType="end"/>
      </w:r>
      <w:bookmarkEnd w:id="459"/>
      <w:r>
        <w:t>. Nici cel de al doilea argument pe care s-a întemeiat excepția nu rezistă unei examinări mai atente. Domnul Kanev a solicitat Curții Administrative Supreme să suspende procedura în cadrul căreia el a cerut controlul jurisdicțional al refuzului Agenției de a divulga informații până la soluționarea acțiunii în justiție pe care a introdus-o separat împotriva regulii potrivit căreia informațiile de tipul celor pe care le solicita constituiau „secrete de serviciu”. Cu toate acestea, completul de judecată al instanței care a examinat prima cauză a refuzat să suspende procedura, considerând că soluționarea acțiunii în justiție introduse împotriva regulii respective nu putea să afecteze legalitatea refuzului Agenției de a divulga informațiile solicitate de domnul Kanev întrucât Agenția însăși nu invocase această normă atunci când i-a respins cererea (a se vedea supra, pct. </w:t>
      </w:r>
      <w:r w:rsidRPr="000B62B5">
        <w:fldChar w:fldCharType="begin"/>
      </w:r>
      <w:r w:rsidRPr="000B62B5">
        <w:instrText xml:space="preserve"> REF  F_1_inf_req_jud_rev_claim_appeal_stay_rq \h  \* MERGEFORMAT </w:instrText>
      </w:r>
      <w:r w:rsidRPr="000B62B5">
        <w:fldChar w:fldCharType="separate"/>
      </w:r>
      <w:r w:rsidR="000B62B5" w:rsidRPr="000B62B5">
        <w:t>22</w:t>
      </w:r>
      <w:r w:rsidRPr="000B62B5">
        <w:fldChar w:fldCharType="end"/>
      </w:r>
      <w:r>
        <w:t xml:space="preserve"> și </w:t>
      </w:r>
      <w:r w:rsidRPr="000B62B5">
        <w:fldChar w:fldCharType="begin"/>
      </w:r>
      <w:r w:rsidRPr="000B62B5">
        <w:instrText xml:space="preserve"> REF  F_1_inf_req_jud_rev_claim_SAC_jud_quinqs \h  \* MERGEFORMAT </w:instrText>
      </w:r>
      <w:r w:rsidRPr="000B62B5">
        <w:fldChar w:fldCharType="separate"/>
      </w:r>
      <w:r w:rsidR="000B62B5" w:rsidRPr="000B62B5">
        <w:t>27</w:t>
      </w:r>
      <w:r w:rsidRPr="000B62B5">
        <w:fldChar w:fldCharType="end"/>
      </w:r>
      <w:r>
        <w:t>). Prin urmare, nu este clar în ce fel un rezultat favorabil al acțiunii în justiție introduse împotriva normei în cauză (a se vedea supra, pct. </w:t>
      </w:r>
      <w:r w:rsidRPr="000B62B5">
        <w:fldChar w:fldCharType="begin"/>
      </w:r>
      <w:r w:rsidRPr="000B62B5">
        <w:instrText xml:space="preserve"> REF  F_p14_claim \h  \* MERGEFORMAT </w:instrText>
      </w:r>
      <w:r w:rsidRPr="000B62B5">
        <w:fldChar w:fldCharType="separate"/>
      </w:r>
      <w:r w:rsidR="000B62B5" w:rsidRPr="000B62B5">
        <w:t>32</w:t>
      </w:r>
      <w:r w:rsidRPr="000B62B5">
        <w:fldChar w:fldCharType="end"/>
      </w:r>
      <w:r>
        <w:t>) le-ar fi putut permite reclamanților să obțină anularea deciziei Agenției în cazul lor specific. În orice caz, această procedură s-a încheiat cu respingerea definitivă a acțiunii (a se vedea supra, pct. </w:t>
      </w:r>
      <w:r w:rsidRPr="000B62B5">
        <w:fldChar w:fldCharType="begin"/>
      </w:r>
      <w:r w:rsidRPr="000B62B5">
        <w:instrText xml:space="preserve"> REF  F_p14_SCAC_Mar_2024_appeal \h  \* MERGEFORMAT </w:instrText>
      </w:r>
      <w:r w:rsidRPr="000B62B5">
        <w:fldChar w:fldCharType="separate"/>
      </w:r>
      <w:r w:rsidR="000B62B5" w:rsidRPr="000B62B5">
        <w:t>39</w:t>
      </w:r>
      <w:r w:rsidRPr="000B62B5">
        <w:fldChar w:fldCharType="end"/>
      </w:r>
      <w:r>
        <w:t>). Prin urmare, acest al doilea argument pe care s-a întemeiat excepția și-a pierdut relevanța [a se vedea,</w:t>
      </w:r>
      <w:r>
        <w:rPr>
          <w:i/>
        </w:rPr>
        <w:t xml:space="preserve"> mutatis mutandis, Molla Sali împotriva Greciei </w:t>
      </w:r>
      <w:r>
        <w:t xml:space="preserve">(MC), nr. 20452/14, pct. 90, 19 decembrie 2018; </w:t>
      </w:r>
      <w:r>
        <w:rPr>
          <w:i/>
        </w:rPr>
        <w:t xml:space="preserve">Zoltán Varga împotriva Slovaciei, </w:t>
      </w:r>
      <w:r>
        <w:t>nr. 58361/12 și alte 2 cereri, pct. 112, 20 iulie 2021; și</w:t>
      </w:r>
      <w:bookmarkStart w:id="460" w:name="_cl44588THELAW"/>
      <w:r>
        <w:rPr>
          <w:i/>
        </w:rPr>
        <w:t xml:space="preserve"> Panayotopoulos și alții împotriva Greciei</w:t>
      </w:r>
      <w:bookmarkEnd w:id="460"/>
      <w:r>
        <w:rPr>
          <w:i/>
        </w:rPr>
        <w:t xml:space="preserve">, </w:t>
      </w:r>
      <w:r>
        <w:t>nr. 44758/20, pct. 90, 21 ianuarie 2025].</w:t>
      </w:r>
    </w:p>
    <w:p w:rsidR="00DE4BFE" w:rsidRPr="000B62B5" w:rsidRDefault="00E34145" w:rsidP="000B62B5">
      <w:pPr>
        <w:pStyle w:val="JuHi"/>
        <w:spacing w:line="240" w:lineRule="auto"/>
      </w:pPr>
      <w:bookmarkStart w:id="461" w:name="_Toc236764802"/>
      <w:r>
        <w:t>Al treilea argument pe care s-a întemeiat excepția privind neepuizarea căilor de atac</w:t>
      </w:r>
      <w:bookmarkEnd w:id="461"/>
    </w:p>
    <w:bookmarkStart w:id="462" w:name="L_C_A_8_adm_exh_C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224</w:t>
      </w:r>
      <w:r w:rsidRPr="000B62B5">
        <w:fldChar w:fldCharType="end"/>
      </w:r>
      <w:bookmarkEnd w:id="462"/>
      <w:r>
        <w:t>. Nici cel de al treilea argument pe care s-a întemeiat excepția nu poate fi reținut. Astfel cum reiese din formularea capătului de cerere întemeiat de reclamanți pe art. 8 din Convenție (invocat în septembrie 2022, odată cu introducerea prezentei cereri), acesta privește refuzul Agenției din iulie 2021 de a divulga informațiile solicitate (a se vedea preambulul prezentei hotărâri și supra, pct. </w:t>
      </w:r>
      <w:r w:rsidRPr="000B62B5">
        <w:fldChar w:fldCharType="begin"/>
      </w:r>
      <w:r w:rsidRPr="000B62B5">
        <w:instrText xml:space="preserve"> REF  F_1_inf_req_amended_response \h  \* MERGEFORMAT </w:instrText>
      </w:r>
      <w:r w:rsidRPr="000B62B5">
        <w:fldChar w:fldCharType="separate"/>
      </w:r>
      <w:r w:rsidR="000B62B5" w:rsidRPr="000B62B5">
        <w:t>9</w:t>
      </w:r>
      <w:r w:rsidRPr="000B62B5">
        <w:fldChar w:fldCharType="end"/>
      </w:r>
      <w:r>
        <w:t xml:space="preserve"> și </w:t>
      </w:r>
      <w:r w:rsidRPr="000B62B5">
        <w:fldChar w:fldCharType="begin"/>
      </w:r>
      <w:r w:rsidRPr="000B62B5">
        <w:instrText xml:space="preserve"> REF  L_C_A_8 \h  \* MERGEFORMAT </w:instrText>
      </w:r>
      <w:r w:rsidRPr="000B62B5">
        <w:fldChar w:fldCharType="separate"/>
      </w:r>
      <w:r w:rsidR="000B62B5" w:rsidRPr="000B62B5">
        <w:t>209</w:t>
      </w:r>
      <w:r w:rsidRPr="000B62B5">
        <w:fldChar w:fldCharType="end"/>
      </w:r>
      <w:r>
        <w:t>). Noua cerere adresată Agenției de către domnul Kanev – formulată și respinsă în iunie 2023 (a se vedea supra, pct. </w:t>
      </w:r>
      <w:r w:rsidRPr="000B62B5">
        <w:fldChar w:fldCharType="begin"/>
      </w:r>
      <w:r w:rsidRPr="000B62B5">
        <w:instrText xml:space="preserve"> REF  F_2_inf_req \h  \* MERGEFORMAT </w:instrText>
      </w:r>
      <w:r w:rsidRPr="000B62B5">
        <w:fldChar w:fldCharType="separate"/>
      </w:r>
      <w:r w:rsidR="000B62B5" w:rsidRPr="000B62B5">
        <w:t>40</w:t>
      </w:r>
      <w:r w:rsidRPr="000B62B5">
        <w:fldChar w:fldCharType="end"/>
      </w:r>
      <w:r>
        <w:t>-</w:t>
      </w:r>
      <w:r w:rsidRPr="000B62B5">
        <w:fldChar w:fldCharType="begin"/>
      </w:r>
      <w:r w:rsidRPr="000B62B5">
        <w:instrText xml:space="preserve"> REF  F_2_inf_req_response \h  \* MERGEFORMAT </w:instrText>
      </w:r>
      <w:r w:rsidRPr="000B62B5">
        <w:fldChar w:fldCharType="separate"/>
      </w:r>
      <w:r w:rsidR="000B62B5" w:rsidRPr="000B62B5">
        <w:t>41</w:t>
      </w:r>
      <w:r w:rsidRPr="000B62B5">
        <w:fldChar w:fldCharType="end"/>
      </w:r>
      <w:r>
        <w:t>), la aproximativ nouă luni după introducerea prezentei cereri de către reclamanți – și procedura în cadrul căreia domnul Kanev a solicitat controlul jurisdicțional al acestui refuz (a se vedea supra, pct. </w:t>
      </w:r>
      <w:r w:rsidRPr="000B62B5">
        <w:fldChar w:fldCharType="begin"/>
      </w:r>
      <w:r w:rsidRPr="000B62B5">
        <w:instrText xml:space="preserve"> REF  F_2_inf_req_jud_rev_claim \h  \* MERGEFORMAT </w:instrText>
      </w:r>
      <w:r w:rsidRPr="000B62B5">
        <w:fldChar w:fldCharType="separate"/>
      </w:r>
      <w:r w:rsidR="000B62B5" w:rsidRPr="000B62B5">
        <w:t>42</w:t>
      </w:r>
      <w:r w:rsidRPr="000B62B5">
        <w:fldChar w:fldCharType="end"/>
      </w:r>
      <w:r>
        <w:t>-</w:t>
      </w:r>
      <w:r w:rsidRPr="000B62B5">
        <w:fldChar w:fldCharType="begin"/>
      </w:r>
      <w:r w:rsidRPr="000B62B5">
        <w:instrText xml:space="preserve"> REF  F_2_inf_req_jud_rev_claim_appeal \h  \* MERGEFORMAT </w:instrText>
      </w:r>
      <w:r w:rsidRPr="000B62B5">
        <w:fldChar w:fldCharType="separate"/>
      </w:r>
      <w:r w:rsidR="000B62B5" w:rsidRPr="000B62B5">
        <w:t>44</w:t>
      </w:r>
      <w:r w:rsidRPr="000B62B5">
        <w:fldChar w:fldCharType="end"/>
      </w:r>
      <w:r>
        <w:t>) sunt, așadar, lipsite de relevanță în ceea ce privește aspectul epuizării căilor de atac interne în legătură cu respectivul capăt de cerere. Singurele căi de atac a căror epuizare se impune în temeiul art. 35 § 1 din Convenție sunt cele care au legătură cu încălcările invocate [a se vedea, printre multe alte hotărâri,</w:t>
      </w:r>
      <w:bookmarkStart w:id="463" w:name="_cl38580THELAW"/>
      <w:r>
        <w:t xml:space="preserve"> </w:t>
      </w:r>
      <w:r>
        <w:rPr>
          <w:i/>
        </w:rPr>
        <w:t>Van Oosterwijck împotriva Belgiei</w:t>
      </w:r>
      <w:bookmarkEnd w:id="463"/>
      <w:r>
        <w:t xml:space="preserve">, 6 noiembrie 1980, pct. 27, seria A nr. 40; </w:t>
      </w:r>
      <w:bookmarkStart w:id="464" w:name="_cl24198THELAW"/>
      <w:r>
        <w:rPr>
          <w:i/>
        </w:rPr>
        <w:t>De Jong, Baljet și Van den Brink împotriva Țărilor de Jos</w:t>
      </w:r>
      <w:bookmarkEnd w:id="464"/>
      <w:r>
        <w:t>, 22 mai 1984, pct. 39, seria A nr. 77; și</w:t>
      </w:r>
      <w:bookmarkStart w:id="465" w:name="_cl33589THELAW"/>
      <w:r>
        <w:t xml:space="preserve"> </w:t>
      </w:r>
      <w:r>
        <w:rPr>
          <w:i/>
        </w:rPr>
        <w:t>Paksas împotriva Lituaniei</w:t>
      </w:r>
      <w:bookmarkEnd w:id="465"/>
      <w:r>
        <w:t xml:space="preserve"> (MC), nr. 34932/04, pct. 75, CEDO 2011].</w:t>
      </w:r>
    </w:p>
    <w:bookmarkStart w:id="466" w:name="L_C_A_8_adm_exh_C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225</w:t>
      </w:r>
      <w:r w:rsidRPr="000B62B5">
        <w:fldChar w:fldCharType="end"/>
      </w:r>
      <w:bookmarkEnd w:id="466"/>
      <w:r>
        <w:t xml:space="preserve">. Este adevărat că păstrarea continuă a datelor constituie o situație perpetuă (a se vedea </w:t>
      </w:r>
      <w:r>
        <w:rPr>
          <w:i/>
        </w:rPr>
        <w:t>Hilton împotriva Regatului Unit</w:t>
      </w:r>
      <w:r>
        <w:t xml:space="preserve">, nr. 12015/86, decizia Comisiei din 6 iulie 1988, DR 57, p. 108, at p. 114; </w:t>
      </w:r>
      <w:r>
        <w:rPr>
          <w:i/>
        </w:rPr>
        <w:t xml:space="preserve">M.M. împotriva Regatului Unit, </w:t>
      </w:r>
      <w:r>
        <w:t xml:space="preserve">nr. 24029/07, pct. 160 și 172, 13 noiembrie 2012; și </w:t>
      </w:r>
      <w:r>
        <w:rPr>
          <w:i/>
        </w:rPr>
        <w:t>Borislav Toncev împotriva Bulgariei</w:t>
      </w:r>
      <w:r>
        <w:t xml:space="preserve">, nr. 40519/15, pct. 88, 16 aprilie 2024). Cu toate acestea, a considera că este necesar ca reclamanții să întreprindă demersuri suplimentare pentru a obține informațiile pe care le-au solicitat inițial Agenției în iunie 2021 și apoi să conteste, la nivel național, refuzurile ulterioare ale Agenției de a divulga astfel de informații, ar putea avea </w:t>
      </w:r>
      <w:r>
        <w:lastRenderedPageBreak/>
        <w:t xml:space="preserve">ca efect privarea lor definitivă de posibilitatea de a sesiza Curtea cu privire la acest aspect – întrucât astfel de noi cereri de informații pot fi, teoretic, formulate succesiv, fără nicio limită [a se vedea, </w:t>
      </w:r>
      <w:r>
        <w:rPr>
          <w:i/>
        </w:rPr>
        <w:t>mutatis mutandis</w:t>
      </w:r>
      <w:r>
        <w:t xml:space="preserve">, </w:t>
      </w:r>
      <w:r>
        <w:rPr>
          <w:i/>
        </w:rPr>
        <w:t>Guzzardi împotriva Italiei</w:t>
      </w:r>
      <w:r>
        <w:t xml:space="preserve">, 6 noiembrie 1980, pct. 80, seria A nr. 39; </w:t>
      </w:r>
      <w:r>
        <w:rPr>
          <w:i/>
        </w:rPr>
        <w:t>Nenov împotriva Bulgariei</w:t>
      </w:r>
      <w:r>
        <w:t xml:space="preserve">, nr. 33738/02, pct. 38, 16 iulie 2009; </w:t>
      </w:r>
      <w:r>
        <w:rPr>
          <w:i/>
        </w:rPr>
        <w:t>Naidenov împotriva Bulgariei</w:t>
      </w:r>
      <w:r>
        <w:t xml:space="preserve">, nr. 17353/03, pct. 58 </w:t>
      </w:r>
      <w:r>
        <w:rPr>
          <w:i/>
        </w:rPr>
        <w:t>in fine</w:t>
      </w:r>
      <w:r>
        <w:t xml:space="preserve">, 26 noiembrie 2009; </w:t>
      </w:r>
      <w:bookmarkStart w:id="467" w:name="_cl37784THELAW"/>
      <w:r>
        <w:rPr>
          <w:i/>
        </w:rPr>
        <w:t>Organizația Macedoneană Unită Ilinden și alții împotriva Bulgariei (nr. 2)</w:t>
      </w:r>
      <w:bookmarkEnd w:id="467"/>
      <w:r>
        <w:t xml:space="preserve">, nr. 34960/04, pct. 27, 18 octombrie 2011; și </w:t>
      </w:r>
      <w:bookmarkStart w:id="468" w:name="_cl37780THELAW"/>
      <w:r>
        <w:rPr>
          <w:i/>
        </w:rPr>
        <w:t>Organizația Macedoneană Unită Ilinden–PIRIN și alții împotriva Bulgariei (nr. 2)</w:t>
      </w:r>
      <w:bookmarkEnd w:id="468"/>
      <w:r>
        <w:t xml:space="preserve">, nr. 41561/07 și 20972/08, pct. 70, 18 octombrie 2011]. În plus, posibilitatea de a solicita unei autorități publice să reexamineze o decizie pe care a luat-o deja nu este, în mod normal, o cale de atac efectivă [a se vedea </w:t>
      </w:r>
      <w:r>
        <w:rPr>
          <w:i/>
        </w:rPr>
        <w:t>Roseiro Bento împotriva Portugaliei</w:t>
      </w:r>
      <w:r>
        <w:t xml:space="preserve"> (dec.), nr. 29288/02, CEDO 2004-XII; </w:t>
      </w:r>
      <w:r>
        <w:rPr>
          <w:i/>
        </w:rPr>
        <w:t>Organizația Macedoneană Unită Ilinden și alții împotriva Bulgariei (nr. 2)</w:t>
      </w:r>
      <w:r>
        <w:t xml:space="preserve">, citată anterior, pct. 27 </w:t>
      </w:r>
      <w:r>
        <w:rPr>
          <w:i/>
        </w:rPr>
        <w:t>in fine</w:t>
      </w:r>
      <w:r>
        <w:t xml:space="preserve">; </w:t>
      </w:r>
      <w:r>
        <w:rPr>
          <w:i/>
        </w:rPr>
        <w:t>Organizația Macedoneană Unită Ilinden–PIRIN și alții împotriva Bulgariei (nr. 2)</w:t>
      </w:r>
      <w:r>
        <w:t xml:space="preserve">, citată anterior, pct. 70 </w:t>
      </w:r>
      <w:r>
        <w:rPr>
          <w:i/>
        </w:rPr>
        <w:t>in fine</w:t>
      </w:r>
      <w:r>
        <w:t>; și</w:t>
      </w:r>
      <w:bookmarkStart w:id="469" w:name="_cl41130THELAW"/>
      <w:r>
        <w:t xml:space="preserve"> </w:t>
      </w:r>
      <w:r>
        <w:rPr>
          <w:i/>
        </w:rPr>
        <w:t>Vasil Vasilev împotriva Bulgariei</w:t>
      </w:r>
      <w:bookmarkEnd w:id="469"/>
      <w:r>
        <w:t xml:space="preserve">, nr. 7610/15, pct. 112 </w:t>
      </w:r>
      <w:r>
        <w:rPr>
          <w:i/>
        </w:rPr>
        <w:t>in fine</w:t>
      </w:r>
      <w:r>
        <w:t>, 16 noiembrie 2021].</w:t>
      </w:r>
    </w:p>
    <w:bookmarkStart w:id="470" w:name="L_C_A_8_adm_exh_C_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226</w:t>
      </w:r>
      <w:r w:rsidRPr="000B62B5">
        <w:fldChar w:fldCharType="end"/>
      </w:r>
      <w:bookmarkEnd w:id="470"/>
      <w:r>
        <w:t>. În orice caz – și poate cel mai important aspect al prezentei cauze – procedura având ca obiect controlul jurisdicțional al celui de al doilea refuz al Agenției, din iunie 2023, de a divulga informațiile, s-a încheiat în iulie 2024, însă nu le-a oferit niciun fel de reparație reclamanților – aceasta a condus doar la reiterarea celor două refuzuri anterioare ale Agenției de a divulga informațiile solicitate de aceștia (a se vedea supra, pct. </w:t>
      </w:r>
      <w:r w:rsidRPr="000B62B5">
        <w:fldChar w:fldCharType="begin"/>
      </w:r>
      <w:r w:rsidRPr="000B62B5">
        <w:instrText xml:space="preserve"> REF  F_2_inf_req_jud_rev_claim_SAC_jud \h  \* MERGEFORMAT </w:instrText>
      </w:r>
      <w:r w:rsidRPr="000B62B5">
        <w:fldChar w:fldCharType="separate"/>
      </w:r>
      <w:r w:rsidR="000B62B5" w:rsidRPr="000B62B5">
        <w:t>45</w:t>
      </w:r>
      <w:r w:rsidRPr="000B62B5">
        <w:fldChar w:fldCharType="end"/>
      </w:r>
      <w:r>
        <w:t>-</w:t>
      </w:r>
      <w:r w:rsidRPr="000B62B5">
        <w:fldChar w:fldCharType="begin"/>
      </w:r>
      <w:r w:rsidRPr="000B62B5">
        <w:instrText xml:space="preserve"> REF  F_2_inf_req_renew_dec_22_08_2024 \h  \* MERGEFORMAT </w:instrText>
      </w:r>
      <w:r w:rsidRPr="000B62B5">
        <w:fldChar w:fldCharType="separate"/>
      </w:r>
      <w:r w:rsidR="000B62B5" w:rsidRPr="000B62B5">
        <w:t>50</w:t>
      </w:r>
      <w:r w:rsidRPr="000B62B5">
        <w:fldChar w:fldCharType="end"/>
      </w:r>
      <w:r>
        <w:t>). Așadar, și cel de al treilea argument pe care s-a întemeiat excepția Guvernului și-a pierdut relevanța, presupunând că a avut vreuna (a se vedea</w:t>
      </w:r>
      <w:bookmarkStart w:id="471" w:name="_cl32193THELAW"/>
      <w:r>
        <w:t xml:space="preserve">, </w:t>
      </w:r>
      <w:r>
        <w:rPr>
          <w:i/>
        </w:rPr>
        <w:t>mutatis mutandis</w:t>
      </w:r>
      <w:r>
        <w:t xml:space="preserve">, </w:t>
      </w:r>
      <w:r>
        <w:rPr>
          <w:i/>
        </w:rPr>
        <w:t>Molla Sali</w:t>
      </w:r>
      <w:bookmarkEnd w:id="471"/>
      <w:r>
        <w:t>, pct. 90;</w:t>
      </w:r>
      <w:bookmarkStart w:id="472" w:name="_cl40870THELAW"/>
      <w:r>
        <w:t xml:space="preserve"> </w:t>
      </w:r>
      <w:r>
        <w:rPr>
          <w:i/>
        </w:rPr>
        <w:t>Zoltán Varga</w:t>
      </w:r>
      <w:bookmarkEnd w:id="472"/>
      <w:r>
        <w:t xml:space="preserve">, pct. 112; și </w:t>
      </w:r>
      <w:r>
        <w:rPr>
          <w:i/>
        </w:rPr>
        <w:t>Panayotopoulos și alții</w:t>
      </w:r>
      <w:r>
        <w:t>, pct. 90, toate citate anterior).</w:t>
      </w:r>
    </w:p>
    <w:p w:rsidR="00DE4BFE" w:rsidRPr="000B62B5" w:rsidRDefault="00E34145" w:rsidP="000B62B5">
      <w:pPr>
        <w:pStyle w:val="JuHi"/>
        <w:spacing w:line="240" w:lineRule="auto"/>
      </w:pPr>
      <w:bookmarkStart w:id="473" w:name="_Toc236764803"/>
      <w:r>
        <w:t>Concluzie</w:t>
      </w:r>
      <w:bookmarkEnd w:id="473"/>
    </w:p>
    <w:bookmarkStart w:id="474" w:name="L_C_A_8_adm_exh_C_6"/>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227</w:t>
      </w:r>
      <w:r w:rsidRPr="000B62B5">
        <w:fldChar w:fldCharType="end"/>
      </w:r>
      <w:bookmarkEnd w:id="474"/>
      <w:r>
        <w:t>. Rezultă că excepția Guvernului potrivit căreia nu au fost epuizate căile de atac interne trebuie, de asemenea, să fie respinsă.</w:t>
      </w:r>
    </w:p>
    <w:p w:rsidR="00DE4BFE" w:rsidRPr="000B62B5" w:rsidRDefault="00E34145" w:rsidP="000B62B5">
      <w:pPr>
        <w:pStyle w:val="JuH1"/>
      </w:pPr>
      <w:bookmarkStart w:id="475" w:name="_Toc176454192"/>
      <w:bookmarkStart w:id="476" w:name="_Toc236764804"/>
      <w:r>
        <w:t>Concluzia Curții cu privire la admisibilitatea capătului de cerere</w:t>
      </w:r>
      <w:bookmarkEnd w:id="475"/>
      <w:bookmarkEnd w:id="476"/>
    </w:p>
    <w:p w:rsidR="00DE4BFE"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228</w:t>
      </w:r>
      <w:r w:rsidRPr="000B62B5">
        <w:fldChar w:fldCharType="end"/>
      </w:r>
      <w:r>
        <w:t xml:space="preserve">. S-a stabilit deja că acest capăt de cerere nu este incompatibil </w:t>
      </w:r>
      <w:r>
        <w:rPr>
          <w:i/>
        </w:rPr>
        <w:t>ratione materiae</w:t>
      </w:r>
      <w:r>
        <w:t xml:space="preserve"> cu dispozițiile Convenției și că reclamanții au epuizat căile de atac interne disponibile cu privire la acesta (a se vedea supra, pct. </w:t>
      </w:r>
      <w:r w:rsidRPr="000B62B5">
        <w:fldChar w:fldCharType="begin"/>
      </w:r>
      <w:r w:rsidRPr="000B62B5">
        <w:instrText xml:space="preserve"> REF  L_C_A_8_adm_rm_C_1 \h  \* MERGEFORMAT </w:instrText>
      </w:r>
      <w:r w:rsidRPr="000B62B5">
        <w:fldChar w:fldCharType="separate"/>
      </w:r>
      <w:r w:rsidRPr="000B62B5">
        <w:t>212</w:t>
      </w:r>
      <w:r w:rsidRPr="000B62B5">
        <w:fldChar w:fldCharType="end"/>
      </w:r>
      <w:r>
        <w:t>-</w:t>
      </w:r>
      <w:r w:rsidRPr="000B62B5">
        <w:fldChar w:fldCharType="begin"/>
      </w:r>
      <w:r w:rsidRPr="000B62B5">
        <w:instrText xml:space="preserve"> REF  L_C_A_8_adm_rm_C_8 \h  \* MERGEFORMAT </w:instrText>
      </w:r>
      <w:r w:rsidRPr="000B62B5">
        <w:fldChar w:fldCharType="separate"/>
      </w:r>
      <w:r w:rsidRPr="000B62B5">
        <w:t>219</w:t>
      </w:r>
      <w:r w:rsidRPr="000B62B5">
        <w:fldChar w:fldCharType="end"/>
      </w:r>
      <w:r>
        <w:t xml:space="preserve"> și </w:t>
      </w:r>
      <w:r w:rsidRPr="000B62B5">
        <w:fldChar w:fldCharType="begin"/>
      </w:r>
      <w:r w:rsidRPr="000B62B5">
        <w:instrText xml:space="preserve"> REF  L_C_A_8_adm_exh_C_1 \h  \* MERGEFORMAT </w:instrText>
      </w:r>
      <w:r w:rsidRPr="000B62B5">
        <w:fldChar w:fldCharType="separate"/>
      </w:r>
      <w:r w:rsidRPr="000B62B5">
        <w:t>222</w:t>
      </w:r>
      <w:r w:rsidRPr="000B62B5">
        <w:fldChar w:fldCharType="end"/>
      </w:r>
      <w:r>
        <w:t>-</w:t>
      </w:r>
      <w:r w:rsidRPr="000B62B5">
        <w:fldChar w:fldCharType="begin"/>
      </w:r>
      <w:r w:rsidRPr="000B62B5">
        <w:instrText xml:space="preserve"> REF  L_C_A_8_adm_exh_C_6 \h  \* MERGEFORMAT </w:instrText>
      </w:r>
      <w:r w:rsidRPr="000B62B5">
        <w:fldChar w:fldCharType="separate"/>
      </w:r>
      <w:r w:rsidRPr="000B62B5">
        <w:t>227</w:t>
      </w:r>
      <w:r w:rsidRPr="000B62B5">
        <w:fldChar w:fldCharType="end"/>
      </w:r>
      <w:r>
        <w:t>). De asemenea, capătul de cerere nu este nici vădit nefondat, nici inadmisibil pentru alte motive. Prin urmare, trebuie declarat admisibil.</w:t>
      </w:r>
    </w:p>
    <w:p w:rsidR="00DE4BFE" w:rsidRPr="000B62B5" w:rsidRDefault="00E34145" w:rsidP="000B62B5">
      <w:pPr>
        <w:pStyle w:val="JuHA"/>
      </w:pPr>
      <w:bookmarkStart w:id="477" w:name="_Toc176454193"/>
      <w:bookmarkStart w:id="478" w:name="_Toc236764805"/>
      <w:r>
        <w:t>Cu privire la fond</w:t>
      </w:r>
      <w:bookmarkEnd w:id="477"/>
      <w:bookmarkEnd w:id="478"/>
    </w:p>
    <w:p w:rsidR="00DE4BFE" w:rsidRPr="000B62B5" w:rsidRDefault="00E34145" w:rsidP="000B62B5">
      <w:pPr>
        <w:pStyle w:val="JuH1"/>
      </w:pPr>
      <w:bookmarkStart w:id="479" w:name="_Toc176454194"/>
      <w:bookmarkStart w:id="480" w:name="_Toc236764806"/>
      <w:r>
        <w:t>Existența unei ingerințe</w:t>
      </w:r>
      <w:bookmarkEnd w:id="479"/>
      <w:r>
        <w:t xml:space="preserve"> în exercitarea drepturilor protejate în temeiul art. 8 din Convenție</w:t>
      </w:r>
      <w:bookmarkEnd w:id="480"/>
    </w:p>
    <w:p w:rsidR="00DE4BFE" w:rsidRPr="000B62B5" w:rsidRDefault="00E34145" w:rsidP="000B62B5">
      <w:pPr>
        <w:pStyle w:val="JuHa0"/>
      </w:pPr>
      <w:bookmarkStart w:id="481" w:name="_Toc176454195"/>
      <w:bookmarkStart w:id="482" w:name="_Toc236764807"/>
      <w:r>
        <w:t>Argumentele părților</w:t>
      </w:r>
      <w:bookmarkEnd w:id="481"/>
      <w:bookmarkEnd w:id="482"/>
    </w:p>
    <w:bookmarkStart w:id="483" w:name="L_C_A_8_m_interf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229</w:t>
      </w:r>
      <w:r w:rsidRPr="000B62B5">
        <w:fldChar w:fldCharType="end"/>
      </w:r>
      <w:bookmarkEnd w:id="483"/>
      <w:r>
        <w:t xml:space="preserve">. Reclamanții au susținut că nu era clar dacă Agenția a colectat informații cu privire la ei întrucât Agenția nu a confirmat și nici nu a infirmat acest lucru – nici la nivel național, nici în răspunsul formulat de aceasta în legătură cu procedura în fața Curții. Totuși, exista o suspiciune puternică potrivit căreia Agenția a făcut, într-adevăr, acest lucru. Agenția a avut pe deplin posibilitatea de a răspunde la această întrebare, chiar și în privința membrilor sau a personalului Comitetului. Posibilitatea de a obține informații cu privire la utilizarea unor „mijloace speciale de supraveghere” prin intermediul Biroului Național nu era una reală întrucât Biroul trebuia, la rândul său, să obțină informațiile respective de la Agenție, iar Agenția considera că aceste informații erau clasificate. Legea din 2007 nu prevedea garanții suficiente, ceea ce însemna că Agenția (care avea competențe extinse și își desfășura activitatea în secret) putea colecta și stoca </w:t>
      </w:r>
      <w:r>
        <w:lastRenderedPageBreak/>
        <w:t>datele oricui. Întrucât nicio persoană nu putea să verifice dacă, într-adevăr, Agenția a colectat și a stocat date referitoare la ea, era rezonabil să se presupună că și reclamanții au prezentat un interes pentru aceasta.</w:t>
      </w:r>
    </w:p>
    <w:bookmarkStart w:id="484" w:name="L_C_A_8_m_interf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230</w:t>
      </w:r>
      <w:r w:rsidRPr="000B62B5">
        <w:fldChar w:fldCharType="end"/>
      </w:r>
      <w:bookmarkEnd w:id="484"/>
      <w:r>
        <w:t>. Guvernul a observat că Agenția nu a confirmat că a colectat sau a stocat date referitoare la reclamanți și că nu exista niciun indiciu că a făcut efectiv acest lucru (cu excepția datelor referitoare la cererile de acces la informații formulate de reclamanți și la procedura conexă având ca obiect controlul jurisdicțional). Îndoielile reclamanților cu privire la acest aspect erau abstracte și nefondate, fiind întemeiate doar pe declarațiile ministrului Afacerilor Interne referitoare la politicieni și la participanții la protestele antiguvernamentale din perioada 2020-2021. Reclamanții nu se încadrau în niciuna dintre aceste categorii, iar presupunerea lor, potrivit căreia era posibil să fi prezentat un interes pentru Agenție, era vagă și exagerată. Motivele invocate de Agenție pentru a respinge cererea domnului Kanev și cele invocate ulterior de instanțe pentru a respinge cererea sa de control jurisdicțional al acestui refuz nu conțineau niciun element care să sugereze contrariul. Prin urmare, nu a existat nicio ingerință în exercitarea de către reclamanți a drepturilor prevăzute la art. 8. În plus, astfel cum atestă răspunsul Biroului Național (a se vedea supra, pct. </w:t>
      </w:r>
      <w:r w:rsidRPr="000B62B5">
        <w:fldChar w:fldCharType="begin"/>
      </w:r>
      <w:r w:rsidRPr="000B62B5">
        <w:instrText xml:space="preserve"> REF  F_NB_req_amended_response \h  \* MERGEFORMAT </w:instrText>
      </w:r>
      <w:r w:rsidRPr="000B62B5">
        <w:fldChar w:fldCharType="separate"/>
      </w:r>
      <w:r w:rsidR="000B62B5" w:rsidRPr="000B62B5">
        <w:t>31</w:t>
      </w:r>
      <w:r w:rsidRPr="000B62B5">
        <w:fldChar w:fldCharType="end"/>
      </w:r>
      <w:r>
        <w:t>), pe parcursul perioadei în cauză nu au fost utilizate „mijloace speciale de supraveghere” în privința domnului Kanev. În ceea ce privește Comitetul, nu puteau fi utilizate mijloace de acest tip, deoarece, în temeiul dreptului bulgar, astfel de mijloace puteau fi folosite numai în ceea ce privește persoanele fizice, nu și persoanele juridice. Prin urmare, nu exista nicio dovadă că datele referitoare la reclamanți au fost obținute de Agenție în cursul operațiunilor sale.</w:t>
      </w:r>
    </w:p>
    <w:bookmarkStart w:id="485" w:name="L_C_A_8_m_interf_G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231</w:t>
      </w:r>
      <w:r w:rsidRPr="000B62B5">
        <w:fldChar w:fldCharType="end"/>
      </w:r>
      <w:bookmarkEnd w:id="485"/>
      <w:r>
        <w:t>. Guvernul a susținut, de asemenea, că refuzul Agenției de a divulga informațiile solicitate de reclamanți nu a adus atingere nici drepturilor acestora prevăzute la art. 8, întrucât cererea reclamanților nu a avut ca obiect date cu caracter personal ale acestora.</w:t>
      </w:r>
    </w:p>
    <w:p w:rsidR="00DE4BFE" w:rsidRPr="000B62B5" w:rsidRDefault="00E34145" w:rsidP="000B62B5">
      <w:pPr>
        <w:pStyle w:val="JuHa0"/>
      </w:pPr>
      <w:bookmarkStart w:id="486" w:name="_Toc176454196"/>
      <w:bookmarkStart w:id="487" w:name="_Toc236764808"/>
      <w:r>
        <w:t>Motivarea Curții</w:t>
      </w:r>
      <w:bookmarkEnd w:id="486"/>
      <w:bookmarkEnd w:id="487"/>
    </w:p>
    <w:bookmarkStart w:id="488" w:name="L_C_A_8_m_interf_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232</w:t>
      </w:r>
      <w:r w:rsidRPr="000B62B5">
        <w:fldChar w:fldCharType="end"/>
      </w:r>
      <w:bookmarkEnd w:id="488"/>
      <w:r>
        <w:t>. În circumstanțele specifice ale prezentei cauze, refuzul Agenției de a dezvălui dacă a colectat sau nu informații cu privire la domnul Kanev sau la Comitet a constituit, în sine, o ingerință în exercitarea drepturilor acestora garantate la art. 8. Cererea reclamanților se referea la posibila utilizare a unor măsuri secrete de colectare de informații, de natură să aducă atingere „vieții private” și „corespondenței” acestora, iar răspunsul Agenției a constat, în esență, în refuzul său de a confirma sau de a infirma aplicarea unor astfel de măsuri. Un astfel de refuz poate constitui în sine o ingerință în sensul art. 8 [a se vedea</w:t>
      </w:r>
      <w:r>
        <w:rPr>
          <w:i/>
        </w:rPr>
        <w:t xml:space="preserve"> Segerstedt-Wiberg și alții</w:t>
      </w:r>
      <w:r>
        <w:t xml:space="preserve">, citată anterior, pct. 99, și, </w:t>
      </w:r>
      <w:r>
        <w:rPr>
          <w:i/>
        </w:rPr>
        <w:t>mutatis mutandis</w:t>
      </w:r>
      <w:r>
        <w:t xml:space="preserve">, </w:t>
      </w:r>
      <w:bookmarkStart w:id="489" w:name="_cl40702THELAW"/>
      <w:r>
        <w:rPr>
          <w:i/>
        </w:rPr>
        <w:t>Centrum för rättvisa împotriva Suediei</w:t>
      </w:r>
      <w:bookmarkEnd w:id="489"/>
      <w:r>
        <w:t xml:space="preserve"> (MC), nr. 35252/08, pct. 244-245, 25 mai 2021, și </w:t>
      </w:r>
      <w:bookmarkStart w:id="490" w:name="_cl40701THELAW"/>
      <w:r>
        <w:rPr>
          <w:i/>
        </w:rPr>
        <w:t>Big Brother Watch și alții împotriva Regatului Unit</w:t>
      </w:r>
      <w:bookmarkEnd w:id="490"/>
      <w:r>
        <w:t xml:space="preserve"> (MC), nr. 58170/13 și alte 2 cereri, pct. 330-331, 25 mai 2021].</w:t>
      </w:r>
    </w:p>
    <w:p w:rsidR="00DE4BFE" w:rsidRPr="000B62B5" w:rsidRDefault="00E34145" w:rsidP="000B62B5">
      <w:pPr>
        <w:pStyle w:val="JuH1"/>
      </w:pPr>
      <w:bookmarkStart w:id="491" w:name="_Toc176454197"/>
      <w:bookmarkStart w:id="492" w:name="_Toc236764809"/>
      <w:r>
        <w:t>Justificarea ingerinței</w:t>
      </w:r>
      <w:bookmarkEnd w:id="491"/>
      <w:bookmarkEnd w:id="492"/>
    </w:p>
    <w:bookmarkStart w:id="493" w:name="L_C_A_8_m_interf_C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233</w:t>
      </w:r>
      <w:r w:rsidRPr="000B62B5">
        <w:fldChar w:fldCharType="end"/>
      </w:r>
      <w:bookmarkEnd w:id="493"/>
      <w:r>
        <w:t>. În temeiul celui de al doilea paragraf al art. 8 din Convenție, o astfel de ingerință poate fi justificată numai dacă a fost „prevăzută de lege” și „necesară într-o societate democratică” pentru a atinge unul sau mai multe dintre scopurile legitime prevăzute la paragraful respectiv. În caz contrar, această ingerință implică o încălcare a articolului respectiv.</w:t>
      </w:r>
    </w:p>
    <w:p w:rsidR="00DE4BFE" w:rsidRPr="000B62B5" w:rsidRDefault="00E34145" w:rsidP="000B62B5">
      <w:pPr>
        <w:pStyle w:val="JuHa0"/>
      </w:pPr>
      <w:bookmarkStart w:id="494" w:name="_Toc176454198"/>
      <w:bookmarkStart w:id="495" w:name="_Toc236764810"/>
      <w:r>
        <w:t>Argumentele părților</w:t>
      </w:r>
      <w:bookmarkEnd w:id="494"/>
      <w:bookmarkEnd w:id="495"/>
    </w:p>
    <w:bookmarkStart w:id="496" w:name="L_C_A_8_m_justification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234</w:t>
      </w:r>
      <w:r w:rsidRPr="000B62B5">
        <w:fldChar w:fldCharType="end"/>
      </w:r>
      <w:bookmarkEnd w:id="496"/>
      <w:r>
        <w:t xml:space="preserve">. Reclamanții au reiterat faptul că Legea din 2007 nu prevedea garanții eficiente împotriva utilizării arbitrare a „mijloacelor speciale de supraveghere”, ceea ce a permis Agenției să funcționeze în mod imprevizibil. Refuzând să dezvăluie dacă a colectat sau nu informații cu privire la reclamanți, Agenția i-a pus în imposibilitatea de a verifica natura, </w:t>
      </w:r>
      <w:r>
        <w:lastRenderedPageBreak/>
        <w:t>întinderea și durata unei astfel de ingerințe în exercitarea drepturilor lor. Contrar celor susținute de Guvern, Agenția a refuzat să răspundă la această întrebare. Este adevărat că statele dispuneau de o marjă amplă de apreciere în acest domeniu, dar aveau în continuare obligația să instituie garanții eficiente împotriva abuzurilor. Ingerința nu putea fi justificată din perspectiva securității naționale, întrucât reclamanții nu au solicitat informații cu privire la vreo tehnică sau metodă utilizată pentru supraveghere și nici detalii cu privire la aceste aspecte; cererea domnului Kanev a fost formulată în termeni destul de generali. În plus, Bulgaria avea o îndelungată istorie de utilizare necorespunzătoare a noțiunii de securitate națională. Prin urmare, ingerința nu a fost „necesară într-o societate democratică”.</w:t>
      </w:r>
    </w:p>
    <w:bookmarkStart w:id="497" w:name="L_C_A_8_m_justification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235</w:t>
      </w:r>
      <w:r w:rsidRPr="000B62B5">
        <w:fldChar w:fldCharType="end"/>
      </w:r>
      <w:bookmarkEnd w:id="497"/>
      <w:r>
        <w:t>. Guvernul a susținut că orice ingerință în exercitarea drepturilor reclamanților prevăzute la art. 8 a fost „prevăzută de lege”, întrucât refuzul Agenției de a divulga informații cu privire la orice colectare de informații în legătură cu aceștia s-a întemeiat pe dispozițiile Legii din 2007, care erau clare și accesibile. Ingerința a avut ca scop protejarea securității naționale, întrucât orice publicitate ar putea face ca metodele și tehnicile Agenției să devină ineficiente. Având în vedere natura informațiilor solicitate de reclamanți, refuzul divulgării acestora a fost de asemenea proporțional și s-a încadrat în marja de apreciere a autorităților, care era amplă în acest domeniu.</w:t>
      </w:r>
    </w:p>
    <w:p w:rsidR="00DE4BFE" w:rsidRPr="000B62B5" w:rsidRDefault="00E34145" w:rsidP="000B62B5">
      <w:pPr>
        <w:pStyle w:val="JuHa0"/>
      </w:pPr>
      <w:bookmarkStart w:id="498" w:name="_Toc176454199"/>
      <w:bookmarkStart w:id="499" w:name="_Toc236764811"/>
      <w:r>
        <w:t>Motivarea Curții</w:t>
      </w:r>
      <w:bookmarkEnd w:id="498"/>
      <w:bookmarkEnd w:id="499"/>
    </w:p>
    <w:p w:rsidR="00DE4BFE" w:rsidRPr="000B62B5" w:rsidRDefault="00E34145" w:rsidP="000B62B5">
      <w:pPr>
        <w:pStyle w:val="JuHi"/>
        <w:spacing w:line="240" w:lineRule="auto"/>
      </w:pPr>
      <w:bookmarkStart w:id="500" w:name="_Toc176454200"/>
      <w:bookmarkStart w:id="501" w:name="_Toc236764812"/>
      <w:r>
        <w:t>A fost ingerința „prevăzută de lege”?</w:t>
      </w:r>
      <w:bookmarkEnd w:id="500"/>
      <w:bookmarkEnd w:id="501"/>
    </w:p>
    <w:p w:rsidR="00DE4BFE" w:rsidRPr="000B62B5" w:rsidRDefault="00E34145" w:rsidP="000B62B5">
      <w:pPr>
        <w:pStyle w:val="JuHalpha"/>
      </w:pPr>
      <w:bookmarkStart w:id="502" w:name="_Toc176454201"/>
      <w:bookmarkStart w:id="503" w:name="_Toc236764813"/>
      <w:r>
        <w:t>Principii generale</w:t>
      </w:r>
      <w:bookmarkEnd w:id="502"/>
      <w:bookmarkEnd w:id="503"/>
    </w:p>
    <w:bookmarkStart w:id="504" w:name="L_C_A_8_m_justif_C_g_pr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236</w:t>
      </w:r>
      <w:r w:rsidRPr="000B62B5">
        <w:fldChar w:fldCharType="end"/>
      </w:r>
      <w:bookmarkEnd w:id="504"/>
      <w:r>
        <w:t>. Nu poate exista nicio îndoială cu privire la necesitatea, în scopul protejării securității naționale, ca statele contractante să dispună de legi care să acorde autorităților lor competente puterea de a colecta și de a stoca în baze de date, care nu sunt accesibile publicului, informații referitoare la persoane particulare (a se vedea</w:t>
      </w:r>
      <w:r>
        <w:rPr>
          <w:i/>
        </w:rPr>
        <w:t xml:space="preserve"> Leander,</w:t>
      </w:r>
      <w:r>
        <w:t xml:space="preserve"> citată anterior, pct. 59). Cu toate acestea, expresia „prevăzută de lege” nu înseamnă doar că o ingerință în exercitarea drepturilor garantate la art. 8 din Convenție trebuie să aibă un temei în dreptul intern, ci se referă și la calitatea acestei legislații – impunând ca aceasta să fie accesibilă, previzibilă și compatibilă cu statul de drept (a se vedea </w:t>
      </w:r>
      <w:r>
        <w:rPr>
          <w:i/>
        </w:rPr>
        <w:t>Kopp,</w:t>
      </w:r>
      <w:r>
        <w:t xml:space="preserve"> pct. 55; </w:t>
      </w:r>
      <w:r>
        <w:rPr>
          <w:i/>
        </w:rPr>
        <w:t>Amann</w:t>
      </w:r>
      <w:r>
        <w:t xml:space="preserve">, pct. 50 și 56; </w:t>
      </w:r>
      <w:r>
        <w:rPr>
          <w:i/>
        </w:rPr>
        <w:t>Rotaru</w:t>
      </w:r>
      <w:r>
        <w:t xml:space="preserve">, pct. 52; și </w:t>
      </w:r>
      <w:r>
        <w:rPr>
          <w:i/>
        </w:rPr>
        <w:t xml:space="preserve">Segerstedt-Wiberg </w:t>
      </w:r>
      <w:r>
        <w:t>și alții, pct. 76, toate citate anterior). În domeniul avut în vedere, acest lucru implică, în special, disponibilitatea unor garanții eficiente împotriva arbitrariului și a abuzurilor. Acest lucru se datorează faptului că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un sistem de supraveghere care nu este supus controlului persoanelor vizate de acesta sau al publicului larg (deoarece este folosit în secret de către autorități) prezintă riscuri evidente în această privință și faptului că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xml:space="preserve">) un sistem de supraveghere destinat să protejeze securitatea națională poate submina sau chiar distruge democrația sub pretextul apărării acesteia (a se vedea </w:t>
      </w:r>
      <w:r>
        <w:rPr>
          <w:i/>
        </w:rPr>
        <w:t xml:space="preserve">Leander, </w:t>
      </w:r>
      <w:r>
        <w:t>pct. 60;</w:t>
      </w:r>
      <w:r>
        <w:rPr>
          <w:i/>
        </w:rPr>
        <w:t xml:space="preserve"> Amann, </w:t>
      </w:r>
      <w:r>
        <w:t>pct. 56;</w:t>
      </w:r>
      <w:r>
        <w:rPr>
          <w:i/>
        </w:rPr>
        <w:t xml:space="preserve"> Rotaru, </w:t>
      </w:r>
      <w:r>
        <w:t>pct. 55 și 59;</w:t>
      </w:r>
      <w:r>
        <w:rPr>
          <w:i/>
        </w:rPr>
        <w:t xml:space="preserve"> Antunes Rocha, </w:t>
      </w:r>
      <w:r>
        <w:t>pct. 76;</w:t>
      </w:r>
      <w:r>
        <w:rPr>
          <w:i/>
        </w:rPr>
        <w:t xml:space="preserve"> </w:t>
      </w:r>
      <w:r>
        <w:t xml:space="preserve">și </w:t>
      </w:r>
      <w:r>
        <w:rPr>
          <w:i/>
        </w:rPr>
        <w:t xml:space="preserve">Segerstedt-Wiberg și alții, </w:t>
      </w:r>
      <w:r>
        <w:t>pct. 76, toate citate anterior).</w:t>
      </w:r>
    </w:p>
    <w:bookmarkStart w:id="505" w:name="L_C_A_8_m_justif_C_g_pr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237</w:t>
      </w:r>
      <w:r w:rsidRPr="000B62B5">
        <w:fldChar w:fldCharType="end"/>
      </w:r>
      <w:bookmarkEnd w:id="505"/>
      <w:r>
        <w:t xml:space="preserve">. Desigur, în acest domeniu, ca și în altele, garanțiile necesare vor depinde de natura și amploarea ingerinței (a se vedea, printre alte hotărâri, </w:t>
      </w:r>
      <w:r>
        <w:rPr>
          <w:i/>
        </w:rPr>
        <w:t>P.G. și J.H. împotriva Regatului Unit</w:t>
      </w:r>
      <w:r>
        <w:t xml:space="preserve">, nr. 44787/98, pct. 46, CEDO 2001-IX; </w:t>
      </w:r>
      <w:bookmarkStart w:id="506" w:name="_cl22871THELAW"/>
      <w:r>
        <w:rPr>
          <w:i/>
        </w:rPr>
        <w:t>C.G. și alții împotriva Bulgariei</w:t>
      </w:r>
      <w:bookmarkEnd w:id="506"/>
      <w:r>
        <w:t xml:space="preserve">, nr. 1365/07, pct. 45, 24 aprilie 2008; </w:t>
      </w:r>
      <w:r>
        <w:rPr>
          <w:i/>
        </w:rPr>
        <w:t>El Haski împotriva Belgiei</w:t>
      </w:r>
      <w:r>
        <w:t xml:space="preserve">, nr. 649/08, pct. 107, 25 septembrie 2012; și </w:t>
      </w:r>
      <w:r>
        <w:rPr>
          <w:i/>
        </w:rPr>
        <w:t>Giuliano Germano împotriva Italiei</w:t>
      </w:r>
      <w:r>
        <w:t xml:space="preserve">, nr. 10794/12, pct. 94, 22 iunie 2023). Contextul în care are loc ingerința constituie, de asemenea, un aspect important [a se vedea </w:t>
      </w:r>
      <w:r>
        <w:rPr>
          <w:i/>
        </w:rPr>
        <w:t>I.R. și G.T. împotriva Regatului Unit</w:t>
      </w:r>
      <w:r>
        <w:t xml:space="preserve"> (dec.), nr. 14876/12 și 63339/12, pct. 61 </w:t>
      </w:r>
      <w:r>
        <w:rPr>
          <w:i/>
        </w:rPr>
        <w:t>in fine</w:t>
      </w:r>
      <w:r>
        <w:t xml:space="preserve">, 28 ianuarie 2014; </w:t>
      </w:r>
      <w:r>
        <w:rPr>
          <w:i/>
        </w:rPr>
        <w:t>Saeed împotriva Danemarcei</w:t>
      </w:r>
      <w:r>
        <w:t xml:space="preserve"> (dec.), nr. 53/12, pct. 35, 24 iunie 2014; și </w:t>
      </w:r>
      <w:bookmarkStart w:id="507" w:name="_cl44165THELAW"/>
      <w:r>
        <w:rPr>
          <w:i/>
        </w:rPr>
        <w:t>Mirzoyan împotriva Republic</w:t>
      </w:r>
      <w:r>
        <w:rPr>
          <w:i/>
          <w:iCs/>
        </w:rPr>
        <w:t>ii Cehe</w:t>
      </w:r>
      <w:bookmarkEnd w:id="507"/>
      <w:r>
        <w:t xml:space="preserve">, nr. 15117/21 și 15689/21, pct. 81 </w:t>
      </w:r>
      <w:r>
        <w:rPr>
          <w:i/>
        </w:rPr>
        <w:t>in fine</w:t>
      </w:r>
      <w:r>
        <w:t>, 16 mai 2024].</w:t>
      </w:r>
    </w:p>
    <w:bookmarkStart w:id="508" w:name="L_C_A_8_m_justif_C_g_pr_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238</w:t>
      </w:r>
      <w:r w:rsidRPr="000B62B5">
        <w:fldChar w:fldCharType="end"/>
      </w:r>
      <w:bookmarkEnd w:id="508"/>
      <w:r>
        <w:t>. În ceea ce privește ingerințele de tipul celor în discuție în prezenta cauză, imposibilitatea reclamanților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de a avea acces la date care îi privesc și care sunt prelucrate de o autoritate însărcinată cu protejarea securității naționale și chiar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xml:space="preserve">) de a obține un răspuns clar la întrebarea </w:t>
      </w:r>
      <w:r>
        <w:lastRenderedPageBreak/>
        <w:t xml:space="preserve">lor cu privire la existența unei astfel de prelucrări nu poate, în sine, să ridice probleme în temeiul art. 8 din Convenție – întrucât însăși lipsa unor astfel de informații este cea care poate asigura eficacitatea activității acestei autorități (a se vedea </w:t>
      </w:r>
      <w:r>
        <w:rPr>
          <w:i/>
        </w:rPr>
        <w:t>Leander,</w:t>
      </w:r>
      <w:r>
        <w:t xml:space="preserve"> pct. 66; </w:t>
      </w:r>
      <w:r>
        <w:rPr>
          <w:i/>
        </w:rPr>
        <w:t>Segerstedt-Wiberg și alții</w:t>
      </w:r>
      <w:r>
        <w:t xml:space="preserve">, pct. 102; și </w:t>
      </w:r>
      <w:r>
        <w:rPr>
          <w:i/>
        </w:rPr>
        <w:t>Dalea</w:t>
      </w:r>
      <w:r>
        <w:t xml:space="preserve">, toate citate anterior; a se vedea, de asemenea, </w:t>
      </w:r>
      <w:r>
        <w:rPr>
          <w:i/>
        </w:rPr>
        <w:t>mutatis mutandis</w:t>
      </w:r>
      <w:r>
        <w:t xml:space="preserve">, </w:t>
      </w:r>
      <w:r>
        <w:rPr>
          <w:i/>
        </w:rPr>
        <w:t>Antunes Rocha</w:t>
      </w:r>
      <w:r>
        <w:t>, citată anterior, pct. 64). Acest lucru este valabil cu atât mai mult în cazul informațiilor care sunt susceptibile să facă posibilă descoperirea identității persoanelor care au colaborat cu Agenția – deoarece acest lucru ar putea nu doar să le pună în pericol siguranța, ci și să descurajeze colaborarea lor viitoare cu Agenția.</w:t>
      </w:r>
    </w:p>
    <w:bookmarkStart w:id="509" w:name="L_C_A_8_m_justif_C_g_pr_6"/>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239</w:t>
      </w:r>
      <w:r w:rsidRPr="000B62B5">
        <w:fldChar w:fldCharType="end"/>
      </w:r>
      <w:bookmarkEnd w:id="509"/>
      <w:r>
        <w:t xml:space="preserve">. </w:t>
      </w:r>
      <w:bookmarkStart w:id="510" w:name="_cl29034THELAW"/>
      <w:r>
        <w:t>Curtea nu are rolul de a elabora un set cuprinzător de norme în acest domeniu. Totuși, întrucât nu se poate sustrage obligației de a verifica dacă ingerința a fost „prevăzută de lege”, aceasta trebuie să clarifice natura și întinderea obligațiilor pe care această expresie le implică în domeniul respectiv – îndeplinindu-și astfel sarcina, care îi revine în temeiul art. 19 și art. 32 § 1 din Convenție, de a asigura respectarea angajamentelor care decurg din Convenție pentru părțile contractante și de a interpreta Convenția, în special drepturile și libertățile enunțate în Titlul I al acesteia [a se vedea</w:t>
      </w:r>
      <w:bookmarkStart w:id="511" w:name="_cl43939THELAW"/>
      <w:r>
        <w:t xml:space="preserve"> </w:t>
      </w:r>
      <w:r>
        <w:rPr>
          <w:i/>
        </w:rPr>
        <w:t xml:space="preserve">Humpert </w:t>
      </w:r>
      <w:r>
        <w:rPr>
          <w:i/>
          <w:iCs/>
        </w:rPr>
        <w:t>și alții împotriva</w:t>
      </w:r>
      <w:r>
        <w:t> </w:t>
      </w:r>
      <w:r>
        <w:rPr>
          <w:i/>
        </w:rPr>
        <w:t>Germaniei</w:t>
      </w:r>
      <w:bookmarkEnd w:id="511"/>
      <w:r>
        <w:t xml:space="preserve"> (MC), nr. 59433/18 și alte 3 cereri, pct. 69, 14 decembrie 2023].</w:t>
      </w:r>
    </w:p>
    <w:bookmarkStart w:id="512" w:name="L_C_A_8_m_justif_C_g_pr_7"/>
    <w:p w:rsidR="00DE4BFE" w:rsidRPr="000B62B5" w:rsidRDefault="00E34145" w:rsidP="000B62B5">
      <w:pPr>
        <w:pStyle w:val="JuPara"/>
        <w:keepNext/>
      </w:pPr>
      <w:r w:rsidRPr="000B62B5">
        <w:fldChar w:fldCharType="begin"/>
      </w:r>
      <w:r w:rsidRPr="000B62B5">
        <w:instrText xml:space="preserve"> SEQ level0 \*arabic \* MERGEFORMAT </w:instrText>
      </w:r>
      <w:r w:rsidRPr="000B62B5">
        <w:fldChar w:fldCharType="separate"/>
      </w:r>
      <w:r w:rsidR="000B62B5" w:rsidRPr="000B62B5">
        <w:t>240</w:t>
      </w:r>
      <w:r w:rsidRPr="000B62B5">
        <w:fldChar w:fldCharType="end"/>
      </w:r>
      <w:bookmarkEnd w:id="510"/>
      <w:bookmarkEnd w:id="512"/>
      <w:r>
        <w:t>. În prezenta cauză, care, la nivel național, s-a axat pe aplicarea regimului special de protecție a datelor din Bulgaria în domeniul colectării de informații în scopuri legate de securitatea națională, posibil și prin măsuri de supraveghere secretă, este oportun să se abordeze problema tipului de garanții care pot asigura o protecție eficientă împotriva arbitrariului și a abuzurilor, luând în considerare:</w:t>
      </w:r>
    </w:p>
    <w:p w:rsidR="00DE4BFE" w:rsidRPr="000B62B5" w:rsidRDefault="00E34145" w:rsidP="000B62B5">
      <w:pPr>
        <w:pStyle w:val="JuPara"/>
      </w:pPr>
      <w:r>
        <w:t>(</w:t>
      </w:r>
      <w:bookmarkStart w:id="513" w:name="L_C_A_8_m_justif_C_g_pr_7_a"/>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513"/>
      <w:r>
        <w:t>) soluțiile [astfel cum sunt prezentate în legislația UE în domeniul protecției datelor, în tratatele încheiate ca urmare a activității Consiliului Europei în acest domeniu (pe care Bulgaria le-a ratificat) și în dreptul intern al diferitelor state contractante – a se vedea supra, pct. </w:t>
      </w:r>
      <w:r w:rsidRPr="000B62B5">
        <w:fldChar w:fldCharType="begin"/>
      </w:r>
      <w:r w:rsidRPr="000B62B5">
        <w:instrText xml:space="preserve"> REF  REUL_LED_A_15_1_c_d \h  \* MERGEFORMAT </w:instrText>
      </w:r>
      <w:r w:rsidRPr="000B62B5">
        <w:fldChar w:fldCharType="separate"/>
      </w:r>
      <w:r w:rsidR="000B62B5" w:rsidRPr="000B62B5">
        <w:t>156</w:t>
      </w:r>
      <w:r w:rsidRPr="000B62B5">
        <w:fldChar w:fldCharType="end"/>
      </w:r>
      <w:r>
        <w:t xml:space="preserve">, </w:t>
      </w:r>
      <w:r w:rsidRPr="000B62B5">
        <w:fldChar w:fldCharType="begin"/>
      </w:r>
      <w:r w:rsidRPr="000B62B5">
        <w:instrText xml:space="preserve"> REF  REUL_LED_A_15_3 \h  \* MERGEFORMAT </w:instrText>
      </w:r>
      <w:r w:rsidRPr="000B62B5">
        <w:fldChar w:fldCharType="separate"/>
      </w:r>
      <w:r w:rsidR="000B62B5" w:rsidRPr="000B62B5">
        <w:t>158</w:t>
      </w:r>
      <w:r w:rsidRPr="000B62B5">
        <w:fldChar w:fldCharType="end"/>
      </w:r>
      <w:r>
        <w:t>-</w:t>
      </w:r>
      <w:r w:rsidRPr="000B62B5">
        <w:fldChar w:fldCharType="begin"/>
      </w:r>
      <w:r w:rsidRPr="000B62B5">
        <w:instrText xml:space="preserve"> REF  REUL_LED_A_15_4 \h  \* MERGEFORMAT </w:instrText>
      </w:r>
      <w:r w:rsidRPr="000B62B5">
        <w:fldChar w:fldCharType="separate"/>
      </w:r>
      <w:r w:rsidR="000B62B5" w:rsidRPr="000B62B5">
        <w:t>159</w:t>
      </w:r>
      <w:r w:rsidRPr="000B62B5">
        <w:fldChar w:fldCharType="end"/>
      </w:r>
      <w:r>
        <w:t xml:space="preserve">, </w:t>
      </w:r>
      <w:r w:rsidRPr="000B62B5">
        <w:fldChar w:fldCharType="begin"/>
      </w:r>
      <w:r w:rsidRPr="000B62B5">
        <w:instrText xml:space="preserve"> REF  REUL_LED_A_17_1_2 \h  \* MERGEFORMAT </w:instrText>
      </w:r>
      <w:r w:rsidRPr="000B62B5">
        <w:fldChar w:fldCharType="separate"/>
      </w:r>
      <w:r w:rsidR="000B62B5" w:rsidRPr="000B62B5">
        <w:t>162</w:t>
      </w:r>
      <w:r w:rsidRPr="000B62B5">
        <w:fldChar w:fldCharType="end"/>
      </w:r>
      <w:r>
        <w:t>-</w:t>
      </w:r>
      <w:r w:rsidRPr="000B62B5">
        <w:fldChar w:fldCharType="begin"/>
      </w:r>
      <w:r w:rsidRPr="000B62B5">
        <w:instrText xml:space="preserve"> REF  REUL_LED_A_47_2_b_c \h  \* MERGEFORMAT </w:instrText>
      </w:r>
      <w:r w:rsidRPr="000B62B5">
        <w:fldChar w:fldCharType="separate"/>
      </w:r>
      <w:r w:rsidR="000B62B5" w:rsidRPr="000B62B5">
        <w:t>172</w:t>
      </w:r>
      <w:r w:rsidRPr="000B62B5">
        <w:fldChar w:fldCharType="end"/>
      </w:r>
      <w:r>
        <w:t xml:space="preserve">, </w:t>
      </w:r>
      <w:r w:rsidRPr="000B62B5">
        <w:fldChar w:fldCharType="begin"/>
      </w:r>
      <w:r w:rsidRPr="000B62B5">
        <w:instrText xml:space="preserve"> REF  RCoEM_C_108_Add_Prot_A_1_expl_rep_13 \h  \* MERGEFORMAT </w:instrText>
      </w:r>
      <w:r w:rsidRPr="000B62B5">
        <w:fldChar w:fldCharType="separate"/>
      </w:r>
      <w:r w:rsidR="000B62B5" w:rsidRPr="000B62B5">
        <w:t>187</w:t>
      </w:r>
      <w:r w:rsidRPr="000B62B5">
        <w:fldChar w:fldCharType="end"/>
      </w:r>
      <w:r>
        <w:t>-</w:t>
      </w:r>
      <w:r w:rsidRPr="000B62B5">
        <w:fldChar w:fldCharType="begin"/>
      </w:r>
      <w:r w:rsidRPr="000B62B5">
        <w:instrText xml:space="preserve"> REF  RCoEM_C_108_Add_Prot_A_1_expl_rep_14 \h  \* MERGEFORMAT </w:instrText>
      </w:r>
      <w:r w:rsidRPr="000B62B5">
        <w:fldChar w:fldCharType="separate"/>
      </w:r>
      <w:r w:rsidR="000B62B5" w:rsidRPr="000B62B5">
        <w:t>188</w:t>
      </w:r>
      <w:r w:rsidRPr="000B62B5">
        <w:fldChar w:fldCharType="end"/>
      </w:r>
      <w:r>
        <w:t xml:space="preserve">, </w:t>
      </w:r>
      <w:r w:rsidRPr="000B62B5">
        <w:fldChar w:fldCharType="begin"/>
      </w:r>
      <w:r w:rsidRPr="000B62B5">
        <w:instrText xml:space="preserve"> REF  RCoEM_Mod_C_108_A_9_1_b_expl_rep \h  \* MERGEFORMAT </w:instrText>
      </w:r>
      <w:r w:rsidRPr="000B62B5">
        <w:fldChar w:fldCharType="separate"/>
      </w:r>
      <w:r w:rsidR="000B62B5" w:rsidRPr="000B62B5">
        <w:t>194</w:t>
      </w:r>
      <w:r w:rsidRPr="000B62B5">
        <w:fldChar w:fldCharType="end"/>
      </w:r>
      <w:r>
        <w:t xml:space="preserve"> </w:t>
      </w:r>
      <w:r>
        <w:rPr>
          <w:i/>
        </w:rPr>
        <w:t>in fine</w:t>
      </w:r>
      <w:r>
        <w:t xml:space="preserve">, </w:t>
      </w:r>
      <w:r w:rsidRPr="000B62B5">
        <w:fldChar w:fldCharType="begin"/>
      </w:r>
      <w:r w:rsidRPr="000B62B5">
        <w:instrText xml:space="preserve"> REF  RCoEM_Mod_C_108_A_11_3_expl_rep \h  \* MERGEFORMAT </w:instrText>
      </w:r>
      <w:r w:rsidRPr="000B62B5">
        <w:fldChar w:fldCharType="separate"/>
      </w:r>
      <w:r w:rsidR="000B62B5" w:rsidRPr="000B62B5">
        <w:t>201</w:t>
      </w:r>
      <w:r w:rsidRPr="000B62B5">
        <w:fldChar w:fldCharType="end"/>
      </w:r>
      <w:r>
        <w:t xml:space="preserve"> și </w:t>
      </w:r>
      <w:r w:rsidRPr="000B62B5">
        <w:fldChar w:fldCharType="begin"/>
      </w:r>
      <w:r w:rsidRPr="000B62B5">
        <w:instrText xml:space="preserve"> REF  RREP_FRA_2015 \h  \* MERGEFORMAT </w:instrText>
      </w:r>
      <w:r w:rsidRPr="000B62B5">
        <w:fldChar w:fldCharType="separate"/>
      </w:r>
      <w:r w:rsidR="000B62B5" w:rsidRPr="000B62B5">
        <w:t>205</w:t>
      </w:r>
      <w:r w:rsidRPr="000B62B5">
        <w:fldChar w:fldCharType="end"/>
      </w:r>
      <w:r>
        <w:t>-</w:t>
      </w:r>
      <w:r w:rsidRPr="000B62B5">
        <w:fldChar w:fldCharType="begin"/>
      </w:r>
      <w:r w:rsidRPr="000B62B5">
        <w:instrText xml:space="preserve"> REF  RREP_FRA_2023 \h  \* MERGEFORMAT </w:instrText>
      </w:r>
      <w:r w:rsidRPr="000B62B5">
        <w:fldChar w:fldCharType="separate"/>
      </w:r>
      <w:r w:rsidR="000B62B5" w:rsidRPr="000B62B5">
        <w:t>207</w:t>
      </w:r>
      <w:r w:rsidRPr="000B62B5">
        <w:fldChar w:fldCharType="end"/>
      </w:r>
      <w:r>
        <w:t xml:space="preserve">], identificate în legislația privind protecția datelor în legătură cu situații de tipul celor care sunt în discuție aici. Într-adevăr, atunci când apreciază probleme legate de prelucrarea datelor în temeiul art. 8 din Convenție, Curtea ține deseori seama de principiile cuprinse în această legislație [a se vedea </w:t>
      </w:r>
      <w:bookmarkStart w:id="514" w:name="_cl42384THELAW"/>
      <w:r>
        <w:rPr>
          <w:i/>
        </w:rPr>
        <w:t>L.B. împotriva Ungariei</w:t>
      </w:r>
      <w:bookmarkEnd w:id="514"/>
      <w:r>
        <w:t xml:space="preserve"> (MC), nr. 36345/16, pct. 123, 9 martie 2023, și </w:t>
      </w:r>
      <w:r>
        <w:rPr>
          <w:i/>
        </w:rPr>
        <w:t>Ships Waste Oil Collector B.V. și altele</w:t>
      </w:r>
      <w:r>
        <w:t xml:space="preserve">, citată anterior, pct. 155 </w:t>
      </w:r>
      <w:r>
        <w:rPr>
          <w:i/>
        </w:rPr>
        <w:t>in fine</w:t>
      </w:r>
      <w:r>
        <w:t>]; și</w:t>
      </w:r>
    </w:p>
    <w:p w:rsidR="00DE4BFE" w:rsidRPr="000B62B5" w:rsidRDefault="00E34145" w:rsidP="000B62B5">
      <w:pPr>
        <w:pStyle w:val="JuPara"/>
      </w:pPr>
      <w:r>
        <w:t>(</w:t>
      </w:r>
      <w:bookmarkStart w:id="515" w:name="L_C_A_8_m_justif_C_g_pr_7_b"/>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515"/>
      <w:r>
        <w:t>) soluțiile care decurg din propria jurisprudență a Curții în ceea ce privește scenariile similare din punct de vedere funcțional, care implică același tip de considerente precum cele care apar în prezenta cauză – în special cel al interceptării în masă a comunicațiilor.</w:t>
      </w:r>
    </w:p>
    <w:bookmarkStart w:id="516" w:name="L_C_A_8_m_justif_C_g_pr_8"/>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241</w:t>
      </w:r>
      <w:r w:rsidRPr="000B62B5">
        <w:fldChar w:fldCharType="end"/>
      </w:r>
      <w:bookmarkEnd w:id="516"/>
      <w:r>
        <w:t>. În domeniul interceptării în masă a comunicațiilor, considerentele de securitate națională pot de asemenea să excludă, în mod firesc, posibilitatea notificării persoanelor vizate cu privire la faptul că au fost obținute și sunt stocate date care le privesc. Având în vedere aspectele menționate, Curtea a statuat că lipsa unei astfel de notificări poate fi compensată printr-un control efectiv și printr-un mecanism de soluționare a plângerilor care nu depinde de o astfel de notificare și care permite oricărei persoane care suspectează că i-au fost interceptate comunicațiile să sesizeze o autoritate care: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deși nu este neapărat judiciară, este independentă de puterea executivă;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asigură caracterul echitabil al procedurii, oferind, în măsura posibilului, o procedură contradictorie; și (</w:t>
      </w:r>
      <w:r w:rsidR="000B62B5" w:rsidRPr="000B62B5">
        <w:fldChar w:fldCharType="begin"/>
      </w:r>
      <w:r>
        <w:instrText xml:space="preserve"> SEQ level2 \*roman \* MERGEFORMAT </w:instrText>
      </w:r>
      <w:r w:rsidR="000B62B5" w:rsidRPr="000B62B5">
        <w:fldChar w:fldCharType="separate"/>
      </w:r>
      <w:r w:rsidR="000B62B5" w:rsidRPr="000B62B5">
        <w:t>iii</w:t>
      </w:r>
      <w:r w:rsidR="000B62B5" w:rsidRPr="000B62B5">
        <w:fldChar w:fldCharType="end"/>
      </w:r>
      <w:r>
        <w:t>) poate pronunța decizii motivate și obligatorii din punct de vedere legal în ceea ce privește, printre altele, distrugerea materialelor interceptate, obținute sau stocate ilegal (a se vedea </w:t>
      </w:r>
      <w:r>
        <w:rPr>
          <w:i/>
        </w:rPr>
        <w:t>Centrum för rättvisa,</w:t>
      </w:r>
      <w:r>
        <w:t xml:space="preserve"> pct. 271-273, și</w:t>
      </w:r>
      <w:r>
        <w:rPr>
          <w:i/>
        </w:rPr>
        <w:t xml:space="preserve"> Big Brother Watch și alții,</w:t>
      </w:r>
      <w:r>
        <w:t xml:space="preserve"> pct. 357-359, ambele citate anterior). Pe această bază, Curtea a apreciat ca fiind satisfăcătoare:</w:t>
      </w:r>
    </w:p>
    <w:p w:rsidR="00DE4BFE" w:rsidRPr="000B62B5" w:rsidRDefault="00E34145" w:rsidP="000B62B5">
      <w:pPr>
        <w:pStyle w:val="JuPara"/>
      </w:pPr>
      <w:r>
        <w:t>(</w:t>
      </w:r>
      <w:bookmarkStart w:id="517" w:name="L_C_A_8_m_justif_C_g_pr_8_a"/>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517"/>
      <w:r>
        <w:t>) autoritățile de supraveghere independente care: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beneficiază de acces la toate materialele relevante;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xml:space="preserve">) sunt abilitate să verifice interceptarea, analizarea, utilizarea și distrugerea unor astfel de materiale de către serviciile de informații și să dispună distrugerea </w:t>
      </w:r>
      <w:r>
        <w:lastRenderedPageBreak/>
        <w:t>oricăror date colectate; (</w:t>
      </w:r>
      <w:r w:rsidR="000B62B5" w:rsidRPr="000B62B5">
        <w:fldChar w:fldCharType="begin"/>
      </w:r>
      <w:r>
        <w:instrText xml:space="preserve"> SEQ level2 \*roman \* MERGEFORMAT </w:instrText>
      </w:r>
      <w:r w:rsidR="000B62B5" w:rsidRPr="000B62B5">
        <w:fldChar w:fldCharType="separate"/>
      </w:r>
      <w:r w:rsidR="000B62B5" w:rsidRPr="000B62B5">
        <w:t>iii</w:t>
      </w:r>
      <w:r w:rsidR="000B62B5" w:rsidRPr="000B62B5">
        <w:fldChar w:fldCharType="end"/>
      </w:r>
      <w:r>
        <w:t>) pot analiza necesitatea și proporționalitatea ingerinței în drepturile prevăzute de Convenție care poate fi cauzată de interceptarea în masă a comunicațiilor; și (</w:t>
      </w:r>
      <w:r w:rsidR="000B62B5" w:rsidRPr="000B62B5">
        <w:fldChar w:fldCharType="begin"/>
      </w:r>
      <w:r>
        <w:instrText xml:space="preserve"> SEQ level2 \*roman \* MERGEFORMAT </w:instrText>
      </w:r>
      <w:r w:rsidR="000B62B5" w:rsidRPr="000B62B5">
        <w:fldChar w:fldCharType="separate"/>
      </w:r>
      <w:r w:rsidR="000B62B5" w:rsidRPr="000B62B5">
        <w:t>iv</w:t>
      </w:r>
      <w:r w:rsidR="000B62B5" w:rsidRPr="000B62B5">
        <w:fldChar w:fldCharType="end"/>
      </w:r>
      <w:r>
        <w:t xml:space="preserve">) exercită în mod regulat aceste competențe în practică (a se vedea </w:t>
      </w:r>
      <w:r>
        <w:rPr>
          <w:i/>
        </w:rPr>
        <w:t>Centrum för rättvisa</w:t>
      </w:r>
      <w:r>
        <w:t xml:space="preserve">, pct. 345-353, și </w:t>
      </w:r>
      <w:r>
        <w:rPr>
          <w:i/>
        </w:rPr>
        <w:t>Big Brother Watch și alții</w:t>
      </w:r>
      <w:r>
        <w:t>, pct. 406-412, ambele citate anterior); și</w:t>
      </w:r>
    </w:p>
    <w:p w:rsidR="00DE4BFE" w:rsidRPr="000B62B5" w:rsidRDefault="00E34145" w:rsidP="000B62B5">
      <w:pPr>
        <w:pStyle w:val="JuPara"/>
      </w:pPr>
      <w:r>
        <w:t>(</w:t>
      </w:r>
      <w:bookmarkStart w:id="518" w:name="L_C_A_8_m_justif_C_g_pr_8_b"/>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518"/>
      <w:r>
        <w:t>) mecanismele de control</w:t>
      </w:r>
      <w:r>
        <w:rPr>
          <w:i/>
        </w:rPr>
        <w:t xml:space="preserve"> a posteriori</w:t>
      </w:r>
      <w:r>
        <w:t xml:space="preserve"> care: (</w:t>
      </w:r>
      <w:r w:rsidR="000B62B5" w:rsidRPr="000B62B5">
        <w:fldChar w:fldCharType="begin"/>
      </w:r>
      <w:r>
        <w:instrText xml:space="preserve"> SEQ level2 \*roman \r1 \* MERGEFORMAT </w:instrText>
      </w:r>
      <w:r w:rsidR="000B62B5" w:rsidRPr="000B62B5">
        <w:fldChar w:fldCharType="separate"/>
      </w:r>
      <w:r w:rsidR="000B62B5" w:rsidRPr="000B62B5">
        <w:t>i</w:t>
      </w:r>
      <w:r w:rsidR="000B62B5" w:rsidRPr="000B62B5">
        <w:fldChar w:fldCharType="end"/>
      </w:r>
      <w:r>
        <w:t>) pot fi puse în aplicare fără să fie necesar ca persoanele vizate să demonstreze că este posibil să fi fost afectate de o operațiune de interceptare în masă; (</w:t>
      </w:r>
      <w:r w:rsidR="000B62B5" w:rsidRPr="000B62B5">
        <w:fldChar w:fldCharType="begin"/>
      </w:r>
      <w:r>
        <w:instrText xml:space="preserve"> SEQ level2 \*roman \* MERGEFORMAT </w:instrText>
      </w:r>
      <w:r w:rsidR="000B62B5" w:rsidRPr="000B62B5">
        <w:fldChar w:fldCharType="separate"/>
      </w:r>
      <w:r w:rsidR="000B62B5" w:rsidRPr="000B62B5">
        <w:t>ii</w:t>
      </w:r>
      <w:r w:rsidR="000B62B5" w:rsidRPr="000B62B5">
        <w:fldChar w:fldCharType="end"/>
      </w:r>
      <w:r>
        <w:t>) sunt independente, în special în ceea ce privește activitățile de colectare de informații pe care trebuie să le verifice; (</w:t>
      </w:r>
      <w:r w:rsidR="000B62B5" w:rsidRPr="000B62B5">
        <w:fldChar w:fldCharType="begin"/>
      </w:r>
      <w:r>
        <w:instrText xml:space="preserve"> SEQ level2 \*roman \* MERGEFORMAT </w:instrText>
      </w:r>
      <w:r w:rsidR="000B62B5" w:rsidRPr="000B62B5">
        <w:fldChar w:fldCharType="separate"/>
      </w:r>
      <w:r w:rsidR="000B62B5" w:rsidRPr="000B62B5">
        <w:t>iii</w:t>
      </w:r>
      <w:r w:rsidR="000B62B5" w:rsidRPr="000B62B5">
        <w:fldChar w:fldCharType="end"/>
      </w:r>
      <w:r>
        <w:t>) pot să obțină și să analizeze toate materialele relevante; (</w:t>
      </w:r>
      <w:r w:rsidR="000B62B5" w:rsidRPr="000B62B5">
        <w:fldChar w:fldCharType="begin"/>
      </w:r>
      <w:r>
        <w:instrText xml:space="preserve"> SEQ level2 \*roman \* MERGEFORMAT </w:instrText>
      </w:r>
      <w:r w:rsidR="000B62B5" w:rsidRPr="000B62B5">
        <w:fldChar w:fldCharType="separate"/>
      </w:r>
      <w:r w:rsidR="000B62B5" w:rsidRPr="000B62B5">
        <w:t>iv</w:t>
      </w:r>
      <w:r w:rsidR="000B62B5" w:rsidRPr="000B62B5">
        <w:fldChar w:fldCharType="end"/>
      </w:r>
      <w:r>
        <w:t>) pot să aprecieze în mod corespunzător dacă operațiunile relevante desfășurate de serviciile de informații respectă Convenția; și (</w:t>
      </w:r>
      <w:r w:rsidR="000B62B5" w:rsidRPr="000B62B5">
        <w:fldChar w:fldCharType="begin"/>
      </w:r>
      <w:r>
        <w:instrText xml:space="preserve"> SEQ level2 \*roman \* MERGEFORMAT </w:instrText>
      </w:r>
      <w:r w:rsidR="000B62B5" w:rsidRPr="000B62B5">
        <w:fldChar w:fldCharType="separate"/>
      </w:r>
      <w:r w:rsidR="000B62B5" w:rsidRPr="000B62B5">
        <w:t>v</w:t>
      </w:r>
      <w:r w:rsidR="000B62B5" w:rsidRPr="000B62B5">
        <w:fldChar w:fldCharType="end"/>
      </w:r>
      <w:r>
        <w:t xml:space="preserve">) pot să soluționeze plângerile cu care sunt sesizate prin adoptarea unor decizii obligatorii din punct de vedere juridic, prin care se poate dispune, printre altele, distrugerea materialelor interceptate și care conțin o motivare accesibilă publicului sau cel puțin o motivare accesibilă unui avocat special care deține un certificat de securitate sau o autorizație de acces (a se vedea </w:t>
      </w:r>
      <w:r>
        <w:rPr>
          <w:i/>
        </w:rPr>
        <w:t>Centrum för rättvisa</w:t>
      </w:r>
      <w:r>
        <w:t xml:space="preserve">, pct. 354-364, și </w:t>
      </w:r>
      <w:r>
        <w:rPr>
          <w:i/>
        </w:rPr>
        <w:t>Big Brother Watch și alții</w:t>
      </w:r>
      <w:r>
        <w:t>, pct. 413-414, ambele citate anterior).</w:t>
      </w:r>
    </w:p>
    <w:bookmarkStart w:id="519" w:name="L_C_A_8_m_justif_C_g_pr_9"/>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242</w:t>
      </w:r>
      <w:r w:rsidRPr="000B62B5">
        <w:fldChar w:fldCharType="end"/>
      </w:r>
      <w:bookmarkEnd w:id="519"/>
      <w:r>
        <w:t>. Soluțiile sus-menționate, care se suprapun în mare măsură, sugerează că, ori de câte ori este legitim și proporțional să se limiteze sau să se elimine transparența prelucrării datelor de către o autoritate publică, deoarece acest lucru ar putea submina sau chiar zădărnici scopul prelucrării respective ori un alt interes valabil (așa cum se întâmplă frecvent în cazul prelucrării datelor de către serviciile de securitate și de informații), singura modalitate fezabilă de a preveni arbitrariul sau abuzurile în ceea ce privește prelucrarea respectivă – și, astfel, de a garanta că aceasta este „prevăzută de lege” – este instituirea unui mecanism de acces indirect sau a unui mecanism de supraveghere ori a unei combinații de astfel de mecanisme, care să permită compensarea imposibilității persoanelor în cauză de a solicita reparații în mod direct și în deplină cunoștință de cauză. Acest mecanism trebuie să asigure un control independent și suficient de riguros al prelucrării datelor relevante; buna sa funcționare depinde de caracterul efectiv al competențelor de investigare, corective și de remediere de care dispune autoritatea independentă care efectuează controlul respectiv. Mai precis, această autoritate trebuie: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să fie suficient de independentă;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să asigure caracterul echitabil al procedurii, oferind, în măsura posibilului, o procedură contradictorie;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să fie în măsură să obțină și să analizeze toate materialele relevante; (</w:t>
      </w:r>
      <w:r w:rsidR="000B62B5" w:rsidRPr="000B62B5">
        <w:fldChar w:fldCharType="begin"/>
      </w:r>
      <w:r>
        <w:instrText xml:space="preserve"> SEQ level1 \*alphabetic \* MERGEFORMAT </w:instrText>
      </w:r>
      <w:r w:rsidR="000B62B5" w:rsidRPr="000B62B5">
        <w:fldChar w:fldCharType="separate"/>
      </w:r>
      <w:r w:rsidR="000B62B5" w:rsidRPr="000B62B5">
        <w:t>d</w:t>
      </w:r>
      <w:r w:rsidR="000B62B5" w:rsidRPr="000B62B5">
        <w:fldChar w:fldCharType="end"/>
      </w:r>
      <w:r>
        <w:t>) să fie în măsură să aprecieze în mod corespunzător dacă prelucrarea datelor relevante este conformă cu Convenția; și (</w:t>
      </w:r>
      <w:r w:rsidR="000B62B5" w:rsidRPr="000B62B5">
        <w:fldChar w:fldCharType="begin"/>
      </w:r>
      <w:r>
        <w:instrText xml:space="preserve"> SEQ level1 \*alphabetic \* MERGEFORMAT </w:instrText>
      </w:r>
      <w:r w:rsidR="000B62B5" w:rsidRPr="000B62B5">
        <w:fldChar w:fldCharType="separate"/>
      </w:r>
      <w:r w:rsidR="000B62B5" w:rsidRPr="000B62B5">
        <w:t>e</w:t>
      </w:r>
      <w:r w:rsidR="000B62B5" w:rsidRPr="000B62B5">
        <w:fldChar w:fldCharType="end"/>
      </w:r>
      <w:r>
        <w:t>) să poată pronunța decizii motivate și obligatorii din punct de vedere juridic cu privire la prelucrarea datelor relevante. Mecanismul trebuie, desigur, să funcționeze eficient și în practică.</w:t>
      </w:r>
    </w:p>
    <w:bookmarkStart w:id="520" w:name="L_C_A_8_m_justif_C_g_pr_10"/>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243</w:t>
      </w:r>
      <w:r w:rsidRPr="000B62B5">
        <w:fldChar w:fldCharType="end"/>
      </w:r>
      <w:bookmarkEnd w:id="520"/>
      <w:r>
        <w:t xml:space="preserve">. Aceasta a fost, de asemenea, abordarea generală pe care s-a întemeiat analiza Curții în cauza </w:t>
      </w:r>
      <w:r>
        <w:rPr>
          <w:i/>
        </w:rPr>
        <w:t>Leander</w:t>
      </w:r>
      <w:r>
        <w:t xml:space="preserve"> (citată anterior, pct. 61-66), </w:t>
      </w:r>
      <w:r>
        <w:rPr>
          <w:i/>
        </w:rPr>
        <w:t>Segerstedt-Wiberg și alții</w:t>
      </w:r>
      <w:r>
        <w:t xml:space="preserve"> (citată anterior, pct. 102-03) și </w:t>
      </w:r>
      <w:r>
        <w:rPr>
          <w:i/>
        </w:rPr>
        <w:t>Dalea</w:t>
      </w:r>
      <w:r>
        <w:t xml:space="preserve"> (citată anterior).</w:t>
      </w:r>
    </w:p>
    <w:p w:rsidR="00DE4BFE" w:rsidRPr="000B62B5" w:rsidRDefault="00E34145" w:rsidP="000B62B5">
      <w:pPr>
        <w:pStyle w:val="JuHalpha"/>
      </w:pPr>
      <w:bookmarkStart w:id="521" w:name="_Toc176454202"/>
      <w:bookmarkStart w:id="522" w:name="_Toc236764814"/>
      <w:r>
        <w:t>Aplicarea acestor principii</w:t>
      </w:r>
      <w:bookmarkEnd w:id="521"/>
      <w:bookmarkEnd w:id="522"/>
    </w:p>
    <w:bookmarkStart w:id="523" w:name="L_C_A_8_m_justif_C_apl_pr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244</w:t>
      </w:r>
      <w:r w:rsidRPr="000B62B5">
        <w:fldChar w:fldCharType="end"/>
      </w:r>
      <w:bookmarkEnd w:id="523"/>
      <w:r>
        <w:t>. Refuzul Agenției de a dezvălui dacă a colectat sau nu informații cu privire la domnul Kanev sau la Comitet – inclusiv informații obținute în urma recrutării ca informatori a unor persoane din rândul membrilor sau al personalului Comitetului – s-a bazat pe dispozițiile relevante ale Legii din 2007 și a fost confirmat de instanțele bulgare (a se vedea supra, pct. </w:t>
      </w:r>
      <w:r w:rsidRPr="000B62B5">
        <w:fldChar w:fldCharType="begin"/>
      </w:r>
      <w:r w:rsidRPr="000B62B5">
        <w:instrText xml:space="preserve"> REF  F_1_inf_req_initial_response \h  \* MERGEFORMAT </w:instrText>
      </w:r>
      <w:r w:rsidRPr="000B62B5">
        <w:fldChar w:fldCharType="separate"/>
      </w:r>
      <w:r w:rsidR="000B62B5" w:rsidRPr="000B62B5">
        <w:t>7</w:t>
      </w:r>
      <w:r w:rsidRPr="000B62B5">
        <w:fldChar w:fldCharType="end"/>
      </w:r>
      <w:r>
        <w:t xml:space="preserve">, </w:t>
      </w:r>
      <w:r w:rsidRPr="000B62B5">
        <w:fldChar w:fldCharType="begin"/>
      </w:r>
      <w:r w:rsidRPr="000B62B5">
        <w:instrText xml:space="preserve"> REF  F_1_inf_req_amended_response \h  \* MERGEFORMAT </w:instrText>
      </w:r>
      <w:r w:rsidRPr="000B62B5">
        <w:fldChar w:fldCharType="separate"/>
      </w:r>
      <w:r w:rsidR="000B62B5" w:rsidRPr="000B62B5">
        <w:t>9</w:t>
      </w:r>
      <w:r w:rsidRPr="000B62B5">
        <w:fldChar w:fldCharType="end"/>
      </w:r>
      <w:r>
        <w:t>-</w:t>
      </w:r>
      <w:r w:rsidRPr="000B62B5">
        <w:fldChar w:fldCharType="begin"/>
      </w:r>
      <w:r w:rsidRPr="000B62B5">
        <w:instrText xml:space="preserve"> REF  F_1_inf_req_amended_response_ter \h  \* MERGEFORMAT </w:instrText>
      </w:r>
      <w:r w:rsidRPr="000B62B5">
        <w:fldChar w:fldCharType="separate"/>
      </w:r>
      <w:r w:rsidR="000B62B5" w:rsidRPr="000B62B5">
        <w:t>11</w:t>
      </w:r>
      <w:r w:rsidRPr="000B62B5">
        <w:fldChar w:fldCharType="end"/>
      </w:r>
      <w:r>
        <w:t xml:space="preserve">, </w:t>
      </w:r>
      <w:r w:rsidRPr="000B62B5">
        <w:fldChar w:fldCharType="begin"/>
      </w:r>
      <w:r w:rsidRPr="000B62B5">
        <w:instrText xml:space="preserve"> REF  F_1_inf_req_jud_rev_claim_SCAC_jud \h  \* MERGEFORMAT </w:instrText>
      </w:r>
      <w:r w:rsidRPr="000B62B5">
        <w:fldChar w:fldCharType="separate"/>
      </w:r>
      <w:r w:rsidR="000B62B5" w:rsidRPr="000B62B5">
        <w:t>19</w:t>
      </w:r>
      <w:r w:rsidRPr="000B62B5">
        <w:fldChar w:fldCharType="end"/>
      </w:r>
      <w:r>
        <w:t xml:space="preserve"> și </w:t>
      </w:r>
      <w:r w:rsidRPr="000B62B5">
        <w:fldChar w:fldCharType="begin"/>
      </w:r>
      <w:r w:rsidRPr="000B62B5">
        <w:instrText xml:space="preserve"> REF  F_1_inf_req_jud_rev_claim_SAC_jud \h  \* MERGEFORMAT </w:instrText>
      </w:r>
      <w:r w:rsidRPr="000B62B5">
        <w:fldChar w:fldCharType="separate"/>
      </w:r>
      <w:r w:rsidR="000B62B5" w:rsidRPr="000B62B5">
        <w:t>23</w:t>
      </w:r>
      <w:r w:rsidRPr="000B62B5">
        <w:fldChar w:fldCharType="end"/>
      </w:r>
      <w:r>
        <w:t>-</w:t>
      </w:r>
      <w:r w:rsidRPr="000B62B5">
        <w:fldChar w:fldCharType="begin"/>
      </w:r>
      <w:r w:rsidRPr="000B62B5">
        <w:instrText xml:space="preserve"> REF  F_1_inf_req_jud_rev_claim_SAC_jud_quinqs \h  \* MERGEFORMAT </w:instrText>
      </w:r>
      <w:r w:rsidRPr="000B62B5">
        <w:fldChar w:fldCharType="separate"/>
      </w:r>
      <w:r w:rsidR="000B62B5" w:rsidRPr="000B62B5">
        <w:t>27</w:t>
      </w:r>
      <w:r w:rsidRPr="000B62B5">
        <w:fldChar w:fldCharType="end"/>
      </w:r>
      <w:r>
        <w:t>). Prin urmare, se poate admite că ingerința a fost legală din perspectiva dreptului bulgar.</w:t>
      </w:r>
    </w:p>
    <w:bookmarkStart w:id="524" w:name="L_C_A_8_m_justif_C_apl_pr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245</w:t>
      </w:r>
      <w:r w:rsidRPr="000B62B5">
        <w:fldChar w:fldCharType="end"/>
      </w:r>
      <w:bookmarkEnd w:id="524"/>
      <w:r>
        <w:t xml:space="preserve">. Rămâne, așadar, să se stabilească dacă ingerința a îndeplinit celelalte cerințe care decurg din sintagma „prevăzută de lege”, astfel cum s-a evidențiat la punctele </w:t>
      </w:r>
      <w:r w:rsidRPr="000B62B5">
        <w:fldChar w:fldCharType="begin"/>
      </w:r>
      <w:r w:rsidRPr="000B62B5">
        <w:instrText xml:space="preserve"> REF  L_C_A_8_m_justif_C_g_pr_1 \h  \* MERGEFORMAT </w:instrText>
      </w:r>
      <w:r w:rsidRPr="000B62B5">
        <w:fldChar w:fldCharType="separate"/>
      </w:r>
      <w:r w:rsidR="000B62B5" w:rsidRPr="000B62B5">
        <w:t>236</w:t>
      </w:r>
      <w:r w:rsidRPr="000B62B5">
        <w:fldChar w:fldCharType="end"/>
      </w:r>
      <w:r>
        <w:t>-</w:t>
      </w:r>
      <w:r w:rsidRPr="000B62B5">
        <w:fldChar w:fldCharType="begin"/>
      </w:r>
      <w:r w:rsidRPr="000B62B5">
        <w:instrText xml:space="preserve"> REF  L_C_A_8_m_justif_C_g_pr_10 \h  \* MERGEFORMAT </w:instrText>
      </w:r>
      <w:r w:rsidRPr="000B62B5">
        <w:fldChar w:fldCharType="separate"/>
      </w:r>
      <w:r w:rsidR="000B62B5" w:rsidRPr="000B62B5">
        <w:t>243</w:t>
      </w:r>
      <w:r w:rsidRPr="000B62B5">
        <w:fldChar w:fldCharType="end"/>
      </w:r>
      <w:r>
        <w:t xml:space="preserve"> de mai sus – în special dacă a fost însoțită de garanții eficiente împotriva arbitrariului și a abuzurilor.</w:t>
      </w:r>
    </w:p>
    <w:bookmarkStart w:id="525" w:name="L_C_A_8_m_justif_C_apl_pr_3"/>
    <w:p w:rsidR="00DE4BFE" w:rsidRPr="000B62B5" w:rsidRDefault="00E34145" w:rsidP="000B62B5">
      <w:pPr>
        <w:pStyle w:val="JuPara"/>
      </w:pPr>
      <w:r w:rsidRPr="000B62B5">
        <w:lastRenderedPageBreak/>
        <w:fldChar w:fldCharType="begin"/>
      </w:r>
      <w:r w:rsidRPr="000B62B5">
        <w:instrText xml:space="preserve"> SEQ level0 \*arabic \* MERGEFORMAT </w:instrText>
      </w:r>
      <w:r w:rsidRPr="000B62B5">
        <w:fldChar w:fldCharType="separate"/>
      </w:r>
      <w:r w:rsidR="000B62B5" w:rsidRPr="000B62B5">
        <w:t>246</w:t>
      </w:r>
      <w:r w:rsidRPr="000B62B5">
        <w:fldChar w:fldCharType="end"/>
      </w:r>
      <w:bookmarkEnd w:id="525"/>
      <w:r>
        <w:t xml:space="preserve">. Aprecierea acestei chestiuni implică în mod necesar un anumit grad de abstractizare (a se vedea </w:t>
      </w:r>
      <w:r>
        <w:rPr>
          <w:i/>
        </w:rPr>
        <w:t>Kruslin împotriva Franței</w:t>
      </w:r>
      <w:r>
        <w:t xml:space="preserve">, 24 aprilie 1990, pct. 31-32, seria A nr. 176‑A, și </w:t>
      </w:r>
      <w:r>
        <w:rPr>
          <w:i/>
        </w:rPr>
        <w:t>Huvig împotriva Franței</w:t>
      </w:r>
      <w:r>
        <w:t xml:space="preserve">, 24 aprilie 1990, pct. 30-31, seria A nr. 176‑B). Într-adevăr, această apreciere impune o examinare a întregului sistem instituit de statul pârât – întrucât o deficiență existentă într-o anumită privință ar putea fi compensată prin asigurarea unei garanții în altă privință (a se vedea </w:t>
      </w:r>
      <w:r>
        <w:rPr>
          <w:i/>
        </w:rPr>
        <w:t>I.R. și G.T. împotriva Regatului Unit</w:t>
      </w:r>
      <w:r>
        <w:t xml:space="preserve">, pct. 60, și </w:t>
      </w:r>
      <w:r>
        <w:rPr>
          <w:i/>
        </w:rPr>
        <w:t>Saeed</w:t>
      </w:r>
      <w:r>
        <w:t xml:space="preserve">, pct. 35 </w:t>
      </w:r>
      <w:r>
        <w:rPr>
          <w:i/>
        </w:rPr>
        <w:t>in fine</w:t>
      </w:r>
      <w:r>
        <w:t>, ambele citate anterior).</w:t>
      </w:r>
    </w:p>
    <w:p w:rsidR="00DE4BFE"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247</w:t>
      </w:r>
      <w:r w:rsidRPr="000B62B5">
        <w:fldChar w:fldCharType="end"/>
      </w:r>
      <w:r>
        <w:t>. Posibilele garanții aplicabile în legătură cu prelucrarea de către Agenție a datelor operaționale referitoare la reclamanți sunt: (</w:t>
      </w:r>
      <w:r w:rsidRPr="000B62B5">
        <w:fldChar w:fldCharType="begin"/>
      </w:r>
      <w:r>
        <w:instrText xml:space="preserve"> SEQ level1 \*alphabetic \r1 \* MERGEFORMAT </w:instrText>
      </w:r>
      <w:r w:rsidRPr="000B62B5">
        <w:fldChar w:fldCharType="separate"/>
      </w:r>
      <w:r w:rsidRPr="000B62B5">
        <w:t>a</w:t>
      </w:r>
      <w:r w:rsidRPr="000B62B5">
        <w:fldChar w:fldCharType="end"/>
      </w:r>
      <w:r>
        <w:t>) procedura având ca obiect controlul jurisdicțional al refuzului Agenției de a dezvălui dacă prelucra sau nu astfel de date; (</w:t>
      </w:r>
      <w:r w:rsidRPr="000B62B5">
        <w:fldChar w:fldCharType="begin"/>
      </w:r>
      <w:r>
        <w:instrText xml:space="preserve"> SEQ level1 \*alphabetic \* MERGEFORMAT </w:instrText>
      </w:r>
      <w:r w:rsidRPr="000B62B5">
        <w:fldChar w:fldCharType="separate"/>
      </w:r>
      <w:r w:rsidRPr="000B62B5">
        <w:t>b</w:t>
      </w:r>
      <w:r w:rsidRPr="000B62B5">
        <w:fldChar w:fldCharType="end"/>
      </w:r>
      <w:r>
        <w:t>) posibila supraveghere, de către Comisia pentru protecția datelor cu caracter personal, a prelucrării datelor de către Agenție; (</w:t>
      </w:r>
      <w:r w:rsidRPr="000B62B5">
        <w:fldChar w:fldCharType="begin"/>
      </w:r>
      <w:r>
        <w:instrText xml:space="preserve"> SEQ level1 \*alphabetic \* MERGEFORMAT </w:instrText>
      </w:r>
      <w:r w:rsidRPr="000B62B5">
        <w:fldChar w:fldCharType="separate"/>
      </w:r>
      <w:r w:rsidRPr="000B62B5">
        <w:t>c</w:t>
      </w:r>
      <w:r w:rsidRPr="000B62B5">
        <w:fldChar w:fldCharType="end"/>
      </w:r>
      <w:r>
        <w:t>) supravegherea anumitor aspecte ale activității Agenției de către Biroul Național; (</w:t>
      </w:r>
      <w:r w:rsidRPr="000B62B5">
        <w:fldChar w:fldCharType="begin"/>
      </w:r>
      <w:r>
        <w:instrText xml:space="preserve"> SEQ level1 \*alphabetic \* MERGEFORMAT </w:instrText>
      </w:r>
      <w:r w:rsidRPr="000B62B5">
        <w:fldChar w:fldCharType="separate"/>
      </w:r>
      <w:r w:rsidRPr="000B62B5">
        <w:t>d</w:t>
      </w:r>
      <w:r w:rsidRPr="000B62B5">
        <w:fldChar w:fldCharType="end"/>
      </w:r>
      <w:r>
        <w:t>) supravegherea activității Agenției de către o comisie parlamentară specială și de către Parlament în ansamblul său; și (</w:t>
      </w:r>
      <w:r w:rsidRPr="000B62B5">
        <w:fldChar w:fldCharType="begin"/>
      </w:r>
      <w:r>
        <w:instrText xml:space="preserve"> SEQ level1 \*alphabetic \* MERGEFORMAT </w:instrText>
      </w:r>
      <w:r w:rsidRPr="000B62B5">
        <w:fldChar w:fldCharType="separate"/>
      </w:r>
      <w:r w:rsidRPr="000B62B5">
        <w:t>e</w:t>
      </w:r>
      <w:r w:rsidRPr="000B62B5">
        <w:fldChar w:fldCharType="end"/>
      </w:r>
      <w:r>
        <w:t>) supravegherea activității Agenției de către Guvern și Președintele Republicii.</w:t>
      </w:r>
    </w:p>
    <w:p w:rsidR="00DE4BFE" w:rsidRPr="000B62B5" w:rsidRDefault="00E34145" w:rsidP="000B62B5">
      <w:pPr>
        <w:pStyle w:val="JuH"/>
      </w:pPr>
      <w:bookmarkStart w:id="526" w:name="_Toc236764815"/>
      <w:r>
        <w:t>Controlul jurisdicțional al refuzului Agenției de a dezvălui dacă prelucra sau nu date referitoare la reclamanți</w:t>
      </w:r>
      <w:bookmarkEnd w:id="526"/>
    </w:p>
    <w:bookmarkStart w:id="527" w:name="L_C_A_8_m_justif_C_apl_pr_jud_rev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248</w:t>
      </w:r>
      <w:r w:rsidRPr="000B62B5">
        <w:fldChar w:fldCharType="end"/>
      </w:r>
      <w:bookmarkEnd w:id="527"/>
      <w:r>
        <w:t>. Procedura având ca obiect controlul jurisdicțional al refuzului Agenției de a dezvălui dacă a colectat sau nu informații cu privire la reclamanți sau dacă deținea sau nu informații în acest sens în bazele sale de date – introdusă de reclamanți în temeiul articolului 36 alineatul (9) din Legea din 2007, în urma deciziei adoptate de Agenție ca răspuns la solicitarea formulată de aceștia în temeiul articolului 36 alineatul (4) (a se vedea supra, pct. </w:t>
      </w:r>
      <w:r w:rsidRPr="000B62B5">
        <w:fldChar w:fldCharType="begin"/>
      </w:r>
      <w:r w:rsidRPr="000B62B5">
        <w:instrText xml:space="preserve"> REF  F_1_inf_req_jud_rev_claim \h  \* MERGEFORMAT </w:instrText>
      </w:r>
      <w:r w:rsidRPr="000B62B5">
        <w:fldChar w:fldCharType="separate"/>
      </w:r>
      <w:r w:rsidR="000B62B5" w:rsidRPr="000B62B5">
        <w:t>12</w:t>
      </w:r>
      <w:r w:rsidRPr="000B62B5">
        <w:fldChar w:fldCharType="end"/>
      </w:r>
      <w:r>
        <w:t xml:space="preserve"> și </w:t>
      </w:r>
      <w:r w:rsidRPr="000B62B5">
        <w:fldChar w:fldCharType="begin"/>
      </w:r>
      <w:r w:rsidRPr="000B62B5">
        <w:instrText xml:space="preserve"> REF  RLF_SANSA_s_36_4_5_6 \h  \* MERGEFORMAT </w:instrText>
      </w:r>
      <w:r w:rsidRPr="000B62B5">
        <w:fldChar w:fldCharType="separate"/>
      </w:r>
      <w:r w:rsidR="000B62B5" w:rsidRPr="000B62B5">
        <w:t>67</w:t>
      </w:r>
      <w:r w:rsidRPr="000B62B5">
        <w:fldChar w:fldCharType="end"/>
      </w:r>
      <w:r>
        <w:t>-</w:t>
      </w:r>
      <w:r w:rsidRPr="000B62B5">
        <w:fldChar w:fldCharType="begin"/>
      </w:r>
      <w:r w:rsidRPr="000B62B5">
        <w:instrText xml:space="preserve"> REF  RLF_SANSA_s_36_9 \h  \* MERGEFORMAT </w:instrText>
      </w:r>
      <w:r w:rsidRPr="000B62B5">
        <w:fldChar w:fldCharType="separate"/>
      </w:r>
      <w:r w:rsidR="000B62B5" w:rsidRPr="000B62B5">
        <w:t>72</w:t>
      </w:r>
      <w:r w:rsidRPr="000B62B5">
        <w:fldChar w:fldCharType="end"/>
      </w:r>
      <w:r>
        <w:t>) – nu poate fi considerată o garanție efectivă.</w:t>
      </w:r>
    </w:p>
    <w:bookmarkStart w:id="528" w:name="L_C_A_8_m_justif_C_apl_pr_jud_rev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249</w:t>
      </w:r>
      <w:r w:rsidRPr="000B62B5">
        <w:fldChar w:fldCharType="end"/>
      </w:r>
      <w:bookmarkEnd w:id="528"/>
      <w:r>
        <w:t>. În primul rând, instanțele care au examinat această procedură nu au avut acces la materialele (dacă într-adevăr existau) la care făcea referire decizia Agenției [</w:t>
      </w:r>
      <w:r>
        <w:rPr>
          <w:i/>
        </w:rPr>
        <w:t>Brinks împotriva Țărilor de Jos</w:t>
      </w:r>
      <w:r>
        <w:t xml:space="preserve"> (dec.), nr. 9940/04, 5 aprilie 2005, și </w:t>
      </w:r>
      <w:r>
        <w:rPr>
          <w:i/>
        </w:rPr>
        <w:t>Das Universelle Leben Aller Kulturen Weltweit e.V. împotriva Germaniei</w:t>
      </w:r>
      <w:r>
        <w:t xml:space="preserve"> (dec.), nr. 60369/11, pct. 24, 17 noiembrie 2015]. Dimpotrivă, acestea au refuzat să oblige Agenția să prezinte astfel de materiale – chiar și cu scopul de a realiza propria lor verificare – pe motiv că nu erau necesare pentru a examina legalitatea deciziei Agenției [a se vedea supra, pct. </w:t>
      </w:r>
      <w:r w:rsidRPr="000B62B5">
        <w:fldChar w:fldCharType="begin"/>
      </w:r>
      <w:r w:rsidRPr="000B62B5">
        <w:instrText xml:space="preserve"> REF  F_1_inf_req_jud_rev_claim_ter \h  \* MERGEFORMAT </w:instrText>
      </w:r>
      <w:r w:rsidRPr="000B62B5">
        <w:fldChar w:fldCharType="separate"/>
      </w:r>
      <w:r w:rsidR="000B62B5" w:rsidRPr="000B62B5">
        <w:t>14</w:t>
      </w:r>
      <w:r w:rsidRPr="000B62B5">
        <w:fldChar w:fldCharType="end"/>
      </w:r>
      <w:r>
        <w:t xml:space="preserve"> (</w:t>
      </w:r>
      <w:r w:rsidRPr="000B62B5">
        <w:fldChar w:fldCharType="begin"/>
      </w:r>
      <w:r w:rsidRPr="000B62B5">
        <w:instrText xml:space="preserve"> REF  F_1_inf_req_jud_rev_claim_ter_b \h  \* MERGEFORMAT </w:instrText>
      </w:r>
      <w:r w:rsidRPr="000B62B5">
        <w:fldChar w:fldCharType="separate"/>
      </w:r>
      <w:r w:rsidR="000B62B5" w:rsidRPr="000B62B5">
        <w:t>b</w:t>
      </w:r>
      <w:r w:rsidRPr="000B62B5">
        <w:fldChar w:fldCharType="end"/>
      </w:r>
      <w:r>
        <w:t xml:space="preserve">) </w:t>
      </w:r>
      <w:r w:rsidRPr="000B62B5">
        <w:fldChar w:fldCharType="begin"/>
      </w:r>
      <w:r w:rsidRPr="000B62B5">
        <w:instrText xml:space="preserve"> REF  F_1_inf_req_jud_rev_claim_evidence_bis \h  \* MERGEFORMAT </w:instrText>
      </w:r>
      <w:r w:rsidRPr="000B62B5">
        <w:fldChar w:fldCharType="separate"/>
      </w:r>
      <w:r w:rsidR="000B62B5" w:rsidRPr="000B62B5">
        <w:t>17</w:t>
      </w:r>
      <w:r w:rsidRPr="000B62B5">
        <w:fldChar w:fldCharType="end"/>
      </w:r>
      <w:r>
        <w:t xml:space="preserve"> și </w:t>
      </w:r>
      <w:r w:rsidRPr="000B62B5">
        <w:fldChar w:fldCharType="begin"/>
      </w:r>
      <w:r w:rsidRPr="000B62B5">
        <w:instrText xml:space="preserve"> REF  F_1_inf_req_jud_rev_claim_SAC_jud_bis \h  \* MERGEFORMAT </w:instrText>
      </w:r>
      <w:r w:rsidRPr="000B62B5">
        <w:fldChar w:fldCharType="separate"/>
      </w:r>
      <w:r w:rsidR="000B62B5" w:rsidRPr="000B62B5">
        <w:t>24</w:t>
      </w:r>
      <w:r w:rsidRPr="000B62B5">
        <w:fldChar w:fldCharType="end"/>
      </w:r>
      <w:r>
        <w:t>]. Această deficiență este cu atât mai importantă într-un caz precum cel din speță, în care însăși problema în discuție era dacă Agenția a colectat sau nu informații cu privire la reclamanți sau dacă deținea informații de natură să pună în discuție drepturile reclamanților garantate la art. 8.</w:t>
      </w:r>
    </w:p>
    <w:bookmarkStart w:id="529" w:name="L_C_A_8_m_justif_C_apl_pr_jud_rev_2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250</w:t>
      </w:r>
      <w:r w:rsidRPr="000B62B5">
        <w:fldChar w:fldCharType="end"/>
      </w:r>
      <w:bookmarkEnd w:id="529"/>
      <w:r>
        <w:t>. Este adevărat că, în temeiul articolului 39a și, respectiv, al articolului 39 alineatul (3) punctul 3 din Legea din 2002 privind protecția informațiilor clasificate, justițiabilii și avocații acestora au dreptul de a avea acces la informații clasificate, referitoare la o cauză în care sunt implicați, fără a fi supuși unor verificări de securitate, dacă acest lucru este necesar pentru apărarea drepturilor lor constituționale (a se vedea pct. </w:t>
      </w:r>
      <w:r w:rsidRPr="000B62B5">
        <w:fldChar w:fldCharType="begin"/>
      </w:r>
      <w:r w:rsidRPr="000B62B5">
        <w:instrText xml:space="preserve"> REF RLF_PCIA_s_39_bis \h \* MERGEFORMAT </w:instrText>
      </w:r>
      <w:r w:rsidRPr="000B62B5">
        <w:fldChar w:fldCharType="separate"/>
      </w:r>
      <w:r w:rsidR="000B62B5" w:rsidRPr="000B62B5">
        <w:t>114</w:t>
      </w:r>
      <w:r w:rsidRPr="000B62B5">
        <w:fldChar w:fldCharType="end"/>
      </w:r>
      <w:r>
        <w:t xml:space="preserve"> </w:t>
      </w:r>
      <w:r>
        <w:rPr>
          <w:i/>
        </w:rPr>
        <w:t>in fine</w:t>
      </w:r>
      <w:r>
        <w:t xml:space="preserve"> și </w:t>
      </w:r>
      <w:r w:rsidRPr="000B62B5">
        <w:fldChar w:fldCharType="begin"/>
      </w:r>
      <w:r w:rsidRPr="000B62B5">
        <w:instrText xml:space="preserve"> REF RLF_PCIA_s_39a \h \* MERGEFORMAT </w:instrText>
      </w:r>
      <w:r w:rsidRPr="000B62B5">
        <w:fldChar w:fldCharType="separate"/>
      </w:r>
      <w:r w:rsidR="000B62B5" w:rsidRPr="000B62B5">
        <w:t>115</w:t>
      </w:r>
      <w:r w:rsidRPr="000B62B5">
        <w:fldChar w:fldCharType="end"/>
      </w:r>
      <w:r>
        <w:t>). Cu toate acestea, deliberările care au avut loc în cadrul Comisiei pentru afaceri juridice a Parlamentului în scopul formulării textului final al articolului 39a și puținele cazuri raportate referitoare la aplicarea articolului 39 alineatul (3) punctul 3 și a articolului 39a de către instanțele administrative sugerează că aceste dispoziții pot fi invocate numai atunci când informațiile clasificate au fost deja prezentate de Agenție (a se vedea supra, pct. </w:t>
      </w:r>
      <w:r w:rsidRPr="000B62B5">
        <w:fldChar w:fldCharType="begin"/>
      </w:r>
      <w:r w:rsidRPr="000B62B5">
        <w:instrText xml:space="preserve"> REF RLF_PCIA_s_39_practice_intro \h \* MERGEFORMAT </w:instrText>
      </w:r>
      <w:r w:rsidRPr="000B62B5">
        <w:fldChar w:fldCharType="separate"/>
      </w:r>
      <w:r w:rsidR="000B62B5" w:rsidRPr="000B62B5">
        <w:t>117</w:t>
      </w:r>
      <w:r w:rsidRPr="000B62B5">
        <w:fldChar w:fldCharType="end"/>
      </w:r>
      <w:r>
        <w:t>-</w:t>
      </w:r>
      <w:r w:rsidRPr="000B62B5">
        <w:fldChar w:fldCharType="begin"/>
      </w:r>
      <w:r w:rsidRPr="000B62B5">
        <w:instrText xml:space="preserve"> REF RLF_PCIA_s_39_practice_4 \h \* MERGEFORMAT </w:instrText>
      </w:r>
      <w:r w:rsidRPr="000B62B5">
        <w:fldChar w:fldCharType="separate"/>
      </w:r>
      <w:r w:rsidR="000B62B5" w:rsidRPr="000B62B5">
        <w:t>121</w:t>
      </w:r>
      <w:r w:rsidRPr="000B62B5">
        <w:fldChar w:fldCharType="end"/>
      </w:r>
      <w:r>
        <w:t xml:space="preserve">). Astfel cum s-a arătat la punctul anterior, nu aceasta a fost situația în speță. De asemenea, nu există niciun indiciu că argumentele întemeiate pe articolul 39 alineatul (3) punctul 3 și pe articolul 39a le-ar fi permis reclamanților să obțină, prin mijloace procedurale indirecte, divulgarea unor materiale a căror existență nu fusese nici măcar confirmată de Agenție. În această privință, trebuie să se observe și ceea ce a statuat Curtea Administrativă Supremă, și anume că întrucât întreaga cauză avea ca obiect, în </w:t>
      </w:r>
      <w:r>
        <w:lastRenderedPageBreak/>
        <w:t>esență, tocmai aspectul dacă aceste informații trebuiau sau nu divulgate, nu era oportun să se obțină acest rezultat prin intermediul unor cereri de acces la probe formulate chiar în cadrul procedurii în cauză (a se vedea supra, pct. </w:t>
      </w:r>
      <w:r w:rsidRPr="000B62B5">
        <w:fldChar w:fldCharType="begin"/>
      </w:r>
      <w:r w:rsidRPr="000B62B5">
        <w:instrText xml:space="preserve"> REF  F_1_inf_req_jud_rev_claim_SAC_jud_bis \h  \* MERGEFORMAT </w:instrText>
      </w:r>
      <w:r w:rsidRPr="000B62B5">
        <w:fldChar w:fldCharType="separate"/>
      </w:r>
      <w:r w:rsidR="000B62B5" w:rsidRPr="000B62B5">
        <w:t>24</w:t>
      </w:r>
      <w:r w:rsidRPr="000B62B5">
        <w:fldChar w:fldCharType="end"/>
      </w:r>
      <w:r>
        <w:t>).</w:t>
      </w:r>
    </w:p>
    <w:bookmarkStart w:id="530" w:name="L_C_A_8_m_justif_C_apl_pr_jud_rev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251</w:t>
      </w:r>
      <w:r w:rsidRPr="000B62B5">
        <w:fldChar w:fldCharType="end"/>
      </w:r>
      <w:bookmarkEnd w:id="530"/>
      <w:r>
        <w:t>. În al doilea rând, instanțele care au soluționat această procedură nu au analizat dacă divulgarea unor astfel de informații putea efectiv să pună în pericol sau să aducă atingere vreunui interes public – în special securitatea națională. Acestea au acceptat pe deplin aprecierea Agenției cu privire la acest aspect – chiar dacă nu cunoșteau deloc motivele specifice care au determinat Agenția să considere că nu putea divulga astfel de informații și nici dacă, într-adevăr, a fost efectuată o evaluare individuală a situației reclamanților (a se vedea supra, pct. </w:t>
      </w:r>
      <w:r w:rsidRPr="000B62B5">
        <w:fldChar w:fldCharType="begin"/>
      </w:r>
      <w:r w:rsidRPr="000B62B5">
        <w:instrText xml:space="preserve"> REF  F_1_inf_req_jud_rev_claim_SCAC_jud \h  \* MERGEFORMAT </w:instrText>
      </w:r>
      <w:r w:rsidRPr="000B62B5">
        <w:fldChar w:fldCharType="separate"/>
      </w:r>
      <w:r w:rsidR="000B62B5" w:rsidRPr="000B62B5">
        <w:t>19</w:t>
      </w:r>
      <w:r w:rsidRPr="000B62B5">
        <w:fldChar w:fldCharType="end"/>
      </w:r>
      <w:r>
        <w:t xml:space="preserve"> și </w:t>
      </w:r>
      <w:r w:rsidRPr="000B62B5">
        <w:fldChar w:fldCharType="begin"/>
      </w:r>
      <w:r w:rsidRPr="000B62B5">
        <w:instrText xml:space="preserve"> REF  F_1_inf_req_jud_rev_claim_SAC_jud_ter \h  \* MERGEFORMAT </w:instrText>
      </w:r>
      <w:r w:rsidRPr="000B62B5">
        <w:fldChar w:fldCharType="separate"/>
      </w:r>
      <w:r w:rsidR="000B62B5" w:rsidRPr="000B62B5">
        <w:t>25</w:t>
      </w:r>
      <w:r w:rsidRPr="000B62B5">
        <w:fldChar w:fldCharType="end"/>
      </w:r>
      <w:r>
        <w:t>). Curtea Administrativă Supremă a susținut aceeași poziție în cadrul procedurii având ca obiect controlul jurisdicțional al celui de al doilea refuz al Agenției, din iunie 2023, considerând că Agenția nu avea nicio obligație să prezinte o motivare cu privire la aspectele de fapt (a se vedea supra, pct. </w:t>
      </w:r>
      <w:r w:rsidRPr="000B62B5">
        <w:fldChar w:fldCharType="begin"/>
      </w:r>
      <w:r w:rsidRPr="000B62B5">
        <w:instrText xml:space="preserve"> REF  F_2_inf_req_jud_rev_claim_SCAC_jud \h  \* MERGEFORMAT </w:instrText>
      </w:r>
      <w:r w:rsidRPr="000B62B5">
        <w:fldChar w:fldCharType="separate"/>
      </w:r>
      <w:r w:rsidR="000B62B5" w:rsidRPr="000B62B5">
        <w:t>43</w:t>
      </w:r>
      <w:r w:rsidRPr="000B62B5">
        <w:fldChar w:fldCharType="end"/>
      </w:r>
      <w:r>
        <w:t xml:space="preserve"> și </w:t>
      </w:r>
      <w:r w:rsidRPr="000B62B5">
        <w:fldChar w:fldCharType="begin"/>
      </w:r>
      <w:r w:rsidRPr="000B62B5">
        <w:instrText xml:space="preserve"> REF  F_2_inf_req_jud_rev_claim_SAC_jud_ter \h  \* MERGEFORMAT </w:instrText>
      </w:r>
      <w:r w:rsidRPr="000B62B5">
        <w:fldChar w:fldCharType="separate"/>
      </w:r>
      <w:r w:rsidR="000B62B5" w:rsidRPr="000B62B5">
        <w:t>47</w:t>
      </w:r>
      <w:r w:rsidRPr="000B62B5">
        <w:fldChar w:fldCharType="end"/>
      </w:r>
      <w:r>
        <w:t>). Rezultă astfel că instanțele naționale nu au efectuat niciun control de natură să stabilească dacă refuzul Agenției de a confirma sau de a infirma colectarea de informații cu privire la reclamanți era justificat în circumstanțele specifice ale cauzei.</w:t>
      </w:r>
    </w:p>
    <w:bookmarkStart w:id="531" w:name="L_C_A_8_m_justif_C_apl_pr_jud_rev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252</w:t>
      </w:r>
      <w:r w:rsidRPr="000B62B5">
        <w:fldChar w:fldCharType="end"/>
      </w:r>
      <w:bookmarkEnd w:id="531"/>
      <w:r>
        <w:t xml:space="preserve">. În al treilea rând, efectivitatea acestei căi de atac a fost redusă și mai mult în privința celui de al doilea reclamant, ca urmare a faptului că articolul 36 din Legea din 2007 privește datele cu caracter personal, în timp ce Comitetul este persoană juridică. Deși Comitetul putea să invoce art. 8 în ceea ce privește „corespondența” acestuia, nu este evident că procedura prevăzută la articolul 36 i-ar fi putut oferi o reparație echivalentă în ceea ce privește refuzul de a dezvălui dacă acesta a făcut sau nu obiectul unor măsuri de colectare de informații sau dacă Agenția deținea sau nu informații în acest sens (a se compara cu </w:t>
      </w:r>
      <w:r>
        <w:rPr>
          <w:i/>
          <w:iCs/>
        </w:rPr>
        <w:t>Ekimdjiev</w:t>
      </w:r>
      <w:r>
        <w:t xml:space="preserve"> </w:t>
      </w:r>
      <w:r>
        <w:rPr>
          <w:i/>
          <w:iCs/>
        </w:rPr>
        <w:t>și alții</w:t>
      </w:r>
      <w:r>
        <w:t>, citată anterior, pct. 354).</w:t>
      </w:r>
    </w:p>
    <w:p w:rsidR="00DE4BFE" w:rsidRPr="000B62B5" w:rsidRDefault="00E34145" w:rsidP="000B62B5">
      <w:pPr>
        <w:pStyle w:val="JuH"/>
      </w:pPr>
      <w:bookmarkStart w:id="532" w:name="_Toc236764816"/>
      <w:r>
        <w:t>Supravegherea de către Comisia pentru protecția datelor cu caracter personal</w:t>
      </w:r>
      <w:bookmarkEnd w:id="532"/>
    </w:p>
    <w:bookmarkStart w:id="533" w:name="L_C_A_8_m_justif_C_apl_pr_CPPD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253</w:t>
      </w:r>
      <w:r w:rsidRPr="000B62B5">
        <w:fldChar w:fldCharType="end"/>
      </w:r>
      <w:bookmarkEnd w:id="533"/>
      <w:r>
        <w:t>. De asemenea, nu este evident că principala autoritate de supraveghere a protecției datelor din Bulgaria – Comisia pentru protecția datelor cu caracter personal – putea să ofere o garanție efectivă.</w:t>
      </w:r>
    </w:p>
    <w:bookmarkStart w:id="534" w:name="L_C_A_8_m_justif_C_apl_pr_CPPD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254</w:t>
      </w:r>
      <w:r w:rsidRPr="000B62B5">
        <w:fldChar w:fldCharType="end"/>
      </w:r>
      <w:bookmarkEnd w:id="534"/>
      <w:r>
        <w:t>. Organismele de supraveghere de acest tip pot să ofere o garanție efectivă în ceea ce privește prelucrarea datelor de către autorități în scopul aplicării legii și al colectării de informații [a se vedea</w:t>
      </w:r>
      <w:r>
        <w:rPr>
          <w:i/>
        </w:rPr>
        <w:t xml:space="preserve"> </w:t>
      </w:r>
      <w:bookmarkStart w:id="535" w:name="_cl22616THELAW"/>
      <w:r>
        <w:rPr>
          <w:i/>
        </w:rPr>
        <w:t>Breyer împotriva Germaniei</w:t>
      </w:r>
      <w:bookmarkEnd w:id="535"/>
      <w:r>
        <w:rPr>
          <w:i/>
        </w:rPr>
        <w:t xml:space="preserve">, </w:t>
      </w:r>
      <w:r>
        <w:t xml:space="preserve">nr. 50001/12, pct. 105 și 107, 30 ianuarie 2020, și </w:t>
      </w:r>
      <w:r>
        <w:rPr>
          <w:i/>
        </w:rPr>
        <w:t xml:space="preserve">Ringler împotriva Austriei </w:t>
      </w:r>
      <w:r>
        <w:t xml:space="preserve">(dec.) [Comitet], nr. 2309/10, pct. 72-79, 15 mai 2020). Totuși, pot face acest lucru doar dacă sunt în măsură să aibă acces direct la datele respective și la orice informații conexe, astfel încât să poată verifica dacă acestea sunt prelucrate într-un mod compatibil cu principiile relevante privind protecția datelor. Într-o cauză recentă împotriva Ungariei, o investigație efectuată de un astfel de organism de supraveghere, în cadrul căreia acesta nu a putut avea acces direct la datele prelucrate de serviciile naționale de securitate, nu a fost considerată o garanție efectivă, deoarece absența accesului direct a împiedicat realizarea unui control adecvat de către organismul respectiv (a se vedea </w:t>
      </w:r>
      <w:r>
        <w:rPr>
          <w:i/>
        </w:rPr>
        <w:t>Hüttl împotriva Ungariei</w:t>
      </w:r>
      <w:r>
        <w:t xml:space="preserve"> [Comitet], nr. 58032/16, pct. 15-18, 29 septembrie 2022).</w:t>
      </w:r>
    </w:p>
    <w:bookmarkStart w:id="536" w:name="L_C_A_8_m_justif_C_apl_pr_CPPD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255</w:t>
      </w:r>
      <w:r w:rsidRPr="000B62B5">
        <w:fldChar w:fldCharType="end"/>
      </w:r>
      <w:bookmarkEnd w:id="536"/>
      <w:r>
        <w:t>. În Bulgaria, nu pare să fie clar definit rolul Comisiei pentru protecția datelor cu caracter personal în ceea ce privește prelucrarea datelor de către Agenție în scopuri operaționale. Este adevărat că articolul 37 din Legea din 2007, astfel cum a fost adoptat inițial, împuternicește Comisia să supravegheze prelucrarea datelor cu caracter personal de către Agenție în modul prevăzut de Legea din 2002 (a se vedea supra, pct. </w:t>
      </w:r>
      <w:r w:rsidRPr="000B62B5">
        <w:fldChar w:fldCharType="begin"/>
      </w:r>
      <w:r w:rsidRPr="000B62B5">
        <w:instrText xml:space="preserve"> REF  RLF_SANSA_s_37 \h  \* MERGEFORMAT </w:instrText>
      </w:r>
      <w:r w:rsidRPr="000B62B5">
        <w:fldChar w:fldCharType="separate"/>
      </w:r>
      <w:r w:rsidR="000B62B5" w:rsidRPr="000B62B5">
        <w:t>77</w:t>
      </w:r>
      <w:r w:rsidRPr="000B62B5">
        <w:fldChar w:fldCharType="end"/>
      </w:r>
      <w:r>
        <w:t xml:space="preserve">). În același timp, chiar articolul 1 alineatul (5) din Legea din 2002 (astfel cum a fost modificată în martie 2019) prevede că această Lege nu se aplică prelucrării datelor cu caracter personal în scopuri legate de securitatea națională, cu excepția cazului în care acest lucru este prevăzut în mod expres în altă parte – raționamentul menționat fiind că regimul complex de protecție a datelor instituit de dreptul UE, </w:t>
      </w:r>
      <w:r>
        <w:lastRenderedPageBreak/>
        <w:t>în special după adoptarea RGPD și a LED, și reflectat în Legea din 2002 nu acoperă prelucrarea datelor cu caracter personal în privința activităților legate de protecția securității naționale (a se vedea supra, pct. </w:t>
      </w:r>
      <w:r w:rsidRPr="000B62B5">
        <w:fldChar w:fldCharType="begin"/>
      </w:r>
      <w:r w:rsidRPr="000B62B5">
        <w:instrText xml:space="preserve"> REF RLF_PPDA_scope_ratione_materiae_history \h  \* MERGEFORMAT </w:instrText>
      </w:r>
      <w:r w:rsidRPr="000B62B5">
        <w:fldChar w:fldCharType="separate"/>
      </w:r>
      <w:r w:rsidR="000B62B5" w:rsidRPr="000B62B5">
        <w:t>88</w:t>
      </w:r>
      <w:r w:rsidRPr="000B62B5">
        <w:fldChar w:fldCharType="end"/>
      </w:r>
      <w:r>
        <w:t>). Prin urmare, nu este clar dacă articolul 37 din Legea din 2007 poate fi interpretat în sensul că restricțiile Legii din 2002 se aplică prelucrării unor astfel de date de către Agenție în scopuri operaționale (sau că Legea din 2002 se aplică doar prelucrării datelor de către Agenție în alte scopuri – cum ar fi administrarea personalului și achizițiile publice) și că această Comisie poate exercita competențele de investigare și de remediere de care dispune în temeiul Legii din 2002 în ceea ce privește datele obținute de Agenție în cursul operațiunilor sale.</w:t>
      </w:r>
    </w:p>
    <w:bookmarkStart w:id="537" w:name="L_C_A_8_m_justif_C_apl_pr_CPPD_4"/>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256</w:t>
      </w:r>
      <w:r w:rsidRPr="000B62B5">
        <w:fldChar w:fldCharType="end"/>
      </w:r>
      <w:bookmarkEnd w:id="537"/>
      <w:r>
        <w:t>. De asemenea, nu există niciun indiciu că – poate cu excepția unui audit din 2009 efectuat de Agenție în legătură cu pregătirile pentru procesul viitor de punere în aplicare a Sistemului de Informații Schengen – Comisia a verificat vreodată modul în care Agenția prelucrează datele operaționale și, în special, dacă respectă în mod corespunzător dispozițiile legale și reglementările aplicabile în materie (pct. </w:t>
      </w:r>
      <w:r w:rsidRPr="000B62B5">
        <w:fldChar w:fldCharType="begin"/>
      </w:r>
      <w:r w:rsidRPr="000B62B5">
        <w:instrText xml:space="preserve"> REF  RLF_SANSA_personal_data_1 \h  \* MERGEFORMAT </w:instrText>
      </w:r>
      <w:r w:rsidRPr="000B62B5">
        <w:fldChar w:fldCharType="separate"/>
      </w:r>
      <w:r w:rsidR="000B62B5" w:rsidRPr="000B62B5">
        <w:t>62</w:t>
      </w:r>
      <w:r w:rsidRPr="000B62B5">
        <w:fldChar w:fldCharType="end"/>
      </w:r>
      <w:r>
        <w:t>-</w:t>
      </w:r>
      <w:r w:rsidRPr="000B62B5">
        <w:fldChar w:fldCharType="begin"/>
      </w:r>
      <w:r w:rsidRPr="000B62B5">
        <w:instrText xml:space="preserve"> REF  RLF_SANSA_personal_data_regs_1 \h  \* MERGEFORMAT </w:instrText>
      </w:r>
      <w:r w:rsidRPr="000B62B5">
        <w:fldChar w:fldCharType="separate"/>
      </w:r>
      <w:r w:rsidR="000B62B5" w:rsidRPr="000B62B5">
        <w:t>65</w:t>
      </w:r>
      <w:r w:rsidRPr="000B62B5">
        <w:fldChar w:fldCharType="end"/>
      </w:r>
      <w:r>
        <w:t xml:space="preserve"> și </w:t>
      </w:r>
      <w:r w:rsidRPr="000B62B5">
        <w:fldChar w:fldCharType="begin"/>
      </w:r>
      <w:r w:rsidRPr="000B62B5">
        <w:instrText xml:space="preserve"> REF  RLF_PPDA_CPPD_sexies_annual_reports \h  \* MERGEFORMAT </w:instrText>
      </w:r>
      <w:r w:rsidRPr="000B62B5">
        <w:fldChar w:fldCharType="separate"/>
      </w:r>
      <w:r w:rsidR="000B62B5" w:rsidRPr="000B62B5">
        <w:t>102</w:t>
      </w:r>
      <w:r w:rsidRPr="000B62B5">
        <w:fldChar w:fldCharType="end"/>
      </w:r>
      <w:r>
        <w:t xml:space="preserve">; de asemenea, a se face comparația cu </w:t>
      </w:r>
      <w:r>
        <w:rPr>
          <w:i/>
          <w:iCs/>
        </w:rPr>
        <w:t>Ekimdjiev</w:t>
      </w:r>
      <w:r>
        <w:rPr>
          <w:i/>
        </w:rPr>
        <w:t xml:space="preserve"> și alții</w:t>
      </w:r>
      <w:r>
        <w:t xml:space="preserve">, citată anterior, pct. 346 și 412; de asemenea, a se face deosebirea, </w:t>
      </w:r>
      <w:r>
        <w:rPr>
          <w:i/>
        </w:rPr>
        <w:t>mutatis mutandis</w:t>
      </w:r>
      <w:r>
        <w:t xml:space="preserve">, față de </w:t>
      </w:r>
      <w:r>
        <w:rPr>
          <w:i/>
        </w:rPr>
        <w:t>Centrum för rättvisa</w:t>
      </w:r>
      <w:r>
        <w:t xml:space="preserve">, pct. 351, și </w:t>
      </w:r>
      <w:r>
        <w:rPr>
          <w:i/>
        </w:rPr>
        <w:t>Big Brother Watch și alții</w:t>
      </w:r>
      <w:r>
        <w:t>, pct. 409-410, ambele citate anterior). Dimpotrivă, singurul caz – cel puțin aparent – în care această Comisie a fost chemată să examineze chestiunea în discuție indică faptul că aceasta a considerat că datele rezultate din activitățile de supraveghere desfășurate de Agenție nu constituiau date cu caracter personal și că astfel de operațiuni desfășurate de Agenție nu intrau în sfera competenței de supraveghere a Comisiei (a se vedea supra, pct. </w:t>
      </w:r>
      <w:r w:rsidRPr="000B62B5">
        <w:fldChar w:fldCharType="begin"/>
      </w:r>
      <w:r w:rsidRPr="000B62B5">
        <w:instrText xml:space="preserve"> REF  RLF_PPDA_scope_ratione_materiae_history2 \h  \* MERGEFORMAT </w:instrText>
      </w:r>
      <w:r w:rsidRPr="000B62B5">
        <w:fldChar w:fldCharType="separate"/>
      </w:r>
      <w:r w:rsidR="000B62B5" w:rsidRPr="000B62B5">
        <w:t>90</w:t>
      </w:r>
      <w:r w:rsidRPr="000B62B5">
        <w:fldChar w:fldCharType="end"/>
      </w:r>
      <w:r>
        <w:t>).</w:t>
      </w:r>
    </w:p>
    <w:bookmarkStart w:id="538" w:name="L_C_A_8_m_justif_C_apl_pr_CPPD_5"/>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257</w:t>
      </w:r>
      <w:r w:rsidRPr="000B62B5">
        <w:fldChar w:fldCharType="end"/>
      </w:r>
      <w:bookmarkEnd w:id="538"/>
      <w:r>
        <w:t>. O limitare suplimentară decurge din faptul că Comisia pentru protecția datelor cu caracter personal poate verifica doar prelucrarea datelor referitoare la persoane fizice – nu și a datelor referitoare la persoane juridice precum Comitetul (a se vedea supra, pct. </w:t>
      </w:r>
      <w:r w:rsidRPr="000B62B5">
        <w:fldChar w:fldCharType="begin"/>
      </w:r>
      <w:r w:rsidRPr="000B62B5">
        <w:instrText xml:space="preserve"> REF  RLF_PPDA_scope_ratione_personae \h  \* MERGEFORMAT </w:instrText>
      </w:r>
      <w:r w:rsidRPr="000B62B5">
        <w:fldChar w:fldCharType="separate"/>
      </w:r>
      <w:r w:rsidR="000B62B5" w:rsidRPr="000B62B5">
        <w:t>87</w:t>
      </w:r>
      <w:r w:rsidRPr="000B62B5">
        <w:fldChar w:fldCharType="end"/>
      </w:r>
      <w:r>
        <w:t xml:space="preserve">; de asemenea, a se face comparația cu </w:t>
      </w:r>
      <w:r>
        <w:rPr>
          <w:i/>
          <w:iCs/>
        </w:rPr>
        <w:t>Ekimdjiev</w:t>
      </w:r>
      <w:r>
        <w:t xml:space="preserve"> </w:t>
      </w:r>
      <w:r>
        <w:rPr>
          <w:i/>
          <w:iCs/>
        </w:rPr>
        <w:t>și alții</w:t>
      </w:r>
      <w:r>
        <w:t>, citată anterior, pct. 331).</w:t>
      </w:r>
    </w:p>
    <w:p w:rsidR="00DE4BFE" w:rsidRPr="000B62B5" w:rsidRDefault="00E34145" w:rsidP="000B62B5">
      <w:pPr>
        <w:pStyle w:val="JuH"/>
      </w:pPr>
      <w:bookmarkStart w:id="539" w:name="_Toc236764817"/>
      <w:r>
        <w:t>Supravegherea de către Biroul Național</w:t>
      </w:r>
      <w:bookmarkEnd w:id="539"/>
    </w:p>
    <w:bookmarkStart w:id="540" w:name="L_C_A_8_m_justif_C_apl_pr_NB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258</w:t>
      </w:r>
      <w:r w:rsidRPr="000B62B5">
        <w:fldChar w:fldCharType="end"/>
      </w:r>
      <w:bookmarkEnd w:id="540"/>
      <w:r>
        <w:t>. Primul lucru care trebuie subliniat cu privire la Biroul Național este că acesta poate supraveghea doar utilizarea „mijloacelor speciale de supraveghere” – nu toate tipurile de colectare de informații și de prelucrare a datelor conexe de către Agenție [a se vedea supra, pct. </w:t>
      </w:r>
      <w:r w:rsidRPr="000B62B5">
        <w:fldChar w:fldCharType="begin"/>
      </w:r>
      <w:r w:rsidRPr="000B62B5">
        <w:instrText xml:space="preserve"> REF  RLF_SSMA \h  \* MERGEFORMAT </w:instrText>
      </w:r>
      <w:r w:rsidRPr="000B62B5">
        <w:fldChar w:fldCharType="separate"/>
      </w:r>
      <w:r w:rsidR="000B62B5" w:rsidRPr="000B62B5">
        <w:t>82</w:t>
      </w:r>
      <w:r w:rsidRPr="000B62B5">
        <w:fldChar w:fldCharType="end"/>
      </w:r>
      <w:r>
        <w:t xml:space="preserve"> lit. (</w:t>
      </w:r>
      <w:r w:rsidRPr="000B62B5">
        <w:fldChar w:fldCharType="begin"/>
      </w:r>
      <w:r w:rsidRPr="000B62B5">
        <w:instrText xml:space="preserve"> REF  RLF_SSMA_oversight \h  \* MERGEFORMAT </w:instrText>
      </w:r>
      <w:r w:rsidRPr="000B62B5">
        <w:fldChar w:fldCharType="separate"/>
      </w:r>
      <w:r w:rsidR="000B62B5" w:rsidRPr="000B62B5">
        <w:t>d</w:t>
      </w:r>
      <w:r w:rsidRPr="000B62B5">
        <w:fldChar w:fldCharType="end"/>
      </w:r>
      <w:r>
        <w:t>)]. Această limitare a rolului Biroului este ilustrată de situația de fapt din speță, în care Agenția a răspuns ea însăși la partea din cererea domnului Kanev care se referea, în general, la metodele sau la tehnicile de colectare a informațiilor și i-a recomandat să se adreseze Biroului Național numai în ceea ce privește partea din cererea acestuia care avea ca obiect „mijloacele speciale de supraveghere” (a se vedea supra, pct. </w:t>
      </w:r>
      <w:r w:rsidRPr="000B62B5">
        <w:fldChar w:fldCharType="begin"/>
      </w:r>
      <w:r w:rsidRPr="000B62B5">
        <w:instrText xml:space="preserve"> REF  F_1_inf_req \h  \* MERGEFORMAT </w:instrText>
      </w:r>
      <w:r w:rsidRPr="000B62B5">
        <w:fldChar w:fldCharType="separate"/>
      </w:r>
      <w:r w:rsidR="000B62B5" w:rsidRPr="000B62B5">
        <w:t>6</w:t>
      </w:r>
      <w:r w:rsidRPr="000B62B5">
        <w:fldChar w:fldCharType="end"/>
      </w:r>
      <w:r>
        <w:t>-</w:t>
      </w:r>
      <w:r w:rsidRPr="000B62B5">
        <w:fldChar w:fldCharType="begin"/>
      </w:r>
      <w:r w:rsidRPr="000B62B5">
        <w:instrText xml:space="preserve"> REF  F_1_inf_req_amended_response_ter \h  \* MERGEFORMAT </w:instrText>
      </w:r>
      <w:r w:rsidRPr="000B62B5">
        <w:fldChar w:fldCharType="separate"/>
      </w:r>
      <w:r w:rsidR="000B62B5" w:rsidRPr="000B62B5">
        <w:t>11</w:t>
      </w:r>
      <w:r w:rsidRPr="000B62B5">
        <w:fldChar w:fldCharType="end"/>
      </w:r>
      <w:r>
        <w:t xml:space="preserve">). Prin urmare, supravegherea de către Birou nu reprezintă o garanție în ceea ce privește modul general în care Agenția prelucrează datele operaționale. Biroul nu este obligat nici să verifice dacă au fost utilizate „mijloace speciale de supraveghere” în ceea ce privește persoane juridice precum Comitetul (a se vedea </w:t>
      </w:r>
      <w:r>
        <w:rPr>
          <w:i/>
          <w:iCs/>
        </w:rPr>
        <w:t>Ekimdjiev</w:t>
      </w:r>
      <w:r>
        <w:t xml:space="preserve"> </w:t>
      </w:r>
      <w:r>
        <w:rPr>
          <w:i/>
          <w:iCs/>
        </w:rPr>
        <w:t>și alții</w:t>
      </w:r>
      <w:r>
        <w:t>, citată anterior, pct. 349).</w:t>
      </w:r>
    </w:p>
    <w:bookmarkStart w:id="541" w:name="L_C_A_8_m_justif_C_apl_pr_NB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259</w:t>
      </w:r>
      <w:r w:rsidRPr="000B62B5">
        <w:fldChar w:fldCharType="end"/>
      </w:r>
      <w:bookmarkEnd w:id="541"/>
      <w:r>
        <w:t xml:space="preserve">. În plus, eficacitatea Biroului – chiar și în ceea ce privește prelucrarea datelor referitoare la persoane fizice, obținute ca urmare a utilizării unor „mijloace speciale de supraveghere” – este subminată de mai multe deficiențe care au fost deja identificate în hotărârea </w:t>
      </w:r>
      <w:r>
        <w:rPr>
          <w:i/>
          <w:iCs/>
        </w:rPr>
        <w:t>Ekimdjiev</w:t>
      </w:r>
      <w:r>
        <w:t xml:space="preserve"> </w:t>
      </w:r>
      <w:r>
        <w:rPr>
          <w:i/>
          <w:iCs/>
        </w:rPr>
        <w:t>și alții</w:t>
      </w:r>
      <w:r>
        <w:t xml:space="preserve"> (citată anterior, pct. 339-344), care, aparent, nu au fost rectificate din aprilie 2022, data rămânerii definitive a acestei hotărâri (a se vedea supra, pct. </w:t>
      </w:r>
      <w:r w:rsidRPr="000B62B5">
        <w:fldChar w:fldCharType="begin"/>
      </w:r>
      <w:r w:rsidRPr="000B62B5">
        <w:instrText xml:space="preserve"> REF  RDCMCoE_dec_Sep_2023 \h  \* MERGEFORMAT </w:instrText>
      </w:r>
      <w:r w:rsidRPr="000B62B5">
        <w:fldChar w:fldCharType="separate"/>
      </w:r>
      <w:r w:rsidR="000B62B5" w:rsidRPr="000B62B5">
        <w:t>208</w:t>
      </w:r>
      <w:r w:rsidRPr="000B62B5">
        <w:fldChar w:fldCharType="end"/>
      </w:r>
      <w:r>
        <w:t>):</w:t>
      </w:r>
    </w:p>
    <w:p w:rsidR="00DE4BFE" w:rsidRPr="000B62B5" w:rsidRDefault="00E34145" w:rsidP="000B62B5">
      <w:pPr>
        <w:pStyle w:val="JuPara"/>
      </w:pPr>
      <w:r>
        <w:t>(</w:t>
      </w:r>
      <w:bookmarkStart w:id="542" w:name="L_C_A_8_m_justif_C_apl_pr_NB_2_a"/>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542"/>
      <w:r>
        <w:t>) absența unei garanții că toți membrii Biroului sunt suficient de independenți față de autoritățile pe care trebuie să le supravegheze – în special față de Agenție (ibid., pct. 339-341);</w:t>
      </w:r>
    </w:p>
    <w:p w:rsidR="00DE4BFE" w:rsidRPr="000B62B5" w:rsidRDefault="00E34145" w:rsidP="000B62B5">
      <w:pPr>
        <w:pStyle w:val="JuPara"/>
      </w:pPr>
      <w:r>
        <w:t>(</w:t>
      </w:r>
      <w:bookmarkStart w:id="543" w:name="L_C_A_8_m_justif_C_apl_pr_NB_2_b"/>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543"/>
      <w:r>
        <w:t>) îndoieli cu privire la calificările anumitor membri ai Biroului (ibid., pct. 342);</w:t>
      </w:r>
    </w:p>
    <w:p w:rsidR="00DE4BFE" w:rsidRPr="000B62B5" w:rsidRDefault="00E34145" w:rsidP="000B62B5">
      <w:pPr>
        <w:pStyle w:val="JuPara"/>
      </w:pPr>
      <w:r>
        <w:t>(</w:t>
      </w:r>
      <w:bookmarkStart w:id="544" w:name="L_C_A_8_m_justif_C_apl_pr_NB_2_c"/>
      <w:r w:rsidRPr="000B62B5">
        <w:fldChar w:fldCharType="begin"/>
      </w:r>
      <w:r w:rsidRPr="000B62B5">
        <w:instrText xml:space="preserve"> SEQ level1 \*alphabetic \* MERGEFORMAT </w:instrText>
      </w:r>
      <w:r w:rsidRPr="000B62B5">
        <w:fldChar w:fldCharType="separate"/>
      </w:r>
      <w:r w:rsidR="000B62B5" w:rsidRPr="000B62B5">
        <w:t>c</w:t>
      </w:r>
      <w:r w:rsidRPr="000B62B5">
        <w:fldChar w:fldCharType="end"/>
      </w:r>
      <w:bookmarkEnd w:id="544"/>
      <w:r>
        <w:t>) incapacitatea Biroului de a asigura accesul neîngrădit la toate materialele relevante deținute, în special, de Agenție (ibid., pct. 343); și</w:t>
      </w:r>
    </w:p>
    <w:p w:rsidR="00DE4BFE" w:rsidRPr="000B62B5" w:rsidRDefault="00E34145" w:rsidP="000B62B5">
      <w:pPr>
        <w:pStyle w:val="JuPara"/>
      </w:pPr>
      <w:r>
        <w:lastRenderedPageBreak/>
        <w:t>(</w:t>
      </w:r>
      <w:bookmarkStart w:id="545" w:name="L_C_A_8_m_justif_C_apl_pr_NB_2_d"/>
      <w:r w:rsidRPr="000B62B5">
        <w:fldChar w:fldCharType="begin"/>
      </w:r>
      <w:r w:rsidRPr="000B62B5">
        <w:instrText xml:space="preserve"> SEQ level1 \*alphabetic \* MERGEFORMAT </w:instrText>
      </w:r>
      <w:r w:rsidRPr="000B62B5">
        <w:fldChar w:fldCharType="separate"/>
      </w:r>
      <w:r w:rsidR="000B62B5" w:rsidRPr="000B62B5">
        <w:t>d</w:t>
      </w:r>
      <w:r w:rsidRPr="000B62B5">
        <w:fldChar w:fldCharType="end"/>
      </w:r>
      <w:bookmarkEnd w:id="545"/>
      <w:r>
        <w:t>) lipsa oricărei competențe a Biroului de a dispune măsuri de remediere, cum ar fi distrugerea materialului de supraveghere (ibid., pct. 344).</w:t>
      </w:r>
    </w:p>
    <w:bookmarkStart w:id="546" w:name="L_C_A_8_m_justif_C_apl_pr_NB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260</w:t>
      </w:r>
      <w:r w:rsidRPr="000B62B5">
        <w:fldChar w:fldCharType="end"/>
      </w:r>
      <w:bookmarkEnd w:id="546"/>
      <w:r>
        <w:t>. Într-adevăr, se pare că singurele demersuri întreprinse de Birou în cadrul investigației sale în prezenta cauză au fost să se adreseze în scris Agenției pentru a întreba dacă aceasta a utilizat „mijloace speciale de supraveghere” în legătură cu domnul Kanev și, ulterior, să verifice răspunsul Agenției (a se vedea supra, pct. </w:t>
      </w:r>
      <w:r w:rsidRPr="000B62B5">
        <w:fldChar w:fldCharType="begin"/>
      </w:r>
      <w:r w:rsidRPr="000B62B5">
        <w:instrText xml:space="preserve"> REF  F_NB_req_amended_response \h  \* MERGEFORMAT </w:instrText>
      </w:r>
      <w:r w:rsidRPr="000B62B5">
        <w:fldChar w:fldCharType="separate"/>
      </w:r>
      <w:r w:rsidR="000B62B5" w:rsidRPr="000B62B5">
        <w:t>31</w:t>
      </w:r>
      <w:r w:rsidRPr="000B62B5">
        <w:fldChar w:fldCharType="end"/>
      </w:r>
      <w:r>
        <w:t xml:space="preserve">; de asemenea, a se face deosebirea față de </w:t>
      </w:r>
      <w:r>
        <w:rPr>
          <w:i/>
        </w:rPr>
        <w:t xml:space="preserve">Big Brother Watch </w:t>
      </w:r>
      <w:r>
        <w:rPr>
          <w:i/>
          <w:iCs/>
        </w:rPr>
        <w:t>și alții</w:t>
      </w:r>
      <w:r>
        <w:t>, citată anterior, pct. 408 și 410).</w:t>
      </w:r>
    </w:p>
    <w:p w:rsidR="00DE4BFE" w:rsidRPr="000B62B5" w:rsidRDefault="00E34145" w:rsidP="000B62B5">
      <w:pPr>
        <w:pStyle w:val="JuH"/>
      </w:pPr>
      <w:bookmarkStart w:id="547" w:name="_Toc236764818"/>
      <w:r>
        <w:t>Supravegherea de către o comisie parlamentară specială și de către Parlament în ansamblul său</w:t>
      </w:r>
      <w:bookmarkEnd w:id="547"/>
    </w:p>
    <w:bookmarkStart w:id="548" w:name="L_C_A_8_m_justif_C_apl_pr_Parl_Ct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261</w:t>
      </w:r>
      <w:r w:rsidRPr="000B62B5">
        <w:fldChar w:fldCharType="end"/>
      </w:r>
      <w:bookmarkEnd w:id="548"/>
      <w:r>
        <w:t xml:space="preserve">. Comisia parlamentară specială însărcinată cu supravegherea activității Agenției – aceeași comisie care a fost în discuție în cauza </w:t>
      </w:r>
      <w:r>
        <w:rPr>
          <w:i/>
          <w:iCs/>
        </w:rPr>
        <w:t>Ekimdjiev</w:t>
      </w:r>
      <w:r>
        <w:t xml:space="preserve"> </w:t>
      </w:r>
      <w:r>
        <w:rPr>
          <w:i/>
        </w:rPr>
        <w:t>și alții</w:t>
      </w:r>
      <w:r>
        <w:t xml:space="preserve"> (citată anterior, pct. 125) – este abilitată să examineze cazuri individuale, dar nu poate dispune măsuri de remediere; în cazul în care identifică nereguli, aceasta poate doar să le aducă în atenția organelor de urmărire penală sau a altor autorități relevante (a se vedea supra, pct. </w:t>
      </w:r>
      <w:r w:rsidRPr="000B62B5">
        <w:fldChar w:fldCharType="begin"/>
      </w:r>
      <w:r w:rsidRPr="000B62B5">
        <w:instrText xml:space="preserve"> REF  RLF_SANSA_s_132_1_etc \h  \* MERGEFORMAT </w:instrText>
      </w:r>
      <w:r w:rsidRPr="000B62B5">
        <w:fldChar w:fldCharType="separate"/>
      </w:r>
      <w:r w:rsidR="000B62B5" w:rsidRPr="000B62B5">
        <w:t>78</w:t>
      </w:r>
      <w:r w:rsidRPr="000B62B5">
        <w:fldChar w:fldCharType="end"/>
      </w:r>
      <w:r>
        <w:t xml:space="preserve">). În plus, membrii acestei comisii nu sunt obligați să aibă vreo calificare sau experiență juridică (a se vedea </w:t>
      </w:r>
      <w:r>
        <w:rPr>
          <w:i/>
          <w:iCs/>
        </w:rPr>
        <w:t>Ekimdjiev</w:t>
      </w:r>
      <w:r>
        <w:t xml:space="preserve"> </w:t>
      </w:r>
      <w:r>
        <w:rPr>
          <w:i/>
          <w:iCs/>
        </w:rPr>
        <w:t>și alții</w:t>
      </w:r>
      <w:r>
        <w:t xml:space="preserve">, citată anterior, pct. 414). De asemenea, se pare că această comisie nu a exercitat în practică un control detaliat și regulat asupra operațiunilor de prelucrare a datelor desfășurate de Agenție și nici nu s-a implicat în activitatea de zi cu zi a Agenției (a se vedea </w:t>
      </w:r>
      <w:r>
        <w:rPr>
          <w:i/>
          <w:iCs/>
        </w:rPr>
        <w:t>Ekimdjiev</w:t>
      </w:r>
      <w:r>
        <w:rPr>
          <w:i/>
        </w:rPr>
        <w:t xml:space="preserve"> și alții,</w:t>
      </w:r>
      <w:r>
        <w:t xml:space="preserve"> citată anterior, pct. 345, și, </w:t>
      </w:r>
      <w:r>
        <w:rPr>
          <w:i/>
        </w:rPr>
        <w:t>mutatis mutandis</w:t>
      </w:r>
      <w:r>
        <w:t xml:space="preserve">, </w:t>
      </w:r>
      <w:r>
        <w:rPr>
          <w:i/>
        </w:rPr>
        <w:t xml:space="preserve">Szabó </w:t>
      </w:r>
      <w:r>
        <w:t xml:space="preserve">și </w:t>
      </w:r>
      <w:r>
        <w:rPr>
          <w:i/>
        </w:rPr>
        <w:t>Vissy împotriva Ungariei</w:t>
      </w:r>
      <w:r>
        <w:t xml:space="preserve">, nr. 37138/14, pct. 82, 12 ianuarie 2016; de asemenea, a se face deosebirea față de </w:t>
      </w:r>
      <w:r>
        <w:rPr>
          <w:i/>
        </w:rPr>
        <w:t>Leander</w:t>
      </w:r>
      <w:r>
        <w:t>, citată anterior, pct. 40 și 65).</w:t>
      </w:r>
    </w:p>
    <w:bookmarkStart w:id="549" w:name="L_C_A_8_m_justif_C_apl_pr_Parl_as_a_who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262</w:t>
      </w:r>
      <w:r w:rsidRPr="000B62B5">
        <w:fldChar w:fldCharType="end"/>
      </w:r>
      <w:bookmarkEnd w:id="549"/>
      <w:r>
        <w:t>. Nu există niciun indiciu că șeful, șefii adjuncți sau ofițerii Agenției au fost chemați vreodată să se prezinte la Parlamentul bulgar pentru a raporta specific dacă Agenția a acționat în mod legal atunci când a prelucrat date obținute ca urmare a operațiunilor sale (a se vedea supra, pct. </w:t>
      </w:r>
      <w:r w:rsidRPr="000B62B5">
        <w:fldChar w:fldCharType="begin"/>
      </w:r>
      <w:r w:rsidRPr="000B62B5">
        <w:instrText xml:space="preserve"> REF  RLF_SANSA_s_132_2_etc \h  \* MERGEFORMAT </w:instrText>
      </w:r>
      <w:r w:rsidRPr="000B62B5">
        <w:fldChar w:fldCharType="separate"/>
      </w:r>
      <w:r w:rsidR="000B62B5" w:rsidRPr="000B62B5">
        <w:t>79</w:t>
      </w:r>
      <w:r w:rsidRPr="000B62B5">
        <w:fldChar w:fldCharType="end"/>
      </w:r>
      <w:r>
        <w:t>). În orice caz, o astfel de supraveghere parlamentară generală nu poate fi considerată suficientă pentru a preveni abuzurile individuale.</w:t>
      </w:r>
    </w:p>
    <w:p w:rsidR="00DE4BFE" w:rsidRPr="000B62B5" w:rsidRDefault="00E34145" w:rsidP="000B62B5">
      <w:pPr>
        <w:pStyle w:val="JuH"/>
      </w:pPr>
      <w:bookmarkStart w:id="550" w:name="_Toc236764819"/>
      <w:r>
        <w:t>Supravegherea de către Guvern și Președintele Republicii</w:t>
      </w:r>
      <w:bookmarkEnd w:id="550"/>
    </w:p>
    <w:bookmarkStart w:id="551" w:name="L_C_A_8_m_justif_C_apl_pr_Gvt_Pre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263</w:t>
      </w:r>
      <w:r w:rsidRPr="000B62B5">
        <w:fldChar w:fldCharType="end"/>
      </w:r>
      <w:bookmarkEnd w:id="551"/>
      <w:r>
        <w:t>. Nu există niciun indiciu că Agenția a discutat specific (în rapoartele adresate Guvernului sau Președintelui Republicii) modul în care prelucrează datele obținute ca urmare a operațiunilor sale (a se vedea supra, pct. </w:t>
      </w:r>
      <w:r w:rsidRPr="000B62B5">
        <w:fldChar w:fldCharType="begin"/>
      </w:r>
      <w:r w:rsidRPr="000B62B5">
        <w:instrText xml:space="preserve"> REF  RLF_SANSA_s_132_3_etc \h  \* MERGEFORMAT </w:instrText>
      </w:r>
      <w:r w:rsidRPr="000B62B5">
        <w:fldChar w:fldCharType="separate"/>
      </w:r>
      <w:r w:rsidR="000B62B5" w:rsidRPr="000B62B5">
        <w:t>80</w:t>
      </w:r>
      <w:r w:rsidRPr="000B62B5">
        <w:fldChar w:fldCharType="end"/>
      </w:r>
      <w:r>
        <w:t>-</w:t>
      </w:r>
      <w:r w:rsidRPr="000B62B5">
        <w:fldChar w:fldCharType="begin"/>
      </w:r>
      <w:r w:rsidRPr="000B62B5">
        <w:instrText xml:space="preserve"> REF  RLF_SANSA_s_132a \h  \* MERGEFORMAT </w:instrText>
      </w:r>
      <w:r w:rsidRPr="000B62B5">
        <w:fldChar w:fldCharType="separate"/>
      </w:r>
      <w:r w:rsidR="000B62B5" w:rsidRPr="000B62B5">
        <w:t>81</w:t>
      </w:r>
      <w:r w:rsidRPr="000B62B5">
        <w:fldChar w:fldCharType="end"/>
      </w:r>
      <w:r>
        <w:t>). În orice caz, o astfel de supraveghere politică generală nu poate fi considerată independentă (a se vedea</w:t>
      </w:r>
      <w:bookmarkStart w:id="552" w:name="_cl21245THELAW"/>
      <w:r>
        <w:t xml:space="preserve">, </w:t>
      </w:r>
      <w:r>
        <w:rPr>
          <w:i/>
        </w:rPr>
        <w:t>mutatis mutandis</w:t>
      </w:r>
      <w:r>
        <w:t xml:space="preserve">, </w:t>
      </w:r>
      <w:r>
        <w:rPr>
          <w:i/>
          <w:iCs/>
        </w:rPr>
        <w:t>Asociația pentru Integrare Europeană și Drepturile Omului</w:t>
      </w:r>
      <w:r>
        <w:t xml:space="preserve"> </w:t>
      </w:r>
      <w:r>
        <w:rPr>
          <w:i/>
        </w:rPr>
        <w:t xml:space="preserve">și </w:t>
      </w:r>
      <w:r>
        <w:rPr>
          <w:i/>
          <w:iCs/>
        </w:rPr>
        <w:t>Ekimdjiev</w:t>
      </w:r>
      <w:r>
        <w:t>, pct. 87, și</w:t>
      </w:r>
      <w:bookmarkStart w:id="553" w:name="_cl37389THELAW"/>
      <w:r>
        <w:t xml:space="preserve"> </w:t>
      </w:r>
      <w:r>
        <w:rPr>
          <w:i/>
        </w:rPr>
        <w:t>Szabó și Vissy</w:t>
      </w:r>
      <w:bookmarkEnd w:id="553"/>
      <w:r>
        <w:t>, pct. 75, ambele citate anterior), sau suficientă pentru a preveni abuzurile individuale.</w:t>
      </w:r>
    </w:p>
    <w:p w:rsidR="00DE4BFE" w:rsidRPr="000B62B5" w:rsidRDefault="00E34145" w:rsidP="000B62B5">
      <w:pPr>
        <w:pStyle w:val="JuH"/>
      </w:pPr>
      <w:bookmarkStart w:id="554" w:name="_Toc236764820"/>
      <w:r>
        <w:t>Concluzie</w:t>
      </w:r>
      <w:bookmarkEnd w:id="554"/>
    </w:p>
    <w:bookmarkStart w:id="555" w:name="L_C_A_8_m_justif_C_apl_pr_conclusion"/>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264</w:t>
      </w:r>
      <w:r w:rsidRPr="000B62B5">
        <w:fldChar w:fldCharType="end"/>
      </w:r>
      <w:bookmarkEnd w:id="552"/>
      <w:bookmarkEnd w:id="555"/>
      <w:r>
        <w:t>. Analiza de mai sus conduce la concluzia că reclamanții nu au beneficiat de gradul minim de protecție împotriva prelucrării arbitrare și ilegale de către Agenție a datelor care îi privesc. Prin urmare, ingerința în exercitarea drepturilor lor garantate la art. 8 din Convenție nu era prevăzută de o „lege” care îndeplinea cerințele celui de al doilea paragraf al articolului respectiv.</w:t>
      </w:r>
    </w:p>
    <w:p w:rsidR="00DE4BFE" w:rsidRPr="000B62B5" w:rsidRDefault="00E34145" w:rsidP="000B62B5">
      <w:pPr>
        <w:pStyle w:val="JuHi"/>
        <w:spacing w:line="240" w:lineRule="auto"/>
      </w:pPr>
      <w:bookmarkStart w:id="556" w:name="_Toc176454203"/>
      <w:bookmarkStart w:id="557" w:name="_Toc236764821"/>
      <w:r>
        <w:t>Scopul și necesitatea ingerinței</w:t>
      </w:r>
      <w:bookmarkEnd w:id="556"/>
      <w:bookmarkEnd w:id="557"/>
    </w:p>
    <w:bookmarkStart w:id="558" w:name="L_C_A_8_m_justif_C_aim_necessity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265</w:t>
      </w:r>
      <w:r w:rsidRPr="000B62B5">
        <w:fldChar w:fldCharType="end"/>
      </w:r>
      <w:bookmarkEnd w:id="558"/>
      <w:r>
        <w:t xml:space="preserve">. Având în vedere concluzia de mai sus, nu este necesară pronunțarea cu privire la aspectul dacă ingerința a urmărit un scop legitim și a fost „necesară într-o societate democratică” pentru atingerea acestui scop (a se vedea </w:t>
      </w:r>
      <w:r>
        <w:rPr>
          <w:i/>
        </w:rPr>
        <w:t xml:space="preserve">Kopp, </w:t>
      </w:r>
      <w:r>
        <w:t xml:space="preserve">pct. 76; </w:t>
      </w:r>
      <w:r>
        <w:rPr>
          <w:i/>
        </w:rPr>
        <w:t>Amann</w:t>
      </w:r>
      <w:r>
        <w:t xml:space="preserve">, pct. 63 și 81; </w:t>
      </w:r>
      <w:r>
        <w:rPr>
          <w:i/>
        </w:rPr>
        <w:t>Rotaru</w:t>
      </w:r>
      <w:r>
        <w:t xml:space="preserve">, pct. 62; </w:t>
      </w:r>
      <w:r>
        <w:rPr>
          <w:i/>
        </w:rPr>
        <w:t>Antunes Rocha</w:t>
      </w:r>
      <w:r>
        <w:t xml:space="preserve">, pct. 79; și </w:t>
      </w:r>
      <w:r>
        <w:rPr>
          <w:i/>
        </w:rPr>
        <w:t>Zoltán Varga</w:t>
      </w:r>
      <w:r>
        <w:t>, pct. 172, toate citate anterior).</w:t>
      </w:r>
    </w:p>
    <w:p w:rsidR="00DE4BFE" w:rsidRPr="000B62B5" w:rsidRDefault="00E34145" w:rsidP="000B62B5">
      <w:pPr>
        <w:pStyle w:val="JuHi"/>
        <w:spacing w:line="240" w:lineRule="auto"/>
      </w:pPr>
      <w:bookmarkStart w:id="559" w:name="_Toc221527840"/>
      <w:bookmarkStart w:id="560" w:name="_Toc176454204"/>
      <w:bookmarkStart w:id="561" w:name="_Toc236764822"/>
      <w:bookmarkEnd w:id="559"/>
      <w:r>
        <w:lastRenderedPageBreak/>
        <w:t>Concluzie finală</w:t>
      </w:r>
      <w:bookmarkEnd w:id="560"/>
      <w:bookmarkEnd w:id="561"/>
    </w:p>
    <w:bookmarkStart w:id="562" w:name="L_C_A_8_m_justif_C_apl_pr_final_conc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266</w:t>
      </w:r>
      <w:r w:rsidRPr="000B62B5">
        <w:fldChar w:fldCharType="end"/>
      </w:r>
      <w:bookmarkEnd w:id="562"/>
      <w:r>
        <w:t>. Rezultă că a fost încălcat art. 8 din Convenție.</w:t>
      </w:r>
    </w:p>
    <w:p w:rsidR="00DE4BFE" w:rsidRPr="000B62B5" w:rsidRDefault="00E34145" w:rsidP="000B62B5">
      <w:pPr>
        <w:pStyle w:val="JuHIRoman"/>
        <w:tabs>
          <w:tab w:val="left" w:pos="567"/>
          <w:tab w:val="left" w:pos="680"/>
        </w:tabs>
        <w:ind w:left="397" w:hanging="397"/>
      </w:pPr>
      <w:bookmarkStart w:id="563" w:name="_Toc176454205"/>
      <w:bookmarkStart w:id="564" w:name="_Toc236764823"/>
      <w:r>
        <w:rPr>
          <w:caps w:val="0"/>
        </w:rPr>
        <w:t>CU PRIVIRE LA PRETINSA PRELUCRARE DE DATE PRIVIND OPINIILE, AFILIERILE ȘI ACTIVITĂȚILE POLITICE ALE RECLAMANȚILOR</w:t>
      </w:r>
      <w:bookmarkEnd w:id="563"/>
      <w:bookmarkEnd w:id="564"/>
    </w:p>
    <w:bookmarkStart w:id="565" w:name="L_C_A_10_A_11"/>
    <w:bookmarkStart w:id="566" w:name="L_A10_A11_complaint"/>
    <w:p w:rsidR="00DE4BFE" w:rsidRPr="000B62B5" w:rsidRDefault="00E34145" w:rsidP="000B62B5">
      <w:pPr>
        <w:pStyle w:val="JuPara"/>
        <w:keepNext/>
        <w:keepLines/>
      </w:pPr>
      <w:r w:rsidRPr="000B62B5">
        <w:fldChar w:fldCharType="begin"/>
      </w:r>
      <w:r w:rsidRPr="000B62B5">
        <w:instrText xml:space="preserve"> SEQ level0 \*arabic \* MERGEFORMAT </w:instrText>
      </w:r>
      <w:r w:rsidRPr="000B62B5">
        <w:fldChar w:fldCharType="separate"/>
      </w:r>
      <w:r w:rsidR="000B62B5" w:rsidRPr="000B62B5">
        <w:t>267</w:t>
      </w:r>
      <w:r w:rsidRPr="000B62B5">
        <w:fldChar w:fldCharType="end"/>
      </w:r>
      <w:bookmarkEnd w:id="565"/>
      <w:bookmarkEnd w:id="566"/>
      <w:r>
        <w:t>. Reclamanții s-au plâns că Agenția a colectat în mod nejustificat date privind opiniile, afilierile și activitățile lor politice. Aceștia au invocat art. 10 și 11 din Convenție, care, în măsura în care sunt relevante, prevăd următoarele:</w:t>
      </w:r>
    </w:p>
    <w:p w:rsidR="00DE4BFE" w:rsidRPr="000B62B5" w:rsidRDefault="00E34145" w:rsidP="000B62B5">
      <w:pPr>
        <w:pStyle w:val="JuHArticle"/>
      </w:pPr>
      <w:r>
        <w:t>Art. 10 (libertatea de exprimare)</w:t>
      </w:r>
    </w:p>
    <w:p w:rsidR="00DE4BFE" w:rsidRPr="000B62B5" w:rsidRDefault="00E34145" w:rsidP="000B62B5">
      <w:pPr>
        <w:pStyle w:val="JuQuot"/>
      </w:pPr>
      <w:r>
        <w:t>„1. Orice persoană are dreptul la libertatea de exprimare. Acest drept cuprinde libertatea de opinie și libertatea de a primi sau de a comunica informații ori idei fără amestecul autorităților publice și fără a ține seama de frontiere. [...]</w:t>
      </w:r>
    </w:p>
    <w:p w:rsidR="00DE4BFE" w:rsidRPr="000B62B5" w:rsidRDefault="00E34145" w:rsidP="000B62B5">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rsidR="00DE4BFE" w:rsidRPr="000B62B5" w:rsidRDefault="00E34145" w:rsidP="000B62B5">
      <w:pPr>
        <w:pStyle w:val="JuHArticle"/>
      </w:pPr>
      <w:r>
        <w:t>Art. 11 (libertatea de întrunire și de asociere)</w:t>
      </w:r>
    </w:p>
    <w:p w:rsidR="00DE4BFE" w:rsidRPr="000B62B5" w:rsidRDefault="00E34145" w:rsidP="000B62B5">
      <w:pPr>
        <w:pStyle w:val="JuQuot"/>
      </w:pPr>
      <w:r>
        <w:rPr>
          <w:sz w:val="24"/>
        </w:rPr>
        <w:t>„1.</w:t>
      </w:r>
      <w:r>
        <w:t xml:space="preserve"> Orice persoană are dreptul la libertatea de întrunire pașnică și la libertatea de asociere [...]</w:t>
      </w:r>
    </w:p>
    <w:p w:rsidR="00DE4BFE" w:rsidRPr="000B62B5" w:rsidRDefault="00E34145" w:rsidP="000B62B5">
      <w:pPr>
        <w:pStyle w:val="JuQuot"/>
      </w:pPr>
      <w:r>
        <w:t>2. Exercitarea acestor drepturi nu poate face obiectul altor restrângeri decât acelea care, prevăzute de lege, constituie măsuri necesare, într-o societate democratică, pentru securitatea națională, siguranța publică, apărarea ordinii și prevenirea infracțiunilor, protejarea sănătății sau a moralei ori pentru protecția drepturilor și libertăților altora. [...]”</w:t>
      </w:r>
    </w:p>
    <w:p w:rsidR="00DE4BFE" w:rsidRPr="000B62B5" w:rsidRDefault="00E34145" w:rsidP="000B62B5">
      <w:pPr>
        <w:pStyle w:val="JuHA"/>
      </w:pPr>
      <w:bookmarkStart w:id="567" w:name="_Toc176454206"/>
      <w:bookmarkStart w:id="568" w:name="_Toc236764824"/>
      <w:r>
        <w:t>Argumentele părților</w:t>
      </w:r>
      <w:bookmarkEnd w:id="567"/>
      <w:bookmarkEnd w:id="568"/>
    </w:p>
    <w:bookmarkStart w:id="569" w:name="L_A10_A11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268</w:t>
      </w:r>
      <w:r w:rsidRPr="000B62B5">
        <w:fldChar w:fldCharType="end"/>
      </w:r>
      <w:bookmarkEnd w:id="569"/>
      <w:r>
        <w:t>. Guvernul a susținut că Agenția nu a colectat date privind opiniile, afilierile sau activitățile politice ale reclamanților. În plus, nu era clar modul în care acest lucru ar fi putut, în orice caz, să afecteze exercitarea de către aceștia a drepturilor garantate la art. 10 sau 11 din Convenție. Prin urmare, nu a existat nicio ingerință în exercitarea acestor drepturi. În subsidiar, acesta a susținut că orice astfel de ingerință a fost legală și justificată, întrucât decizia Agenției de a nu furniza informații cu privire la acest aspect s-a bazat pe norme clare și accesibile, menite să protejeze securitatea națională și proporționale – în special având în vedere impactul minim sau chiar inexistent al acestei decizii asupra reclamanților.</w:t>
      </w:r>
    </w:p>
    <w:bookmarkStart w:id="570" w:name="L_A10_A11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269</w:t>
      </w:r>
      <w:r w:rsidRPr="000B62B5">
        <w:fldChar w:fldCharType="end"/>
      </w:r>
      <w:bookmarkEnd w:id="570"/>
      <w:r>
        <w:t>. Reclamanții au recunoscut că nu puteau ști cu certitudine dacă Agenția a colectat și deținea informații cu privire la aceștia. Totuși, aveau o suspiciune serioasă că acest lucru era adevărat și, în opinia lor, orice astfel de date s-ar referi în mod inevitabil la opiniile, afilierile și activități lor politice. Refuzul Agenției de a dezvălui dacă aceasta era situația constituia așadar și o ingerință în exercitarea drepturilor lor garantate la art. 10 și 11 din Convenție. Această ingerință a fost ilegală și nejustificată pentru aceleași motive ca și ingerința în exercitarea drepturilor lor prevăzute la art. 8.</w:t>
      </w:r>
    </w:p>
    <w:p w:rsidR="00DE4BFE" w:rsidRPr="000B62B5" w:rsidRDefault="00E34145" w:rsidP="000B62B5">
      <w:pPr>
        <w:pStyle w:val="JuHA"/>
      </w:pPr>
      <w:bookmarkStart w:id="571" w:name="_Toc176454207"/>
      <w:bookmarkStart w:id="572" w:name="_Toc236764825"/>
      <w:r>
        <w:t>Motivarea Curții</w:t>
      </w:r>
      <w:bookmarkEnd w:id="571"/>
      <w:bookmarkEnd w:id="572"/>
    </w:p>
    <w:bookmarkStart w:id="573" w:name="L_A10_A11_C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270</w:t>
      </w:r>
      <w:r w:rsidRPr="000B62B5">
        <w:fldChar w:fldCharType="end"/>
      </w:r>
      <w:bookmarkEnd w:id="573"/>
      <w:r>
        <w:t xml:space="preserve">. Curtea a avut ocazia de a statua că stocarea datelor referitoare la opiniile, afilierile și activitățile politice, care nu este justificată în temeiul art. 8 § 2 din Convenție, constituie în mod </w:t>
      </w:r>
      <w:r>
        <w:lastRenderedPageBreak/>
        <w:t>inevitabil și o ingerință nejustificată în drepturile protejate în temeiul art. 10 și 11 din Convenție (a se vedea</w:t>
      </w:r>
      <w:r>
        <w:rPr>
          <w:i/>
        </w:rPr>
        <w:t xml:space="preserve"> Segerstedt-Wiberg și alții,</w:t>
      </w:r>
      <w:r>
        <w:t xml:space="preserve"> citată anterior, pct. 107). De asemenea, Curtea a statuat că datele care dezvăluie opinii politice – cum ar fi informațiile privind participarea la proteste pașnice – atrag un nivel mai ridicat de protecție (a se vedea </w:t>
      </w:r>
      <w:r>
        <w:rPr>
          <w:i/>
        </w:rPr>
        <w:t>Catt împotriva Regatului Unit</w:t>
      </w:r>
      <w:r>
        <w:t xml:space="preserve">, nr. 43514/15, pct. 112 și 123, 24 ianuarie 2019, și </w:t>
      </w:r>
      <w:r>
        <w:rPr>
          <w:i/>
        </w:rPr>
        <w:t>Gluhin împotriva Rusiei</w:t>
      </w:r>
      <w:r>
        <w:t>, nr. 11519/20, pct. 76, 4 iulie 2023).</w:t>
      </w:r>
    </w:p>
    <w:bookmarkStart w:id="574" w:name="L_A10_A11_C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271</w:t>
      </w:r>
      <w:r w:rsidRPr="000B62B5">
        <w:fldChar w:fldCharType="end"/>
      </w:r>
      <w:bookmarkEnd w:id="574"/>
      <w:r>
        <w:t xml:space="preserve">. Totuși, în cazul de față, nu se știe dacă Agenția a colectat date cu privire la reclamanți și despre ce tip de informații este vorba. Prin urmare, afirmația potrivit căreia astfel de date privesc opiniile, afilierile sau activitățile lor politice rămâne una speculativă (a se vedea, </w:t>
      </w:r>
      <w:r>
        <w:rPr>
          <w:i/>
          <w:iCs/>
        </w:rPr>
        <w:t>a contrario</w:t>
      </w:r>
      <w:r>
        <w:t xml:space="preserve">, </w:t>
      </w:r>
      <w:r>
        <w:rPr>
          <w:i/>
        </w:rPr>
        <w:t>Segerstedt-Wiberg și alții</w:t>
      </w:r>
      <w:r>
        <w:t xml:space="preserve">, pct. 107, și </w:t>
      </w:r>
      <w:r>
        <w:rPr>
          <w:i/>
        </w:rPr>
        <w:t>Catt</w:t>
      </w:r>
      <w:r>
        <w:t>, pct. 122-123, ambele citate anterior). Întrucât disponibilitatea unor garanții efective în ceea ce privește prelucrarea acestor date a fost examinată pe larg din perspectiva art. 8 § 2 (a se vedea supra pct. </w:t>
      </w:r>
      <w:r w:rsidRPr="000B62B5">
        <w:fldChar w:fldCharType="begin"/>
      </w:r>
      <w:r w:rsidRPr="000B62B5">
        <w:instrText xml:space="preserve"> REF  L_C_A_8_m_justif_C_apl_pr_jud_rev_1 \h  \* MERGEFORMAT </w:instrText>
      </w:r>
      <w:r w:rsidRPr="000B62B5">
        <w:fldChar w:fldCharType="separate"/>
      </w:r>
      <w:r w:rsidR="000B62B5" w:rsidRPr="000B62B5">
        <w:t>248</w:t>
      </w:r>
      <w:r w:rsidRPr="000B62B5">
        <w:fldChar w:fldCharType="end"/>
      </w:r>
      <w:r>
        <w:t>-</w:t>
      </w:r>
      <w:r w:rsidRPr="000B62B5">
        <w:fldChar w:fldCharType="begin"/>
      </w:r>
      <w:r w:rsidRPr="000B62B5">
        <w:instrText xml:space="preserve"> REF  L_C_A_8_m_justif_C_apl_pr_conclusion \h  \* MERGEFORMAT </w:instrText>
      </w:r>
      <w:r w:rsidRPr="000B62B5">
        <w:fldChar w:fldCharType="separate"/>
      </w:r>
      <w:r w:rsidR="000B62B5" w:rsidRPr="000B62B5">
        <w:t>264</w:t>
      </w:r>
      <w:r w:rsidRPr="000B62B5">
        <w:fldChar w:fldCharType="end"/>
      </w:r>
      <w:r>
        <w:t>), nu este necesară și o astfel de examinare în temeiul art. 10 și 11. Într-adevăr, în ceea ce privește acest aspect, părțile nu au invocat argumente în plus față de cele pe care le-au prezentat în temeiul art. 8 § 2 (a se vedea supra pct. </w:t>
      </w:r>
      <w:r w:rsidRPr="000B62B5">
        <w:fldChar w:fldCharType="begin"/>
      </w:r>
      <w:r w:rsidRPr="000B62B5">
        <w:instrText xml:space="preserve"> REF  L_A10_A11_G \h  \* MERGEFORMAT </w:instrText>
      </w:r>
      <w:r w:rsidRPr="000B62B5">
        <w:fldChar w:fldCharType="separate"/>
      </w:r>
      <w:r w:rsidR="000B62B5" w:rsidRPr="000B62B5">
        <w:t>268</w:t>
      </w:r>
      <w:r w:rsidRPr="000B62B5">
        <w:fldChar w:fldCharType="end"/>
      </w:r>
      <w:r>
        <w:t>-</w:t>
      </w:r>
      <w:r w:rsidRPr="000B62B5">
        <w:fldChar w:fldCharType="begin"/>
      </w:r>
      <w:r w:rsidRPr="000B62B5">
        <w:instrText xml:space="preserve"> REF  L_A10_A11_A \h  \* MERGEFORMAT </w:instrText>
      </w:r>
      <w:r w:rsidRPr="000B62B5">
        <w:fldChar w:fldCharType="separate"/>
      </w:r>
      <w:r w:rsidR="000B62B5" w:rsidRPr="000B62B5">
        <w:t>269</w:t>
      </w:r>
      <w:r w:rsidRPr="000B62B5">
        <w:fldChar w:fldCharType="end"/>
      </w:r>
      <w:r>
        <w:t>).</w:t>
      </w:r>
    </w:p>
    <w:bookmarkStart w:id="575" w:name="L_A10_A11_C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272</w:t>
      </w:r>
      <w:r w:rsidRPr="000B62B5">
        <w:fldChar w:fldCharType="end"/>
      </w:r>
      <w:bookmarkEnd w:id="575"/>
      <w:r>
        <w:t>. Prin urmare, nu este necesar să se examineze separat admisibilitatea și fondul acestui capăt de cerere.</w:t>
      </w:r>
    </w:p>
    <w:p w:rsidR="00DE4BFE" w:rsidRPr="000B62B5" w:rsidRDefault="00E34145" w:rsidP="000B62B5">
      <w:pPr>
        <w:pStyle w:val="JuHIRoman"/>
        <w:tabs>
          <w:tab w:val="left" w:pos="567"/>
          <w:tab w:val="left" w:pos="680"/>
        </w:tabs>
        <w:ind w:left="397" w:hanging="397"/>
      </w:pPr>
      <w:bookmarkStart w:id="576" w:name="_Toc176454208"/>
      <w:bookmarkStart w:id="577" w:name="_Toc236764826"/>
      <w:r>
        <w:t>CU PRIVIRE LA PRETINSA ÎNCĂLCARE A DREPTULUI DE A PRIMI INFORMAȚII</w:t>
      </w:r>
      <w:bookmarkEnd w:id="576"/>
      <w:bookmarkEnd w:id="577"/>
    </w:p>
    <w:bookmarkStart w:id="578" w:name="L_C_A_10"/>
    <w:p w:rsidR="00DE4BFE" w:rsidRPr="000B62B5" w:rsidRDefault="00E34145" w:rsidP="000B62B5">
      <w:pPr>
        <w:pStyle w:val="JuPara"/>
        <w:keepLines/>
      </w:pPr>
      <w:r w:rsidRPr="000B62B5">
        <w:fldChar w:fldCharType="begin"/>
      </w:r>
      <w:r w:rsidRPr="000B62B5">
        <w:instrText xml:space="preserve"> SEQ level0 \*arabic \* MERGEFORMAT </w:instrText>
      </w:r>
      <w:r w:rsidRPr="000B62B5">
        <w:fldChar w:fldCharType="separate"/>
      </w:r>
      <w:r w:rsidR="000B62B5" w:rsidRPr="000B62B5">
        <w:t>273</w:t>
      </w:r>
      <w:r w:rsidRPr="000B62B5">
        <w:fldChar w:fldCharType="end"/>
      </w:r>
      <w:bookmarkEnd w:id="578"/>
      <w:r>
        <w:t>. Reclamanții au imputat Agenției faptul că a refuzat în mod nejustificat să dezvăluie informațiile solicitate de aceștia. Aceștia au invocat din nou art. 10 din Convenție, ale cărui părți relevante au fost prezentate la punctul </w:t>
      </w:r>
      <w:r w:rsidRPr="000B62B5">
        <w:fldChar w:fldCharType="begin"/>
      </w:r>
      <w:r w:rsidRPr="000B62B5">
        <w:instrText xml:space="preserve"> REF  L_A10_A11_complaint \h  \* MERGEFORMAT </w:instrText>
      </w:r>
      <w:r w:rsidRPr="000B62B5">
        <w:fldChar w:fldCharType="separate"/>
      </w:r>
      <w:r w:rsidR="000B62B5" w:rsidRPr="000B62B5">
        <w:t>267</w:t>
      </w:r>
      <w:r w:rsidRPr="000B62B5">
        <w:fldChar w:fldCharType="end"/>
      </w:r>
      <w:r>
        <w:t xml:space="preserve"> de mai sus.</w:t>
      </w:r>
    </w:p>
    <w:p w:rsidR="00DE4BFE" w:rsidRPr="000B62B5" w:rsidRDefault="00E34145" w:rsidP="000B62B5">
      <w:pPr>
        <w:pStyle w:val="JuHA"/>
      </w:pPr>
      <w:bookmarkStart w:id="579" w:name="_Toc176454209"/>
      <w:bookmarkStart w:id="580" w:name="_Toc236764827"/>
      <w:r>
        <w:t>Argumentele părților</w:t>
      </w:r>
      <w:bookmarkEnd w:id="579"/>
      <w:bookmarkEnd w:id="580"/>
    </w:p>
    <w:p w:rsidR="00DE4BFE" w:rsidRPr="000B62B5" w:rsidRDefault="00E34145" w:rsidP="000B62B5">
      <w:pPr>
        <w:pStyle w:val="JuH1"/>
      </w:pPr>
      <w:bookmarkStart w:id="581" w:name="_Toc176454210"/>
      <w:bookmarkStart w:id="582" w:name="_Toc236764828"/>
      <w:r>
        <w:t>Guvernul</w:t>
      </w:r>
      <w:bookmarkEnd w:id="581"/>
      <w:bookmarkEnd w:id="582"/>
    </w:p>
    <w:bookmarkStart w:id="583" w:name="L_C_A_10_G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274</w:t>
      </w:r>
      <w:r w:rsidRPr="000B62B5">
        <w:fldChar w:fldCharType="end"/>
      </w:r>
      <w:bookmarkEnd w:id="583"/>
      <w:r>
        <w:t xml:space="preserve">. Guvernul a susținut că acest capăt de cerere era, de asemenea, incompatibil </w:t>
      </w:r>
      <w:r>
        <w:rPr>
          <w:i/>
        </w:rPr>
        <w:t>ratione materiae</w:t>
      </w:r>
      <w:r>
        <w:t xml:space="preserve"> cu dispozițiile Convenției, întrucât nu era clar în ce fel informațiile solicitate de reclamanți – care priveau metodele folosite de Agenție și identitatea informatorilor săi – puteau să aibă legătură cu exercitarea dreptului lor la libertatea de exprimare în temeiul art. 10 din Convenție.</w:t>
      </w:r>
    </w:p>
    <w:bookmarkStart w:id="584" w:name="L_C_A_10_G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275</w:t>
      </w:r>
      <w:r w:rsidRPr="000B62B5">
        <w:fldChar w:fldCharType="end"/>
      </w:r>
      <w:bookmarkEnd w:id="584"/>
      <w:r>
        <w:t>. Guvernul a susținut în continuare că nu a existat nicio ingerință în exercitarea dreptului reclamanților de a primi informații. În primul rând, aceștia nu au precizat scopul cererii lor adresate Agenției, iar informațiile pe care le-au solicitat erau departe de a fi esențiale în ceea ce privește libertatea lor de exprimare – presupunând că intenția lor a fost aceea de a provoca o dezbatere publică privind accesul la datele obținute prin supraveghere secretă. În al doilea rând, informațiile pe care le-au solicitat priveau mai degrabă metodele folosite de Agenție decât date referitoare la aceștia. Autoritățile au apreciat în mod corect că aceste informații nu trebuiau dezvăluite, întrucât divulgarea lor putea aduce atingere securității naționale și nu ar fi fost în interesul public – independent de rolul reclamanților de „câini de pază” publici.</w:t>
      </w:r>
    </w:p>
    <w:bookmarkStart w:id="585" w:name="L_C_A_10_G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276</w:t>
      </w:r>
      <w:r w:rsidRPr="000B62B5">
        <w:fldChar w:fldCharType="end"/>
      </w:r>
      <w:bookmarkEnd w:id="585"/>
      <w:r>
        <w:t>. În subsidiar, Guvernul a susținut că orice astfel de ingerință a fost legală și a urmărit un scop legitim, pentru aceleași motive ca și pretinsa ingerință în exercitarea drepturilor reclamanților garantate la art. 8 (a se vedea supra, pct. </w:t>
      </w:r>
      <w:r w:rsidRPr="000B62B5">
        <w:fldChar w:fldCharType="begin"/>
      </w:r>
      <w:r w:rsidRPr="000B62B5">
        <w:instrText xml:space="preserve"> REF  L_C_A_8_m_justification_G \h  \* MERGEFORMAT </w:instrText>
      </w:r>
      <w:r w:rsidRPr="000B62B5">
        <w:fldChar w:fldCharType="separate"/>
      </w:r>
      <w:r w:rsidR="000B62B5" w:rsidRPr="000B62B5">
        <w:t>235</w:t>
      </w:r>
      <w:r w:rsidRPr="000B62B5">
        <w:fldChar w:fldCharType="end"/>
      </w:r>
      <w:r>
        <w:t>). De asemenea, ingerința a fost proporțională întrucât se justifica păstrarea secretă a informațiilor de tipul celor solicitate de reclamanți. Biroul Național i-a comunicat domnului Kanev că nu au fost utilizate „mijloace speciale de supraveghere” împotriva acestuia și că astfel de mijloace nu ar fi putut fi folosite în privința Comitetului.</w:t>
      </w:r>
    </w:p>
    <w:p w:rsidR="00DE4BFE" w:rsidRPr="000B62B5" w:rsidRDefault="00E34145" w:rsidP="000B62B5">
      <w:pPr>
        <w:pStyle w:val="JuH1"/>
      </w:pPr>
      <w:bookmarkStart w:id="586" w:name="_Toc176454211"/>
      <w:bookmarkStart w:id="587" w:name="_Toc236764829"/>
      <w:r>
        <w:lastRenderedPageBreak/>
        <w:t>Reclamanții</w:t>
      </w:r>
      <w:bookmarkEnd w:id="586"/>
      <w:bookmarkEnd w:id="587"/>
    </w:p>
    <w:bookmarkStart w:id="588" w:name="L_C_A_10_A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277</w:t>
      </w:r>
      <w:r w:rsidRPr="000B62B5">
        <w:fldChar w:fldCharType="end"/>
      </w:r>
      <w:bookmarkEnd w:id="588"/>
      <w:r>
        <w:t>. Reclamanții au răspuns că Guvernul a apreciat în mod eronat natura informațiilor pe care le-au solicitat.</w:t>
      </w:r>
    </w:p>
    <w:bookmarkStart w:id="589" w:name="L_C_A_10_A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278</w:t>
      </w:r>
      <w:r w:rsidRPr="000B62B5">
        <w:fldChar w:fldCharType="end"/>
      </w:r>
      <w:bookmarkEnd w:id="589"/>
      <w:r>
        <w:t>. Potrivit acestora, refuzul Agenției de a divulga aceste informații a adus atingere dreptului lor de a primi informații. Divulgarea acestor informații – care nu priveau metodele folosite de Agenție ca atare – ar fi asigurat transparența cu privire la o chestiune de interes pentru societate în ansamblul său și ar fi sporit încrederea în serviciile de securitate, ca urmare a dezvăluirii unor abuzuri de către un oficial care cunoștea foarte bine activitatea acestora. În opinia reclamanților, rolul lor de „câini de pază” publici era de asemenea important. Scopul cererii adresate de aceștia Agenției era evident și reieșea suficient de clar chiar din conținutul cererii. Ulterior, în observațiile prezentate în cadrul procedurii de control jurisdicțional, aceștia au explicat în detaliu contextul cererii lor.</w:t>
      </w:r>
    </w:p>
    <w:bookmarkStart w:id="590" w:name="L_C_A_10_A_3"/>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279</w:t>
      </w:r>
      <w:r w:rsidRPr="000B62B5">
        <w:fldChar w:fldCharType="end"/>
      </w:r>
      <w:bookmarkEnd w:id="590"/>
      <w:r>
        <w:t>. În continuare, reclamanții au susținut că refuzul Agenției de a divulga informațiile nu a fost „necesar într-o societate democratică”. Legea din 2007 nu conținea garanții efective împotriva utilizării abuzive de către Agenție a competențelor sale extinse și a capacităților sale de prelucrare a datelor. Suspiciunea potrivit căreia erau utilizate în mod abuziv „mijloace speciale de supraveghere” era larg răspândită în Bulgaria și nu a putut fi înlăturată prin instituirea mecanismului de notificare existent.</w:t>
      </w:r>
    </w:p>
    <w:p w:rsidR="00DE4BFE" w:rsidRPr="000B62B5" w:rsidRDefault="00E34145" w:rsidP="000B62B5">
      <w:pPr>
        <w:pStyle w:val="JuHA"/>
      </w:pPr>
      <w:bookmarkStart w:id="591" w:name="_Toc176454212"/>
      <w:bookmarkStart w:id="592" w:name="_Toc236764830"/>
      <w:r>
        <w:t>Motivarea Curții</w:t>
      </w:r>
      <w:bookmarkEnd w:id="591"/>
      <w:bookmarkEnd w:id="592"/>
    </w:p>
    <w:bookmarkStart w:id="593" w:name="L_C_A_10_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280</w:t>
      </w:r>
      <w:r w:rsidRPr="000B62B5">
        <w:fldChar w:fldCharType="end"/>
      </w:r>
      <w:bookmarkEnd w:id="593"/>
      <w:r>
        <w:t>. Refuzul Agenției de a dezvălui dacă a colectat sau nu informații cu privire la reclamanți a fost examinat în detaliu din perspectiva art. 8 din Convenție (a se vedea supra, pct. </w:t>
      </w:r>
      <w:r w:rsidRPr="000B62B5">
        <w:fldChar w:fldCharType="begin"/>
      </w:r>
      <w:r w:rsidRPr="000B62B5">
        <w:instrText xml:space="preserve"> REF  L_C_A_8_adm_rm_C_1 \h  \* MERGEFORMAT </w:instrText>
      </w:r>
      <w:r w:rsidRPr="000B62B5">
        <w:fldChar w:fldCharType="separate"/>
      </w:r>
      <w:r w:rsidR="000B62B5" w:rsidRPr="000B62B5">
        <w:t>212</w:t>
      </w:r>
      <w:r w:rsidRPr="000B62B5">
        <w:fldChar w:fldCharType="end"/>
      </w:r>
      <w:r>
        <w:t>-</w:t>
      </w:r>
      <w:r w:rsidRPr="000B62B5">
        <w:fldChar w:fldCharType="begin"/>
      </w:r>
      <w:r w:rsidRPr="000B62B5">
        <w:instrText xml:space="preserve"> REF  L_C_A_8_adm_rm_C_8 \h  \* MERGEFORMAT </w:instrText>
      </w:r>
      <w:r w:rsidRPr="000B62B5">
        <w:fldChar w:fldCharType="separate"/>
      </w:r>
      <w:r w:rsidR="000B62B5" w:rsidRPr="000B62B5">
        <w:t>219</w:t>
      </w:r>
      <w:r w:rsidRPr="000B62B5">
        <w:fldChar w:fldCharType="end"/>
      </w:r>
      <w:r>
        <w:t xml:space="preserve">, </w:t>
      </w:r>
      <w:r w:rsidRPr="000B62B5">
        <w:fldChar w:fldCharType="begin"/>
      </w:r>
      <w:r w:rsidRPr="000B62B5">
        <w:instrText xml:space="preserve"> REF  L_C_A_8_m_interf_C \h  \* MERGEFORMAT </w:instrText>
      </w:r>
      <w:r w:rsidRPr="000B62B5">
        <w:fldChar w:fldCharType="separate"/>
      </w:r>
      <w:r w:rsidR="000B62B5" w:rsidRPr="000B62B5">
        <w:t>232</w:t>
      </w:r>
      <w:r w:rsidRPr="000B62B5">
        <w:fldChar w:fldCharType="end"/>
      </w:r>
      <w:r>
        <w:t>-</w:t>
      </w:r>
      <w:r w:rsidRPr="000B62B5">
        <w:fldChar w:fldCharType="begin"/>
      </w:r>
      <w:r w:rsidRPr="000B62B5">
        <w:instrText xml:space="preserve"> REF  L_C_A_8_m_interf_C_bis \h  \* MERGEFORMAT </w:instrText>
      </w:r>
      <w:r w:rsidRPr="000B62B5">
        <w:fldChar w:fldCharType="separate"/>
      </w:r>
      <w:r w:rsidR="000B62B5" w:rsidRPr="000B62B5">
        <w:t>233</w:t>
      </w:r>
      <w:r w:rsidRPr="000B62B5">
        <w:fldChar w:fldCharType="end"/>
      </w:r>
      <w:r>
        <w:t xml:space="preserve"> și </w:t>
      </w:r>
      <w:r w:rsidRPr="000B62B5">
        <w:fldChar w:fldCharType="begin"/>
      </w:r>
      <w:r w:rsidRPr="000B62B5">
        <w:instrText xml:space="preserve"> REF  L_C_A_8_m_justif_C_g_pr_1 \h  \* MERGEFORMAT </w:instrText>
      </w:r>
      <w:r w:rsidRPr="000B62B5">
        <w:fldChar w:fldCharType="separate"/>
      </w:r>
      <w:r w:rsidR="000B62B5" w:rsidRPr="000B62B5">
        <w:t>236</w:t>
      </w:r>
      <w:r w:rsidRPr="000B62B5">
        <w:fldChar w:fldCharType="end"/>
      </w:r>
      <w:r>
        <w:t>-</w:t>
      </w:r>
      <w:r w:rsidRPr="000B62B5">
        <w:fldChar w:fldCharType="begin"/>
      </w:r>
      <w:r w:rsidRPr="000B62B5">
        <w:instrText xml:space="preserve"> REF  L_C_A_8_m_justif_C_apl_pr_final_concl \h  \* MERGEFORMAT </w:instrText>
      </w:r>
      <w:r w:rsidRPr="000B62B5">
        <w:fldChar w:fldCharType="separate"/>
      </w:r>
      <w:r w:rsidR="000B62B5" w:rsidRPr="000B62B5">
        <w:t>266</w:t>
      </w:r>
      <w:r w:rsidRPr="000B62B5">
        <w:fldChar w:fldCharType="end"/>
      </w:r>
      <w:r>
        <w:t>). Prin urmare, nu este necesar să se examineze admisibilitatea sau fondul capătului de cerere conex formulat de aceștia în temeiul art. 10 din Convenție, care – astfel cum se poate observa din modul în care a fost formulat și din susținerile reclamanților cu privire la acesta (a se vedea supra, pct. </w:t>
      </w:r>
      <w:r w:rsidRPr="000B62B5">
        <w:fldChar w:fldCharType="begin"/>
      </w:r>
      <w:r w:rsidRPr="000B62B5">
        <w:instrText xml:space="preserve"> REF  L_C_A_10 \h  \* MERGEFORMAT </w:instrText>
      </w:r>
      <w:r w:rsidRPr="000B62B5">
        <w:fldChar w:fldCharType="separate"/>
      </w:r>
      <w:r w:rsidR="000B62B5" w:rsidRPr="000B62B5">
        <w:t>273</w:t>
      </w:r>
      <w:r w:rsidRPr="000B62B5">
        <w:fldChar w:fldCharType="end"/>
      </w:r>
      <w:r>
        <w:t xml:space="preserve"> și </w:t>
      </w:r>
      <w:r w:rsidRPr="000B62B5">
        <w:fldChar w:fldCharType="begin"/>
      </w:r>
      <w:r w:rsidRPr="000B62B5">
        <w:instrText xml:space="preserve"> REF  L_C_A_10_A_3 \h  \* MERGEFORMAT </w:instrText>
      </w:r>
      <w:r w:rsidRPr="000B62B5">
        <w:fldChar w:fldCharType="separate"/>
      </w:r>
      <w:r w:rsidR="000B62B5" w:rsidRPr="000B62B5">
        <w:t>279</w:t>
      </w:r>
      <w:r w:rsidRPr="000B62B5">
        <w:fldChar w:fldCharType="end"/>
      </w:r>
      <w:r>
        <w:t xml:space="preserve">) – constituie o reformulare a capătului de cerere întemeiat pe art. 8 din Convenție și nu ridică nicio problemă separată, în plus față de cea ridicată din perspectiva art. 8 din Convenție (a se vedea, </w:t>
      </w:r>
      <w:r>
        <w:rPr>
          <w:i/>
        </w:rPr>
        <w:t>mutatis mutandis</w:t>
      </w:r>
      <w:r>
        <w:t>,</w:t>
      </w:r>
      <w:bookmarkStart w:id="594" w:name="_cl36518THELAW"/>
      <w:r>
        <w:t xml:space="preserve"> </w:t>
      </w:r>
      <w:r>
        <w:rPr>
          <w:i/>
        </w:rPr>
        <w:t>Silver și alții împotriva Regatului Unit</w:t>
      </w:r>
      <w:bookmarkEnd w:id="594"/>
      <w:r>
        <w:t xml:space="preserve">, 25 martie 1983, pct. 107, seria A nr. 61, și </w:t>
      </w:r>
      <w:r>
        <w:rPr>
          <w:i/>
        </w:rPr>
        <w:t>Big Brother Watch și alții</w:t>
      </w:r>
      <w:r>
        <w:t>, citată anterior, pct. 516).</w:t>
      </w:r>
    </w:p>
    <w:p w:rsidR="00DE4BFE" w:rsidRPr="000B62B5" w:rsidRDefault="00E34145" w:rsidP="000B62B5">
      <w:pPr>
        <w:pStyle w:val="JuHIRoman"/>
        <w:tabs>
          <w:tab w:val="left" w:pos="567"/>
          <w:tab w:val="left" w:pos="680"/>
        </w:tabs>
        <w:ind w:left="397" w:hanging="397"/>
        <w:rPr>
          <w:caps w:val="0"/>
        </w:rPr>
      </w:pPr>
      <w:bookmarkStart w:id="595" w:name="_Toc176454213"/>
      <w:bookmarkStart w:id="596" w:name="_Toc236764831"/>
      <w:r>
        <w:rPr>
          <w:caps w:val="0"/>
        </w:rPr>
        <w:t>CU PRIVIRE LA PRETINSA ÎNCĂLCARE A ART. 13 DIN CONVENȚIE</w:t>
      </w:r>
      <w:bookmarkEnd w:id="596"/>
      <w:r>
        <w:rPr>
          <w:caps w:val="0"/>
        </w:rPr>
        <w:t xml:space="preserve"> </w:t>
      </w:r>
      <w:bookmarkEnd w:id="595"/>
    </w:p>
    <w:bookmarkStart w:id="597" w:name="L_C_A_13"/>
    <w:p w:rsidR="00DE4BFE" w:rsidRPr="000B62B5" w:rsidRDefault="00E34145" w:rsidP="000B62B5">
      <w:pPr>
        <w:pStyle w:val="JuPara"/>
        <w:keepNext/>
        <w:keepLines/>
      </w:pPr>
      <w:r w:rsidRPr="000B62B5">
        <w:fldChar w:fldCharType="begin"/>
      </w:r>
      <w:r w:rsidRPr="000B62B5">
        <w:instrText xml:space="preserve"> SEQ level0 \*arabic \* MERGEFORMAT </w:instrText>
      </w:r>
      <w:r w:rsidRPr="000B62B5">
        <w:fldChar w:fldCharType="separate"/>
      </w:r>
      <w:r w:rsidR="000B62B5" w:rsidRPr="000B62B5">
        <w:t>281</w:t>
      </w:r>
      <w:r w:rsidRPr="000B62B5">
        <w:fldChar w:fldCharType="end"/>
      </w:r>
      <w:bookmarkEnd w:id="597"/>
      <w:r>
        <w:t>. Reclamanții s-au plâns, de asemenea, că nu au dispus de o cale de atac efectivă în ceea ce privește imposibilitatea de a obține din partea Agenției informații cu privire la aspectul dacă prelucra sau nu date referitoare la aceștia. Aceștia au invocat art. 13 din Convenție, care prevede următoarele:</w:t>
      </w:r>
    </w:p>
    <w:p w:rsidR="00DE4BFE" w:rsidRPr="000B62B5" w:rsidRDefault="00E34145" w:rsidP="000B62B5">
      <w:pPr>
        <w:pStyle w:val="JuQuot"/>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p w:rsidR="00DE4BFE" w:rsidRPr="000B62B5" w:rsidRDefault="00E34145" w:rsidP="000B62B5">
      <w:pPr>
        <w:pStyle w:val="JuHA"/>
      </w:pPr>
      <w:bookmarkStart w:id="598" w:name="_Toc176454214"/>
      <w:bookmarkStart w:id="599" w:name="_Toc236764832"/>
      <w:r>
        <w:t>Argumentele părților</w:t>
      </w:r>
      <w:bookmarkEnd w:id="598"/>
      <w:bookmarkEnd w:id="599"/>
    </w:p>
    <w:bookmarkStart w:id="600" w:name="L_C_A_13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282</w:t>
      </w:r>
      <w:r w:rsidRPr="000B62B5">
        <w:fldChar w:fldCharType="end"/>
      </w:r>
      <w:bookmarkEnd w:id="600"/>
      <w:r>
        <w:t xml:space="preserve">. Guvernul a subliniat că reclamanții au fost în măsură să solicite controlul jurisdicțional al refuzului Agenției de a divulga informațiile solicitate de aceștia. Totuși, astfel cum s-a constatat în cursul procedurii în cauză, aceste informații nu constituiau date cu caracter personal, ceea ce însemna că era necesar ca reclamanții să rectifice solicitarea adresată de aceștia Agenției. Însă nu au făcut acest lucru, ci doar au reiterat cererea lor doi ani mai târziu – </w:t>
      </w:r>
      <w:r>
        <w:lastRenderedPageBreak/>
        <w:t>aparent fiind conștienți de faptul că vor primi același răspuns. Încă mai puteau să își reformuleze cererea. Faptul că procedura de control jurisdicțional nu a condus la rezultatul dorit de reclamanți nu însemna că o astfel de procedură nu constituia o cale de atac efectivă.</w:t>
      </w:r>
    </w:p>
    <w:bookmarkStart w:id="601" w:name="L_C_A_13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283</w:t>
      </w:r>
      <w:r w:rsidRPr="000B62B5">
        <w:fldChar w:fldCharType="end"/>
      </w:r>
      <w:bookmarkEnd w:id="601"/>
      <w:r>
        <w:t>. Reclamanții au susținut că cele trei proceduri de control jurisdicțional pe care le-au inițiat nu le-au asigurat o cale de atac efectivă în ceea ce privește refuzul Agenției de a divulga informațiile solicitate de ei – în principal deoarece instanțele nu au dispus ca Agenția să ofere explicații referitoare la potențialele riscuri de securitate națională pe care le implica o astfel de divulgare. Singura hotărâre prin care Agenția a fost obligată să furnizeze o astfel de justificare a fost cea pronunțată de Tribunalul Administrativ al orașului Sofia, la începutul anului 2024, dar aceasta a fost modificată, în privința acestui aspect, de Curtea Administrativă Supremă, pe baza regulii prevăzute la articolul 36 alineatul (8) din Legea din 2007, potrivit căreia Agenția nu avea obligația de a prezenta o motivare cu privire la aspectele de fapt atunci când refuza să răspundă la cererile de acces la date cu caracter personal (a se vedea supra, pct. </w:t>
      </w:r>
      <w:r w:rsidRPr="000B62B5">
        <w:fldChar w:fldCharType="begin"/>
      </w:r>
      <w:r w:rsidRPr="000B62B5">
        <w:instrText xml:space="preserve"> REF  F_2_inf_req_jud_rev_claim_SCAC_jud \h  \* MERGEFORMAT </w:instrText>
      </w:r>
      <w:r w:rsidRPr="000B62B5">
        <w:fldChar w:fldCharType="separate"/>
      </w:r>
      <w:r w:rsidR="000B62B5" w:rsidRPr="000B62B5">
        <w:t>43</w:t>
      </w:r>
      <w:r w:rsidRPr="000B62B5">
        <w:fldChar w:fldCharType="end"/>
      </w:r>
      <w:r>
        <w:t xml:space="preserve">, </w:t>
      </w:r>
      <w:r w:rsidRPr="000B62B5">
        <w:fldChar w:fldCharType="begin"/>
      </w:r>
      <w:r w:rsidRPr="000B62B5">
        <w:instrText xml:space="preserve"> REF  F_2_inf_req_jud_rev_claim_SAC_jud_ter \h  \* MERGEFORMAT </w:instrText>
      </w:r>
      <w:r w:rsidRPr="000B62B5">
        <w:fldChar w:fldCharType="separate"/>
      </w:r>
      <w:r w:rsidR="000B62B5" w:rsidRPr="000B62B5">
        <w:t>47</w:t>
      </w:r>
      <w:r w:rsidRPr="000B62B5">
        <w:fldChar w:fldCharType="end"/>
      </w:r>
      <w:r>
        <w:t xml:space="preserve"> și </w:t>
      </w:r>
      <w:r w:rsidRPr="000B62B5">
        <w:fldChar w:fldCharType="begin"/>
      </w:r>
      <w:r w:rsidRPr="000B62B5">
        <w:instrText xml:space="preserve"> REF  RLF_SANSA_s_36_8 \h  \* MERGEFORMAT </w:instrText>
      </w:r>
      <w:r w:rsidRPr="000B62B5">
        <w:fldChar w:fldCharType="separate"/>
      </w:r>
      <w:r w:rsidR="000B62B5" w:rsidRPr="000B62B5">
        <w:t>71</w:t>
      </w:r>
      <w:r w:rsidRPr="000B62B5">
        <w:fldChar w:fldCharType="end"/>
      </w:r>
      <w:r>
        <w:t>).</w:t>
      </w:r>
    </w:p>
    <w:p w:rsidR="00DE4BFE" w:rsidRPr="000B62B5" w:rsidRDefault="00E34145" w:rsidP="000B62B5">
      <w:pPr>
        <w:pStyle w:val="JuHA"/>
      </w:pPr>
      <w:bookmarkStart w:id="602" w:name="_Toc176454215"/>
      <w:bookmarkStart w:id="603" w:name="_Toc236764833"/>
      <w:r>
        <w:t>Motivarea Curții</w:t>
      </w:r>
      <w:bookmarkEnd w:id="602"/>
      <w:bookmarkEnd w:id="603"/>
    </w:p>
    <w:bookmarkStart w:id="604" w:name="L_C_A_13_C_1"/>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284</w:t>
      </w:r>
      <w:r w:rsidRPr="000B62B5">
        <w:fldChar w:fldCharType="end"/>
      </w:r>
      <w:bookmarkEnd w:id="604"/>
      <w:r>
        <w:t>.  Chestiunea dacă procedura de control jurisdicțional în ceea ce privește refuzul Agenției de a dezvălui dacă a prelucrat sau nu date referitoare la reclamanți putea oferi o garanție efectivă împotriva unei decizii arbitrare sau disproporționate a Agenției cu privire la acest aspect a fost examinată în detaliu din perspectiva art. 8 § 2 din Convenție (a se vedea supra, pct. </w:t>
      </w:r>
      <w:r w:rsidRPr="000B62B5">
        <w:fldChar w:fldCharType="begin"/>
      </w:r>
      <w:r w:rsidRPr="000B62B5">
        <w:instrText xml:space="preserve"> REF  L_C_A_8_m_justif_C_apl_pr_jud_rev_1 \h  \* MERGEFORMAT </w:instrText>
      </w:r>
      <w:r w:rsidRPr="000B62B5">
        <w:fldChar w:fldCharType="separate"/>
      </w:r>
      <w:r w:rsidR="000B62B5" w:rsidRPr="000B62B5">
        <w:t>248</w:t>
      </w:r>
      <w:r w:rsidRPr="000B62B5">
        <w:fldChar w:fldCharType="end"/>
      </w:r>
      <w:r>
        <w:t>-</w:t>
      </w:r>
      <w:r w:rsidRPr="000B62B5">
        <w:fldChar w:fldCharType="begin"/>
      </w:r>
      <w:r w:rsidRPr="000B62B5">
        <w:instrText xml:space="preserve"> REF  L_C_A_8_m_justif_C_apl_pr_jud_rev_4 \h  \* MERGEFORMAT </w:instrText>
      </w:r>
      <w:r w:rsidRPr="000B62B5">
        <w:fldChar w:fldCharType="separate"/>
      </w:r>
      <w:r w:rsidR="000B62B5" w:rsidRPr="000B62B5">
        <w:t>252</w:t>
      </w:r>
      <w:r w:rsidRPr="000B62B5">
        <w:fldChar w:fldCharType="end"/>
      </w:r>
      <w:r>
        <w:t>). Conținutul susținerilor reclamanților în legătură cu art. 13 din Convenție (a se vedea supra, pct. </w:t>
      </w:r>
      <w:r w:rsidRPr="000B62B5">
        <w:fldChar w:fldCharType="begin"/>
      </w:r>
      <w:r w:rsidRPr="000B62B5">
        <w:instrText xml:space="preserve"> REF  L_C_A_13_A \h  \* MERGEFORMAT </w:instrText>
      </w:r>
      <w:r w:rsidRPr="000B62B5">
        <w:fldChar w:fldCharType="separate"/>
      </w:r>
      <w:r w:rsidR="000B62B5" w:rsidRPr="000B62B5">
        <w:t>283</w:t>
      </w:r>
      <w:r w:rsidRPr="000B62B5">
        <w:fldChar w:fldCharType="end"/>
      </w:r>
      <w:r>
        <w:t>) demonstrează că aceștia nu au ridicat nicio altă problemă în legătură cu procedura respectivă.</w:t>
      </w:r>
    </w:p>
    <w:bookmarkStart w:id="605" w:name="L_C_A_13_C_2"/>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285</w:t>
      </w:r>
      <w:r w:rsidRPr="000B62B5">
        <w:fldChar w:fldCharType="end"/>
      </w:r>
      <w:bookmarkEnd w:id="605"/>
      <w:r>
        <w:t xml:space="preserve">. Prin urmare, nu este necesar să examineze admisibilitatea și fondul capătului de cerere formulat de reclamanți în temeiul art. 13 din Convenție (a se vedea, </w:t>
      </w:r>
      <w:r>
        <w:rPr>
          <w:i/>
        </w:rPr>
        <w:t>mutatis mutandis</w:t>
      </w:r>
      <w:r>
        <w:t>,</w:t>
      </w:r>
      <w:bookmarkStart w:id="606" w:name="_cl39369THELAW"/>
      <w:bookmarkStart w:id="607" w:name="_cl39606THELAW"/>
      <w:r>
        <w:t xml:space="preserve"> </w:t>
      </w:r>
      <w:bookmarkEnd w:id="606"/>
      <w:r>
        <w:rPr>
          <w:i/>
        </w:rPr>
        <w:t>Ioncev împotriva Bulgariei</w:t>
      </w:r>
      <w:bookmarkEnd w:id="607"/>
      <w:r>
        <w:t>, nr. 12504/09, pct. 32-33, 7 decembrie 2017;</w:t>
      </w:r>
      <w:bookmarkStart w:id="608" w:name="_cl42586THELAW"/>
      <w:r>
        <w:t xml:space="preserve"> </w:t>
      </w:r>
      <w:r>
        <w:rPr>
          <w:i/>
        </w:rPr>
        <w:t>Negru împotriva Republicii Moldova</w:t>
      </w:r>
      <w:bookmarkEnd w:id="608"/>
      <w:r>
        <w:t xml:space="preserve">, nr. 7336/11, pct. 37, 27 iunie 2023; și </w:t>
      </w:r>
      <w:r>
        <w:rPr>
          <w:i/>
        </w:rPr>
        <w:t>Kaczmarek</w:t>
      </w:r>
      <w:r>
        <w:t>, citată anterior, pct. 101).</w:t>
      </w:r>
    </w:p>
    <w:p w:rsidR="00DE4BFE" w:rsidRPr="000B62B5" w:rsidRDefault="00E34145" w:rsidP="000B62B5">
      <w:pPr>
        <w:pStyle w:val="JuHIRoman"/>
        <w:tabs>
          <w:tab w:val="left" w:pos="567"/>
          <w:tab w:val="left" w:pos="680"/>
        </w:tabs>
        <w:ind w:left="397" w:hanging="397"/>
      </w:pPr>
      <w:bookmarkStart w:id="609" w:name="_Toc176454216"/>
      <w:bookmarkStart w:id="610" w:name="_Toc236764834"/>
      <w:r>
        <w:t>CU PRIVIRE LA APLICAREA ART. 41 DIN CONVENȚIE</w:t>
      </w:r>
      <w:bookmarkEnd w:id="609"/>
      <w:bookmarkEnd w:id="610"/>
    </w:p>
    <w:p w:rsidR="00DE4BFE" w:rsidRPr="000B62B5" w:rsidRDefault="00E34145" w:rsidP="000B62B5">
      <w:pPr>
        <w:pStyle w:val="JuPara"/>
        <w:keepNext/>
      </w:pPr>
      <w:r w:rsidRPr="000B62B5">
        <w:fldChar w:fldCharType="begin"/>
      </w:r>
      <w:r>
        <w:instrText xml:space="preserve"> SEQ level0 \*arabic \* MERGEFORMAT </w:instrText>
      </w:r>
      <w:r w:rsidRPr="000B62B5">
        <w:fldChar w:fldCharType="separate"/>
      </w:r>
      <w:r w:rsidRPr="000B62B5">
        <w:t>286</w:t>
      </w:r>
      <w:r w:rsidRPr="000B62B5">
        <w:fldChar w:fldCharType="end"/>
      </w:r>
      <w:r>
        <w:t>. Art. 41 din Convenție prevede următoarele:</w:t>
      </w:r>
    </w:p>
    <w:p w:rsidR="00DE4BFE" w:rsidRPr="000B62B5" w:rsidRDefault="00E34145" w:rsidP="000B62B5">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DE4BFE" w:rsidRPr="000B62B5" w:rsidRDefault="00E34145" w:rsidP="000B62B5">
      <w:pPr>
        <w:pStyle w:val="JuHA"/>
        <w:numPr>
          <w:ilvl w:val="2"/>
          <w:numId w:val="21"/>
        </w:numPr>
        <w:tabs>
          <w:tab w:val="num" w:pos="1209"/>
        </w:tabs>
        <w:ind w:left="510" w:hanging="340"/>
      </w:pPr>
      <w:bookmarkStart w:id="611" w:name="_Toc176454217"/>
      <w:bookmarkStart w:id="612" w:name="_Toc236764835"/>
      <w:r>
        <w:t>Prejudiciu</w:t>
      </w:r>
      <w:bookmarkEnd w:id="611"/>
      <w:bookmarkEnd w:id="612"/>
    </w:p>
    <w:p w:rsidR="00DE4BFE" w:rsidRPr="000B62B5" w:rsidRDefault="00E34145" w:rsidP="000B62B5">
      <w:pPr>
        <w:pStyle w:val="JuH1"/>
      </w:pPr>
      <w:bookmarkStart w:id="613" w:name="_Toc176454218"/>
      <w:bookmarkStart w:id="614" w:name="_Toc236764836"/>
      <w:r>
        <w:t>Cu privire la cererea reclamanților și la observațiile Guvernului referitoare la aceasta</w:t>
      </w:r>
      <w:bookmarkEnd w:id="613"/>
      <w:bookmarkEnd w:id="614"/>
    </w:p>
    <w:bookmarkStart w:id="615" w:name="L_A41_damage_A"/>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287</w:t>
      </w:r>
      <w:r w:rsidRPr="000B62B5">
        <w:fldChar w:fldCharType="end"/>
      </w:r>
      <w:bookmarkEnd w:id="615"/>
      <w:r>
        <w:t>. Cei doi reclamanți au solicitat fiecare câte 1 000 de euro (EUR) cu titlu de despăgubire pentru prejudiciul moral pe care l-ar fi suferit ca urmare a încălcărilor invocate în speță.</w:t>
      </w:r>
    </w:p>
    <w:bookmarkStart w:id="616" w:name="L_A41_damage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288</w:t>
      </w:r>
      <w:r w:rsidRPr="000B62B5">
        <w:fldChar w:fldCharType="end"/>
      </w:r>
      <w:bookmarkEnd w:id="616"/>
      <w:r>
        <w:t>. Guvernul a contestat această pretenție, subliniind că reclamanții nu au afirmat că au suferit consecințe negative ca urmare a pretinselor încălcări. În opinia sa, concluzia în sensul existenței unei încălcări ar constitui în sine o reparație echitabilă pentru orice încălcare constatată în prezenta cauză.</w:t>
      </w:r>
    </w:p>
    <w:p w:rsidR="00DE4BFE" w:rsidRPr="000B62B5" w:rsidRDefault="00E34145" w:rsidP="000B62B5">
      <w:pPr>
        <w:pStyle w:val="JuH1"/>
      </w:pPr>
      <w:bookmarkStart w:id="617" w:name="_Toc176454219"/>
      <w:bookmarkStart w:id="618" w:name="_Toc236764837"/>
      <w:r>
        <w:t>Motivarea Curții</w:t>
      </w:r>
      <w:bookmarkEnd w:id="617"/>
      <w:bookmarkEnd w:id="618"/>
    </w:p>
    <w:bookmarkStart w:id="619" w:name="L_A41_damage_C_semel"/>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289</w:t>
      </w:r>
      <w:r w:rsidRPr="000B62B5">
        <w:fldChar w:fldCharType="end"/>
      </w:r>
      <w:bookmarkEnd w:id="619"/>
      <w:r>
        <w:t>. Astfel cum confirmă adjectivul „echitabilă” și expresia „dacă este cazul” folosite la art. 41 din Convenție, Curtea beneficiază de putere discreționară în exercitarea competenței de a acorda o astfel de reparație părții lezate [a se vedea hotărârea recentă</w:t>
      </w:r>
      <w:r>
        <w:rPr>
          <w:i/>
        </w:rPr>
        <w:t xml:space="preserve"> </w:t>
      </w:r>
      <w:r>
        <w:t>în cauza</w:t>
      </w:r>
      <w:r>
        <w:rPr>
          <w:i/>
        </w:rPr>
        <w:t xml:space="preserve"> Molla Sali </w:t>
      </w:r>
      <w:r>
        <w:rPr>
          <w:i/>
        </w:rPr>
        <w:lastRenderedPageBreak/>
        <w:t>împotriva Greciei</w:t>
      </w:r>
      <w:r>
        <w:t xml:space="preserve"> (reparație echitabilă) (MC), nr. 20452/14, pct. 32, 18 iunie 2020]. În unele cazuri, justificarea publică a prejudiciului suferit de partea respectivă, în cadrul unei hotărâri obligatorii pentru statul pârât, poate constitui în sine o reparație suficientă. Acest lucru este valabil cu atât mai mult atunci când, precum în speță,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xml:space="preserve">) constatarea încălcării se bazează exclusiv pe concluzia potrivit căreia o lege, o procedură sau o practică nu a respectat normele prevăzute de Convenție [ibid., pct. 33, cu referire la </w:t>
      </w:r>
      <w:r>
        <w:rPr>
          <w:i/>
        </w:rPr>
        <w:t>Varnava și alții împotriva Turciei</w:t>
      </w:r>
      <w:r>
        <w:t xml:space="preserve"> (MC), nr. 16064/90 și alte 8, pct. 224, CEDO 2009], fără să se mai constate că deficiența în cauză i-a afectat pe reclamanți în mod real, și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cea mai adecvată formă de reparație ar fi dispunerea unor măsuri generale [a se vedea punctul 4 din documentul „Instrucțiuni practice privind cererile de acordare a unei reparații echitabile” (</w:t>
      </w:r>
      <w:r>
        <w:rPr>
          <w:i/>
          <w:iCs/>
        </w:rPr>
        <w:t>Practice Direction on Just Satisfaction Claims</w:t>
      </w:r>
      <w:r>
        <w:t>), astfel cum a fost modificat în iunie 2022].</w:t>
      </w:r>
    </w:p>
    <w:bookmarkStart w:id="620" w:name="L_A41_damage_C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290</w:t>
      </w:r>
      <w:r w:rsidRPr="000B62B5">
        <w:fldChar w:fldCharType="end"/>
      </w:r>
      <w:bookmarkEnd w:id="620"/>
      <w:r>
        <w:t xml:space="preserve">. În speță, nu a fost prezentată nicio probă care să demonstreze că refuzul de a informa reclamanții cu privire la aspectul dacă Agenția prelucra sau nu date referitoare la aceștia le-a cauzat un prejudiciu concret. Reclamanții nici măcar nu au precizat natura prejudiciului moral pe care l-ar fi suferit din această cauză; întrucât primul reclamant este o persoană fizică, iar cel de al doilea reclamant este o persoană juridică, este probabil ca natura unui astfel de prejudiciu care le-ar fi fost cauzat să fie diferită în cazul fiecăruia dintre reclamanți. Chiar dacă se admite că ambii au suferit un prejudiciu moral ca urmare a lipsei unor garanții efective în ceea ce privește posibila prelucrare de către Agenție a unor date referitoare la „viața privată” a acestora și la „corespondența” lor, prin constatarea unei încălcări a art. 8 din Convenție li se oferă o reparație echitabilă suficientă în această privință (a se vedea, </w:t>
      </w:r>
      <w:r>
        <w:rPr>
          <w:i/>
        </w:rPr>
        <w:t>mutatis mutandis,</w:t>
      </w:r>
      <w:r>
        <w:t xml:space="preserve"> </w:t>
      </w:r>
      <w:r>
        <w:rPr>
          <w:i/>
        </w:rPr>
        <w:t>Amann,</w:t>
      </w:r>
      <w:r>
        <w:t xml:space="preserve"> citată anterior, pct. 94). Prin urmare, nu este necesar să li se acorde despăgubiri pecuniare în această privință.</w:t>
      </w:r>
    </w:p>
    <w:bookmarkStart w:id="621" w:name="L_A41_damage_C_ter"/>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291</w:t>
      </w:r>
      <w:r w:rsidRPr="000B62B5">
        <w:fldChar w:fldCharType="end"/>
      </w:r>
      <w:bookmarkEnd w:id="621"/>
      <w:r>
        <w:t xml:space="preserve">. În același timp, trebuie subliniat faptul că, în temeiul art. 46 din Convenție, o hotărâre, prin care Curtea constată o încălcare a Convenției sau a protocoalelor la aceasta, impune statului pârât obligația de a alege (sub supravegherea Comitetului de Miniștri) măsurile generale și/sau, după caz, individuale care trebuie să fie adoptate în ordinea sa juridică internă pentru a pune capăt încălcării și pentru a remedia, pe cât posibil, toate consecințele acesteia, astfel încât să se restabilească, în măsura posibilului, situația care ar fi existat dacă nu ar fi avut loc încălcarea. În plus, din Convenție și, în special, din art. 1 al acesteia rezultă că, prin ratificarea Convenției, statele contractante s‐au angajat să asigure compatibilitatea dreptului lor intern cu dispozițiile sale (a se vedea </w:t>
      </w:r>
      <w:r>
        <w:rPr>
          <w:i/>
          <w:iCs/>
        </w:rPr>
        <w:t>Ekimdjiev</w:t>
      </w:r>
      <w:r>
        <w:t xml:space="preserve"> </w:t>
      </w:r>
      <w:r>
        <w:rPr>
          <w:i/>
          <w:iCs/>
        </w:rPr>
        <w:t>și alții</w:t>
      </w:r>
      <w:r>
        <w:t>, citată anterior, pct. 427).</w:t>
      </w:r>
    </w:p>
    <w:p w:rsidR="00DE4BFE" w:rsidRPr="000B62B5" w:rsidRDefault="00E34145" w:rsidP="000B62B5">
      <w:pPr>
        <w:pStyle w:val="JuHA"/>
        <w:numPr>
          <w:ilvl w:val="2"/>
          <w:numId w:val="21"/>
        </w:numPr>
        <w:tabs>
          <w:tab w:val="num" w:pos="1209"/>
        </w:tabs>
        <w:ind w:left="510" w:hanging="340"/>
      </w:pPr>
      <w:bookmarkStart w:id="622" w:name="_Toc176454220"/>
      <w:bookmarkStart w:id="623" w:name="_Toc236764838"/>
      <w:r>
        <w:t>Cheltuieli de judecată</w:t>
      </w:r>
      <w:bookmarkEnd w:id="622"/>
      <w:bookmarkEnd w:id="623"/>
    </w:p>
    <w:p w:rsidR="00DE4BFE" w:rsidRPr="000B62B5" w:rsidRDefault="00E34145" w:rsidP="000B62B5">
      <w:pPr>
        <w:pStyle w:val="JuH1"/>
        <w:numPr>
          <w:ilvl w:val="3"/>
          <w:numId w:val="24"/>
        </w:numPr>
        <w:ind w:left="731" w:hanging="300"/>
      </w:pPr>
      <w:bookmarkStart w:id="624" w:name="_Toc176454221"/>
      <w:bookmarkStart w:id="625" w:name="_Toc236764839"/>
      <w:r>
        <w:t>Cu privire la cererea reclamanților și la observațiile Guvernului în legătură cu aceasta</w:t>
      </w:r>
      <w:bookmarkEnd w:id="624"/>
      <w:bookmarkEnd w:id="625"/>
    </w:p>
    <w:p w:rsidR="00DE4BFE" w:rsidRPr="000B62B5" w:rsidRDefault="00E34145" w:rsidP="000B62B5">
      <w:pPr>
        <w:pStyle w:val="JuHa0"/>
      </w:pPr>
      <w:bookmarkStart w:id="626" w:name="_Toc176454222"/>
      <w:bookmarkStart w:id="627" w:name="_Toc236764840"/>
      <w:r>
        <w:t>Cu privire la cerere și la documentele prezentate în susținerea acesteia</w:t>
      </w:r>
      <w:bookmarkEnd w:id="626"/>
      <w:bookmarkEnd w:id="627"/>
    </w:p>
    <w:bookmarkStart w:id="628" w:name="L_A41_costs_A"/>
    <w:p w:rsidR="00DE4BFE" w:rsidRPr="000B62B5" w:rsidRDefault="00E34145" w:rsidP="000B62B5">
      <w:pPr>
        <w:pStyle w:val="JuPara"/>
        <w:keepNext/>
      </w:pPr>
      <w:r w:rsidRPr="000B62B5">
        <w:fldChar w:fldCharType="begin"/>
      </w:r>
      <w:r w:rsidRPr="000B62B5">
        <w:instrText xml:space="preserve"> SEQ level0 \*arabic \* MERGEFORMAT </w:instrText>
      </w:r>
      <w:r w:rsidRPr="000B62B5">
        <w:fldChar w:fldCharType="separate"/>
      </w:r>
      <w:r w:rsidR="000B62B5" w:rsidRPr="000B62B5">
        <w:t>292</w:t>
      </w:r>
      <w:r w:rsidRPr="000B62B5">
        <w:fldChar w:fldCharType="end"/>
      </w:r>
      <w:bookmarkEnd w:id="628"/>
      <w:r>
        <w:t>. Comitetul a solicitat rambursarea unei sume totale de 7 161,80 EUR pentru cheltuielile de judecată. Acesta a defalcat pretențiile sale după cum urmează:</w:t>
      </w:r>
    </w:p>
    <w:p w:rsidR="00DE4BFE" w:rsidRPr="000B62B5" w:rsidRDefault="00E34145" w:rsidP="000B62B5">
      <w:pPr>
        <w:pStyle w:val="JuPara"/>
      </w:pPr>
      <w:r>
        <w:t>(</w:t>
      </w:r>
      <w:bookmarkStart w:id="629" w:name="L_A41_costs_A_postage"/>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629"/>
      <w:r>
        <w:t>) 31,72 EUR pentru cheltuielile poștale;</w:t>
      </w:r>
    </w:p>
    <w:p w:rsidR="00DE4BFE" w:rsidRPr="000B62B5" w:rsidRDefault="00E34145" w:rsidP="000B62B5">
      <w:pPr>
        <w:pStyle w:val="JuPara"/>
      </w:pPr>
      <w:r>
        <w:t>(</w:t>
      </w:r>
      <w:bookmarkStart w:id="630" w:name="L_A41_costs_A_domestic_fees_costs"/>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630"/>
      <w:r>
        <w:t>) 230,08 EUR pentru taxele judiciare și cheltuielile plătite Agenției în cadrul procedurii de control jurisdicțional al primului său refuz de a divulga informațiile solicitate de domnul Kanev (a se vedea supra, pct. </w:t>
      </w:r>
      <w:r w:rsidRPr="000B62B5">
        <w:fldChar w:fldCharType="begin"/>
      </w:r>
      <w:r w:rsidRPr="000B62B5">
        <w:instrText xml:space="preserve"> REF  F_1_inf_req_jud_rev_claim \h  \* MERGEFORMAT </w:instrText>
      </w:r>
      <w:r w:rsidRPr="000B62B5">
        <w:fldChar w:fldCharType="separate"/>
      </w:r>
      <w:r w:rsidR="000B62B5" w:rsidRPr="000B62B5">
        <w:t>12</w:t>
      </w:r>
      <w:r w:rsidRPr="000B62B5">
        <w:fldChar w:fldCharType="end"/>
      </w:r>
      <w:r>
        <w:t>-</w:t>
      </w:r>
      <w:r w:rsidRPr="000B62B5">
        <w:fldChar w:fldCharType="begin"/>
      </w:r>
      <w:r w:rsidRPr="000B62B5">
        <w:instrText xml:space="preserve"> REF  F_1_inf_req_jud_rev_claim_SAC_jud_quinqs \h  \* MERGEFORMAT </w:instrText>
      </w:r>
      <w:r w:rsidRPr="000B62B5">
        <w:fldChar w:fldCharType="separate"/>
      </w:r>
      <w:r w:rsidR="000B62B5" w:rsidRPr="000B62B5">
        <w:t>27</w:t>
      </w:r>
      <w:r w:rsidRPr="000B62B5">
        <w:fldChar w:fldCharType="end"/>
      </w:r>
      <w:r>
        <w:t>) și pentru taxele judiciare și cheltuielile aferente procedurii de control jurisdicțional al normei Agenției privind secretele de serviciu (a se vedea supra, pct. </w:t>
      </w:r>
      <w:r w:rsidRPr="000B62B5">
        <w:fldChar w:fldCharType="begin"/>
      </w:r>
      <w:r w:rsidRPr="000B62B5">
        <w:instrText xml:space="preserve"> REF  F_p14_claim \h  \* MERGEFORMAT </w:instrText>
      </w:r>
      <w:r w:rsidRPr="000B62B5">
        <w:fldChar w:fldCharType="separate"/>
      </w:r>
      <w:r w:rsidR="000B62B5" w:rsidRPr="000B62B5">
        <w:t>32</w:t>
      </w:r>
      <w:r w:rsidRPr="000B62B5">
        <w:fldChar w:fldCharType="end"/>
      </w:r>
      <w:r>
        <w:t>-</w:t>
      </w:r>
      <w:r w:rsidRPr="000B62B5">
        <w:fldChar w:fldCharType="begin"/>
      </w:r>
      <w:r w:rsidRPr="000B62B5">
        <w:instrText xml:space="preserve"> REF  F_p14_SCAC_Mar_2024_appeal \h  \* MERGEFORMAT </w:instrText>
      </w:r>
      <w:r w:rsidRPr="000B62B5">
        <w:fldChar w:fldCharType="separate"/>
      </w:r>
      <w:r w:rsidR="000B62B5" w:rsidRPr="000B62B5">
        <w:t>39</w:t>
      </w:r>
      <w:r w:rsidRPr="000B62B5">
        <w:fldChar w:fldCharType="end"/>
      </w:r>
      <w:r>
        <w:t>);</w:t>
      </w:r>
    </w:p>
    <w:p w:rsidR="00DE4BFE" w:rsidRPr="000B62B5" w:rsidRDefault="00E34145" w:rsidP="000B62B5">
      <w:pPr>
        <w:pStyle w:val="JuPara"/>
      </w:pPr>
      <w:r>
        <w:t>(</w:t>
      </w:r>
      <w:bookmarkStart w:id="631" w:name="L_A41_costs_A_legal_fees"/>
      <w:r w:rsidRPr="000B62B5">
        <w:fldChar w:fldCharType="begin"/>
      </w:r>
      <w:r w:rsidRPr="000B62B5">
        <w:instrText xml:space="preserve"> SEQ level1 \*alphabetic \* MERGEFORMAT </w:instrText>
      </w:r>
      <w:r w:rsidRPr="000B62B5">
        <w:fldChar w:fldCharType="separate"/>
      </w:r>
      <w:r w:rsidR="000B62B5" w:rsidRPr="000B62B5">
        <w:t>c</w:t>
      </w:r>
      <w:r w:rsidRPr="000B62B5">
        <w:fldChar w:fldCharType="end"/>
      </w:r>
      <w:bookmarkEnd w:id="631"/>
      <w:r>
        <w:t>) 6 900 EUR pentru onorariul aferent unui total de 69 de ore de activitate juridică la un tarif de 100 EUR pe oră.</w:t>
      </w:r>
    </w:p>
    <w:bookmarkStart w:id="632" w:name="L_A41_costs_A_documents"/>
    <w:p w:rsidR="00DE4BFE" w:rsidRPr="000B62B5" w:rsidRDefault="00E34145" w:rsidP="000B62B5">
      <w:pPr>
        <w:pStyle w:val="JuPara"/>
        <w:keepNext/>
      </w:pPr>
      <w:r w:rsidRPr="000B62B5">
        <w:fldChar w:fldCharType="begin"/>
      </w:r>
      <w:r w:rsidRPr="000B62B5">
        <w:instrText xml:space="preserve"> SEQ level0 \*arabic \* MERGEFORMAT </w:instrText>
      </w:r>
      <w:r w:rsidRPr="000B62B5">
        <w:fldChar w:fldCharType="separate"/>
      </w:r>
      <w:r w:rsidR="000B62B5" w:rsidRPr="000B62B5">
        <w:t>293</w:t>
      </w:r>
      <w:r w:rsidRPr="000B62B5">
        <w:fldChar w:fldCharType="end"/>
      </w:r>
      <w:bookmarkEnd w:id="632"/>
      <w:r>
        <w:t>. În susținerea cererii sale, Comitetul a prezentat:</w:t>
      </w:r>
    </w:p>
    <w:p w:rsidR="00DE4BFE" w:rsidRPr="000B62B5" w:rsidRDefault="00E34145" w:rsidP="000B62B5">
      <w:pPr>
        <w:pStyle w:val="JuPara"/>
      </w:pPr>
      <w:r>
        <w:t>(</w:t>
      </w:r>
      <w:bookmarkStart w:id="633" w:name="L_A41_costs_A_documents_postal_receipts"/>
      <w:r w:rsidRPr="000B62B5">
        <w:fldChar w:fldCharType="begin"/>
      </w:r>
      <w:r w:rsidRPr="000B62B5">
        <w:instrText xml:space="preserve"> SEQ level1 \*alphabetic \r1 \* MERGEFORMAT </w:instrText>
      </w:r>
      <w:r w:rsidRPr="000B62B5">
        <w:fldChar w:fldCharType="separate"/>
      </w:r>
      <w:r w:rsidR="000B62B5" w:rsidRPr="000B62B5">
        <w:t>a</w:t>
      </w:r>
      <w:r w:rsidRPr="000B62B5">
        <w:fldChar w:fldCharType="end"/>
      </w:r>
      <w:bookmarkEnd w:id="633"/>
      <w:r>
        <w:t>) chitanțe poștale;</w:t>
      </w:r>
    </w:p>
    <w:p w:rsidR="00DE4BFE" w:rsidRPr="000B62B5" w:rsidRDefault="00E34145" w:rsidP="000B62B5">
      <w:pPr>
        <w:pStyle w:val="JuPara"/>
      </w:pPr>
      <w:r>
        <w:lastRenderedPageBreak/>
        <w:t>(</w:t>
      </w:r>
      <w:bookmarkStart w:id="634" w:name="L_A41_costs_A_documents_payment_orders"/>
      <w:r w:rsidRPr="000B62B5">
        <w:fldChar w:fldCharType="begin"/>
      </w:r>
      <w:r w:rsidRPr="000B62B5">
        <w:instrText xml:space="preserve"> SEQ level1 \*alphabetic \* MERGEFORMAT </w:instrText>
      </w:r>
      <w:r w:rsidRPr="000B62B5">
        <w:fldChar w:fldCharType="separate"/>
      </w:r>
      <w:r w:rsidR="000B62B5" w:rsidRPr="000B62B5">
        <w:t>b</w:t>
      </w:r>
      <w:r w:rsidRPr="000B62B5">
        <w:fldChar w:fldCharType="end"/>
      </w:r>
      <w:bookmarkEnd w:id="634"/>
      <w:r>
        <w:t>) (</w:t>
      </w:r>
      <w:bookmarkStart w:id="635" w:name="L_A41_costs_A_documents_payment_orders_1"/>
      <w:r w:rsidRPr="000B62B5">
        <w:fldChar w:fldCharType="begin"/>
      </w:r>
      <w:r w:rsidRPr="000B62B5">
        <w:instrText xml:space="preserve"> SEQ level2 \*roman \r1 \* MERGEFORMAT </w:instrText>
      </w:r>
      <w:r w:rsidRPr="000B62B5">
        <w:fldChar w:fldCharType="separate"/>
      </w:r>
      <w:r w:rsidR="000B62B5" w:rsidRPr="000B62B5">
        <w:t>i</w:t>
      </w:r>
      <w:r w:rsidRPr="000B62B5">
        <w:fldChar w:fldCharType="end"/>
      </w:r>
      <w:bookmarkEnd w:id="635"/>
      <w:r>
        <w:t>) două ordine de plată privind achitarea sumei totale de 140 de leve bulgărești (BGN – echivalentul a 71,58 EUR) reprezentând cheltuielile de judecată pentru procedura de control jurisdicțional al primului refuz al Agenției de a divulga informații (70 BGN plătiți în privința domnului Kanev și 70 BGN plătiți în privința Comitetului); (</w:t>
      </w:r>
      <w:bookmarkStart w:id="636" w:name="L_A41_costs_A_documents_payment_orders_2"/>
      <w:r w:rsidRPr="000B62B5">
        <w:fldChar w:fldCharType="begin"/>
      </w:r>
      <w:r w:rsidRPr="000B62B5">
        <w:instrText xml:space="preserve"> SEQ level2 \*roman \* MERGEFORMAT </w:instrText>
      </w:r>
      <w:r w:rsidRPr="000B62B5">
        <w:fldChar w:fldCharType="separate"/>
      </w:r>
      <w:r w:rsidR="000B62B5" w:rsidRPr="000B62B5">
        <w:t>ii</w:t>
      </w:r>
      <w:r w:rsidRPr="000B62B5">
        <w:fldChar w:fldCharType="end"/>
      </w:r>
      <w:bookmarkEnd w:id="636"/>
      <w:r>
        <w:t>) trei ordine de plată privind achitarea sumei totale de 110 BGN (echivalentul a 56,24 EUR) reprezentând taxele judiciare aferente procedurii de control jurisdicțional al normei Agenției privind secretele de serviciu; și (</w:t>
      </w:r>
      <w:bookmarkStart w:id="637" w:name="L_A41_costs_A_documents_payment_orders_3"/>
      <w:r w:rsidRPr="000B62B5">
        <w:fldChar w:fldCharType="begin"/>
      </w:r>
      <w:r w:rsidRPr="000B62B5">
        <w:instrText xml:space="preserve"> SEQ level2 \*roman \* MERGEFORMAT </w:instrText>
      </w:r>
      <w:r w:rsidRPr="000B62B5">
        <w:fldChar w:fldCharType="separate"/>
      </w:r>
      <w:r w:rsidR="000B62B5" w:rsidRPr="000B62B5">
        <w:t>iii</w:t>
      </w:r>
      <w:r w:rsidRPr="000B62B5">
        <w:fldChar w:fldCharType="end"/>
      </w:r>
      <w:bookmarkEnd w:id="637"/>
      <w:r>
        <w:t>) un ordin de plată pentru achitarea către Agenție a sumei de 200 BGN (echivalentul a 102,26 EUR) pentru propriile cheltuieli de judecată suportate în cadrul primei proceduri;</w:t>
      </w:r>
    </w:p>
    <w:p w:rsidR="00DE4BFE" w:rsidRPr="000B62B5" w:rsidRDefault="00E34145" w:rsidP="000B62B5">
      <w:pPr>
        <w:pStyle w:val="JuPara"/>
      </w:pPr>
      <w:r>
        <w:t>(</w:t>
      </w:r>
      <w:bookmarkStart w:id="638" w:name="L_A41_costs_A_documents_time_sheet"/>
      <w:r w:rsidRPr="000B62B5">
        <w:fldChar w:fldCharType="begin"/>
      </w:r>
      <w:r w:rsidRPr="000B62B5">
        <w:instrText xml:space="preserve"> SEQ level1 \*alphabetic \* MERGEFORMAT </w:instrText>
      </w:r>
      <w:r w:rsidRPr="000B62B5">
        <w:fldChar w:fldCharType="separate"/>
      </w:r>
      <w:r w:rsidR="000B62B5" w:rsidRPr="000B62B5">
        <w:t>c</w:t>
      </w:r>
      <w:r w:rsidRPr="000B62B5">
        <w:fldChar w:fldCharType="end"/>
      </w:r>
      <w:bookmarkEnd w:id="638"/>
      <w:r>
        <w:t>) o fișă de pontaj cu evidența timpului de lucru alocat de avocata sa, doamna A. Kachaunova, procedurii de control jurisdicțional privind primul refuz al Agenției de a divulga informațiile solicitate de domnul Kanev, procedurii de control jurisdicțional privind norma Agenției referitoare la secretele de serviciu și procedurii în fața Curții; și</w:t>
      </w:r>
    </w:p>
    <w:p w:rsidR="00DE4BFE" w:rsidRPr="000B62B5" w:rsidRDefault="00E34145" w:rsidP="000B62B5">
      <w:pPr>
        <w:pStyle w:val="JuPara"/>
      </w:pPr>
      <w:r>
        <w:t>(</w:t>
      </w:r>
      <w:bookmarkStart w:id="639" w:name="L_A41_costs_A_documents_contract_leg_ser"/>
      <w:r w:rsidRPr="000B62B5">
        <w:fldChar w:fldCharType="begin"/>
      </w:r>
      <w:r w:rsidRPr="000B62B5">
        <w:instrText xml:space="preserve"> SEQ level1 \*alphabetic \* MERGEFORMAT </w:instrText>
      </w:r>
      <w:r w:rsidRPr="000B62B5">
        <w:fldChar w:fldCharType="separate"/>
      </w:r>
      <w:r w:rsidR="000B62B5" w:rsidRPr="000B62B5">
        <w:t>d</w:t>
      </w:r>
      <w:r w:rsidRPr="000B62B5">
        <w:fldChar w:fldCharType="end"/>
      </w:r>
      <w:bookmarkEnd w:id="639"/>
      <w:r>
        <w:t>) un contract de asistență juridică încheiat între domnul Kanev, în calitate de client, și Comitet, în calitate de prestator, în ceea ce privește procedura în fața Curții.</w:t>
      </w:r>
    </w:p>
    <w:p w:rsidR="00DE4BFE" w:rsidRPr="000B62B5" w:rsidRDefault="00E34145" w:rsidP="000B62B5">
      <w:pPr>
        <w:pStyle w:val="JuHa0"/>
      </w:pPr>
      <w:bookmarkStart w:id="640" w:name="_Toc176454223"/>
      <w:bookmarkStart w:id="641" w:name="_Toc236764841"/>
      <w:r>
        <w:t>Observațiile Guvernului</w:t>
      </w:r>
      <w:bookmarkEnd w:id="640"/>
      <w:bookmarkEnd w:id="641"/>
    </w:p>
    <w:bookmarkStart w:id="642" w:name="L_A41_costs_G"/>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294</w:t>
      </w:r>
      <w:r w:rsidRPr="000B62B5">
        <w:fldChar w:fldCharType="end"/>
      </w:r>
      <w:bookmarkEnd w:id="642"/>
      <w:r>
        <w:t>. Guvernul a subliniat că nu exista nicio dovadă că două dintre expedierile pentru care Comitetul a solicitat rambursarea cheltuielilor poștale priveau prezenta cauză. În plus, două dintre cele cinci ordine de plată prezentate de Comitet erau identice; așadar era necesar ca unul dintre acestea să fie exclus, ceea ce însemna că valoarea dovedită a sumelor plătite cu titlu de taxe judiciare și cheltuieli de judecată ocazionate de procedurile naționale a fost redusă cu echivalentul a 194,29 EUR. În sfârșit, contractul de asistență juridică, încheiat între domnul Kanev și Comitet, privea doar reprezentarea domnului Kanev în fața Curții. De asemenea, contractul nu specifica în mod corespunzător tariful orar pentru serviciile juridice prestate în temeiul acestuia și nici nu dovedea că doamna A. Kachaunova fusese angajată pentru a-i reprezenta pe reclamanți în procedurile desfășurate la nivel național sau în fața Curții. Pe de altă parte, nu exista nicio dovadă că reclamanții i-ar fi plătit acesteia vreo sumă cu titlu de remunerație pentru activitatea respectivă. Aceasta nu era angajată a Comitetului, ci avocat cu drept de exercitare a profesiei și, prin urmare, avea dreptul doar la onorarii profesionale pentru serviciile prestate de ea, în conformitate cu dispozițiile Legii din 2004 privind Baroul.</w:t>
      </w:r>
    </w:p>
    <w:p w:rsidR="00DE4BFE" w:rsidRPr="000B62B5" w:rsidRDefault="00E34145" w:rsidP="000B62B5">
      <w:pPr>
        <w:pStyle w:val="JuH1"/>
      </w:pPr>
      <w:bookmarkStart w:id="643" w:name="_Toc176454224"/>
      <w:bookmarkStart w:id="644" w:name="_Toc236764842"/>
      <w:r>
        <w:t>Motivarea Curții</w:t>
      </w:r>
      <w:bookmarkEnd w:id="643"/>
      <w:bookmarkEnd w:id="644"/>
    </w:p>
    <w:bookmarkStart w:id="645" w:name="L_A41_costs_C_principle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295</w:t>
      </w:r>
      <w:r w:rsidRPr="000B62B5">
        <w:fldChar w:fldCharType="end"/>
      </w:r>
      <w:bookmarkEnd w:id="645"/>
      <w:r>
        <w:t>. Potrivit jurisprudenței consacrate a Curții,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reclamanții au dreptul la rambursarea cheltuielilor de judecată numai în măsura în care se stabilește caracterul real, necesar și rezonabil al acestora și că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xml:space="preserve">) cheltuielile de judecată suportate pentru a preveni încălcarea Convenției sau pentru a obține reparații pentru o astfel de încălcare, în cadrul ordinii juridice interne, pot fi, de asemenea, recuperate în temeiul art. 41 din Convenție [a se vedea, printre multe alte hotărâri </w:t>
      </w:r>
      <w:bookmarkStart w:id="646" w:name="_cl32552THELAW"/>
      <w:r>
        <w:rPr>
          <w:i/>
        </w:rPr>
        <w:t>Miumiun împotriva Bulgariei</w:t>
      </w:r>
      <w:bookmarkEnd w:id="646"/>
      <w:r>
        <w:t>, nr. 67258/13, pct. 85, 3 noiembrie 2015; a se vedea, de asemenea, pct. 15 și 18-19 din documentul Instrucțiuni practice privind cererile de acordare a unei reparații echitabile (astfel cum a fost modificat în iunie 2022)].</w:t>
      </w:r>
    </w:p>
    <w:p w:rsidR="00DE4BFE" w:rsidRPr="000B62B5" w:rsidRDefault="00E34145" w:rsidP="000B62B5">
      <w:pPr>
        <w:pStyle w:val="JuHa0"/>
      </w:pPr>
      <w:bookmarkStart w:id="647" w:name="_Toc236764843"/>
      <w:r>
        <w:t>Cheltuieli poștale</w:t>
      </w:r>
      <w:bookmarkEnd w:id="647"/>
    </w:p>
    <w:bookmarkStart w:id="648" w:name="L_A41_costs_C_postage"/>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296</w:t>
      </w:r>
      <w:r w:rsidRPr="000B62B5">
        <w:fldChar w:fldCharType="end"/>
      </w:r>
      <w:bookmarkEnd w:id="648"/>
      <w:r>
        <w:t>. Cererea privind cheltuielile poștale [a se vedea supra, pct. </w:t>
      </w:r>
      <w:r w:rsidRPr="000B62B5">
        <w:fldChar w:fldCharType="begin"/>
      </w:r>
      <w:r w:rsidRPr="000B62B5">
        <w:instrText xml:space="preserve"> REF  L_A41_costs_A \h  \* MERGEFORMAT </w:instrText>
      </w:r>
      <w:r w:rsidRPr="000B62B5">
        <w:fldChar w:fldCharType="separate"/>
      </w:r>
      <w:r w:rsidR="000B62B5" w:rsidRPr="000B62B5">
        <w:t>292</w:t>
      </w:r>
      <w:r w:rsidRPr="000B62B5">
        <w:fldChar w:fldCharType="end"/>
      </w:r>
      <w:r>
        <w:t xml:space="preserve"> (</w:t>
      </w:r>
      <w:r w:rsidRPr="000B62B5">
        <w:fldChar w:fldCharType="begin"/>
      </w:r>
      <w:r w:rsidRPr="000B62B5">
        <w:instrText xml:space="preserve"> REF  L_A41_costs_A_postage \h  \* MERGEFORMAT </w:instrText>
      </w:r>
      <w:r w:rsidRPr="000B62B5">
        <w:fldChar w:fldCharType="separate"/>
      </w:r>
      <w:r w:rsidR="000B62B5" w:rsidRPr="000B62B5">
        <w:t>a</w:t>
      </w:r>
      <w:r w:rsidRPr="000B62B5">
        <w:fldChar w:fldCharType="end"/>
      </w:r>
      <w:r>
        <w:t xml:space="preserve">) și </w:t>
      </w:r>
      <w:r w:rsidRPr="000B62B5">
        <w:fldChar w:fldCharType="begin"/>
      </w:r>
      <w:r w:rsidRPr="000B62B5">
        <w:instrText xml:space="preserve"> REF  L_A41_costs_A_documents \h  \* MERGEFORMAT </w:instrText>
      </w:r>
      <w:r w:rsidRPr="000B62B5">
        <w:fldChar w:fldCharType="separate"/>
      </w:r>
      <w:r w:rsidR="000B62B5" w:rsidRPr="000B62B5">
        <w:t>293</w:t>
      </w:r>
      <w:r w:rsidRPr="000B62B5">
        <w:fldChar w:fldCharType="end"/>
      </w:r>
      <w:r>
        <w:t> (</w:t>
      </w:r>
      <w:r w:rsidRPr="000B62B5">
        <w:fldChar w:fldCharType="begin"/>
      </w:r>
      <w:r w:rsidRPr="000B62B5">
        <w:instrText xml:space="preserve"> REF  L_A41_costs_A_documents_postal_receipts \h  \* MERGEFORMAT </w:instrText>
      </w:r>
      <w:r w:rsidRPr="000B62B5">
        <w:fldChar w:fldCharType="separate"/>
      </w:r>
      <w:r w:rsidR="000B62B5" w:rsidRPr="000B62B5">
        <w:t>a</w:t>
      </w:r>
      <w:r w:rsidRPr="000B62B5">
        <w:fldChar w:fldCharType="end"/>
      </w:r>
      <w:r>
        <w:t>)] trebuie admisă în totalitate. Din documentele aflate la dosar – și în special din corespondența trimisă Curții de reclamanți – reiese că toate cele trei expedieri poștale pentru care Comitetul a solicitat rambursarea cheltuielilor poștale aveau legătură cu prezenta cauză. Trebuie așadar să se acorde Comitetului rambursarea integrală a acestor cheltuieli poștale, care s-au ridicat în total la 62,04 BGN (echivalentul a 31,72 EUR).</w:t>
      </w:r>
    </w:p>
    <w:p w:rsidR="00DE4BFE" w:rsidRPr="000B62B5" w:rsidRDefault="00E34145" w:rsidP="000B62B5">
      <w:pPr>
        <w:pStyle w:val="JuHa0"/>
      </w:pPr>
      <w:bookmarkStart w:id="649" w:name="_Toc236764844"/>
      <w:r>
        <w:lastRenderedPageBreak/>
        <w:t>Cheltuieli aferente procedurilor interne</w:t>
      </w:r>
      <w:bookmarkEnd w:id="649"/>
    </w:p>
    <w:bookmarkStart w:id="650" w:name="L_A41_costs_C_court_fees_etc"/>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297</w:t>
      </w:r>
      <w:r w:rsidRPr="000B62B5">
        <w:fldChar w:fldCharType="end"/>
      </w:r>
      <w:bookmarkEnd w:id="650"/>
      <w:r>
        <w:t>. Cererea de rambursare a taxelor judiciare și a cheltuielilor de judecată plătite în cadrul procedurii de control jurisdicțional privind primul refuz al Agenției de a divulga informații – care s-au ridicat la 340 BGN (echivalentul a 173,84 EUR) [a se vedea supra, pct. </w:t>
      </w:r>
      <w:r w:rsidRPr="000B62B5">
        <w:fldChar w:fldCharType="begin"/>
      </w:r>
      <w:r w:rsidRPr="000B62B5">
        <w:instrText xml:space="preserve"> REF  L_A41_costs_A \h  \* MERGEFORMAT </w:instrText>
      </w:r>
      <w:r w:rsidRPr="000B62B5">
        <w:fldChar w:fldCharType="separate"/>
      </w:r>
      <w:r w:rsidR="000B62B5" w:rsidRPr="000B62B5">
        <w:t>292</w:t>
      </w:r>
      <w:r w:rsidRPr="000B62B5">
        <w:fldChar w:fldCharType="end"/>
      </w:r>
      <w:r>
        <w:t> (</w:t>
      </w:r>
      <w:r w:rsidRPr="000B62B5">
        <w:fldChar w:fldCharType="begin"/>
      </w:r>
      <w:r w:rsidRPr="000B62B5">
        <w:instrText xml:space="preserve"> REF  L_A41_costs_A_domestic_fees_costs \h  \* MERGEFORMAT </w:instrText>
      </w:r>
      <w:r w:rsidRPr="000B62B5">
        <w:fldChar w:fldCharType="separate"/>
      </w:r>
      <w:r w:rsidR="000B62B5" w:rsidRPr="000B62B5">
        <w:t>b</w:t>
      </w:r>
      <w:r w:rsidRPr="000B62B5">
        <w:fldChar w:fldCharType="end"/>
      </w:r>
      <w:r>
        <w:t xml:space="preserve">) și </w:t>
      </w:r>
      <w:r w:rsidRPr="000B62B5">
        <w:fldChar w:fldCharType="begin"/>
      </w:r>
      <w:r w:rsidRPr="000B62B5">
        <w:instrText xml:space="preserve"> REF  L_A41_costs_A_documents \h  \* MERGEFORMAT </w:instrText>
      </w:r>
      <w:r w:rsidRPr="000B62B5">
        <w:fldChar w:fldCharType="separate"/>
      </w:r>
      <w:r w:rsidR="000B62B5" w:rsidRPr="000B62B5">
        <w:t>293</w:t>
      </w:r>
      <w:r w:rsidRPr="000B62B5">
        <w:fldChar w:fldCharType="end"/>
      </w:r>
      <w:r>
        <w:t xml:space="preserve"> (</w:t>
      </w:r>
      <w:r w:rsidRPr="000B62B5">
        <w:fldChar w:fldCharType="begin"/>
      </w:r>
      <w:r w:rsidRPr="000B62B5">
        <w:instrText xml:space="preserve"> REF  L_A41_costs_A_documents_payment_orders \h  \* MERGEFORMAT </w:instrText>
      </w:r>
      <w:r w:rsidRPr="000B62B5">
        <w:fldChar w:fldCharType="separate"/>
      </w:r>
      <w:r w:rsidR="000B62B5" w:rsidRPr="000B62B5">
        <w:t>b</w:t>
      </w:r>
      <w:r w:rsidRPr="000B62B5">
        <w:fldChar w:fldCharType="end"/>
      </w:r>
      <w:r>
        <w:t>)(</w:t>
      </w:r>
      <w:r w:rsidRPr="000B62B5">
        <w:fldChar w:fldCharType="begin"/>
      </w:r>
      <w:r w:rsidRPr="000B62B5">
        <w:instrText xml:space="preserve"> REF  L_A41_costs_A_documents_payment_orders_1 \h  \* MERGEFORMAT </w:instrText>
      </w:r>
      <w:r w:rsidRPr="000B62B5">
        <w:fldChar w:fldCharType="separate"/>
      </w:r>
      <w:r w:rsidR="000B62B5" w:rsidRPr="000B62B5">
        <w:t>i</w:t>
      </w:r>
      <w:r w:rsidRPr="000B62B5">
        <w:fldChar w:fldCharType="end"/>
      </w:r>
      <w:r>
        <w:t>) și (</w:t>
      </w:r>
      <w:r w:rsidRPr="000B62B5">
        <w:fldChar w:fldCharType="begin"/>
      </w:r>
      <w:r w:rsidRPr="000B62B5">
        <w:instrText xml:space="preserve"> REF  L_A41_costs_A_documents_payment_orders_3 \h  \* MERGEFORMAT </w:instrText>
      </w:r>
      <w:r w:rsidRPr="000B62B5">
        <w:fldChar w:fldCharType="separate"/>
      </w:r>
      <w:r w:rsidR="000B62B5" w:rsidRPr="000B62B5">
        <w:t>iii</w:t>
      </w:r>
      <w:r w:rsidRPr="000B62B5">
        <w:fldChar w:fldCharType="end"/>
      </w:r>
      <w:r>
        <w:t>)] – trebuie, de asemenea, admisă în totalitate. Această procedură a constituit o încercare a reclamanților – în funcție de modul în care este privită problema – de a împiedica încălcarea art. 8 din Convenție sau de a obține reparații pentru o astfel de încălcare. Contrar celor susținute de Guvern, nu există nicio dublare în cazul a două dintre cele cinci ordine de plată prezentate de Comitet: unul privea un onorariu achitat în privința domnului Kanev, iar celălalt un onorariu achitat în privința Comitetului [a se vedea supra, pct. </w:t>
      </w:r>
      <w:r w:rsidRPr="000B62B5">
        <w:fldChar w:fldCharType="begin"/>
      </w:r>
      <w:r w:rsidRPr="000B62B5">
        <w:instrText xml:space="preserve"> REF  L_A41_costs_A_documents \h  \* MERGEFORMAT </w:instrText>
      </w:r>
      <w:r w:rsidRPr="000B62B5">
        <w:fldChar w:fldCharType="separate"/>
      </w:r>
      <w:r w:rsidR="000B62B5" w:rsidRPr="000B62B5">
        <w:t>293</w:t>
      </w:r>
      <w:r w:rsidRPr="000B62B5">
        <w:fldChar w:fldCharType="end"/>
      </w:r>
      <w:r>
        <w:t xml:space="preserve"> (</w:t>
      </w:r>
      <w:r w:rsidRPr="000B62B5">
        <w:fldChar w:fldCharType="begin"/>
      </w:r>
      <w:r w:rsidRPr="000B62B5">
        <w:instrText xml:space="preserve"> REF  L_A41_costs_A_documents_payment_orders \h  \* MERGEFORMAT </w:instrText>
      </w:r>
      <w:r w:rsidRPr="000B62B5">
        <w:fldChar w:fldCharType="separate"/>
      </w:r>
      <w:r w:rsidR="000B62B5" w:rsidRPr="000B62B5">
        <w:t>b</w:t>
      </w:r>
      <w:r w:rsidRPr="000B62B5">
        <w:fldChar w:fldCharType="end"/>
      </w:r>
      <w:r>
        <w:t>)(</w:t>
      </w:r>
      <w:r w:rsidRPr="000B62B5">
        <w:fldChar w:fldCharType="begin"/>
      </w:r>
      <w:r w:rsidRPr="000B62B5">
        <w:instrText xml:space="preserve"> REF  L_A41_costs_A_documents_payment_orders_1 \h  \* MERGEFORMAT </w:instrText>
      </w:r>
      <w:r w:rsidRPr="000B62B5">
        <w:fldChar w:fldCharType="separate"/>
      </w:r>
      <w:r w:rsidR="000B62B5" w:rsidRPr="000B62B5">
        <w:t>i</w:t>
      </w:r>
      <w:r w:rsidRPr="000B62B5">
        <w:fldChar w:fldCharType="end"/>
      </w:r>
      <w:r>
        <w:t>)]; ambii au avut calitatea de reclamanți în procedura respectivă (a se vedea supra, pct. </w:t>
      </w:r>
      <w:r w:rsidRPr="000B62B5">
        <w:fldChar w:fldCharType="begin"/>
      </w:r>
      <w:r w:rsidRPr="000B62B5">
        <w:instrText xml:space="preserve"> REF  F_1_inf_req_jud_rev_claim \h  \* MERGEFORMAT </w:instrText>
      </w:r>
      <w:r w:rsidRPr="000B62B5">
        <w:fldChar w:fldCharType="separate"/>
      </w:r>
      <w:r w:rsidR="000B62B5" w:rsidRPr="000B62B5">
        <w:t>12</w:t>
      </w:r>
      <w:r w:rsidRPr="000B62B5">
        <w:fldChar w:fldCharType="end"/>
      </w:r>
      <w:r>
        <w:t>).</w:t>
      </w:r>
    </w:p>
    <w:bookmarkStart w:id="651" w:name="L_A41_costs_C_court_fees_etc_bi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298</w:t>
      </w:r>
      <w:r w:rsidRPr="000B62B5">
        <w:fldChar w:fldCharType="end"/>
      </w:r>
      <w:bookmarkEnd w:id="651"/>
      <w:r>
        <w:t>. În schimb, cererea de rambursare a taxelor judiciare plătite în cadrul procedurii de control jurisdicțional al normei Agenției privind secretele de serviciu [a se vedea supra, pct. </w:t>
      </w:r>
      <w:r w:rsidRPr="000B62B5">
        <w:fldChar w:fldCharType="begin"/>
      </w:r>
      <w:r w:rsidRPr="000B62B5">
        <w:instrText xml:space="preserve"> REF  L_A41_costs_A \h  \* MERGEFORMAT </w:instrText>
      </w:r>
      <w:r w:rsidRPr="000B62B5">
        <w:fldChar w:fldCharType="separate"/>
      </w:r>
      <w:r w:rsidR="000B62B5" w:rsidRPr="000B62B5">
        <w:t>292</w:t>
      </w:r>
      <w:r w:rsidRPr="000B62B5">
        <w:fldChar w:fldCharType="end"/>
      </w:r>
      <w:r>
        <w:t> (</w:t>
      </w:r>
      <w:r w:rsidRPr="000B62B5">
        <w:fldChar w:fldCharType="begin"/>
      </w:r>
      <w:r w:rsidRPr="000B62B5">
        <w:instrText xml:space="preserve"> REF  L_A41_costs_A_domestic_fees_costs \h  \* MERGEFORMAT </w:instrText>
      </w:r>
      <w:r w:rsidRPr="000B62B5">
        <w:fldChar w:fldCharType="separate"/>
      </w:r>
      <w:r w:rsidR="000B62B5" w:rsidRPr="000B62B5">
        <w:t>b</w:t>
      </w:r>
      <w:r w:rsidRPr="000B62B5">
        <w:fldChar w:fldCharType="end"/>
      </w:r>
      <w:r>
        <w:t>) și </w:t>
      </w:r>
      <w:r w:rsidRPr="000B62B5">
        <w:fldChar w:fldCharType="begin"/>
      </w:r>
      <w:r w:rsidRPr="000B62B5">
        <w:instrText xml:space="preserve"> REF  L_A41_costs_A_documents \h  \* MERGEFORMAT </w:instrText>
      </w:r>
      <w:r w:rsidRPr="000B62B5">
        <w:fldChar w:fldCharType="separate"/>
      </w:r>
      <w:r w:rsidR="000B62B5" w:rsidRPr="000B62B5">
        <w:t>293</w:t>
      </w:r>
      <w:r w:rsidRPr="000B62B5">
        <w:fldChar w:fldCharType="end"/>
      </w:r>
      <w:r>
        <w:t> (</w:t>
      </w:r>
      <w:r w:rsidRPr="000B62B5">
        <w:fldChar w:fldCharType="begin"/>
      </w:r>
      <w:r w:rsidRPr="000B62B5">
        <w:instrText xml:space="preserve"> REF  L_A41_costs_A_documents_payment_orders \h  \* MERGEFORMAT </w:instrText>
      </w:r>
      <w:r w:rsidRPr="000B62B5">
        <w:fldChar w:fldCharType="separate"/>
      </w:r>
      <w:r w:rsidR="000B62B5" w:rsidRPr="000B62B5">
        <w:t>b</w:t>
      </w:r>
      <w:r w:rsidRPr="000B62B5">
        <w:fldChar w:fldCharType="end"/>
      </w:r>
      <w:r>
        <w:t>)</w:t>
      </w:r>
      <w:r w:rsidRPr="000B62B5">
        <w:fldChar w:fldCharType="begin"/>
      </w:r>
      <w:r w:rsidRPr="000B62B5">
        <w:instrText xml:space="preserve"> REF  L_A41_costs_A_documents_payment_orders_2 \h  \* MERGEFORMAT </w:instrText>
      </w:r>
      <w:r w:rsidRPr="000B62B5">
        <w:fldChar w:fldCharType="separate"/>
      </w:r>
      <w:r w:rsidR="000B62B5" w:rsidRPr="000B62B5">
        <w:t>ii</w:t>
      </w:r>
      <w:r w:rsidRPr="000B62B5">
        <w:fldChar w:fldCharType="end"/>
      </w:r>
      <w:r>
        <w:t>] trebuie respinsă. Astfel cum s-a arătat la punctul </w:t>
      </w:r>
      <w:r w:rsidRPr="000B62B5">
        <w:fldChar w:fldCharType="begin"/>
      </w:r>
      <w:r w:rsidRPr="000B62B5">
        <w:instrText xml:space="preserve"> REF  L_C_A_8_adm_exh_C_2 \h  \* MERGEFORMAT </w:instrText>
      </w:r>
      <w:r w:rsidRPr="000B62B5">
        <w:fldChar w:fldCharType="separate"/>
      </w:r>
      <w:r w:rsidR="000B62B5" w:rsidRPr="000B62B5">
        <w:t>223</w:t>
      </w:r>
      <w:r w:rsidRPr="000B62B5">
        <w:fldChar w:fldCharType="end"/>
      </w:r>
      <w:r>
        <w:t xml:space="preserve"> de mai sus, rezultatul acestei proceduri nu a afectat prezenta cauză. Pe de altă parte, doar domnul Kanev a avut calitatea de reclamant în această procedură (a se vedea supra, pct. </w:t>
      </w:r>
      <w:r w:rsidRPr="000B62B5">
        <w:fldChar w:fldCharType="begin"/>
      </w:r>
      <w:r w:rsidRPr="000B62B5">
        <w:instrText xml:space="preserve"> REF  F_p14_claim \h  \* MERGEFORMAT </w:instrText>
      </w:r>
      <w:r w:rsidRPr="000B62B5">
        <w:fldChar w:fldCharType="separate"/>
      </w:r>
      <w:r w:rsidR="000B62B5" w:rsidRPr="000B62B5">
        <w:t>32</w:t>
      </w:r>
      <w:r w:rsidRPr="000B62B5">
        <w:fldChar w:fldCharType="end"/>
      </w:r>
      <w:r>
        <w:t>), în timp ce solicitarea de rambursare a cheltuielilor de judecată, care face obiectul examinării, a fost formulată doar în numele Comitetului (a se vedea supra, pct. </w:t>
      </w:r>
      <w:r w:rsidRPr="000B62B5">
        <w:fldChar w:fldCharType="begin"/>
      </w:r>
      <w:r w:rsidRPr="000B62B5">
        <w:instrText xml:space="preserve"> REF  L_A41_costs_A \h  \* MERGEFORMAT </w:instrText>
      </w:r>
      <w:r w:rsidRPr="000B62B5">
        <w:fldChar w:fldCharType="separate"/>
      </w:r>
      <w:r w:rsidR="000B62B5" w:rsidRPr="000B62B5">
        <w:t>292</w:t>
      </w:r>
      <w:r w:rsidRPr="000B62B5">
        <w:fldChar w:fldCharType="end"/>
      </w:r>
      <w:r>
        <w:t>).</w:t>
      </w:r>
    </w:p>
    <w:p w:rsidR="00DE4BFE" w:rsidRPr="000B62B5" w:rsidRDefault="00E34145" w:rsidP="000B62B5">
      <w:pPr>
        <w:pStyle w:val="JuHa0"/>
      </w:pPr>
      <w:bookmarkStart w:id="652" w:name="_Toc236764845"/>
      <w:r>
        <w:t>Onorariile avocaților</w:t>
      </w:r>
      <w:bookmarkEnd w:id="652"/>
    </w:p>
    <w:bookmarkStart w:id="653" w:name="L_A41_costs_C_lawyers_fees"/>
    <w:p w:rsidR="00DE4BFE"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299</w:t>
      </w:r>
      <w:r w:rsidRPr="000B62B5">
        <w:fldChar w:fldCharType="end"/>
      </w:r>
      <w:bookmarkEnd w:id="653"/>
      <w:r>
        <w:t>. Cererea de rambursare a onorariilor avocaților [a se vedea supra, pct. </w:t>
      </w:r>
      <w:r w:rsidRPr="000B62B5">
        <w:fldChar w:fldCharType="begin"/>
      </w:r>
      <w:r w:rsidRPr="000B62B5">
        <w:instrText xml:space="preserve"> REF  L_A41_costs_A \h  \* MERGEFORMAT </w:instrText>
      </w:r>
      <w:r w:rsidRPr="000B62B5">
        <w:fldChar w:fldCharType="separate"/>
      </w:r>
      <w:r w:rsidR="000B62B5" w:rsidRPr="000B62B5">
        <w:t>292</w:t>
      </w:r>
      <w:r w:rsidRPr="000B62B5">
        <w:fldChar w:fldCharType="end"/>
      </w:r>
      <w:r>
        <w:t xml:space="preserve"> (</w:t>
      </w:r>
      <w:r w:rsidRPr="000B62B5">
        <w:fldChar w:fldCharType="begin"/>
      </w:r>
      <w:r w:rsidRPr="000B62B5">
        <w:instrText xml:space="preserve"> REF  L_A41_costs_A_legal_fees \h  \* MERGEFORMAT </w:instrText>
      </w:r>
      <w:r w:rsidRPr="000B62B5">
        <w:fldChar w:fldCharType="separate"/>
      </w:r>
      <w:r w:rsidR="000B62B5" w:rsidRPr="000B62B5">
        <w:t>c</w:t>
      </w:r>
      <w:r w:rsidRPr="000B62B5">
        <w:fldChar w:fldCharType="end"/>
      </w:r>
      <w:r>
        <w:t>)] trebuie, de asemenea, respinsă. Comitetul nu a prezentat nicio dovadă că a plătit sau că are obligația legală de a plăti astfel de onorarii avocatei care l-a reprezentat în procedura la nivel național și în procedura în fața Curții, doamna Kachaunova – fie în calitatea acestuia de reclamant, fie în calitatea sa de prestator de servicii juridice pentru domnul Kanev, în conformitate cu contractul încheiat între aceștia [a se vedea supra, pct.</w:t>
      </w:r>
      <w:r w:rsidRPr="000B62B5">
        <w:fldChar w:fldCharType="begin"/>
      </w:r>
      <w:r w:rsidRPr="000B62B5">
        <w:instrText xml:space="preserve"> REF  L_A41_costs_A_documents \h  \* MERGEFORMAT </w:instrText>
      </w:r>
      <w:r w:rsidRPr="000B62B5">
        <w:fldChar w:fldCharType="separate"/>
      </w:r>
      <w:r w:rsidR="000B62B5" w:rsidRPr="000B62B5">
        <w:t>293</w:t>
      </w:r>
      <w:r w:rsidRPr="000B62B5">
        <w:fldChar w:fldCharType="end"/>
      </w:r>
      <w:r>
        <w:t> (</w:t>
      </w:r>
      <w:r w:rsidRPr="000B62B5">
        <w:fldChar w:fldCharType="begin"/>
      </w:r>
      <w:r w:rsidRPr="000B62B5">
        <w:instrText xml:space="preserve"> REF  L_A41_costs_A_documents_contract_leg_ser \h  \* MERGEFORMAT </w:instrText>
      </w:r>
      <w:r w:rsidRPr="000B62B5">
        <w:fldChar w:fldCharType="separate"/>
      </w:r>
      <w:r w:rsidR="000B62B5" w:rsidRPr="000B62B5">
        <w:t>d</w:t>
      </w:r>
      <w:r w:rsidRPr="000B62B5">
        <w:fldChar w:fldCharType="end"/>
      </w:r>
      <w:r>
        <w:t xml:space="preserve">)]. Or, fișa de pontaj întocmită de doamna Kachaunova, în care s-a consemnat numărul de ore alocat de ea pentru pregătirea cauzei, nu constituie în sine o dovadă în acest sens. Prin urmare, nu există niciun temei pentru a admite că onorariile avocațiale solicitate de Comitet au fost suportate efectiv de acesta [a se vedea </w:t>
      </w:r>
      <w:r>
        <w:rPr>
          <w:i/>
        </w:rPr>
        <w:t>Merabishvili împotriva Georgiei</w:t>
      </w:r>
      <w:r>
        <w:t xml:space="preserve"> (MC), nr. 72508/13, pct. 372, 28 noiembrie 2017]. Doamna Kachaunova nu poate solicita o reparație echitabilă în nume propriu, întrucât un reprezentant nu este o „parte lezată” în sensul art. 41 din Convenție (a se vedea </w:t>
      </w:r>
      <w:bookmarkStart w:id="654" w:name="_cl41902THELAW"/>
      <w:r>
        <w:t xml:space="preserve"> </w:t>
      </w:r>
      <w:r>
        <w:rPr>
          <w:i/>
        </w:rPr>
        <w:t>Korporativna Targovska Banka AD împotriva Bulgariei</w:t>
      </w:r>
      <w:bookmarkEnd w:id="654"/>
      <w:r>
        <w:t>, nr. 46564/15 și 68140/16, pct. 223, 30 august 2022, cu trimiterile suplimentare).</w:t>
      </w:r>
    </w:p>
    <w:p w:rsidR="00DE4BFE" w:rsidRPr="000B62B5" w:rsidRDefault="00E34145" w:rsidP="000B62B5">
      <w:pPr>
        <w:pStyle w:val="JuHa0"/>
      </w:pPr>
      <w:bookmarkStart w:id="655" w:name="_Toc236764846"/>
      <w:r>
        <w:t>Recapitulare</w:t>
      </w:r>
      <w:bookmarkEnd w:id="655"/>
    </w:p>
    <w:bookmarkStart w:id="656" w:name="L_A41_costs_C_total_award"/>
    <w:p w:rsidR="00232C2A" w:rsidRPr="000B62B5" w:rsidRDefault="00E34145" w:rsidP="000B62B5">
      <w:pPr>
        <w:pStyle w:val="JuPara"/>
      </w:pPr>
      <w:r w:rsidRPr="000B62B5">
        <w:fldChar w:fldCharType="begin"/>
      </w:r>
      <w:r w:rsidRPr="000B62B5">
        <w:instrText xml:space="preserve"> SEQ level0 \*arabic \* MERGEFORMAT </w:instrText>
      </w:r>
      <w:r w:rsidRPr="000B62B5">
        <w:fldChar w:fldCharType="separate"/>
      </w:r>
      <w:r w:rsidR="000B62B5" w:rsidRPr="000B62B5">
        <w:t>300</w:t>
      </w:r>
      <w:r w:rsidRPr="000B62B5">
        <w:fldChar w:fldCharType="end"/>
      </w:r>
      <w:bookmarkEnd w:id="656"/>
      <w:r>
        <w:t>. Pentru toate motivele de mai sus, este necesar să se acorde Comitetului o sumă totală de 205,56 EUR, plus orice sumă care poate fi datorată de acesta cu titlu de impozit.</w:t>
      </w:r>
    </w:p>
    <w:p w:rsidR="00DE4BFE" w:rsidRPr="000B62B5" w:rsidRDefault="00E34145" w:rsidP="000B62B5">
      <w:pPr>
        <w:pStyle w:val="JuHHead"/>
      </w:pPr>
      <w:bookmarkStart w:id="657" w:name="_Toc236764847"/>
      <w:r>
        <w:t>PENTRU ACESTE MOTIVE, CURTEA</w:t>
      </w:r>
      <w:bookmarkEnd w:id="657"/>
    </w:p>
    <w:p w:rsidR="00DE4BFE" w:rsidRPr="000B62B5" w:rsidRDefault="00E34145" w:rsidP="000B62B5">
      <w:pPr>
        <w:pStyle w:val="JuList"/>
        <w:keepLines/>
      </w:pPr>
      <w:r>
        <w:rPr>
          <w:i/>
        </w:rPr>
        <w:t>declară,</w:t>
      </w:r>
      <w:r>
        <w:t xml:space="preserve"> cu majoritate de voturi, cererea admisibilă în ceea ce privește capătul de cerere formulat în temeiul art. 8 din Convenție;</w:t>
      </w:r>
    </w:p>
    <w:p w:rsidR="00DE4BFE" w:rsidRPr="000B62B5" w:rsidRDefault="00E34145" w:rsidP="000B62B5">
      <w:pPr>
        <w:pStyle w:val="JuList"/>
        <w:keepLines/>
      </w:pPr>
      <w:r>
        <w:rPr>
          <w:i/>
        </w:rPr>
        <w:t>hotărăște,</w:t>
      </w:r>
      <w:r>
        <w:t xml:space="preserve"> cu cinci voturi la două, că a fost încălcat art. 8 din Convenție;</w:t>
      </w:r>
    </w:p>
    <w:p w:rsidR="00DE4BFE" w:rsidRPr="000B62B5" w:rsidRDefault="00E34145" w:rsidP="000B62B5">
      <w:pPr>
        <w:pStyle w:val="JuList"/>
        <w:keepLines/>
      </w:pPr>
      <w:r>
        <w:rPr>
          <w:i/>
        </w:rPr>
        <w:lastRenderedPageBreak/>
        <w:t>hotărăște,</w:t>
      </w:r>
      <w:r>
        <w:t xml:space="preserve"> în unanimitate,</w:t>
      </w:r>
      <w:r>
        <w:rPr>
          <w:color w:val="000000"/>
        </w:rPr>
        <w:t xml:space="preserve"> </w:t>
      </w:r>
      <w:r>
        <w:t>că nu este necesar să examineze admisibilitatea sau fondul (</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capătului de cerere formulat în temeiul art. 10 și 11 din Convenție, potrivit căruia Agenția a colectat date referitoare la opiniile, afilierile și activitățile politice ale reclamanților, ale (</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capătului de cerere formulat în temeiul art. 10 din Convenție, potrivit căruia Agenția a refuzat să le ofere informații reclamanților, și ale (</w:t>
      </w:r>
      <w:r w:rsidR="000B62B5" w:rsidRPr="000B62B5">
        <w:fldChar w:fldCharType="begin"/>
      </w:r>
      <w:r>
        <w:instrText xml:space="preserve"> SEQ level1 \*alphabetic \* MERGEFORMAT </w:instrText>
      </w:r>
      <w:r w:rsidR="000B62B5" w:rsidRPr="000B62B5">
        <w:fldChar w:fldCharType="separate"/>
      </w:r>
      <w:r w:rsidR="000B62B5" w:rsidRPr="000B62B5">
        <w:t>c</w:t>
      </w:r>
      <w:r w:rsidR="000B62B5" w:rsidRPr="000B62B5">
        <w:fldChar w:fldCharType="end"/>
      </w:r>
      <w:r>
        <w:t>) capătului de cerere formulat în temeiul art. 13 din Convenție;</w:t>
      </w:r>
    </w:p>
    <w:p w:rsidR="00DE4BFE" w:rsidRPr="000B62B5" w:rsidRDefault="00E34145" w:rsidP="000B62B5">
      <w:pPr>
        <w:pStyle w:val="JuList"/>
        <w:keepLines/>
      </w:pPr>
      <w:r>
        <w:rPr>
          <w:i/>
        </w:rPr>
        <w:t>hotărăște,</w:t>
      </w:r>
      <w:r>
        <w:t xml:space="preserve"> cu cinci voturi la două, că o constatare a încălcării art. 8 din Convenție constituie în sine o reparație echitabilă suficientă în ceea ce privește orice prejudiciu moral suferit de reclamanți;</w:t>
      </w:r>
    </w:p>
    <w:p w:rsidR="00DE4BFE" w:rsidRPr="000B62B5" w:rsidRDefault="00E34145" w:rsidP="000B62B5">
      <w:pPr>
        <w:pStyle w:val="JuList"/>
        <w:keepNext/>
        <w:keepLines/>
      </w:pPr>
      <w:r>
        <w:rPr>
          <w:i/>
        </w:rPr>
        <w:t>hotărăște,</w:t>
      </w:r>
      <w:r>
        <w:t xml:space="preserve"> cu cinci voturi la două,</w:t>
      </w:r>
    </w:p>
    <w:p w:rsidR="00DE4BFE" w:rsidRPr="000B62B5" w:rsidRDefault="00E34145" w:rsidP="000B62B5">
      <w:pPr>
        <w:pStyle w:val="JuLista"/>
        <w:keepLines/>
      </w:pPr>
      <w:r>
        <w:t>că statul pârât trebuie să plătească Comitetului Helsinki din Bulgaria, în termen de trei luni de la data rămânerii definitive a hotărârii, în conformitate cu art. 44 § 2 din Convenție, 205,56 EUR (două sute cinci euro și cincizeci și șase de cenți) pentru cheltuielile de judecată;</w:t>
      </w:r>
    </w:p>
    <w:p w:rsidR="00DE4BFE" w:rsidRPr="000B62B5" w:rsidRDefault="00E34145" w:rsidP="000B62B5">
      <w:pPr>
        <w:pStyle w:val="JuLista"/>
        <w:keepLines/>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DE4BFE" w:rsidRPr="000B62B5" w:rsidRDefault="00E34145" w:rsidP="000B62B5">
      <w:pPr>
        <w:pStyle w:val="JuList"/>
        <w:keepLines/>
      </w:pPr>
      <w:r>
        <w:rPr>
          <w:i/>
        </w:rPr>
        <w:t>respinge</w:t>
      </w:r>
      <w:r>
        <w:t>, în unanimitate, cererea de acordare a unei reparații echitabile pentru celelalte capete de cerere.</w:t>
      </w:r>
    </w:p>
    <w:p w:rsidR="00DE4BFE" w:rsidRPr="000B62B5" w:rsidRDefault="00E34145" w:rsidP="000B62B5">
      <w:pPr>
        <w:pStyle w:val="JuParaLast"/>
      </w:pPr>
      <w:r>
        <w:t>Redactată în limba engleză, apoi comunicată în scris, la 28 aprilie 2026, în temeiul art. 77 § 2 și art. 77 § 3 din Regulamentul Curții.</w:t>
      </w:r>
    </w:p>
    <w:p w:rsidR="00E341CE" w:rsidRPr="000B62B5" w:rsidRDefault="00E341CE" w:rsidP="000B62B5">
      <w:pPr>
        <w:pStyle w:val="JuSigned"/>
        <w:rPr>
          <w:color w:val="FFFFFF"/>
        </w:rPr>
      </w:pPr>
    </w:p>
    <w:p w:rsidR="00DE4BFE" w:rsidRDefault="00E34145" w:rsidP="000B62B5">
      <w:pPr>
        <w:pStyle w:val="JuSigned"/>
      </w:pPr>
      <w:r>
        <w:tab/>
        <w:t>Milan Blaško</w:t>
      </w:r>
      <w:r>
        <w:tab/>
        <w:t>Ioannis Ktistakis</w:t>
      </w:r>
      <w:r>
        <w:br/>
      </w:r>
      <w:r>
        <w:tab/>
        <w:t>Grefier</w:t>
      </w:r>
      <w:r>
        <w:tab/>
        <w:t>Președinte</w:t>
      </w:r>
    </w:p>
    <w:p w:rsidR="000B62B5" w:rsidRDefault="000B62B5" w:rsidP="000B62B5">
      <w:pPr>
        <w:pStyle w:val="JuPara"/>
        <w:rPr>
          <w:lang w:val="uk-UA"/>
        </w:rPr>
      </w:pPr>
    </w:p>
    <w:p w:rsidR="000B62B5" w:rsidRPr="000B62B5" w:rsidRDefault="000B62B5" w:rsidP="000B62B5">
      <w:pPr>
        <w:pStyle w:val="JuPara"/>
        <w:rPr>
          <w:lang w:val="uk-UA"/>
        </w:rPr>
      </w:pPr>
    </w:p>
    <w:p w:rsidR="00232319" w:rsidRDefault="00E34145" w:rsidP="000B62B5">
      <w:pPr>
        <w:pStyle w:val="JuParaLast"/>
      </w:pPr>
      <w:r>
        <w:t>În conformitate cu art. 45 § 2 din Convenție și art. 74 § 2 din Regulamentul Curții, la prezenta hotărâre se anexează opinia separată a judecătorilor Pavli și Ní Raifeartaigh.</w:t>
      </w:r>
    </w:p>
    <w:p w:rsidR="000B62B5" w:rsidRPr="000B62B5" w:rsidRDefault="000B62B5" w:rsidP="000B62B5">
      <w:pPr>
        <w:pStyle w:val="JuParaLast"/>
        <w:rPr>
          <w:lang w:val="uk-UA"/>
        </w:rPr>
      </w:pPr>
    </w:p>
    <w:p w:rsidR="00DE4BFE" w:rsidRPr="000B62B5" w:rsidRDefault="00DE4BFE" w:rsidP="000B62B5">
      <w:pPr>
        <w:pStyle w:val="JuPara"/>
        <w:sectPr w:rsidR="00DE4BFE" w:rsidRPr="000B62B5" w:rsidSect="0078450C">
          <w:headerReference w:type="even" r:id="rId17"/>
          <w:headerReference w:type="default" r:id="rId18"/>
          <w:footerReference w:type="even" r:id="rId19"/>
          <w:footerReference w:type="default" r:id="rId20"/>
          <w:footnotePr>
            <w:numRestart w:val="eachSect"/>
          </w:footnotePr>
          <w:endnotePr>
            <w:numFmt w:val="decimal"/>
            <w:numRestart w:val="eachSect"/>
          </w:endnotePr>
          <w:type w:val="oddPage"/>
          <w:pgSz w:w="11906" w:h="16838" w:code="9"/>
          <w:pgMar w:top="1134" w:right="1134" w:bottom="1134" w:left="1701" w:header="1701" w:footer="720" w:gutter="0"/>
          <w:pgNumType w:start="1"/>
          <w:cols w:space="720"/>
          <w:docGrid w:linePitch="326"/>
        </w:sectPr>
      </w:pPr>
    </w:p>
    <w:p w:rsidR="00572897" w:rsidRPr="000B62B5" w:rsidRDefault="00E34145" w:rsidP="000B62B5">
      <w:pPr>
        <w:pStyle w:val="JuHHead"/>
        <w:jc w:val="center"/>
      </w:pPr>
      <w:bookmarkStart w:id="658" w:name="_Toc236764848"/>
      <w:r>
        <w:lastRenderedPageBreak/>
        <w:t>OPINIA SEPARATĂ COMUNĂ A</w:t>
      </w:r>
      <w:r>
        <w:br/>
        <w:t>JUDECĂTORILOR PAVLI ȘI NÍ RAIFEARTAIGH</w:t>
      </w:r>
      <w:bookmarkEnd w:id="658"/>
    </w:p>
    <w:p w:rsidR="00572897" w:rsidRPr="000B62B5" w:rsidRDefault="00E34145" w:rsidP="000B62B5">
      <w:pPr>
        <w:pStyle w:val="JuPara"/>
      </w:pPr>
      <w:r w:rsidRPr="000B62B5">
        <w:fldChar w:fldCharType="begin"/>
      </w:r>
      <w:r>
        <w:instrText xml:space="preserve"> SEQ level0 \*arabic \r1 \* MERGEFORMAT </w:instrText>
      </w:r>
      <w:r w:rsidRPr="000B62B5">
        <w:fldChar w:fldCharType="separate"/>
      </w:r>
      <w:r w:rsidRPr="000B62B5">
        <w:t>1</w:t>
      </w:r>
      <w:r w:rsidRPr="000B62B5">
        <w:fldChar w:fldCharType="end"/>
      </w:r>
      <w:r>
        <w:t>. Am votat împotriva admisibilității prezentelor cereri, pe care le considerăm fie în mod vădit nefondată (în cazul domnului Kanev), fie inadmisibilă pentru alte motive (în cazul Comitetului Helsinki din Bulgaria – „CHB”) Cererea de acces la informații care intră în domeniul de aplicare al prezentei cauze a fost cererea modificată depusă în numele reclamanților la Agenția de Stat pentru Securitate Națională din Bulgaria („Agenția”) la sfârșitul lunii iunie 2021 (a se vedea pct. </w:t>
      </w:r>
      <w:r w:rsidR="00E319F4" w:rsidRPr="000B62B5">
        <w:fldChar w:fldCharType="begin"/>
      </w:r>
      <w:r w:rsidR="00E319F4" w:rsidRPr="000B62B5">
        <w:instrText xml:space="preserve"> REF  F_1_inf_req_amended \h  \* MERGEFORMAT </w:instrText>
      </w:r>
      <w:r w:rsidR="00E319F4" w:rsidRPr="000B62B5">
        <w:fldChar w:fldCharType="separate"/>
      </w:r>
      <w:r w:rsidRPr="000B62B5">
        <w:t>8</w:t>
      </w:r>
      <w:r w:rsidR="00E319F4" w:rsidRPr="000B62B5">
        <w:fldChar w:fldCharType="end"/>
      </w:r>
      <w:r>
        <w:t xml:space="preserve"> din hotărâre). Principalul nostru dezacord cu majoritatea constă în faptul că, în opinia noastră, această cerere nu a fost formulată în mod corespunzător și clar ca fiind o cerere de acces la datele cu caracter personal deținute de Agenție; dimpotrivă, aceasta a fost formulată asemenea unei solicitări de informații cu privire la utilizarea metodelor de colectare a informațiilor. Considerăm că acest lucru are implicații semnificative pentru admisibilitatea cererilor.</w:t>
      </w:r>
    </w:p>
    <w:p w:rsidR="00572897" w:rsidRPr="000B62B5" w:rsidRDefault="00C64FB7" w:rsidP="000B62B5">
      <w:pPr>
        <w:pStyle w:val="JuPara"/>
      </w:pPr>
      <w:fldSimple w:instr=" SEQ level0 \*arabic \* MERGEFORMAT ">
        <w:bookmarkStart w:id="659" w:name="paragraph00002"/>
        <w:r w:rsidR="00E34145" w:rsidRPr="000B62B5">
          <w:rPr>
            <w:noProof/>
          </w:rPr>
          <w:t>2</w:t>
        </w:r>
        <w:bookmarkEnd w:id="659"/>
      </w:fldSimple>
      <w:r w:rsidR="00E34145">
        <w:t>. Cu titlu introductiv, dorim să subliniem, în termeni cât se poate de generali, că regimurile juridice de protecție a datelor și normele care reglementează controlul activității serviciilor de informații au origini și scopuri diferite. Astfel cum reiese în mod clar din studiile de drept comparat citate în cuprinsul hotărârii, activitățile serviciilor de informații nu sunt, de regulă, supuse legislației privind protecția datelor, nici la nivel național, nici la nivel supranațional, iar autoritățile de supraveghere a protecției datelor au competențe de control limitate sau nu dispun de niciun fel de competențe de control în privința acestora (a se vedea în special pct. </w:t>
      </w:r>
      <w:r w:rsidR="00FC760C" w:rsidRPr="000B62B5">
        <w:fldChar w:fldCharType="begin"/>
      </w:r>
      <w:r w:rsidR="00FC760C" w:rsidRPr="000B62B5">
        <w:instrText xml:space="preserve"> REF  RREP_FRA_2015 \h  \* MERGEFORMAT </w:instrText>
      </w:r>
      <w:r w:rsidR="00FC760C" w:rsidRPr="000B62B5">
        <w:fldChar w:fldCharType="separate"/>
      </w:r>
      <w:r w:rsidR="00E34145" w:rsidRPr="000B62B5">
        <w:t>205</w:t>
      </w:r>
      <w:r w:rsidR="00FC760C" w:rsidRPr="000B62B5">
        <w:fldChar w:fldCharType="end"/>
      </w:r>
      <w:r w:rsidR="00E34145">
        <w:t>-</w:t>
      </w:r>
      <w:r w:rsidR="00FC760C" w:rsidRPr="000B62B5">
        <w:fldChar w:fldCharType="begin"/>
      </w:r>
      <w:r w:rsidR="00FC760C" w:rsidRPr="000B62B5">
        <w:instrText xml:space="preserve"> REF  RREP_FRA_2023 \h  \* MERGEFORMAT </w:instrText>
      </w:r>
      <w:r w:rsidR="00FC760C" w:rsidRPr="000B62B5">
        <w:fldChar w:fldCharType="separate"/>
      </w:r>
      <w:r w:rsidR="00E34145" w:rsidRPr="000B62B5">
        <w:t>207</w:t>
      </w:r>
      <w:r w:rsidR="00FC760C" w:rsidRPr="000B62B5">
        <w:fldChar w:fldCharType="end"/>
      </w:r>
      <w:r w:rsidR="00E34145">
        <w:t xml:space="preserve"> din hotărâre). În măsura în care anumite regimuri de protecție a datelor sunt aplicabile serviciilor de informații, acestea privesc mai degrabă datele cu caracter personal ale personalului acestor servicii decât datele cu caracter personal ale terților, colectate în cadrul activităților esențiale specifice serviciilor de informații. Cu toate acestea, garanțiile aplicabile supravegherii de către serviciile de securitate sau utilizării unor surse secrete de către aceste servicii au, de regulă, un caracter </w:t>
      </w:r>
      <w:r w:rsidR="00E34145">
        <w:rPr>
          <w:i/>
        </w:rPr>
        <w:t>sui generis</w:t>
      </w:r>
      <w:r w:rsidR="00E34145">
        <w:t xml:space="preserve"> și s-au dezvoltat, în mod tipic, într-o manieră </w:t>
      </w:r>
      <w:r w:rsidR="00E34145">
        <w:rPr>
          <w:i/>
        </w:rPr>
        <w:t>ad hoc</w:t>
      </w:r>
      <w:r w:rsidR="00E34145">
        <w:t xml:space="preserve"> și progresivă, reflectând istoria, sistemul politic, structura instituțională și alte caracteristici specifice fiecărui stat democratic. Aceste garanții îmbracă forme foarte diverse. Curtea a dezvoltat o jurisprudență consistentă în această materie și a recunoscut statelor o amplă marjă de apreciere în ceea ce privește modul de instituire a acestor garanții în contextul securității naționale și al supravegherii, cu condiția ca acestea să respecte standardele minime dezvoltate în temeiul art. 8 din Convenție (a se vedea jurisprudența citată la pct. </w:t>
      </w:r>
      <w:r w:rsidR="00A256E7" w:rsidRPr="000B62B5">
        <w:fldChar w:fldCharType="begin"/>
      </w:r>
      <w:r w:rsidR="00A256E7" w:rsidRPr="000B62B5">
        <w:instrText xml:space="preserve"> REF L_C_A_8_m_justif_C_g_pr_8 \h \* MERGEFORMAT </w:instrText>
      </w:r>
      <w:r w:rsidR="00A256E7" w:rsidRPr="000B62B5">
        <w:fldChar w:fldCharType="separate"/>
      </w:r>
      <w:r w:rsidR="00E34145" w:rsidRPr="000B62B5">
        <w:t>241</w:t>
      </w:r>
      <w:r w:rsidR="00A256E7" w:rsidRPr="000B62B5">
        <w:fldChar w:fldCharType="end"/>
      </w:r>
      <w:r w:rsidR="00E34145">
        <w:t xml:space="preserve"> și </w:t>
      </w:r>
      <w:r w:rsidR="00A256E7" w:rsidRPr="000B62B5">
        <w:fldChar w:fldCharType="begin"/>
      </w:r>
      <w:r w:rsidR="00A256E7" w:rsidRPr="000B62B5">
        <w:instrText xml:space="preserve"> REF L_C_A_8_m_justif_C_g_pr_10 \h \* MERGEFORMAT </w:instrText>
      </w:r>
      <w:r w:rsidR="00A256E7" w:rsidRPr="000B62B5">
        <w:fldChar w:fldCharType="separate"/>
      </w:r>
      <w:r w:rsidR="00E34145" w:rsidRPr="000B62B5">
        <w:t>243</w:t>
      </w:r>
      <w:r w:rsidR="00A256E7" w:rsidRPr="000B62B5">
        <w:fldChar w:fldCharType="end"/>
      </w:r>
      <w:r w:rsidR="00E34145">
        <w:t xml:space="preserve"> din hotărâre). În plus, aceste standarde au fost elaborate chiar de Curte, după o analiză atentă a particularităților regimurilor de securitate națională. Se poate observa că, în cadrul acestei jurisprudențe, se consideră că principalele măsuri de remediere a eventualelor abuzuri din partea statului în ceea ce privește utilizarea metodelor de colectare de informații constau în măsuri generale, cum ar fi elaborarea unei legislații clare și instituirea unei supravegheri independente și a altor mecanisme de control și echilibru la nivelul sistemului în ansamblu; din motive evidente, nu există niciun drept individual general de a afla dacă o persoană a făcut obiectul unei anumite operațiuni a serviciilor de informații.</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3</w:t>
      </w:r>
      <w:r w:rsidRPr="000B62B5">
        <w:fldChar w:fldCharType="end"/>
      </w:r>
      <w:r>
        <w:t>. Cadrul juridic intern din prezenta cauză reflecta această distincție atât în ceea ce privește organismele cărora li s-au încredințat atribuții legate de protecția datelor cu caracter personal și, respectiv, de control al activității serviciilor de informații, cât și în ceea ce privește regimurile juridice care reglementează aceste organisme. Considerăm că modul în care primul reclamant a formulat cererea care face obiectul prezentei cauze a creat confuzie cu privire la scopul real al demersului său și determină inadmisibilitatea cauzei sale, pentru următoarele motive.</w:t>
      </w:r>
    </w:p>
    <w:p w:rsidR="00572897" w:rsidRPr="000B62B5" w:rsidRDefault="00E34145" w:rsidP="000B62B5">
      <w:pPr>
        <w:pStyle w:val="JuHA"/>
        <w:numPr>
          <w:ilvl w:val="0"/>
          <w:numId w:val="0"/>
        </w:numPr>
        <w:ind w:left="510"/>
        <w:outlineLvl w:val="9"/>
      </w:pPr>
      <w:r>
        <w:lastRenderedPageBreak/>
        <w:t>Cu privire la cererea celui de al doilea reclamant</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4</w:t>
      </w:r>
      <w:r w:rsidRPr="000B62B5">
        <w:fldChar w:fldCharType="end"/>
      </w:r>
      <w:r>
        <w:t>. Revenind la cererea depusă de primul reclamant în numele CHB, observăm că cererea modificată adresată Agenției – spre deosebire de cererea inițială depusă la începutul aceleiași luni (a se vedea pct. </w:t>
      </w:r>
      <w:r w:rsidR="00FC760C" w:rsidRPr="000B62B5">
        <w:fldChar w:fldCharType="begin"/>
      </w:r>
      <w:r w:rsidR="00FC760C" w:rsidRPr="000B62B5">
        <w:instrText xml:space="preserve"> REF F_1_inf_req \h \* MERGEFORMAT </w:instrText>
      </w:r>
      <w:r w:rsidR="00FC760C" w:rsidRPr="000B62B5">
        <w:fldChar w:fldCharType="separate"/>
      </w:r>
      <w:r w:rsidRPr="000B62B5">
        <w:t>6</w:t>
      </w:r>
      <w:r w:rsidR="00FC760C" w:rsidRPr="000B62B5">
        <w:fldChar w:fldCharType="end"/>
      </w:r>
      <w:r>
        <w:t xml:space="preserve"> din hotărâre) – nu includea nicio referire la utilizarea de „mijloace speciale de supraveghere”, care are legătură în principal cu interceptarea secretă a comunicațiilor. (Cererea separată în acest sens, depusă de primul reclamant la Biroul Național pentru Controlul Mijloacelor Speciale de Supraveghere – a se vedea pct. </w:t>
      </w:r>
      <w:r w:rsidR="001558F5" w:rsidRPr="000B62B5">
        <w:fldChar w:fldCharType="begin"/>
      </w:r>
      <w:r w:rsidR="001558F5" w:rsidRPr="000B62B5">
        <w:instrText xml:space="preserve"> REF F_NB_req \h \* MERGEFORMAT </w:instrText>
      </w:r>
      <w:r w:rsidR="001558F5" w:rsidRPr="000B62B5">
        <w:fldChar w:fldCharType="separate"/>
      </w:r>
      <w:r w:rsidRPr="000B62B5">
        <w:t>28</w:t>
      </w:r>
      <w:r w:rsidR="001558F5" w:rsidRPr="000B62B5">
        <w:fldChar w:fldCharType="end"/>
      </w:r>
      <w:r>
        <w:t xml:space="preserve"> din hotărâre – nu intră în domeniul de aplicare al prezentei cauze). Fiind persoană juridică, CHB nu poate invoca existența unei ingerințe în drepturile sale protejate de art. 8 în ceea ce privește „datele sale cu caracter personal”, ci doar în privința corespondenței sale. Întrucât cererea modificată depusă la Agenție la sfârșitul lunii iunie 2021 nu conținea nicio referire specifică la interceptarea comunicațiilor sale – și având în vedere că elementele de care dispunem nu includ indicii concrete că este posibil să fi existat într-adevăr astfel de interceptări – considerăm că, în aceste circumstanțe, CHB nu poate pretinde că este victima unei ingerințe în drepturile sale garantate de art. 8. Faptul că persoanele juridice nu au dreptul, în temeiul legislației naționale, să recurgă la procedura de plângere în fața Biroului Național nu schimbă această concluzie. De asemenea, considerăm că simpla posibilitate teoretică ca membri ai CHB să fi fost recrutați (în mod legal) ca informatori ai Agenției în temeiul dreptului național este suficientă pentru a i se recunoaște calitatea de victimă, în circumstanțele date.</w:t>
      </w:r>
    </w:p>
    <w:p w:rsidR="00572897" w:rsidRPr="000B62B5" w:rsidRDefault="00E34145" w:rsidP="000B62B5">
      <w:pPr>
        <w:pStyle w:val="JuHA"/>
        <w:numPr>
          <w:ilvl w:val="0"/>
          <w:numId w:val="0"/>
        </w:numPr>
        <w:ind w:left="510"/>
        <w:outlineLvl w:val="9"/>
      </w:pPr>
      <w:r>
        <w:t>Cu privire la cererea primului reclamant</w:t>
      </w:r>
    </w:p>
    <w:p w:rsidR="00572897" w:rsidRPr="000B62B5" w:rsidRDefault="00E34145" w:rsidP="000B62B5">
      <w:pPr>
        <w:pStyle w:val="JuPara"/>
        <w:keepNext/>
      </w:pPr>
      <w:r w:rsidRPr="000B62B5">
        <w:fldChar w:fldCharType="begin"/>
      </w:r>
      <w:r>
        <w:instrText xml:space="preserve"> SEQ level0 \*arabic \* MERGEFORMAT </w:instrText>
      </w:r>
      <w:r w:rsidRPr="000B62B5">
        <w:fldChar w:fldCharType="separate"/>
      </w:r>
      <w:r w:rsidRPr="000B62B5">
        <w:t>5</w:t>
      </w:r>
      <w:r w:rsidRPr="000B62B5">
        <w:fldChar w:fldCharType="end"/>
      </w:r>
      <w:r>
        <w:t>. În continuare, în ceea ce privește cererea formulată de domnul Kanev în nume propriu, considerăm că este important să subliniem termenii exacți ai cererii sale de acces la informații. Acesta a întrebat dacă bazele de date ale Agenției conțineau informații privind</w:t>
      </w:r>
    </w:p>
    <w:p w:rsidR="00572897" w:rsidRPr="000B62B5" w:rsidRDefault="00E34145" w:rsidP="000B62B5">
      <w:pPr>
        <w:pStyle w:val="JuPara"/>
      </w:pPr>
      <w:r>
        <w:t>(</w:t>
      </w:r>
      <w:r w:rsidR="000B62B5" w:rsidRPr="000B62B5">
        <w:fldChar w:fldCharType="begin"/>
      </w:r>
      <w:r>
        <w:instrText xml:space="preserve"> SEQ level1 \*alphabetic \r1 \* MERGEFORMAT </w:instrText>
      </w:r>
      <w:r w:rsidR="000B62B5" w:rsidRPr="000B62B5">
        <w:fldChar w:fldCharType="separate"/>
      </w:r>
      <w:r w:rsidR="000B62B5" w:rsidRPr="000B62B5">
        <w:t>a</w:t>
      </w:r>
      <w:r w:rsidR="000B62B5" w:rsidRPr="000B62B5">
        <w:fldChar w:fldCharType="end"/>
      </w:r>
      <w:r>
        <w:t>) „orice metodă de colectare de informații [care] a fost utilizată în ceea ce îl privește” (a se vedea pct. </w:t>
      </w:r>
      <w:r w:rsidR="00E319F4" w:rsidRPr="000B62B5">
        <w:fldChar w:fldCharType="begin"/>
      </w:r>
      <w:r w:rsidR="00E319F4" w:rsidRPr="000B62B5">
        <w:instrText xml:space="preserve"> REF  F_1_inf_req_amended \h  \* MERGEFORMAT </w:instrText>
      </w:r>
      <w:r w:rsidR="00E319F4" w:rsidRPr="000B62B5">
        <w:fldChar w:fldCharType="separate"/>
      </w:r>
      <w:r w:rsidR="000B62B5" w:rsidRPr="000B62B5">
        <w:t>8</w:t>
      </w:r>
      <w:r w:rsidR="00E319F4" w:rsidRPr="000B62B5">
        <w:fldChar w:fldCharType="end"/>
      </w:r>
      <w:r>
        <w:t xml:space="preserve"> din hotărâre).</w:t>
      </w:r>
    </w:p>
    <w:p w:rsidR="00572897" w:rsidRPr="000B62B5" w:rsidRDefault="00E34145" w:rsidP="000B62B5">
      <w:pPr>
        <w:pStyle w:val="JuPara"/>
      </w:pPr>
      <w:r>
        <w:t>(</w:t>
      </w:r>
      <w:r w:rsidR="000B62B5" w:rsidRPr="000B62B5">
        <w:fldChar w:fldCharType="begin"/>
      </w:r>
      <w:r>
        <w:instrText xml:space="preserve"> SEQ level1 \*alphabetic \* MERGEFORMAT </w:instrText>
      </w:r>
      <w:r w:rsidR="000B62B5" w:rsidRPr="000B62B5">
        <w:fldChar w:fldCharType="separate"/>
      </w:r>
      <w:r w:rsidR="000B62B5" w:rsidRPr="000B62B5">
        <w:t>b</w:t>
      </w:r>
      <w:r w:rsidR="000B62B5" w:rsidRPr="000B62B5">
        <w:fldChar w:fldCharType="end"/>
      </w:r>
      <w:r>
        <w:t>) orice membri ai CHB care au fost recrutați ca informatori ai Agenției.</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6</w:t>
      </w:r>
      <w:r w:rsidRPr="000B62B5">
        <w:fldChar w:fldCharType="end"/>
      </w:r>
      <w:r>
        <w:t xml:space="preserve">. Se pot face trei observații cu privire la această cerere. În primul rând, în cererea sa, domnul Kanev nu a adresat în mod direct întrebarea dacă Agenția deținea date cu caracter personal cu privire la reclamant. În schimb, a adresat întrebări privind utilizarea unor metode de colectare a informațiilor și recrutarea de informatori (chiar dacă era vorba despre metode de colectare de informații referitoare la el/CHB și nu despre metodele utilizate de Agenție în general). În al doilea rând, astfel de metode de colectare a informațiilor se numără printre cele mai sensibile aspecte ale oricărei operațiuni a serviciilor de informații; ca atare, acestea beneficiază, în mod normal, de cel mai înalt nivel de protecție în cadrul sistemelor de informații clasificate, din motive legitime. Același lucru este valabil și în ceea ce privește utilizarea informatorilor sub acoperire, pentru protecția siguranței lor și a metodelor lor de operare. În al treilea rând, în cererea reclamantului nu se făcea nicio referire la vreo posibilă ilegalitate în ceea ce privește colectarea de informații. Declarațiile ministrului Afacerilor Interne au privit existența unor posibile abuzuri ca urmare a interceptării în masă a comunicațiilor (a se vedea punctul </w:t>
      </w:r>
      <w:r w:rsidR="00FC760C" w:rsidRPr="000B62B5">
        <w:fldChar w:fldCharType="begin"/>
      </w:r>
      <w:r w:rsidR="00FC760C" w:rsidRPr="000B62B5">
        <w:instrText xml:space="preserve"> REF  F_background \h  \* MERGEFORMAT </w:instrText>
      </w:r>
      <w:r w:rsidR="00FC760C" w:rsidRPr="000B62B5">
        <w:fldChar w:fldCharType="separate"/>
      </w:r>
      <w:r w:rsidRPr="000B62B5">
        <w:t>5</w:t>
      </w:r>
      <w:r w:rsidR="00FC760C" w:rsidRPr="000B62B5">
        <w:fldChar w:fldCharType="end"/>
      </w:r>
      <w:r>
        <w:t xml:space="preserve"> din hotărâre) și admitem că este posibil ca aceste declarații să fi generat preocupări justificate în rândul societății civile naționale cu privire la utilizarea potențial abuzivă a altor metode și tehnici. Totuși, în cerere nu au fost menționate astfel de preocupări, iar Curtea trebuie să acorde atenție cererii specifice formulate efectiv de reclamanți, care a făcut obiectul analizei din cadrul procedurii naționale de control jurisdicțional.</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7</w:t>
      </w:r>
      <w:r w:rsidRPr="000B62B5">
        <w:fldChar w:fldCharType="end"/>
      </w:r>
      <w:r>
        <w:t xml:space="preserve">. În pofida absenței oricărei solicitări explicite privind stabilirea aspectului dacă Agenția deținea sau nu date cu privire la primul reclamant, majoritatea consideră că cererea ar trebui </w:t>
      </w:r>
      <w:r>
        <w:lastRenderedPageBreak/>
        <w:t>totuși tratată, în esență sau implicit, asemenea unei cereri de acces la date cu caracter personal. Această abordare se bazează pe două motive, pe care le considerăm problematice. Primul privește faptul că, potrivit majorității, confirmarea inițială de către Agenție ar fi putut „constitui o etapă preliminară necesară pentru exercitarea oricăror alte drepturi sau căi de atac” (a se vedea pct. </w:t>
      </w:r>
      <w:r w:rsidR="001558F5" w:rsidRPr="000B62B5">
        <w:fldChar w:fldCharType="begin"/>
      </w:r>
      <w:r w:rsidR="001558F5" w:rsidRPr="000B62B5">
        <w:instrText xml:space="preserve"> REF L_C_A_8_adm_rm_C_6 \h \* MERGEFORMAT </w:instrText>
      </w:r>
      <w:r w:rsidR="001558F5" w:rsidRPr="000B62B5">
        <w:fldChar w:fldCharType="separate"/>
      </w:r>
      <w:r w:rsidRPr="000B62B5">
        <w:t>217</w:t>
      </w:r>
      <w:r w:rsidR="001558F5" w:rsidRPr="000B62B5">
        <w:fldChar w:fldCharType="end"/>
      </w:r>
      <w:r>
        <w:t xml:space="preserve"> din hotărâre). Cu alte cuvinte, aceasta consideră că respectiva cerere formulată efectiv poate fi interpretată ca fiind o cerere de acces la date, deoarece ar fi putut fi un precursor al unei astfel de cereri. Nu putem fi de acord cu această concluzie și o considerăm nejustificat de favorabilă reclamantului. Deși poate fi acceptabil sau de înțeles, în contextul obișnuit al protecției datelor, să se solicite pur și simplu astfel de confirmări ca un prim pas în cadrul procedurii, acest lucru nu este atât de simplu în domeniul securității naționale (un aspect la care vom reveni mai jos). Dacă reclamantul dorea să afle dacă Agenția deținea sau nu date cu privire la el, nu exista niciun motiv pentru care să nu fi putut adresa această întrebare în termeni clari. Solicitarea lui nu doar că era neclară, ci, în plus, viza în mod direct domeniul extrem de sensibil al metodelor și tehnicilor secrete.</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8</w:t>
      </w:r>
      <w:r w:rsidRPr="000B62B5">
        <w:fldChar w:fldCharType="end"/>
      </w:r>
      <w:r>
        <w:t>. Al doilea motiv oferit de majoritate pentru a trata cererea reclamantului asemenea unei cereri de acces la date este ipoteza potrivit căreia, dacă ar fi fost utilizată efectiv, orice metodă de colectare de informații ar fi condus în mod necesar la crearea unor evidențe ale Agenției care conțineau date cu caracter personal despre primul reclamant (a se vedea pct. </w:t>
      </w:r>
      <w:r w:rsidR="001558F5" w:rsidRPr="000B62B5">
        <w:fldChar w:fldCharType="begin"/>
      </w:r>
      <w:r w:rsidR="001558F5" w:rsidRPr="000B62B5">
        <w:instrText xml:space="preserve"> REF L_C_A_8_adm_rm_C_2 \h \* MERGEFORMAT </w:instrText>
      </w:r>
      <w:r w:rsidR="001558F5" w:rsidRPr="000B62B5">
        <w:fldChar w:fldCharType="separate"/>
      </w:r>
      <w:r w:rsidRPr="000B62B5">
        <w:t>213</w:t>
      </w:r>
      <w:r w:rsidR="001558F5" w:rsidRPr="000B62B5">
        <w:fldChar w:fldCharType="end"/>
      </w:r>
      <w:r>
        <w:t>-</w:t>
      </w:r>
      <w:r w:rsidR="001558F5" w:rsidRPr="000B62B5">
        <w:fldChar w:fldCharType="begin"/>
      </w:r>
      <w:r w:rsidR="001558F5" w:rsidRPr="000B62B5">
        <w:instrText xml:space="preserve"> REF L_C_A_8_adm_rm_C_3 \h \* MERGEFORMAT </w:instrText>
      </w:r>
      <w:r w:rsidR="001558F5" w:rsidRPr="000B62B5">
        <w:fldChar w:fldCharType="separate"/>
      </w:r>
      <w:r w:rsidRPr="000B62B5">
        <w:t>214</w:t>
      </w:r>
      <w:r w:rsidR="001558F5" w:rsidRPr="000B62B5">
        <w:fldChar w:fldCharType="end"/>
      </w:r>
      <w:r>
        <w:t xml:space="preserve"> din hotărâre). Deși acest lucru este posibil, nu rezultă în mod necesar sau logic că acesta este și adevărat. Este posibil ca o persoană să fie supusă unor măsuri de supraveghere fără ca acest lucru să aibă ca rezultat stocarea, de către o agenție de informații, a unor înscrisuri sau a altor date cu caracter personal cu privire la ea; aceasta ar fi situația, de exemplu, în cazul supravegherii de către agenți umani a unui grup de persoane într-un loc public (spre exemplu, în cadrul unui protest), fără ca activitatea respectivă să conducă la întocmirea unor înscrisuri individualizate, care conțin date cu caracter personal. Din nou, nu putem înțelege de ce primul reclamant nu și-a formulat pur și simplu cererea ca fiind una referitoare la datele deținute despre el, dacă aceasta era într-adevăr informația pe care dorea să o afle.</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9</w:t>
      </w:r>
      <w:r w:rsidRPr="000B62B5">
        <w:fldChar w:fldCharType="end"/>
      </w:r>
      <w:r>
        <w:t>. Curtea Administrativă Supremă națională a statuat că respectiva cerere nu urmărea, în mod corespunzător, accesul la niciun fel de date cu caracter personal deținute de Agenție, ci viza, în realitate, metodele Agenției de colectare de informații (a se vedea pct. </w:t>
      </w:r>
      <w:r w:rsidR="001558F5" w:rsidRPr="000B62B5">
        <w:fldChar w:fldCharType="begin"/>
      </w:r>
      <w:r w:rsidR="001558F5" w:rsidRPr="000B62B5">
        <w:instrText xml:space="preserve"> REF  F_1_inf_req_jud_rev_claim_SAC_jud_ter \h  \* MERGEFORMAT </w:instrText>
      </w:r>
      <w:r w:rsidR="001558F5" w:rsidRPr="000B62B5">
        <w:fldChar w:fldCharType="separate"/>
      </w:r>
      <w:r w:rsidRPr="000B62B5">
        <w:t>25</w:t>
      </w:r>
      <w:r w:rsidR="001558F5" w:rsidRPr="000B62B5">
        <w:fldChar w:fldCharType="end"/>
      </w:r>
      <w:r>
        <w:t xml:space="preserve"> din hotărâre). Nu putem imputa instanțelor naționale faptul că nu au fost la fel de generoase ca majoritatea Camerei în ceea ce privește „reinterpretarea” cererii reclamantului ca fiind o cerere de protecție a datelor.</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10</w:t>
      </w:r>
      <w:r w:rsidRPr="000B62B5">
        <w:fldChar w:fldCharType="end"/>
      </w:r>
      <w:r>
        <w:t>. Revenim la faptul că respectiva cerere a reclamantului nu conținea nicio referire la utilizarea ilegală a tehnicilor de supraveghere. Considerăm că aceasta constituie o omisiune foarte importantă, deoarece preocupările sau suspiciunile cu privire la plasarea sub supraveghere ilegală consolidează, în mod evident, cererea formulată de un reclamant în temeiul art. 8 de a fi informat cu privire la natura și amploarea unei astfel de ilegalități. În schimb, art. 8 nu prevede niciun drept necondiționat de a fi informat cu privire la supravegherea în sine</w:t>
      </w:r>
      <w:r>
        <w:rPr>
          <w:i/>
        </w:rPr>
        <w:t>,</w:t>
      </w:r>
      <w:r>
        <w:t xml:space="preserve"> în lipsa unei ilegalități confirmate. În cazul în care se constată că supravegherea a fost efectuată în mod legal, în urma unui proces care îndeplinește condițiile Convenției privind controlul </w:t>
      </w:r>
      <w:r>
        <w:rPr>
          <w:i/>
        </w:rPr>
        <w:t>a posteriori,</w:t>
      </w:r>
      <w:r>
        <w:t xml:space="preserve"> Curtea a admis că persoana în cauză poate fi pur și simplu informată că nu a existat nicio supraveghere ilegală, aplicându-se politica de tip „nici nu confirmăm, nici nu infirmăm” (existența anumitor informații) (a se vedea </w:t>
      </w:r>
      <w:r>
        <w:rPr>
          <w:i/>
        </w:rPr>
        <w:t>Kennedy împotriva Regatului Unit</w:t>
      </w:r>
      <w:r>
        <w:t>, nr. 26839/05, pct. 95 și 167, 18 mai 2010). (De altfel, acesta este același tip de răspuns pe care l-a primit reclamantul, în prezenta cauză, din partea Biroului Național pentru Controlul Mijloacelor Speciale de Supraveghere.)</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11</w:t>
      </w:r>
      <w:r w:rsidRPr="000B62B5">
        <w:fldChar w:fldCharType="end"/>
      </w:r>
      <w:r>
        <w:t xml:space="preserve">. Prin urmare, reclamanții au solicitat Curții să constate existența unor deficiențe în sistemul național general de garanții privind metodele de colectare a informațiilor, în situația în </w:t>
      </w:r>
      <w:r>
        <w:lastRenderedPageBreak/>
        <w:t>care litigiul intern a avut ca obiect o cerere care (</w:t>
      </w:r>
      <w:r w:rsidRPr="000B62B5">
        <w:fldChar w:fldCharType="begin"/>
      </w:r>
      <w:r>
        <w:instrText xml:space="preserve"> SEQ level2 \*roman \r1 \* MERGEFORMAT </w:instrText>
      </w:r>
      <w:r w:rsidRPr="000B62B5">
        <w:fldChar w:fldCharType="separate"/>
      </w:r>
      <w:r w:rsidRPr="000B62B5">
        <w:t>i</w:t>
      </w:r>
      <w:r w:rsidRPr="000B62B5">
        <w:fldChar w:fldCharType="end"/>
      </w:r>
      <w:r>
        <w:t>) a fost adresată unei agenții de informații care nu era reglementată în principal de legislația privind protecția datelor; (</w:t>
      </w:r>
      <w:r w:rsidRPr="000B62B5">
        <w:fldChar w:fldCharType="begin"/>
      </w:r>
      <w:r>
        <w:instrText xml:space="preserve"> SEQ level2 \*roman \* MERGEFORMAT </w:instrText>
      </w:r>
      <w:r w:rsidRPr="000B62B5">
        <w:fldChar w:fldCharType="separate"/>
      </w:r>
      <w:r w:rsidRPr="000B62B5">
        <w:t>ii</w:t>
      </w:r>
      <w:r w:rsidRPr="000B62B5">
        <w:fldChar w:fldCharType="end"/>
      </w:r>
      <w:r>
        <w:t>) în cel mai bun caz, era ambiguă în ceea ce privește informațiile pe care le solicita și, în cel mai rău caz, pur și simplu a solicitat informații cu privire la utilizarea metodelor de colectare a informațiilor; și (</w:t>
      </w:r>
      <w:r w:rsidRPr="000B62B5">
        <w:fldChar w:fldCharType="begin"/>
      </w:r>
      <w:r>
        <w:instrText xml:space="preserve"> SEQ level2 \*roman \* MERGEFORMAT </w:instrText>
      </w:r>
      <w:r w:rsidRPr="000B62B5">
        <w:fldChar w:fldCharType="separate"/>
      </w:r>
      <w:r w:rsidRPr="000B62B5">
        <w:t>iii</w:t>
      </w:r>
      <w:r w:rsidRPr="000B62B5">
        <w:fldChar w:fldCharType="end"/>
      </w:r>
      <w:r>
        <w:t>) nu a făcut distincție între colectarea legală și ilegală de informații, în pofida faptului că acest factor are implicații majore în ceea ce privește protecția prevăzută la art. 8.</w:t>
      </w:r>
    </w:p>
    <w:p w:rsidR="00572897" w:rsidRPr="000B62B5" w:rsidRDefault="00E34145" w:rsidP="000B62B5">
      <w:pPr>
        <w:pStyle w:val="JuPara"/>
      </w:pPr>
      <w:r w:rsidRPr="000B62B5">
        <w:fldChar w:fldCharType="begin"/>
      </w:r>
      <w:r>
        <w:instrText xml:space="preserve"> SEQ level0 \*arabic \* MERGEFORMAT </w:instrText>
      </w:r>
      <w:r w:rsidRPr="000B62B5">
        <w:fldChar w:fldCharType="separate"/>
      </w:r>
      <w:r w:rsidRPr="000B62B5">
        <w:t>12</w:t>
      </w:r>
      <w:r w:rsidRPr="000B62B5">
        <w:fldChar w:fldCharType="end"/>
      </w:r>
      <w:r>
        <w:t>. Având în vedere considerentele de mai sus cu privire la caracterul defectuos al cererii modificate adresate de primul reclamant Agenției, considerăm că, chiar presupunând că a existat o ingerință în drepturile sale garantate de art. 8 – care este discutabilă –, capătul de cerere privind încălcarea acestei dispoziții este vădit nefondat în circumstanțele date.</w:t>
      </w:r>
    </w:p>
    <w:p w:rsidR="00572897" w:rsidRDefault="00E34145" w:rsidP="000B62B5">
      <w:pPr>
        <w:pStyle w:val="JuPara"/>
      </w:pPr>
      <w:r w:rsidRPr="000B62B5">
        <w:fldChar w:fldCharType="begin"/>
      </w:r>
      <w:r>
        <w:instrText xml:space="preserve"> SEQ level0 \*arabic \* MERGEFORMAT </w:instrText>
      </w:r>
      <w:r w:rsidRPr="000B62B5">
        <w:fldChar w:fldCharType="separate"/>
      </w:r>
      <w:r w:rsidRPr="000B62B5">
        <w:t>13</w:t>
      </w:r>
      <w:r w:rsidRPr="000B62B5">
        <w:fldChar w:fldCharType="end"/>
      </w:r>
      <w:r>
        <w:t>. În această situație, nu este necesar să analizăm fondul în detaliu, dar dorim să observăm că, având în vedere distincția dintre regimurile de protecție a datelor și cadrele juridice care reglementează funcțiile serviciilor de informații ale statului (astfel cum sunt descrise la pct. </w:t>
      </w:r>
      <w:r w:rsidRPr="000B62B5">
        <w:fldChar w:fldCharType="begin"/>
      </w:r>
      <w:r w:rsidRPr="000B62B5">
        <w:instrText xml:space="preserve"> REF paragraph00002 \h  \* CharFormat </w:instrText>
      </w:r>
      <w:r w:rsidRPr="000B62B5">
        <w:fldChar w:fldCharType="separate"/>
      </w:r>
      <w:r w:rsidRPr="000B62B5">
        <w:t>2</w:t>
      </w:r>
      <w:r w:rsidRPr="000B62B5">
        <w:fldChar w:fldCharType="end"/>
      </w:r>
      <w:r>
        <w:t xml:space="preserve"> de mai sus), suntem preocupați de faptul că prezenta hotărâre estompează linia de demarcație dintre cele două situații și reinventează în mod inutil metodologia folosită de Curte pentru examinarea chestiunii supravegherii de către serviciile de informații. Jurisprudența existentă a Curții referitoare la garanțiile împotriva utilizării abuzive a metodelor de colectare a informațiilor este deja adecvată și nu este necesar să se efectueze o analiză aprofundată, de exemplu, a legislației UE privind protecția datelor. În plus, eforturile de a integra abordările obișnuite în materie de protecție a datelor în acest domeniu al jurisprudenței referitoare la art. 8 vor crea, inevitabil, confuzie și incertitudine.</w:t>
      </w:r>
    </w:p>
    <w:p w:rsidR="000B62B5" w:rsidRPr="000B62B5" w:rsidRDefault="000B62B5" w:rsidP="000B62B5">
      <w:pPr>
        <w:pStyle w:val="JuPara"/>
        <w:rPr>
          <w:lang w:val="uk-UA"/>
        </w:rPr>
      </w:pPr>
    </w:p>
    <w:sectPr w:rsidR="000B62B5" w:rsidRPr="000B62B5" w:rsidSect="0078450C">
      <w:headerReference w:type="even" r:id="rId21"/>
      <w:headerReference w:type="default" r:id="rId22"/>
      <w:footerReference w:type="even" r:id="rId23"/>
      <w:footerReference w:type="default" r:id="rId24"/>
      <w:footnotePr>
        <w:numRestart w:val="eachSect"/>
      </w:footnotePr>
      <w:endnotePr>
        <w:numFmt w:val="decimal"/>
        <w:numRestart w:val="eachSect"/>
      </w:endnotePr>
      <w:pgSz w:w="11906" w:h="16838" w:code="9"/>
      <w:pgMar w:top="1134" w:right="1134" w:bottom="1134" w:left="1701"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852" w:rsidRDefault="00772852">
      <w:r>
        <w:separator/>
      </w:r>
    </w:p>
  </w:endnote>
  <w:endnote w:type="continuationSeparator" w:id="0">
    <w:p w:rsidR="00772852" w:rsidRDefault="00772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150BFA" w:rsidRDefault="00C64FB7" w:rsidP="0020718E">
    <w:pPr>
      <w:jc w:val="center"/>
    </w:pPr>
    <w:r>
      <w:rPr>
        <w:noProof/>
        <w:lang w:eastAsia="ro-RO"/>
      </w:rPr>
      <w:drawing>
        <wp:inline distT="0" distB="0" distL="0" distR="0">
          <wp:extent cx="771525" cy="619125"/>
          <wp:effectExtent l="0" t="0" r="9525" b="9525"/>
          <wp:docPr id="1458286340" name="Picture 145828634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8634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C64FB7" w:rsidRPr="00DE4BFE" w:rsidRDefault="00C64FB7"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DE4BFE" w:rsidRDefault="00C64FB7" w:rsidP="00232C2A">
    <w:pPr>
      <w:jc w:val="center"/>
      <w:rPr>
        <w:sz w:val="4"/>
        <w:szCs w:val="4"/>
      </w:rPr>
    </w:pPr>
    <w:r>
      <w:rPr>
        <w:noProof/>
        <w:lang w:eastAsia="ro-RO"/>
      </w:rPr>
      <w:drawing>
        <wp:inline distT="0" distB="0" distL="0" distR="0">
          <wp:extent cx="771525" cy="619125"/>
          <wp:effectExtent l="0" t="0" r="9525" b="9525"/>
          <wp:docPr id="1277264488" name="Picture 127726448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64488"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3D799E" w:rsidRDefault="00C64FB7" w:rsidP="005042E3">
    <w:pPr>
      <w:pStyle w:val="JuHeader"/>
      <w:rPr>
        <w:szCs w:val="18"/>
      </w:rPr>
    </w:pPr>
    <w:r>
      <w:fldChar w:fldCharType="begin"/>
    </w:r>
    <w:r>
      <w:instrText xml:space="preserve"> PAGE  \* MERGEFORMAT </w:instrText>
    </w:r>
    <w:r>
      <w:fldChar w:fldCharType="separate"/>
    </w:r>
    <w:r>
      <w:t>iv</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7C6978" w:rsidRDefault="00C64FB7" w:rsidP="005042E3">
    <w:pPr>
      <w:pStyle w:val="JuHeader"/>
    </w:pPr>
    <w:r>
      <w:fldChar w:fldCharType="begin"/>
    </w:r>
    <w:r>
      <w:instrText xml:space="preserve"> PAGE  \* MERGEFORMAT </w:instrText>
    </w:r>
    <w:r>
      <w:fldChar w:fldCharType="separate"/>
    </w:r>
    <w:r w:rsidR="00347745">
      <w:rPr>
        <w:noProof/>
      </w:rPr>
      <w:t>ii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Default="00C64FB7" w:rsidP="009746AB">
    <w:pPr>
      <w:pStyle w:val="JuHeader"/>
    </w:pPr>
    <w:r>
      <w:fldChar w:fldCharType="begin"/>
    </w:r>
    <w:r>
      <w:instrText xml:space="preserve"> PAGE  \* MERGEFORMAT </w:instrText>
    </w:r>
    <w:r>
      <w:fldChar w:fldCharType="separate"/>
    </w:r>
    <w:r>
      <w:t>16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0B7195" w:rsidRDefault="00C64FB7" w:rsidP="00F90F9E">
    <w:pPr>
      <w:pStyle w:val="JuHeader"/>
    </w:pPr>
    <w:r>
      <w:fldChar w:fldCharType="begin"/>
    </w:r>
    <w:r>
      <w:instrText xml:space="preserve"> PAGE  \* MERGEFORMAT </w:instrText>
    </w:r>
    <w:r>
      <w:fldChar w:fldCharType="separate"/>
    </w:r>
    <w:r w:rsidR="00347745">
      <w:rPr>
        <w:noProof/>
      </w:rPr>
      <w:t>61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Default="00C64FB7" w:rsidP="009746AB">
    <w:pPr>
      <w:pStyle w:val="JuHeader"/>
    </w:pPr>
    <w:r>
      <w:fldChar w:fldCharType="begin"/>
    </w:r>
    <w:r>
      <w:instrText xml:space="preserve"> PAGE  \* MERGEFORMAT </w:instrText>
    </w:r>
    <w:r>
      <w:fldChar w:fldCharType="separate"/>
    </w:r>
    <w:r>
      <w:t>78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0B7195" w:rsidRDefault="00C64FB7" w:rsidP="00F90F9E">
    <w:pPr>
      <w:pStyle w:val="JuHeader"/>
    </w:pPr>
    <w:r>
      <w:fldChar w:fldCharType="begin"/>
    </w:r>
    <w:r>
      <w:instrText xml:space="preserve"> PAGE  \* MERGEFORMAT </w:instrText>
    </w:r>
    <w:r>
      <w:fldChar w:fldCharType="separate"/>
    </w:r>
    <w:r w:rsidR="00347745">
      <w:rPr>
        <w:noProof/>
      </w:rPr>
      <w:t>65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852" w:rsidRPr="00DE4BFE" w:rsidRDefault="00772852">
      <w:r w:rsidRPr="00DE4BFE">
        <w:separator/>
      </w:r>
    </w:p>
  </w:footnote>
  <w:footnote w:type="continuationSeparator" w:id="0">
    <w:p w:rsidR="00772852" w:rsidRPr="00DE4BFE" w:rsidRDefault="00772852">
      <w:r w:rsidRPr="00DE4BFE">
        <w:continuationSeparator/>
      </w:r>
    </w:p>
  </w:footnote>
  <w:footnote w:id="1">
    <w:p w:rsidR="00C64FB7" w:rsidRDefault="00C64FB7" w:rsidP="00DE4BFE">
      <w:pPr>
        <w:pStyle w:val="FootnoteText"/>
      </w:pPr>
      <w:r>
        <w:rPr>
          <w:rStyle w:val="FootnoteReference"/>
        </w:rPr>
        <w:footnoteRef/>
      </w:r>
      <w:r>
        <w:t>  De asemenea, acestea sunt prezentate uneori drept „achiziții simulate” sau „achiziții-test”.</w:t>
      </w:r>
    </w:p>
  </w:footnote>
  <w:footnote w:id="2">
    <w:p w:rsidR="00C64FB7" w:rsidRDefault="00C64FB7" w:rsidP="00DE4BFE">
      <w:pPr>
        <w:pStyle w:val="FootnoteText"/>
      </w:pPr>
      <w:r>
        <w:rPr>
          <w:rStyle w:val="FootnoteReference"/>
        </w:rPr>
        <w:footnoteRef/>
      </w:r>
      <w:r>
        <w:t>  Prelucrarea datelor cu caracter personal în scopul aplicării legii de către instanțe și de către organele de anchetă și de urmărire penală (care, în temeiul articolului 117 alineatul (2) din Constituția Bulgariei din 1991, fac parte, de asemenea, din sistemul judiciar) este supravegheată de Inspectoratul Consiliului Superior al Magistraturii [articolul 78 alineatul (2) din Legea din 2002].</w:t>
      </w:r>
    </w:p>
  </w:footnote>
  <w:footnote w:id="3">
    <w:p w:rsidR="00C64FB7" w:rsidRDefault="00C64FB7" w:rsidP="00DE4BFE">
      <w:pPr>
        <w:pStyle w:val="FootnoteText"/>
      </w:pPr>
      <w:r>
        <w:rPr>
          <w:rStyle w:val="FootnoteReference"/>
        </w:rPr>
        <w:footnoteRef/>
      </w:r>
      <w:r>
        <w:t xml:space="preserve">  A se vedea nota de subsol </w:t>
      </w:r>
      <w:r>
        <w:fldChar w:fldCharType="begin"/>
      </w:r>
      <w:r>
        <w:instrText xml:space="preserve"> NOTEREF  _Ref174363220 \h  \* MERGEFORMAT </w:instrText>
      </w:r>
      <w:r>
        <w:fldChar w:fldCharType="separate"/>
      </w:r>
      <w:r>
        <w:t>2</w:t>
      </w:r>
      <w:r>
        <w:fldChar w:fldCharType="end"/>
      </w:r>
      <w:r>
        <w:t xml:space="preserve"> de mai sus.</w:t>
      </w:r>
    </w:p>
  </w:footnote>
  <w:footnote w:id="4">
    <w:p w:rsidR="00C64FB7" w:rsidRDefault="00C64FB7" w:rsidP="00944C3C">
      <w:pPr>
        <w:pStyle w:val="FootnoteText"/>
      </w:pPr>
      <w:r>
        <w:rPr>
          <w:rStyle w:val="FootnoteReference"/>
        </w:rPr>
        <w:footnoteRef/>
      </w:r>
      <w:r>
        <w:t>  Articolul 94 alineatul (1) din RGPD a abrogat Directiva 95/46/CE a Parlamentului European și a Consiliului din 24 octombrie 1995 privind protecția persoanelor fizice în ceea ce privește prelucrarea datelor cu caracter personal și libera circulație a acestor date (JO 1995, L 281, p. 31, Ediție specială în limba română, capitolul 13 volum 017, p. 10, „Directiva privind protecția datelor”), cu efect de la 25 mai 2018.</w:t>
      </w:r>
    </w:p>
  </w:footnote>
  <w:footnote w:id="5">
    <w:p w:rsidR="00C64FB7" w:rsidRDefault="00C64FB7" w:rsidP="00DE4BFE">
      <w:pPr>
        <w:pStyle w:val="FootnoteText"/>
      </w:pPr>
      <w:r>
        <w:rPr>
          <w:rStyle w:val="FootnoteReference"/>
        </w:rPr>
        <w:footnoteRef/>
      </w:r>
      <w:r>
        <w:t xml:space="preserve">  Acest grup de lucru a fost instituit în temeiul articolului 29 din Directiva din 1995 privind protecția datelor (abrogată cu efect de la 25 mai 2018 – a se vedea supra, nota de subsol </w:t>
      </w:r>
      <w:r>
        <w:fldChar w:fldCharType="begin"/>
      </w:r>
      <w:r>
        <w:instrText xml:space="preserve"> NOTEREF  _Ref174712230 \h  \* MERGEFORMAT </w:instrText>
      </w:r>
      <w:r>
        <w:fldChar w:fldCharType="separate"/>
      </w:r>
      <w:r>
        <w:t>4</w:t>
      </w:r>
      <w:r>
        <w:fldChar w:fldCharType="end"/>
      </w:r>
      <w:r>
        <w:t>) și a fost înlocuit de Comitetul european pentru protecția datelor, instituit prin articolul 68 alineatul (1) din RGPD.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A45145" w:rsidRDefault="00C64FB7"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C64FB7" w:rsidRPr="00DE4BFE" w:rsidRDefault="00C64FB7"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C226D1" w:rsidRDefault="00C64FB7" w:rsidP="00C64FB7">
    <w:pPr>
      <w:jc w:val="right"/>
      <w:rPr>
        <w:i/>
        <w:noProof/>
      </w:rPr>
    </w:pPr>
    <w:r>
      <w:rPr>
        <w:i/>
      </w:rPr>
      <w:t>Tradus și revizuit de IER (https://ier.gov.ro/)</w:t>
    </w:r>
  </w:p>
  <w:p w:rsidR="00C64FB7" w:rsidRDefault="00C64FB7" w:rsidP="00232C2A">
    <w:pPr>
      <w:jc w:val="center"/>
      <w:rPr>
        <w:noProof/>
        <w:lang w:eastAsia="ro-RO"/>
      </w:rPr>
    </w:pPr>
  </w:p>
  <w:p w:rsidR="00C64FB7" w:rsidRPr="00DE4BFE" w:rsidRDefault="00C64FB7" w:rsidP="00232C2A">
    <w:pPr>
      <w:jc w:val="center"/>
    </w:pPr>
    <w:r>
      <w:rPr>
        <w:noProof/>
        <w:lang w:eastAsia="ro-RO"/>
      </w:rPr>
      <w:drawing>
        <wp:inline distT="0" distB="0" distL="0" distR="0">
          <wp:extent cx="2962275" cy="1219200"/>
          <wp:effectExtent l="0" t="0" r="9525" b="0"/>
          <wp:docPr id="1121763005" name="Picture 112176300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63005"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7C6978" w:rsidRDefault="00C64FB7" w:rsidP="00504219">
    <w:pPr>
      <w:pStyle w:val="JuHeader"/>
    </w:pPr>
    <w:r>
      <w:t>HOTĂRÂREA KANEV ȘI COMITETUL HELSINKI DIN BULGARIA ÎMPOTRIVA BULGARIEI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7C6978" w:rsidRDefault="00C64FB7" w:rsidP="00094EE4">
    <w:pPr>
      <w:pStyle w:val="JuHeader"/>
      <w:rPr>
        <w:rStyle w:val="PageNumber"/>
        <w:szCs w:val="18"/>
      </w:rPr>
    </w:pPr>
    <w:r>
      <w:t>HOTĂRÂREA KANEV ȘI COMITETUL HELSINKI DIN BULGARIA ÎMPOTRIVA BULGARIEI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4D0EC7" w:rsidRDefault="00C64FB7" w:rsidP="00DE4BFE">
    <w:pPr>
      <w:pStyle w:val="JuHeader"/>
    </w:pPr>
    <w:r>
      <w:t>HOTĂRÂREA KANEV ȘI COMITETUL HELSINKI DIN BULGARIA ÎMPOTRIVA BULGARIEI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882CD5" w:rsidRDefault="00C64FB7" w:rsidP="00DE4BFE">
    <w:pPr>
      <w:pStyle w:val="JuHeader"/>
    </w:pPr>
    <w:r>
      <w:t>HOTĂRÂREA KANEV ȘI COMITETUL HELSINKI DIN BULGARIA ÎMPOTRIVA BULGARIEI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4D0EC7" w:rsidRDefault="00C64FB7" w:rsidP="00DE4BFE">
    <w:pPr>
      <w:pStyle w:val="JuHeader"/>
    </w:pPr>
    <w:r>
      <w:t>HOTĂRÂREA KANEV ȘI COMITETUL HELSINKI DIN BULGARIA ÎMPOTRIVA BULGARIEI – OPINIE SEPARATĂ</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FB7" w:rsidRPr="00882CD5" w:rsidRDefault="00C64FB7" w:rsidP="00882CD5">
    <w:pPr>
      <w:pStyle w:val="JuHeader"/>
    </w:pPr>
    <w:r>
      <w:t>HOTĂRÂREA KANEV ȘI COMITETUL HELSINKI DIN BULGARIA ÎMPOTRIVA BULGARIEI – OPINIE SEPARATĂ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03F88682">
      <w:start w:val="1"/>
      <w:numFmt w:val="bullet"/>
      <w:pStyle w:val="ListBullet"/>
      <w:lvlText w:val=""/>
      <w:lvlJc w:val="left"/>
      <w:pPr>
        <w:tabs>
          <w:tab w:val="num" w:pos="851"/>
        </w:tabs>
        <w:ind w:left="568" w:firstLine="0"/>
      </w:pPr>
      <w:rPr>
        <w:rFonts w:ascii="Wingdings" w:hAnsi="Wingdings" w:hint="default"/>
        <w:color w:val="808080"/>
        <w:sz w:val="16"/>
      </w:rPr>
    </w:lvl>
    <w:lvl w:ilvl="1" w:tplc="CD8AA4CA" w:tentative="1">
      <w:start w:val="1"/>
      <w:numFmt w:val="bullet"/>
      <w:lvlText w:val="o"/>
      <w:lvlJc w:val="left"/>
      <w:pPr>
        <w:tabs>
          <w:tab w:val="num" w:pos="1724"/>
        </w:tabs>
        <w:ind w:left="1724" w:hanging="360"/>
      </w:pPr>
      <w:rPr>
        <w:rFonts w:ascii="Courier New" w:hAnsi="Courier New" w:cs="Courier New" w:hint="default"/>
      </w:rPr>
    </w:lvl>
    <w:lvl w:ilvl="2" w:tplc="50DA3484" w:tentative="1">
      <w:start w:val="1"/>
      <w:numFmt w:val="bullet"/>
      <w:lvlText w:val=""/>
      <w:lvlJc w:val="left"/>
      <w:pPr>
        <w:tabs>
          <w:tab w:val="num" w:pos="2444"/>
        </w:tabs>
        <w:ind w:left="2444" w:hanging="360"/>
      </w:pPr>
      <w:rPr>
        <w:rFonts w:ascii="Wingdings" w:hAnsi="Wingdings" w:hint="default"/>
      </w:rPr>
    </w:lvl>
    <w:lvl w:ilvl="3" w:tplc="2AC641D2" w:tentative="1">
      <w:start w:val="1"/>
      <w:numFmt w:val="bullet"/>
      <w:lvlText w:val=""/>
      <w:lvlJc w:val="left"/>
      <w:pPr>
        <w:tabs>
          <w:tab w:val="num" w:pos="3164"/>
        </w:tabs>
        <w:ind w:left="3164" w:hanging="360"/>
      </w:pPr>
      <w:rPr>
        <w:rFonts w:ascii="Symbol" w:hAnsi="Symbol" w:hint="default"/>
      </w:rPr>
    </w:lvl>
    <w:lvl w:ilvl="4" w:tplc="6868FC96" w:tentative="1">
      <w:start w:val="1"/>
      <w:numFmt w:val="bullet"/>
      <w:lvlText w:val="o"/>
      <w:lvlJc w:val="left"/>
      <w:pPr>
        <w:tabs>
          <w:tab w:val="num" w:pos="3884"/>
        </w:tabs>
        <w:ind w:left="3884" w:hanging="360"/>
      </w:pPr>
      <w:rPr>
        <w:rFonts w:ascii="Courier New" w:hAnsi="Courier New" w:cs="Courier New" w:hint="default"/>
      </w:rPr>
    </w:lvl>
    <w:lvl w:ilvl="5" w:tplc="BC00E852" w:tentative="1">
      <w:start w:val="1"/>
      <w:numFmt w:val="bullet"/>
      <w:lvlText w:val=""/>
      <w:lvlJc w:val="left"/>
      <w:pPr>
        <w:tabs>
          <w:tab w:val="num" w:pos="4604"/>
        </w:tabs>
        <w:ind w:left="4604" w:hanging="360"/>
      </w:pPr>
      <w:rPr>
        <w:rFonts w:ascii="Wingdings" w:hAnsi="Wingdings" w:hint="default"/>
      </w:rPr>
    </w:lvl>
    <w:lvl w:ilvl="6" w:tplc="2A3EE742" w:tentative="1">
      <w:start w:val="1"/>
      <w:numFmt w:val="bullet"/>
      <w:lvlText w:val=""/>
      <w:lvlJc w:val="left"/>
      <w:pPr>
        <w:tabs>
          <w:tab w:val="num" w:pos="5324"/>
        </w:tabs>
        <w:ind w:left="5324" w:hanging="360"/>
      </w:pPr>
      <w:rPr>
        <w:rFonts w:ascii="Symbol" w:hAnsi="Symbol" w:hint="default"/>
      </w:rPr>
    </w:lvl>
    <w:lvl w:ilvl="7" w:tplc="93B619DA" w:tentative="1">
      <w:start w:val="1"/>
      <w:numFmt w:val="bullet"/>
      <w:lvlText w:val="o"/>
      <w:lvlJc w:val="left"/>
      <w:pPr>
        <w:tabs>
          <w:tab w:val="num" w:pos="6044"/>
        </w:tabs>
        <w:ind w:left="6044" w:hanging="360"/>
      </w:pPr>
      <w:rPr>
        <w:rFonts w:ascii="Courier New" w:hAnsi="Courier New" w:cs="Courier New" w:hint="default"/>
      </w:rPr>
    </w:lvl>
    <w:lvl w:ilvl="8" w:tplc="44003540"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8"/>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17"/>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1"/>
  </w:docVars>
  <w:rsids>
    <w:rsidRoot w:val="00DE4BFE"/>
    <w:rsid w:val="000068BB"/>
    <w:rsid w:val="0001337B"/>
    <w:rsid w:val="000162E5"/>
    <w:rsid w:val="00026E60"/>
    <w:rsid w:val="00034C1A"/>
    <w:rsid w:val="00044B19"/>
    <w:rsid w:val="00046799"/>
    <w:rsid w:val="00050E78"/>
    <w:rsid w:val="00051603"/>
    <w:rsid w:val="00055D28"/>
    <w:rsid w:val="00060048"/>
    <w:rsid w:val="0007191F"/>
    <w:rsid w:val="000754CA"/>
    <w:rsid w:val="00087AA7"/>
    <w:rsid w:val="000948E7"/>
    <w:rsid w:val="00094EE4"/>
    <w:rsid w:val="000A10C7"/>
    <w:rsid w:val="000A5378"/>
    <w:rsid w:val="000B399A"/>
    <w:rsid w:val="000B62B5"/>
    <w:rsid w:val="000B7195"/>
    <w:rsid w:val="000E2DF4"/>
    <w:rsid w:val="000E4A04"/>
    <w:rsid w:val="000E67CF"/>
    <w:rsid w:val="000F39EA"/>
    <w:rsid w:val="00107D43"/>
    <w:rsid w:val="00107E0A"/>
    <w:rsid w:val="00114D50"/>
    <w:rsid w:val="001364CF"/>
    <w:rsid w:val="00145C95"/>
    <w:rsid w:val="00150BFA"/>
    <w:rsid w:val="001558F5"/>
    <w:rsid w:val="00156888"/>
    <w:rsid w:val="001713BF"/>
    <w:rsid w:val="0018307F"/>
    <w:rsid w:val="001833A7"/>
    <w:rsid w:val="00196FE2"/>
    <w:rsid w:val="001C3FFB"/>
    <w:rsid w:val="001C6104"/>
    <w:rsid w:val="001D4EED"/>
    <w:rsid w:val="001E058B"/>
    <w:rsid w:val="001F0522"/>
    <w:rsid w:val="001F44BD"/>
    <w:rsid w:val="0020079D"/>
    <w:rsid w:val="0020718E"/>
    <w:rsid w:val="0020789D"/>
    <w:rsid w:val="0021356B"/>
    <w:rsid w:val="00232319"/>
    <w:rsid w:val="00232C2A"/>
    <w:rsid w:val="00245537"/>
    <w:rsid w:val="002803E3"/>
    <w:rsid w:val="002A71C1"/>
    <w:rsid w:val="002B44FD"/>
    <w:rsid w:val="002C1D2D"/>
    <w:rsid w:val="002C48C5"/>
    <w:rsid w:val="002D26A3"/>
    <w:rsid w:val="002D4F7B"/>
    <w:rsid w:val="002F7F12"/>
    <w:rsid w:val="00301B9A"/>
    <w:rsid w:val="00303DC9"/>
    <w:rsid w:val="0031081E"/>
    <w:rsid w:val="00313945"/>
    <w:rsid w:val="00315540"/>
    <w:rsid w:val="00317152"/>
    <w:rsid w:val="003212B6"/>
    <w:rsid w:val="00347745"/>
    <w:rsid w:val="0035114C"/>
    <w:rsid w:val="003A13BF"/>
    <w:rsid w:val="003C60A2"/>
    <w:rsid w:val="003D799E"/>
    <w:rsid w:val="003F60E7"/>
    <w:rsid w:val="00413286"/>
    <w:rsid w:val="00415AA5"/>
    <w:rsid w:val="004412D2"/>
    <w:rsid w:val="00446689"/>
    <w:rsid w:val="00456F2D"/>
    <w:rsid w:val="00461AA4"/>
    <w:rsid w:val="004671FE"/>
    <w:rsid w:val="00473167"/>
    <w:rsid w:val="00492598"/>
    <w:rsid w:val="00493625"/>
    <w:rsid w:val="004A4EF0"/>
    <w:rsid w:val="004A53BD"/>
    <w:rsid w:val="004C09BE"/>
    <w:rsid w:val="004D0EC7"/>
    <w:rsid w:val="004D2D8D"/>
    <w:rsid w:val="004E1561"/>
    <w:rsid w:val="004E3287"/>
    <w:rsid w:val="004E6FA2"/>
    <w:rsid w:val="00504219"/>
    <w:rsid w:val="005042E3"/>
    <w:rsid w:val="005076DD"/>
    <w:rsid w:val="00545EEB"/>
    <w:rsid w:val="005460D2"/>
    <w:rsid w:val="005546D6"/>
    <w:rsid w:val="00560EF6"/>
    <w:rsid w:val="00561ED1"/>
    <w:rsid w:val="005643A4"/>
    <w:rsid w:val="00567C69"/>
    <w:rsid w:val="00572897"/>
    <w:rsid w:val="00572920"/>
    <w:rsid w:val="00581DF6"/>
    <w:rsid w:val="00585A04"/>
    <w:rsid w:val="00590BA1"/>
    <w:rsid w:val="005B349D"/>
    <w:rsid w:val="005C797C"/>
    <w:rsid w:val="005F09A6"/>
    <w:rsid w:val="005F3BC0"/>
    <w:rsid w:val="00601ADC"/>
    <w:rsid w:val="006065F7"/>
    <w:rsid w:val="00633698"/>
    <w:rsid w:val="00634BB3"/>
    <w:rsid w:val="00645B2E"/>
    <w:rsid w:val="006518FC"/>
    <w:rsid w:val="006545A2"/>
    <w:rsid w:val="00666C89"/>
    <w:rsid w:val="006B4857"/>
    <w:rsid w:val="006E32EE"/>
    <w:rsid w:val="006F7A20"/>
    <w:rsid w:val="00730468"/>
    <w:rsid w:val="00753D61"/>
    <w:rsid w:val="00772852"/>
    <w:rsid w:val="0078450C"/>
    <w:rsid w:val="007A70C7"/>
    <w:rsid w:val="007B6927"/>
    <w:rsid w:val="007C6771"/>
    <w:rsid w:val="007C6978"/>
    <w:rsid w:val="007D40EE"/>
    <w:rsid w:val="007D4EB3"/>
    <w:rsid w:val="007D799D"/>
    <w:rsid w:val="007E2A37"/>
    <w:rsid w:val="007E354B"/>
    <w:rsid w:val="007F0B22"/>
    <w:rsid w:val="007F6A30"/>
    <w:rsid w:val="008311C9"/>
    <w:rsid w:val="00835580"/>
    <w:rsid w:val="00861A27"/>
    <w:rsid w:val="00863957"/>
    <w:rsid w:val="00882CD5"/>
    <w:rsid w:val="00894E9D"/>
    <w:rsid w:val="00897E8D"/>
    <w:rsid w:val="008B2138"/>
    <w:rsid w:val="008C0D86"/>
    <w:rsid w:val="008C308A"/>
    <w:rsid w:val="008C45F8"/>
    <w:rsid w:val="008D2DE8"/>
    <w:rsid w:val="008E24D4"/>
    <w:rsid w:val="009069A1"/>
    <w:rsid w:val="00927DDB"/>
    <w:rsid w:val="00944C3C"/>
    <w:rsid w:val="0096197A"/>
    <w:rsid w:val="009746AB"/>
    <w:rsid w:val="00982F17"/>
    <w:rsid w:val="0098410D"/>
    <w:rsid w:val="009A476E"/>
    <w:rsid w:val="009B2048"/>
    <w:rsid w:val="009B30F0"/>
    <w:rsid w:val="009C2910"/>
    <w:rsid w:val="009C3D74"/>
    <w:rsid w:val="009D2821"/>
    <w:rsid w:val="00A0583B"/>
    <w:rsid w:val="00A10255"/>
    <w:rsid w:val="00A151B6"/>
    <w:rsid w:val="00A256E7"/>
    <w:rsid w:val="00A3536A"/>
    <w:rsid w:val="00A445F8"/>
    <w:rsid w:val="00A45145"/>
    <w:rsid w:val="00A75D46"/>
    <w:rsid w:val="00A8342A"/>
    <w:rsid w:val="00A94B5C"/>
    <w:rsid w:val="00A95139"/>
    <w:rsid w:val="00AB4904"/>
    <w:rsid w:val="00AF12C5"/>
    <w:rsid w:val="00AF2B0B"/>
    <w:rsid w:val="00AF3F17"/>
    <w:rsid w:val="00B031B2"/>
    <w:rsid w:val="00B128BB"/>
    <w:rsid w:val="00B14793"/>
    <w:rsid w:val="00B31742"/>
    <w:rsid w:val="00B66790"/>
    <w:rsid w:val="00B96B50"/>
    <w:rsid w:val="00BA0A01"/>
    <w:rsid w:val="00BA4265"/>
    <w:rsid w:val="00BA5BC0"/>
    <w:rsid w:val="00BC770E"/>
    <w:rsid w:val="00BD27F4"/>
    <w:rsid w:val="00BE47E5"/>
    <w:rsid w:val="00C13A02"/>
    <w:rsid w:val="00C15467"/>
    <w:rsid w:val="00C216B6"/>
    <w:rsid w:val="00C234D6"/>
    <w:rsid w:val="00C64FB7"/>
    <w:rsid w:val="00C70408"/>
    <w:rsid w:val="00C74359"/>
    <w:rsid w:val="00C8510B"/>
    <w:rsid w:val="00C85878"/>
    <w:rsid w:val="00C96000"/>
    <w:rsid w:val="00CA7879"/>
    <w:rsid w:val="00CC1627"/>
    <w:rsid w:val="00CE0B7D"/>
    <w:rsid w:val="00D245F4"/>
    <w:rsid w:val="00D4508E"/>
    <w:rsid w:val="00D45366"/>
    <w:rsid w:val="00D511C4"/>
    <w:rsid w:val="00D52026"/>
    <w:rsid w:val="00D54ABA"/>
    <w:rsid w:val="00D72A06"/>
    <w:rsid w:val="00D837BF"/>
    <w:rsid w:val="00DE4BFE"/>
    <w:rsid w:val="00E0079A"/>
    <w:rsid w:val="00E14F56"/>
    <w:rsid w:val="00E17F4A"/>
    <w:rsid w:val="00E319F4"/>
    <w:rsid w:val="00E33542"/>
    <w:rsid w:val="00E34145"/>
    <w:rsid w:val="00E341CE"/>
    <w:rsid w:val="00E53FA4"/>
    <w:rsid w:val="00E77647"/>
    <w:rsid w:val="00EA2CF7"/>
    <w:rsid w:val="00EA4643"/>
    <w:rsid w:val="00EA4D1B"/>
    <w:rsid w:val="00EC06DB"/>
    <w:rsid w:val="00EC482D"/>
    <w:rsid w:val="00ED148D"/>
    <w:rsid w:val="00ED75F7"/>
    <w:rsid w:val="00F04E54"/>
    <w:rsid w:val="00F2221A"/>
    <w:rsid w:val="00F259D3"/>
    <w:rsid w:val="00F31D3A"/>
    <w:rsid w:val="00F36AB4"/>
    <w:rsid w:val="00F43169"/>
    <w:rsid w:val="00F55300"/>
    <w:rsid w:val="00F57166"/>
    <w:rsid w:val="00F853BA"/>
    <w:rsid w:val="00F8617C"/>
    <w:rsid w:val="00F90F9E"/>
    <w:rsid w:val="00F94F00"/>
    <w:rsid w:val="00FC63B2"/>
    <w:rsid w:val="00FC760C"/>
    <w:rsid w:val="00FD58FF"/>
    <w:rsid w:val="00FF17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6D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E4BFE"/>
    <w:rPr>
      <w:sz w:val="24"/>
      <w:szCs w:val="24"/>
    </w:rPr>
  </w:style>
  <w:style w:type="paragraph" w:styleId="Heading1">
    <w:name w:val="heading 1"/>
    <w:basedOn w:val="Normal"/>
    <w:next w:val="Normal"/>
    <w:link w:val="Heading1Char"/>
    <w:uiPriority w:val="98"/>
    <w:rsid w:val="0049362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9362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9362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9362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9362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9362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9362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9362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9362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493625"/>
    <w:rPr>
      <w:rFonts w:ascii="Tahoma" w:hAnsi="Tahoma" w:cs="Tahoma"/>
      <w:sz w:val="16"/>
      <w:szCs w:val="16"/>
    </w:rPr>
  </w:style>
  <w:style w:type="character" w:customStyle="1" w:styleId="BalloonTextChar">
    <w:name w:val="Balloon Text Char"/>
    <w:basedOn w:val="DefaultParagraphFont"/>
    <w:link w:val="BalloonText"/>
    <w:uiPriority w:val="98"/>
    <w:semiHidden/>
    <w:rsid w:val="00493625"/>
    <w:rPr>
      <w:rFonts w:ascii="Tahoma" w:hAnsi="Tahoma" w:cs="Tahoma"/>
      <w:sz w:val="16"/>
      <w:szCs w:val="16"/>
      <w:lang w:val="ro-RO"/>
    </w:rPr>
  </w:style>
  <w:style w:type="character" w:styleId="BookTitle">
    <w:name w:val="Book Title"/>
    <w:uiPriority w:val="98"/>
    <w:qFormat/>
    <w:rsid w:val="00493625"/>
    <w:rPr>
      <w:i/>
      <w:iCs/>
      <w:smallCaps/>
      <w:spacing w:val="5"/>
    </w:rPr>
  </w:style>
  <w:style w:type="paragraph" w:customStyle="1" w:styleId="JuHeader">
    <w:name w:val="Ju_Header"/>
    <w:aliases w:val="_Header"/>
    <w:basedOn w:val="Header"/>
    <w:uiPriority w:val="29"/>
    <w:qFormat/>
    <w:rsid w:val="00493625"/>
    <w:pPr>
      <w:tabs>
        <w:tab w:val="clear" w:pos="4536"/>
        <w:tab w:val="clear" w:pos="9072"/>
      </w:tabs>
      <w:jc w:val="center"/>
    </w:pPr>
    <w:rPr>
      <w:sz w:val="18"/>
    </w:rPr>
  </w:style>
  <w:style w:type="paragraph" w:customStyle="1" w:styleId="NormalJustified">
    <w:name w:val="Normal_Justified"/>
    <w:basedOn w:val="Normal"/>
    <w:semiHidden/>
    <w:rsid w:val="00493625"/>
    <w:pPr>
      <w:jc w:val="both"/>
    </w:pPr>
  </w:style>
  <w:style w:type="character" w:styleId="Strong">
    <w:name w:val="Strong"/>
    <w:uiPriority w:val="98"/>
    <w:qFormat/>
    <w:rsid w:val="00493625"/>
    <w:rPr>
      <w:b/>
      <w:bCs/>
    </w:rPr>
  </w:style>
  <w:style w:type="paragraph" w:styleId="NoSpacing">
    <w:name w:val="No Spacing"/>
    <w:basedOn w:val="Normal"/>
    <w:link w:val="NoSpacingChar"/>
    <w:uiPriority w:val="98"/>
    <w:qFormat/>
    <w:rsid w:val="00493625"/>
  </w:style>
  <w:style w:type="character" w:customStyle="1" w:styleId="NoSpacingChar">
    <w:name w:val="No Spacing Char"/>
    <w:basedOn w:val="DefaultParagraphFont"/>
    <w:link w:val="NoSpacing"/>
    <w:uiPriority w:val="98"/>
    <w:rsid w:val="00493625"/>
    <w:rPr>
      <w:sz w:val="24"/>
      <w:szCs w:val="24"/>
      <w:lang w:val="ro-RO"/>
    </w:rPr>
  </w:style>
  <w:style w:type="paragraph" w:customStyle="1" w:styleId="JuQuot">
    <w:name w:val="Ju_Quot"/>
    <w:aliases w:val="_Quote"/>
    <w:basedOn w:val="NormalJustified"/>
    <w:qFormat/>
    <w:rsid w:val="00493625"/>
    <w:pPr>
      <w:spacing w:before="120" w:after="120"/>
      <w:ind w:left="425" w:firstLine="142"/>
    </w:pPr>
    <w:rPr>
      <w:sz w:val="20"/>
    </w:rPr>
  </w:style>
  <w:style w:type="paragraph" w:customStyle="1" w:styleId="ECHRBullet1">
    <w:name w:val="ECHR_Bullet_1"/>
    <w:aliases w:val="_Bul_1"/>
    <w:basedOn w:val="NormalJustified"/>
    <w:uiPriority w:val="23"/>
    <w:semiHidden/>
    <w:qFormat/>
    <w:rsid w:val="00493625"/>
    <w:pPr>
      <w:numPr>
        <w:numId w:val="7"/>
      </w:numPr>
      <w:spacing w:before="60" w:after="60"/>
    </w:pPr>
  </w:style>
  <w:style w:type="paragraph" w:customStyle="1" w:styleId="JuList">
    <w:name w:val="Ju_List"/>
    <w:aliases w:val="_List_1"/>
    <w:basedOn w:val="NormalJustified"/>
    <w:uiPriority w:val="23"/>
    <w:qFormat/>
    <w:rsid w:val="00493625"/>
    <w:pPr>
      <w:numPr>
        <w:numId w:val="10"/>
      </w:numPr>
      <w:spacing w:before="280" w:after="60"/>
    </w:pPr>
  </w:style>
  <w:style w:type="paragraph" w:customStyle="1" w:styleId="JuLista">
    <w:name w:val="Ju_List_a"/>
    <w:aliases w:val="_List_2"/>
    <w:basedOn w:val="NormalJustified"/>
    <w:uiPriority w:val="23"/>
    <w:rsid w:val="00493625"/>
    <w:pPr>
      <w:numPr>
        <w:ilvl w:val="1"/>
        <w:numId w:val="10"/>
      </w:numPr>
    </w:pPr>
  </w:style>
  <w:style w:type="paragraph" w:customStyle="1" w:styleId="JuListi">
    <w:name w:val="Ju_List_i"/>
    <w:aliases w:val="_List_3"/>
    <w:basedOn w:val="NormalJustified"/>
    <w:uiPriority w:val="23"/>
    <w:rsid w:val="00493625"/>
    <w:pPr>
      <w:numPr>
        <w:ilvl w:val="2"/>
        <w:numId w:val="10"/>
      </w:numPr>
    </w:pPr>
  </w:style>
  <w:style w:type="paragraph" w:customStyle="1" w:styleId="JuHArticle">
    <w:name w:val="Ju_H_Article"/>
    <w:aliases w:val="_Title_Quote"/>
    <w:basedOn w:val="Normal"/>
    <w:next w:val="JuQuot"/>
    <w:uiPriority w:val="19"/>
    <w:qFormat/>
    <w:rsid w:val="00493625"/>
    <w:pPr>
      <w:keepNext/>
      <w:spacing w:before="100" w:beforeAutospacing="1" w:after="120"/>
      <w:contextualSpacing/>
      <w:jc w:val="center"/>
    </w:pPr>
    <w:rPr>
      <w:b/>
      <w:sz w:val="20"/>
    </w:rPr>
  </w:style>
  <w:style w:type="paragraph" w:customStyle="1" w:styleId="JuParaLast">
    <w:name w:val="Ju_Para_Last"/>
    <w:aliases w:val="_Para_Spaced,ECHR_Para_Spaced"/>
    <w:basedOn w:val="NormalJustified"/>
    <w:uiPriority w:val="5"/>
    <w:qFormat/>
    <w:rsid w:val="00493625"/>
    <w:pPr>
      <w:keepNext/>
      <w:keepLines/>
      <w:spacing w:before="240" w:after="240"/>
      <w:ind w:firstLine="284"/>
    </w:pPr>
  </w:style>
  <w:style w:type="paragraph" w:customStyle="1" w:styleId="DecHTitle">
    <w:name w:val="Dec_H_Title"/>
    <w:aliases w:val="_Title_1"/>
    <w:basedOn w:val="JuPara"/>
    <w:next w:val="JuPara"/>
    <w:uiPriority w:val="38"/>
    <w:qFormat/>
    <w:rsid w:val="00493625"/>
    <w:pPr>
      <w:keepNext/>
      <w:keepLines/>
      <w:spacing w:after="240"/>
      <w:ind w:firstLine="0"/>
      <w:jc w:val="center"/>
      <w:outlineLvl w:val="0"/>
    </w:pPr>
    <w:rPr>
      <w:rFonts w:asciiTheme="majorHAnsi" w:hAnsiTheme="majorHAnsi"/>
      <w:sz w:val="28"/>
    </w:rPr>
  </w:style>
  <w:style w:type="paragraph" w:customStyle="1" w:styleId="JuHHead">
    <w:name w:val="Ju_H_Head"/>
    <w:aliases w:val="_Head_1,ECHR_Heading_1"/>
    <w:basedOn w:val="Heading1"/>
    <w:next w:val="JuPara"/>
    <w:uiPriority w:val="17"/>
    <w:qFormat/>
    <w:rsid w:val="00493625"/>
    <w:pPr>
      <w:keepNext/>
      <w:keepLines/>
      <w:numPr>
        <w:numId w:val="9"/>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493625"/>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493625"/>
    <w:pPr>
      <w:keepNext/>
      <w:keepLines/>
      <w:tabs>
        <w:tab w:val="right" w:pos="7938"/>
      </w:tabs>
      <w:ind w:firstLine="0"/>
      <w:jc w:val="center"/>
    </w:pPr>
    <w:rPr>
      <w:i/>
    </w:rPr>
  </w:style>
  <w:style w:type="paragraph" w:styleId="Title">
    <w:name w:val="Title"/>
    <w:basedOn w:val="Normal"/>
    <w:next w:val="Normal"/>
    <w:link w:val="TitleChar"/>
    <w:uiPriority w:val="98"/>
    <w:qFormat/>
    <w:rsid w:val="0049362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493625"/>
    <w:rPr>
      <w:rFonts w:asciiTheme="majorHAnsi" w:eastAsiaTheme="majorEastAsia" w:hAnsiTheme="majorHAnsi" w:cstheme="majorBidi"/>
      <w:spacing w:val="5"/>
      <w:sz w:val="52"/>
      <w:szCs w:val="52"/>
      <w:lang w:val="ro-RO" w:bidi="en-US"/>
    </w:rPr>
  </w:style>
  <w:style w:type="numbering" w:customStyle="1" w:styleId="ECHRA1StyleBulletedSquare">
    <w:name w:val="ECHR_A1_Style_Bulleted_Square"/>
    <w:basedOn w:val="NoList"/>
    <w:rsid w:val="00493625"/>
    <w:pPr>
      <w:numPr>
        <w:numId w:val="4"/>
      </w:numPr>
    </w:pPr>
  </w:style>
  <w:style w:type="numbering" w:customStyle="1" w:styleId="ECHRA1StyleList">
    <w:name w:val="ECHR_A1_Style_List"/>
    <w:basedOn w:val="NoList"/>
    <w:uiPriority w:val="99"/>
    <w:rsid w:val="00493625"/>
    <w:pPr>
      <w:numPr>
        <w:numId w:val="5"/>
      </w:numPr>
    </w:pPr>
  </w:style>
  <w:style w:type="numbering" w:customStyle="1" w:styleId="ECHRA1StyleNumberedList">
    <w:name w:val="ECHR_A1_Style_Numbered_List"/>
    <w:basedOn w:val="NoList"/>
    <w:rsid w:val="00493625"/>
    <w:pPr>
      <w:numPr>
        <w:numId w:val="6"/>
      </w:numPr>
    </w:pPr>
  </w:style>
  <w:style w:type="table" w:customStyle="1" w:styleId="ECHRTable2019">
    <w:name w:val="ECHR_Table_2019"/>
    <w:basedOn w:val="TableNormal"/>
    <w:uiPriority w:val="99"/>
    <w:rsid w:val="0049362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861A27"/>
    <w:rPr>
      <w:sz w:val="8"/>
    </w:rPr>
  </w:style>
  <w:style w:type="paragraph" w:customStyle="1" w:styleId="JuHIRoman">
    <w:name w:val="Ju_H_I_Roman"/>
    <w:aliases w:val="_Head_2"/>
    <w:basedOn w:val="Heading2"/>
    <w:next w:val="JuPara"/>
    <w:uiPriority w:val="17"/>
    <w:qFormat/>
    <w:rsid w:val="00493625"/>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493625"/>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493625"/>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493625"/>
    <w:pPr>
      <w:tabs>
        <w:tab w:val="center" w:pos="4536"/>
        <w:tab w:val="right" w:pos="9072"/>
      </w:tabs>
    </w:pPr>
  </w:style>
  <w:style w:type="character" w:customStyle="1" w:styleId="HeaderChar">
    <w:name w:val="Header Char"/>
    <w:basedOn w:val="DefaultParagraphFont"/>
    <w:link w:val="Header"/>
    <w:uiPriority w:val="98"/>
    <w:semiHidden/>
    <w:rsid w:val="00493625"/>
    <w:rPr>
      <w:sz w:val="24"/>
      <w:szCs w:val="24"/>
      <w:lang w:val="ro-RO"/>
    </w:rPr>
  </w:style>
  <w:style w:type="character" w:customStyle="1" w:styleId="Heading1Char">
    <w:name w:val="Heading 1 Char"/>
    <w:basedOn w:val="DefaultParagraphFont"/>
    <w:link w:val="Heading1"/>
    <w:uiPriority w:val="98"/>
    <w:rsid w:val="00493625"/>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493625"/>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493625"/>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493625"/>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493625"/>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493625"/>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493625"/>
    <w:rPr>
      <w:rFonts w:asciiTheme="majorHAnsi" w:eastAsiaTheme="majorEastAsia" w:hAnsiTheme="majorHAnsi" w:cstheme="majorBidi"/>
      <w:b/>
      <w:bCs/>
      <w:color w:val="5F5F5F"/>
      <w:lang w:val="ro-RO"/>
    </w:rPr>
  </w:style>
  <w:style w:type="paragraph" w:customStyle="1" w:styleId="JuCourt">
    <w:name w:val="Ju_Court"/>
    <w:aliases w:val="_Court_Names"/>
    <w:basedOn w:val="Normal"/>
    <w:next w:val="Normal"/>
    <w:uiPriority w:val="32"/>
    <w:qFormat/>
    <w:rsid w:val="00493625"/>
    <w:pPr>
      <w:tabs>
        <w:tab w:val="left" w:pos="907"/>
        <w:tab w:val="left" w:pos="1701"/>
        <w:tab w:val="right" w:pos="7371"/>
      </w:tabs>
      <w:spacing w:before="240"/>
      <w:ind w:left="397" w:hanging="397"/>
    </w:pPr>
    <w:rPr>
      <w:lang w:bidi="en-US"/>
    </w:rPr>
  </w:style>
  <w:style w:type="paragraph" w:customStyle="1" w:styleId="JuJudges">
    <w:name w:val="Ju_Judges"/>
    <w:aliases w:val="_Judges"/>
    <w:basedOn w:val="Normal"/>
    <w:uiPriority w:val="32"/>
    <w:qFormat/>
    <w:rsid w:val="00493625"/>
    <w:pPr>
      <w:tabs>
        <w:tab w:val="left" w:pos="567"/>
        <w:tab w:val="left" w:pos="1134"/>
      </w:tabs>
    </w:pPr>
  </w:style>
  <w:style w:type="character" w:customStyle="1" w:styleId="Heading4Char">
    <w:name w:val="Heading 4 Char"/>
    <w:basedOn w:val="DefaultParagraphFont"/>
    <w:link w:val="Heading4"/>
    <w:uiPriority w:val="98"/>
    <w:semiHidden/>
    <w:rsid w:val="00493625"/>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493625"/>
    <w:pPr>
      <w:tabs>
        <w:tab w:val="center" w:pos="6407"/>
      </w:tabs>
      <w:spacing w:before="720"/>
      <w:jc w:val="right"/>
    </w:pPr>
  </w:style>
  <w:style w:type="character" w:customStyle="1" w:styleId="Heading5Char">
    <w:name w:val="Heading 5 Char"/>
    <w:basedOn w:val="DefaultParagraphFont"/>
    <w:link w:val="Heading5"/>
    <w:uiPriority w:val="98"/>
    <w:semiHidden/>
    <w:rsid w:val="00493625"/>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493625"/>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493625"/>
    <w:rPr>
      <w:caps w:val="0"/>
      <w:smallCaps/>
    </w:rPr>
  </w:style>
  <w:style w:type="character" w:styleId="SubtleEmphasis">
    <w:name w:val="Subtle Emphasis"/>
    <w:uiPriority w:val="98"/>
    <w:qFormat/>
    <w:rsid w:val="00493625"/>
    <w:rPr>
      <w:i/>
      <w:iCs/>
    </w:rPr>
  </w:style>
  <w:style w:type="paragraph" w:customStyle="1" w:styleId="JuSigned">
    <w:name w:val="Ju_Signed"/>
    <w:aliases w:val="_Signature"/>
    <w:basedOn w:val="Normal"/>
    <w:next w:val="JuPara"/>
    <w:uiPriority w:val="31"/>
    <w:qFormat/>
    <w:rsid w:val="00493625"/>
    <w:pPr>
      <w:tabs>
        <w:tab w:val="center" w:pos="1418"/>
        <w:tab w:val="center" w:pos="5954"/>
      </w:tabs>
      <w:spacing w:before="720"/>
    </w:pPr>
  </w:style>
  <w:style w:type="table" w:customStyle="1" w:styleId="ECHRTable">
    <w:name w:val="ECHR_Table"/>
    <w:basedOn w:val="TableNormal"/>
    <w:rsid w:val="0049362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9362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493625"/>
    <w:rPr>
      <w:b/>
      <w:bCs/>
      <w:i/>
      <w:iCs/>
      <w:spacing w:val="10"/>
      <w:bdr w:val="none" w:sz="0" w:space="0" w:color="auto"/>
      <w:shd w:val="clear" w:color="auto" w:fill="auto"/>
    </w:rPr>
  </w:style>
  <w:style w:type="paragraph" w:styleId="Footer0">
    <w:name w:val="footer"/>
    <w:basedOn w:val="Normal"/>
    <w:link w:val="FooterChar"/>
    <w:uiPriority w:val="98"/>
    <w:semiHidden/>
    <w:rsid w:val="00493625"/>
    <w:pPr>
      <w:tabs>
        <w:tab w:val="center" w:pos="3686"/>
        <w:tab w:val="right" w:pos="7371"/>
      </w:tabs>
    </w:pPr>
  </w:style>
  <w:style w:type="character" w:customStyle="1" w:styleId="FooterChar">
    <w:name w:val="Footer Char"/>
    <w:basedOn w:val="DefaultParagraphFont"/>
    <w:link w:val="Footer0"/>
    <w:uiPriority w:val="98"/>
    <w:semiHidden/>
    <w:rsid w:val="00493625"/>
    <w:rPr>
      <w:sz w:val="24"/>
      <w:szCs w:val="24"/>
      <w:lang w:val="ro-RO"/>
    </w:rPr>
  </w:style>
  <w:style w:type="character" w:styleId="FootnoteReference">
    <w:name w:val="footnote reference"/>
    <w:basedOn w:val="DefaultParagraphFont"/>
    <w:uiPriority w:val="98"/>
    <w:semiHidden/>
    <w:rsid w:val="00493625"/>
    <w:rPr>
      <w:vertAlign w:val="superscript"/>
    </w:rPr>
  </w:style>
  <w:style w:type="paragraph" w:styleId="FootnoteText">
    <w:name w:val="footnote text"/>
    <w:basedOn w:val="NormalJustified"/>
    <w:link w:val="FootnoteTextChar"/>
    <w:uiPriority w:val="98"/>
    <w:semiHidden/>
    <w:rsid w:val="00493625"/>
    <w:rPr>
      <w:sz w:val="20"/>
      <w:szCs w:val="20"/>
    </w:rPr>
  </w:style>
  <w:style w:type="character" w:customStyle="1" w:styleId="FootnoteTextChar">
    <w:name w:val="Footnote Text Char"/>
    <w:basedOn w:val="DefaultParagraphFont"/>
    <w:link w:val="FootnoteText"/>
    <w:uiPriority w:val="98"/>
    <w:semiHidden/>
    <w:rsid w:val="00493625"/>
    <w:rPr>
      <w:sz w:val="20"/>
      <w:szCs w:val="20"/>
      <w:lang w:val="ro-RO"/>
    </w:rPr>
  </w:style>
  <w:style w:type="character" w:customStyle="1" w:styleId="Heading6Char">
    <w:name w:val="Heading 6 Char"/>
    <w:basedOn w:val="DefaultParagraphFont"/>
    <w:link w:val="Heading6"/>
    <w:uiPriority w:val="98"/>
    <w:semiHidden/>
    <w:rsid w:val="00493625"/>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493625"/>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493625"/>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493625"/>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493625"/>
    <w:rPr>
      <w:color w:val="0072BC" w:themeColor="hyperlink"/>
      <w:u w:val="single"/>
    </w:rPr>
  </w:style>
  <w:style w:type="character" w:styleId="IntenseEmphasis">
    <w:name w:val="Intense Emphasis"/>
    <w:uiPriority w:val="98"/>
    <w:qFormat/>
    <w:rsid w:val="00493625"/>
    <w:rPr>
      <w:b/>
      <w:bCs/>
    </w:rPr>
  </w:style>
  <w:style w:type="paragraph" w:styleId="IntenseQuote">
    <w:name w:val="Intense Quote"/>
    <w:basedOn w:val="Normal"/>
    <w:next w:val="Normal"/>
    <w:link w:val="IntenseQuoteChar"/>
    <w:uiPriority w:val="98"/>
    <w:qFormat/>
    <w:rsid w:val="0049362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493625"/>
    <w:rPr>
      <w:b/>
      <w:bCs/>
      <w:i/>
      <w:iCs/>
      <w:sz w:val="24"/>
      <w:szCs w:val="24"/>
      <w:lang w:val="ro-RO" w:bidi="en-US"/>
    </w:rPr>
  </w:style>
  <w:style w:type="character" w:styleId="IntenseReference">
    <w:name w:val="Intense Reference"/>
    <w:uiPriority w:val="98"/>
    <w:qFormat/>
    <w:rsid w:val="00493625"/>
    <w:rPr>
      <w:smallCaps/>
      <w:spacing w:val="5"/>
      <w:u w:val="single"/>
    </w:rPr>
  </w:style>
  <w:style w:type="paragraph" w:styleId="ListParagraph">
    <w:name w:val="List Paragraph"/>
    <w:basedOn w:val="Normal"/>
    <w:uiPriority w:val="98"/>
    <w:qFormat/>
    <w:rsid w:val="00493625"/>
    <w:pPr>
      <w:ind w:left="720"/>
      <w:contextualSpacing/>
    </w:pPr>
  </w:style>
  <w:style w:type="table" w:customStyle="1" w:styleId="LtrTableAddress">
    <w:name w:val="Ltr_Table_Address"/>
    <w:aliases w:val="ECHR_Ltr_Table_Address"/>
    <w:basedOn w:val="TableNormal"/>
    <w:uiPriority w:val="99"/>
    <w:rsid w:val="00493625"/>
    <w:rPr>
      <w:sz w:val="24"/>
      <w:szCs w:val="24"/>
    </w:rPr>
    <w:tblPr>
      <w:tblInd w:w="5103" w:type="dxa"/>
    </w:tblPr>
  </w:style>
  <w:style w:type="paragraph" w:styleId="Quote">
    <w:name w:val="Quote"/>
    <w:basedOn w:val="Normal"/>
    <w:next w:val="Normal"/>
    <w:link w:val="QuoteChar"/>
    <w:uiPriority w:val="98"/>
    <w:qFormat/>
    <w:rsid w:val="00493625"/>
    <w:pPr>
      <w:spacing w:before="200"/>
      <w:ind w:left="360" w:right="360"/>
    </w:pPr>
    <w:rPr>
      <w:i/>
      <w:iCs/>
      <w:lang w:bidi="en-US"/>
    </w:rPr>
  </w:style>
  <w:style w:type="character" w:customStyle="1" w:styleId="QuoteChar">
    <w:name w:val="Quote Char"/>
    <w:basedOn w:val="DefaultParagraphFont"/>
    <w:link w:val="Quote"/>
    <w:uiPriority w:val="98"/>
    <w:rsid w:val="00493625"/>
    <w:rPr>
      <w:i/>
      <w:iCs/>
      <w:sz w:val="24"/>
      <w:szCs w:val="24"/>
      <w:lang w:val="ro-RO" w:bidi="en-US"/>
    </w:rPr>
  </w:style>
  <w:style w:type="character" w:styleId="SubtleReference">
    <w:name w:val="Subtle Reference"/>
    <w:uiPriority w:val="98"/>
    <w:qFormat/>
    <w:rsid w:val="00493625"/>
    <w:rPr>
      <w:smallCaps/>
    </w:rPr>
  </w:style>
  <w:style w:type="table" w:styleId="TableGrid">
    <w:name w:val="Table Grid"/>
    <w:basedOn w:val="TableNormal"/>
    <w:uiPriority w:val="59"/>
    <w:rsid w:val="0049362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634BB3"/>
    <w:pPr>
      <w:keepNext/>
      <w:tabs>
        <w:tab w:val="right" w:leader="dot" w:pos="7371"/>
      </w:tabs>
      <w:spacing w:before="120" w:after="60" w:line="240" w:lineRule="exact"/>
      <w:ind w:left="340" w:hanging="340"/>
    </w:pPr>
    <w:rPr>
      <w:b/>
      <w:noProof/>
      <w:sz w:val="20"/>
    </w:rPr>
  </w:style>
  <w:style w:type="paragraph" w:styleId="TOC2">
    <w:name w:val="toc 2"/>
    <w:basedOn w:val="Normal"/>
    <w:next w:val="Normal"/>
    <w:uiPriority w:val="39"/>
    <w:rsid w:val="00DE4BFE"/>
    <w:pPr>
      <w:keepNext/>
      <w:tabs>
        <w:tab w:val="left" w:pos="1020"/>
        <w:tab w:val="right" w:leader="dot" w:pos="7371"/>
      </w:tabs>
      <w:spacing w:after="60" w:line="240" w:lineRule="exact"/>
      <w:ind w:left="680" w:hanging="340"/>
    </w:pPr>
    <w:rPr>
      <w:sz w:val="20"/>
    </w:rPr>
  </w:style>
  <w:style w:type="paragraph" w:styleId="TOC3">
    <w:name w:val="toc 3"/>
    <w:basedOn w:val="Normal"/>
    <w:next w:val="Normal"/>
    <w:uiPriority w:val="39"/>
    <w:rsid w:val="00DE4BFE"/>
    <w:pPr>
      <w:tabs>
        <w:tab w:val="right" w:leader="dot" w:pos="7371"/>
      </w:tabs>
      <w:spacing w:after="60" w:line="240" w:lineRule="exact"/>
      <w:ind w:left="1020" w:hanging="340"/>
    </w:pPr>
    <w:rPr>
      <w:sz w:val="20"/>
    </w:rPr>
  </w:style>
  <w:style w:type="paragraph" w:styleId="TOC4">
    <w:name w:val="toc 4"/>
    <w:basedOn w:val="Normal"/>
    <w:next w:val="Normal"/>
    <w:uiPriority w:val="39"/>
    <w:rsid w:val="00DE4BFE"/>
    <w:pPr>
      <w:tabs>
        <w:tab w:val="right" w:leader="dot" w:pos="7371"/>
      </w:tabs>
      <w:spacing w:after="60" w:line="240" w:lineRule="exact"/>
      <w:ind w:left="1361" w:hanging="340"/>
    </w:pPr>
    <w:rPr>
      <w:sz w:val="20"/>
    </w:rPr>
  </w:style>
  <w:style w:type="paragraph" w:styleId="TOC5">
    <w:name w:val="toc 5"/>
    <w:basedOn w:val="Normal"/>
    <w:next w:val="Normal"/>
    <w:uiPriority w:val="39"/>
    <w:rsid w:val="00DE4BFE"/>
    <w:pPr>
      <w:tabs>
        <w:tab w:val="right" w:leader="dot" w:pos="7371"/>
      </w:tabs>
      <w:spacing w:after="60" w:line="240" w:lineRule="exact"/>
      <w:ind w:left="1701" w:hanging="340"/>
    </w:pPr>
    <w:rPr>
      <w:sz w:val="20"/>
    </w:rPr>
  </w:style>
  <w:style w:type="paragraph" w:styleId="TOCHeading">
    <w:name w:val="TOC Heading"/>
    <w:basedOn w:val="Normal"/>
    <w:next w:val="Normal"/>
    <w:uiPriority w:val="98"/>
    <w:semiHidden/>
    <w:qFormat/>
    <w:rsid w:val="00634BB3"/>
    <w:pPr>
      <w:keepNext/>
      <w:keepLines/>
      <w:spacing w:after="240"/>
      <w:contextualSpacing/>
      <w:jc w:val="center"/>
    </w:pPr>
    <w:rPr>
      <w:rFonts w:asciiTheme="majorHAnsi" w:hAnsiTheme="majorHAnsi"/>
      <w:b/>
      <w:color w:val="474747" w:themeColor="accent3" w:themeShade="BF"/>
      <w:sz w:val="20"/>
    </w:rPr>
  </w:style>
  <w:style w:type="table" w:customStyle="1" w:styleId="UGTable">
    <w:name w:val="UG_Table"/>
    <w:aliases w:val="ECHR_UG_Table"/>
    <w:basedOn w:val="TableNormal"/>
    <w:uiPriority w:val="99"/>
    <w:rsid w:val="0049362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9362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49362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49362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49362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49362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49362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49362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493625"/>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493625"/>
    <w:pPr>
      <w:numPr>
        <w:numId w:val="1"/>
      </w:numPr>
    </w:pPr>
  </w:style>
  <w:style w:type="paragraph" w:customStyle="1" w:styleId="JuPara">
    <w:name w:val="Ju_Para"/>
    <w:aliases w:val="_Para"/>
    <w:basedOn w:val="NormalJustified"/>
    <w:link w:val="JuParaChar"/>
    <w:uiPriority w:val="4"/>
    <w:qFormat/>
    <w:rsid w:val="00DE4BFE"/>
    <w:pPr>
      <w:ind w:firstLine="284"/>
    </w:pPr>
  </w:style>
  <w:style w:type="numbering" w:styleId="1ai">
    <w:name w:val="Outline List 1"/>
    <w:basedOn w:val="NoList"/>
    <w:uiPriority w:val="99"/>
    <w:semiHidden/>
    <w:unhideWhenUsed/>
    <w:rsid w:val="00493625"/>
    <w:pPr>
      <w:numPr>
        <w:numId w:val="2"/>
      </w:numPr>
    </w:pPr>
  </w:style>
  <w:style w:type="table" w:customStyle="1" w:styleId="ECHRTableSimpleBox">
    <w:name w:val="ECHR_Table_Simple_Box"/>
    <w:basedOn w:val="TableNormal"/>
    <w:uiPriority w:val="99"/>
    <w:rsid w:val="0049362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49362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493625"/>
    <w:pPr>
      <w:numPr>
        <w:numId w:val="3"/>
      </w:numPr>
    </w:pPr>
  </w:style>
  <w:style w:type="table" w:customStyle="1" w:styleId="ECHRTableForInternalUse">
    <w:name w:val="ECHR_Table_For_Internal_Use"/>
    <w:basedOn w:val="TableNormal"/>
    <w:uiPriority w:val="99"/>
    <w:rsid w:val="0049362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49362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493625"/>
  </w:style>
  <w:style w:type="paragraph" w:styleId="BlockText">
    <w:name w:val="Block Text"/>
    <w:basedOn w:val="Normal"/>
    <w:uiPriority w:val="98"/>
    <w:semiHidden/>
    <w:rsid w:val="0049362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49362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493625"/>
    <w:pPr>
      <w:spacing w:after="120"/>
    </w:pPr>
  </w:style>
  <w:style w:type="character" w:customStyle="1" w:styleId="BodyTextChar">
    <w:name w:val="Body Text Char"/>
    <w:basedOn w:val="DefaultParagraphFont"/>
    <w:link w:val="BodyText"/>
    <w:uiPriority w:val="98"/>
    <w:semiHidden/>
    <w:rsid w:val="00493625"/>
    <w:rPr>
      <w:sz w:val="24"/>
      <w:szCs w:val="24"/>
      <w:lang w:val="ro-RO"/>
    </w:rPr>
  </w:style>
  <w:style w:type="table" w:customStyle="1" w:styleId="ECHRTableOddBanded">
    <w:name w:val="ECHR_Table_Odd_Banded"/>
    <w:basedOn w:val="TableNormal"/>
    <w:uiPriority w:val="99"/>
    <w:rsid w:val="0049362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493625"/>
    <w:pPr>
      <w:spacing w:after="120" w:line="480" w:lineRule="auto"/>
    </w:pPr>
  </w:style>
  <w:style w:type="table" w:customStyle="1" w:styleId="ECHRHeaderTableReduced">
    <w:name w:val="ECHR_Header_Table_Reduced"/>
    <w:basedOn w:val="TableNormal"/>
    <w:uiPriority w:val="99"/>
    <w:rsid w:val="0049362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493625"/>
    <w:pPr>
      <w:ind w:firstLine="284"/>
    </w:pPr>
    <w:rPr>
      <w:b/>
    </w:rPr>
  </w:style>
  <w:style w:type="character" w:styleId="PageNumber">
    <w:name w:val="page number"/>
    <w:uiPriority w:val="98"/>
    <w:semiHidden/>
    <w:rsid w:val="00493625"/>
    <w:rPr>
      <w:sz w:val="18"/>
    </w:rPr>
  </w:style>
  <w:style w:type="paragraph" w:styleId="ListBullet">
    <w:name w:val="List Bullet"/>
    <w:basedOn w:val="Normal"/>
    <w:uiPriority w:val="98"/>
    <w:semiHidden/>
    <w:rsid w:val="00493625"/>
    <w:pPr>
      <w:numPr>
        <w:numId w:val="11"/>
      </w:numPr>
    </w:pPr>
  </w:style>
  <w:style w:type="paragraph" w:styleId="ListBullet3">
    <w:name w:val="List Bullet 3"/>
    <w:basedOn w:val="Normal"/>
    <w:uiPriority w:val="98"/>
    <w:semiHidden/>
    <w:rsid w:val="00493625"/>
    <w:pPr>
      <w:numPr>
        <w:numId w:val="13"/>
      </w:numPr>
      <w:contextualSpacing/>
    </w:pPr>
  </w:style>
  <w:style w:type="character" w:customStyle="1" w:styleId="BodyText2Char">
    <w:name w:val="Body Text 2 Char"/>
    <w:basedOn w:val="DefaultParagraphFont"/>
    <w:link w:val="BodyText2"/>
    <w:uiPriority w:val="98"/>
    <w:semiHidden/>
    <w:rsid w:val="00493625"/>
    <w:rPr>
      <w:sz w:val="24"/>
      <w:szCs w:val="24"/>
      <w:lang w:val="ro-RO"/>
    </w:rPr>
  </w:style>
  <w:style w:type="paragraph" w:styleId="BodyText3">
    <w:name w:val="Body Text 3"/>
    <w:basedOn w:val="Normal"/>
    <w:link w:val="BodyText3Char"/>
    <w:uiPriority w:val="98"/>
    <w:semiHidden/>
    <w:rsid w:val="00493625"/>
    <w:pPr>
      <w:spacing w:after="120"/>
    </w:pPr>
    <w:rPr>
      <w:sz w:val="16"/>
      <w:szCs w:val="16"/>
    </w:rPr>
  </w:style>
  <w:style w:type="character" w:customStyle="1" w:styleId="BodyText3Char">
    <w:name w:val="Body Text 3 Char"/>
    <w:basedOn w:val="DefaultParagraphFont"/>
    <w:link w:val="BodyText3"/>
    <w:uiPriority w:val="98"/>
    <w:semiHidden/>
    <w:rsid w:val="00493625"/>
    <w:rPr>
      <w:sz w:val="16"/>
      <w:szCs w:val="16"/>
      <w:lang w:val="ro-RO"/>
    </w:rPr>
  </w:style>
  <w:style w:type="paragraph" w:styleId="BodyTextFirstIndent">
    <w:name w:val="Body Text First Indent"/>
    <w:basedOn w:val="BodyText"/>
    <w:link w:val="BodyTextFirstIndentChar"/>
    <w:uiPriority w:val="98"/>
    <w:semiHidden/>
    <w:rsid w:val="00493625"/>
    <w:pPr>
      <w:spacing w:after="0"/>
      <w:ind w:firstLine="360"/>
    </w:pPr>
  </w:style>
  <w:style w:type="character" w:customStyle="1" w:styleId="BodyTextFirstIndentChar">
    <w:name w:val="Body Text First Indent Char"/>
    <w:basedOn w:val="BodyTextChar"/>
    <w:link w:val="BodyTextFirstIndent"/>
    <w:uiPriority w:val="98"/>
    <w:semiHidden/>
    <w:rsid w:val="00493625"/>
    <w:rPr>
      <w:sz w:val="24"/>
      <w:szCs w:val="24"/>
      <w:lang w:val="ro-RO"/>
    </w:rPr>
  </w:style>
  <w:style w:type="paragraph" w:styleId="BodyTextIndent">
    <w:name w:val="Body Text Indent"/>
    <w:basedOn w:val="Normal"/>
    <w:link w:val="BodyTextIndentChar"/>
    <w:uiPriority w:val="98"/>
    <w:semiHidden/>
    <w:rsid w:val="00493625"/>
    <w:pPr>
      <w:spacing w:after="120"/>
      <w:ind w:left="283"/>
    </w:pPr>
  </w:style>
  <w:style w:type="character" w:customStyle="1" w:styleId="BodyTextIndentChar">
    <w:name w:val="Body Text Indent Char"/>
    <w:basedOn w:val="DefaultParagraphFont"/>
    <w:link w:val="BodyTextIndent"/>
    <w:uiPriority w:val="98"/>
    <w:semiHidden/>
    <w:rsid w:val="00493625"/>
    <w:rPr>
      <w:sz w:val="24"/>
      <w:szCs w:val="24"/>
      <w:lang w:val="ro-RO"/>
    </w:rPr>
  </w:style>
  <w:style w:type="paragraph" w:styleId="BodyTextFirstIndent2">
    <w:name w:val="Body Text First Indent 2"/>
    <w:basedOn w:val="BodyTextIndent"/>
    <w:link w:val="BodyTextFirstIndent2Char"/>
    <w:uiPriority w:val="98"/>
    <w:semiHidden/>
    <w:rsid w:val="00493625"/>
    <w:pPr>
      <w:spacing w:after="0"/>
      <w:ind w:left="360" w:firstLine="360"/>
    </w:pPr>
  </w:style>
  <w:style w:type="character" w:customStyle="1" w:styleId="BodyTextFirstIndent2Char">
    <w:name w:val="Body Text First Indent 2 Char"/>
    <w:basedOn w:val="BodyTextIndentChar"/>
    <w:link w:val="BodyTextFirstIndent2"/>
    <w:uiPriority w:val="98"/>
    <w:semiHidden/>
    <w:rsid w:val="00493625"/>
    <w:rPr>
      <w:sz w:val="24"/>
      <w:szCs w:val="24"/>
      <w:lang w:val="ro-RO"/>
    </w:rPr>
  </w:style>
  <w:style w:type="paragraph" w:styleId="BodyTextIndent2">
    <w:name w:val="Body Text Indent 2"/>
    <w:basedOn w:val="Normal"/>
    <w:link w:val="BodyTextIndent2Char"/>
    <w:uiPriority w:val="98"/>
    <w:semiHidden/>
    <w:rsid w:val="00493625"/>
    <w:pPr>
      <w:spacing w:after="120" w:line="480" w:lineRule="auto"/>
      <w:ind w:left="283"/>
    </w:pPr>
  </w:style>
  <w:style w:type="character" w:customStyle="1" w:styleId="BodyTextIndent2Char">
    <w:name w:val="Body Text Indent 2 Char"/>
    <w:basedOn w:val="DefaultParagraphFont"/>
    <w:link w:val="BodyTextIndent2"/>
    <w:uiPriority w:val="98"/>
    <w:semiHidden/>
    <w:rsid w:val="00493625"/>
    <w:rPr>
      <w:sz w:val="24"/>
      <w:szCs w:val="24"/>
      <w:lang w:val="ro-RO"/>
    </w:rPr>
  </w:style>
  <w:style w:type="paragraph" w:styleId="BodyTextIndent3">
    <w:name w:val="Body Text Indent 3"/>
    <w:basedOn w:val="Normal"/>
    <w:link w:val="BodyTextIndent3Char"/>
    <w:uiPriority w:val="98"/>
    <w:semiHidden/>
    <w:rsid w:val="0049362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93625"/>
    <w:rPr>
      <w:sz w:val="16"/>
      <w:szCs w:val="16"/>
      <w:lang w:val="ro-RO"/>
    </w:rPr>
  </w:style>
  <w:style w:type="paragraph" w:styleId="Caption">
    <w:name w:val="caption"/>
    <w:basedOn w:val="Normal"/>
    <w:next w:val="Normal"/>
    <w:uiPriority w:val="98"/>
    <w:semiHidden/>
    <w:qFormat/>
    <w:rsid w:val="00493625"/>
    <w:pPr>
      <w:spacing w:after="200"/>
    </w:pPr>
    <w:rPr>
      <w:b/>
      <w:bCs/>
      <w:color w:val="0072BC" w:themeColor="accent1"/>
      <w:sz w:val="18"/>
      <w:szCs w:val="18"/>
    </w:rPr>
  </w:style>
  <w:style w:type="paragraph" w:styleId="Closing">
    <w:name w:val="Closing"/>
    <w:basedOn w:val="Normal"/>
    <w:link w:val="ClosingChar"/>
    <w:uiPriority w:val="98"/>
    <w:semiHidden/>
    <w:rsid w:val="00493625"/>
    <w:pPr>
      <w:ind w:left="4252"/>
    </w:pPr>
  </w:style>
  <w:style w:type="character" w:customStyle="1" w:styleId="ClosingChar">
    <w:name w:val="Closing Char"/>
    <w:basedOn w:val="DefaultParagraphFont"/>
    <w:link w:val="Closing"/>
    <w:uiPriority w:val="98"/>
    <w:semiHidden/>
    <w:rsid w:val="00493625"/>
    <w:rPr>
      <w:sz w:val="24"/>
      <w:szCs w:val="24"/>
      <w:lang w:val="ro-RO"/>
    </w:rPr>
  </w:style>
  <w:style w:type="table" w:styleId="ColorfulGrid">
    <w:name w:val="Colorful Grid"/>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9362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9362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9362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9362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9362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49362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9362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9362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9362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9362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9362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9362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49362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9362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9362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rsid w:val="00493625"/>
    <w:rPr>
      <w:sz w:val="20"/>
      <w:szCs w:val="20"/>
      <w:lang w:val="ro-RO"/>
    </w:rPr>
  </w:style>
  <w:style w:type="paragraph" w:styleId="CommentSubject">
    <w:name w:val="annotation subject"/>
    <w:basedOn w:val="CommentText"/>
    <w:next w:val="CommentText"/>
    <w:link w:val="CommentSubjectChar"/>
    <w:uiPriority w:val="98"/>
    <w:semiHidden/>
    <w:rsid w:val="00493625"/>
    <w:rPr>
      <w:b/>
      <w:bCs/>
    </w:rPr>
  </w:style>
  <w:style w:type="character" w:customStyle="1" w:styleId="CommentSubjectChar">
    <w:name w:val="Comment Subject Char"/>
    <w:basedOn w:val="CommentTextChar"/>
    <w:link w:val="CommentSubject"/>
    <w:uiPriority w:val="98"/>
    <w:semiHidden/>
    <w:rsid w:val="00493625"/>
    <w:rPr>
      <w:b/>
      <w:bCs/>
      <w:sz w:val="20"/>
      <w:szCs w:val="20"/>
      <w:lang w:val="ro-RO"/>
    </w:rPr>
  </w:style>
  <w:style w:type="table" w:styleId="DarkList">
    <w:name w:val="Dark List"/>
    <w:basedOn w:val="TableNormal"/>
    <w:uiPriority w:val="70"/>
    <w:semiHidden/>
    <w:rsid w:val="0049362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9362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9362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9362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49362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9362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9362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93625"/>
  </w:style>
  <w:style w:type="character" w:customStyle="1" w:styleId="DateChar">
    <w:name w:val="Date Char"/>
    <w:basedOn w:val="DefaultParagraphFont"/>
    <w:link w:val="Date"/>
    <w:uiPriority w:val="98"/>
    <w:semiHidden/>
    <w:rsid w:val="00493625"/>
    <w:rPr>
      <w:sz w:val="24"/>
      <w:szCs w:val="24"/>
      <w:lang w:val="ro-RO"/>
    </w:rPr>
  </w:style>
  <w:style w:type="paragraph" w:styleId="DocumentMap">
    <w:name w:val="Document Map"/>
    <w:basedOn w:val="Normal"/>
    <w:link w:val="DocumentMapChar"/>
    <w:uiPriority w:val="98"/>
    <w:semiHidden/>
    <w:rsid w:val="00493625"/>
    <w:rPr>
      <w:rFonts w:ascii="Tahoma" w:hAnsi="Tahoma" w:cs="Tahoma"/>
      <w:sz w:val="16"/>
      <w:szCs w:val="16"/>
    </w:rPr>
  </w:style>
  <w:style w:type="character" w:customStyle="1" w:styleId="DocumentMapChar">
    <w:name w:val="Document Map Char"/>
    <w:basedOn w:val="DefaultParagraphFont"/>
    <w:link w:val="DocumentMap"/>
    <w:uiPriority w:val="98"/>
    <w:semiHidden/>
    <w:rsid w:val="00493625"/>
    <w:rPr>
      <w:rFonts w:ascii="Tahoma" w:hAnsi="Tahoma" w:cs="Tahoma"/>
      <w:sz w:val="16"/>
      <w:szCs w:val="16"/>
      <w:lang w:val="ro-RO"/>
    </w:rPr>
  </w:style>
  <w:style w:type="paragraph" w:styleId="E-mailSignature">
    <w:name w:val="E-mail Signature"/>
    <w:basedOn w:val="Normal"/>
    <w:link w:val="E-mailSignatureChar"/>
    <w:uiPriority w:val="98"/>
    <w:semiHidden/>
    <w:rsid w:val="00493625"/>
  </w:style>
  <w:style w:type="character" w:customStyle="1" w:styleId="E-mailSignatureChar">
    <w:name w:val="E-mail Signature Char"/>
    <w:basedOn w:val="DefaultParagraphFont"/>
    <w:link w:val="E-mailSignature"/>
    <w:uiPriority w:val="98"/>
    <w:semiHidden/>
    <w:rsid w:val="00493625"/>
    <w:rPr>
      <w:sz w:val="24"/>
      <w:szCs w:val="24"/>
      <w:lang w:val="ro-RO"/>
    </w:rPr>
  </w:style>
  <w:style w:type="character" w:styleId="EndnoteReference">
    <w:name w:val="endnote reference"/>
    <w:basedOn w:val="DefaultParagraphFont"/>
    <w:uiPriority w:val="98"/>
    <w:semiHidden/>
    <w:rsid w:val="00493625"/>
    <w:rPr>
      <w:vertAlign w:val="superscript"/>
    </w:rPr>
  </w:style>
  <w:style w:type="paragraph" w:styleId="EndnoteText">
    <w:name w:val="endnote text"/>
    <w:basedOn w:val="Normal"/>
    <w:link w:val="EndnoteTextChar"/>
    <w:uiPriority w:val="98"/>
    <w:semiHidden/>
    <w:rsid w:val="00493625"/>
    <w:rPr>
      <w:sz w:val="20"/>
      <w:szCs w:val="20"/>
    </w:rPr>
  </w:style>
  <w:style w:type="character" w:customStyle="1" w:styleId="EndnoteTextChar">
    <w:name w:val="Endnote Text Char"/>
    <w:basedOn w:val="DefaultParagraphFont"/>
    <w:link w:val="EndnoteText"/>
    <w:uiPriority w:val="98"/>
    <w:semiHidden/>
    <w:rsid w:val="00493625"/>
    <w:rPr>
      <w:sz w:val="20"/>
      <w:szCs w:val="20"/>
      <w:lang w:val="ro-RO"/>
    </w:rPr>
  </w:style>
  <w:style w:type="paragraph" w:styleId="EnvelopeAddress">
    <w:name w:val="envelope address"/>
    <w:basedOn w:val="Normal"/>
    <w:uiPriority w:val="98"/>
    <w:semiHidden/>
    <w:rsid w:val="0049362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9362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93625"/>
    <w:rPr>
      <w:color w:val="7030A0" w:themeColor="followedHyperlink"/>
      <w:u w:val="single"/>
    </w:rPr>
  </w:style>
  <w:style w:type="character" w:styleId="HTMLAcronym">
    <w:name w:val="HTML Acronym"/>
    <w:basedOn w:val="DefaultParagraphFont"/>
    <w:uiPriority w:val="98"/>
    <w:semiHidden/>
    <w:rsid w:val="00493625"/>
  </w:style>
  <w:style w:type="paragraph" w:styleId="HTMLAddress">
    <w:name w:val="HTML Address"/>
    <w:basedOn w:val="Normal"/>
    <w:link w:val="HTMLAddressChar"/>
    <w:uiPriority w:val="98"/>
    <w:semiHidden/>
    <w:rsid w:val="00493625"/>
    <w:rPr>
      <w:i/>
      <w:iCs/>
    </w:rPr>
  </w:style>
  <w:style w:type="character" w:customStyle="1" w:styleId="HTMLAddressChar">
    <w:name w:val="HTML Address Char"/>
    <w:basedOn w:val="DefaultParagraphFont"/>
    <w:link w:val="HTMLAddress"/>
    <w:uiPriority w:val="98"/>
    <w:semiHidden/>
    <w:rsid w:val="00493625"/>
    <w:rPr>
      <w:i/>
      <w:iCs/>
      <w:sz w:val="24"/>
      <w:szCs w:val="24"/>
      <w:lang w:val="ro-RO"/>
    </w:rPr>
  </w:style>
  <w:style w:type="character" w:styleId="HTMLCite">
    <w:name w:val="HTML Cite"/>
    <w:basedOn w:val="DefaultParagraphFont"/>
    <w:uiPriority w:val="98"/>
    <w:semiHidden/>
    <w:rsid w:val="00493625"/>
    <w:rPr>
      <w:i/>
      <w:iCs/>
    </w:rPr>
  </w:style>
  <w:style w:type="character" w:styleId="HTMLCode">
    <w:name w:val="HTML Code"/>
    <w:basedOn w:val="DefaultParagraphFont"/>
    <w:uiPriority w:val="98"/>
    <w:semiHidden/>
    <w:rsid w:val="00493625"/>
    <w:rPr>
      <w:rFonts w:ascii="Consolas" w:hAnsi="Consolas" w:cs="Consolas"/>
      <w:sz w:val="20"/>
      <w:szCs w:val="20"/>
    </w:rPr>
  </w:style>
  <w:style w:type="character" w:styleId="HTMLDefinition">
    <w:name w:val="HTML Definition"/>
    <w:basedOn w:val="DefaultParagraphFont"/>
    <w:uiPriority w:val="98"/>
    <w:semiHidden/>
    <w:rsid w:val="00493625"/>
    <w:rPr>
      <w:i/>
      <w:iCs/>
    </w:rPr>
  </w:style>
  <w:style w:type="character" w:styleId="HTMLKeyboard">
    <w:name w:val="HTML Keyboard"/>
    <w:basedOn w:val="DefaultParagraphFont"/>
    <w:uiPriority w:val="98"/>
    <w:semiHidden/>
    <w:rsid w:val="00493625"/>
    <w:rPr>
      <w:rFonts w:ascii="Consolas" w:hAnsi="Consolas" w:cs="Consolas"/>
      <w:sz w:val="20"/>
      <w:szCs w:val="20"/>
    </w:rPr>
  </w:style>
  <w:style w:type="paragraph" w:styleId="HTMLPreformatted">
    <w:name w:val="HTML Preformatted"/>
    <w:basedOn w:val="Normal"/>
    <w:link w:val="HTMLPreformattedChar"/>
    <w:uiPriority w:val="98"/>
    <w:semiHidden/>
    <w:rsid w:val="0049362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93625"/>
    <w:rPr>
      <w:rFonts w:ascii="Consolas" w:hAnsi="Consolas" w:cs="Consolas"/>
      <w:sz w:val="20"/>
      <w:szCs w:val="20"/>
      <w:lang w:val="ro-RO"/>
    </w:rPr>
  </w:style>
  <w:style w:type="character" w:styleId="HTMLSample">
    <w:name w:val="HTML Sample"/>
    <w:basedOn w:val="DefaultParagraphFont"/>
    <w:uiPriority w:val="98"/>
    <w:semiHidden/>
    <w:rsid w:val="00493625"/>
    <w:rPr>
      <w:rFonts w:ascii="Consolas" w:hAnsi="Consolas" w:cs="Consolas"/>
      <w:sz w:val="24"/>
      <w:szCs w:val="24"/>
    </w:rPr>
  </w:style>
  <w:style w:type="character" w:styleId="HTMLTypewriter">
    <w:name w:val="HTML Typewriter"/>
    <w:basedOn w:val="DefaultParagraphFont"/>
    <w:uiPriority w:val="98"/>
    <w:semiHidden/>
    <w:rsid w:val="00493625"/>
    <w:rPr>
      <w:rFonts w:ascii="Consolas" w:hAnsi="Consolas" w:cs="Consolas"/>
      <w:sz w:val="20"/>
      <w:szCs w:val="20"/>
    </w:rPr>
  </w:style>
  <w:style w:type="character" w:styleId="HTMLVariable">
    <w:name w:val="HTML Variable"/>
    <w:basedOn w:val="DefaultParagraphFont"/>
    <w:uiPriority w:val="98"/>
    <w:semiHidden/>
    <w:rsid w:val="00493625"/>
    <w:rPr>
      <w:i/>
      <w:iCs/>
    </w:rPr>
  </w:style>
  <w:style w:type="paragraph" w:styleId="Index1">
    <w:name w:val="index 1"/>
    <w:basedOn w:val="Normal"/>
    <w:next w:val="Normal"/>
    <w:autoRedefine/>
    <w:uiPriority w:val="98"/>
    <w:semiHidden/>
    <w:rsid w:val="00493625"/>
    <w:pPr>
      <w:ind w:left="240" w:hanging="240"/>
    </w:pPr>
  </w:style>
  <w:style w:type="paragraph" w:styleId="Index2">
    <w:name w:val="index 2"/>
    <w:basedOn w:val="Normal"/>
    <w:next w:val="Normal"/>
    <w:autoRedefine/>
    <w:uiPriority w:val="98"/>
    <w:semiHidden/>
    <w:rsid w:val="00493625"/>
    <w:pPr>
      <w:ind w:left="480" w:hanging="240"/>
    </w:pPr>
  </w:style>
  <w:style w:type="paragraph" w:styleId="Index3">
    <w:name w:val="index 3"/>
    <w:basedOn w:val="Normal"/>
    <w:next w:val="Normal"/>
    <w:autoRedefine/>
    <w:uiPriority w:val="98"/>
    <w:semiHidden/>
    <w:rsid w:val="00493625"/>
    <w:pPr>
      <w:ind w:left="720" w:hanging="240"/>
    </w:pPr>
  </w:style>
  <w:style w:type="paragraph" w:styleId="Index4">
    <w:name w:val="index 4"/>
    <w:basedOn w:val="Normal"/>
    <w:next w:val="Normal"/>
    <w:autoRedefine/>
    <w:uiPriority w:val="98"/>
    <w:semiHidden/>
    <w:rsid w:val="00493625"/>
    <w:pPr>
      <w:ind w:left="960" w:hanging="240"/>
    </w:pPr>
  </w:style>
  <w:style w:type="paragraph" w:styleId="Index5">
    <w:name w:val="index 5"/>
    <w:basedOn w:val="Normal"/>
    <w:next w:val="Normal"/>
    <w:autoRedefine/>
    <w:uiPriority w:val="98"/>
    <w:semiHidden/>
    <w:rsid w:val="00493625"/>
    <w:pPr>
      <w:ind w:left="1200" w:hanging="240"/>
    </w:pPr>
  </w:style>
  <w:style w:type="paragraph" w:styleId="Index6">
    <w:name w:val="index 6"/>
    <w:basedOn w:val="Normal"/>
    <w:next w:val="Normal"/>
    <w:autoRedefine/>
    <w:uiPriority w:val="98"/>
    <w:semiHidden/>
    <w:rsid w:val="00493625"/>
    <w:pPr>
      <w:ind w:left="1440" w:hanging="240"/>
    </w:pPr>
  </w:style>
  <w:style w:type="paragraph" w:styleId="Index7">
    <w:name w:val="index 7"/>
    <w:basedOn w:val="Normal"/>
    <w:next w:val="Normal"/>
    <w:autoRedefine/>
    <w:uiPriority w:val="98"/>
    <w:semiHidden/>
    <w:rsid w:val="00493625"/>
    <w:pPr>
      <w:ind w:left="1680" w:hanging="240"/>
    </w:pPr>
  </w:style>
  <w:style w:type="paragraph" w:styleId="Index8">
    <w:name w:val="index 8"/>
    <w:basedOn w:val="Normal"/>
    <w:next w:val="Normal"/>
    <w:autoRedefine/>
    <w:uiPriority w:val="98"/>
    <w:semiHidden/>
    <w:rsid w:val="00493625"/>
    <w:pPr>
      <w:ind w:left="1920" w:hanging="240"/>
    </w:pPr>
  </w:style>
  <w:style w:type="paragraph" w:styleId="Index9">
    <w:name w:val="index 9"/>
    <w:basedOn w:val="Normal"/>
    <w:next w:val="Normal"/>
    <w:autoRedefine/>
    <w:uiPriority w:val="98"/>
    <w:semiHidden/>
    <w:rsid w:val="00493625"/>
    <w:pPr>
      <w:ind w:left="2160" w:hanging="240"/>
    </w:pPr>
  </w:style>
  <w:style w:type="paragraph" w:styleId="IndexHeading">
    <w:name w:val="index heading"/>
    <w:basedOn w:val="Normal"/>
    <w:next w:val="Index1"/>
    <w:uiPriority w:val="98"/>
    <w:semiHidden/>
    <w:rsid w:val="00493625"/>
    <w:rPr>
      <w:rFonts w:asciiTheme="majorHAnsi" w:eastAsiaTheme="majorEastAsia" w:hAnsiTheme="majorHAnsi" w:cstheme="majorBidi"/>
      <w:b/>
      <w:bCs/>
    </w:rPr>
  </w:style>
  <w:style w:type="table" w:styleId="LightGrid">
    <w:name w:val="Light Grid"/>
    <w:basedOn w:val="TableNormal"/>
    <w:uiPriority w:val="62"/>
    <w:semiHidden/>
    <w:rsid w:val="0049362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9362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9362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9362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49362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9362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9362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9362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9362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9362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9362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49362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9362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9362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9362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9362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9362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9362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49362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9362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9362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93625"/>
  </w:style>
  <w:style w:type="paragraph" w:styleId="List">
    <w:name w:val="List"/>
    <w:basedOn w:val="Normal"/>
    <w:uiPriority w:val="98"/>
    <w:semiHidden/>
    <w:rsid w:val="00493625"/>
    <w:pPr>
      <w:ind w:left="283" w:hanging="283"/>
      <w:contextualSpacing/>
    </w:pPr>
  </w:style>
  <w:style w:type="paragraph" w:styleId="List2">
    <w:name w:val="List 2"/>
    <w:basedOn w:val="Normal"/>
    <w:uiPriority w:val="98"/>
    <w:semiHidden/>
    <w:rsid w:val="00493625"/>
    <w:pPr>
      <w:ind w:left="566" w:hanging="283"/>
      <w:contextualSpacing/>
    </w:pPr>
  </w:style>
  <w:style w:type="paragraph" w:styleId="List3">
    <w:name w:val="List 3"/>
    <w:basedOn w:val="Normal"/>
    <w:uiPriority w:val="98"/>
    <w:semiHidden/>
    <w:rsid w:val="00493625"/>
    <w:pPr>
      <w:ind w:left="849" w:hanging="283"/>
      <w:contextualSpacing/>
    </w:pPr>
  </w:style>
  <w:style w:type="paragraph" w:styleId="List4">
    <w:name w:val="List 4"/>
    <w:basedOn w:val="Normal"/>
    <w:uiPriority w:val="98"/>
    <w:semiHidden/>
    <w:rsid w:val="00493625"/>
    <w:pPr>
      <w:ind w:left="1132" w:hanging="283"/>
      <w:contextualSpacing/>
    </w:pPr>
  </w:style>
  <w:style w:type="paragraph" w:styleId="List5">
    <w:name w:val="List 5"/>
    <w:basedOn w:val="Normal"/>
    <w:uiPriority w:val="98"/>
    <w:semiHidden/>
    <w:rsid w:val="00493625"/>
    <w:pPr>
      <w:ind w:left="1415" w:hanging="283"/>
      <w:contextualSpacing/>
    </w:pPr>
  </w:style>
  <w:style w:type="paragraph" w:styleId="ListBullet2">
    <w:name w:val="List Bullet 2"/>
    <w:basedOn w:val="Normal"/>
    <w:uiPriority w:val="98"/>
    <w:semiHidden/>
    <w:rsid w:val="00493625"/>
    <w:pPr>
      <w:numPr>
        <w:numId w:val="12"/>
      </w:numPr>
      <w:contextualSpacing/>
    </w:pPr>
  </w:style>
  <w:style w:type="paragraph" w:styleId="ListBullet4">
    <w:name w:val="List Bullet 4"/>
    <w:basedOn w:val="Normal"/>
    <w:uiPriority w:val="98"/>
    <w:semiHidden/>
    <w:rsid w:val="00493625"/>
    <w:pPr>
      <w:numPr>
        <w:numId w:val="14"/>
      </w:numPr>
      <w:contextualSpacing/>
    </w:pPr>
  </w:style>
  <w:style w:type="paragraph" w:styleId="ListBullet5">
    <w:name w:val="List Bullet 5"/>
    <w:basedOn w:val="Normal"/>
    <w:uiPriority w:val="98"/>
    <w:semiHidden/>
    <w:rsid w:val="00493625"/>
    <w:pPr>
      <w:numPr>
        <w:numId w:val="15"/>
      </w:numPr>
      <w:contextualSpacing/>
    </w:pPr>
  </w:style>
  <w:style w:type="paragraph" w:styleId="ListContinue">
    <w:name w:val="List Continue"/>
    <w:basedOn w:val="Normal"/>
    <w:uiPriority w:val="98"/>
    <w:semiHidden/>
    <w:rsid w:val="00493625"/>
    <w:pPr>
      <w:spacing w:after="120"/>
      <w:ind w:left="283"/>
      <w:contextualSpacing/>
    </w:pPr>
  </w:style>
  <w:style w:type="paragraph" w:styleId="ListContinue2">
    <w:name w:val="List Continue 2"/>
    <w:basedOn w:val="Normal"/>
    <w:uiPriority w:val="98"/>
    <w:semiHidden/>
    <w:rsid w:val="00493625"/>
    <w:pPr>
      <w:spacing w:after="120"/>
      <w:ind w:left="566"/>
      <w:contextualSpacing/>
    </w:pPr>
  </w:style>
  <w:style w:type="paragraph" w:styleId="ListContinue3">
    <w:name w:val="List Continue 3"/>
    <w:basedOn w:val="Normal"/>
    <w:uiPriority w:val="98"/>
    <w:semiHidden/>
    <w:rsid w:val="00493625"/>
    <w:pPr>
      <w:spacing w:after="120"/>
      <w:ind w:left="849"/>
      <w:contextualSpacing/>
    </w:pPr>
  </w:style>
  <w:style w:type="paragraph" w:styleId="ListContinue4">
    <w:name w:val="List Continue 4"/>
    <w:basedOn w:val="Normal"/>
    <w:uiPriority w:val="98"/>
    <w:semiHidden/>
    <w:rsid w:val="00493625"/>
    <w:pPr>
      <w:spacing w:after="120"/>
      <w:ind w:left="1132"/>
      <w:contextualSpacing/>
    </w:pPr>
  </w:style>
  <w:style w:type="paragraph" w:styleId="ListContinue5">
    <w:name w:val="List Continue 5"/>
    <w:basedOn w:val="Normal"/>
    <w:uiPriority w:val="98"/>
    <w:semiHidden/>
    <w:rsid w:val="00493625"/>
    <w:pPr>
      <w:spacing w:after="120"/>
      <w:ind w:left="1415"/>
      <w:contextualSpacing/>
    </w:pPr>
  </w:style>
  <w:style w:type="paragraph" w:styleId="ListNumber">
    <w:name w:val="List Number"/>
    <w:basedOn w:val="Normal"/>
    <w:uiPriority w:val="98"/>
    <w:semiHidden/>
    <w:rsid w:val="00493625"/>
    <w:pPr>
      <w:numPr>
        <w:numId w:val="16"/>
      </w:numPr>
      <w:contextualSpacing/>
    </w:pPr>
  </w:style>
  <w:style w:type="paragraph" w:styleId="ListNumber2">
    <w:name w:val="List Number 2"/>
    <w:basedOn w:val="Normal"/>
    <w:uiPriority w:val="98"/>
    <w:semiHidden/>
    <w:rsid w:val="00493625"/>
    <w:pPr>
      <w:numPr>
        <w:numId w:val="17"/>
      </w:numPr>
      <w:contextualSpacing/>
    </w:pPr>
  </w:style>
  <w:style w:type="paragraph" w:styleId="ListNumber3">
    <w:name w:val="List Number 3"/>
    <w:basedOn w:val="Normal"/>
    <w:uiPriority w:val="98"/>
    <w:semiHidden/>
    <w:rsid w:val="00493625"/>
    <w:pPr>
      <w:numPr>
        <w:numId w:val="18"/>
      </w:numPr>
      <w:contextualSpacing/>
    </w:pPr>
  </w:style>
  <w:style w:type="paragraph" w:styleId="ListNumber4">
    <w:name w:val="List Number 4"/>
    <w:basedOn w:val="Normal"/>
    <w:uiPriority w:val="98"/>
    <w:semiHidden/>
    <w:rsid w:val="00493625"/>
    <w:pPr>
      <w:numPr>
        <w:numId w:val="19"/>
      </w:numPr>
      <w:contextualSpacing/>
    </w:pPr>
  </w:style>
  <w:style w:type="paragraph" w:styleId="ListNumber5">
    <w:name w:val="List Number 5"/>
    <w:basedOn w:val="Normal"/>
    <w:uiPriority w:val="98"/>
    <w:semiHidden/>
    <w:rsid w:val="00493625"/>
    <w:pPr>
      <w:numPr>
        <w:numId w:val="20"/>
      </w:numPr>
      <w:contextualSpacing/>
    </w:pPr>
  </w:style>
  <w:style w:type="paragraph" w:styleId="MacroText">
    <w:name w:val="macro"/>
    <w:link w:val="MacroTextChar"/>
    <w:uiPriority w:val="98"/>
    <w:semiHidden/>
    <w:rsid w:val="0049362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93625"/>
    <w:rPr>
      <w:rFonts w:ascii="Consolas" w:eastAsiaTheme="minorEastAsia" w:hAnsi="Consolas" w:cs="Consolas"/>
      <w:sz w:val="20"/>
      <w:szCs w:val="20"/>
    </w:rPr>
  </w:style>
  <w:style w:type="table" w:styleId="MediumGrid1">
    <w:name w:val="Medium Grid 1"/>
    <w:basedOn w:val="TableNormal"/>
    <w:uiPriority w:val="67"/>
    <w:semiHidden/>
    <w:rsid w:val="0049362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9362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9362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9362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49362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9362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9362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9362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49362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9362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9362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9362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49362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9362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9362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9362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49362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9362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9362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9362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9362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9362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9362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9362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936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93625"/>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493625"/>
    <w:rPr>
      <w:rFonts w:ascii="Times New Roman" w:hAnsi="Times New Roman" w:cs="Times New Roman"/>
    </w:rPr>
  </w:style>
  <w:style w:type="paragraph" w:styleId="NormalIndent">
    <w:name w:val="Normal Indent"/>
    <w:basedOn w:val="Normal"/>
    <w:uiPriority w:val="98"/>
    <w:semiHidden/>
    <w:rsid w:val="00493625"/>
    <w:pPr>
      <w:ind w:left="720"/>
    </w:pPr>
  </w:style>
  <w:style w:type="paragraph" w:customStyle="1" w:styleId="ECHRBullet2">
    <w:name w:val="ECHR_Bullet_2"/>
    <w:aliases w:val="_Bul_2"/>
    <w:basedOn w:val="ECHRBullet1"/>
    <w:uiPriority w:val="23"/>
    <w:semiHidden/>
    <w:rsid w:val="00493625"/>
    <w:pPr>
      <w:numPr>
        <w:ilvl w:val="1"/>
      </w:numPr>
    </w:pPr>
  </w:style>
  <w:style w:type="paragraph" w:customStyle="1" w:styleId="ECHRBullet3">
    <w:name w:val="ECHR_Bullet_3"/>
    <w:aliases w:val="_Bul_3"/>
    <w:basedOn w:val="ECHRBullet2"/>
    <w:uiPriority w:val="23"/>
    <w:semiHidden/>
    <w:rsid w:val="00493625"/>
    <w:pPr>
      <w:numPr>
        <w:ilvl w:val="2"/>
      </w:numPr>
    </w:pPr>
  </w:style>
  <w:style w:type="character" w:styleId="PlaceholderText">
    <w:name w:val="Placeholder Text"/>
    <w:basedOn w:val="DefaultParagraphFont"/>
    <w:uiPriority w:val="98"/>
    <w:rsid w:val="0049362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93625"/>
    <w:rPr>
      <w:rFonts w:ascii="Consolas" w:hAnsi="Consolas" w:cs="Consolas"/>
      <w:sz w:val="21"/>
      <w:szCs w:val="21"/>
    </w:rPr>
  </w:style>
  <w:style w:type="character" w:customStyle="1" w:styleId="PlainTextChar">
    <w:name w:val="Plain Text Char"/>
    <w:basedOn w:val="DefaultParagraphFont"/>
    <w:link w:val="PlainText"/>
    <w:uiPriority w:val="98"/>
    <w:semiHidden/>
    <w:rsid w:val="00493625"/>
    <w:rPr>
      <w:rFonts w:ascii="Consolas" w:hAnsi="Consolas" w:cs="Consolas"/>
      <w:sz w:val="21"/>
      <w:szCs w:val="21"/>
      <w:lang w:val="ro-RO"/>
    </w:rPr>
  </w:style>
  <w:style w:type="paragraph" w:styleId="Salutation">
    <w:name w:val="Salutation"/>
    <w:basedOn w:val="Normal"/>
    <w:next w:val="Normal"/>
    <w:link w:val="SalutationChar"/>
    <w:uiPriority w:val="98"/>
    <w:semiHidden/>
    <w:rsid w:val="00493625"/>
  </w:style>
  <w:style w:type="character" w:customStyle="1" w:styleId="SalutationChar">
    <w:name w:val="Salutation Char"/>
    <w:basedOn w:val="DefaultParagraphFont"/>
    <w:link w:val="Salutation"/>
    <w:uiPriority w:val="98"/>
    <w:semiHidden/>
    <w:rsid w:val="00493625"/>
    <w:rPr>
      <w:sz w:val="24"/>
      <w:szCs w:val="24"/>
      <w:lang w:val="ro-RO"/>
    </w:rPr>
  </w:style>
  <w:style w:type="paragraph" w:styleId="Signature">
    <w:name w:val="Signature"/>
    <w:basedOn w:val="Normal"/>
    <w:link w:val="SignatureChar"/>
    <w:uiPriority w:val="98"/>
    <w:semiHidden/>
    <w:rsid w:val="00493625"/>
    <w:pPr>
      <w:ind w:left="4252"/>
    </w:pPr>
  </w:style>
  <w:style w:type="character" w:customStyle="1" w:styleId="SignatureChar">
    <w:name w:val="Signature Char"/>
    <w:basedOn w:val="DefaultParagraphFont"/>
    <w:link w:val="Signature"/>
    <w:uiPriority w:val="98"/>
    <w:semiHidden/>
    <w:rsid w:val="00493625"/>
    <w:rPr>
      <w:sz w:val="24"/>
      <w:szCs w:val="24"/>
      <w:lang w:val="ro-RO"/>
    </w:rPr>
  </w:style>
  <w:style w:type="table" w:styleId="Table3Deffects1">
    <w:name w:val="Table 3D effects 1"/>
    <w:basedOn w:val="TableNormal"/>
    <w:uiPriority w:val="99"/>
    <w:semiHidden/>
    <w:unhideWhenUsed/>
    <w:rsid w:val="0049362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9362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9362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9362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9362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9362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9362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9362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9362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9362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9362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9362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9362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9362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9362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9362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9362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9362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9362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9362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9362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9362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9362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9362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9362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9362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9362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9362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9362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9362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93625"/>
    <w:pPr>
      <w:ind w:left="240" w:hanging="240"/>
    </w:pPr>
  </w:style>
  <w:style w:type="paragraph" w:styleId="TableofFigures">
    <w:name w:val="table of figures"/>
    <w:basedOn w:val="Normal"/>
    <w:next w:val="Normal"/>
    <w:uiPriority w:val="98"/>
    <w:semiHidden/>
    <w:rsid w:val="00493625"/>
  </w:style>
  <w:style w:type="table" w:styleId="TableProfessional">
    <w:name w:val="Table Professional"/>
    <w:basedOn w:val="TableNormal"/>
    <w:uiPriority w:val="99"/>
    <w:semiHidden/>
    <w:unhideWhenUsed/>
    <w:rsid w:val="0049362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9362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9362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9362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9362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9362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9362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9362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9362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9362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uiPriority w:val="39"/>
    <w:rsid w:val="00DE4BFE"/>
    <w:pPr>
      <w:tabs>
        <w:tab w:val="right" w:leader="dot" w:pos="7371"/>
      </w:tabs>
      <w:spacing w:after="60" w:line="240" w:lineRule="exact"/>
      <w:ind w:left="2041" w:hanging="340"/>
    </w:pPr>
    <w:rPr>
      <w:sz w:val="18"/>
    </w:rPr>
  </w:style>
  <w:style w:type="paragraph" w:styleId="TOC7">
    <w:name w:val="toc 7"/>
    <w:basedOn w:val="Normal"/>
    <w:next w:val="Normal"/>
    <w:uiPriority w:val="39"/>
    <w:rsid w:val="00DE4BFE"/>
    <w:pPr>
      <w:tabs>
        <w:tab w:val="right" w:leader="dot" w:pos="7371"/>
      </w:tabs>
      <w:spacing w:after="60" w:line="240" w:lineRule="exact"/>
      <w:ind w:left="2381" w:hanging="340"/>
    </w:pPr>
    <w:rPr>
      <w:sz w:val="18"/>
    </w:rPr>
  </w:style>
  <w:style w:type="paragraph" w:styleId="TOC8">
    <w:name w:val="toc 8"/>
    <w:basedOn w:val="Normal"/>
    <w:next w:val="Normal"/>
    <w:uiPriority w:val="39"/>
    <w:rsid w:val="00634BB3"/>
    <w:pPr>
      <w:tabs>
        <w:tab w:val="right" w:leader="dot" w:pos="7348"/>
      </w:tabs>
      <w:spacing w:after="100"/>
      <w:ind w:left="2721" w:hanging="340"/>
    </w:pPr>
    <w:rPr>
      <w:rFonts w:ascii="Times New Roman" w:hAnsi="Times New Roman" w:cs="Times New Roman"/>
      <w:noProof/>
      <w:sz w:val="18"/>
      <w:lang w:bidi="en-US"/>
    </w:rPr>
  </w:style>
  <w:style w:type="paragraph" w:styleId="TOC9">
    <w:name w:val="toc 9"/>
    <w:basedOn w:val="Normal"/>
    <w:next w:val="Normal"/>
    <w:autoRedefine/>
    <w:uiPriority w:val="39"/>
    <w:rsid w:val="00493625"/>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49362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493625"/>
    <w:pPr>
      <w:keepNext/>
      <w:keepLines/>
      <w:spacing w:after="280"/>
      <w:ind w:firstLine="0"/>
      <w:jc w:val="center"/>
    </w:pPr>
    <w:rPr>
      <w:rFonts w:asciiTheme="majorHAnsi" w:hAnsiTheme="majorHAnsi"/>
    </w:rPr>
  </w:style>
  <w:style w:type="paragraph" w:customStyle="1" w:styleId="ECHRBullet4">
    <w:name w:val="ECHR_Bullet_4"/>
    <w:aliases w:val="_Bul_4"/>
    <w:basedOn w:val="ECHRBullet3"/>
    <w:uiPriority w:val="23"/>
    <w:semiHidden/>
    <w:rsid w:val="00493625"/>
    <w:pPr>
      <w:numPr>
        <w:ilvl w:val="3"/>
      </w:numPr>
    </w:pPr>
  </w:style>
  <w:style w:type="paragraph" w:customStyle="1" w:styleId="ECHRConfidential">
    <w:name w:val="ECHR_Confidential"/>
    <w:aliases w:val="_Confidential"/>
    <w:basedOn w:val="Normal"/>
    <w:next w:val="Normal"/>
    <w:uiPriority w:val="42"/>
    <w:semiHidden/>
    <w:qFormat/>
    <w:rsid w:val="00493625"/>
    <w:pPr>
      <w:jc w:val="right"/>
    </w:pPr>
    <w:rPr>
      <w:color w:val="C00000"/>
      <w:sz w:val="20"/>
    </w:rPr>
  </w:style>
  <w:style w:type="paragraph" w:customStyle="1" w:styleId="ECHRDecisionBody">
    <w:name w:val="ECHR_Decision_Body"/>
    <w:aliases w:val="_Decision_Body"/>
    <w:basedOn w:val="NormalJustified"/>
    <w:uiPriority w:val="54"/>
    <w:semiHidden/>
    <w:rsid w:val="0049362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9362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93625"/>
    <w:rPr>
      <w:rFonts w:ascii="Arial" w:hAnsi="Arial"/>
      <w:i/>
      <w:color w:val="002856"/>
      <w:sz w:val="32"/>
      <w:szCs w:val="24"/>
      <w:lang w:val="ro-RO"/>
    </w:rPr>
  </w:style>
  <w:style w:type="paragraph" w:customStyle="1" w:styleId="DummyStyle">
    <w:name w:val="Dummy_Style"/>
    <w:aliases w:val="_Dummy"/>
    <w:basedOn w:val="Normal"/>
    <w:semiHidden/>
    <w:qFormat/>
    <w:rsid w:val="00493625"/>
    <w:rPr>
      <w:color w:val="00B050"/>
      <w:sz w:val="22"/>
    </w:rPr>
  </w:style>
  <w:style w:type="paragraph" w:customStyle="1" w:styleId="ECHRFooterLineLandscape">
    <w:name w:val="ECHR_Footer_Line_Landscape"/>
    <w:aliases w:val="_Footer_Line_Landscape"/>
    <w:basedOn w:val="Normal"/>
    <w:uiPriority w:val="30"/>
    <w:semiHidden/>
    <w:rsid w:val="0049362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493625"/>
    <w:pPr>
      <w:ind w:left="567" w:hanging="567"/>
    </w:pPr>
  </w:style>
  <w:style w:type="paragraph" w:customStyle="1" w:styleId="ECHRHeading9">
    <w:name w:val="ECHR_Heading_9"/>
    <w:aliases w:val="_Head_9"/>
    <w:basedOn w:val="Heading9"/>
    <w:uiPriority w:val="17"/>
    <w:semiHidden/>
    <w:rsid w:val="00493625"/>
    <w:pPr>
      <w:keepNext/>
      <w:keepLines/>
      <w:numPr>
        <w:ilvl w:val="8"/>
        <w:numId w:val="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493625"/>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493625"/>
    <w:pPr>
      <w:spacing w:before="120" w:after="120"/>
      <w:ind w:left="284"/>
    </w:pPr>
  </w:style>
  <w:style w:type="paragraph" w:customStyle="1" w:styleId="ECHRLine">
    <w:name w:val="ECHR_Line"/>
    <w:aliases w:val="_Line"/>
    <w:basedOn w:val="NormalJustified"/>
    <w:next w:val="Normal"/>
    <w:uiPriority w:val="46"/>
    <w:semiHidden/>
    <w:rsid w:val="00493625"/>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493625"/>
    <w:pPr>
      <w:numPr>
        <w:numId w:val="0"/>
      </w:numPr>
      <w:ind w:left="284"/>
    </w:pPr>
  </w:style>
  <w:style w:type="paragraph" w:customStyle="1" w:styleId="ECHRNumberedList1">
    <w:name w:val="ECHR_Numbered_List_1"/>
    <w:aliases w:val="_Num_1"/>
    <w:basedOn w:val="NormalJustified"/>
    <w:uiPriority w:val="23"/>
    <w:semiHidden/>
    <w:qFormat/>
    <w:rsid w:val="00493625"/>
    <w:pPr>
      <w:numPr>
        <w:numId w:val="8"/>
      </w:numPr>
      <w:spacing w:before="60" w:after="60"/>
    </w:pPr>
  </w:style>
  <w:style w:type="paragraph" w:customStyle="1" w:styleId="ECHRNumberedList2">
    <w:name w:val="ECHR_Numbered_List_2"/>
    <w:aliases w:val="_Num_2"/>
    <w:basedOn w:val="ECHRNumberedList1"/>
    <w:uiPriority w:val="23"/>
    <w:semiHidden/>
    <w:rsid w:val="00493625"/>
    <w:pPr>
      <w:numPr>
        <w:ilvl w:val="1"/>
      </w:numPr>
    </w:pPr>
  </w:style>
  <w:style w:type="paragraph" w:customStyle="1" w:styleId="ECHRNumberedList3">
    <w:name w:val="ECHR_Numbered_List_3"/>
    <w:aliases w:val="_Num_3"/>
    <w:basedOn w:val="ECHRNumberedList2"/>
    <w:uiPriority w:val="23"/>
    <w:semiHidden/>
    <w:rsid w:val="00493625"/>
    <w:pPr>
      <w:numPr>
        <w:ilvl w:val="2"/>
      </w:numPr>
    </w:pPr>
  </w:style>
  <w:style w:type="paragraph" w:customStyle="1" w:styleId="ECHRPlaceholder">
    <w:name w:val="ECHR_Placeholder"/>
    <w:aliases w:val="_Placeholder"/>
    <w:basedOn w:val="JuSigned"/>
    <w:uiPriority w:val="31"/>
    <w:rsid w:val="00493625"/>
    <w:rPr>
      <w:color w:val="FFFFFF"/>
    </w:rPr>
  </w:style>
  <w:style w:type="character" w:customStyle="1" w:styleId="ECHRRed">
    <w:name w:val="ECHR_Red"/>
    <w:aliases w:val="_Red"/>
    <w:basedOn w:val="DefaultParagraphFont"/>
    <w:uiPriority w:val="15"/>
    <w:semiHidden/>
    <w:qFormat/>
    <w:rsid w:val="00493625"/>
    <w:rPr>
      <w:color w:val="C00000" w:themeColor="accent2"/>
    </w:rPr>
  </w:style>
  <w:style w:type="paragraph" w:customStyle="1" w:styleId="ECHRHeaderDate">
    <w:name w:val="ECHR_Header_Date"/>
    <w:aliases w:val="_Ref_Date"/>
    <w:basedOn w:val="Normal"/>
    <w:uiPriority w:val="44"/>
    <w:semiHidden/>
    <w:qFormat/>
    <w:rsid w:val="00493625"/>
    <w:pPr>
      <w:jc w:val="right"/>
    </w:pPr>
    <w:rPr>
      <w:sz w:val="20"/>
    </w:rPr>
  </w:style>
  <w:style w:type="paragraph" w:customStyle="1" w:styleId="ECHRHeaderRefIt">
    <w:name w:val="ECHR_Header_Ref_It"/>
    <w:aliases w:val="_Ref_Ital"/>
    <w:basedOn w:val="Normal"/>
    <w:next w:val="ECHRHeaderDate"/>
    <w:uiPriority w:val="43"/>
    <w:qFormat/>
    <w:rsid w:val="00493625"/>
    <w:pPr>
      <w:jc w:val="right"/>
    </w:pPr>
    <w:rPr>
      <w:i/>
      <w:sz w:val="20"/>
    </w:rPr>
  </w:style>
  <w:style w:type="paragraph" w:customStyle="1" w:styleId="ECHRSpacer">
    <w:name w:val="ECHR_Spacer"/>
    <w:aliases w:val="_Spacer"/>
    <w:basedOn w:val="Normal"/>
    <w:uiPriority w:val="45"/>
    <w:semiHidden/>
    <w:rsid w:val="00493625"/>
    <w:rPr>
      <w:sz w:val="4"/>
    </w:rPr>
  </w:style>
  <w:style w:type="paragraph" w:customStyle="1" w:styleId="ECHRTitleCentre1">
    <w:name w:val="ECHR_Title_Centre_1"/>
    <w:aliases w:val="_Title_C_1"/>
    <w:basedOn w:val="Normal"/>
    <w:next w:val="Normal"/>
    <w:uiPriority w:val="26"/>
    <w:semiHidden/>
    <w:qFormat/>
    <w:rsid w:val="0049362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49362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49362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493625"/>
    <w:pPr>
      <w:outlineLvl w:val="0"/>
    </w:pPr>
  </w:style>
  <w:style w:type="paragraph" w:customStyle="1" w:styleId="ECHRTitle1">
    <w:name w:val="ECHR_Title_1"/>
    <w:aliases w:val="_Title_L_1"/>
    <w:basedOn w:val="Normal"/>
    <w:next w:val="Normal"/>
    <w:uiPriority w:val="28"/>
    <w:semiHidden/>
    <w:qFormat/>
    <w:rsid w:val="0049362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49362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49362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493625"/>
    <w:pPr>
      <w:outlineLvl w:val="0"/>
    </w:pPr>
  </w:style>
  <w:style w:type="table" w:customStyle="1" w:styleId="ECHRTable2">
    <w:name w:val="ECHR_Table_2"/>
    <w:basedOn w:val="TableNormal"/>
    <w:uiPriority w:val="99"/>
    <w:rsid w:val="0049362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9362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49362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paragraph" w:styleId="NoteHeading">
    <w:name w:val="Note Heading"/>
    <w:basedOn w:val="Normal"/>
    <w:next w:val="Normal"/>
    <w:link w:val="NoteHeadingChar"/>
    <w:uiPriority w:val="98"/>
    <w:semiHidden/>
    <w:rsid w:val="00493625"/>
  </w:style>
  <w:style w:type="character" w:customStyle="1" w:styleId="NoteHeadingChar">
    <w:name w:val="Note Heading Char"/>
    <w:basedOn w:val="DefaultParagraphFont"/>
    <w:link w:val="NoteHeading"/>
    <w:uiPriority w:val="98"/>
    <w:semiHidden/>
    <w:rsid w:val="00493625"/>
    <w:rPr>
      <w:sz w:val="24"/>
      <w:szCs w:val="24"/>
      <w:lang w:val="ro-RO"/>
    </w:rPr>
  </w:style>
  <w:style w:type="table" w:styleId="GridTable1Light">
    <w:name w:val="Grid Table 1 Light"/>
    <w:basedOn w:val="TableNormal"/>
    <w:uiPriority w:val="46"/>
    <w:rsid w:val="00F553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530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5530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5530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5530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5530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5530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5530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5530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F5530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F5530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F5530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F5530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F5530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F5530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F5530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F5530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5530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F5530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F5530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F5530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F5530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F5530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F55300"/>
    <w:rPr>
      <w:color w:val="2B579A"/>
      <w:shd w:val="clear" w:color="auto" w:fill="E1DFDD"/>
    </w:rPr>
  </w:style>
  <w:style w:type="table" w:styleId="ListTable1Light">
    <w:name w:val="List Table 1 Light"/>
    <w:basedOn w:val="TableNormal"/>
    <w:uiPriority w:val="46"/>
    <w:rsid w:val="00F5530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5530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F5530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F5530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F5530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F5530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F5530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F5530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5530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F5530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F5530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F5530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F5530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F5530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F553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5530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F5530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F5530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F5530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F5530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F5530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F5530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5530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F5530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F5530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F5530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F5530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F5530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F5530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5530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5530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5530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5530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5530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5530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5530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5530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F5530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F5530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F5530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F5530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F5530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F553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5530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5530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5530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5530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5530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5530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F55300"/>
    <w:rPr>
      <w:color w:val="2B579A"/>
      <w:shd w:val="clear" w:color="auto" w:fill="E1DFDD"/>
    </w:rPr>
  </w:style>
  <w:style w:type="table" w:styleId="PlainTable1">
    <w:name w:val="Plain Table 1"/>
    <w:basedOn w:val="TableNormal"/>
    <w:uiPriority w:val="41"/>
    <w:rsid w:val="00F5530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F553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5530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5530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F5530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F55300"/>
    <w:rPr>
      <w:u w:val="dotted"/>
    </w:rPr>
  </w:style>
  <w:style w:type="character" w:customStyle="1" w:styleId="SmartLink">
    <w:name w:val="Smart Link"/>
    <w:basedOn w:val="DefaultParagraphFont"/>
    <w:uiPriority w:val="99"/>
    <w:semiHidden/>
    <w:unhideWhenUsed/>
    <w:rsid w:val="00F55300"/>
    <w:rPr>
      <w:color w:val="0000FF"/>
      <w:u w:val="single"/>
      <w:shd w:val="clear" w:color="auto" w:fill="F3F2F1"/>
    </w:rPr>
  </w:style>
  <w:style w:type="table" w:styleId="TableGridLight">
    <w:name w:val="Grid Table Light"/>
    <w:basedOn w:val="TableNormal"/>
    <w:uiPriority w:val="40"/>
    <w:rsid w:val="00F5530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
    <w:name w:val="Unresolved Mention"/>
    <w:basedOn w:val="DefaultParagraphFont"/>
    <w:uiPriority w:val="99"/>
    <w:semiHidden/>
    <w:unhideWhenUsed/>
    <w:rsid w:val="00493625"/>
    <w:rPr>
      <w:color w:val="605E5C"/>
      <w:shd w:val="clear" w:color="auto" w:fill="E1DFDD"/>
    </w:rPr>
  </w:style>
  <w:style w:type="character" w:customStyle="1" w:styleId="JuParaChar">
    <w:name w:val="Ju_Para Char"/>
    <w:aliases w:val="_Para Char"/>
    <w:link w:val="JuPara"/>
    <w:uiPriority w:val="4"/>
    <w:rsid w:val="00DE4BFE"/>
    <w:rPr>
      <w:sz w:val="24"/>
      <w:szCs w:val="24"/>
      <w:lang w:val="ro-RO"/>
    </w:rPr>
  </w:style>
  <w:style w:type="paragraph" w:customStyle="1" w:styleId="JuList4">
    <w:name w:val="Ju_List_4"/>
    <w:aliases w:val="N_Bul_4"/>
    <w:basedOn w:val="JuListi"/>
    <w:uiPriority w:val="19"/>
    <w:rsid w:val="00DE4BFE"/>
    <w:pPr>
      <w:numPr>
        <w:ilvl w:val="0"/>
        <w:numId w:val="0"/>
      </w:numPr>
      <w:tabs>
        <w:tab w:val="num" w:pos="1701"/>
      </w:tabs>
      <w:spacing w:before="60" w:after="60" w:line="240" w:lineRule="exact"/>
      <w:ind w:left="1703" w:hanging="284"/>
      <w:contextualSpacing/>
    </w:pPr>
    <w:rPr>
      <w:sz w:val="22"/>
      <w:lang w:eastAsia="fr-FR"/>
    </w:rPr>
  </w:style>
  <w:style w:type="paragraph" w:styleId="Revision">
    <w:name w:val="Revision"/>
    <w:hidden/>
    <w:uiPriority w:val="99"/>
    <w:semiHidden/>
    <w:rsid w:val="00DE4B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 D 2 . 0 < / C o d e >  
     < T i t l e > D E 2 . 0 a   J U D   S e c t i o n   -   C o v e r   p a g e   ( i f   c o n v e r s i o n   m a c r o   d o e s   n o t   w o r k ) < / T i t l e >  
     < L a n g u a g e s >  
         < s t r i n g > E N G < / s t r i n g >  
     < / L a n g u a g e s >  
     < T y p e > D O C < / T y p e >  
     < C a t e g o r y > A R R < / C a t e g o r y >  
     < D e s c r i p t i o n > D E 2 . 0 a   J U D   S e c t i o n   -   C o v e r   p a g e   ( i f   c o n v e r s i o n   m a c r o   d o e s   n o t   w o r k ) . < / D e s c r i p t i o n >  
     < I n s t r u c t i o n s / >  
     < W a r n i n g s / >  
     < I s L e g a l T e m p l a t e > t r u e < / I s L e g a l T e m p l a t e >  
     < I n d e x D a t e   x s i : n i l = " t r u e " / >  
     < E d i t D a t e   x s i : n i l = " t r u e " / >  
     < T a g s >  
         < s t r i n g > J U D < / s t r i n g >  
         < s t r i n g > c o v e r < / s t r i n g >  
     < / T a g s >  
     < C r i t e r i a G r o u p s >  
         < C r i t e r i a G r o u p >  
             < C r i t e r i a S e r i e s >  
                 < C r i t e r i a S e r i e >  
                     < P r o p e r t y > S o P < / P r o p e r t y >  
                     < V a l u e s >  
                         < s t r i n g > C * < / s t r i n g >  
                         < s t r i n g > D * < / s t r i n g >  
                     < / V a l u e s >  
                 < / C r i t e r i a S e r i e >  
                 < C r i t e r i a S e r i e >  
                     < P r o p e r t y > E v e n t s < / P r o p e r t y >  
                     < V a l u e s >  
                         < s t r i n g > A R R E T * < / s t r i n g >  
                     < / V a l u e s >  
                 < / C r i t e r i a S e r i e >  
             < / C r i t e r i a S e r i e s >  
         < / C r i t e r i a G r o u p > 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2D31C-71A7-4D15-BB3D-7BC8E34F3AF4}">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F27D711E-A2C9-458E-BD65-CB74006D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45294</Words>
  <Characters>262708</Characters>
  <Application>Microsoft Office Word</Application>
  <DocSecurity>0</DocSecurity>
  <Lines>2189</Lines>
  <Paragraphs>614</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307388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cp:lastModifiedBy/>
  <cp:revision>1</cp:revision>
  <dcterms:created xsi:type="dcterms:W3CDTF">2026-04-24T15:18:00Z</dcterms:created>
  <dcterms:modified xsi:type="dcterms:W3CDTF">2026-08-04T16:39:00Z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1797156</vt:lpwstr>
  </property>
  <property fmtid="{D5CDD505-2E9C-101B-9397-08002B2CF9AE}" pid="3" name="cstLanguage">
    <vt:i4>2057</vt:i4>
  </property>
  <property fmtid="{D5CDD505-2E9C-101B-9397-08002B2CF9AE}" pid="4" name="eDOCS AutoSave">
    <vt:lpwstr/>
  </property>
  <property fmtid="{D5CDD505-2E9C-101B-9397-08002B2CF9AE}" pid="5" name="RegisteredNo">
    <vt:lpwstr>45864/22</vt:lpwstr>
  </property>
</Properties>
</file>