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3A5" w:rsidRPr="00AB33A5" w:rsidRDefault="00AB33A5" w:rsidP="00AB33A5">
      <w:pPr>
        <w:pStyle w:val="DecHTitle"/>
        <w:rPr>
          <w:szCs w:val="28"/>
        </w:rPr>
      </w:pPr>
      <w:r>
        <w:t>CURTEA EUROPEANĂ A DREPTURILOR OMULUI</w:t>
      </w:r>
    </w:p>
    <w:p w:rsidR="00AB33A5" w:rsidRPr="00AB33A5" w:rsidRDefault="00AB33A5" w:rsidP="00AB33A5">
      <w:pPr>
        <w:pStyle w:val="DecHTitle"/>
      </w:pPr>
      <w:r>
        <w:t>SECȚIA A PATRA</w:t>
      </w:r>
    </w:p>
    <w:p w:rsidR="00AB33A5" w:rsidRPr="00AB33A5" w:rsidRDefault="00AB33A5" w:rsidP="00AB33A5">
      <w:pPr>
        <w:pStyle w:val="DecHTitle"/>
      </w:pPr>
      <w:r>
        <w:t>DECIZIE</w:t>
      </w:r>
    </w:p>
    <w:p w:rsidR="00AB33A5" w:rsidRPr="00AB33A5" w:rsidRDefault="00AB33A5" w:rsidP="00AB33A5">
      <w:pPr>
        <w:pStyle w:val="DecHCase"/>
      </w:pPr>
      <w:r>
        <w:t>Cererea nr. 10120/23</w:t>
      </w:r>
      <w:r>
        <w:br/>
        <w:t>formulată de Gheorghe-Vasile VĂSCĂUȚANU</w:t>
      </w:r>
      <w:r>
        <w:br/>
        <w:t>împotriva României</w:t>
      </w:r>
    </w:p>
    <w:p w:rsidR="00AB33A5" w:rsidRPr="00AB33A5" w:rsidRDefault="00AB33A5" w:rsidP="00AB33A5">
      <w:pPr>
        <w:pStyle w:val="JuPara"/>
      </w:pPr>
      <w:r>
        <w:t>Curtea Europeană a Drepturilor Omului (Secția a patra), reunită la 18 noiembrie 2025 într-o cameră compusă din:</w:t>
      </w:r>
    </w:p>
    <w:p w:rsidR="00AB33A5" w:rsidRPr="00AB33A5" w:rsidRDefault="00AB33A5" w:rsidP="00AB33A5">
      <w:pPr>
        <w:pStyle w:val="JuJudges"/>
      </w:pPr>
      <w:r>
        <w:tab/>
      </w:r>
      <w:proofErr w:type="spellStart"/>
      <w:r>
        <w:t>Lado</w:t>
      </w:r>
      <w:proofErr w:type="spellEnd"/>
      <w:r>
        <w:t xml:space="preserve"> Chanturia</w:t>
      </w:r>
      <w:r>
        <w:rPr>
          <w:i/>
        </w:rPr>
        <w:t>, președinte</w:t>
      </w:r>
      <w:r>
        <w:t>,</w:t>
      </w:r>
      <w:r>
        <w:br/>
      </w:r>
      <w:r>
        <w:tab/>
      </w:r>
      <w:proofErr w:type="spellStart"/>
      <w:r>
        <w:t>Jolien</w:t>
      </w:r>
      <w:proofErr w:type="spellEnd"/>
      <w:r>
        <w:t xml:space="preserve"> </w:t>
      </w:r>
      <w:proofErr w:type="spellStart"/>
      <w:r>
        <w:t>Schukking</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Guerra </w:t>
      </w:r>
      <w:proofErr w:type="spellStart"/>
      <w:r>
        <w:t>Martins</w:t>
      </w:r>
      <w:proofErr w:type="spellEnd"/>
      <w:r>
        <w:t>,</w:t>
      </w:r>
      <w:r>
        <w:br/>
      </w:r>
      <w:r>
        <w:tab/>
        <w:t>Sebastian Rădulețu,</w:t>
      </w:r>
      <w:r>
        <w:br/>
      </w:r>
      <w:r>
        <w:tab/>
        <w:t xml:space="preserve">András </w:t>
      </w:r>
      <w:proofErr w:type="spellStart"/>
      <w:r>
        <w:t>Jakab</w:t>
      </w:r>
      <w:proofErr w:type="spellEnd"/>
      <w:r>
        <w:rPr>
          <w:i/>
        </w:rPr>
        <w:t>, judecători</w:t>
      </w:r>
      <w:r>
        <w:t>,</w:t>
      </w:r>
    </w:p>
    <w:p w:rsidR="00AB33A5" w:rsidRPr="00AB33A5" w:rsidRDefault="00AB33A5" w:rsidP="00AB33A5">
      <w:pPr>
        <w:pStyle w:val="JuJudges"/>
      </w:pPr>
      <w:r>
        <w:t xml:space="preserve">și Simeon Petrovski, </w:t>
      </w:r>
      <w:r>
        <w:rPr>
          <w:i/>
        </w:rPr>
        <w:t>grefier adjunct de secție</w:t>
      </w:r>
      <w:r>
        <w:t>,</w:t>
      </w:r>
    </w:p>
    <w:p w:rsidR="00AB33A5" w:rsidRPr="00AB33A5" w:rsidRDefault="00AB33A5" w:rsidP="00AB33A5">
      <w:pPr>
        <w:pStyle w:val="JuPara"/>
      </w:pPr>
      <w:r>
        <w:t>având în vedere cererea menționată anterior, introdusă la 20 februarie 2023 și 4 iunie 2024,</w:t>
      </w:r>
    </w:p>
    <w:p w:rsidR="00AB33A5" w:rsidRPr="00AB33A5" w:rsidRDefault="00AB33A5" w:rsidP="00AB33A5">
      <w:pPr>
        <w:pStyle w:val="JuPara"/>
      </w:pPr>
      <w:r>
        <w:t>având în vedere observațiile formulate de Guvernul pârât și cele prezentate ca răspuns de reclamant,</w:t>
      </w:r>
    </w:p>
    <w:p w:rsidR="00AB33A5" w:rsidRPr="00AB33A5" w:rsidRDefault="00AB33A5" w:rsidP="00AB33A5">
      <w:pPr>
        <w:pStyle w:val="JuPara"/>
      </w:pPr>
      <w:r>
        <w:t>după ce a deliberat în acest sens, pronunță următoarea decizie:</w:t>
      </w:r>
    </w:p>
    <w:p w:rsidR="00AB33A5" w:rsidRPr="00AB33A5" w:rsidRDefault="00AB33A5" w:rsidP="00AB33A5">
      <w:pPr>
        <w:pStyle w:val="JuHHead"/>
      </w:pPr>
      <w:r>
        <w:t>INTRODUCERE</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1</w:t>
      </w:r>
      <w:r>
        <w:fldChar w:fldCharType="end"/>
      </w:r>
      <w:r w:rsidR="00C0055C">
        <w:t>.  Prezenta cauză are ca obiect chestiunea caracterului efectiv al unei căi de atac preventive (plângerea adresată judecătorului de supraveghere a privării de libertate) care are scopul de a pune capăt unor situații contrare drepturilor prevăzute la art. 3 din Convenția pentru apărarea drepturilor omului și a libertăților fundamentale („Convenția”) și care este destinată deținuților care susțin că suferă condiții necorespunzătoare de detenție în timpul executării pedepselor lor cu închisoarea.</w:t>
      </w:r>
    </w:p>
    <w:p w:rsidR="00AB33A5" w:rsidRPr="00AB33A5" w:rsidRDefault="00AB33A5" w:rsidP="00AB33A5">
      <w:pPr>
        <w:pStyle w:val="JuHHead"/>
      </w:pPr>
      <w:r>
        <w:lastRenderedPageBreak/>
        <w:t>ÎN FAPT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2</w:t>
      </w:r>
      <w:r>
        <w:fldChar w:fldCharType="end"/>
      </w:r>
      <w:r w:rsidR="00C0055C">
        <w:t>.  Reclamantul, domnul Gheorghe-Vasile Văscăuțanu, este resortisant român, s-a născut în 1986 și este deținut în Craiova. Este reprezentat în fața Curții de D.V. Bocșe, avocat în București. Guvernul a fost reprezentat de agentul guvernamental, doamna O.F. Ezer</w:t>
      </w:r>
      <w:bookmarkStart w:id="0" w:name="_GoBack"/>
      <w:bookmarkEnd w:id="0"/>
      <w:r w:rsidR="00C0055C">
        <w:t>, din cadrul Ministerului Afacerilor Externe.</w:t>
      </w:r>
    </w:p>
    <w:p w:rsidR="00AB33A5" w:rsidRPr="00AB33A5" w:rsidRDefault="00AB33A5" w:rsidP="00AB33A5">
      <w:pPr>
        <w:pStyle w:val="JuHA"/>
        <w:numPr>
          <w:ilvl w:val="0"/>
          <w:numId w:val="0"/>
        </w:numPr>
        <w:ind w:left="510" w:hanging="340"/>
      </w:pPr>
      <w:r>
        <w:t>Circumstanțele cauzei</w:t>
      </w:r>
    </w:p>
    <w:p w:rsidR="00AB33A5" w:rsidRPr="00AB33A5" w:rsidRDefault="00AB33A5" w:rsidP="00AB33A5">
      <w:pPr>
        <w:pStyle w:val="JuH1"/>
      </w:pPr>
      <w:r>
        <w:t>Detenția reclamantului și condițiile materiale ale acesteia</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w:t>
      </w:r>
      <w:r>
        <w:fldChar w:fldCharType="end"/>
      </w:r>
      <w:r w:rsidR="00C0055C">
        <w:t>.  Faptele cauzei, astfel cum au fost expuse de părți, pot fi rezumate după cum urmează.</w:t>
      </w:r>
    </w:p>
    <w:bookmarkStart w:id="1" w:name="para3"/>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w:t>
      </w:r>
      <w:r w:rsidRPr="00AB33A5">
        <w:fldChar w:fldCharType="end"/>
      </w:r>
      <w:bookmarkEnd w:id="1"/>
      <w:r>
        <w:t>.  La 26 februarie 2019, reclamantul a fost arestat preventiv în Centrul de Reținere și Arestare Preventivă Vrancea în cursul unui proces penal, soluționat cu condamnarea sa la pedeapsa detențiunii pe viață pentru omor comis în stare de recidivă. Începând din data de 27 iunie 2019, acesta și-a executat pedeapsa în următoarele penitenciare: Focșani (27 iunie 2019–26 martie 2020), Galați (26 martie 2020–1 octombrie 2023), Craiova (1 octombrie 2023–18 martie 2024), Galați (18–28 martie 2024) și Craiova (28 martie 2024–prezent).</w:t>
      </w:r>
    </w:p>
    <w:bookmarkStart w:id="2" w:name="para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5</w:t>
      </w:r>
      <w:r w:rsidRPr="00AB33A5">
        <w:fldChar w:fldCharType="end"/>
      </w:r>
      <w:bookmarkEnd w:id="2"/>
      <w:r>
        <w:t>.  În formularul inițial de cerere din 20 februarie 2023, reclamantul a denunțat supraaglomerarea din Centrul de Reținere și Arestare Preventivă Vrancea, precum și din Penitenciarele Focșani și Galați.</w:t>
      </w:r>
    </w:p>
    <w:bookmarkStart w:id="3" w:name="para5"/>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6</w:t>
      </w:r>
      <w:r w:rsidRPr="00AB33A5">
        <w:fldChar w:fldCharType="end"/>
      </w:r>
      <w:bookmarkEnd w:id="3"/>
      <w:r>
        <w:t>.  În al doilea formular de cerere, din 4 iunie 2024, reclamantul s-a plâns de condițiile în care este deținut în Penitenciarul Craiova, în special de insuficiența luminii naturale din cauza prezenței unei ferestre prea mici (57 cm x 57 cm) fabricate din sârmă ghimpată și două straturi de plasă, iluminatul slab din camere, prezența mucegaiului (care acoperă o proporție de 80 % din suprafața pereților camerei sale) și de o infestare cu șobolani în cameră care apar pe la locul de branșare a toaletei sale și sunt prezenți în timpul meselor.</w:t>
      </w:r>
    </w:p>
    <w:bookmarkStart w:id="4" w:name="para6"/>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7</w:t>
      </w:r>
      <w:r w:rsidRPr="00AB33A5">
        <w:fldChar w:fldCharType="end"/>
      </w:r>
      <w:bookmarkEnd w:id="4"/>
      <w:r>
        <w:t>.  Potrivit informațiilor furnizate de Administrația Națională a Penitenciarelor („ANP”), în Penitenciarul Galați, reclamantul a dispus, în cea mai mare parte, de un spațiu de locuit cuprins între 3,6 m² și 18 m²: în perioada 26 martie–23 septembrie 2020 de 6 m², în perioada 23 septembrie–6 noiembrie 2020 de 9 m², în perioada 6–20 noiembrie 2020 de 18 m², în perioada 20 noiembrie 2020–1 iulie 2022 de 4,5 m², în perioada 1 iulie–11 august 2022 de 6 m², în perioada 11 august 2022–25 mai 2023 de 3,6 m², în perioada 25 mai–26 iunie 2023 de 6 m², în perioada 26–19 iunie 2023 de 18 m², în perioada 19 iunie–31 iulie 2023 de 9 m², în perioada 31 iulie–1 octombrie 2023 de 3,6 m² și în perioada 18–28 martie 2024 de 18 m².</w:t>
      </w:r>
    </w:p>
    <w:p w:rsidR="00AB33A5" w:rsidRPr="00AB33A5" w:rsidRDefault="008D6FED" w:rsidP="00AB33A5">
      <w:pPr>
        <w:pStyle w:val="JuPara"/>
      </w:pPr>
      <w:r>
        <w:fldChar w:fldCharType="begin"/>
      </w:r>
      <w:r>
        <w:instrText xml:space="preserve"> SEQ level0 </w:instrText>
      </w:r>
      <w:r>
        <w:instrText xml:space="preserve">\*arabic \* MERGEFORMAT </w:instrText>
      </w:r>
      <w:r>
        <w:fldChar w:fldCharType="separate"/>
      </w:r>
      <w:r w:rsidR="00AB33A5" w:rsidRPr="00AB33A5">
        <w:t>8</w:t>
      </w:r>
      <w:r>
        <w:fldChar w:fldCharType="end"/>
      </w:r>
      <w:r w:rsidR="00C0055C">
        <w:t xml:space="preserve">.  În ceea ce privește detenția reclamantului în Penitenciarul Craiova, ANP a informat Guvernul că în camera reclamantului existau o sursă de lumină artificială și două ferestre, că în general camerele din penitenciarul </w:t>
      </w:r>
      <w:r w:rsidR="00C0055C">
        <w:lastRenderedPageBreak/>
        <w:t>respectiv erau zugrăvite și deratizate periodic și că spațiul individual al reclamantului era cuprins între 3,03 și 6,5 m².</w:t>
      </w:r>
    </w:p>
    <w:p w:rsidR="00AB33A5" w:rsidRPr="00AB33A5" w:rsidRDefault="00AB33A5" w:rsidP="00AB33A5">
      <w:pPr>
        <w:pStyle w:val="JuH1"/>
      </w:pPr>
      <w:r>
        <w:t>Plângerile adresate de reclamant judecătorului de supraveghere a privării de libertate la Penitenciarul Craiova</w:t>
      </w:r>
    </w:p>
    <w:bookmarkStart w:id="5" w:name="para7"/>
    <w:bookmarkStart w:id="6" w:name="para8"/>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9</w:t>
      </w:r>
      <w:r w:rsidRPr="00AB33A5">
        <w:fldChar w:fldCharType="end"/>
      </w:r>
      <w:bookmarkEnd w:id="5"/>
      <w:bookmarkEnd w:id="6"/>
      <w:r>
        <w:t>.  În perioada 2023–2024, reclamantul a depus trei plângeri la judecătorul de supraveghere a privării de libertate, în temeiul art. 56 din Legea nr. 254/2013 (</w:t>
      </w:r>
      <w:r>
        <w:rPr>
          <w:i/>
          <w:iCs/>
        </w:rPr>
        <w:t>infra</w:t>
      </w:r>
      <w:r>
        <w:t xml:space="preserve">, pct. </w:t>
      </w:r>
      <w:r w:rsidRPr="00AB33A5">
        <w:fldChar w:fldCharType="begin"/>
      </w:r>
      <w:r w:rsidRPr="00AB33A5">
        <w:instrText xml:space="preserve"> REF para9 \h </w:instrText>
      </w:r>
      <w:r w:rsidRPr="00AB33A5">
        <w:fldChar w:fldCharType="separate"/>
      </w:r>
      <w:r w:rsidRPr="00AB33A5">
        <w:t>10</w:t>
      </w:r>
      <w:r w:rsidRPr="00AB33A5">
        <w:fldChar w:fldCharType="end"/>
      </w:r>
      <w:r>
        <w:t>): în prima plângere a susținut că a fost supus la rele tratamente (pretinsa utilizare abuzivă a cătușelor de către angajații penitenciarului), în a doua a formulat o pretenție întemeiată pe imposibilitatea reclamantului de a beneficia de o radiografie dentară, iar ultima s-a referit la pretinsul caracter necorespunzător, în opinia sa, al îngrijirii dentare raportate la nevoile sale. Printr-o încheiere definitivă din 16 noiembrie 2023, prima plângere a fost respinsă pentru că reclamantul nu a declarat apel. La 18 aprilie 2024, judecătorul de supraveghere a privării de libertate a admis a doua plângere și a dat dispoziții ca penitenciarul să faciliteze accesul reclamantului la radiografie dentară. La 31 octombrie 2024, judecătorul de supraveghere a privării de libertate a respins a treia plângere ca fiind nefondată.</w:t>
      </w:r>
    </w:p>
    <w:p w:rsidR="00AB33A5" w:rsidRPr="00AB33A5" w:rsidRDefault="00AB33A5" w:rsidP="00AB33A5">
      <w:pPr>
        <w:pStyle w:val="JuHHead"/>
      </w:pPr>
      <w:r>
        <w:t>CADRUL JURIDIC ȘI PRACTICA INTERNE RELEVANTE</w:t>
      </w:r>
    </w:p>
    <w:p w:rsidR="00AB33A5" w:rsidRPr="00AB33A5" w:rsidRDefault="00AB33A5" w:rsidP="00AB33A5">
      <w:pPr>
        <w:pStyle w:val="JuHA"/>
      </w:pPr>
      <w:r>
        <w:t>Cadrul juridic intern</w:t>
      </w:r>
    </w:p>
    <w:bookmarkStart w:id="7" w:name="para9"/>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10</w:t>
      </w:r>
      <w:r w:rsidRPr="00AB33A5">
        <w:fldChar w:fldCharType="end"/>
      </w:r>
      <w:bookmarkEnd w:id="7"/>
      <w:r>
        <w:t>.  Dispozițiile relevante din Legea nr. 254 din 19 iulie 2013 privind executarea pedepselor și a măsurilor privative de libertate dispuse de organele judiciare în cursul procesului penal („Legea nr. 254/2013”), în vigoare de la 14 august 2013, prevăd următoarele:</w:t>
      </w:r>
    </w:p>
    <w:p w:rsidR="00AB33A5" w:rsidRPr="00AB33A5" w:rsidRDefault="00AB33A5" w:rsidP="00AB33A5">
      <w:pPr>
        <w:pStyle w:val="JuHArticle"/>
      </w:pPr>
      <w:r>
        <w:t>TITLUL II</w:t>
      </w:r>
    </w:p>
    <w:p w:rsidR="00AB33A5" w:rsidRPr="00AB33A5" w:rsidRDefault="00AB33A5" w:rsidP="00AB33A5">
      <w:pPr>
        <w:pStyle w:val="JuHArticle"/>
      </w:pPr>
      <w:r>
        <w:br/>
        <w:t>Judecătorul de supraveghere a privării de libertate</w:t>
      </w:r>
    </w:p>
    <w:p w:rsidR="00AB33A5" w:rsidRPr="00AB33A5" w:rsidRDefault="00AB33A5" w:rsidP="00AB33A5">
      <w:pPr>
        <w:pStyle w:val="JuHArticle"/>
      </w:pPr>
      <w:r>
        <w:t>Desemnarea judecătorului de supraveghere a privării de libertate și a grefierului</w:t>
      </w:r>
    </w:p>
    <w:p w:rsidR="00AB33A5" w:rsidRPr="00AB33A5" w:rsidRDefault="00AB33A5" w:rsidP="00AB33A5">
      <w:pPr>
        <w:pStyle w:val="JuHArticle"/>
      </w:pPr>
      <w:r>
        <w:br/>
        <w:t>Art. 8</w:t>
      </w:r>
    </w:p>
    <w:p w:rsidR="00AB33A5" w:rsidRPr="00AB33A5" w:rsidRDefault="00AB33A5" w:rsidP="00AB33A5">
      <w:pPr>
        <w:pStyle w:val="JuQuot"/>
      </w:pPr>
      <w:r>
        <w:t>„(1) Președintele curții de apel în a cărei rază teritorială funcționează un penitenciar [...] desemnează, anual, unul sau mai mulți judecători de supraveghere a privării de libertate, de la instanțele din raza curții de apel. [...]”</w:t>
      </w:r>
    </w:p>
    <w:p w:rsidR="00AB33A5" w:rsidRPr="00AB33A5" w:rsidRDefault="00AB33A5" w:rsidP="00AB33A5">
      <w:pPr>
        <w:pStyle w:val="JuHArticle"/>
      </w:pPr>
      <w:r>
        <w:t>Activitatea judecătorului de supraveghere a privării de libertate</w:t>
      </w:r>
      <w:r>
        <w:br/>
      </w:r>
      <w:r>
        <w:br/>
        <w:t>Art. 9</w:t>
      </w:r>
    </w:p>
    <w:p w:rsidR="00AB33A5" w:rsidRPr="00AB33A5" w:rsidRDefault="00AB33A5" w:rsidP="00AB33A5">
      <w:pPr>
        <w:pStyle w:val="JuQuot"/>
      </w:pPr>
      <w:r>
        <w:t>„(1) Judecătorul de supraveghere a privării de libertate supraveghează și controlează asigurarea legalității în executarea pedepselor și a măsurilor privative de libertate, prin exercitarea atribuțiilor stabilite prin prezenta lege. Pe durata exercitării atribuțiilor privind supravegherea executării pedepselor și a măsurilor privative de libertate, judecătorii nu pot desfășura alte activități la instanța din cadrul căreia au fost desemnați.</w:t>
      </w:r>
    </w:p>
    <w:p w:rsidR="00AB33A5" w:rsidRPr="00AB33A5" w:rsidRDefault="00AB33A5" w:rsidP="00AB33A5">
      <w:pPr>
        <w:pStyle w:val="JuQuot"/>
      </w:pPr>
      <w:r>
        <w:lastRenderedPageBreak/>
        <w:t>(2) Judecătorul de supraveghere a privării de libertate exercită următoarele atribuții administrative și administrativ-jurisdicționale:</w:t>
      </w:r>
    </w:p>
    <w:p w:rsidR="00AB33A5" w:rsidRPr="00AB33A5" w:rsidRDefault="00AB33A5" w:rsidP="00AB33A5">
      <w:pPr>
        <w:pStyle w:val="JuQuot"/>
      </w:pPr>
      <w:r>
        <w:t>a) soluționează plângerile deținuților privind exercitarea drepturilor prevăzute de prezenta lege;</w:t>
      </w:r>
    </w:p>
    <w:p w:rsidR="00AB33A5" w:rsidRPr="00AB33A5" w:rsidRDefault="00AB33A5" w:rsidP="00AB33A5">
      <w:pPr>
        <w:pStyle w:val="JuQuot"/>
      </w:pPr>
      <w:r>
        <w:t>b) soluționează plângerile privind stabilirea și schimbarea regimurilor de executare a pedepselor și a măsurilor educative privative de libertate;</w:t>
      </w:r>
    </w:p>
    <w:p w:rsidR="00AB33A5" w:rsidRPr="00AB33A5" w:rsidRDefault="00AB33A5" w:rsidP="00AB33A5">
      <w:pPr>
        <w:pStyle w:val="JuQuot"/>
      </w:pPr>
      <w:r>
        <w:t>c) soluționează plângerile deținuților privind aplicarea sancțiunilor disciplinare;</w:t>
      </w:r>
    </w:p>
    <w:p w:rsidR="00AB33A5" w:rsidRPr="00AB33A5" w:rsidRDefault="00AB33A5" w:rsidP="00AB33A5">
      <w:pPr>
        <w:pStyle w:val="JuQuot"/>
      </w:pPr>
      <w:r>
        <w:t>d) participă la procedura refuzului de hrană;</w:t>
      </w:r>
    </w:p>
    <w:p w:rsidR="00AB33A5" w:rsidRPr="00AB33A5" w:rsidRDefault="00AB33A5" w:rsidP="00AB33A5">
      <w:pPr>
        <w:pStyle w:val="JuQuot"/>
      </w:pPr>
      <w:r>
        <w:t>e) participă, în calitate de președinte, la ședințele comisiei pentru liberare condiționată;</w:t>
      </w:r>
    </w:p>
    <w:p w:rsidR="00AB33A5" w:rsidRPr="00AB33A5" w:rsidRDefault="00AB33A5" w:rsidP="00AB33A5">
      <w:pPr>
        <w:pStyle w:val="JuQuot"/>
      </w:pPr>
      <w:r>
        <w:t>f) exercită orice alte atribuții prevăzute de prezenta lege.</w:t>
      </w:r>
    </w:p>
    <w:p w:rsidR="00AB33A5" w:rsidRPr="00AB33A5" w:rsidRDefault="00AB33A5" w:rsidP="00AB33A5">
      <w:pPr>
        <w:pStyle w:val="JuQuot"/>
      </w:pPr>
      <w:r>
        <w:t>(3) Atribuțiile administrativ-jurisdicționale se exercită în cadrul procedurilor speciale prevăzute în prezenta lege și se finalizează printr-un act administrativ</w:t>
      </w:r>
      <w:r>
        <w:noBreakHyphen/>
        <w:t xml:space="preserve">jurisdicțional, denumit </w:t>
      </w:r>
      <w:r>
        <w:rPr>
          <w:i/>
          <w:iCs/>
        </w:rPr>
        <w:t>încheiere</w:t>
      </w:r>
      <w:r>
        <w:t>.</w:t>
      </w:r>
    </w:p>
    <w:p w:rsidR="00AB33A5" w:rsidRPr="00AB33A5" w:rsidRDefault="00AB33A5" w:rsidP="00AB33A5">
      <w:pPr>
        <w:pStyle w:val="JuQuot"/>
      </w:pPr>
      <w:r>
        <w:t>(4) În exercitarea atribuțiilor sale, judecătorul de supraveghere a privării de libertate poate audia orice persoană, poate solicita informații ori înscrisuri de la administrația locului de deținere, poate face verificări la fața locului și are acces la dosarul individual al deținuților, la evidențe și orice alte înscrisuri sau înregistrări necesare pentru exercitarea atribuțiilor prevăzute de lege.</w:t>
      </w:r>
    </w:p>
    <w:p w:rsidR="00AB33A5" w:rsidRPr="00AB33A5" w:rsidRDefault="00AB33A5" w:rsidP="00AB33A5">
      <w:pPr>
        <w:pStyle w:val="JuQuot"/>
      </w:pPr>
      <w:r>
        <w:t>(5) Încheierile judecătorului de supraveghere a privării de libertate devenite executorii, precum și dispozițiile scrise date administrației locului de deținere în procedura refuzului de hrană, potrivit legii, sunt obligatorii.</w:t>
      </w:r>
    </w:p>
    <w:p w:rsidR="00AB33A5" w:rsidRPr="00AB33A5" w:rsidRDefault="00AB33A5" w:rsidP="00AB33A5">
      <w:pPr>
        <w:pStyle w:val="JuQuot"/>
      </w:pPr>
      <w:r>
        <w:t>(6) Administrația penitenciarului sau, după caz, a centrului de reținere și arestare preventivă, centrului de arestare preventivă, centrului educativ și centrului de detenție pune la dispoziția judecătorului un spațiu amenajat. Ministerul Justiției asigură dotarea spațiului cu mijloacele materiale necesare desfășurării în bune condiții a activității acestuia.”</w:t>
      </w:r>
    </w:p>
    <w:p w:rsidR="00AB33A5" w:rsidRPr="00AB33A5" w:rsidRDefault="00AB33A5" w:rsidP="00AB33A5">
      <w:pPr>
        <w:pStyle w:val="JuHArticle"/>
      </w:pPr>
      <w:r>
        <w:t>CAPITOLUL V</w:t>
      </w:r>
    </w:p>
    <w:p w:rsidR="00AB33A5" w:rsidRPr="00AB33A5" w:rsidRDefault="00AB33A5" w:rsidP="00AB33A5">
      <w:pPr>
        <w:pStyle w:val="JuHArticle"/>
      </w:pPr>
      <w:r>
        <w:t>Drepturile persoanelor condamnate</w:t>
      </w:r>
    </w:p>
    <w:p w:rsidR="00AB33A5" w:rsidRPr="00AB33A5" w:rsidRDefault="00AB33A5" w:rsidP="00AB33A5">
      <w:pPr>
        <w:pStyle w:val="JuHArticle"/>
      </w:pPr>
      <w:r>
        <w:t>Exercitarea drepturilor persoanelor condamnate</w:t>
      </w:r>
    </w:p>
    <w:p w:rsidR="00AB33A5" w:rsidRPr="00AB33A5" w:rsidRDefault="00AB33A5" w:rsidP="00AB33A5">
      <w:pPr>
        <w:pStyle w:val="JuHArticle"/>
      </w:pPr>
      <w:r>
        <w:br/>
        <w:t>Art. 56</w:t>
      </w:r>
    </w:p>
    <w:p w:rsidR="00AB33A5" w:rsidRPr="00AB33A5" w:rsidRDefault="00AB33A5" w:rsidP="00AB33A5">
      <w:pPr>
        <w:pStyle w:val="JuQuot"/>
      </w:pPr>
      <w:r>
        <w:t>„(1) Exercitarea drepturilor persoanelor condamnate nu poate fi îngrădită decât în limitele și în condițiile prevăzute de Constituție și lege.</w:t>
      </w:r>
    </w:p>
    <w:p w:rsidR="00AB33A5" w:rsidRPr="00AB33A5" w:rsidRDefault="00AB33A5" w:rsidP="00AB33A5">
      <w:pPr>
        <w:pStyle w:val="JuQuot"/>
      </w:pPr>
      <w:r>
        <w:t>(2) Împotriva măsurilor privitoare la exercitarea drepturilor prevăzute de prezenta lege, luate de către administrația penitenciarului, persoanele condamnate pot face plângere la judecătorul de supraveghere a privării de libertate, în termen de 10 zile de la data când au luat cunoștință de măsura luată.</w:t>
      </w:r>
    </w:p>
    <w:p w:rsidR="00AB33A5" w:rsidRPr="00AB33A5" w:rsidRDefault="00AB33A5" w:rsidP="00AB33A5">
      <w:pPr>
        <w:pStyle w:val="JuQuot"/>
      </w:pPr>
      <w:r>
        <w:t>(3) Persoana condamnată este ascultată, în mod obligatoriu, la locul de deținere, de judecătorul de supraveghere a privării de libertate.</w:t>
      </w:r>
    </w:p>
    <w:p w:rsidR="00AB33A5" w:rsidRPr="00AB33A5" w:rsidRDefault="00AB33A5" w:rsidP="00AB33A5">
      <w:pPr>
        <w:pStyle w:val="JuQuot"/>
      </w:pPr>
      <w:r>
        <w:t xml:space="preserve">(4) În cazul în care persoana condamnată este transferată la un alt penitenciar, judecătorul de supraveghere a privării de libertate poate asculta persoana în cauză, în condițiile art. 29, sau poate solicita ascultarea acesteia de către judecătorul de </w:t>
      </w:r>
      <w:r>
        <w:lastRenderedPageBreak/>
        <w:t>supraveghere a privării de libertate de la noul loc de deținere, care înaintează declarația luată.</w:t>
      </w:r>
    </w:p>
    <w:p w:rsidR="00AB33A5" w:rsidRPr="00AB33A5" w:rsidRDefault="00AB33A5" w:rsidP="00AB33A5">
      <w:pPr>
        <w:pStyle w:val="JuQuot"/>
      </w:pPr>
      <w:r>
        <w:t>(5) Judecătorul de supraveghere a privării de libertate poate proceda la ascultarea oricărei altei persoane din sistemul penitenciar, în vederea aflării adevărului.</w:t>
      </w:r>
    </w:p>
    <w:p w:rsidR="00AB33A5" w:rsidRPr="00AB33A5" w:rsidRDefault="00AB33A5" w:rsidP="00AB33A5">
      <w:pPr>
        <w:pStyle w:val="JuQuot"/>
      </w:pPr>
      <w:r>
        <w:t>(6) Judecătorul de supraveghere a privării de libertate soluționează plângerea, prin încheiere motivată, în termen de 15 zile de la primirea acesteia și pronunță una dintre următoarele soluții:</w:t>
      </w:r>
    </w:p>
    <w:p w:rsidR="00AB33A5" w:rsidRPr="00AB33A5" w:rsidRDefault="00AB33A5" w:rsidP="00AB33A5">
      <w:pPr>
        <w:pStyle w:val="JuQuot"/>
      </w:pPr>
      <w:r>
        <w:t>a) admite plângerea, în tot sau în parte, și dispune anularea sau modificarea măsurii luate de către administrația penitenciarului ori obligă administrația penitenciarului să ia măsurile legale care se impun;</w:t>
      </w:r>
    </w:p>
    <w:p w:rsidR="00AB33A5" w:rsidRPr="00AB33A5" w:rsidRDefault="00AB33A5" w:rsidP="00AB33A5">
      <w:pPr>
        <w:pStyle w:val="JuQuot"/>
      </w:pPr>
      <w:r>
        <w:t>b) respinge plângerea, dacă aceasta este nefondată, rămasă fără obiect, tardivă sau inadmisibilă, după caz;</w:t>
      </w:r>
    </w:p>
    <w:p w:rsidR="00AB33A5" w:rsidRPr="00AB33A5" w:rsidRDefault="00AB33A5" w:rsidP="00AB33A5">
      <w:pPr>
        <w:pStyle w:val="JuQuot"/>
      </w:pPr>
      <w:r>
        <w:t>c) ia act de retragerea plângerii.</w:t>
      </w:r>
    </w:p>
    <w:p w:rsidR="00AB33A5" w:rsidRPr="00AB33A5" w:rsidRDefault="00AB33A5" w:rsidP="00AB33A5">
      <w:pPr>
        <w:pStyle w:val="JuQuot"/>
      </w:pPr>
      <w:r>
        <w:t>(7) Încheierea judecătorului de supraveghere a privării de libertate se comunică persoanei condamnate și administrației penitenciarului, în termen de 3 zile de la data pronunțării acesteia.</w:t>
      </w:r>
    </w:p>
    <w:p w:rsidR="00AB33A5" w:rsidRPr="00AB33A5" w:rsidRDefault="00AB33A5" w:rsidP="00AB33A5">
      <w:pPr>
        <w:pStyle w:val="JuQuot"/>
      </w:pPr>
      <w:r>
        <w:t>(8) Competența de soluționare a plângerii aparține judecătorului de supraveghere a privării de libertate de la penitenciarul care a dispus măsurile cu privire la exercitarea drepturilor.</w:t>
      </w:r>
    </w:p>
    <w:p w:rsidR="00AB33A5" w:rsidRPr="00AB33A5" w:rsidRDefault="00AB33A5" w:rsidP="00AB33A5">
      <w:pPr>
        <w:pStyle w:val="JuQuot"/>
      </w:pPr>
      <w:r>
        <w:t>(9) Împotriva încheierii judecătorului de supraveghere a privării de libertate, persoana condamnată și administrația penitenciarului pot formula contestație la judecătoria în a cărei circumscripție se află penitenciarul, în termen de 5 zile de la comunicarea încheierii.</w:t>
      </w:r>
    </w:p>
    <w:p w:rsidR="00AB33A5" w:rsidRPr="00AB33A5" w:rsidRDefault="00AB33A5" w:rsidP="00AB33A5">
      <w:pPr>
        <w:pStyle w:val="JuQuot"/>
      </w:pPr>
      <w:r>
        <w:t>(10) Contestațiile se depun la judecătorul de supraveghere a privării de libertate care a pronunțat încheierea.</w:t>
      </w:r>
    </w:p>
    <w:p w:rsidR="00AB33A5" w:rsidRPr="00AB33A5" w:rsidRDefault="00AB33A5" w:rsidP="00AB33A5">
      <w:pPr>
        <w:pStyle w:val="JuQuot"/>
      </w:pPr>
      <w:r>
        <w:t>(11) Contestațiile se înaintează judecătoriei, împreună cu dosarul cauzei, în termen de două zile de la primirea acestora.</w:t>
      </w:r>
    </w:p>
    <w:p w:rsidR="00AB33A5" w:rsidRPr="00AB33A5" w:rsidRDefault="00AB33A5" w:rsidP="00AB33A5">
      <w:pPr>
        <w:pStyle w:val="JuQuot"/>
      </w:pPr>
      <w:r>
        <w:t>(12) Dispozițiile art. 39 alin. (14)—(19) se aplică în mod corespunzător.”</w:t>
      </w:r>
    </w:p>
    <w:p w:rsidR="00AB33A5" w:rsidRPr="00AB33A5" w:rsidRDefault="00AB33A5" w:rsidP="00AB33A5">
      <w:pPr>
        <w:pStyle w:val="JuHArticle"/>
      </w:pPr>
      <w:r>
        <w:t>Art. 57</w:t>
      </w:r>
    </w:p>
    <w:p w:rsidR="00AB33A5" w:rsidRPr="00AB33A5" w:rsidRDefault="00AB33A5" w:rsidP="00AB33A5">
      <w:pPr>
        <w:pStyle w:val="JuHArticle"/>
      </w:pPr>
      <w:r>
        <w:t>Asigurarea respectării drepturilor persoanelor condamnate</w:t>
      </w:r>
    </w:p>
    <w:p w:rsidR="00AB33A5" w:rsidRPr="00AB33A5" w:rsidRDefault="00AB33A5" w:rsidP="00AB33A5">
      <w:pPr>
        <w:pStyle w:val="JuQuot"/>
      </w:pPr>
      <w:r>
        <w:t>„(1) Respectarea drepturilor prevăzute de lege pentru persoanele condamnate este asigurată de judecătorul de supraveghere a privării de libertate. [...]”</w:t>
      </w:r>
    </w:p>
    <w:p w:rsidR="00AB33A5" w:rsidRPr="00AB33A5" w:rsidRDefault="00AB33A5" w:rsidP="00AB33A5">
      <w:pPr>
        <w:pStyle w:val="JuHArticle"/>
      </w:pPr>
      <w:r>
        <w:t>Art. 80</w:t>
      </w:r>
    </w:p>
    <w:p w:rsidR="00AB33A5" w:rsidRPr="00AB33A5" w:rsidRDefault="00AB33A5" w:rsidP="00AB33A5">
      <w:pPr>
        <w:pStyle w:val="JuHArticle"/>
      </w:pPr>
      <w:r>
        <w:t>Dreptul la hrană, ținută, cazarmament și condiții minime de cazare</w:t>
      </w:r>
    </w:p>
    <w:p w:rsidR="00AB33A5" w:rsidRPr="00AB33A5" w:rsidRDefault="00AB33A5" w:rsidP="00AB33A5">
      <w:pPr>
        <w:pStyle w:val="JuQuot"/>
      </w:pPr>
      <w:r>
        <w:t>„Persoanelor condamnate li se asigură dreptul la hrană, ținută, cazarmament și condiții minime de cazare [...]”</w:t>
      </w:r>
    </w:p>
    <w:p w:rsidR="00AB33A5" w:rsidRPr="00AB33A5" w:rsidRDefault="00AB33A5" w:rsidP="00AB33A5">
      <w:pPr>
        <w:pStyle w:val="JuHA"/>
      </w:pPr>
      <w:r>
        <w:t>Practica internă relevantă</w:t>
      </w:r>
    </w:p>
    <w:p w:rsidR="00AB33A5" w:rsidRPr="00AB33A5" w:rsidRDefault="00AB33A5" w:rsidP="00AB33A5">
      <w:pPr>
        <w:pStyle w:val="JuH1"/>
      </w:pPr>
      <w:r>
        <w:t>Plângeri la judecătorul de supraveghere a privării de libertate</w:t>
      </w:r>
    </w:p>
    <w:bookmarkStart w:id="8" w:name="para10"/>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11</w:t>
      </w:r>
      <w:r w:rsidRPr="00AB33A5">
        <w:fldChar w:fldCharType="end"/>
      </w:r>
      <w:bookmarkEnd w:id="8"/>
      <w:r>
        <w:t xml:space="preserve">.  Guvernul a depus la dosar 141 de exemple de jurisprudență. Dintre acestea, 97 reprezintă plângeri adresate de deținuți judecătorului de </w:t>
      </w:r>
      <w:r>
        <w:lastRenderedPageBreak/>
        <w:t>supraveghere a privării de libertate, în temeiul art. 56 din Legea nr. 254/2013, scopul acestora fiind de a denunța condițiile în care erau deținute persoanele condamnate (supraaglomerare, mucegai în camere, iluminat slab, aerisire necorespunzătoare, condiții de igienă necorespunzătoare, prezența insectelor și a șobolanilor, temperatură necorespunzătoare, acces insuficient la apă caldă sau cazarmament de proastă calitate). Cele 97 de exemple relevante acoperă perioada 2016–2024 și se referă la condițiile materiale de detenție din 15 dintre cele 27 de penitenciare din țară (Mioveni, Rahova, Găești, Brăila, Aiud, Deva, Poarta Albă, Tulcea, Codlea, Drobeta-Turnu Severin, Craiova, Iași, Vaslui, Gherla, Giurgiu): 3 exemple datează din 2016, 2 exemple din 2017, 2 exemple din 2018, 1 exemplu din 2019, 4 exemple din 2020, 19 exemple din 2021, 12 exemple din 2022, 38 exemple din 2023 și 16 exemple din 2024.</w:t>
      </w:r>
    </w:p>
    <w:bookmarkStart w:id="9" w:name="para11"/>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12</w:t>
      </w:r>
      <w:r w:rsidRPr="00AB33A5">
        <w:fldChar w:fldCharType="end"/>
      </w:r>
      <w:bookmarkEnd w:id="9"/>
      <w:r>
        <w:t>.  Din exemplele citate reiese că judecătorii de supraveghere a privării de libertate sau, după caz, judecătoriile sesizate prin contestație au admis, în termenul legal de 15 zile de la depunerea lor, aproape toate plângerile deținuților (94 de plângeri, dintre care 59 în tot și 35 în parte) și au obligat autoritățile la remedierea condițiilor denunțate. În anumite circumstanțe, judecătorul de supraveghere a privării de libertate a efectuat verificări la fața locului. În majoritatea cazurilor, locurile de deținere au primit dispoziții să asigure reclamanților o suprafață minimă de 4 m² de spațiu individual de cazare; să le asigure mobilier corespunzător; să îi transfere în alte penitenciare și să înceapă lucrările de renovare a fostelor lor camere, să le asigure un spațiu minim de cazare la întoarcerea lor, prin transfer, într-un anumit penitenciar și să solicite de la ANP transferul tuturor deținuților ale căror camere nu respectă o bună capacitate de cazare; să instaleze perdele de duș pentru respectarea intimității; să supravegheze eventuala prezență a ploșnițelor, stadiul de curățenie și starea mobilierului; să îndepărteze anumite piese de mobilier nefolosite pentru a asigura un spațiu de cazare suficient ori să le asigure hrană corespunzătoare și conformă cu normele interne în vigoare. Dintre cele 94 de hotărâri interne, 90 sunt hotărâri definitive. Potrivit informațiilor oferite de ANP Guvernului, au fost puse în executare 80 dintre cele 90 de hotărâri definitive pronunțate în favoarea deținuților în cauză. În cazul celorlalte 10 hotărâri definitive neexecutate, fie reclamanții au fost transferați într-un alt penitenciar înainte de soluționarea cauzei, fie nu există informații suficiente care să confirme executarea acestora.</w:t>
      </w:r>
    </w:p>
    <w:bookmarkStart w:id="10" w:name="para12"/>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13</w:t>
      </w:r>
      <w:r w:rsidRPr="00AB33A5">
        <w:fldChar w:fldCharType="end"/>
      </w:r>
      <w:bookmarkEnd w:id="10"/>
      <w:r>
        <w:t>.  Dintre aceste exemple de jurisprudență, este necesar să se prezinte rezumatul a două exemple, care datează din 2023, an în care practica națională pare să fi avut o evoluție mai importantă (</w:t>
      </w:r>
      <w:r>
        <w:rPr>
          <w:i/>
          <w:iCs/>
        </w:rPr>
        <w:t>supra</w:t>
      </w:r>
      <w:r>
        <w:t>, pct. </w:t>
      </w:r>
      <w:r w:rsidRPr="00AB33A5">
        <w:fldChar w:fldCharType="begin"/>
      </w:r>
      <w:r w:rsidRPr="00AB33A5">
        <w:instrText xml:space="preserve"> REF para10 \h </w:instrText>
      </w:r>
      <w:r w:rsidRPr="00AB33A5">
        <w:fldChar w:fldCharType="separate"/>
      </w:r>
      <w:r w:rsidRPr="00AB33A5">
        <w:t>11</w:t>
      </w:r>
      <w:r w:rsidRPr="00AB33A5">
        <w:fldChar w:fldCharType="end"/>
      </w:r>
      <w:r>
        <w:t xml:space="preserve"> </w:t>
      </w:r>
      <w:r>
        <w:rPr>
          <w:i/>
        </w:rPr>
        <w:t>in fine</w:t>
      </w:r>
      <w:r>
        <w:t>):</w:t>
      </w:r>
    </w:p>
    <w:p w:rsidR="00AB33A5" w:rsidRPr="00AB33A5" w:rsidRDefault="00AB33A5" w:rsidP="00AB33A5">
      <w:pPr>
        <w:pStyle w:val="JuPara"/>
      </w:pPr>
      <w:r>
        <w:t xml:space="preserve">a) Prin încheierea nr. 156/06.04.2023, pronunțată în temeiul Legii nr. 254/2013, un condamnat a formulat plângere la judecătorul de supraveghere a privării de libertate la Penitenciarul Iași, reclamând condițiile în care persoana respectivă era deținută într-o cameră pentru executarea sancțiunii disciplinare cu izolarea (cazarmament necorespunzător; pe la fereastră intra curentul; în grupul sanitar, peretele era plin de umezeală; în cameră nu era </w:t>
      </w:r>
      <w:r>
        <w:lastRenderedPageBreak/>
        <w:t xml:space="preserve">lumină artificială suficientă). În urma examinării documentelor depuse de penitenciar și a verificărilor efectuate personal la fața locului, judecătorul de supraveghere a privării de libertate a făcut trimitere la normele minime obligatorii privind condițiile de cazare a persoanelor private de libertate și a constatat nerespectarea acestor norme în cazul condamnatului (fereastra este veche și nu se închide etanș; lipsa vreunui obiect de mobilier; spațiul destinat activităților </w:t>
      </w:r>
      <w:proofErr w:type="spellStart"/>
      <w:r>
        <w:t>igienico</w:t>
      </w:r>
      <w:proofErr w:type="spellEnd"/>
      <w:r>
        <w:t xml:space="preserve">-sanitare nu este amenajat și dotat potrivit normelor). Judecătorul a dispus ca administrația penitenciarului să ia măsuri pentru amenajarea și dotarea camerei potrivit normelor minime obligatorii. Prin sentința penală nr. 1617 din 23 iunie 2023, Judecătoria Iași a respins, ca neîntemeiată, contestația formulată de Administrația Penitenciarului Iași împotriva încheierii. Judecătorul de la respectiva judecătorie a făcut trimitere la jurisprudența </w:t>
      </w:r>
      <w:r>
        <w:rPr>
          <w:i/>
        </w:rPr>
        <w:t>Rezmiveș și alții împotriva României</w:t>
      </w:r>
      <w:r>
        <w:t xml:space="preserve"> (nr. 61467/12 și alte 3, 25 aprilie 2017) pentru a sublinia că autoritățile naționale au obligația de a ameliora condițiile materiale de detenție în penitenciarele din România. Din informațiile primite de Guvern de la ANP reiese că, în urma acestei acțiuni, condamnatul nu mai este cazat în respectiva cameră pentru executarea sancțiunii disciplinare cu izolarea;</w:t>
      </w:r>
    </w:p>
    <w:p w:rsidR="00AB33A5" w:rsidRPr="00AB33A5" w:rsidRDefault="00AB33A5" w:rsidP="00AB33A5">
      <w:pPr>
        <w:pStyle w:val="JuPara"/>
      </w:pPr>
      <w:r>
        <w:t xml:space="preserve">b) Prin încheierea nr. 119 din 24.02.2023, judecătorul de supraveghere a privării de libertate la Penitenciarul Mioveni a respins plângerea unui deținut care, în temeiul dispozițiilor art. 56 din Legea nr. 254/2013, s-a plâns de supraaglomerare în camerele în care a fost cazat. Constatând că în unele perioade reclamantul a avut la dispoziție un spațiu individual de 1,92 m², judecătorul de supraveghere a privării de libertate a constatat că supraaglomerarea temporară a fost determinată de măsurile luate de ANP în vederea prevenirii răspândirii epidemiei de </w:t>
      </w:r>
      <w:proofErr w:type="spellStart"/>
      <w:r>
        <w:t>coronavirus</w:t>
      </w:r>
      <w:proofErr w:type="spellEnd"/>
      <w:r>
        <w:t xml:space="preserve"> (Covid-19) și nu era așadar imputabilă administrației penitenciarului. La 4 mai 2023, Judecătoria Pitești, examinând contestația făcută de condamnat împotriva încheierii, a admis contestația și a pus în vedere Penitenciarului Mioveni să asigure respectarea normelor minime obligatorii privind condițiile de cazare a persoanelor private de libertate în penitenciarele din România, în special în ceea ce privește spațiul individual de cazare, care ar trebui să fie de minim 4 m². Instanța a făcut trimitere la jurisprudența relevantă a Curții Europene, în special cele 141 de cauze din grupul </w:t>
      </w:r>
      <w:r>
        <w:rPr>
          <w:i/>
          <w:iCs/>
        </w:rPr>
        <w:t>Bragadireanu</w:t>
      </w:r>
      <w:r>
        <w:t xml:space="preserve"> (nr. 22088/04, 6 decembrie 2007), executarea hotărârilor CEDO fiind sub supravegherea Comitetului de Miniștri, cauza-pilot </w:t>
      </w:r>
      <w:r>
        <w:rPr>
          <w:i/>
          <w:iCs/>
        </w:rPr>
        <w:t>Rezmiveș și alții</w:t>
      </w:r>
      <w:r>
        <w:t xml:space="preserve"> (citată anterior), precum și cauza </w:t>
      </w:r>
      <w:bookmarkStart w:id="11" w:name="_cl7754LECADREJURIDIQUEETLAPRATIQUEINTER"/>
      <w:r>
        <w:rPr>
          <w:i/>
        </w:rPr>
        <w:t>Iacov Stanciu împotriva României</w:t>
      </w:r>
      <w:bookmarkEnd w:id="11"/>
      <w:r>
        <w:t xml:space="preserve"> (nr. 35972/05, 24 iulie 2012), dar și la normele Comitetului European pentru Prevenirea Torturii și a Pedepselor sau Tratamentelor Inumane sau Degradante (CPT) în materie de spațiu vital individual în locurile de deținere, după care a concluzionat că nu există nicio justificare pentru supraaglomerare în cazul contestatarului, această situație fiind imputabilă penitenciarului. Din informațiile primite de Guvern de la ANP reiese că, în urma acestei acțiuni, Penitenciarul Mioveni a asigurat reclamantului un spațiu individual de minim 4 m².</w:t>
      </w:r>
    </w:p>
    <w:bookmarkStart w:id="12" w:name="para13"/>
    <w:p w:rsidR="00AB33A5" w:rsidRPr="00AB33A5" w:rsidRDefault="00AB33A5" w:rsidP="00AB33A5">
      <w:pPr>
        <w:pStyle w:val="JuPara"/>
      </w:pPr>
      <w:r w:rsidRPr="00AB33A5">
        <w:lastRenderedPageBreak/>
        <w:fldChar w:fldCharType="begin"/>
      </w:r>
      <w:r w:rsidRPr="00AB33A5">
        <w:instrText xml:space="preserve"> SEQ level0 \*arabic \* MERGEFORMAT </w:instrText>
      </w:r>
      <w:r w:rsidRPr="00AB33A5">
        <w:fldChar w:fldCharType="separate"/>
      </w:r>
      <w:r w:rsidRPr="00AB33A5">
        <w:t>14</w:t>
      </w:r>
      <w:r w:rsidRPr="00AB33A5">
        <w:fldChar w:fldCharType="end"/>
      </w:r>
      <w:bookmarkEnd w:id="12"/>
      <w:r>
        <w:t>.  Guvernul face trimitere, de asemenea, la 103 exemple de jurisprudență mai recentă, dintre care 97 sunt exemple de jurisprudență internă relevantă, cu hotărâri pronunțate în perioada octombrie 2024–ianuarie 2025 (86 de exemple din 2024 și 11 din 2025), în cadrul unor proceduri inițiate de deținuți, în temeiul dispozițiilor art. 56 din Legea nr. 254/2013; deținuții s-au plâns de condițiile necorespunzătoare de detenție, în special supraaglomerarea, condițiile de igienă, prezența mucegaiului, iluminatul slab sau lipsa aerisirii în camere, prezența insectelor și a șobolanilor și calitatea slabă a cazarmamentului. Cele 97 de exemple de jurisprudență acoperă 12 din cele 27 de penitenciare din țară (Brăila, Craiova, Bistrița, Focșani, Galați, Gherla, Iași, Mărgineni, Ploiești, Poarta Albă, Rahova și Tulcea).</w:t>
      </w:r>
    </w:p>
    <w:bookmarkStart w:id="13" w:name="para1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15</w:t>
      </w:r>
      <w:r w:rsidRPr="00AB33A5">
        <w:fldChar w:fldCharType="end"/>
      </w:r>
      <w:bookmarkEnd w:id="13"/>
      <w:r>
        <w:t>.  Astfel cum reiese dintr-o analiză a acestei jurisprudențe, 96 dintre cele 97 de plângeri au fost admise în tot (în 65 de cazuri) sau în parte (în 31 de cazuri) în termenul legal de 15 zile de la depunerea lor, de către judecătorii de supraveghere a privării de libertate sau judecătorii, care au dispus ca penitenciarele în cauză să remedieze situațiile denunțate și să asigure condiții de detenție corespunzătoare reclamanților (cum ar fi garantarea unui spațiu minim de cazare de 4 m², inclusiv în cazul revenirii lor într-o cameră veche, transferul lor în alte penitenciare, efectuarea unor lucrări de renovare, efectuarea unor lucrări de zugrăvire și reparare a pereților acoperiți cu mucegai, efectuarea dezinsecției în camere, dotarea acestora cu saltele adecvate, efectuarea de lucrări de reparații la toalete, asigurarea unui iluminat natural corespunzător și a unei aerisiri adecvate în camere, precum și respectarea normelor în materie de cazare a deținuților în penitenciarele din România). În unele cazuri, judecătorii de supraveghere a privării de libertate au efectuat verificări la fața locului. Reiese, de asemenea, că unele încheieri pronunțate în favoarea reclamanților au fost contestate și că procedurile erau încă pendinte. S-au pronunțat hotărâri definitive în cazul a 73 de plângeri, iar 72 dintre acestea au fost executate de autorități (una nu a fost executată deoarece reclamantul a fost transferat în alt penitenciar înainte de soluționarea procedurii).</w:t>
      </w:r>
    </w:p>
    <w:p w:rsidR="00AB33A5" w:rsidRPr="00AB33A5" w:rsidRDefault="00AB33A5" w:rsidP="00AB33A5">
      <w:pPr>
        <w:pStyle w:val="JuH1"/>
      </w:pPr>
      <w:r>
        <w:t>Date statistice furnizate de autoritățile naționale</w:t>
      </w:r>
    </w:p>
    <w:bookmarkStart w:id="14" w:name="para15"/>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16</w:t>
      </w:r>
      <w:r w:rsidRPr="00AB33A5">
        <w:fldChar w:fldCharType="end"/>
      </w:r>
      <w:bookmarkEnd w:id="14"/>
      <w:r>
        <w:t xml:space="preserve">.  Guvernul a pus la dispoziție informații statistice privind creșterea capacității de cazare a locurilor de deținere, care a avut loc în contextul punerii în aplicare a Planului de acțiune pentru perioada 2020-2025, elaborat în vederea executării hotărârii-pilot </w:t>
      </w:r>
      <w:bookmarkStart w:id="15" w:name="_cl15006LECADREJURIDIQUEETLAPRATIQUEINTE"/>
      <w:r>
        <w:rPr>
          <w:i/>
          <w:iCs/>
        </w:rPr>
        <w:t>Rezmiveș și alții</w:t>
      </w:r>
      <w:bookmarkEnd w:id="15"/>
      <w:r>
        <w:t>, citată anterior. Potrivit acestor informații, în perioada 2021–2023 au fost create 2 003 locuri noi de detenție, 218 locuri au fost modernizate, iar 728 urmau să fie modernizate în următorii ani (mai multe lucrări de renovare erau în desfășurare). Noua strategie națională în acest domeniu vizează, de asemenea, modernizarea a 155 de imobile în perioada 2024–2030 pentru a servi drept penitenciare, în vederea îmbunătățirii condițiilor de detenție. Între 2020 și 2024, peste 1 000 de camere au beneficiat de lucrări de renovare.</w:t>
      </w:r>
    </w:p>
    <w:bookmarkStart w:id="16" w:name="para16"/>
    <w:p w:rsidR="00AB33A5" w:rsidRPr="00AB33A5" w:rsidRDefault="00AB33A5" w:rsidP="00AB33A5">
      <w:pPr>
        <w:pStyle w:val="JuPara"/>
      </w:pPr>
      <w:r w:rsidRPr="00AB33A5">
        <w:lastRenderedPageBreak/>
        <w:fldChar w:fldCharType="begin"/>
      </w:r>
      <w:r w:rsidRPr="00AB33A5">
        <w:instrText xml:space="preserve"> SEQ level0 \*arabic \* MERGEFORMAT </w:instrText>
      </w:r>
      <w:r w:rsidRPr="00AB33A5">
        <w:fldChar w:fldCharType="separate"/>
      </w:r>
      <w:r w:rsidRPr="00AB33A5">
        <w:t>17</w:t>
      </w:r>
      <w:r w:rsidRPr="00AB33A5">
        <w:fldChar w:fldCharType="end"/>
      </w:r>
      <w:bookmarkEnd w:id="16"/>
      <w:r>
        <w:t>.  Potrivit acelorași informații furnizate Guvernului, în noiembrie 2024, de către Ministerul Justiției, 24 633 de persoane erau încarcerate la nivel național. Calculată pentru o suprafață minimă de spațiu de cazare de 3 m² per deținut, capacitatea de cazare la nivel național a înregistrat un excedent de 3 185 de locuri de detenție, iar calculată pentru un spațiu de cazare de 4 m² per deținut, a înregistrat un deficit de 2 809 locuri de detenție. În 2020, deficitul în raport cu numărul de locuri de detenție calculat pentru o suprafață de 4 m² per deținut a fost de 3 489 de locuri, apoi a avut loc o scădere treptată (2 888 de locuri în 2022 și 2 437 în 2023), înainte de a se raporta o creștere semnificativă de 2 809 locuri în 2024, din cauza unei creșteri a numărului total de deținuți la nivel național.</w:t>
      </w:r>
    </w:p>
    <w:bookmarkStart w:id="17" w:name="para17"/>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18</w:t>
      </w:r>
      <w:r w:rsidRPr="00AB33A5">
        <w:fldChar w:fldCharType="end"/>
      </w:r>
      <w:bookmarkEnd w:id="17"/>
      <w:r>
        <w:t xml:space="preserve">.  Din raportul de activitate al ANP pe anul 2024, reiese că au fost create 2 700 de noi locuri de cazare, au fost executate lucrări de reparații la 3 147 de camere și se aflau în desfășurare 75 de șantiere. De asemenea, au avut loc numeroase transferuri de deținuți (3 743) între penitenciare pentru echilibrarea efectivelor de persoane </w:t>
      </w:r>
      <w:proofErr w:type="spellStart"/>
      <w:r>
        <w:t>custodiate</w:t>
      </w:r>
      <w:proofErr w:type="spellEnd"/>
      <w:r>
        <w:t>. În 2024, autoritățile au început construcția a două noi penitenciare și, până în 2025, se preconizează că vor fi disponibile 3 000 de noi locuri de cazare.</w:t>
      </w:r>
    </w:p>
    <w:bookmarkStart w:id="18" w:name="para18"/>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19</w:t>
      </w:r>
      <w:r w:rsidRPr="00AB33A5">
        <w:fldChar w:fldCharType="end"/>
      </w:r>
      <w:bookmarkEnd w:id="18"/>
      <w:r>
        <w:t>.  Reiese de asemenea, dintr-o informare publicată pe website-</w:t>
      </w:r>
      <w:proofErr w:type="spellStart"/>
      <w:r>
        <w:t>ul</w:t>
      </w:r>
      <w:proofErr w:type="spellEnd"/>
      <w:r>
        <w:t xml:space="preserve"> ANP că, la 18 iulie 2025, 380 de noi locuri de detenție au fost puse la dispoziția deținuților din Penitenciarul Constanța-Poarta Albă. În plus, la 16 aprilie 2025, populația carcerală la nivel național era 23 634 de deținuți la o capacitate de cazare de 19 706 locuri (capacitate calculată pentru un spațiu de cazare de 4 m²/deținut).</w:t>
      </w:r>
    </w:p>
    <w:p w:rsidR="00AB33A5" w:rsidRPr="00AB33A5" w:rsidRDefault="00AB33A5" w:rsidP="00AB33A5">
      <w:pPr>
        <w:pStyle w:val="JuHA"/>
      </w:pPr>
      <w:r>
        <w:t>Documentele relevante ale Consiliului Europei</w:t>
      </w:r>
    </w:p>
    <w:p w:rsidR="00AB33A5" w:rsidRPr="00AB33A5" w:rsidRDefault="00AB33A5" w:rsidP="00AB33A5">
      <w:pPr>
        <w:pStyle w:val="JuH1"/>
      </w:pPr>
      <w:r>
        <w:t>Comitetul de Miniștri</w:t>
      </w:r>
    </w:p>
    <w:bookmarkStart w:id="19" w:name="para19"/>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20</w:t>
      </w:r>
      <w:r w:rsidRPr="00AB33A5">
        <w:fldChar w:fldCharType="end"/>
      </w:r>
      <w:bookmarkEnd w:id="19"/>
      <w:r>
        <w:t xml:space="preserve">.  În perioada 3–5 decembrie 2024, Comitetul de Miniștri a examinat, în cadrul celei de-a 1514-a reuniuni în format Drepturile Omului (CM-DH), executarea hotărârilor pronunțate în grupul de cauze </w:t>
      </w:r>
      <w:r>
        <w:rPr>
          <w:i/>
          <w:iCs/>
        </w:rPr>
        <w:t>Bragadireanu împotriva României</w:t>
      </w:r>
      <w:r>
        <w:t xml:space="preserve"> (nr. </w:t>
      </w:r>
      <w:hyperlink r:id="rId8" w:anchor="{%22appno%22:[%2222088/04%22]}" w:tgtFrame="_blank" w:history="1">
        <w:r>
          <w:t>22088/04</w:t>
        </w:r>
      </w:hyperlink>
      <w:r>
        <w:t xml:space="preserve">) și a hotărârii </w:t>
      </w:r>
      <w:r>
        <w:rPr>
          <w:i/>
        </w:rPr>
        <w:t>Rezmiveș și alții</w:t>
      </w:r>
      <w:r>
        <w:t>, citată anterior. Evaluarea și decizia sa conțin următoarele pasaje relevante în speță:</w:t>
      </w:r>
    </w:p>
    <w:p w:rsidR="00AB33A5" w:rsidRPr="00AB33A5" w:rsidRDefault="00AB33A5" w:rsidP="00AB33A5">
      <w:pPr>
        <w:pStyle w:val="JuQuot"/>
      </w:pPr>
      <w:r>
        <w:t>„[...]</w:t>
      </w:r>
    </w:p>
    <w:p w:rsidR="00AB33A5" w:rsidRPr="00AB33A5" w:rsidRDefault="00AB33A5" w:rsidP="00AB33A5">
      <w:pPr>
        <w:pStyle w:val="JuQuot"/>
        <w:rPr>
          <w:b/>
          <w:bCs/>
        </w:rPr>
      </w:pPr>
      <w:r>
        <w:rPr>
          <w:b/>
        </w:rPr>
        <w:t>A 1514-a reuniune, 3–5 decembrie 2024 (DH) – Note:</w:t>
      </w:r>
    </w:p>
    <w:p w:rsidR="00AB33A5" w:rsidRPr="00AB33A5" w:rsidRDefault="00AB33A5" w:rsidP="00AB33A5">
      <w:pPr>
        <w:pStyle w:val="JuQuot"/>
      </w:pPr>
      <w:r>
        <w:t>Având în vedere recenta revizuire a situației privind plata reparației echitabile și măsurile individuale, prezentarea periodică de informații privind măsurile individuale și deciziile anterioare ale Comitetului potrivit cărora îmbunătățirea situației reclamanților aflați încă în detenție este strâns legată de măsurile generale, se sugerează ca prezenta examinare să se concentreze asupra chestiunii măsurilor generale.</w:t>
      </w:r>
    </w:p>
    <w:p w:rsidR="00AB33A5" w:rsidRPr="00AB33A5" w:rsidRDefault="00AB33A5" w:rsidP="00AB33A5">
      <w:pPr>
        <w:pStyle w:val="JuQuot"/>
        <w:rPr>
          <w:i/>
          <w:iCs/>
        </w:rPr>
      </w:pPr>
      <w:r>
        <w:rPr>
          <w:i/>
        </w:rPr>
        <w:t>1)  Măsuri de combatere a supraaglomerării carcerale</w:t>
      </w:r>
    </w:p>
    <w:p w:rsidR="00AB33A5" w:rsidRPr="00AB33A5" w:rsidRDefault="00AB33A5" w:rsidP="00AB33A5">
      <w:pPr>
        <w:pStyle w:val="JuQuot"/>
      </w:pPr>
      <w:r>
        <w:lastRenderedPageBreak/>
        <w:t>Autoritățile și-au demonstrat angajamentul de a rezolva problema supraaglomerării, punând la dispoziție locuri suplimentare și luând măsuri pentru începerea construcției a două noi penitenciare.</w:t>
      </w:r>
    </w:p>
    <w:p w:rsidR="00AB33A5" w:rsidRPr="00AB33A5" w:rsidRDefault="00AB33A5" w:rsidP="00AB33A5">
      <w:pPr>
        <w:pStyle w:val="JuQuot"/>
      </w:pPr>
      <w:r>
        <w:t>În același timp, preocupările exprimate de Comitet în cadrul examinărilor sale din martie 2021 și iunie 2023 cu privire la creșterea populației carcerale rămân pe deplin valabile, întrucât numărul deținuților a continuat să crească, în special în regimul semideschis (un total de 24 586 la 15 iulie 2024 pentru 19 542 de locuri). Această tendință ar putea afecta obiectivul autorităților de a rezolva problema până în 2025, ceea ce ar putea împiedica totodată eforturile de remediere a altor deficiențe, precum condițiile materiale necorespunzătoare, asistența medicală și serviciile de reintegrare socială.</w:t>
      </w:r>
    </w:p>
    <w:p w:rsidR="00AB33A5" w:rsidRPr="00AB33A5" w:rsidRDefault="00AB33A5" w:rsidP="00AB33A5">
      <w:pPr>
        <w:pStyle w:val="JuQuot"/>
      </w:pPr>
      <w:r>
        <w:t>Comitetul, Curtea și CPT au subliniat în repetate rânduri necesitatea de a găsi soluții durabile la supraaglomerarea carcerală, inclusiv reforme legislative și recurgerea sporită la măsuri de altă natură decât cele privative de libertate. În acest context, Comitetul ar putea dori să încurajeze autoritățile să pună în aplicare măsuri globale în acest sens, în conformitate cu orientările și recomandările europene, astfel cum se prevede în cea mai recentă analiză efectuată de Secretariat în Notele din iunie 2023</w:t>
      </w:r>
      <w:bookmarkStart w:id="20" w:name="_ftnref19"/>
      <w:bookmarkEnd w:id="20"/>
      <w:r>
        <w:t>.</w:t>
      </w:r>
    </w:p>
    <w:p w:rsidR="00AB33A5" w:rsidRPr="00AB33A5" w:rsidRDefault="00AB33A5" w:rsidP="00AB33A5">
      <w:pPr>
        <w:pStyle w:val="JuQuot"/>
      </w:pPr>
      <w:r>
        <w:t>Comitetul ar putea dori, de asemenea, să recunoască eforturile depuse de autorități pentru a reduce supraaglomerarea prin punerea în aplicare a unor măsuri de prevenire a recidivei.</w:t>
      </w:r>
    </w:p>
    <w:p w:rsidR="00AB33A5" w:rsidRPr="00AB33A5" w:rsidRDefault="00AB33A5" w:rsidP="00AB33A5">
      <w:pPr>
        <w:pStyle w:val="JuQuot"/>
      </w:pPr>
      <w:r>
        <w:t>Conform celor mai recente informații disponibile, autoritățile înregistrează progrese semnificative în ceea ce privește punerea în aplicare a programelor de reintegrare</w:t>
      </w:r>
      <w:bookmarkStart w:id="21" w:name="_ftnref20"/>
      <w:bookmarkEnd w:id="21"/>
      <w:r>
        <w:t xml:space="preserve"> în cooperare cu Ministerul Justiției și Serviciul de Probațiune, oferind asistență și formare personalului penitenciarelor și personalului de probațiune, astfel încât să poată colabora îndeaproape.</w:t>
      </w:r>
    </w:p>
    <w:p w:rsidR="00AB33A5" w:rsidRPr="00AB33A5" w:rsidRDefault="00AB33A5" w:rsidP="00AB33A5">
      <w:pPr>
        <w:pStyle w:val="JuQuot"/>
      </w:pPr>
      <w:r>
        <w:t>În acest context, este esențială consolidarea sistemului de probațiune prin creșterea efectivelor și prin asigurarea unor resurse adecvate pentru programele de reintegrare, având în vedere numărul mare de cauze (104 000 în total) sub supravegherea sistemului de probațiune, care gestionează zilnic peste 64 000 de dosare. Adoptarea de către Parlament a proiectului de lege privind statutul personalului de probațiune este de o importanță capitală.</w:t>
      </w:r>
    </w:p>
    <w:p w:rsidR="00AB33A5" w:rsidRPr="00AB33A5" w:rsidRDefault="00AB33A5" w:rsidP="00AB33A5">
      <w:pPr>
        <w:pStyle w:val="JuQuot"/>
      </w:pPr>
      <w:r>
        <w:t>Întrucât supravegherea electronică a fost recunoscută pentru potențialul său de a reduce supraaglomerarea carcerală, autoritățile ar putea fi invitate să furnizeze date privind proiectul în curs și să informeze Comitetul dacă intenționează să extindă supravegherea electronică la nivelul executării pedepselor.</w:t>
      </w:r>
    </w:p>
    <w:p w:rsidR="00AB33A5" w:rsidRPr="00AB33A5" w:rsidRDefault="00AB33A5" w:rsidP="00AB33A5">
      <w:pPr>
        <w:pStyle w:val="JuQuot"/>
      </w:pPr>
      <w:r>
        <w:t>Deși există în continuare provocări, cum ar fi creșterea numărului de deținuți</w:t>
      </w:r>
      <w:bookmarkStart w:id="22" w:name="_ftnref21"/>
      <w:bookmarkEnd w:id="22"/>
      <w:r>
        <w:t>, accentul pus pe îmbunătățirea infrastructurii, dezvoltarea punerii în aplicare a programelor de reintegrare socială și trecerea la măsuri de probațiune reprezintă progrese semnificative.</w:t>
      </w:r>
    </w:p>
    <w:p w:rsidR="00AB33A5" w:rsidRPr="00AB33A5" w:rsidRDefault="00AB33A5" w:rsidP="00AB33A5">
      <w:pPr>
        <w:pStyle w:val="JuQuot"/>
        <w:rPr>
          <w:i/>
          <w:iCs/>
        </w:rPr>
      </w:pPr>
      <w:r>
        <w:rPr>
          <w:i/>
        </w:rPr>
        <w:t>2)  Măsuri pentru îmbunătățirea condițiilor materiale din penitenciare</w:t>
      </w:r>
    </w:p>
    <w:p w:rsidR="00AB33A5" w:rsidRPr="00AB33A5" w:rsidRDefault="00AB33A5" w:rsidP="00AB33A5">
      <w:pPr>
        <w:pStyle w:val="JuQuot"/>
      </w:pPr>
      <w:r>
        <w:t>În 2021, CPT a constatat că, în cele patru penitenciare vizitate, condițiile materiale erau, în general, necorespunzătoare. În răspunsul lor, autoritățile au indicat că în două dintre aceste penitenciare (Craiova și Mărgineni) s-au creat locuri noi ulterior vizitei CPT.</w:t>
      </w:r>
    </w:p>
    <w:p w:rsidR="00AB33A5" w:rsidRPr="00AB33A5" w:rsidRDefault="00AB33A5" w:rsidP="00AB33A5">
      <w:pPr>
        <w:pStyle w:val="JuQuot"/>
      </w:pPr>
      <w:r>
        <w:t xml:space="preserve">Eforturile semnificative depuse de ANP pentru a menține spațiile existente într-o stare adecvată și pentru a îmbunătăți condițiile de viață ale deținuților constituie măsuri pozitive. În același timp, monitorizarea continuă, investițiile susținute și îmbunătățirea în continuare a infrastructurii sunt esențiale pentru a răspunde pe deplin solicitărilor </w:t>
      </w:r>
      <w:r>
        <w:lastRenderedPageBreak/>
        <w:t>Comitetului. Continuă să existe provocări în ceea ce privește finalizarea în timp util a renovărilor planificate și a construcției de noi penitenciare.</w:t>
      </w:r>
    </w:p>
    <w:p w:rsidR="00AB33A5" w:rsidRPr="00AB33A5" w:rsidRDefault="00AB33A5" w:rsidP="00AB33A5">
      <w:pPr>
        <w:pStyle w:val="JuQuot"/>
      </w:pPr>
      <w:r>
        <w:t>Comitetul de Miniștri ar putea dori să invite autoritățile să își intensifice eforturile de punere în aplicare a planului lor de acțiune în aceste domenii.</w:t>
      </w:r>
    </w:p>
    <w:p w:rsidR="00AB33A5" w:rsidRPr="00AB33A5" w:rsidRDefault="00AB33A5" w:rsidP="00AB33A5">
      <w:pPr>
        <w:pStyle w:val="JuQuot"/>
      </w:pPr>
      <w:r>
        <w:t>[...]</w:t>
      </w:r>
    </w:p>
    <w:p w:rsidR="00AB33A5" w:rsidRPr="00AB33A5" w:rsidRDefault="00AB33A5" w:rsidP="00AB33A5">
      <w:pPr>
        <w:pStyle w:val="JuQuot"/>
        <w:rPr>
          <w:i/>
          <w:iCs/>
        </w:rPr>
      </w:pPr>
      <w:r>
        <w:rPr>
          <w:i/>
        </w:rPr>
        <w:t>5)  Căi de atac interne</w:t>
      </w:r>
    </w:p>
    <w:p w:rsidR="00AB33A5" w:rsidRPr="00AB33A5" w:rsidRDefault="00AB33A5" w:rsidP="00AB33A5">
      <w:pPr>
        <w:pStyle w:val="JuQuot"/>
      </w:pPr>
      <w:r>
        <w:t>În ultima sa examinare a acestui grup de cauze, Comitetul a salutat călduros instituirea pe cale jurisprudențială a unui recurs compensatoriu efectiv pentru plângerile legate de condițiile necorespunzătoare de detenție și de transport.</w:t>
      </w:r>
    </w:p>
    <w:p w:rsidR="00AB33A5" w:rsidRPr="00AB33A5" w:rsidRDefault="00AB33A5" w:rsidP="00AB33A5">
      <w:pPr>
        <w:pStyle w:val="JuQuot"/>
      </w:pPr>
      <w:r>
        <w:t>În ceea ce privește recursul preventiv disponibil pentru a pune capăt unor astfel de situații, evaluarea Curții potrivit căreia funcționarea efectivă a acestuia depinde de îmbunătățiri suplimentare aduse penitenciarelor și centrelor de reținere și arestare preventivă rămâne valabilă. În plus, lipsa unui recurs preventiv efectiv duce la un aflux masiv de cauze repetitive în fața Curții.</w:t>
      </w:r>
    </w:p>
    <w:p w:rsidR="00AB33A5" w:rsidRPr="00AB33A5" w:rsidRDefault="00AB33A5" w:rsidP="00AB33A5">
      <w:pPr>
        <w:pStyle w:val="JuQuot"/>
      </w:pPr>
      <w:r>
        <w:t>Comitetul ar putea dori să încurajeze cu fermitate autoritățile să pună în aplicare măsuri de reducere a populației carcerale și de menținere a acesteia la un nivel gestionabil, pentru a permite funcționarea recursului preventiv existent.</w:t>
      </w:r>
    </w:p>
    <w:p w:rsidR="00AB33A5" w:rsidRPr="00AB33A5" w:rsidRDefault="00AB33A5" w:rsidP="00AB33A5">
      <w:pPr>
        <w:pStyle w:val="JuQuot"/>
      </w:pPr>
      <w:r>
        <w:t>În așteptarea unor progrese suficiente în acest domeniu, autoritățile ar putea fi invitate să ia în considerare modalități de consolidare a rolului judecătorilor de supraveghere a privării de libertate, deoarece încheierile prin care aceștia dispun ca administrația penitenciarului să remedieze deficiențele legate de condițiile de detenție, inclusiv în materie de spațiu de cazare, de condițiile de igienă necorespunzătoare și de accesul la îngrijire, pot avea un impact asupra persoanelor care se află încă în detenție și care se confruntă cu condiții necorespunzătoare.</w:t>
      </w:r>
    </w:p>
    <w:p w:rsidR="00AB33A5" w:rsidRPr="00AB33A5" w:rsidRDefault="00AB33A5" w:rsidP="00AB33A5">
      <w:pPr>
        <w:pStyle w:val="JuQuot"/>
        <w:rPr>
          <w:b/>
          <w:bCs/>
        </w:rPr>
      </w:pPr>
      <w:r>
        <w:rPr>
          <w:b/>
        </w:rPr>
        <w:t>Decizii:</w:t>
      </w:r>
    </w:p>
    <w:p w:rsidR="00AB33A5" w:rsidRPr="00AB33A5" w:rsidRDefault="00AB33A5" w:rsidP="00AB33A5">
      <w:pPr>
        <w:pStyle w:val="JuQuot"/>
      </w:pPr>
      <w:r>
        <w:t>Delegații</w:t>
      </w:r>
    </w:p>
    <w:p w:rsidR="00AB33A5" w:rsidRPr="00AB33A5" w:rsidRDefault="00AB33A5" w:rsidP="00AB33A5">
      <w:pPr>
        <w:pStyle w:val="JuQuot"/>
      </w:pPr>
      <w:r>
        <w:t>1. salută prezența Secretarului de stat în Ministerul Justiției, care demonstrează angajamentul României de a se conforma hotărârilor Curții;</w:t>
      </w:r>
    </w:p>
    <w:p w:rsidR="00AB33A5" w:rsidRPr="00AB33A5" w:rsidRDefault="00AB33A5" w:rsidP="00AB33A5">
      <w:pPr>
        <w:pStyle w:val="JuQuot"/>
      </w:pPr>
      <w:r>
        <w:t>2. reamintesc că obiectul acestor cauze îl constituie problemele structurale persistente ale supraaglomerării și condițiilor de detenție inumane și degradante din penitenciarele și din centrele de reținere și arestare preventivă din România, precum și problemele întâmpinate în punerea în aplicare efectivă a unui sistem de căi de atac în conformitate cu Convenția la nivel național;</w:t>
      </w:r>
    </w:p>
    <w:p w:rsidR="00AB33A5" w:rsidRPr="00AB33A5" w:rsidRDefault="00AB33A5" w:rsidP="00AB33A5">
      <w:pPr>
        <w:pStyle w:val="JuQuot"/>
      </w:pPr>
      <w:r>
        <w:t>3. reamintind sprijinul lor ferm pentru măsurile prezentate de autorități în cel mai recent plan de acțiune pentru soluționarea problemelor de fond care stau la baza hotărârilor grupului, iau act cu interes de informațiile privind progresele înregistrate, în special în ceea ce privește crearea de noi spații pentru cazarea deținuților, și salută angajamentul continuu al autorităților față de punerea lui în aplicare;</w:t>
      </w:r>
    </w:p>
    <w:p w:rsidR="00AB33A5" w:rsidRPr="00AB33A5" w:rsidRDefault="00AB33A5" w:rsidP="00AB33A5">
      <w:pPr>
        <w:pStyle w:val="JuQuot"/>
      </w:pPr>
      <w:r>
        <w:t>4. reiterează, totuși, îngrijorarea lor cu privire la persistența supraaglomerării carcerale în sistemul penitenciar și regretă că tendința ascendentă observată în cursul examinării lor din iunie 2023 a continuat, în special în regimul semideschis; subliniază încă o dată faptul că măsurile care vizează reducerea populației carcerale și menținerea acesteia la niveluri gestionabile, ca parte a unei politici penale raționale și coerente, sunt esențiale pentru găsirea unei soluții durabile;</w:t>
      </w:r>
    </w:p>
    <w:p w:rsidR="00AB33A5" w:rsidRPr="00AB33A5" w:rsidRDefault="00AB33A5" w:rsidP="00AB33A5">
      <w:pPr>
        <w:pStyle w:val="JuQuot"/>
      </w:pPr>
      <w:r>
        <w:t xml:space="preserve">5. reamintește, în acest sens, că autoritățile au în vedere o reformă a politicii penale a statului și le încurajează să pună în aplicare măsuri coerente în conformitate cu </w:t>
      </w:r>
      <w:r>
        <w:lastRenderedPageBreak/>
        <w:t>orientările și recomandările europene relevante; își exprimă satisfacția cu privire la măsurile luate pentru prevenirea recidivei și facilitarea reintegrării sociale și îndeamnă autoritățile să consolideze în continuare capacitatea Sistemului de probațiune și să adopte proiectul de lege privind statutul personalului de probațiune;</w:t>
      </w:r>
    </w:p>
    <w:p w:rsidR="00AB33A5" w:rsidRPr="00AB33A5" w:rsidRDefault="00AB33A5" w:rsidP="00AB33A5">
      <w:pPr>
        <w:pStyle w:val="JuQuot"/>
      </w:pPr>
      <w:r>
        <w:t>6. în ceea ce privește supraaglomerarea carcerală și condițiile materiale din penitenciare, iau act cu interes de începerea construcției a două noi penitenciare și de punerea la dispoziție a unor noi spații pentru deținuți; îndeamnă ferm autoritățile să finalizeze la timp lucrările de infrastructură planificate, să se asigure că spațiile existente sunt menținute într-o stare adecvată și să continue să corecteze dezechilibrele din repartizarea deținuților, în special în regimul semideschis;</w:t>
      </w:r>
    </w:p>
    <w:p w:rsidR="00AB33A5" w:rsidRPr="00AB33A5" w:rsidRDefault="00AB33A5" w:rsidP="00AB33A5">
      <w:pPr>
        <w:pStyle w:val="JuQuot"/>
      </w:pPr>
      <w:r>
        <w:t>7. salută inițiativa autorităților de a se baza pe cooperarea dintre Unitatea de cooperare polițienească și în materie de privare de libertate a Consiliului Europei, cu sprijinul Fondului Fiduciar pentru Drepturile Omului, pentru a consolida furnizarea de servicii de asistență medicală și de asistență psihiatrică deținuților; le invită să prezinte informații suplimentare cu privire la adoptarea și punerea în aplicare a strategiei de abordare a deficitului de personal din sistemul medical penitenciar;</w:t>
      </w:r>
    </w:p>
    <w:p w:rsidR="00AB33A5" w:rsidRPr="00AB33A5" w:rsidRDefault="00AB33A5" w:rsidP="00AB33A5">
      <w:pPr>
        <w:pStyle w:val="JuQuot"/>
      </w:pPr>
      <w:r>
        <w:t>8. reiterează îndemnul adresat autorităților de a demonstra că planurile lor de modernizare și renovare a rețelei existente de centre de reținere și arestare preventivă ale poliției asigură faptul că noile centre, precum și cele renovate, vor oferi condiții corespunzătoare pe durata șederii deținuților, inclusiv un regim adecvat de activități în afara camerei și spații echipate corespunzător pentru aceste activități; încurajează ferm autoritățile să faciliteze transferul rapid al persoanelor din centrele de reținere și arestare preventivă ale poliției la unități penitenciare;</w:t>
      </w:r>
    </w:p>
    <w:p w:rsidR="00AB33A5" w:rsidRPr="00AB33A5" w:rsidRDefault="00AB33A5" w:rsidP="00AB33A5">
      <w:pPr>
        <w:pStyle w:val="JuQuot"/>
      </w:pPr>
      <w:r>
        <w:t>9. în ceea ce privește sistemul căilor de atac interne, salută consolidarea în jurisprudență a recursului compensatoriu efectiv și încurajează autoritățile să consolideze rolul judecătorului de supraveghere a privării de libertate, care ar putea remedia anumite aspecte legate de condițiile materiale de detenție, până la reducerea populației carcerale la un nivel care să permită buna funcționare a recursului preventiv;</w:t>
      </w:r>
    </w:p>
    <w:p w:rsidR="00AB33A5" w:rsidRPr="00AB33A5" w:rsidRDefault="00AB33A5" w:rsidP="00AB33A5">
      <w:pPr>
        <w:pStyle w:val="JuQuot"/>
      </w:pPr>
      <w:r>
        <w:t>10. iau act de informațiile prezentate de autorități, cu puțin timp înaintea dar și în timpul reuniunii, cu date actualizate privind lucrările de reparații și numărul de locuri de detenție, precum și numeroase exemple de jurisprudență internă privind exercitarea recursului preventiv în fața judecătorului de supraveghere a privării de libertate și solicită Secretariatului să le evalueze; solicită autorităților să prezinte informații cu privire la diferitele alte puncte menționate mai sus și cu privire la aspectele evidențiate în analiza Secretariatului până la 30 septembrie 2025 și decid să reia examinarea acestui grup de cauze în cadrul reuniunii lor în format Drepturile Omului din decembrie 2025.”</w:t>
      </w:r>
    </w:p>
    <w:p w:rsidR="00AB33A5" w:rsidRPr="00AB33A5" w:rsidRDefault="00AB33A5" w:rsidP="00AB33A5">
      <w:pPr>
        <w:pStyle w:val="JuH1"/>
      </w:pPr>
      <w:r>
        <w:t>Statisticile anuale în materie penală ale Consiliului Europei (SPACE)</w:t>
      </w:r>
    </w:p>
    <w:bookmarkStart w:id="23" w:name="para20"/>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21</w:t>
      </w:r>
      <w:r w:rsidRPr="00AB33A5">
        <w:fldChar w:fldCharType="end"/>
      </w:r>
      <w:bookmarkEnd w:id="23"/>
      <w:r>
        <w:t>.  După cum reiese din datele statistice publicate de Consiliul Europei (SPACE I 2023 – evoluția indicelui de ocupare a penitenciarelor în perioada 2013–2023), situația în România era următoarea: 165,4 % în 2013; 158,6 % în 2014; 144,1 % în 2015; 140,5 % în 2016; 118 % în 2018; 106,6 % în 2019; 106,5 % în 2020; 113,5 % în 2021; 120,9 % în 2022 și 120,9 % în 2023. La 31 ianuarie 2023, indicele de ocupare era de 120,3 %.</w:t>
      </w:r>
    </w:p>
    <w:bookmarkStart w:id="24" w:name="para21"/>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22</w:t>
      </w:r>
      <w:r w:rsidRPr="00AB33A5">
        <w:fldChar w:fldCharType="end"/>
      </w:r>
      <w:bookmarkEnd w:id="24"/>
      <w:r>
        <w:t>.  Potrivit constatărilor raportului SPACE publicat în 2024, indicele de ocupare a penitenciarelor din România a fost de 116 %.</w:t>
      </w:r>
    </w:p>
    <w:p w:rsidR="00AB33A5" w:rsidRPr="00AB33A5" w:rsidRDefault="00AB33A5" w:rsidP="00AB33A5">
      <w:pPr>
        <w:pStyle w:val="JuHHead"/>
      </w:pPr>
      <w:r>
        <w:lastRenderedPageBreak/>
        <w:t>CAPETE DE CERERE</w:t>
      </w:r>
    </w:p>
    <w:bookmarkStart w:id="25" w:name="para23"/>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23</w:t>
      </w:r>
      <w:r w:rsidRPr="00AB33A5">
        <w:fldChar w:fldCharType="end"/>
      </w:r>
      <w:bookmarkEnd w:id="25"/>
      <w:r>
        <w:t>.  Invocând art. 3 din Convenție, reclamantul susține că condițiile în care a fost deținut în Centrul de Reținere și Arestare Preventivă Vrancea și în penitenciarele Focșani, Galați și Craiova echivalează cu tratamente inumane și degradante în formă continuată.</w:t>
      </w:r>
    </w:p>
    <w:p w:rsidR="00AB33A5" w:rsidRPr="00AB33A5" w:rsidRDefault="00AB33A5" w:rsidP="00AB33A5">
      <w:pPr>
        <w:pStyle w:val="JuHHead"/>
      </w:pPr>
      <w:r>
        <w:t>ÎN DREPT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24</w:t>
      </w:r>
      <w:r>
        <w:fldChar w:fldCharType="end"/>
      </w:r>
      <w:r w:rsidR="00C0055C">
        <w:t>.  Cauza a fost comunicată în raport cu art. 3 și art. 13 din Convenție. Având în vedere circumstanțele specifice ale cauzei și capetele de cerere formulate de reclamant, Curtea consideră oportun să examineze aceste capete exclusiv în raport cu art. 3 din Convenție, care prevede următoarele:</w:t>
      </w:r>
    </w:p>
    <w:p w:rsidR="00AB33A5" w:rsidRPr="00AB33A5" w:rsidRDefault="00AB33A5" w:rsidP="00AB33A5">
      <w:pPr>
        <w:pStyle w:val="JuHArticle"/>
      </w:pPr>
      <w:r>
        <w:t>Art. 3</w:t>
      </w:r>
    </w:p>
    <w:p w:rsidR="00AB33A5" w:rsidRPr="00AB33A5" w:rsidRDefault="00AB33A5" w:rsidP="00AB33A5">
      <w:pPr>
        <w:pStyle w:val="JuQuot"/>
      </w:pPr>
      <w:r>
        <w:t>„Nimeni nu poate fi supus torturii, nici pedepselor sau tratamentelor inumane ori degradante.”</w:t>
      </w:r>
    </w:p>
    <w:p w:rsidR="00AB33A5" w:rsidRPr="00AB33A5" w:rsidRDefault="00AB33A5" w:rsidP="00AB33A5">
      <w:pPr>
        <w:pStyle w:val="JuHA"/>
      </w:pPr>
      <w:r>
        <w:t>Cu privire la condițiile materiale în care reclamantul a fost deținut în Centrul de Reținere și Arestare Preventivă Vrancea și în penitenciarele Focșani, Galați și Craiova în perioada 26 februarie 2019–28 martie 2024</w:t>
      </w:r>
    </w:p>
    <w:p w:rsidR="00AB33A5" w:rsidRPr="00AB33A5" w:rsidRDefault="00AB33A5" w:rsidP="00AB33A5">
      <w:pPr>
        <w:pStyle w:val="JuH1"/>
      </w:pPr>
      <w:r>
        <w:t>Condițiile în care reclamantul a fost deținut în Centrul de Reținere și Arestare Preventivă Vrancea și în Penitenciarele Focșani și Galați în perioada 27 iunie 2019–1 octombrie 2023</w:t>
      </w:r>
    </w:p>
    <w:bookmarkStart w:id="26" w:name="para2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25</w:t>
      </w:r>
      <w:r w:rsidRPr="00AB33A5">
        <w:fldChar w:fldCharType="end"/>
      </w:r>
      <w:bookmarkEnd w:id="26"/>
      <w:r>
        <w:t>.  Guvernul consideră că reclamantul, contrar capetelor de cerere incluse în formularul său inițial de cerere din 20 februarie 2023, a beneficiat de un spațiu individual corespunzător, între 3,6 m² și 18 m², pe durata încarcerării sale în Penitenciarul Galați în perioada 26 martie 2020–1 octombrie 2023. În acest sens, ridică mai multe excepții preliminare și solicită Curții să constate, în același timp, că sunt tardive capetele de cerere și că sunt vădit nefondate, precum și că nu au fost epuizate căile de atac interne (recursul preventiv și cel compensatoriu).</w:t>
      </w:r>
    </w:p>
    <w:bookmarkStart w:id="27" w:name="para25"/>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26</w:t>
      </w:r>
      <w:r w:rsidRPr="00AB33A5">
        <w:fldChar w:fldCharType="end"/>
      </w:r>
      <w:bookmarkEnd w:id="27"/>
      <w:r>
        <w:t>.  Reclamantul nu a prezentat observații în această privință.</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27</w:t>
      </w:r>
      <w:r>
        <w:fldChar w:fldCharType="end"/>
      </w:r>
      <w:r w:rsidR="00C0055C">
        <w:t>.  Curtea constată că reclamantul, în formularul inițial de cerere din 20 februarie 2023, referitor la condițiile de detenție în care considera că a fost ținut în locurile de deținere în care a fost deținut consecutiv (Centrul de Reținere și Arestare Preventivă Vrancea și Penitenciarele Focșani și Galați) (</w:t>
      </w:r>
      <w:r w:rsidR="00C0055C">
        <w:rPr>
          <w:i/>
          <w:iCs/>
        </w:rPr>
        <w:t>supra</w:t>
      </w:r>
      <w:r w:rsidR="00C0055C">
        <w:t xml:space="preserve">, pct. </w:t>
      </w:r>
      <w:r w:rsidR="00AB33A5" w:rsidRPr="00AB33A5">
        <w:fldChar w:fldCharType="begin"/>
      </w:r>
      <w:r w:rsidR="00AB33A5" w:rsidRPr="00AB33A5">
        <w:instrText xml:space="preserve"> REF para4 \h </w:instrText>
      </w:r>
      <w:r w:rsidR="00AB33A5" w:rsidRPr="00AB33A5">
        <w:fldChar w:fldCharType="separate"/>
      </w:r>
      <w:r w:rsidR="00AB33A5" w:rsidRPr="00AB33A5">
        <w:t>5</w:t>
      </w:r>
      <w:r w:rsidR="00AB33A5" w:rsidRPr="00AB33A5">
        <w:fldChar w:fldCharType="end"/>
      </w:r>
      <w:r w:rsidR="00C0055C">
        <w:t>), a denunțat o situație de supraaglomerare.</w:t>
      </w:r>
    </w:p>
    <w:p w:rsidR="00AB33A5" w:rsidRPr="00AB33A5" w:rsidRDefault="008D6FED" w:rsidP="00AB33A5">
      <w:pPr>
        <w:pStyle w:val="JuPara"/>
      </w:pPr>
      <w:r>
        <w:fldChar w:fldCharType="begin"/>
      </w:r>
      <w:r>
        <w:instrText xml:space="preserve"> SE</w:instrText>
      </w:r>
      <w:r>
        <w:instrText xml:space="preserve">Q level0 \*arabic \* MERGEFORMAT </w:instrText>
      </w:r>
      <w:r>
        <w:fldChar w:fldCharType="separate"/>
      </w:r>
      <w:bookmarkStart w:id="28" w:name="paragraph00027"/>
      <w:r w:rsidR="00AB33A5" w:rsidRPr="00AB33A5">
        <w:t>28</w:t>
      </w:r>
      <w:bookmarkEnd w:id="28"/>
      <w:r>
        <w:fldChar w:fldCharType="end"/>
      </w:r>
      <w:r w:rsidR="00C0055C">
        <w:t xml:space="preserve">.  Subliniază în această privință că, în cazul în care un deținut dispune de un spațiu individual cuprins între 3 și 4 m² în camera sa, factorul spațiu rămâne un element semnificativ în aprecierea de către Curte a caracterului corespunzător sau necorespunzător al condițiilor de detenție. Într-un astfel de </w:t>
      </w:r>
      <w:r w:rsidR="00C0055C">
        <w:lastRenderedPageBreak/>
        <w:t xml:space="preserve">caz, va constata o încălcare a art. 3 dacă lipsa spațiului este însoțită de alte condiții materiale necorespunzătoare de detenție, inclusiv lipsa accesului la curtea de plimbare sau la aer și lumină din surse naturale, aerisire necorespunzătoare, temperatură insuficientă sau prea ridicată în incintă, lipsa intimității la toaletă sau condiții </w:t>
      </w:r>
      <w:proofErr w:type="spellStart"/>
      <w:r w:rsidR="00C0055C">
        <w:t>igienico</w:t>
      </w:r>
      <w:proofErr w:type="spellEnd"/>
      <w:r w:rsidR="00C0055C">
        <w:t>-sanitare necorespunzătoare. Atunci când un deținut are la dispoziție mai mult de 4 m² de spațiu individual, acest factor, în sine, nu ridică o problemă în raport cu art. 3 din Convenție [</w:t>
      </w:r>
      <w:bookmarkStart w:id="29" w:name="_cl12439"/>
      <w:proofErr w:type="spellStart"/>
      <w:r w:rsidR="00C0055C">
        <w:rPr>
          <w:i/>
          <w:iCs/>
        </w:rPr>
        <w:t>Muršić</w:t>
      </w:r>
      <w:proofErr w:type="spellEnd"/>
      <w:r w:rsidR="00C0055C">
        <w:rPr>
          <w:i/>
          <w:iCs/>
        </w:rPr>
        <w:t xml:space="preserve"> împotriva Croației</w:t>
      </w:r>
      <w:bookmarkEnd w:id="29"/>
      <w:r w:rsidR="00C0055C">
        <w:t xml:space="preserve"> (MC), nr. 7334/13, pct. 136-141, 20 octombrie 2016].</w:t>
      </w:r>
    </w:p>
    <w:bookmarkStart w:id="30" w:name="para26"/>
    <w:bookmarkStart w:id="31" w:name="para29"/>
    <w:bookmarkStart w:id="32" w:name="para28"/>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29</w:t>
      </w:r>
      <w:r w:rsidRPr="00AB33A5">
        <w:fldChar w:fldCharType="end"/>
      </w:r>
      <w:bookmarkEnd w:id="30"/>
      <w:bookmarkEnd w:id="31"/>
      <w:bookmarkEnd w:id="32"/>
      <w:r>
        <w:t>.  În ceea ce privește, în primul rând, perioada de încarcerare în Penitenciarul Galați, cuprinsă între 26 martie 2020 și 1 octombrie 2023, la care se referă Guvernul în excepțiile sale preliminare (</w:t>
      </w:r>
      <w:r>
        <w:rPr>
          <w:i/>
          <w:iCs/>
        </w:rPr>
        <w:t>supra</w:t>
      </w:r>
      <w:r>
        <w:t xml:space="preserve">, pct. </w:t>
      </w:r>
      <w:r w:rsidRPr="00AB33A5">
        <w:fldChar w:fldCharType="begin"/>
      </w:r>
      <w:r w:rsidRPr="00AB33A5">
        <w:instrText xml:space="preserve"> REF para24 \h </w:instrText>
      </w:r>
      <w:r w:rsidRPr="00AB33A5">
        <w:fldChar w:fldCharType="separate"/>
      </w:r>
      <w:r w:rsidRPr="00AB33A5">
        <w:t>25</w:t>
      </w:r>
      <w:r w:rsidRPr="00AB33A5">
        <w:fldChar w:fldCharType="end"/>
      </w:r>
      <w:r>
        <w:t>), Curtea constată că, astfel cum reiese din elementele dosarului, spațiul individual al reclamantului, calculat potrivit criteriilor adoptate de Curte, s-a situat între 3,6 și 18 m². Prin urmare, reclamantul a beneficiat de un spațiu individual cuprins între 3 și 4 m², niciun alt aspect referitor la condițiile de detenție nefiind repus în discuție de persoana în cauză, precum și de un spațiu individual de peste 4 m² în celelalte perioade în care reclamantul a fost deținut în acest penitenciar (</w:t>
      </w:r>
      <w:r>
        <w:rPr>
          <w:i/>
          <w:iCs/>
        </w:rPr>
        <w:t>supra</w:t>
      </w:r>
      <w:r>
        <w:t>, pct. </w:t>
      </w:r>
      <w:r w:rsidRPr="00AB33A5">
        <w:fldChar w:fldCharType="begin"/>
      </w:r>
      <w:r w:rsidRPr="00AB33A5">
        <w:instrText xml:space="preserve"> REF para6 \h </w:instrText>
      </w:r>
      <w:r w:rsidRPr="00AB33A5">
        <w:fldChar w:fldCharType="separate"/>
      </w:r>
      <w:r w:rsidRPr="00AB33A5">
        <w:t>7</w:t>
      </w:r>
      <w:r w:rsidRPr="00AB33A5">
        <w:fldChar w:fldCharType="end"/>
      </w:r>
      <w:r>
        <w:t>). Această constatare este de natură să confirme argumentul Guvernului, potrivit căruia capetele de cerere referitoare la perioada de încarcerare menționată sunt în mod vădit nefondate (</w:t>
      </w:r>
      <w:proofErr w:type="spellStart"/>
      <w:r>
        <w:rPr>
          <w:i/>
          <w:iCs/>
        </w:rPr>
        <w:t>Muršić</w:t>
      </w:r>
      <w:proofErr w:type="spellEnd"/>
      <w:r>
        <w:t xml:space="preserve">, citată anterior, pct. 139-140 – </w:t>
      </w:r>
      <w:r>
        <w:rPr>
          <w:i/>
          <w:iCs/>
        </w:rPr>
        <w:t>supra</w:t>
      </w:r>
      <w:r>
        <w:t>, pct. </w:t>
      </w:r>
      <w:r w:rsidRPr="00AB33A5">
        <w:fldChar w:fldCharType="begin"/>
      </w:r>
      <w:r w:rsidRPr="00AB33A5">
        <w:instrText xml:space="preserve"> REF para24 \h </w:instrText>
      </w:r>
      <w:r w:rsidRPr="00AB33A5">
        <w:fldChar w:fldCharType="separate"/>
      </w:r>
      <w:r w:rsidRPr="00AB33A5">
        <w:t>25</w:t>
      </w:r>
      <w:r w:rsidRPr="00AB33A5">
        <w:fldChar w:fldCharType="end"/>
      </w:r>
      <w:r>
        <w:t>). În consecință, aceste capete de cerere trebuie să fie declarate inadmisibile în temeiul art. 35 § 3 lit. a) din Convenție.</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30</w:t>
      </w:r>
      <w:r>
        <w:fldChar w:fldCharType="end"/>
      </w:r>
      <w:r w:rsidR="00C0055C">
        <w:t>.  Având în vedere concluzia la care a ajuns la punctul precedent, Curtea consideră că reclamantul nu mai era deținut în condiții contrare art. 3 din Convenție la momentul transferului său la Penitenciarul Galați, acest transfer punând capăt situației continue de care s-a plâns în ceea ce privește condițiile de detenție din Centrul de Reținere și Arestare Preventivă Vrancea și din Penitenciarul Focșani. Curtea consideră că reclamantul ar fi trebuit să introducă un recurs compensatoriu în cadrul unei acțiuni în răspundere civilă delictuală, pentru a îndeplini cerința prevăzută la art. 35 § 1 din Convenție.</w:t>
      </w:r>
    </w:p>
    <w:bookmarkStart w:id="33" w:name="para30"/>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31</w:t>
      </w:r>
      <w:r w:rsidRPr="00AB33A5">
        <w:fldChar w:fldCharType="end"/>
      </w:r>
      <w:bookmarkEnd w:id="33"/>
      <w:r>
        <w:t>.  În această privință, Curtea amintește că a statuat deja că o acțiune în răspunderea statului ca urmare a caracterului nedemn al condițiilor de detenție constituie un recurs compensatoriu pe care l-a caracterizat ca fiind disponibil și adecvat, cu alte cuvinte ca având perspective rezonabile de succes, începând cu 13 ianuarie 2021, pentru reclamanții care au fost expuși unor condiții de detenție necorespunzătoare [</w:t>
      </w:r>
      <w:r>
        <w:rPr>
          <w:i/>
          <w:iCs/>
        </w:rPr>
        <w:t>Polgar împotriva României</w:t>
      </w:r>
      <w:r>
        <w:t xml:space="preserve">, nr. 39412/19, pct. 77-97, 20 iulie 2021, și </w:t>
      </w:r>
      <w:r>
        <w:rPr>
          <w:i/>
          <w:iCs/>
        </w:rPr>
        <w:t>Vlad împotriva României</w:t>
      </w:r>
      <w:r>
        <w:t xml:space="preserve"> (dec.), nr. 122/17, pct. 22-33, 15 noiembrie 2022 – </w:t>
      </w:r>
      <w:r>
        <w:rPr>
          <w:i/>
          <w:iCs/>
        </w:rPr>
        <w:t>infra</w:t>
      </w:r>
      <w:r>
        <w:t xml:space="preserve">, pct. </w:t>
      </w:r>
      <w:r w:rsidRPr="00AB33A5">
        <w:fldChar w:fldCharType="begin"/>
      </w:r>
      <w:r w:rsidRPr="00AB33A5">
        <w:instrText xml:space="preserve"> REF paragraph00038 \h  \* CharFormat </w:instrText>
      </w:r>
      <w:r w:rsidRPr="00AB33A5">
        <w:fldChar w:fldCharType="separate"/>
      </w:r>
      <w:r w:rsidRPr="00AB33A5">
        <w:t>40</w:t>
      </w:r>
      <w:r w:rsidRPr="00AB33A5">
        <w:fldChar w:fldCharType="end"/>
      </w:r>
      <w:r>
        <w:t xml:space="preserve">]. Într-o astfel de ipoteză, aceasta impune reclamanților, odată puși în libertate sau transferați într-o altă cameră, să exercite acest recurs compensatoriu pentru a respecta regula epuizării căilor de atac interne prevăzută la art. 35 § 1 din Convenție (a se vedea, </w:t>
      </w:r>
      <w:r>
        <w:rPr>
          <w:i/>
          <w:iCs/>
        </w:rPr>
        <w:t>mutatis mutandis</w:t>
      </w:r>
      <w:r>
        <w:t xml:space="preserve">, </w:t>
      </w:r>
      <w:bookmarkStart w:id="34" w:name="_cl44121ENDROIT"/>
      <w:r>
        <w:rPr>
          <w:i/>
          <w:iCs/>
        </w:rPr>
        <w:t>Leroy și alții împotriva Franței</w:t>
      </w:r>
      <w:bookmarkEnd w:id="34"/>
      <w:r>
        <w:t xml:space="preserve">, nr. 32439/19 și alte 2, pct. 59, 18 aprilie 2024, precum și trimiterile citate). În cazul </w:t>
      </w:r>
      <w:r>
        <w:lastRenderedPageBreak/>
        <w:t>reclamantului, un astfel de recurs compensatoriu ar fi putut fi formulat după 13 ianuarie 2021, când reclamantul era încarcerat în Penitenciarul Galați (</w:t>
      </w:r>
      <w:r>
        <w:rPr>
          <w:i/>
          <w:iCs/>
        </w:rPr>
        <w:t>supra</w:t>
      </w:r>
      <w:r>
        <w:t xml:space="preserve">, pct. 3 și </w:t>
      </w:r>
      <w:r>
        <w:rPr>
          <w:i/>
          <w:iCs/>
        </w:rPr>
        <w:t>Vlad</w:t>
      </w:r>
      <w:r>
        <w:t>, decizie citată anterior, pct. 23 și 31).</w:t>
      </w:r>
    </w:p>
    <w:bookmarkStart w:id="35" w:name="para31"/>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32</w:t>
      </w:r>
      <w:r w:rsidRPr="00AB33A5">
        <w:fldChar w:fldCharType="end"/>
      </w:r>
      <w:bookmarkEnd w:id="35"/>
      <w:r>
        <w:t>.  Prin urmare, Curtea nu mai consideră necesar să examineze celelalte excepții ridicate de Guvern, deoarece această parte a cererii trebuie respinsă pentru neepuizarea căilor de atac interne în conformitate cu art. 35 § 1 și 4 din Convenție.</w:t>
      </w:r>
    </w:p>
    <w:p w:rsidR="00AB33A5" w:rsidRPr="00AB33A5" w:rsidRDefault="00AB33A5" w:rsidP="00AB33A5">
      <w:pPr>
        <w:pStyle w:val="JuH1"/>
      </w:pPr>
      <w:r>
        <w:t>Cu privire la condițiile în care reclamantul a fost deținut în penitenciarele din Craiova și Galați în perioada 1 octombrie 2023–28 martie 2024</w:t>
      </w:r>
    </w:p>
    <w:bookmarkStart w:id="36" w:name="para32"/>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33</w:t>
      </w:r>
      <w:r w:rsidRPr="00AB33A5">
        <w:fldChar w:fldCharType="end"/>
      </w:r>
      <w:bookmarkEnd w:id="36"/>
      <w:r>
        <w:t>.  Guvernul solicită Curții să constate caracterul în mod vădit nefondat și neepuizarea căilor de atac interne (cea preventivă și cea compensatorie) în cazul capetelor de cerere formulate de reclamant cu privire la detenția sa în Penitenciarul Craiova (1 octombrie 2023–18 martie 2024), precum și caracterul în mod vădit nefondat al capetelor de cerere referitoare la pretinsa supraaglomerare din Penitenciarul Galați (18 martie–28 martie 2024). Reclamantul nu a formulat vreo observație specifică privind aceste puncte.</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34</w:t>
      </w:r>
      <w:r>
        <w:fldChar w:fldCharType="end"/>
      </w:r>
      <w:r w:rsidR="00C0055C">
        <w:t>.  Potrivit Curții, aceeași constatare ca cea la care a ajuns la pct. </w:t>
      </w:r>
      <w:r w:rsidR="00AB33A5" w:rsidRPr="00AB33A5">
        <w:fldChar w:fldCharType="begin"/>
      </w:r>
      <w:r w:rsidR="00AB33A5" w:rsidRPr="00AB33A5">
        <w:instrText xml:space="preserve"> REF para29 \h </w:instrText>
      </w:r>
      <w:r w:rsidR="00AB33A5" w:rsidRPr="00AB33A5">
        <w:fldChar w:fldCharType="separate"/>
      </w:r>
      <w:r w:rsidR="00AB33A5" w:rsidRPr="00AB33A5">
        <w:t>29</w:t>
      </w:r>
      <w:r w:rsidR="00AB33A5" w:rsidRPr="00AB33A5">
        <w:fldChar w:fldCharType="end"/>
      </w:r>
      <w:r w:rsidR="00C0055C">
        <w:t xml:space="preserve"> </w:t>
      </w:r>
      <w:r w:rsidR="00C0055C">
        <w:rPr>
          <w:i/>
          <w:iCs/>
        </w:rPr>
        <w:t>supra</w:t>
      </w:r>
      <w:r w:rsidR="00C0055C">
        <w:t xml:space="preserve"> se aplică și capetelor de cerere referitoare la condițiile materiale în care reclamantul a fost deținut în perioada 18–28 martie 2024 în Penitenciarul Galați, unde respectivul a avut un spațiu individual de 18 m², situație care nu contravine art. 3 din Convenție (</w:t>
      </w:r>
      <w:proofErr w:type="spellStart"/>
      <w:r w:rsidR="00C0055C">
        <w:rPr>
          <w:i/>
          <w:iCs/>
        </w:rPr>
        <w:t>Muršić</w:t>
      </w:r>
      <w:proofErr w:type="spellEnd"/>
      <w:r w:rsidR="00C0055C">
        <w:t xml:space="preserve">, citată anterior, pct. 140 – </w:t>
      </w:r>
      <w:r w:rsidR="00C0055C">
        <w:rPr>
          <w:i/>
          <w:iCs/>
        </w:rPr>
        <w:t>supra</w:t>
      </w:r>
      <w:r w:rsidR="00C0055C">
        <w:t xml:space="preserve">, pct. </w:t>
      </w:r>
      <w:r w:rsidR="00AB33A5" w:rsidRPr="00AB33A5">
        <w:fldChar w:fldCharType="begin"/>
      </w:r>
      <w:r w:rsidR="00AB33A5" w:rsidRPr="00AB33A5">
        <w:instrText xml:space="preserve"> REF paragraph00027 \h  \* CharFormat </w:instrText>
      </w:r>
      <w:r w:rsidR="00AB33A5" w:rsidRPr="00AB33A5">
        <w:fldChar w:fldCharType="separate"/>
      </w:r>
      <w:r w:rsidR="00AB33A5" w:rsidRPr="00AB33A5">
        <w:t>28</w:t>
      </w:r>
      <w:r w:rsidR="00AB33A5" w:rsidRPr="00AB33A5">
        <w:fldChar w:fldCharType="end"/>
      </w:r>
      <w:r w:rsidR="00C0055C">
        <w:t>). Aceste capete de cerere trebuie să fie respinse ca vădit nefondate și declarate inadmisibile în temeiul art. 35 § 3 lit. a) din Convenție.</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35</w:t>
      </w:r>
      <w:r>
        <w:fldChar w:fldCharType="end"/>
      </w:r>
      <w:r w:rsidR="00C0055C">
        <w:t>.  Astfel, întrucât condițiile în care reclamantul a fost deținut în Penitenciarul Craiova în perioada 1 octombrie 2023–18 martie 2024, pe care le consideră contrare art. 3, au încetat odată cu transferul acestuia în Penitenciarul Galați, Curtea consideră că reclamantul ar fi trebuit să exercite recursul compensatoriu pe care îl avea la dispoziție (</w:t>
      </w:r>
      <w:r w:rsidR="00C0055C">
        <w:rPr>
          <w:i/>
          <w:iCs/>
        </w:rPr>
        <w:t>Polgar</w:t>
      </w:r>
      <w:r w:rsidR="00C0055C">
        <w:t>, citată anterior, pct. 77</w:t>
      </w:r>
      <w:r w:rsidR="00C0055C">
        <w:noBreakHyphen/>
        <w:t xml:space="preserve">97, </w:t>
      </w:r>
      <w:r w:rsidR="00C0055C">
        <w:rPr>
          <w:i/>
          <w:iCs/>
        </w:rPr>
        <w:t>Vlad</w:t>
      </w:r>
      <w:r w:rsidR="00C0055C">
        <w:t xml:space="preserve">, decizie citată anterior, pct. 22-33; a se vedea, </w:t>
      </w:r>
      <w:r w:rsidR="00C0055C">
        <w:rPr>
          <w:i/>
          <w:iCs/>
        </w:rPr>
        <w:t>mutatis mutandis</w:t>
      </w:r>
      <w:r w:rsidR="00C0055C">
        <w:t xml:space="preserve">, </w:t>
      </w:r>
      <w:r w:rsidR="00C0055C">
        <w:rPr>
          <w:i/>
          <w:iCs/>
        </w:rPr>
        <w:t>Leroy și alții</w:t>
      </w:r>
      <w:r w:rsidR="00C0055C">
        <w:t>, citată anterior, pct. 59 și trimiterile citate).</w:t>
      </w:r>
    </w:p>
    <w:bookmarkStart w:id="37" w:name="para3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36</w:t>
      </w:r>
      <w:r w:rsidRPr="00AB33A5">
        <w:fldChar w:fldCharType="end"/>
      </w:r>
      <w:bookmarkEnd w:id="37"/>
      <w:r>
        <w:t>.  În consecință, această parte a cererii trebuie să fie respinsă pentru neepuizarea căilor de atac interne în conformitate cu art. 35 § 1 și 4 din Convenție în ceea ce privește capetele de cerere întemeiate pe art. 3 din Convenție.</w:t>
      </w:r>
      <w:r>
        <w:rPr>
          <w:color w:val="0072BC" w:themeColor="accent1"/>
        </w:rPr>
        <w:t xml:space="preserve"> </w:t>
      </w:r>
      <w:r>
        <w:t>Această concluzie exonerează Curtea de obligația de a se pronunța asupra celorlalte excepții preliminare ridicate de Guvern.</w:t>
      </w:r>
    </w:p>
    <w:p w:rsidR="00AB33A5" w:rsidRPr="00AB33A5" w:rsidRDefault="00AB33A5" w:rsidP="00AB33A5">
      <w:pPr>
        <w:pStyle w:val="JuHA"/>
      </w:pPr>
      <w:r>
        <w:t>Cu privire la condițiile materiale de detenție din Penitenciarul Craiova în care reclamantul se află de la 28 martie 2024 și până în prezent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37</w:t>
      </w:r>
      <w:r>
        <w:fldChar w:fldCharType="end"/>
      </w:r>
      <w:r w:rsidR="00C0055C">
        <w:t xml:space="preserve">.  Guvernul invocă neepuizarea căilor de atac interne. Susține că reclamantul a avut la dispoziție două căi de atac pe care nu le-a exercitat: </w:t>
      </w:r>
      <w:r w:rsidR="00C0055C">
        <w:lastRenderedPageBreak/>
        <w:t xml:space="preserve">recursul preventiv prevăzut de Legea nr. 254/2013 privind executarea pedepselor și a măsurilor privative de libertate dispuse de organele judiciare în cursul procesului penal („Legea nr. 254/2013”) și cel compensatoriu confirmat deja prin hotărârea </w:t>
      </w:r>
      <w:r w:rsidR="00C0055C">
        <w:rPr>
          <w:i/>
          <w:iCs/>
        </w:rPr>
        <w:t>Polgar</w:t>
      </w:r>
      <w:r w:rsidR="00C0055C">
        <w:t xml:space="preserve"> (citată anterior, pct. 77</w:t>
      </w:r>
      <w:r w:rsidR="00C0055C">
        <w:noBreakHyphen/>
        <w:t xml:space="preserve">97) și decizia </w:t>
      </w:r>
      <w:r w:rsidR="00C0055C">
        <w:rPr>
          <w:i/>
          <w:iCs/>
        </w:rPr>
        <w:t>Vlad</w:t>
      </w:r>
      <w:r w:rsidR="00C0055C">
        <w:t xml:space="preserve"> (citată anterior, pct. 22-33).</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38</w:t>
      </w:r>
      <w:r>
        <w:fldChar w:fldCharType="end"/>
      </w:r>
      <w:r w:rsidR="00C0055C">
        <w:t>.  Reclamantul reiterează caracterul necorespunzător al condițiilor sale materiale de detenție în penitenciarul respectiv.</w:t>
      </w:r>
    </w:p>
    <w:bookmarkStart w:id="38" w:name="para36"/>
    <w:bookmarkStart w:id="39" w:name="para37"/>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39</w:t>
      </w:r>
      <w:r w:rsidRPr="00AB33A5">
        <w:fldChar w:fldCharType="end"/>
      </w:r>
      <w:bookmarkEnd w:id="38"/>
      <w:bookmarkEnd w:id="39"/>
      <w:r>
        <w:t>.  Curtea amintește că, în materie de condiții de detenție, căile de atac „preventive” și cele „compensatorii” trebuie să coexiste și să se completeze (</w:t>
      </w:r>
      <w:bookmarkStart w:id="40" w:name="_cl17955ENDROIT"/>
      <w:proofErr w:type="spellStart"/>
      <w:r>
        <w:rPr>
          <w:i/>
          <w:iCs/>
        </w:rPr>
        <w:t>Torreggiani</w:t>
      </w:r>
      <w:proofErr w:type="spellEnd"/>
      <w:r>
        <w:rPr>
          <w:i/>
          <w:iCs/>
        </w:rPr>
        <w:t xml:space="preserve"> și alții împotriva Italiei</w:t>
      </w:r>
      <w:bookmarkEnd w:id="40"/>
      <w:r>
        <w:t>, nr. 43517/09 și alte 6, pct. 96, 8 ianuarie 2013). Calea de atac preventivă trebuie să fie de așa natură încât să împiedice continuarea pretinsei încălcări ori să permită îmbunătățirea condițiilor materiale de detenție; și odată ce situația denunțată a încetat, persoana trebuie să aibă acces la o cale de atac compensatorie. În lipsa unui astfel de mecanism care să combine aceste două căi de atac, perspectiva unei eventuale despăgubiri ar risca să legitimeze suferințe incompatibile cu art. 3 și să diminueze în mod serios obligația statelor de a-și alinia normele la cerințele Convenției (</w:t>
      </w:r>
      <w:bookmarkStart w:id="41" w:name="_cl18293ENDROIT"/>
      <w:proofErr w:type="spellStart"/>
      <w:r>
        <w:rPr>
          <w:i/>
          <w:iCs/>
        </w:rPr>
        <w:t>Ulemek</w:t>
      </w:r>
      <w:proofErr w:type="spellEnd"/>
      <w:r>
        <w:rPr>
          <w:i/>
          <w:iCs/>
        </w:rPr>
        <w:t xml:space="preserve"> împotriva Croației</w:t>
      </w:r>
      <w:bookmarkEnd w:id="41"/>
      <w:r>
        <w:t xml:space="preserve">, nr. 21613/16, pct. 71-72, 31 octombrie 2019, și </w:t>
      </w:r>
      <w:bookmarkStart w:id="42" w:name="_cl8207ENDROIT"/>
      <w:r>
        <w:rPr>
          <w:i/>
          <w:iCs/>
        </w:rPr>
        <w:t>J.M.B. și alții împotriva Franței</w:t>
      </w:r>
      <w:bookmarkEnd w:id="42"/>
      <w:r>
        <w:t>, nr. 9671/15 și alte 31, pct. 167, 30 ianuarie 2020).</w:t>
      </w:r>
    </w:p>
    <w:p w:rsidR="00AB33A5" w:rsidRPr="00AB33A5" w:rsidRDefault="008D6FED" w:rsidP="00AB33A5">
      <w:pPr>
        <w:pStyle w:val="JuPara"/>
      </w:pPr>
      <w:r>
        <w:fldChar w:fldCharType="begin"/>
      </w:r>
      <w:r>
        <w:instrText xml:space="preserve"> SEQ level0 \*arabic \* MERGEFORMAT </w:instrText>
      </w:r>
      <w:r>
        <w:fldChar w:fldCharType="separate"/>
      </w:r>
      <w:bookmarkStart w:id="43" w:name="paragraph00038"/>
      <w:r w:rsidR="00AB33A5" w:rsidRPr="00AB33A5">
        <w:t>40</w:t>
      </w:r>
      <w:bookmarkEnd w:id="43"/>
      <w:r>
        <w:fldChar w:fldCharType="end"/>
      </w:r>
      <w:r w:rsidR="00C0055C">
        <w:t>.  Până în prezent, Curtea a statuat că recursul compensatoriu reprezintă, începând cu data de 13 ianuarie 2021, o cale de atac efectivă în sensul art. 35 § 1 din Convenție, în cazul persoanelor care consideră că au fost deținute în condiții necorespunzătoare și care, la momentul introducerii acțiunii lor, nu mai sunt deținute în condiții despre care susțin că ar fi contrare Convenției (</w:t>
      </w:r>
      <w:r w:rsidR="00C0055C">
        <w:rPr>
          <w:i/>
          <w:iCs/>
        </w:rPr>
        <w:t>supra</w:t>
      </w:r>
      <w:r w:rsidR="00C0055C">
        <w:t xml:space="preserve">, pct. </w:t>
      </w:r>
      <w:r w:rsidR="00AB33A5" w:rsidRPr="00AB33A5">
        <w:fldChar w:fldCharType="begin"/>
      </w:r>
      <w:r w:rsidR="00AB33A5" w:rsidRPr="00AB33A5">
        <w:instrText xml:space="preserve"> REF para30 \h </w:instrText>
      </w:r>
      <w:r w:rsidR="00AB33A5" w:rsidRPr="00AB33A5">
        <w:fldChar w:fldCharType="separate"/>
      </w:r>
      <w:r w:rsidR="00AB33A5" w:rsidRPr="00AB33A5">
        <w:t>31</w:t>
      </w:r>
      <w:r w:rsidR="00AB33A5" w:rsidRPr="00AB33A5">
        <w:fldChar w:fldCharType="end"/>
      </w:r>
      <w:r w:rsidR="00C0055C">
        <w:t>). Având în vedere faptul că, în prezenta cauză, reclamantul se află în detenție în Penitenciarul Craiova de la 28 martie 2024, în condiții despre care susține că ar fi contrare art. 3 din Convenție (</w:t>
      </w:r>
      <w:r w:rsidR="00C0055C">
        <w:rPr>
          <w:i/>
          <w:iCs/>
        </w:rPr>
        <w:t>supra</w:t>
      </w:r>
      <w:r w:rsidR="00C0055C">
        <w:t xml:space="preserve">, pct. </w:t>
      </w:r>
      <w:r w:rsidR="00AB33A5" w:rsidRPr="00AB33A5">
        <w:fldChar w:fldCharType="begin"/>
      </w:r>
      <w:r w:rsidR="00AB33A5" w:rsidRPr="00AB33A5">
        <w:instrText xml:space="preserve"> REF para5 \h </w:instrText>
      </w:r>
      <w:r w:rsidR="00AB33A5" w:rsidRPr="00AB33A5">
        <w:fldChar w:fldCharType="separate"/>
      </w:r>
      <w:r w:rsidR="00AB33A5" w:rsidRPr="00AB33A5">
        <w:t>6</w:t>
      </w:r>
      <w:r w:rsidR="00AB33A5" w:rsidRPr="00AB33A5">
        <w:fldChar w:fldCharType="end"/>
      </w:r>
      <w:r w:rsidR="00C0055C">
        <w:t>), este necesar să se examineze mai întâi dacă reclamantul avea la dispoziție un recurs preventiv de natură să împiedice continuarea pretinsei încălcări, întrucât, în cazul unui răspuns afirmativ la această întrebare, pe lângă posibilitatea reclamantului de a obține încetarea situației denunțate, i s-ar deschide posibilitatea unui recurs compensatoriu.</w:t>
      </w:r>
    </w:p>
    <w:p w:rsidR="00AB33A5" w:rsidRPr="00AB33A5" w:rsidRDefault="00AB33A5" w:rsidP="00AB33A5">
      <w:pPr>
        <w:pStyle w:val="JuH1"/>
        <w:numPr>
          <w:ilvl w:val="0"/>
          <w:numId w:val="0"/>
        </w:numPr>
        <w:ind w:left="680"/>
      </w:pPr>
      <w:r>
        <w:t>Aprecierea Curții cu privire la recursul preventiv</w:t>
      </w:r>
    </w:p>
    <w:bookmarkStart w:id="44" w:name="para39"/>
    <w:bookmarkStart w:id="45" w:name="para38"/>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41</w:t>
      </w:r>
      <w:r w:rsidRPr="00AB33A5">
        <w:fldChar w:fldCharType="end"/>
      </w:r>
      <w:bookmarkEnd w:id="44"/>
      <w:bookmarkEnd w:id="45"/>
      <w:r>
        <w:t xml:space="preserve">.  Curtea face trimitere la principiile generale privind regula epuizării căilor de atac interne și art. 13 din Convenție, cu care aceasta are o strânsă afinitate, astfel cum au fost reamintite în cauza </w:t>
      </w:r>
      <w:r>
        <w:rPr>
          <w:i/>
          <w:iCs/>
        </w:rPr>
        <w:t>J.M.B. și alții împotriva Franței</w:t>
      </w:r>
      <w:r>
        <w:t xml:space="preserve"> (citată anterior, pct. 207</w:t>
      </w:r>
      <w:r>
        <w:noBreakHyphen/>
        <w:t>208). Aceasta a rezumat, cu aceeași ocazie (</w:t>
      </w:r>
      <w:r>
        <w:rPr>
          <w:i/>
          <w:iCs/>
        </w:rPr>
        <w:t>ibidem</w:t>
      </w:r>
      <w:r>
        <w:t>, pct. 209-210), aplicarea acestor principii în cauzele anterioare:</w:t>
      </w:r>
    </w:p>
    <w:p w:rsidR="00AB33A5" w:rsidRPr="00AB33A5" w:rsidRDefault="00AB33A5" w:rsidP="00AB33A5">
      <w:pPr>
        <w:pStyle w:val="JuQuot"/>
      </w:pPr>
      <w:r>
        <w:t xml:space="preserve">„209.  Curtea a avut ocazia să examineze mai multe căi de atac în lumina acestor principii. În hotărârea </w:t>
      </w:r>
      <w:proofErr w:type="spellStart"/>
      <w:r>
        <w:rPr>
          <w:i/>
          <w:iCs/>
        </w:rPr>
        <w:t>Ananiev</w:t>
      </w:r>
      <w:proofErr w:type="spellEnd"/>
      <w:r>
        <w:rPr>
          <w:i/>
          <w:iCs/>
        </w:rPr>
        <w:t xml:space="preserve"> și alții</w:t>
      </w:r>
      <w:r>
        <w:t xml:space="preserve">, citată anterior, Curtea a considerat că acțiunile exercitate în fața unui director de penitenciar, a procurorului sau a Ombudsmanului nu constituie, în principiu, recursuri preventive efective, fie din cauza lipsei de </w:t>
      </w:r>
      <w:r>
        <w:lastRenderedPageBreak/>
        <w:t>independență a acestor autorități, fie din cauza neparticipării deținutului la procedură sau a caracterului obligatoriu al deciziilor luate. În hotărârile-pilot privind supraaglomerarea carcerală (</w:t>
      </w:r>
      <w:proofErr w:type="spellStart"/>
      <w:r>
        <w:rPr>
          <w:i/>
          <w:iCs/>
        </w:rPr>
        <w:t>Ananiev</w:t>
      </w:r>
      <w:proofErr w:type="spellEnd"/>
      <w:r>
        <w:rPr>
          <w:i/>
          <w:iCs/>
        </w:rPr>
        <w:t xml:space="preserve"> și alții</w:t>
      </w:r>
      <w:r>
        <w:t xml:space="preserve">, </w:t>
      </w:r>
      <w:proofErr w:type="spellStart"/>
      <w:r>
        <w:rPr>
          <w:i/>
          <w:iCs/>
        </w:rPr>
        <w:t>Torreggiani</w:t>
      </w:r>
      <w:proofErr w:type="spellEnd"/>
      <w:r>
        <w:rPr>
          <w:i/>
          <w:iCs/>
        </w:rPr>
        <w:t xml:space="preserve"> și alții</w:t>
      </w:r>
      <w:r>
        <w:t xml:space="preserve">, </w:t>
      </w:r>
      <w:proofErr w:type="spellStart"/>
      <w:r>
        <w:rPr>
          <w:i/>
          <w:iCs/>
        </w:rPr>
        <w:t>Neșkov</w:t>
      </w:r>
      <w:proofErr w:type="spellEnd"/>
      <w:r>
        <w:rPr>
          <w:i/>
          <w:iCs/>
        </w:rPr>
        <w:t xml:space="preserve"> și alții</w:t>
      </w:r>
      <w:r>
        <w:t xml:space="preserve">, citate anterior, precum și </w:t>
      </w:r>
      <w:r>
        <w:rPr>
          <w:i/>
          <w:iCs/>
        </w:rPr>
        <w:t>Varga și alții împotriva Ungariei</w:t>
      </w:r>
      <w:r>
        <w:t>, nr. 14097/12 și alte 5, 10 martie 2015), Curtea a examinat de asemenea căile de atac aflate la dispoziția deținuților și a statuat că acestea nu erau efective, în lipsa unei examinări a situației lor în lumina art. 3 și a criteriilor stabilite în jurisprudența Curții sau a unei demonstrații a caracterului lor efectiv într-o situație de supraaglomerare carcerală. În ceea ce privește acest din urmă aspect, Curtea a arătat că, în pofida evoluției pozitive a jurisprudenței naționale, posibilitatea deținuților care au obținut o hotărâre favorabilă să beneficieze de repararea situației lor nu este suficientă dacă supraaglomerarea nu se ameliorează. Într-un astfel de caz, îmbunătățirea situației unui deținut ar fi în detrimentul altora, iar capacitatea căii de atac de a produce un efect preventiv nu a fost demonstrată (</w:t>
      </w:r>
      <w:r>
        <w:rPr>
          <w:i/>
          <w:iCs/>
        </w:rPr>
        <w:t>Varga și alții</w:t>
      </w:r>
      <w:r>
        <w:t xml:space="preserve">, citată anterior, pct. 61 și 63, </w:t>
      </w:r>
      <w:r>
        <w:rPr>
          <w:i/>
          <w:iCs/>
        </w:rPr>
        <w:t>Rezmiveș și alții</w:t>
      </w:r>
      <w:r>
        <w:t>, citată anterior, pct. 123).</w:t>
      </w:r>
    </w:p>
    <w:p w:rsidR="00AB33A5" w:rsidRPr="00AB33A5" w:rsidRDefault="00AB33A5" w:rsidP="00AB33A5">
      <w:pPr>
        <w:pStyle w:val="JuQuot"/>
      </w:pPr>
      <w:r>
        <w:t>210.  În urma pronunțării acestor hotărâri, Curtea a pronunțat decizii prin care a constatat că Italia, Ungaria și Bulgaria au instituit căi de atac preventive fie în fața judecătorului de supraveghere a privării de libertate, sesizat direct de persoana deținută sau după ce aceasta a depus plângere la autoritățile penitenciare [</w:t>
      </w:r>
      <w:r>
        <w:rPr>
          <w:i/>
          <w:iCs/>
        </w:rPr>
        <w:t>Stella și alte 10 cereri împotriva Italiei</w:t>
      </w:r>
      <w:r>
        <w:t xml:space="preserve"> (dec.), nr. 49169/09, pct. 47-50, 16 septembrie 2014, </w:t>
      </w:r>
      <w:proofErr w:type="spellStart"/>
      <w:r>
        <w:rPr>
          <w:i/>
          <w:iCs/>
        </w:rPr>
        <w:t>Domjan</w:t>
      </w:r>
      <w:proofErr w:type="spellEnd"/>
      <w:r>
        <w:rPr>
          <w:i/>
          <w:iCs/>
        </w:rPr>
        <w:t xml:space="preserve"> împotriva Ungariei</w:t>
      </w:r>
      <w:r>
        <w:t xml:space="preserve"> (dec.), nr. 5433/17, 14 noiembrie 2017], fie în fața instanțelor administrative sesizate direct de deținut sau în urma plângerii sale adresate autorităților penitenciare [</w:t>
      </w:r>
      <w:r>
        <w:rPr>
          <w:i/>
          <w:iCs/>
        </w:rPr>
        <w:t xml:space="preserve">Angel </w:t>
      </w:r>
      <w:proofErr w:type="spellStart"/>
      <w:r>
        <w:rPr>
          <w:i/>
          <w:iCs/>
        </w:rPr>
        <w:t>Dimitrov</w:t>
      </w:r>
      <w:proofErr w:type="spellEnd"/>
      <w:r>
        <w:rPr>
          <w:i/>
          <w:iCs/>
        </w:rPr>
        <w:t xml:space="preserve"> </w:t>
      </w:r>
      <w:proofErr w:type="spellStart"/>
      <w:r>
        <w:rPr>
          <w:i/>
          <w:iCs/>
        </w:rPr>
        <w:t>Atanasov</w:t>
      </w:r>
      <w:proofErr w:type="spellEnd"/>
      <w:r>
        <w:rPr>
          <w:i/>
          <w:iCs/>
        </w:rPr>
        <w:t xml:space="preserve"> și Aleksandar </w:t>
      </w:r>
      <w:proofErr w:type="spellStart"/>
      <w:r>
        <w:rPr>
          <w:i/>
          <w:iCs/>
        </w:rPr>
        <w:t>Atanasov</w:t>
      </w:r>
      <w:proofErr w:type="spellEnd"/>
      <w:r>
        <w:rPr>
          <w:i/>
          <w:iCs/>
        </w:rPr>
        <w:t xml:space="preserve"> </w:t>
      </w:r>
      <w:proofErr w:type="spellStart"/>
      <w:r>
        <w:rPr>
          <w:i/>
          <w:iCs/>
        </w:rPr>
        <w:t>Apostolov</w:t>
      </w:r>
      <w:proofErr w:type="spellEnd"/>
      <w:r>
        <w:rPr>
          <w:i/>
          <w:iCs/>
        </w:rPr>
        <w:t xml:space="preserve"> împotriva Bulgariei</w:t>
      </w:r>
      <w:r>
        <w:t xml:space="preserve"> (dec.), nr. 65540/16 și 22368/17, 27 iunie 2017; a se vedea, de asemenea, </w:t>
      </w:r>
      <w:proofErr w:type="spellStart"/>
      <w:r>
        <w:rPr>
          <w:i/>
          <w:iCs/>
        </w:rPr>
        <w:t>Draniceru</w:t>
      </w:r>
      <w:proofErr w:type="spellEnd"/>
      <w:r>
        <w:rPr>
          <w:i/>
          <w:iCs/>
        </w:rPr>
        <w:t xml:space="preserve"> împotriva Republicii Moldova</w:t>
      </w:r>
      <w:r>
        <w:t xml:space="preserve"> (dec.), nr. 31975/15, pct. 32-34, 12 februarie 2019, privind calea de atac instituită în fața judecătorului de instrucție, care poate da dispoziții autorităților penitenciare pentru a îmbunătăți condițiile de detenție necorespunzătoare). În conformitate cu principiul subsidiarității, aceasta a considerat apoi că aceste noi căi de atac trebuie să fie exercitate de reclamanți înainte de sesizarea Curții, deoarece oferă </w:t>
      </w:r>
      <w:r>
        <w:rPr>
          <w:i/>
          <w:iCs/>
        </w:rPr>
        <w:t>a priori</w:t>
      </w:r>
      <w:r>
        <w:t xml:space="preserve"> perspective de reparație corespunzătoare a capetelor de cerere întemeiate pe art. 3 din cauza condițiilor de detenție. [...]”</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42</w:t>
      </w:r>
      <w:r>
        <w:fldChar w:fldCharType="end"/>
      </w:r>
      <w:r w:rsidR="00C0055C">
        <w:t>.  Curtea amintește că Legea nr. 254/2013 prevede posibilitatea persoanelor deținute de a depune plângere la judecătorul de supraveghere a privării de libertate în a cărui rază teritorială se află penitenciarul, această cale de atac permițând persoanelor în cauză să denunțe orice măsură referitoare la exercitarea drepturilor lor prevăzute de această lege (</w:t>
      </w:r>
      <w:r w:rsidR="00C0055C">
        <w:rPr>
          <w:i/>
          <w:iCs/>
        </w:rPr>
        <w:t>supra</w:t>
      </w:r>
      <w:r w:rsidR="00C0055C">
        <w:t xml:space="preserve">, pct. </w:t>
      </w:r>
      <w:r w:rsidR="00AB33A5" w:rsidRPr="00AB33A5">
        <w:fldChar w:fldCharType="begin"/>
      </w:r>
      <w:r w:rsidR="00AB33A5" w:rsidRPr="00AB33A5">
        <w:instrText xml:space="preserve"> REF para9 \h </w:instrText>
      </w:r>
      <w:r w:rsidR="00AB33A5" w:rsidRPr="00AB33A5">
        <w:fldChar w:fldCharType="separate"/>
      </w:r>
      <w:r w:rsidR="00AB33A5" w:rsidRPr="00AB33A5">
        <w:t>10</w:t>
      </w:r>
      <w:r w:rsidR="00AB33A5" w:rsidRPr="00AB33A5">
        <w:fldChar w:fldCharType="end"/>
      </w:r>
      <w:r w:rsidR="00C0055C">
        <w:t>).</w:t>
      </w:r>
    </w:p>
    <w:bookmarkStart w:id="46" w:name="para41"/>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43</w:t>
      </w:r>
      <w:r w:rsidRPr="00AB33A5">
        <w:fldChar w:fldCharType="end"/>
      </w:r>
      <w:bookmarkEnd w:id="46"/>
      <w:r>
        <w:t>.  Curtea amintește că a exprimat deja îndoieli în două rânduri, în 2017 și 2021, cu privire la caracterul efectiv al acestui tip de căi de atac în ceea ce privește condițiile necorespunzătoare de detenție în lipsa unei îmbunătățiri a acestor condiții în penitenciarele din România, în special în ceea ce privește supraaglomerarea carcerală (</w:t>
      </w:r>
      <w:r>
        <w:rPr>
          <w:i/>
          <w:iCs/>
        </w:rPr>
        <w:t>Rezmiveș și alții</w:t>
      </w:r>
      <w:r>
        <w:t xml:space="preserve">, citată anterior, pct. 123, și </w:t>
      </w:r>
      <w:r>
        <w:rPr>
          <w:i/>
          <w:iCs/>
        </w:rPr>
        <w:t>Polgar</w:t>
      </w:r>
      <w:r>
        <w:t>, citată anterior, pct. 107). Totuși, Curtea subliniază că simplul fapt de a avea îndoieli cu privire la șansele de succes ale unei căi de atac care nu este în mod clar sortită eșecului nu constituie un motiv valabil pentru a justifica neexercitarea căilor de atac interne [</w:t>
      </w:r>
      <w:bookmarkStart w:id="47" w:name="_cl43908"/>
      <w:bookmarkStart w:id="48" w:name="_cl2663ENDROIT"/>
      <w:proofErr w:type="spellStart"/>
      <w:r>
        <w:rPr>
          <w:i/>
        </w:rPr>
        <w:t>Communauté</w:t>
      </w:r>
      <w:proofErr w:type="spellEnd"/>
      <w:r>
        <w:rPr>
          <w:i/>
        </w:rPr>
        <w:t xml:space="preserve"> </w:t>
      </w:r>
      <w:proofErr w:type="spellStart"/>
      <w:r>
        <w:rPr>
          <w:i/>
        </w:rPr>
        <w:t>genevoise</w:t>
      </w:r>
      <w:proofErr w:type="spellEnd"/>
      <w:r>
        <w:rPr>
          <w:i/>
        </w:rPr>
        <w:t xml:space="preserve"> </w:t>
      </w:r>
      <w:proofErr w:type="spellStart"/>
      <w:r>
        <w:rPr>
          <w:i/>
        </w:rPr>
        <w:t>d’action</w:t>
      </w:r>
      <w:proofErr w:type="spellEnd"/>
      <w:r>
        <w:rPr>
          <w:i/>
        </w:rPr>
        <w:t xml:space="preserve"> </w:t>
      </w:r>
      <w:proofErr w:type="spellStart"/>
      <w:r>
        <w:rPr>
          <w:i/>
        </w:rPr>
        <w:t>syndicale</w:t>
      </w:r>
      <w:proofErr w:type="spellEnd"/>
      <w:r>
        <w:rPr>
          <w:i/>
        </w:rPr>
        <w:t xml:space="preserve"> (CGAS) împotriva Elveției</w:t>
      </w:r>
      <w:bookmarkEnd w:id="47"/>
      <w:r>
        <w:t xml:space="preserve"> (MC), nr. 21881/20, pct. 142, 27 noiembrie 2023</w:t>
      </w:r>
      <w:bookmarkEnd w:id="48"/>
      <w:r>
        <w: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44</w:t>
      </w:r>
      <w:r>
        <w:fldChar w:fldCharType="end"/>
      </w:r>
      <w:r w:rsidR="00C0055C">
        <w:t xml:space="preserve">.  În această privință, Curtea arată că Guvernul a furnizat un număr semnificativ de exemple de jurisprudență internă cu scopul de a dovedi </w:t>
      </w:r>
      <w:r w:rsidR="00C0055C">
        <w:lastRenderedPageBreak/>
        <w:t xml:space="preserve">eficacitatea în practică a acestui tip de căi de atac, precum și informații privind îmbunătățirea condițiilor de detenție la nivel național, ca urmare a punerii în aplicare a unui plan de acțiune de către autoritățile naționale după pronunțarea hotărârii-pilot </w:t>
      </w:r>
      <w:r w:rsidR="00C0055C">
        <w:rPr>
          <w:i/>
          <w:iCs/>
        </w:rPr>
        <w:t>Rezmiveș și alții</w:t>
      </w:r>
      <w:r w:rsidR="00C0055C">
        <w:t>, citată anterior (</w:t>
      </w:r>
      <w:r w:rsidR="00C0055C">
        <w:rPr>
          <w:i/>
          <w:iCs/>
        </w:rPr>
        <w:t>supra</w:t>
      </w:r>
      <w:r w:rsidR="00C0055C">
        <w:t xml:space="preserve">, pct. </w:t>
      </w:r>
      <w:r w:rsidR="00AB33A5" w:rsidRPr="00AB33A5">
        <w:fldChar w:fldCharType="begin"/>
      </w:r>
      <w:r w:rsidR="00AB33A5" w:rsidRPr="00AB33A5">
        <w:instrText xml:space="preserve"> REF para10 \h </w:instrText>
      </w:r>
      <w:r w:rsidR="00AB33A5" w:rsidRPr="00AB33A5">
        <w:fldChar w:fldCharType="separate"/>
      </w:r>
      <w:r w:rsidR="00AB33A5" w:rsidRPr="00AB33A5">
        <w:t>11</w:t>
      </w:r>
      <w:r w:rsidR="00AB33A5" w:rsidRPr="00AB33A5">
        <w:fldChar w:fldCharType="end"/>
      </w:r>
      <w:r w:rsidR="00C0055C">
        <w:noBreakHyphen/>
      </w:r>
      <w:r w:rsidR="00AB33A5" w:rsidRPr="00AB33A5">
        <w:fldChar w:fldCharType="begin"/>
      </w:r>
      <w:r w:rsidR="00AB33A5" w:rsidRPr="00AB33A5">
        <w:instrText xml:space="preserve"> REF para18 \h </w:instrText>
      </w:r>
      <w:r w:rsidR="00AB33A5" w:rsidRPr="00AB33A5">
        <w:fldChar w:fldCharType="separate"/>
      </w:r>
      <w:r w:rsidR="00AB33A5" w:rsidRPr="00AB33A5">
        <w:t>19</w:t>
      </w:r>
      <w:r w:rsidR="00AB33A5" w:rsidRPr="00AB33A5">
        <w:fldChar w:fldCharType="end"/>
      </w:r>
      <w:r w:rsidR="00C0055C">
        <w:t>). Având în vedere aceste elemente, Curtea va proceda la examinarea caracterului efectiv al acestei căi de atac.</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45</w:t>
      </w:r>
      <w:r>
        <w:fldChar w:fldCharType="end"/>
      </w:r>
      <w:r w:rsidR="00C0055C">
        <w:t xml:space="preserve">.  Spre deosebire de cauzele îndreptate împotriva Italiei, Ungariei, Bulgariei sau Moldovei menționate la pct. </w:t>
      </w:r>
      <w:r w:rsidR="00AB33A5" w:rsidRPr="00AB33A5">
        <w:fldChar w:fldCharType="begin"/>
      </w:r>
      <w:r w:rsidR="00AB33A5" w:rsidRPr="00AB33A5">
        <w:instrText xml:space="preserve"> REF para39 \h </w:instrText>
      </w:r>
      <w:r w:rsidR="00AB33A5" w:rsidRPr="00AB33A5">
        <w:fldChar w:fldCharType="separate"/>
      </w:r>
      <w:r w:rsidR="00AB33A5" w:rsidRPr="00AB33A5">
        <w:t>41</w:t>
      </w:r>
      <w:r w:rsidR="00AB33A5" w:rsidRPr="00AB33A5">
        <w:fldChar w:fldCharType="end"/>
      </w:r>
      <w:r w:rsidR="00C0055C">
        <w:t xml:space="preserve"> </w:t>
      </w:r>
      <w:r w:rsidR="00C0055C">
        <w:rPr>
          <w:i/>
          <w:iCs/>
        </w:rPr>
        <w:t>supra</w:t>
      </w:r>
      <w:r w:rsidR="00C0055C">
        <w:t>, în care Curtea a examinat caracterul efectiv al căilor de atac preventive introduse prin dispoziții legislative imediat după adoptarea acestora, în prezenta cauză Curtea este nevoită să analizeze, pe baza unei posibile jurisprudențe și în prezența unor măsuri concepute în principiu să îmbunătățească condițiile de detenție la nivel național, dacă recursul introdus pe cale legislativă la 14 august 2013 – cu privire la care a exprimat de două ori îndoieli legate de caracterul lui efectiv – reprezintă o cale de atac efectivă.</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46</w:t>
      </w:r>
      <w:r>
        <w:fldChar w:fldCharType="end"/>
      </w:r>
      <w:r w:rsidR="00C0055C">
        <w:t xml:space="preserve">.  În acest context, Curtea va examina mai întâi dacă exemplele de jurisprudență furnizate de Guvern permit confirmarea faptului că recursul preventiv introdus prin Legea nr. 254/2013 este de natură să împiedice continuarea pretinsei încălcări ori să permită îmbunătățirea condițiilor materiale de detenție. În continuare, va analiza dacă măsurile adoptate de autoritățile naționale în urma pronunțării hotărârii-pilot </w:t>
      </w:r>
      <w:r w:rsidR="00C0055C">
        <w:rPr>
          <w:i/>
          <w:iCs/>
        </w:rPr>
        <w:t>Rezmiveș și alții</w:t>
      </w:r>
      <w:r w:rsidR="00C0055C">
        <w:t xml:space="preserve"> au contribuit la îmbunătățirea condițiilor de detenție. În final, va examina caracterul efectiv al recursului în cazul reclamantului.</w:t>
      </w:r>
    </w:p>
    <w:p w:rsidR="00AB33A5" w:rsidRPr="00AB33A5" w:rsidRDefault="00AB33A5" w:rsidP="00AB33A5">
      <w:pPr>
        <w:pStyle w:val="JuHa0"/>
      </w:pPr>
      <w:r>
        <w:t>Practica instanțelor naționale în conformitate cu art. 56 din Legea nr. 254/2013</w:t>
      </w:r>
    </w:p>
    <w:bookmarkStart w:id="49" w:name="para4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47</w:t>
      </w:r>
      <w:r w:rsidRPr="00AB33A5">
        <w:fldChar w:fldCharType="end"/>
      </w:r>
      <w:bookmarkEnd w:id="49"/>
      <w:r>
        <w:t>.  Curtea observă, mai întâi, că cele 194 de exemple relevante de jurisprudență puse la dispoziție de Guvern arată că majoritatea deținuților care au depus la judecătorii de supraveghere a privării de libertate plângeri, în temeiul art. 56 din Legea nr. 254/2013, cu privire la condițiile lor necorespunzătoare de detenție, au obținut hotărâri judecătorești favorabile prin care s-a dispus ca autoritățile să pună capăt situațiilor expuse. Mai precis, dintre cele 194 de exemple relevante de jurisprudență internă, în 190 de cazuri acțiunile persoanelor în cauză au fost admise (în tot sau în parte), în mod definitiv în 163 de cauze, iar 152 de hotărâri definitive prin care au fost soluționate aceste proceduri au fost executate de autoritățile naționale (</w:t>
      </w:r>
      <w:r>
        <w:rPr>
          <w:i/>
          <w:iCs/>
        </w:rPr>
        <w:t>supra</w:t>
      </w:r>
      <w:r>
        <w:t xml:space="preserve">, pct. </w:t>
      </w:r>
      <w:r w:rsidRPr="00AB33A5">
        <w:fldChar w:fldCharType="begin"/>
      </w:r>
      <w:r w:rsidRPr="00AB33A5">
        <w:instrText xml:space="preserve"> REF para10 \h </w:instrText>
      </w:r>
      <w:r w:rsidRPr="00AB33A5">
        <w:fldChar w:fldCharType="separate"/>
      </w:r>
      <w:r w:rsidRPr="00AB33A5">
        <w:t>11</w:t>
      </w:r>
      <w:r w:rsidRPr="00AB33A5">
        <w:fldChar w:fldCharType="end"/>
      </w:r>
      <w:r>
        <w:t>-</w:t>
      </w:r>
      <w:r w:rsidRPr="00AB33A5">
        <w:fldChar w:fldCharType="begin"/>
      </w:r>
      <w:r w:rsidRPr="00AB33A5">
        <w:instrText xml:space="preserve"> REF para11 \h </w:instrText>
      </w:r>
      <w:r w:rsidRPr="00AB33A5">
        <w:fldChar w:fldCharType="separate"/>
      </w:r>
      <w:r w:rsidRPr="00AB33A5">
        <w:t>12</w:t>
      </w:r>
      <w:r w:rsidRPr="00AB33A5">
        <w:fldChar w:fldCharType="end"/>
      </w:r>
      <w:r>
        <w:t xml:space="preserve"> și </w:t>
      </w:r>
      <w:r w:rsidRPr="00AB33A5">
        <w:fldChar w:fldCharType="begin"/>
      </w:r>
      <w:r w:rsidRPr="00AB33A5">
        <w:instrText xml:space="preserve"> REF para13 \h </w:instrText>
      </w:r>
      <w:r w:rsidRPr="00AB33A5">
        <w:fldChar w:fldCharType="separate"/>
      </w:r>
      <w:r w:rsidRPr="00AB33A5">
        <w:t>14</w:t>
      </w:r>
      <w:r w:rsidRPr="00AB33A5">
        <w:fldChar w:fldCharType="end"/>
      </w:r>
      <w:r>
        <w:t>-</w:t>
      </w:r>
      <w:r w:rsidRPr="00AB33A5">
        <w:fldChar w:fldCharType="begin"/>
      </w:r>
      <w:r w:rsidRPr="00AB33A5">
        <w:instrText xml:space="preserve"> REF para14 \h </w:instrText>
      </w:r>
      <w:r w:rsidRPr="00AB33A5">
        <w:fldChar w:fldCharType="separate"/>
      </w:r>
      <w:r w:rsidRPr="00AB33A5">
        <w:t>15</w:t>
      </w:r>
      <w:r w:rsidRPr="00AB33A5">
        <w:fldChar w:fldCharType="end"/>
      </w:r>
      <w:r>
        <w:t>). Potrivit Curții, acest lucru demonstrează că, în majoritatea cazurilor, exercitarea acestei căi de atac de către persoanele deținute era de natură să împiedice continuarea încălcărilor invocate în temeiul art. 3.</w:t>
      </w:r>
    </w:p>
    <w:bookmarkStart w:id="50" w:name="para45"/>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48</w:t>
      </w:r>
      <w:r w:rsidRPr="00AB33A5">
        <w:fldChar w:fldCharType="end"/>
      </w:r>
      <w:bookmarkEnd w:id="50"/>
      <w:r>
        <w:t xml:space="preserve">.  În continuare, Curtea constată cu interes că această cale de atac se exercită în fața unui judecător de supraveghere a privării de libertate care prezintă garanțiile de independență și de imparțialitate și că beneficiază de forța obligatorie a încheierilor pronunțate de acest judecător. Astfel de </w:t>
      </w:r>
      <w:r>
        <w:lastRenderedPageBreak/>
        <w:t>încheieri, soluționate în termen de 15 zile de la depunerea plângerii – care îndeplinește criteriul celerității procedurilor – sunt pronunțate cu respectarea principiului contradictorialității și sunt obligatorii pentru penitenciare [</w:t>
      </w:r>
      <w:r>
        <w:rPr>
          <w:i/>
          <w:iCs/>
        </w:rPr>
        <w:t>supra</w:t>
      </w:r>
      <w:r>
        <w:t xml:space="preserve">, pct. </w:t>
      </w:r>
      <w:r w:rsidRPr="00AB33A5">
        <w:fldChar w:fldCharType="begin"/>
      </w:r>
      <w:r w:rsidRPr="00AB33A5">
        <w:instrText xml:space="preserve"> REF para9 \h </w:instrText>
      </w:r>
      <w:r w:rsidRPr="00AB33A5">
        <w:fldChar w:fldCharType="separate"/>
      </w:r>
      <w:r w:rsidRPr="00AB33A5">
        <w:t>10</w:t>
      </w:r>
      <w:r w:rsidRPr="00AB33A5">
        <w:fldChar w:fldCharType="end"/>
      </w:r>
      <w:r>
        <w:t xml:space="preserve"> – </w:t>
      </w:r>
      <w:proofErr w:type="spellStart"/>
      <w:r>
        <w:rPr>
          <w:i/>
          <w:iCs/>
        </w:rPr>
        <w:t>Draniceru</w:t>
      </w:r>
      <w:proofErr w:type="spellEnd"/>
      <w:r>
        <w:rPr>
          <w:i/>
          <w:iCs/>
        </w:rPr>
        <w:t xml:space="preserve"> împotriva Moldovei</w:t>
      </w:r>
      <w:r>
        <w:t xml:space="preserve"> (dec.), nr. 31975/15, pct. 30, 12 februarie 2019].</w:t>
      </w:r>
    </w:p>
    <w:bookmarkStart w:id="51" w:name="para46"/>
    <w:bookmarkStart w:id="52" w:name="para47"/>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49</w:t>
      </w:r>
      <w:r w:rsidRPr="00AB33A5">
        <w:fldChar w:fldCharType="end"/>
      </w:r>
      <w:bookmarkEnd w:id="51"/>
      <w:bookmarkEnd w:id="52"/>
      <w:r>
        <w:t xml:space="preserve">.  Curtea observă, de asemenea, că exemplele în discuție privesc marea majoritate a penitenciarelor din sistemul penitenciar național (în total 21 din cele 27 de penitenciare; </w:t>
      </w:r>
      <w:r>
        <w:rPr>
          <w:i/>
          <w:iCs/>
        </w:rPr>
        <w:t>supra</w:t>
      </w:r>
      <w:r>
        <w:t xml:space="preserve">, pct. </w:t>
      </w:r>
      <w:r w:rsidRPr="00AB33A5">
        <w:fldChar w:fldCharType="begin"/>
      </w:r>
      <w:r w:rsidRPr="00AB33A5">
        <w:instrText xml:space="preserve"> REF para10 \h </w:instrText>
      </w:r>
      <w:r w:rsidRPr="00AB33A5">
        <w:fldChar w:fldCharType="separate"/>
      </w:r>
      <w:r w:rsidRPr="00AB33A5">
        <w:t>11</w:t>
      </w:r>
      <w:r w:rsidRPr="00AB33A5">
        <w:fldChar w:fldCharType="end"/>
      </w:r>
      <w:r>
        <w:t xml:space="preserve"> și </w:t>
      </w:r>
      <w:r w:rsidRPr="00AB33A5">
        <w:fldChar w:fldCharType="begin"/>
      </w:r>
      <w:r w:rsidRPr="00AB33A5">
        <w:instrText xml:space="preserve"> REF para13 \h </w:instrText>
      </w:r>
      <w:r w:rsidRPr="00AB33A5">
        <w:fldChar w:fldCharType="separate"/>
      </w:r>
      <w:r w:rsidRPr="00AB33A5">
        <w:t>14</w:t>
      </w:r>
      <w:r w:rsidRPr="00AB33A5">
        <w:fldChar w:fldCharType="end"/>
      </w:r>
      <w:r>
        <w:t>) și că în 2023 a avut loc o evoluție jurisprudențială. La nivel cantitativ, se pot constata de trei ori mai multe exemple relevante de jurisprudență decât în anul precedent (</w:t>
      </w:r>
      <w:r>
        <w:rPr>
          <w:i/>
          <w:iCs/>
        </w:rPr>
        <w:t>supra</w:t>
      </w:r>
      <w:r>
        <w:t xml:space="preserve">, pct. </w:t>
      </w:r>
      <w:r w:rsidRPr="00AB33A5">
        <w:fldChar w:fldCharType="begin"/>
      </w:r>
      <w:r w:rsidRPr="00AB33A5">
        <w:instrText xml:space="preserve"> REF para10 \h </w:instrText>
      </w:r>
      <w:r w:rsidRPr="00AB33A5">
        <w:fldChar w:fldCharType="separate"/>
      </w:r>
      <w:r w:rsidRPr="00AB33A5">
        <w:t>11</w:t>
      </w:r>
      <w:r w:rsidRPr="00AB33A5">
        <w:fldChar w:fldCharType="end"/>
      </w:r>
      <w:r>
        <w:t xml:space="preserve">, </w:t>
      </w:r>
      <w:r>
        <w:rPr>
          <w:i/>
        </w:rPr>
        <w:t>in fine</w:t>
      </w:r>
      <w:r>
        <w:t xml:space="preserve">), iar la nivel calitativ trebuie să se constate că instanțele naționale, sesizate cu recursul preventiv, au efectuat în general o examinare în conformitate cu cerințele Convenției, punând capăt situațiilor contrare art. 3 pe care le-au denunțat reclamanții. După o analiză aprofundată a exemplelor de jurisprudență, Curtea face trimitere în special la încheierea nr. 156 din 6 aprilie 2023, pronunțată de judecătorul de supraveghere a privării de libertate la Penitenciarul Iași, care confirmă o consolidare a jurisprudenței instanțelor naționale referitoare la exercitarea recursului preventiv (a se vedea, </w:t>
      </w:r>
      <w:r>
        <w:rPr>
          <w:i/>
          <w:iCs/>
        </w:rPr>
        <w:t>mutatis mutandis,</w:t>
      </w:r>
      <w:r>
        <w:t xml:space="preserve"> </w:t>
      </w:r>
      <w:bookmarkStart w:id="53" w:name="_cl18483ENDROIT"/>
      <w:r>
        <w:rPr>
          <w:i/>
          <w:iCs/>
        </w:rPr>
        <w:t xml:space="preserve">Valada </w:t>
      </w:r>
      <w:proofErr w:type="spellStart"/>
      <w:r>
        <w:rPr>
          <w:i/>
          <w:iCs/>
        </w:rPr>
        <w:t>Matos</w:t>
      </w:r>
      <w:proofErr w:type="spellEnd"/>
      <w:r>
        <w:rPr>
          <w:i/>
          <w:iCs/>
        </w:rPr>
        <w:t xml:space="preserve"> das </w:t>
      </w:r>
      <w:proofErr w:type="spellStart"/>
      <w:r>
        <w:rPr>
          <w:i/>
          <w:iCs/>
        </w:rPr>
        <w:t>Neves</w:t>
      </w:r>
      <w:proofErr w:type="spellEnd"/>
      <w:r>
        <w:rPr>
          <w:i/>
          <w:iCs/>
        </w:rPr>
        <w:t xml:space="preserve"> împotriva Portugaliei</w:t>
      </w:r>
      <w:bookmarkEnd w:id="53"/>
      <w:r>
        <w:t>, nr. 73798/13, pct. 101, 29 octombrie 2015, în materie de caracter efectiv al acțiunilor în despăgubire pentru durate excesive ale procedurii). Din încheierea în discuție reiese că judecătorul a dispus încetarea, în urma unei verificări la fața locului, a atingerii la care a fost expus un deținut care a exercitat recursul preventiv. Sesizată cu o contestație formulată de ANP, judecătoria a confirmat încheierea respectivă, ținând seama de jurisprudența relevantă a Curții referitoare la art. 3 din Convenție. În urma acestei proceduri, reclamantul nu a mai fost încarcerat în camera în discuție [</w:t>
      </w:r>
      <w:r>
        <w:rPr>
          <w:i/>
          <w:iCs/>
        </w:rPr>
        <w:t>supra</w:t>
      </w:r>
      <w:r>
        <w:t xml:space="preserve">, pct. </w:t>
      </w:r>
      <w:r w:rsidRPr="00AB33A5">
        <w:fldChar w:fldCharType="begin"/>
      </w:r>
      <w:r w:rsidRPr="00AB33A5">
        <w:instrText xml:space="preserve"> REF para12 \h </w:instrText>
      </w:r>
      <w:r w:rsidRPr="00AB33A5">
        <w:fldChar w:fldCharType="separate"/>
      </w:r>
      <w:r w:rsidRPr="00AB33A5">
        <w:t>13</w:t>
      </w:r>
      <w:r w:rsidRPr="00AB33A5">
        <w:fldChar w:fldCharType="end"/>
      </w:r>
      <w:r>
        <w:t>, lit. a)].</w:t>
      </w:r>
    </w:p>
    <w:bookmarkStart w:id="54" w:name="para48"/>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50</w:t>
      </w:r>
      <w:r w:rsidRPr="00AB33A5">
        <w:fldChar w:fldCharType="end"/>
      </w:r>
      <w:bookmarkEnd w:id="54"/>
      <w:r>
        <w:t>.  Un alt exemplu relevant, pronunțat în același interval de timp, confirmă încă o dată eficacitatea practică a mecanismului instituit prin Legea nr. 254/2013, care permite judecătoriei să anuleze încheierile judecătorului de supraveghere a privării de libertate, în cazul în care drepturile apărate la art. 3 din Convenție nu sunt respectate. În temeiul jurisprudenței relevante a Curții, la 4 mai 2023, Judecătoria Pitești a pus în vedere penitenciarului în cauză să respecte normele interne și internaționale privind cazarea deținuților și, astfel, să pună capăt situațiilor de supraaglomerare denunțate de petentul respectiv [</w:t>
      </w:r>
      <w:r>
        <w:rPr>
          <w:i/>
          <w:iCs/>
        </w:rPr>
        <w:t>supra</w:t>
      </w:r>
      <w:r>
        <w:t xml:space="preserve">, pct. </w:t>
      </w:r>
      <w:r w:rsidRPr="00AB33A5">
        <w:fldChar w:fldCharType="begin"/>
      </w:r>
      <w:r w:rsidRPr="00AB33A5">
        <w:instrText xml:space="preserve"> REF para12 \h </w:instrText>
      </w:r>
      <w:r w:rsidRPr="00AB33A5">
        <w:fldChar w:fldCharType="separate"/>
      </w:r>
      <w:r w:rsidRPr="00AB33A5">
        <w:t>13</w:t>
      </w:r>
      <w:r w:rsidRPr="00AB33A5">
        <w:fldChar w:fldCharType="end"/>
      </w:r>
      <w:r>
        <w:t>, lit. b)].</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51</w:t>
      </w:r>
      <w:r>
        <w:fldChar w:fldCharType="end"/>
      </w:r>
      <w:r w:rsidR="00C0055C">
        <w:t>.  Această evoluție pozitivă a jurisprudenței este confirmată de alte numeroase exemple de hotărâri judecătorești interne care au urmat încheierii din 6 aprilie 2023 și care au demonstrat, încă o dată, că recursul preventiv a permis petenților (inclusiv deținuților încarcerați, precum reclamantul, în Penitenciarul Craiova) să obțină stoparea situațiilor pe care le-au denunțat ca fiind contrare drepturilor prevăzute la art. 3 din Convenție în ceea ce privește condițiile de detenție (</w:t>
      </w:r>
      <w:r w:rsidR="00C0055C">
        <w:rPr>
          <w:i/>
          <w:iCs/>
        </w:rPr>
        <w:t>supra</w:t>
      </w:r>
      <w:r w:rsidR="00C0055C">
        <w:t xml:space="preserve">, pct. </w:t>
      </w:r>
      <w:r w:rsidR="00AB33A5" w:rsidRPr="00AB33A5">
        <w:fldChar w:fldCharType="begin"/>
      </w:r>
      <w:r w:rsidR="00AB33A5" w:rsidRPr="00AB33A5">
        <w:rPr>
          <w:color w:val="0072BC" w:themeColor="accent1"/>
        </w:rPr>
        <w:instrText xml:space="preserve"> REF para10 \h </w:instrText>
      </w:r>
      <w:r w:rsidR="00AB33A5" w:rsidRPr="00AB33A5">
        <w:rPr>
          <w:color w:val="0072BC" w:themeColor="accent1"/>
        </w:rPr>
        <w:fldChar w:fldCharType="separate"/>
      </w:r>
      <w:r w:rsidR="00AB33A5" w:rsidRPr="00AB33A5">
        <w:t>11</w:t>
      </w:r>
      <w:r w:rsidR="00AB33A5" w:rsidRPr="00AB33A5">
        <w:fldChar w:fldCharType="end"/>
      </w:r>
      <w:r w:rsidR="00C0055C">
        <w:rPr>
          <w:color w:val="0072BC" w:themeColor="accent1"/>
        </w:rPr>
        <w:t>-</w:t>
      </w:r>
      <w:r w:rsidR="00AB33A5" w:rsidRPr="00AB33A5">
        <w:rPr>
          <w:color w:val="0072BC" w:themeColor="accent1"/>
        </w:rPr>
        <w:fldChar w:fldCharType="begin"/>
      </w:r>
      <w:r w:rsidR="00AB33A5" w:rsidRPr="00AB33A5">
        <w:rPr>
          <w:color w:val="0072BC" w:themeColor="accent1"/>
        </w:rPr>
        <w:instrText xml:space="preserve"> REF para11 \h </w:instrText>
      </w:r>
      <w:r w:rsidR="00AB33A5" w:rsidRPr="00AB33A5">
        <w:rPr>
          <w:color w:val="0072BC" w:themeColor="accent1"/>
        </w:rPr>
      </w:r>
      <w:r w:rsidR="00AB33A5" w:rsidRPr="00AB33A5">
        <w:rPr>
          <w:color w:val="0072BC" w:themeColor="accent1"/>
        </w:rPr>
        <w:fldChar w:fldCharType="separate"/>
      </w:r>
      <w:r w:rsidR="00AB33A5" w:rsidRPr="00AB33A5">
        <w:t>12</w:t>
      </w:r>
      <w:r w:rsidR="00AB33A5" w:rsidRPr="00AB33A5">
        <w:fldChar w:fldCharType="end"/>
      </w:r>
      <w:r w:rsidR="00C0055C">
        <w:t xml:space="preserve">, </w:t>
      </w:r>
      <w:r w:rsidR="00AB33A5" w:rsidRPr="00AB33A5">
        <w:fldChar w:fldCharType="begin"/>
      </w:r>
      <w:r w:rsidR="00AB33A5" w:rsidRPr="00AB33A5">
        <w:instrText xml:space="preserve"> REF para13 \h </w:instrText>
      </w:r>
      <w:r w:rsidR="00AB33A5" w:rsidRPr="00AB33A5">
        <w:fldChar w:fldCharType="separate"/>
      </w:r>
      <w:r w:rsidR="00AB33A5" w:rsidRPr="00AB33A5">
        <w:t>14</w:t>
      </w:r>
      <w:r w:rsidR="00AB33A5" w:rsidRPr="00AB33A5">
        <w:fldChar w:fldCharType="end"/>
      </w:r>
      <w:r w:rsidR="00C0055C">
        <w:t>-</w:t>
      </w:r>
      <w:r w:rsidR="00AB33A5" w:rsidRPr="00AB33A5">
        <w:fldChar w:fldCharType="begin"/>
      </w:r>
      <w:r w:rsidR="00AB33A5" w:rsidRPr="00AB33A5">
        <w:instrText xml:space="preserve"> REF para14 \h </w:instrText>
      </w:r>
      <w:r w:rsidR="00AB33A5" w:rsidRPr="00AB33A5">
        <w:fldChar w:fldCharType="separate"/>
      </w:r>
      <w:r w:rsidR="00AB33A5" w:rsidRPr="00AB33A5">
        <w:t>15</w:t>
      </w:r>
      <w:r w:rsidR="00AB33A5" w:rsidRPr="00AB33A5">
        <w:fldChar w:fldCharType="end"/>
      </w:r>
      <w:r w:rsidR="00C0055C">
        <w:t>).</w:t>
      </w:r>
    </w:p>
    <w:p w:rsidR="00AB33A5" w:rsidRPr="00AB33A5" w:rsidRDefault="00AB33A5" w:rsidP="00AB33A5">
      <w:pPr>
        <w:pStyle w:val="JuHa0"/>
      </w:pPr>
      <w:r>
        <w:lastRenderedPageBreak/>
        <w:t>Cu privire la îmbunătățirea generală a condițiilor de detenție</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52</w:t>
      </w:r>
      <w:r>
        <w:fldChar w:fldCharType="end"/>
      </w:r>
      <w:r w:rsidR="00C0055C">
        <w:t>.  Cu toate acestea, se pune întrebarea dacă evoluția favorabilă a jurisprudenței interne permite să se pună capăt în mod real condițiilor de detenție contrare Convenției. Astfel cum Curtea a subliniat deja în două rânduri, îmbunătățirea condițiilor de detenție în penitenciarele din România constituie un aspect important de care trebuie să se țină seama în cadrul aprecierii caracterului efectiv în practică al căii de atac respective (</w:t>
      </w:r>
      <w:r w:rsidR="00C0055C">
        <w:rPr>
          <w:i/>
          <w:iCs/>
        </w:rPr>
        <w:t>supra</w:t>
      </w:r>
      <w:r w:rsidR="00C0055C">
        <w:t>, pct. </w:t>
      </w:r>
      <w:r w:rsidR="00AB33A5" w:rsidRPr="00AB33A5">
        <w:fldChar w:fldCharType="begin"/>
      </w:r>
      <w:r w:rsidR="00AB33A5" w:rsidRPr="00AB33A5">
        <w:instrText xml:space="preserve"> REF para41 \h </w:instrText>
      </w:r>
      <w:r w:rsidR="00AB33A5" w:rsidRPr="00AB33A5">
        <w:fldChar w:fldCharType="separate"/>
      </w:r>
      <w:r w:rsidR="00AB33A5" w:rsidRPr="00AB33A5">
        <w:t>43</w:t>
      </w:r>
      <w:r w:rsidR="00AB33A5" w:rsidRPr="00AB33A5">
        <w:fldChar w:fldCharType="end"/>
      </w:r>
      <w:r w:rsidR="00C0055C">
        <w:t>).</w:t>
      </w:r>
    </w:p>
    <w:bookmarkStart w:id="55" w:name="para51"/>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53</w:t>
      </w:r>
      <w:r w:rsidRPr="00AB33A5">
        <w:fldChar w:fldCharType="end"/>
      </w:r>
      <w:bookmarkEnd w:id="55"/>
      <w:r>
        <w:t xml:space="preserve">.  În această privință, Curtea constată că, pe baza planului de acțiune inițiat începând cu anul 2020, ca urmare a pronunțării hotărârii-pilot </w:t>
      </w:r>
      <w:r>
        <w:rPr>
          <w:i/>
          <w:iCs/>
        </w:rPr>
        <w:t>Rezmiveș și alții</w:t>
      </w:r>
      <w:r>
        <w:t>, statul pârât a pus în aplicare o serie de măsuri menite să rezolve problema structurală a condițiilor necorespunzătoare de detenție din penitenciarele din România. Potrivit datelor statistice furnizate de Guvern, pe care reclamantul nu le-a contestat (</w:t>
      </w:r>
      <w:r>
        <w:rPr>
          <w:i/>
          <w:iCs/>
        </w:rPr>
        <w:t>supra</w:t>
      </w:r>
      <w:r>
        <w:t>, pct. </w:t>
      </w:r>
      <w:r w:rsidRPr="00AB33A5">
        <w:fldChar w:fldCharType="begin"/>
      </w:r>
      <w:r w:rsidRPr="00AB33A5">
        <w:instrText xml:space="preserve"> REF para25 \h </w:instrText>
      </w:r>
      <w:r w:rsidRPr="00AB33A5">
        <w:fldChar w:fldCharType="separate"/>
      </w:r>
      <w:r w:rsidRPr="00AB33A5">
        <w:t>26</w:t>
      </w:r>
      <w:r w:rsidRPr="00AB33A5">
        <w:fldChar w:fldCharType="end"/>
      </w:r>
      <w:r>
        <w:t xml:space="preserve"> și </w:t>
      </w:r>
      <w:r w:rsidRPr="00AB33A5">
        <w:fldChar w:fldCharType="begin"/>
      </w:r>
      <w:r w:rsidRPr="00AB33A5">
        <w:instrText xml:space="preserve"> REF para32 \h </w:instrText>
      </w:r>
      <w:r w:rsidRPr="00AB33A5">
        <w:fldChar w:fldCharType="separate"/>
      </w:r>
      <w:r w:rsidRPr="00AB33A5">
        <w:t>33</w:t>
      </w:r>
      <w:r w:rsidRPr="00AB33A5">
        <w:fldChar w:fldCharType="end"/>
      </w:r>
      <w:r>
        <w:t>), capacitatea de cazare a locurilor de deținere a fost extinsă în perioada 2021–2023 cu aproximativ 2 000 de locuri, au fost efectuate lucrări de modernizare a unei părți din camerele existente, iar în perioada 2020–2024 au fost renovate aproximativ 1 000 de camere (</w:t>
      </w:r>
      <w:r>
        <w:rPr>
          <w:i/>
          <w:iCs/>
        </w:rPr>
        <w:t>supra</w:t>
      </w:r>
      <w:r>
        <w:t>, pct. </w:t>
      </w:r>
      <w:r w:rsidRPr="00AB33A5">
        <w:fldChar w:fldCharType="begin"/>
      </w:r>
      <w:r w:rsidRPr="00AB33A5">
        <w:instrText xml:space="preserve"> REF para15 \h </w:instrText>
      </w:r>
      <w:r w:rsidRPr="00AB33A5">
        <w:fldChar w:fldCharType="separate"/>
      </w:r>
      <w:r w:rsidRPr="00AB33A5">
        <w:t>16</w:t>
      </w:r>
      <w:r w:rsidRPr="00AB33A5">
        <w:fldChar w:fldCharType="end"/>
      </w:r>
      <w:r>
        <w:t>). Informațiile publicate de ANP confirmă că, în 2024, capacitatea de cazare a locurilor de deținere a fost extinsă cu 2 700 de locuri, că peste 3 000 de camere au beneficiat de renovări, că aproximativ 75 de șantiere de renovare se aflau în curs de desfășurare și că, pentru a echilibra populația carcerală, 3 733 de deținuți au beneficiat de transferuri între penitenciare (</w:t>
      </w:r>
      <w:r>
        <w:rPr>
          <w:i/>
          <w:iCs/>
        </w:rPr>
        <w:t>supra</w:t>
      </w:r>
      <w:r>
        <w:t xml:space="preserve">, pct. </w:t>
      </w:r>
      <w:r w:rsidRPr="00AB33A5">
        <w:fldChar w:fldCharType="begin"/>
      </w:r>
      <w:r w:rsidRPr="00AB33A5">
        <w:instrText xml:space="preserve"> REF para17 \h </w:instrText>
      </w:r>
      <w:r w:rsidRPr="00AB33A5">
        <w:fldChar w:fldCharType="separate"/>
      </w:r>
      <w:r w:rsidRPr="00AB33A5">
        <w:t>18</w:t>
      </w:r>
      <w:r w:rsidRPr="00AB33A5">
        <w:fldChar w:fldCharType="end"/>
      </w:r>
      <w:r>
        <w:t>-</w:t>
      </w:r>
      <w:r w:rsidRPr="00AB33A5">
        <w:fldChar w:fldCharType="begin"/>
      </w:r>
      <w:r w:rsidRPr="00AB33A5">
        <w:instrText xml:space="preserve"> REF para18 \h </w:instrText>
      </w:r>
      <w:r w:rsidRPr="00AB33A5">
        <w:fldChar w:fldCharType="separate"/>
      </w:r>
      <w:r w:rsidRPr="00AB33A5">
        <w:t>19</w:t>
      </w:r>
      <w:r w:rsidRPr="00AB33A5">
        <w:fldChar w:fldCharType="end"/>
      </w:r>
      <w:r>
        <w:t>). Curtea constată cu interes că două noi penitenciare sunt în prezent în construcție și că se preconizează că aproximativ 3 000 de locuri de detenție suplimentare vor fi disponibile în 2025 (</w:t>
      </w:r>
      <w:r>
        <w:rPr>
          <w:i/>
          <w:iCs/>
        </w:rPr>
        <w:t>supra</w:t>
      </w:r>
      <w:r>
        <w:t>, pct. </w:t>
      </w:r>
      <w:r w:rsidRPr="00AB33A5">
        <w:fldChar w:fldCharType="begin"/>
      </w:r>
      <w:r w:rsidRPr="00AB33A5">
        <w:instrText xml:space="preserve"> REF para17 \h </w:instrText>
      </w:r>
      <w:r w:rsidRPr="00AB33A5">
        <w:fldChar w:fldCharType="separate"/>
      </w:r>
      <w:r w:rsidRPr="00AB33A5">
        <w:t>18</w:t>
      </w:r>
      <w:r w:rsidRPr="00AB33A5">
        <w:fldChar w:fldCharType="end"/>
      </w:r>
      <w:r>
        <w:t>). De asemenea, subliniază că progresele înregistrate de autoritățile naționale au primit un semnal pozitiv din partea Comitetului de Miniștri, care, în același timp, le-a încurajat să își continue eforturile de punere în aplicare în continuare a planului lor de acțiune în aceste domenii, în special să pună în aplicare măsuri de reducere a populației carcerale (</w:t>
      </w:r>
      <w:r>
        <w:rPr>
          <w:i/>
          <w:iCs/>
        </w:rPr>
        <w:t>supra</w:t>
      </w:r>
      <w:r>
        <w:t xml:space="preserve">, pct. </w:t>
      </w:r>
      <w:r w:rsidRPr="00AB33A5">
        <w:fldChar w:fldCharType="begin"/>
      </w:r>
      <w:r w:rsidRPr="00AB33A5">
        <w:instrText xml:space="preserve"> REF para19 \h </w:instrText>
      </w:r>
      <w:r w:rsidRPr="00AB33A5">
        <w:fldChar w:fldCharType="separate"/>
      </w:r>
      <w:r w:rsidRPr="00AB33A5">
        <w:t>20</w:t>
      </w:r>
      <w:r w:rsidRPr="00AB33A5">
        <w:fldChar w:fldCharType="end"/>
      </w:r>
      <w:r>
        <w:t>).</w:t>
      </w:r>
    </w:p>
    <w:bookmarkStart w:id="56" w:name="para54"/>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54</w:t>
      </w:r>
      <w:r w:rsidRPr="00AB33A5">
        <w:fldChar w:fldCharType="end"/>
      </w:r>
      <w:bookmarkEnd w:id="56"/>
      <w:r>
        <w:t>.  În ceea ce privește primele efecte ale acestor măsuri, Curtea constată că măsurile referitoare la renovarea camerelor deja existente și la construirea de noi camere par să fi avut un efect pozitiv clar asupra capacității de cazare în mediul carceral la nivel național, întrucât au permis o creștere a numărului de locuri de detenție disponibile și o mai bună repartizare a persoanelor deținute (</w:t>
      </w:r>
      <w:r>
        <w:rPr>
          <w:i/>
          <w:iCs/>
        </w:rPr>
        <w:t>supra</w:t>
      </w:r>
      <w:r>
        <w:t xml:space="preserve">, pct. </w:t>
      </w:r>
      <w:r w:rsidRPr="00AB33A5">
        <w:fldChar w:fldCharType="begin"/>
      </w:r>
      <w:r w:rsidRPr="00AB33A5">
        <w:instrText xml:space="preserve"> REF para15 \h </w:instrText>
      </w:r>
      <w:r w:rsidRPr="00AB33A5">
        <w:fldChar w:fldCharType="separate"/>
      </w:r>
      <w:r w:rsidRPr="00AB33A5">
        <w:t>16</w:t>
      </w:r>
      <w:r w:rsidRPr="00AB33A5">
        <w:fldChar w:fldCharType="end"/>
      </w:r>
      <w:r>
        <w:t xml:space="preserve">, </w:t>
      </w:r>
      <w:r w:rsidRPr="00AB33A5">
        <w:fldChar w:fldCharType="begin"/>
      </w:r>
      <w:r w:rsidRPr="00AB33A5">
        <w:instrText xml:space="preserve"> REF para17 \h </w:instrText>
      </w:r>
      <w:r w:rsidRPr="00AB33A5">
        <w:fldChar w:fldCharType="separate"/>
      </w:r>
      <w:r w:rsidRPr="00AB33A5">
        <w:t>18</w:t>
      </w:r>
      <w:r w:rsidRPr="00AB33A5">
        <w:fldChar w:fldCharType="end"/>
      </w:r>
      <w:r>
        <w:t>-</w:t>
      </w:r>
      <w:r w:rsidRPr="00AB33A5">
        <w:fldChar w:fldCharType="begin"/>
      </w:r>
      <w:r w:rsidRPr="00AB33A5">
        <w:instrText xml:space="preserve"> REF para18 \h </w:instrText>
      </w:r>
      <w:r w:rsidRPr="00AB33A5">
        <w:fldChar w:fldCharType="separate"/>
      </w:r>
      <w:r w:rsidRPr="00AB33A5">
        <w:t>19</w:t>
      </w:r>
      <w:r w:rsidRPr="00AB33A5">
        <w:fldChar w:fldCharType="end"/>
      </w:r>
      <w:r>
        <w:t>), chiar dacă, în noiembrie 2024, potrivit informațiilor transmise de Guvern Curții, populația carcerală a crescut ușor în comparație cu perioada anilor 2022–2023, ca urmare a unei creșteri a numărului general de persoane condamnate la nivel național (</w:t>
      </w:r>
      <w:r>
        <w:rPr>
          <w:i/>
          <w:iCs/>
        </w:rPr>
        <w:t>a contrario</w:t>
      </w:r>
      <w:r>
        <w:t xml:space="preserve">, </w:t>
      </w:r>
      <w:r>
        <w:rPr>
          <w:i/>
          <w:iCs/>
        </w:rPr>
        <w:t>Polgar</w:t>
      </w:r>
      <w:r>
        <w:t xml:space="preserve">, citată anterior, </w:t>
      </w:r>
      <w:r>
        <w:rPr>
          <w:i/>
          <w:iCs/>
        </w:rPr>
        <w:t>supra</w:t>
      </w:r>
      <w:r>
        <w:t xml:space="preserve">, pct. </w:t>
      </w:r>
      <w:r w:rsidRPr="00AB33A5">
        <w:fldChar w:fldCharType="begin"/>
      </w:r>
      <w:r w:rsidRPr="00AB33A5">
        <w:instrText xml:space="preserve"> REF para16 \h </w:instrText>
      </w:r>
      <w:r w:rsidRPr="00AB33A5">
        <w:fldChar w:fldCharType="separate"/>
      </w:r>
      <w:r w:rsidRPr="00AB33A5">
        <w:t>17</w:t>
      </w:r>
      <w:r w:rsidRPr="00AB33A5">
        <w:fldChar w:fldCharType="end"/>
      </w:r>
      <w:r>
        <w:t xml:space="preserve"> </w:t>
      </w:r>
      <w:r>
        <w:rPr>
          <w:i/>
          <w:iCs/>
        </w:rPr>
        <w:t>in fine</w:t>
      </w:r>
      <w:r>
        <w: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55</w:t>
      </w:r>
      <w:r>
        <w:fldChar w:fldCharType="end"/>
      </w:r>
      <w:r w:rsidR="00C0055C">
        <w:t>.  În continuare, în ceea ce privește argumentele statistice invocate de Guvern cu privire la suprafața minimă de spațiu individual acordată tuturor deținuților la nivel național, cuprinsă între 3 și 4 m² (</w:t>
      </w:r>
      <w:r w:rsidR="00C0055C">
        <w:rPr>
          <w:i/>
          <w:iCs/>
        </w:rPr>
        <w:t>supra</w:t>
      </w:r>
      <w:r w:rsidR="00C0055C">
        <w:t>, pct. </w:t>
      </w:r>
      <w:r w:rsidR="00AB33A5" w:rsidRPr="00AB33A5">
        <w:fldChar w:fldCharType="begin"/>
      </w:r>
      <w:r w:rsidR="00AB33A5" w:rsidRPr="00AB33A5">
        <w:instrText xml:space="preserve"> REF para16 \h </w:instrText>
      </w:r>
      <w:r w:rsidR="00AB33A5" w:rsidRPr="00AB33A5">
        <w:fldChar w:fldCharType="separate"/>
      </w:r>
      <w:r w:rsidR="00AB33A5" w:rsidRPr="00AB33A5">
        <w:t>17</w:t>
      </w:r>
      <w:r w:rsidR="00AB33A5" w:rsidRPr="00AB33A5">
        <w:fldChar w:fldCharType="end"/>
      </w:r>
      <w:r w:rsidR="00C0055C">
        <w:t xml:space="preserve">), Curtea </w:t>
      </w:r>
      <w:r w:rsidR="00C0055C">
        <w:lastRenderedPageBreak/>
        <w:t>face trimitere la normele care trebuie aplicate în vederea examinării cazurilor de supraaglomerare carcerală, astfel cum au fost stabilite în jurisprudența sa, și ale căror rezultate depind de un ansamblu de factori care sunt analizați de la caz la caz și care, în principiu, nu pot face obiectul unei aprecieri globale (</w:t>
      </w:r>
      <w:proofErr w:type="spellStart"/>
      <w:r w:rsidR="00C0055C">
        <w:rPr>
          <w:i/>
          <w:iCs/>
        </w:rPr>
        <w:t>Muršić</w:t>
      </w:r>
      <w:proofErr w:type="spellEnd"/>
      <w:r w:rsidR="00C0055C">
        <w:t>, citată anterior, pct. 136</w:t>
      </w:r>
      <w:r w:rsidR="00C0055C">
        <w:noBreakHyphen/>
        <w:t xml:space="preserve">141 – </w:t>
      </w:r>
      <w:r w:rsidR="00C0055C">
        <w:rPr>
          <w:i/>
          <w:iCs/>
        </w:rPr>
        <w:t>supra</w:t>
      </w:r>
      <w:r w:rsidR="00C0055C">
        <w:t xml:space="preserve">, pct. </w:t>
      </w:r>
      <w:r w:rsidR="00AB33A5" w:rsidRPr="00AB33A5">
        <w:fldChar w:fldCharType="begin"/>
      </w:r>
      <w:r w:rsidR="00AB33A5" w:rsidRPr="00AB33A5">
        <w:instrText xml:space="preserve"> REF paragraph00027 \h  \* CharFormat </w:instrText>
      </w:r>
      <w:r w:rsidR="00AB33A5" w:rsidRPr="00AB33A5">
        <w:fldChar w:fldCharType="separate"/>
      </w:r>
      <w:r w:rsidR="00AB33A5" w:rsidRPr="00AB33A5">
        <w:t>28</w:t>
      </w:r>
      <w:r w:rsidR="00AB33A5" w:rsidRPr="00AB33A5">
        <w:fldChar w:fldCharType="end"/>
      </w:r>
      <w:r w:rsidR="00C0055C">
        <w:t>).</w:t>
      </w:r>
    </w:p>
    <w:p w:rsidR="00AB33A5" w:rsidRPr="00AB33A5" w:rsidRDefault="008D6FED" w:rsidP="00AB33A5">
      <w:pPr>
        <w:pStyle w:val="JuPara"/>
      </w:pPr>
      <w:r>
        <w:fldChar w:fldCharType="begin"/>
      </w:r>
      <w:r>
        <w:instrText xml:space="preserve"> SEQ level0 \*arabic \* MERGEFORMAT </w:instrText>
      </w:r>
      <w:r>
        <w:fldChar w:fldCharType="separate"/>
      </w:r>
      <w:bookmarkStart w:id="57" w:name="paragraph00054"/>
      <w:r w:rsidR="00AB33A5" w:rsidRPr="00AB33A5">
        <w:t>56</w:t>
      </w:r>
      <w:bookmarkEnd w:id="57"/>
      <w:r>
        <w:fldChar w:fldCharType="end"/>
      </w:r>
      <w:r w:rsidR="00C0055C">
        <w:t xml:space="preserve">.  În orice caz, Curtea constată că datele statistice oficiale ale Consiliului Europei (SPACE) confirmă că, în ultimii 11 ani, indicele de ocupare a penitenciarelor din România a înregistrat o tendință principală descendentă începând din 2013, care a continuat chiar și după o ușoară creștere temporară între 2021 și 2023 (de la 165,4 % în 2013 la 120,09 % în 2022, la 116 % în 2024, </w:t>
      </w:r>
      <w:r w:rsidR="00C0055C">
        <w:rPr>
          <w:i/>
          <w:iCs/>
        </w:rPr>
        <w:t>supra</w:t>
      </w:r>
      <w:r w:rsidR="00C0055C">
        <w:t xml:space="preserve">, pct. </w:t>
      </w:r>
      <w:r w:rsidR="00AB33A5" w:rsidRPr="00AB33A5">
        <w:fldChar w:fldCharType="begin"/>
      </w:r>
      <w:r w:rsidR="00AB33A5" w:rsidRPr="00AB33A5">
        <w:instrText xml:space="preserve"> REF para20 \h </w:instrText>
      </w:r>
      <w:r w:rsidR="00AB33A5" w:rsidRPr="00AB33A5">
        <w:fldChar w:fldCharType="separate"/>
      </w:r>
      <w:r w:rsidR="00AB33A5" w:rsidRPr="00AB33A5">
        <w:t>21</w:t>
      </w:r>
      <w:r w:rsidR="00AB33A5" w:rsidRPr="00AB33A5">
        <w:fldChar w:fldCharType="end"/>
      </w:r>
      <w:r w:rsidR="00C0055C">
        <w:t>-</w:t>
      </w:r>
      <w:r w:rsidR="00AB33A5" w:rsidRPr="00AB33A5">
        <w:fldChar w:fldCharType="begin"/>
      </w:r>
      <w:r w:rsidR="00AB33A5" w:rsidRPr="00AB33A5">
        <w:instrText xml:space="preserve"> REF para21 \h </w:instrText>
      </w:r>
      <w:r w:rsidR="00AB33A5" w:rsidRPr="00AB33A5">
        <w:fldChar w:fldCharType="separate"/>
      </w:r>
      <w:r w:rsidR="00AB33A5" w:rsidRPr="00AB33A5">
        <w:t>22</w:t>
      </w:r>
      <w:r w:rsidR="00AB33A5" w:rsidRPr="00AB33A5">
        <w:fldChar w:fldCharType="end"/>
      </w:r>
      <w:r w:rsidR="00C0055C">
        <w:t xml:space="preserve">, care trebuie comparată și cu tendința descendentă constatată de Curte în cauza </w:t>
      </w:r>
      <w:proofErr w:type="spellStart"/>
      <w:r w:rsidR="00C0055C">
        <w:rPr>
          <w:i/>
          <w:iCs/>
        </w:rPr>
        <w:t>Domján</w:t>
      </w:r>
      <w:proofErr w:type="spellEnd"/>
      <w:r w:rsidR="00C0055C">
        <w:rPr>
          <w:i/>
          <w:iCs/>
        </w:rPr>
        <w:t xml:space="preserve"> împotriva Ungariei</w:t>
      </w:r>
      <w:r w:rsidR="00C0055C">
        <w:t>, nr. 5433/17, pct. 12 și 23, 14 noiembrie 2017), chiar dacă, la un nivel mai puțin impresionant decât în 2013 [</w:t>
      </w:r>
      <w:r w:rsidR="00C0055C">
        <w:rPr>
          <w:i/>
          <w:iCs/>
        </w:rPr>
        <w:t>Stella și alții împotriva Italiei</w:t>
      </w:r>
      <w:r w:rsidR="00C0055C">
        <w:t xml:space="preserve"> (dec.), nr. 49169/09 și alte 10, pct. 54, 16 septembrie 2014], supraaglomerarea carcerală persistă (</w:t>
      </w:r>
      <w:r w:rsidR="00C0055C">
        <w:rPr>
          <w:i/>
          <w:iCs/>
        </w:rPr>
        <w:t>supra</w:t>
      </w:r>
      <w:r w:rsidR="00C0055C">
        <w:t xml:space="preserve">, pct. </w:t>
      </w:r>
      <w:r w:rsidR="00AB33A5" w:rsidRPr="00AB33A5">
        <w:fldChar w:fldCharType="begin"/>
      </w:r>
      <w:r w:rsidR="00AB33A5" w:rsidRPr="00AB33A5">
        <w:instrText xml:space="preserve"> REF para18 \h </w:instrText>
      </w:r>
      <w:r w:rsidR="00AB33A5" w:rsidRPr="00AB33A5">
        <w:fldChar w:fldCharType="separate"/>
      </w:r>
      <w:r w:rsidR="00AB33A5" w:rsidRPr="00AB33A5">
        <w:t>19</w:t>
      </w:r>
      <w:r w:rsidR="00AB33A5" w:rsidRPr="00AB33A5">
        <w:fldChar w:fldCharType="end"/>
      </w:r>
      <w:r w:rsidR="00C0055C">
        <w:t>).</w:t>
      </w:r>
    </w:p>
    <w:p w:rsidR="00AB33A5" w:rsidRPr="00AB33A5" w:rsidRDefault="008D6FED" w:rsidP="00AB33A5">
      <w:pPr>
        <w:pStyle w:val="JuPara"/>
      </w:pPr>
      <w:r>
        <w:fldChar w:fldCharType="begin"/>
      </w:r>
      <w:r>
        <w:instrText xml:space="preserve"> SEQ lev</w:instrText>
      </w:r>
      <w:r>
        <w:instrText xml:space="preserve">el0 \*arabic \* MERGEFORMAT </w:instrText>
      </w:r>
      <w:r>
        <w:fldChar w:fldCharType="separate"/>
      </w:r>
      <w:r w:rsidR="00AB33A5" w:rsidRPr="00AB33A5">
        <w:t>57</w:t>
      </w:r>
      <w:r>
        <w:fldChar w:fldCharType="end"/>
      </w:r>
      <w:r w:rsidR="00C0055C">
        <w:t>.  Având în vedere această tendință principală descendentă, care ar trebui să continue, precum și condițiile materiale din locurile de deținere din România și probabilitatea ca această situație să rămână gestionabilă, în special datorită renovării camerelor existente deja și a construirii de noi locuri de detenție (</w:t>
      </w:r>
      <w:r w:rsidR="00C0055C">
        <w:rPr>
          <w:i/>
          <w:iCs/>
        </w:rPr>
        <w:t>supra</w:t>
      </w:r>
      <w:r w:rsidR="00C0055C">
        <w:t xml:space="preserve">, pct. </w:t>
      </w:r>
      <w:r w:rsidR="00AB33A5" w:rsidRPr="00AB33A5">
        <w:fldChar w:fldCharType="begin"/>
      </w:r>
      <w:r w:rsidR="00AB33A5" w:rsidRPr="00AB33A5">
        <w:instrText xml:space="preserve"> REF para15 \h </w:instrText>
      </w:r>
      <w:r w:rsidR="00AB33A5" w:rsidRPr="00AB33A5">
        <w:fldChar w:fldCharType="separate"/>
      </w:r>
      <w:r w:rsidR="00AB33A5" w:rsidRPr="00AB33A5">
        <w:t>16</w:t>
      </w:r>
      <w:r w:rsidR="00AB33A5" w:rsidRPr="00AB33A5">
        <w:fldChar w:fldCharType="end"/>
      </w:r>
      <w:r w:rsidR="00C0055C">
        <w:t xml:space="preserve">, </w:t>
      </w:r>
      <w:r w:rsidR="00AB33A5" w:rsidRPr="00AB33A5">
        <w:fldChar w:fldCharType="begin"/>
      </w:r>
      <w:r w:rsidR="00AB33A5" w:rsidRPr="00AB33A5">
        <w:instrText xml:space="preserve"> REF para17 \h </w:instrText>
      </w:r>
      <w:r w:rsidR="00AB33A5" w:rsidRPr="00AB33A5">
        <w:fldChar w:fldCharType="separate"/>
      </w:r>
      <w:r w:rsidR="00AB33A5" w:rsidRPr="00AB33A5">
        <w:t>18</w:t>
      </w:r>
      <w:r w:rsidR="00AB33A5" w:rsidRPr="00AB33A5">
        <w:fldChar w:fldCharType="end"/>
      </w:r>
      <w:r w:rsidR="00C0055C">
        <w:t>-</w:t>
      </w:r>
      <w:r w:rsidR="00AB33A5" w:rsidRPr="00AB33A5">
        <w:fldChar w:fldCharType="begin"/>
      </w:r>
      <w:r w:rsidR="00AB33A5" w:rsidRPr="00AB33A5">
        <w:instrText xml:space="preserve"> REF para18 \h </w:instrText>
      </w:r>
      <w:r w:rsidR="00AB33A5" w:rsidRPr="00AB33A5">
        <w:fldChar w:fldCharType="separate"/>
      </w:r>
      <w:r w:rsidR="00AB33A5" w:rsidRPr="00AB33A5">
        <w:t>19</w:t>
      </w:r>
      <w:r w:rsidR="00AB33A5" w:rsidRPr="00AB33A5">
        <w:fldChar w:fldCharType="end"/>
      </w:r>
      <w:r w:rsidR="00C0055C">
        <w:t xml:space="preserve"> și </w:t>
      </w:r>
      <w:r w:rsidR="00AB33A5" w:rsidRPr="00AB33A5">
        <w:fldChar w:fldCharType="begin"/>
      </w:r>
      <w:r w:rsidR="00AB33A5" w:rsidRPr="00AB33A5">
        <w:instrText xml:space="preserve"> REF para54 \h </w:instrText>
      </w:r>
      <w:r w:rsidR="00AB33A5" w:rsidRPr="00AB33A5">
        <w:fldChar w:fldCharType="separate"/>
      </w:r>
      <w:r w:rsidR="00AB33A5" w:rsidRPr="00AB33A5">
        <w:t>54</w:t>
      </w:r>
      <w:r w:rsidR="00AB33A5" w:rsidRPr="00AB33A5">
        <w:fldChar w:fldCharType="end"/>
      </w:r>
      <w:r w:rsidR="00C0055C">
        <w:t xml:space="preserve">), încheierile judecătorului de supraveghere a privării de libertate și hotărârile instanțelor nu par greu sau imposibil de respectat în cazurile în care urmăresc să remedieze supraaglomerarea ori să îmbunătățească condițiile materiale existente [a se vedea, </w:t>
      </w:r>
      <w:r w:rsidR="00C0055C">
        <w:rPr>
          <w:i/>
          <w:iCs/>
        </w:rPr>
        <w:t>supra</w:t>
      </w:r>
      <w:r w:rsidR="00C0055C">
        <w:t xml:space="preserve">, pct. </w:t>
      </w:r>
      <w:r w:rsidR="00AB33A5" w:rsidRPr="00AB33A5">
        <w:fldChar w:fldCharType="begin"/>
      </w:r>
      <w:r w:rsidR="00AB33A5" w:rsidRPr="00AB33A5">
        <w:instrText xml:space="preserve"> REF para11 \h </w:instrText>
      </w:r>
      <w:r w:rsidR="00AB33A5" w:rsidRPr="00AB33A5">
        <w:fldChar w:fldCharType="separate"/>
      </w:r>
      <w:r w:rsidR="00AB33A5" w:rsidRPr="00AB33A5">
        <w:t>12</w:t>
      </w:r>
      <w:r w:rsidR="00AB33A5" w:rsidRPr="00AB33A5">
        <w:fldChar w:fldCharType="end"/>
      </w:r>
      <w:r w:rsidR="00C0055C">
        <w:t xml:space="preserve"> </w:t>
      </w:r>
      <w:r w:rsidR="00C0055C">
        <w:rPr>
          <w:i/>
        </w:rPr>
        <w:t>in fine</w:t>
      </w:r>
      <w:r w:rsidR="00C0055C">
        <w:t xml:space="preserve">, și </w:t>
      </w:r>
      <w:r w:rsidR="00AB33A5" w:rsidRPr="00AB33A5">
        <w:fldChar w:fldCharType="begin"/>
      </w:r>
      <w:r w:rsidR="00AB33A5" w:rsidRPr="00AB33A5">
        <w:instrText xml:space="preserve"> REF para14 \h </w:instrText>
      </w:r>
      <w:r w:rsidR="00AB33A5" w:rsidRPr="00AB33A5">
        <w:fldChar w:fldCharType="separate"/>
      </w:r>
      <w:r w:rsidR="00AB33A5" w:rsidRPr="00AB33A5">
        <w:t>15</w:t>
      </w:r>
      <w:r w:rsidR="00AB33A5" w:rsidRPr="00AB33A5">
        <w:fldChar w:fldCharType="end"/>
      </w:r>
      <w:r w:rsidR="00C0055C">
        <w:t xml:space="preserve"> </w:t>
      </w:r>
      <w:r w:rsidR="00C0055C">
        <w:rPr>
          <w:i/>
        </w:rPr>
        <w:t>in fine</w:t>
      </w:r>
      <w:r w:rsidR="00C0055C">
        <w:t xml:space="preserve">; </w:t>
      </w:r>
      <w:r w:rsidR="00C0055C">
        <w:rPr>
          <w:i/>
          <w:iCs/>
        </w:rPr>
        <w:t>mutatis mutandis</w:t>
      </w:r>
      <w:r w:rsidR="00C0055C">
        <w:t xml:space="preserve">, </w:t>
      </w:r>
      <w:r w:rsidR="00C0055C">
        <w:rPr>
          <w:i/>
          <w:iCs/>
        </w:rPr>
        <w:t xml:space="preserve">Angel </w:t>
      </w:r>
      <w:proofErr w:type="spellStart"/>
      <w:r w:rsidR="00C0055C">
        <w:rPr>
          <w:i/>
          <w:iCs/>
        </w:rPr>
        <w:t>Dimitrov</w:t>
      </w:r>
      <w:proofErr w:type="spellEnd"/>
      <w:r w:rsidR="00C0055C">
        <w:rPr>
          <w:i/>
          <w:iCs/>
        </w:rPr>
        <w:t xml:space="preserve"> </w:t>
      </w:r>
      <w:proofErr w:type="spellStart"/>
      <w:r w:rsidR="00C0055C">
        <w:rPr>
          <w:i/>
          <w:iCs/>
        </w:rPr>
        <w:t>Atanasov</w:t>
      </w:r>
      <w:proofErr w:type="spellEnd"/>
      <w:r w:rsidR="00C0055C">
        <w:rPr>
          <w:i/>
          <w:iCs/>
        </w:rPr>
        <w:t xml:space="preserve"> și Aleksandar </w:t>
      </w:r>
      <w:proofErr w:type="spellStart"/>
      <w:r w:rsidR="00C0055C">
        <w:rPr>
          <w:i/>
          <w:iCs/>
        </w:rPr>
        <w:t>Atanasov</w:t>
      </w:r>
      <w:proofErr w:type="spellEnd"/>
      <w:r w:rsidR="00C0055C">
        <w:rPr>
          <w:i/>
          <w:iCs/>
        </w:rPr>
        <w:t xml:space="preserve"> </w:t>
      </w:r>
      <w:proofErr w:type="spellStart"/>
      <w:r w:rsidR="00C0055C">
        <w:rPr>
          <w:i/>
          <w:iCs/>
        </w:rPr>
        <w:t>Apostolov</w:t>
      </w:r>
      <w:proofErr w:type="spellEnd"/>
      <w:r w:rsidR="00C0055C">
        <w:rPr>
          <w:i/>
          <w:iCs/>
        </w:rPr>
        <w:t xml:space="preserve"> împotriva Bulgariei</w:t>
      </w:r>
      <w:r w:rsidR="00C0055C">
        <w:t xml:space="preserve"> (dec.), nr. 65540/16 și 22368/17, pct. 55, 27 iunie 2017].</w:t>
      </w:r>
    </w:p>
    <w:p w:rsidR="00AB33A5" w:rsidRPr="00AB33A5" w:rsidRDefault="008D6FED" w:rsidP="00AB33A5">
      <w:pPr>
        <w:pStyle w:val="JuPara"/>
      </w:pPr>
      <w:r>
        <w:fldChar w:fldCharType="begin"/>
      </w:r>
      <w:r>
        <w:instrText xml:space="preserve"> SEQ level0 \*arabic \* MERGEFORM</w:instrText>
      </w:r>
      <w:r>
        <w:instrText xml:space="preserve">AT </w:instrText>
      </w:r>
      <w:r>
        <w:fldChar w:fldCharType="separate"/>
      </w:r>
      <w:r w:rsidR="00AB33A5" w:rsidRPr="00AB33A5">
        <w:t>58</w:t>
      </w:r>
      <w:r>
        <w:fldChar w:fldCharType="end"/>
      </w:r>
      <w:r w:rsidR="00C0055C">
        <w:t xml:space="preserve">.  Este sarcina Comitetului Miniștrilor să monitorizeze executarea hotărârii </w:t>
      </w:r>
      <w:r w:rsidR="00C0055C">
        <w:rPr>
          <w:i/>
          <w:iCs/>
        </w:rPr>
        <w:t>Rezmiveș și alții</w:t>
      </w:r>
      <w:r w:rsidR="00C0055C">
        <w:t>, citată anterior, și să evalueze măsurile generale alese de statul pârât, în special „măsuri de reducere a populației carcerale și de menținere a acesteia la un nivel gestionabil” (</w:t>
      </w:r>
      <w:r w:rsidR="00C0055C">
        <w:rPr>
          <w:i/>
          <w:iCs/>
        </w:rPr>
        <w:t>supra</w:t>
      </w:r>
      <w:r w:rsidR="00C0055C">
        <w:t xml:space="preserve">, pct. </w:t>
      </w:r>
      <w:r w:rsidR="00AB33A5" w:rsidRPr="00AB33A5">
        <w:fldChar w:fldCharType="begin"/>
      </w:r>
      <w:r w:rsidR="00AB33A5" w:rsidRPr="00AB33A5">
        <w:instrText xml:space="preserve"> REF para19 \h </w:instrText>
      </w:r>
      <w:r w:rsidR="00AB33A5" w:rsidRPr="00AB33A5">
        <w:fldChar w:fldCharType="separate"/>
      </w:r>
      <w:r w:rsidR="00AB33A5" w:rsidRPr="00AB33A5">
        <w:t>20</w:t>
      </w:r>
      <w:r w:rsidR="00AB33A5" w:rsidRPr="00AB33A5">
        <w:fldChar w:fldCharType="end"/>
      </w:r>
      <w:r w:rsidR="00C0055C">
        <w:t>), pentru a-și îndeplini obligația care îi revine în raport cu art. 46 din Convenție [</w:t>
      </w:r>
      <w:r w:rsidR="00C0055C">
        <w:rPr>
          <w:i/>
          <w:iCs/>
        </w:rPr>
        <w:t>Brumărescu împotriva României</w:t>
      </w:r>
      <w:r w:rsidR="00C0055C">
        <w:t xml:space="preserve"> (reparație echitabilă) (MC), nr. 28342/95, pct. 20, CEDO 2001</w:t>
      </w:r>
      <w:r w:rsidR="00C0055C">
        <w:noBreakHyphen/>
        <w:t>I]. Curtea apreciază rezultatele obținute până în prezent datorită eforturilor considerabile depuse de autoritățile române la mai multe niveluri și încurajează autoritățile naționale să își dubleze eforturile pentru a confirma această tendință pozitivă prin continuarea măsurilor întreprinse până în prezent cu scopul de a rezolva definitiv problema în discuție și de a garanta fiecărui deținut condiții de viață compatibile cu principiile Convenției.</w:t>
      </w:r>
    </w:p>
    <w:bookmarkStart w:id="58" w:name="para57"/>
    <w:bookmarkStart w:id="59" w:name="para56"/>
    <w:p w:rsidR="00AB33A5" w:rsidRPr="00AB33A5" w:rsidRDefault="00AB33A5" w:rsidP="00AB33A5">
      <w:pPr>
        <w:pStyle w:val="JuPara"/>
      </w:pPr>
      <w:r w:rsidRPr="00AB33A5">
        <w:fldChar w:fldCharType="begin"/>
      </w:r>
      <w:r w:rsidRPr="00AB33A5">
        <w:instrText xml:space="preserve"> SEQ level0 \*arabic \* MERGEFORMAT </w:instrText>
      </w:r>
      <w:r w:rsidRPr="00AB33A5">
        <w:fldChar w:fldCharType="separate"/>
      </w:r>
      <w:r w:rsidRPr="00AB33A5">
        <w:t>59</w:t>
      </w:r>
      <w:r w:rsidRPr="00AB33A5">
        <w:fldChar w:fldCharType="end"/>
      </w:r>
      <w:bookmarkEnd w:id="58"/>
      <w:bookmarkEnd w:id="59"/>
      <w:r>
        <w:t>.  Având în vedere natura căii de atac preventive, modul în care instanțele naționale o aplică și îmbunătățirea condițiilor materiale de detenție în penitenciarele din România, calea de atac internă introdusă prin art. 56 din Legea nr. 254/2013 a constituit, începând cu 6 aprilie 2023 (</w:t>
      </w:r>
      <w:r>
        <w:rPr>
          <w:i/>
          <w:iCs/>
        </w:rPr>
        <w:t>supra</w:t>
      </w:r>
      <w:r>
        <w:t xml:space="preserve">, pct. </w:t>
      </w:r>
      <w:r w:rsidRPr="00AB33A5">
        <w:fldChar w:fldCharType="begin"/>
      </w:r>
      <w:r w:rsidRPr="00AB33A5">
        <w:instrText xml:space="preserve"> REF para47 \h </w:instrText>
      </w:r>
      <w:r w:rsidRPr="00AB33A5">
        <w:fldChar w:fldCharType="separate"/>
      </w:r>
      <w:r w:rsidRPr="00AB33A5">
        <w:t>49</w:t>
      </w:r>
      <w:r w:rsidRPr="00AB33A5">
        <w:fldChar w:fldCharType="end"/>
      </w:r>
      <w:r>
        <w:t>-</w:t>
      </w:r>
      <w:r w:rsidRPr="00AB33A5">
        <w:lastRenderedPageBreak/>
        <w:fldChar w:fldCharType="begin"/>
      </w:r>
      <w:r w:rsidRPr="00AB33A5">
        <w:instrText xml:space="preserve"> REF para48 \h </w:instrText>
      </w:r>
      <w:r w:rsidRPr="00AB33A5">
        <w:fldChar w:fldCharType="separate"/>
      </w:r>
      <w:r w:rsidRPr="00AB33A5">
        <w:t>50</w:t>
      </w:r>
      <w:r w:rsidRPr="00AB33A5">
        <w:fldChar w:fldCharType="end"/>
      </w:r>
      <w:r>
        <w:t xml:space="preserve">), o cale de atac accesibilă, de natură să ofere o perspectivă rezonabilă de succes persoanelor care susțin că sunt deținute în condiții necorespunzătoare. Această concluzie nu aduce nicidecum atingere unei eventuale reexaminări de către Curte a problemei caracterului efectiv al acestei căi de atac în raport cu hotărârile pronunțate de instanțele naționale și cu punerea în executare efectivă a acestora (a se vedea, </w:t>
      </w:r>
      <w:r>
        <w:rPr>
          <w:i/>
          <w:iCs/>
        </w:rPr>
        <w:t>mutatis mutandis</w:t>
      </w:r>
      <w:r>
        <w:t xml:space="preserve">, </w:t>
      </w:r>
      <w:r>
        <w:rPr>
          <w:i/>
          <w:iCs/>
        </w:rPr>
        <w:t>Stella și alții</w:t>
      </w:r>
      <w:r>
        <w:t xml:space="preserve">, decizie citată anterior, pct. 55, </w:t>
      </w:r>
      <w:r>
        <w:rPr>
          <w:i/>
          <w:iCs/>
        </w:rPr>
        <w:t xml:space="preserve">Angel </w:t>
      </w:r>
      <w:proofErr w:type="spellStart"/>
      <w:r>
        <w:rPr>
          <w:i/>
          <w:iCs/>
        </w:rPr>
        <w:t>Dimitrov</w:t>
      </w:r>
      <w:proofErr w:type="spellEnd"/>
      <w:r>
        <w:rPr>
          <w:i/>
          <w:iCs/>
        </w:rPr>
        <w:t xml:space="preserve"> </w:t>
      </w:r>
      <w:proofErr w:type="spellStart"/>
      <w:r>
        <w:rPr>
          <w:i/>
          <w:iCs/>
        </w:rPr>
        <w:t>Atanasov</w:t>
      </w:r>
      <w:proofErr w:type="spellEnd"/>
      <w:r>
        <w:rPr>
          <w:i/>
          <w:iCs/>
        </w:rPr>
        <w:t xml:space="preserve"> și Aleksandar </w:t>
      </w:r>
      <w:proofErr w:type="spellStart"/>
      <w:r>
        <w:rPr>
          <w:i/>
          <w:iCs/>
        </w:rPr>
        <w:t>Atanasov</w:t>
      </w:r>
      <w:proofErr w:type="spellEnd"/>
      <w:r>
        <w:rPr>
          <w:i/>
          <w:iCs/>
        </w:rPr>
        <w:t xml:space="preserve"> </w:t>
      </w:r>
      <w:proofErr w:type="spellStart"/>
      <w:r>
        <w:rPr>
          <w:i/>
          <w:iCs/>
        </w:rPr>
        <w:t>Apostolov</w:t>
      </w:r>
      <w:proofErr w:type="spellEnd"/>
      <w:r>
        <w:t xml:space="preserve">, citată anterior, pct. 56-57, și </w:t>
      </w:r>
      <w:proofErr w:type="spellStart"/>
      <w:r>
        <w:rPr>
          <w:i/>
          <w:iCs/>
        </w:rPr>
        <w:t>Draniceru</w:t>
      </w:r>
      <w:proofErr w:type="spellEnd"/>
      <w:r>
        <w:t>, decizie citată anterior, pct. 41).</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60</w:t>
      </w:r>
      <w:r>
        <w:fldChar w:fldCharType="end"/>
      </w:r>
      <w:r w:rsidR="00C0055C">
        <w:t>.  Pe scurt și pentru a îndeplini cerința amintită la pct. </w:t>
      </w:r>
      <w:r w:rsidR="00AB33A5" w:rsidRPr="00AB33A5">
        <w:fldChar w:fldCharType="begin"/>
      </w:r>
      <w:r w:rsidR="00AB33A5" w:rsidRPr="00AB33A5">
        <w:instrText xml:space="preserve"> REF para37 \h </w:instrText>
      </w:r>
      <w:r w:rsidR="00AB33A5" w:rsidRPr="00AB33A5">
        <w:fldChar w:fldCharType="separate"/>
      </w:r>
      <w:r w:rsidR="00AB33A5" w:rsidRPr="00AB33A5">
        <w:t>39</w:t>
      </w:r>
      <w:r w:rsidR="00AB33A5" w:rsidRPr="00AB33A5">
        <w:fldChar w:fldCharType="end"/>
      </w:r>
      <w:r w:rsidR="00C0055C">
        <w:t xml:space="preserve"> </w:t>
      </w:r>
      <w:r w:rsidR="00C0055C">
        <w:rPr>
          <w:i/>
          <w:iCs/>
        </w:rPr>
        <w:t>supra</w:t>
      </w:r>
      <w:r w:rsidR="00C0055C">
        <w:t>, Curtea constată că în ordinea juridică română există, în mod complementar, două căi de atac disponibile deținuților: una preventivă, de natură să pună capăt pretinsei încălcări, destinată deținuților care susțin că sunt supuși unor condiții necorespunzătoare de detenție (</w:t>
      </w:r>
      <w:r w:rsidR="00C0055C">
        <w:rPr>
          <w:i/>
          <w:iCs/>
        </w:rPr>
        <w:t>supra</w:t>
      </w:r>
      <w:r w:rsidR="00C0055C">
        <w:t xml:space="preserve">, pct. </w:t>
      </w:r>
      <w:r w:rsidR="00AB33A5" w:rsidRPr="00AB33A5">
        <w:fldChar w:fldCharType="begin"/>
      </w:r>
      <w:r w:rsidR="00AB33A5" w:rsidRPr="00AB33A5">
        <w:instrText xml:space="preserve"> REF para45 \h </w:instrText>
      </w:r>
      <w:r w:rsidR="00AB33A5" w:rsidRPr="00AB33A5">
        <w:fldChar w:fldCharType="separate"/>
      </w:r>
      <w:r w:rsidR="00AB33A5" w:rsidRPr="00AB33A5">
        <w:t>48</w:t>
      </w:r>
      <w:r w:rsidR="00AB33A5" w:rsidRPr="00AB33A5">
        <w:fldChar w:fldCharType="end"/>
      </w:r>
      <w:r w:rsidR="00C0055C">
        <w:t>-</w:t>
      </w:r>
      <w:r w:rsidR="00AB33A5" w:rsidRPr="00AB33A5">
        <w:fldChar w:fldCharType="begin"/>
      </w:r>
      <w:r w:rsidR="00AB33A5" w:rsidRPr="00AB33A5">
        <w:instrText xml:space="preserve"> REF para57 \h </w:instrText>
      </w:r>
      <w:r w:rsidR="00AB33A5" w:rsidRPr="00AB33A5">
        <w:fldChar w:fldCharType="separate"/>
      </w:r>
      <w:r w:rsidR="00AB33A5" w:rsidRPr="00AB33A5">
        <w:t>59</w:t>
      </w:r>
      <w:r w:rsidR="00AB33A5" w:rsidRPr="00AB33A5">
        <w:fldChar w:fldCharType="end"/>
      </w:r>
      <w:r w:rsidR="00C0055C">
        <w:t>) și alta compensatorie, disponibilă persoanelor care consideră că au fost supuse unor condiții necorespunzătoare de detenție și care nu mai sunt, la momentul introducerii acțiunii lor, deținute în condiții despre care susțin că ar fi contrare Convenției (</w:t>
      </w:r>
      <w:r w:rsidR="00C0055C">
        <w:rPr>
          <w:i/>
          <w:iCs/>
        </w:rPr>
        <w:t>Polgar</w:t>
      </w:r>
      <w:r w:rsidR="00C0055C">
        <w:t xml:space="preserve">, citată anterior, pct. 77-97, și </w:t>
      </w:r>
      <w:r w:rsidR="00C0055C">
        <w:rPr>
          <w:i/>
          <w:iCs/>
        </w:rPr>
        <w:t>Vlad</w:t>
      </w:r>
      <w:r w:rsidR="00C0055C">
        <w:t>, citată anterior, pct. 22-33).</w:t>
      </w:r>
    </w:p>
    <w:p w:rsidR="00AB33A5" w:rsidRPr="00AB33A5" w:rsidRDefault="00AB33A5" w:rsidP="00AB33A5">
      <w:pPr>
        <w:pStyle w:val="JuHa0"/>
      </w:pPr>
      <w:r>
        <w:t>Cu privire la caracterul efectiv al recursului preventiv în cazul reclamantului</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61</w:t>
      </w:r>
      <w:r>
        <w:fldChar w:fldCharType="end"/>
      </w:r>
      <w:r w:rsidR="00C0055C">
        <w:t>.  În prezenta cauză, Curtea constată că reclamantul a exercitat, în trei rânduri, calea de atac instituită prin Legea nr. 254/2013, pentru a invoca rele tratamente și pentru a obține îngrijiri medicale adecvate pe durata detenției sale în Penitenciarul Craiova, dar niciodată nu a denunțat condițiile de detenție, necorespunzătoare în opinia sa, din acest penitenciar (</w:t>
      </w:r>
      <w:r w:rsidR="00C0055C">
        <w:rPr>
          <w:i/>
          <w:iCs/>
        </w:rPr>
        <w:t>supra</w:t>
      </w:r>
      <w:r w:rsidR="00C0055C">
        <w:t xml:space="preserve">, pct. </w:t>
      </w:r>
      <w:r w:rsidR="00AB33A5" w:rsidRPr="00AB33A5">
        <w:fldChar w:fldCharType="begin"/>
      </w:r>
      <w:r w:rsidR="00AB33A5" w:rsidRPr="00AB33A5">
        <w:instrText xml:space="preserve"> REF para8 \h </w:instrText>
      </w:r>
      <w:r w:rsidR="00AB33A5" w:rsidRPr="00AB33A5">
        <w:fldChar w:fldCharType="separate"/>
      </w:r>
      <w:r w:rsidR="00AB33A5" w:rsidRPr="00AB33A5">
        <w:t>9</w:t>
      </w:r>
      <w:r w:rsidR="00AB33A5" w:rsidRPr="00AB33A5">
        <w:fldChar w:fldCharType="end"/>
      </w:r>
      <w:r w:rsidR="00C0055C">
        <w: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62</w:t>
      </w:r>
      <w:r>
        <w:fldChar w:fldCharType="end"/>
      </w:r>
      <w:r w:rsidR="00C0055C">
        <w:t>.  Curtea a statuat că recursul introdus prin Legea nr. 254/2013 putea fi considerat, începând cu 6 aprilie 2023, ca fiind efectiv pentru a contesta condițiile necorespunzătoare de detenție din penitenciarele din România (</w:t>
      </w:r>
      <w:r w:rsidR="00C0055C">
        <w:rPr>
          <w:i/>
          <w:iCs/>
        </w:rPr>
        <w:t>supra</w:t>
      </w:r>
      <w:r w:rsidR="00C0055C">
        <w:t xml:space="preserve">, pct. </w:t>
      </w:r>
      <w:r w:rsidR="00AB33A5" w:rsidRPr="00AB33A5">
        <w:fldChar w:fldCharType="begin"/>
      </w:r>
      <w:r w:rsidR="00AB33A5" w:rsidRPr="00AB33A5">
        <w:instrText xml:space="preserve"> REF para45 \h </w:instrText>
      </w:r>
      <w:r w:rsidR="00AB33A5" w:rsidRPr="00AB33A5">
        <w:fldChar w:fldCharType="separate"/>
      </w:r>
      <w:r w:rsidR="00AB33A5" w:rsidRPr="00AB33A5">
        <w:t>48</w:t>
      </w:r>
      <w:r w:rsidR="00AB33A5" w:rsidRPr="00AB33A5">
        <w:fldChar w:fldCharType="end"/>
      </w:r>
      <w:r w:rsidR="00C0055C">
        <w:t>-</w:t>
      </w:r>
      <w:r w:rsidR="00AB33A5" w:rsidRPr="00AB33A5">
        <w:fldChar w:fldCharType="begin"/>
      </w:r>
      <w:r w:rsidR="00AB33A5" w:rsidRPr="00AB33A5">
        <w:instrText xml:space="preserve"> REF para57 \h </w:instrText>
      </w:r>
      <w:r w:rsidR="00AB33A5" w:rsidRPr="00AB33A5">
        <w:fldChar w:fldCharType="separate"/>
      </w:r>
      <w:r w:rsidR="00AB33A5" w:rsidRPr="00AB33A5">
        <w:t>59</w:t>
      </w:r>
      <w:r w:rsidR="00AB33A5" w:rsidRPr="00AB33A5">
        <w:fldChar w:fldCharType="end"/>
      </w:r>
      <w:r w:rsidR="00C0055C">
        <w:t>).</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63</w:t>
      </w:r>
      <w:r>
        <w:fldChar w:fldCharType="end"/>
      </w:r>
      <w:r w:rsidR="00C0055C">
        <w:t>.  Curtea consideră că reclamantul, în măsura în care susține că a fost încarcerat începând cu 28 martie 2024 și până în prezent în condiții contrare art. 3 din Convenție, ar fi trebuit să exercite recursul preventiv respectiv cu scopul de a obține o îmbunătățire imediată a condițiilor sale de viață în penitenciar.</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64</w:t>
      </w:r>
      <w:r>
        <w:fldChar w:fldCharType="end"/>
      </w:r>
      <w:r w:rsidR="00C0055C">
        <w:t>.  Curtea face din nou precizarea că își rezervă posibilitatea de a examina concordanța jurisprudenței interne ulterioare cu propria sa jurisprudență, precum și caracterul efectiv al căilor de atac atât în teorie, cât și în practică, în ceea ce privește îmbunătățirea situației în materie de supraaglomerare și condițiile materiale din locurile de deținere din România. În orice caz, sarcina probei privind caracterul efectiv al căilor de atac va reveni atunci statului pârât (</w:t>
      </w:r>
      <w:r w:rsidR="00C0055C">
        <w:rPr>
          <w:i/>
          <w:iCs/>
        </w:rPr>
        <w:t>Stella și alții</w:t>
      </w:r>
      <w:r w:rsidR="00C0055C">
        <w:t>, decizie citată anterior, pct. 68).</w:t>
      </w:r>
    </w:p>
    <w:p w:rsidR="00AB33A5" w:rsidRPr="00AB33A5" w:rsidRDefault="008D6FED" w:rsidP="00AB33A5">
      <w:pPr>
        <w:pStyle w:val="JuPara"/>
      </w:pPr>
      <w:r>
        <w:fldChar w:fldCharType="begin"/>
      </w:r>
      <w:r>
        <w:instrText xml:space="preserve"> SEQ level0 \*arabic \* MERGEFORMAT </w:instrText>
      </w:r>
      <w:r>
        <w:fldChar w:fldCharType="separate"/>
      </w:r>
      <w:r w:rsidR="00AB33A5" w:rsidRPr="00AB33A5">
        <w:t>65</w:t>
      </w:r>
      <w:r>
        <w:fldChar w:fldCharType="end"/>
      </w:r>
      <w:r w:rsidR="00C0055C">
        <w:t>.  Rezultă că acest capăt de cerere întemeiat de reclamant pe condiții necorespunzătoare de detenție trebuie respins pentru neepuizarea căilor de atac interne, în conformitate cu art. 35 § 1 și § 4 din Convenție.</w:t>
      </w:r>
    </w:p>
    <w:p w:rsidR="00AB33A5" w:rsidRPr="00AB33A5" w:rsidRDefault="00AB33A5" w:rsidP="00AB33A5">
      <w:pPr>
        <w:pStyle w:val="JuParaLast"/>
      </w:pPr>
      <w:r>
        <w:lastRenderedPageBreak/>
        <w:t>Pentru aceste motive, Curtea, în unanimitate,</w:t>
      </w:r>
    </w:p>
    <w:p w:rsidR="00AB33A5" w:rsidRPr="00AB33A5" w:rsidRDefault="00AB33A5" w:rsidP="00AB33A5">
      <w:pPr>
        <w:pStyle w:val="DecList"/>
      </w:pPr>
      <w:r>
        <w:rPr>
          <w:i/>
          <w:iCs/>
        </w:rPr>
        <w:t>declară</w:t>
      </w:r>
      <w:r>
        <w:t xml:space="preserve"> cererea inadmisibilă.</w:t>
      </w:r>
    </w:p>
    <w:p w:rsidR="00AB33A5" w:rsidRPr="00AB33A5" w:rsidRDefault="00AB33A5" w:rsidP="00AB33A5">
      <w:pPr>
        <w:pStyle w:val="JuParaLast"/>
      </w:pPr>
      <w:r>
        <w:t>Redactată în limba franceză, apoi comunicată în scris, la 4 decembrie 2025.</w:t>
      </w:r>
    </w:p>
    <w:p w:rsidR="00AB33A5" w:rsidRPr="00AB33A5" w:rsidRDefault="00AB33A5" w:rsidP="00AB33A5">
      <w:pPr>
        <w:pStyle w:val="ECHRPlaceholder"/>
      </w:pPr>
      <w:r>
        <w:tab/>
      </w:r>
    </w:p>
    <w:p w:rsidR="00A1102F" w:rsidRPr="00AB33A5" w:rsidRDefault="00AB33A5" w:rsidP="00AB33A5">
      <w:pPr>
        <w:pStyle w:val="JuSigned"/>
      </w:pPr>
      <w:r>
        <w:tab/>
        <w:t>Simeon Petrovski</w:t>
      </w:r>
      <w:r>
        <w:tab/>
      </w:r>
      <w:proofErr w:type="spellStart"/>
      <w:r>
        <w:t>Lado</w:t>
      </w:r>
      <w:proofErr w:type="spellEnd"/>
      <w:r>
        <w:t xml:space="preserve"> Chanturia</w:t>
      </w:r>
      <w:r>
        <w:br/>
      </w:r>
      <w:r>
        <w:tab/>
        <w:t>Grefier adjunct</w:t>
      </w:r>
      <w:r>
        <w:tab/>
        <w:t>Președinte</w:t>
      </w:r>
    </w:p>
    <w:sectPr w:rsidR="00A1102F" w:rsidRPr="00AB33A5" w:rsidSect="00A6015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2274" w:right="2274" w:bottom="2274" w:left="2274" w:header="141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FED" w:rsidRDefault="008D6FED">
      <w:r>
        <w:separator/>
      </w:r>
    </w:p>
  </w:endnote>
  <w:endnote w:type="continuationSeparator" w:id="0">
    <w:p w:rsidR="008D6FED" w:rsidRDefault="008D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87" w:rsidRPr="00AB33A5" w:rsidRDefault="00D56287" w:rsidP="00AB33A5">
    <w:pPr>
      <w:pStyle w:val="JuHeader"/>
    </w:pPr>
    <w:r w:rsidRPr="00AB33A5">
      <w:fldChar w:fldCharType="begin"/>
    </w:r>
    <w:r w:rsidRPr="00AB33A5">
      <w:instrText xml:space="preserve"> PAGE  \* MERGEFORMAT </w:instrText>
    </w:r>
    <w:r w:rsidRPr="00AB33A5">
      <w:fldChar w:fldCharType="separate"/>
    </w:r>
    <w:r w:rsidR="0012677A">
      <w:rPr>
        <w:noProof/>
      </w:rPr>
      <w:t>20</w:t>
    </w:r>
    <w:r w:rsidRPr="00AB33A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87" w:rsidRPr="00AB33A5" w:rsidRDefault="00D56287" w:rsidP="00AB33A5">
    <w:pPr>
      <w:pStyle w:val="JuHeader"/>
    </w:pPr>
    <w:r w:rsidRPr="00AB33A5">
      <w:fldChar w:fldCharType="begin"/>
    </w:r>
    <w:r w:rsidRPr="00AB33A5">
      <w:instrText xml:space="preserve"> PAGE  \* MERGEFORMAT </w:instrText>
    </w:r>
    <w:r w:rsidRPr="00AB33A5">
      <w:fldChar w:fldCharType="separate"/>
    </w:r>
    <w:r w:rsidR="0012677A">
      <w:rPr>
        <w:noProof/>
      </w:rPr>
      <w:t>21</w:t>
    </w:r>
    <w:r w:rsidRPr="00AB33A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87" w:rsidRPr="00AB33A5" w:rsidRDefault="00D56287" w:rsidP="00AB33A5">
    <w:pPr>
      <w:jc w:val="center"/>
    </w:pPr>
    <w:r>
      <w:rPr>
        <w:noProof/>
        <w:lang w:eastAsia="ro-RO"/>
      </w:rPr>
      <w:drawing>
        <wp:inline distT="0" distB="0" distL="0" distR="0">
          <wp:extent cx="771525" cy="619125"/>
          <wp:effectExtent l="0" t="0" r="9525" b="9525"/>
          <wp:docPr id="24" name="Picture 2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D56287" w:rsidRPr="00AB33A5" w:rsidRDefault="00D56287" w:rsidP="00AB33A5">
    <w:pPr>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FED" w:rsidRDefault="008D6FED">
      <w:r>
        <w:separator/>
      </w:r>
    </w:p>
  </w:footnote>
  <w:footnote w:type="continuationSeparator" w:id="0">
    <w:p w:rsidR="008D6FED" w:rsidRDefault="008D6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87" w:rsidRDefault="00D56287" w:rsidP="00AB33A5">
    <w:pPr>
      <w:pStyle w:val="JuHeader"/>
    </w:pPr>
    <w:r>
      <w:t>DECIZIA VĂSCĂUȚANU ÎMPOTRIVA ROMÂNIEI</w:t>
    </w:r>
  </w:p>
  <w:p w:rsidR="00A6015B" w:rsidRDefault="00A6015B" w:rsidP="00AB33A5">
    <w:pPr>
      <w:pStyle w:val="JuHeader"/>
    </w:pPr>
  </w:p>
  <w:p w:rsidR="00A6015B" w:rsidRPr="00AB33A5" w:rsidRDefault="00A6015B" w:rsidP="00AB33A5">
    <w:pPr>
      <w:pStyle w:val="Ju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287" w:rsidRPr="00AB33A5" w:rsidRDefault="00D56287" w:rsidP="00AB33A5">
    <w:pPr>
      <w:pStyle w:val="JuHeader"/>
    </w:pPr>
    <w:r>
      <w:t>DECIZIA VĂSCĂUȚANU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AB1" w:rsidRPr="00E95050" w:rsidRDefault="00A86AB1" w:rsidP="00A86AB1">
    <w:pPr>
      <w:jc w:val="right"/>
      <w:rPr>
        <w:i/>
        <w:noProof/>
        <w:sz w:val="22"/>
        <w:szCs w:val="22"/>
      </w:rPr>
    </w:pPr>
    <w:r>
      <w:rPr>
        <w:i/>
        <w:iCs/>
      </w:rPr>
      <w:t>Tradus și revizuit de IER</w:t>
    </w:r>
    <w:r>
      <w:t xml:space="preserve"> </w:t>
    </w:r>
    <w:r>
      <w:rPr>
        <w:i/>
        <w:sz w:val="22"/>
      </w:rPr>
      <w:t>(</w:t>
    </w:r>
    <w:hyperlink r:id="rId1" w:history="1">
      <w:r>
        <w:rPr>
          <w:rStyle w:val="Hyperlink"/>
          <w:i/>
          <w:sz w:val="22"/>
        </w:rPr>
        <w:t>http://ier.gov.ro/</w:t>
      </w:r>
    </w:hyperlink>
    <w:r>
      <w:rPr>
        <w:i/>
        <w:sz w:val="22"/>
      </w:rPr>
      <w:t>)</w:t>
    </w:r>
  </w:p>
  <w:p w:rsidR="00A86AB1" w:rsidRDefault="00A86AB1" w:rsidP="00AB33A5">
    <w:pPr>
      <w:jc w:val="center"/>
      <w:rPr>
        <w:noProof/>
        <w:lang w:eastAsia="ro-RO"/>
      </w:rPr>
    </w:pPr>
  </w:p>
  <w:p w:rsidR="00D56287" w:rsidRPr="00AB33A5" w:rsidRDefault="00D56287" w:rsidP="00AB33A5">
    <w:pPr>
      <w:jc w:val="center"/>
    </w:pPr>
    <w:r>
      <w:rPr>
        <w:noProof/>
        <w:lang w:eastAsia="ro-RO"/>
      </w:rPr>
      <w:drawing>
        <wp:inline distT="0" distB="0" distL="0" distR="0">
          <wp:extent cx="2962275" cy="1219200"/>
          <wp:effectExtent l="0" t="0" r="9525" b="0"/>
          <wp:docPr id="23" name="Picture 2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D56287" w:rsidRPr="00AB33A5" w:rsidRDefault="00D56287" w:rsidP="00AB33A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0A9A2F7C">
      <w:start w:val="1"/>
      <w:numFmt w:val="bullet"/>
      <w:pStyle w:val="ListBullet"/>
      <w:lvlText w:val=""/>
      <w:lvlJc w:val="left"/>
      <w:pPr>
        <w:tabs>
          <w:tab w:val="num" w:pos="851"/>
        </w:tabs>
        <w:ind w:left="568" w:firstLine="0"/>
      </w:pPr>
      <w:rPr>
        <w:rFonts w:ascii="Wingdings" w:hAnsi="Wingdings" w:hint="default"/>
        <w:color w:val="808080"/>
        <w:sz w:val="16"/>
      </w:rPr>
    </w:lvl>
    <w:lvl w:ilvl="1" w:tplc="1A8A9680" w:tentative="1">
      <w:start w:val="1"/>
      <w:numFmt w:val="bullet"/>
      <w:lvlText w:val="o"/>
      <w:lvlJc w:val="left"/>
      <w:pPr>
        <w:tabs>
          <w:tab w:val="num" w:pos="1724"/>
        </w:tabs>
        <w:ind w:left="1724" w:hanging="360"/>
      </w:pPr>
      <w:rPr>
        <w:rFonts w:ascii="Courier New" w:hAnsi="Courier New" w:cs="Courier New" w:hint="default"/>
      </w:rPr>
    </w:lvl>
    <w:lvl w:ilvl="2" w:tplc="1A18637E" w:tentative="1">
      <w:start w:val="1"/>
      <w:numFmt w:val="bullet"/>
      <w:lvlText w:val=""/>
      <w:lvlJc w:val="left"/>
      <w:pPr>
        <w:tabs>
          <w:tab w:val="num" w:pos="2444"/>
        </w:tabs>
        <w:ind w:left="2444" w:hanging="360"/>
      </w:pPr>
      <w:rPr>
        <w:rFonts w:ascii="Wingdings" w:hAnsi="Wingdings" w:hint="default"/>
      </w:rPr>
    </w:lvl>
    <w:lvl w:ilvl="3" w:tplc="758628B8" w:tentative="1">
      <w:start w:val="1"/>
      <w:numFmt w:val="bullet"/>
      <w:lvlText w:val=""/>
      <w:lvlJc w:val="left"/>
      <w:pPr>
        <w:tabs>
          <w:tab w:val="num" w:pos="3164"/>
        </w:tabs>
        <w:ind w:left="3164" w:hanging="360"/>
      </w:pPr>
      <w:rPr>
        <w:rFonts w:ascii="Symbol" w:hAnsi="Symbol" w:hint="default"/>
      </w:rPr>
    </w:lvl>
    <w:lvl w:ilvl="4" w:tplc="8452A520" w:tentative="1">
      <w:start w:val="1"/>
      <w:numFmt w:val="bullet"/>
      <w:lvlText w:val="o"/>
      <w:lvlJc w:val="left"/>
      <w:pPr>
        <w:tabs>
          <w:tab w:val="num" w:pos="3884"/>
        </w:tabs>
        <w:ind w:left="3884" w:hanging="360"/>
      </w:pPr>
      <w:rPr>
        <w:rFonts w:ascii="Courier New" w:hAnsi="Courier New" w:cs="Courier New" w:hint="default"/>
      </w:rPr>
    </w:lvl>
    <w:lvl w:ilvl="5" w:tplc="47E22064" w:tentative="1">
      <w:start w:val="1"/>
      <w:numFmt w:val="bullet"/>
      <w:lvlText w:val=""/>
      <w:lvlJc w:val="left"/>
      <w:pPr>
        <w:tabs>
          <w:tab w:val="num" w:pos="4604"/>
        </w:tabs>
        <w:ind w:left="4604" w:hanging="360"/>
      </w:pPr>
      <w:rPr>
        <w:rFonts w:ascii="Wingdings" w:hAnsi="Wingdings" w:hint="default"/>
      </w:rPr>
    </w:lvl>
    <w:lvl w:ilvl="6" w:tplc="E93E9A34" w:tentative="1">
      <w:start w:val="1"/>
      <w:numFmt w:val="bullet"/>
      <w:lvlText w:val=""/>
      <w:lvlJc w:val="left"/>
      <w:pPr>
        <w:tabs>
          <w:tab w:val="num" w:pos="5324"/>
        </w:tabs>
        <w:ind w:left="5324" w:hanging="360"/>
      </w:pPr>
      <w:rPr>
        <w:rFonts w:ascii="Symbol" w:hAnsi="Symbol" w:hint="default"/>
      </w:rPr>
    </w:lvl>
    <w:lvl w:ilvl="7" w:tplc="59546566" w:tentative="1">
      <w:start w:val="1"/>
      <w:numFmt w:val="bullet"/>
      <w:lvlText w:val="o"/>
      <w:lvlJc w:val="left"/>
      <w:pPr>
        <w:tabs>
          <w:tab w:val="num" w:pos="6044"/>
        </w:tabs>
        <w:ind w:left="6044" w:hanging="360"/>
      </w:pPr>
      <w:rPr>
        <w:rFonts w:ascii="Courier New" w:hAnsi="Courier New" w:cs="Courier New" w:hint="default"/>
      </w:rPr>
    </w:lvl>
    <w:lvl w:ilvl="8" w:tplc="91FE573A"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1E7106"/>
    <w:rsid w:val="000041F8"/>
    <w:rsid w:val="000042A8"/>
    <w:rsid w:val="00004308"/>
    <w:rsid w:val="00005BF0"/>
    <w:rsid w:val="00007154"/>
    <w:rsid w:val="0001025C"/>
    <w:rsid w:val="000103AE"/>
    <w:rsid w:val="00011D69"/>
    <w:rsid w:val="00012AD3"/>
    <w:rsid w:val="00015C2D"/>
    <w:rsid w:val="00015F00"/>
    <w:rsid w:val="00022C1D"/>
    <w:rsid w:val="000279B8"/>
    <w:rsid w:val="000306CC"/>
    <w:rsid w:val="00034987"/>
    <w:rsid w:val="000358EC"/>
    <w:rsid w:val="00050A32"/>
    <w:rsid w:val="000602DF"/>
    <w:rsid w:val="00061B05"/>
    <w:rsid w:val="000632D5"/>
    <w:rsid w:val="000644EE"/>
    <w:rsid w:val="000925AD"/>
    <w:rsid w:val="000A1312"/>
    <w:rsid w:val="000A24EB"/>
    <w:rsid w:val="000B6923"/>
    <w:rsid w:val="000C5F3C"/>
    <w:rsid w:val="000C6DCC"/>
    <w:rsid w:val="000D47AA"/>
    <w:rsid w:val="000D5474"/>
    <w:rsid w:val="000D721F"/>
    <w:rsid w:val="000E069B"/>
    <w:rsid w:val="000E0E82"/>
    <w:rsid w:val="000E1DC5"/>
    <w:rsid w:val="000E223F"/>
    <w:rsid w:val="000E7D45"/>
    <w:rsid w:val="000F1E93"/>
    <w:rsid w:val="000F7851"/>
    <w:rsid w:val="00104E23"/>
    <w:rsid w:val="00111B0C"/>
    <w:rsid w:val="00120D6C"/>
    <w:rsid w:val="001257EC"/>
    <w:rsid w:val="0012677A"/>
    <w:rsid w:val="00133D33"/>
    <w:rsid w:val="00134D64"/>
    <w:rsid w:val="00135A30"/>
    <w:rsid w:val="0013612C"/>
    <w:rsid w:val="00137FF6"/>
    <w:rsid w:val="00141650"/>
    <w:rsid w:val="00150BFA"/>
    <w:rsid w:val="00155821"/>
    <w:rsid w:val="00162A12"/>
    <w:rsid w:val="001641A2"/>
    <w:rsid w:val="00166234"/>
    <w:rsid w:val="00166530"/>
    <w:rsid w:val="0016678F"/>
    <w:rsid w:val="001832BD"/>
    <w:rsid w:val="001943B5"/>
    <w:rsid w:val="00195134"/>
    <w:rsid w:val="001A145B"/>
    <w:rsid w:val="001A64F0"/>
    <w:rsid w:val="001A674C"/>
    <w:rsid w:val="001B2A94"/>
    <w:rsid w:val="001B3B24"/>
    <w:rsid w:val="001C0F98"/>
    <w:rsid w:val="001C2A42"/>
    <w:rsid w:val="001D4B94"/>
    <w:rsid w:val="001D5883"/>
    <w:rsid w:val="001D63ED"/>
    <w:rsid w:val="001D7348"/>
    <w:rsid w:val="001E035B"/>
    <w:rsid w:val="001E0961"/>
    <w:rsid w:val="001E3EAE"/>
    <w:rsid w:val="001E6F32"/>
    <w:rsid w:val="001E7106"/>
    <w:rsid w:val="001F2145"/>
    <w:rsid w:val="001F6262"/>
    <w:rsid w:val="001F67B0"/>
    <w:rsid w:val="001F7B3D"/>
    <w:rsid w:val="00205F9F"/>
    <w:rsid w:val="0020718E"/>
    <w:rsid w:val="00210338"/>
    <w:rsid w:val="002115FC"/>
    <w:rsid w:val="0021423C"/>
    <w:rsid w:val="0021504A"/>
    <w:rsid w:val="0022785C"/>
    <w:rsid w:val="00230D00"/>
    <w:rsid w:val="00231DF7"/>
    <w:rsid w:val="00231FD1"/>
    <w:rsid w:val="002339E0"/>
    <w:rsid w:val="00233CF8"/>
    <w:rsid w:val="00234E8A"/>
    <w:rsid w:val="0023575D"/>
    <w:rsid w:val="00237148"/>
    <w:rsid w:val="00241A65"/>
    <w:rsid w:val="00241EF9"/>
    <w:rsid w:val="0024222D"/>
    <w:rsid w:val="00244B0E"/>
    <w:rsid w:val="00244F6C"/>
    <w:rsid w:val="002532C5"/>
    <w:rsid w:val="00260C03"/>
    <w:rsid w:val="0026540E"/>
    <w:rsid w:val="002667B8"/>
    <w:rsid w:val="00275123"/>
    <w:rsid w:val="00282240"/>
    <w:rsid w:val="002948AD"/>
    <w:rsid w:val="0029729E"/>
    <w:rsid w:val="002A01CC"/>
    <w:rsid w:val="002A61B1"/>
    <w:rsid w:val="002A663C"/>
    <w:rsid w:val="002B444B"/>
    <w:rsid w:val="002B5887"/>
    <w:rsid w:val="002C0E27"/>
    <w:rsid w:val="002C3040"/>
    <w:rsid w:val="002D022D"/>
    <w:rsid w:val="002D1507"/>
    <w:rsid w:val="002D24BB"/>
    <w:rsid w:val="002D609F"/>
    <w:rsid w:val="002D613D"/>
    <w:rsid w:val="002D6172"/>
    <w:rsid w:val="002F2AF7"/>
    <w:rsid w:val="002F7E1C"/>
    <w:rsid w:val="00301A75"/>
    <w:rsid w:val="00302F70"/>
    <w:rsid w:val="0030336F"/>
    <w:rsid w:val="0030375E"/>
    <w:rsid w:val="00312A30"/>
    <w:rsid w:val="003146E4"/>
    <w:rsid w:val="00320F72"/>
    <w:rsid w:val="0032463E"/>
    <w:rsid w:val="003252FB"/>
    <w:rsid w:val="00326224"/>
    <w:rsid w:val="003312A3"/>
    <w:rsid w:val="00334EC5"/>
    <w:rsid w:val="00337EE4"/>
    <w:rsid w:val="00340FFD"/>
    <w:rsid w:val="003506B1"/>
    <w:rsid w:val="0035621E"/>
    <w:rsid w:val="00356AC7"/>
    <w:rsid w:val="003609FA"/>
    <w:rsid w:val="003710C8"/>
    <w:rsid w:val="003750BE"/>
    <w:rsid w:val="00381AF0"/>
    <w:rsid w:val="00382C37"/>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15F16"/>
    <w:rsid w:val="00415FAE"/>
    <w:rsid w:val="00425C67"/>
    <w:rsid w:val="00427E7A"/>
    <w:rsid w:val="00436C49"/>
    <w:rsid w:val="00445366"/>
    <w:rsid w:val="00447F5B"/>
    <w:rsid w:val="0045617B"/>
    <w:rsid w:val="00461DB0"/>
    <w:rsid w:val="00463926"/>
    <w:rsid w:val="00464C9A"/>
    <w:rsid w:val="00465B03"/>
    <w:rsid w:val="00474F3D"/>
    <w:rsid w:val="00474FDF"/>
    <w:rsid w:val="00477E3A"/>
    <w:rsid w:val="00483E5F"/>
    <w:rsid w:val="00485FF9"/>
    <w:rsid w:val="004907F0"/>
    <w:rsid w:val="0049140B"/>
    <w:rsid w:val="004923A5"/>
    <w:rsid w:val="00496BFB"/>
    <w:rsid w:val="004A15C7"/>
    <w:rsid w:val="004A7D8B"/>
    <w:rsid w:val="004B013B"/>
    <w:rsid w:val="004B112B"/>
    <w:rsid w:val="004C01E4"/>
    <w:rsid w:val="004C086C"/>
    <w:rsid w:val="004C1F56"/>
    <w:rsid w:val="004C27BC"/>
    <w:rsid w:val="004D15F3"/>
    <w:rsid w:val="004D5311"/>
    <w:rsid w:val="004D5DCC"/>
    <w:rsid w:val="004E3C8D"/>
    <w:rsid w:val="004E4CF5"/>
    <w:rsid w:val="004F10AF"/>
    <w:rsid w:val="004F11A4"/>
    <w:rsid w:val="004F2389"/>
    <w:rsid w:val="004F304D"/>
    <w:rsid w:val="004F61BE"/>
    <w:rsid w:val="004F66B1"/>
    <w:rsid w:val="00511C07"/>
    <w:rsid w:val="005121E2"/>
    <w:rsid w:val="005173A6"/>
    <w:rsid w:val="00520BAA"/>
    <w:rsid w:val="00525208"/>
    <w:rsid w:val="005257A5"/>
    <w:rsid w:val="005264C0"/>
    <w:rsid w:val="00526A8A"/>
    <w:rsid w:val="00531DF2"/>
    <w:rsid w:val="00536B70"/>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A6AD8"/>
    <w:rsid w:val="005B092E"/>
    <w:rsid w:val="005B152C"/>
    <w:rsid w:val="005B1EE0"/>
    <w:rsid w:val="005B284C"/>
    <w:rsid w:val="005B2B24"/>
    <w:rsid w:val="005B4425"/>
    <w:rsid w:val="005B4B94"/>
    <w:rsid w:val="005C3EE8"/>
    <w:rsid w:val="005D0D74"/>
    <w:rsid w:val="005D34F9"/>
    <w:rsid w:val="005D4190"/>
    <w:rsid w:val="005D67A3"/>
    <w:rsid w:val="005E0B8B"/>
    <w:rsid w:val="005E23CB"/>
    <w:rsid w:val="005E2988"/>
    <w:rsid w:val="005E3085"/>
    <w:rsid w:val="005F51E1"/>
    <w:rsid w:val="005F675D"/>
    <w:rsid w:val="006006D1"/>
    <w:rsid w:val="00611C80"/>
    <w:rsid w:val="00616973"/>
    <w:rsid w:val="00620692"/>
    <w:rsid w:val="006242CA"/>
    <w:rsid w:val="00627507"/>
    <w:rsid w:val="006306A0"/>
    <w:rsid w:val="00633717"/>
    <w:rsid w:val="006344E1"/>
    <w:rsid w:val="006544C4"/>
    <w:rsid w:val="006545C4"/>
    <w:rsid w:val="006573FA"/>
    <w:rsid w:val="00661517"/>
    <w:rsid w:val="00661971"/>
    <w:rsid w:val="00661CE8"/>
    <w:rsid w:val="006623D9"/>
    <w:rsid w:val="0066550C"/>
    <w:rsid w:val="006716F2"/>
    <w:rsid w:val="00682BF2"/>
    <w:rsid w:val="006859CE"/>
    <w:rsid w:val="00691270"/>
    <w:rsid w:val="00694BA8"/>
    <w:rsid w:val="0069621C"/>
    <w:rsid w:val="006A037C"/>
    <w:rsid w:val="006A36F4"/>
    <w:rsid w:val="006A406F"/>
    <w:rsid w:val="006A4E82"/>
    <w:rsid w:val="006A5D3A"/>
    <w:rsid w:val="006B7E08"/>
    <w:rsid w:val="006C23D4"/>
    <w:rsid w:val="006C7BB0"/>
    <w:rsid w:val="006D3237"/>
    <w:rsid w:val="006E2E37"/>
    <w:rsid w:val="006E3228"/>
    <w:rsid w:val="006E3CF1"/>
    <w:rsid w:val="006E7E80"/>
    <w:rsid w:val="006F19B0"/>
    <w:rsid w:val="006F48CA"/>
    <w:rsid w:val="006F64DD"/>
    <w:rsid w:val="006F6732"/>
    <w:rsid w:val="00705E1B"/>
    <w:rsid w:val="00715127"/>
    <w:rsid w:val="00715E8E"/>
    <w:rsid w:val="0071796B"/>
    <w:rsid w:val="00723580"/>
    <w:rsid w:val="00723755"/>
    <w:rsid w:val="00730045"/>
    <w:rsid w:val="0073136C"/>
    <w:rsid w:val="00731F0F"/>
    <w:rsid w:val="00733250"/>
    <w:rsid w:val="00741404"/>
    <w:rsid w:val="007449E5"/>
    <w:rsid w:val="00747FF0"/>
    <w:rsid w:val="00756ADB"/>
    <w:rsid w:val="00764D4E"/>
    <w:rsid w:val="00765A1F"/>
    <w:rsid w:val="00775B6D"/>
    <w:rsid w:val="00776D68"/>
    <w:rsid w:val="00784BC6"/>
    <w:rsid w:val="007850EE"/>
    <w:rsid w:val="00785531"/>
    <w:rsid w:val="00785B95"/>
    <w:rsid w:val="00790E96"/>
    <w:rsid w:val="00793366"/>
    <w:rsid w:val="00797242"/>
    <w:rsid w:val="007A35C3"/>
    <w:rsid w:val="007A6280"/>
    <w:rsid w:val="007A716F"/>
    <w:rsid w:val="007B270A"/>
    <w:rsid w:val="007B44DB"/>
    <w:rsid w:val="007C0695"/>
    <w:rsid w:val="007C1767"/>
    <w:rsid w:val="007C419A"/>
    <w:rsid w:val="007C4CC8"/>
    <w:rsid w:val="007C504F"/>
    <w:rsid w:val="007C5426"/>
    <w:rsid w:val="007C5798"/>
    <w:rsid w:val="007C7B8F"/>
    <w:rsid w:val="007D4832"/>
    <w:rsid w:val="007D7219"/>
    <w:rsid w:val="007E21B2"/>
    <w:rsid w:val="007E2C4E"/>
    <w:rsid w:val="007E3991"/>
    <w:rsid w:val="007F1905"/>
    <w:rsid w:val="0080015C"/>
    <w:rsid w:val="00801300"/>
    <w:rsid w:val="00802C64"/>
    <w:rsid w:val="00805E52"/>
    <w:rsid w:val="008061D0"/>
    <w:rsid w:val="00810B38"/>
    <w:rsid w:val="008127C6"/>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93576"/>
    <w:rsid w:val="00893E73"/>
    <w:rsid w:val="0089580A"/>
    <w:rsid w:val="008A10FF"/>
    <w:rsid w:val="008A2178"/>
    <w:rsid w:val="008B02DC"/>
    <w:rsid w:val="008B0BD9"/>
    <w:rsid w:val="008B57CE"/>
    <w:rsid w:val="008C26DE"/>
    <w:rsid w:val="008C4AA6"/>
    <w:rsid w:val="008D145C"/>
    <w:rsid w:val="008D2225"/>
    <w:rsid w:val="008D4752"/>
    <w:rsid w:val="008D6FED"/>
    <w:rsid w:val="008E271C"/>
    <w:rsid w:val="008E418E"/>
    <w:rsid w:val="008E5BC6"/>
    <w:rsid w:val="008E6A25"/>
    <w:rsid w:val="008F1FEC"/>
    <w:rsid w:val="008F5193"/>
    <w:rsid w:val="009013A7"/>
    <w:rsid w:val="009017FB"/>
    <w:rsid w:val="009017FC"/>
    <w:rsid w:val="0090506B"/>
    <w:rsid w:val="009050C9"/>
    <w:rsid w:val="009066FC"/>
    <w:rsid w:val="009140A3"/>
    <w:rsid w:val="009144A2"/>
    <w:rsid w:val="0091478F"/>
    <w:rsid w:val="0091510C"/>
    <w:rsid w:val="00921CA4"/>
    <w:rsid w:val="00924E78"/>
    <w:rsid w:val="009259AC"/>
    <w:rsid w:val="00926F38"/>
    <w:rsid w:val="00934301"/>
    <w:rsid w:val="00934A97"/>
    <w:rsid w:val="00936CD1"/>
    <w:rsid w:val="00941747"/>
    <w:rsid w:val="0094178F"/>
    <w:rsid w:val="00941EFB"/>
    <w:rsid w:val="00947AFB"/>
    <w:rsid w:val="00951D7D"/>
    <w:rsid w:val="00962A8B"/>
    <w:rsid w:val="009630C7"/>
    <w:rsid w:val="00972B55"/>
    <w:rsid w:val="009743B7"/>
    <w:rsid w:val="00977DA8"/>
    <w:rsid w:val="009816F1"/>
    <w:rsid w:val="0098228B"/>
    <w:rsid w:val="009828DA"/>
    <w:rsid w:val="009851A7"/>
    <w:rsid w:val="00985BAB"/>
    <w:rsid w:val="00994D75"/>
    <w:rsid w:val="009B1B5F"/>
    <w:rsid w:val="009B6673"/>
    <w:rsid w:val="009C191B"/>
    <w:rsid w:val="009C2BD6"/>
    <w:rsid w:val="009D16DC"/>
    <w:rsid w:val="009D6106"/>
    <w:rsid w:val="009E1F32"/>
    <w:rsid w:val="009E776C"/>
    <w:rsid w:val="009F1D6B"/>
    <w:rsid w:val="00A060C4"/>
    <w:rsid w:val="00A1102F"/>
    <w:rsid w:val="00A1726E"/>
    <w:rsid w:val="00A204CF"/>
    <w:rsid w:val="00A23D49"/>
    <w:rsid w:val="00A2627A"/>
    <w:rsid w:val="00A27004"/>
    <w:rsid w:val="00A2799E"/>
    <w:rsid w:val="00A30C29"/>
    <w:rsid w:val="00A34DD6"/>
    <w:rsid w:val="00A36819"/>
    <w:rsid w:val="00A36989"/>
    <w:rsid w:val="00A40D5F"/>
    <w:rsid w:val="00A43628"/>
    <w:rsid w:val="00A45145"/>
    <w:rsid w:val="00A54192"/>
    <w:rsid w:val="00A55CE9"/>
    <w:rsid w:val="00A6015B"/>
    <w:rsid w:val="00A6035E"/>
    <w:rsid w:val="00A6144C"/>
    <w:rsid w:val="00A66617"/>
    <w:rsid w:val="00A671F8"/>
    <w:rsid w:val="00A673A4"/>
    <w:rsid w:val="00A724AE"/>
    <w:rsid w:val="00A73329"/>
    <w:rsid w:val="00A82359"/>
    <w:rsid w:val="00A865D2"/>
    <w:rsid w:val="00A86AB1"/>
    <w:rsid w:val="00A94C20"/>
    <w:rsid w:val="00AA227F"/>
    <w:rsid w:val="00AA3BC7"/>
    <w:rsid w:val="00AA5A0B"/>
    <w:rsid w:val="00AA72C8"/>
    <w:rsid w:val="00AA754A"/>
    <w:rsid w:val="00AB099E"/>
    <w:rsid w:val="00AB33A5"/>
    <w:rsid w:val="00AB33F4"/>
    <w:rsid w:val="00AB4328"/>
    <w:rsid w:val="00AC6FC1"/>
    <w:rsid w:val="00AD4F05"/>
    <w:rsid w:val="00AE0A2E"/>
    <w:rsid w:val="00AE354C"/>
    <w:rsid w:val="00AF4B07"/>
    <w:rsid w:val="00AF6186"/>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28D8"/>
    <w:rsid w:val="00B93925"/>
    <w:rsid w:val="00B95187"/>
    <w:rsid w:val="00BA1CA3"/>
    <w:rsid w:val="00BA2D55"/>
    <w:rsid w:val="00BA71B1"/>
    <w:rsid w:val="00BB0637"/>
    <w:rsid w:val="00BB0BA1"/>
    <w:rsid w:val="00BB312C"/>
    <w:rsid w:val="00BB345F"/>
    <w:rsid w:val="00BB4B2A"/>
    <w:rsid w:val="00BB68EA"/>
    <w:rsid w:val="00BC1C27"/>
    <w:rsid w:val="00BC6BBF"/>
    <w:rsid w:val="00BD1572"/>
    <w:rsid w:val="00BD39E2"/>
    <w:rsid w:val="00BE14E3"/>
    <w:rsid w:val="00BE3774"/>
    <w:rsid w:val="00BE41E5"/>
    <w:rsid w:val="00BF4109"/>
    <w:rsid w:val="00BF4CC3"/>
    <w:rsid w:val="00C0055C"/>
    <w:rsid w:val="00C054C7"/>
    <w:rsid w:val="00C057B5"/>
    <w:rsid w:val="00C22687"/>
    <w:rsid w:val="00C32E4D"/>
    <w:rsid w:val="00C333A0"/>
    <w:rsid w:val="00C36408"/>
    <w:rsid w:val="00C36A81"/>
    <w:rsid w:val="00C41974"/>
    <w:rsid w:val="00C47C82"/>
    <w:rsid w:val="00C53F4A"/>
    <w:rsid w:val="00C54125"/>
    <w:rsid w:val="00C559CB"/>
    <w:rsid w:val="00C55B54"/>
    <w:rsid w:val="00C6098E"/>
    <w:rsid w:val="00C6152C"/>
    <w:rsid w:val="00C64EBF"/>
    <w:rsid w:val="00C74810"/>
    <w:rsid w:val="00C83A0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25C9"/>
    <w:rsid w:val="00D15ED0"/>
    <w:rsid w:val="00D21B3E"/>
    <w:rsid w:val="00D21FED"/>
    <w:rsid w:val="00D24251"/>
    <w:rsid w:val="00D343E2"/>
    <w:rsid w:val="00D361A2"/>
    <w:rsid w:val="00D43F5E"/>
    <w:rsid w:val="00D44C2E"/>
    <w:rsid w:val="00D45414"/>
    <w:rsid w:val="00D56287"/>
    <w:rsid w:val="00D566BD"/>
    <w:rsid w:val="00D57A4D"/>
    <w:rsid w:val="00D60AA7"/>
    <w:rsid w:val="00D6435F"/>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3640"/>
    <w:rsid w:val="00E04D59"/>
    <w:rsid w:val="00E07DA1"/>
    <w:rsid w:val="00E123CB"/>
    <w:rsid w:val="00E17227"/>
    <w:rsid w:val="00E20E13"/>
    <w:rsid w:val="00E21DB2"/>
    <w:rsid w:val="00E21DBC"/>
    <w:rsid w:val="00E275D7"/>
    <w:rsid w:val="00E27DBE"/>
    <w:rsid w:val="00E32AB1"/>
    <w:rsid w:val="00E36C71"/>
    <w:rsid w:val="00E40404"/>
    <w:rsid w:val="00E417C5"/>
    <w:rsid w:val="00E459C6"/>
    <w:rsid w:val="00E47589"/>
    <w:rsid w:val="00E5094A"/>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0EBA"/>
    <w:rsid w:val="00F07C1E"/>
    <w:rsid w:val="00F105DB"/>
    <w:rsid w:val="00F132BC"/>
    <w:rsid w:val="00F13D80"/>
    <w:rsid w:val="00F16AAA"/>
    <w:rsid w:val="00F2015C"/>
    <w:rsid w:val="00F21161"/>
    <w:rsid w:val="00F218EF"/>
    <w:rsid w:val="00F21BC7"/>
    <w:rsid w:val="00F2513D"/>
    <w:rsid w:val="00F266A2"/>
    <w:rsid w:val="00F32269"/>
    <w:rsid w:val="00F40988"/>
    <w:rsid w:val="00F428BC"/>
    <w:rsid w:val="00F56A6F"/>
    <w:rsid w:val="00F5709C"/>
    <w:rsid w:val="00F64EF1"/>
    <w:rsid w:val="00F8765F"/>
    <w:rsid w:val="00F90767"/>
    <w:rsid w:val="00F9130D"/>
    <w:rsid w:val="00F94731"/>
    <w:rsid w:val="00FA685B"/>
    <w:rsid w:val="00FB0C01"/>
    <w:rsid w:val="00FB64E0"/>
    <w:rsid w:val="00FC0F6D"/>
    <w:rsid w:val="00FC18F2"/>
    <w:rsid w:val="00FC39E5"/>
    <w:rsid w:val="00FC3A78"/>
    <w:rsid w:val="00FD1005"/>
    <w:rsid w:val="00FD6C75"/>
    <w:rsid w:val="00FE3C82"/>
    <w:rsid w:val="00FE4D79"/>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D145C"/>
    <w:rPr>
      <w:sz w:val="24"/>
      <w:szCs w:val="24"/>
    </w:rPr>
  </w:style>
  <w:style w:type="paragraph" w:styleId="Heading1">
    <w:name w:val="heading 1"/>
    <w:basedOn w:val="Normal"/>
    <w:next w:val="Normal"/>
    <w:link w:val="Heading1Char"/>
    <w:uiPriority w:val="98"/>
    <w:semiHidden/>
    <w:rsid w:val="008D145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D145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D145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D145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D145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D145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D145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D145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D145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D145C"/>
    <w:rPr>
      <w:rFonts w:ascii="Tahoma" w:hAnsi="Tahoma" w:cs="Tahoma"/>
      <w:sz w:val="16"/>
      <w:szCs w:val="16"/>
    </w:rPr>
  </w:style>
  <w:style w:type="character" w:customStyle="1" w:styleId="BalloonTextChar">
    <w:name w:val="Balloon Text Char"/>
    <w:basedOn w:val="DefaultParagraphFont"/>
    <w:link w:val="BalloonText"/>
    <w:uiPriority w:val="98"/>
    <w:semiHidden/>
    <w:rsid w:val="008D145C"/>
    <w:rPr>
      <w:rFonts w:ascii="Tahoma" w:hAnsi="Tahoma" w:cs="Tahoma"/>
      <w:sz w:val="16"/>
      <w:szCs w:val="16"/>
      <w:lang w:val="ro-RO"/>
    </w:rPr>
  </w:style>
  <w:style w:type="character" w:styleId="BookTitle">
    <w:name w:val="Book Title"/>
    <w:uiPriority w:val="98"/>
    <w:semiHidden/>
    <w:qFormat/>
    <w:rsid w:val="008D145C"/>
    <w:rPr>
      <w:i/>
      <w:iCs/>
      <w:smallCaps/>
      <w:spacing w:val="5"/>
    </w:rPr>
  </w:style>
  <w:style w:type="paragraph" w:customStyle="1" w:styleId="JuHeader">
    <w:name w:val="Ju_Header"/>
    <w:aliases w:val="_Header"/>
    <w:basedOn w:val="Header"/>
    <w:uiPriority w:val="29"/>
    <w:qFormat/>
    <w:rsid w:val="008D145C"/>
    <w:pPr>
      <w:tabs>
        <w:tab w:val="clear" w:pos="4536"/>
        <w:tab w:val="clear" w:pos="9072"/>
      </w:tabs>
      <w:jc w:val="center"/>
    </w:pPr>
    <w:rPr>
      <w:sz w:val="18"/>
    </w:rPr>
  </w:style>
  <w:style w:type="paragraph" w:customStyle="1" w:styleId="NormalJustified">
    <w:name w:val="Normal_Justified"/>
    <w:basedOn w:val="Normal"/>
    <w:semiHidden/>
    <w:rsid w:val="008D145C"/>
    <w:pPr>
      <w:jc w:val="both"/>
    </w:pPr>
  </w:style>
  <w:style w:type="character" w:styleId="Strong">
    <w:name w:val="Strong"/>
    <w:uiPriority w:val="98"/>
    <w:semiHidden/>
    <w:qFormat/>
    <w:rsid w:val="008D145C"/>
    <w:rPr>
      <w:b/>
      <w:bCs/>
    </w:rPr>
  </w:style>
  <w:style w:type="paragraph" w:styleId="NoSpacing">
    <w:name w:val="No Spacing"/>
    <w:basedOn w:val="Normal"/>
    <w:link w:val="NoSpacingChar"/>
    <w:uiPriority w:val="98"/>
    <w:semiHidden/>
    <w:qFormat/>
    <w:rsid w:val="008D145C"/>
  </w:style>
  <w:style w:type="character" w:customStyle="1" w:styleId="NoSpacingChar">
    <w:name w:val="No Spacing Char"/>
    <w:basedOn w:val="DefaultParagraphFont"/>
    <w:link w:val="NoSpacing"/>
    <w:uiPriority w:val="98"/>
    <w:semiHidden/>
    <w:rsid w:val="008D145C"/>
    <w:rPr>
      <w:sz w:val="24"/>
      <w:szCs w:val="24"/>
      <w:lang w:val="ro-RO"/>
    </w:rPr>
  </w:style>
  <w:style w:type="paragraph" w:customStyle="1" w:styleId="ECHRBullet1">
    <w:name w:val="ECHR_Bullet_1"/>
    <w:aliases w:val="_Bul_1"/>
    <w:basedOn w:val="NormalJustified"/>
    <w:uiPriority w:val="23"/>
    <w:semiHidden/>
    <w:qFormat/>
    <w:rsid w:val="008D145C"/>
    <w:pPr>
      <w:numPr>
        <w:numId w:val="15"/>
      </w:numPr>
      <w:spacing w:before="60" w:after="60"/>
    </w:pPr>
  </w:style>
  <w:style w:type="paragraph" w:customStyle="1" w:styleId="JuQuot">
    <w:name w:val="Ju_Quot"/>
    <w:aliases w:val="_Quote"/>
    <w:basedOn w:val="NormalJustified"/>
    <w:uiPriority w:val="20"/>
    <w:qFormat/>
    <w:rsid w:val="008D145C"/>
    <w:pPr>
      <w:spacing w:before="120" w:after="120"/>
      <w:ind w:left="425" w:firstLine="142"/>
    </w:pPr>
    <w:rPr>
      <w:sz w:val="20"/>
    </w:rPr>
  </w:style>
  <w:style w:type="paragraph" w:customStyle="1" w:styleId="JuList">
    <w:name w:val="Ju_List"/>
    <w:aliases w:val="_List_1"/>
    <w:basedOn w:val="NormalJustified"/>
    <w:uiPriority w:val="23"/>
    <w:qFormat/>
    <w:rsid w:val="008D145C"/>
    <w:pPr>
      <w:numPr>
        <w:numId w:val="16"/>
      </w:numPr>
      <w:spacing w:before="280" w:after="60"/>
    </w:pPr>
  </w:style>
  <w:style w:type="paragraph" w:customStyle="1" w:styleId="JuLista">
    <w:name w:val="Ju_List_a"/>
    <w:aliases w:val="_List_2"/>
    <w:basedOn w:val="NormalJustified"/>
    <w:uiPriority w:val="23"/>
    <w:rsid w:val="008D145C"/>
    <w:pPr>
      <w:numPr>
        <w:ilvl w:val="1"/>
        <w:numId w:val="16"/>
      </w:numPr>
    </w:pPr>
  </w:style>
  <w:style w:type="paragraph" w:customStyle="1" w:styleId="JuListi">
    <w:name w:val="Ju_List_i"/>
    <w:aliases w:val="_List_3"/>
    <w:basedOn w:val="NormalJustified"/>
    <w:uiPriority w:val="23"/>
    <w:rsid w:val="008D145C"/>
    <w:pPr>
      <w:numPr>
        <w:ilvl w:val="2"/>
        <w:numId w:val="16"/>
      </w:numPr>
    </w:pPr>
  </w:style>
  <w:style w:type="paragraph" w:customStyle="1" w:styleId="ECHRCoverTitle4">
    <w:name w:val="ECHR_Cover_Title_4"/>
    <w:aliases w:val="_Title_4"/>
    <w:basedOn w:val="JuPara"/>
    <w:next w:val="JuPara"/>
    <w:uiPriority w:val="38"/>
    <w:qFormat/>
    <w:rsid w:val="008D145C"/>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8D145C"/>
    <w:pPr>
      <w:keepNext/>
      <w:spacing w:before="100" w:beforeAutospacing="1" w:after="120"/>
      <w:contextualSpacing/>
      <w:jc w:val="center"/>
    </w:pPr>
    <w:rPr>
      <w:b/>
      <w:sz w:val="20"/>
    </w:rPr>
  </w:style>
  <w:style w:type="numbering" w:customStyle="1" w:styleId="ECHRA1StyleBulletedSquare">
    <w:name w:val="ECHR_A1_Style_Bulleted_Square"/>
    <w:basedOn w:val="NoList"/>
    <w:rsid w:val="008D145C"/>
    <w:pPr>
      <w:numPr>
        <w:numId w:val="15"/>
      </w:numPr>
    </w:pPr>
  </w:style>
  <w:style w:type="numbering" w:customStyle="1" w:styleId="ECHRA1StyleList">
    <w:name w:val="ECHR_A1_Style_List"/>
    <w:basedOn w:val="NoList"/>
    <w:uiPriority w:val="99"/>
    <w:rsid w:val="008D145C"/>
    <w:pPr>
      <w:numPr>
        <w:numId w:val="16"/>
      </w:numPr>
    </w:pPr>
  </w:style>
  <w:style w:type="paragraph" w:customStyle="1" w:styleId="JuHHead">
    <w:name w:val="Ju_H_Head"/>
    <w:aliases w:val="_Head_1"/>
    <w:basedOn w:val="Heading1"/>
    <w:next w:val="JuPara"/>
    <w:uiPriority w:val="17"/>
    <w:qFormat/>
    <w:rsid w:val="008D145C"/>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8D145C"/>
    <w:pPr>
      <w:numPr>
        <w:numId w:val="17"/>
      </w:numPr>
    </w:pPr>
  </w:style>
  <w:style w:type="paragraph" w:styleId="Title">
    <w:name w:val="Title"/>
    <w:basedOn w:val="Normal"/>
    <w:next w:val="Normal"/>
    <w:link w:val="TitleChar"/>
    <w:uiPriority w:val="98"/>
    <w:semiHidden/>
    <w:qFormat/>
    <w:rsid w:val="008D145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D145C"/>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8D145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8D145C"/>
    <w:pPr>
      <w:ind w:firstLine="284"/>
    </w:pPr>
    <w:rPr>
      <w:b/>
    </w:rPr>
  </w:style>
  <w:style w:type="paragraph" w:customStyle="1" w:styleId="JuCourt">
    <w:name w:val="Ju_Court"/>
    <w:aliases w:val="_Court_Names"/>
    <w:basedOn w:val="Normal"/>
    <w:next w:val="Normal"/>
    <w:uiPriority w:val="32"/>
    <w:qFormat/>
    <w:rsid w:val="008D145C"/>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8D145C"/>
    <w:pPr>
      <w:tabs>
        <w:tab w:val="center" w:pos="6407"/>
      </w:tabs>
      <w:spacing w:before="720"/>
      <w:jc w:val="right"/>
    </w:pPr>
  </w:style>
  <w:style w:type="paragraph" w:customStyle="1" w:styleId="JuHIRoman">
    <w:name w:val="Ju_H_I_Roman"/>
    <w:aliases w:val="_Head_2"/>
    <w:basedOn w:val="Heading2"/>
    <w:next w:val="JuPara"/>
    <w:uiPriority w:val="17"/>
    <w:qFormat/>
    <w:rsid w:val="008D145C"/>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D145C"/>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D145C"/>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8D145C"/>
    <w:pPr>
      <w:tabs>
        <w:tab w:val="center" w:pos="4536"/>
        <w:tab w:val="right" w:pos="9072"/>
      </w:tabs>
    </w:pPr>
  </w:style>
  <w:style w:type="character" w:customStyle="1" w:styleId="HeaderChar">
    <w:name w:val="Header Char"/>
    <w:basedOn w:val="DefaultParagraphFont"/>
    <w:link w:val="Header"/>
    <w:uiPriority w:val="98"/>
    <w:semiHidden/>
    <w:rsid w:val="008D145C"/>
    <w:rPr>
      <w:sz w:val="24"/>
      <w:szCs w:val="24"/>
      <w:lang w:val="ro-RO"/>
    </w:rPr>
  </w:style>
  <w:style w:type="character" w:customStyle="1" w:styleId="Heading1Char">
    <w:name w:val="Heading 1 Char"/>
    <w:basedOn w:val="DefaultParagraphFont"/>
    <w:link w:val="Heading1"/>
    <w:uiPriority w:val="98"/>
    <w:semiHidden/>
    <w:rsid w:val="008D145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D145C"/>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8D145C"/>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D145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D145C"/>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D145C"/>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8D145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D145C"/>
    <w:pPr>
      <w:keepNext/>
      <w:keepLines/>
      <w:spacing w:before="240" w:after="240"/>
      <w:ind w:firstLine="284"/>
    </w:pPr>
  </w:style>
  <w:style w:type="character" w:customStyle="1" w:styleId="JuITMark">
    <w:name w:val="Ju_ITMark"/>
    <w:aliases w:val="_ITMark"/>
    <w:basedOn w:val="DefaultParagraphFont"/>
    <w:uiPriority w:val="54"/>
    <w:qFormat/>
    <w:rsid w:val="008D145C"/>
    <w:rPr>
      <w:vanish w:val="0"/>
      <w:color w:val="auto"/>
      <w:sz w:val="14"/>
      <w:bdr w:val="none" w:sz="0" w:space="0" w:color="auto"/>
      <w:shd w:val="clear" w:color="auto" w:fill="FFFFFF" w:themeFill="background1" w:themeFillTint="33"/>
    </w:rPr>
  </w:style>
  <w:style w:type="character" w:customStyle="1" w:styleId="Heading4Char">
    <w:name w:val="Heading 4 Char"/>
    <w:basedOn w:val="DefaultParagraphFont"/>
    <w:link w:val="Heading4"/>
    <w:uiPriority w:val="98"/>
    <w:semiHidden/>
    <w:rsid w:val="008D145C"/>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8D145C"/>
    <w:pPr>
      <w:tabs>
        <w:tab w:val="left" w:pos="567"/>
        <w:tab w:val="left" w:pos="1134"/>
      </w:tabs>
    </w:pPr>
  </w:style>
  <w:style w:type="character" w:customStyle="1" w:styleId="Heading5Char">
    <w:name w:val="Heading 5 Char"/>
    <w:basedOn w:val="DefaultParagraphFont"/>
    <w:link w:val="Heading5"/>
    <w:uiPriority w:val="98"/>
    <w:semiHidden/>
    <w:rsid w:val="008D145C"/>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8D145C"/>
    <w:rPr>
      <w:caps w:val="0"/>
      <w:smallCaps/>
    </w:rPr>
  </w:style>
  <w:style w:type="character" w:styleId="SubtleEmphasis">
    <w:name w:val="Subtle Emphasis"/>
    <w:uiPriority w:val="98"/>
    <w:semiHidden/>
    <w:qFormat/>
    <w:rsid w:val="008D145C"/>
    <w:rPr>
      <w:i/>
      <w:iCs/>
    </w:rPr>
  </w:style>
  <w:style w:type="table" w:customStyle="1" w:styleId="ECHRTable">
    <w:name w:val="ECHR_Table"/>
    <w:basedOn w:val="TableNormal"/>
    <w:rsid w:val="008D145C"/>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D145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paragraph" w:customStyle="1" w:styleId="DecHCase">
    <w:name w:val="Dec_H_Case"/>
    <w:aliases w:val="_Title_3"/>
    <w:basedOn w:val="JuPara"/>
    <w:next w:val="JuPara"/>
    <w:uiPriority w:val="38"/>
    <w:qFormat/>
    <w:rsid w:val="008D145C"/>
    <w:pPr>
      <w:keepNext/>
      <w:keepLines/>
      <w:spacing w:after="280"/>
      <w:ind w:firstLine="0"/>
      <w:jc w:val="center"/>
    </w:pPr>
    <w:rPr>
      <w:rFonts w:asciiTheme="majorHAnsi" w:hAnsiTheme="majorHAnsi"/>
    </w:rPr>
  </w:style>
  <w:style w:type="character" w:styleId="Emphasis">
    <w:name w:val="Emphasis"/>
    <w:uiPriority w:val="98"/>
    <w:semiHidden/>
    <w:qFormat/>
    <w:rsid w:val="008D145C"/>
    <w:rPr>
      <w:b/>
      <w:bCs/>
      <w:i/>
      <w:iCs/>
      <w:spacing w:val="10"/>
      <w:bdr w:val="none" w:sz="0" w:space="0" w:color="auto"/>
      <w:shd w:val="clear" w:color="auto" w:fill="auto"/>
    </w:rPr>
  </w:style>
  <w:style w:type="paragraph" w:styleId="Footer0">
    <w:name w:val="footer"/>
    <w:basedOn w:val="Normal"/>
    <w:link w:val="FooterChar"/>
    <w:uiPriority w:val="98"/>
    <w:semiHidden/>
    <w:rsid w:val="008D145C"/>
    <w:pPr>
      <w:tabs>
        <w:tab w:val="center" w:pos="3686"/>
        <w:tab w:val="right" w:pos="7371"/>
      </w:tabs>
    </w:pPr>
  </w:style>
  <w:style w:type="character" w:customStyle="1" w:styleId="FooterChar">
    <w:name w:val="Footer Char"/>
    <w:basedOn w:val="DefaultParagraphFont"/>
    <w:link w:val="Footer0"/>
    <w:uiPriority w:val="98"/>
    <w:semiHidden/>
    <w:rsid w:val="008D145C"/>
    <w:rPr>
      <w:sz w:val="24"/>
      <w:szCs w:val="24"/>
      <w:lang w:val="ro-RO"/>
    </w:rPr>
  </w:style>
  <w:style w:type="character" w:styleId="FootnoteReference">
    <w:name w:val="footnote reference"/>
    <w:basedOn w:val="DefaultParagraphFont"/>
    <w:uiPriority w:val="98"/>
    <w:semiHidden/>
    <w:rsid w:val="008D145C"/>
    <w:rPr>
      <w:vertAlign w:val="superscript"/>
    </w:rPr>
  </w:style>
  <w:style w:type="paragraph" w:styleId="FootnoteText">
    <w:name w:val="footnote text"/>
    <w:basedOn w:val="NormalJustified"/>
    <w:link w:val="FootnoteTextChar"/>
    <w:uiPriority w:val="98"/>
    <w:semiHidden/>
    <w:rsid w:val="008D145C"/>
    <w:rPr>
      <w:sz w:val="20"/>
      <w:szCs w:val="20"/>
    </w:rPr>
  </w:style>
  <w:style w:type="character" w:customStyle="1" w:styleId="FootnoteTextChar">
    <w:name w:val="Footnote Text Char"/>
    <w:basedOn w:val="DefaultParagraphFont"/>
    <w:link w:val="FootnoteText"/>
    <w:uiPriority w:val="98"/>
    <w:semiHidden/>
    <w:rsid w:val="008D145C"/>
    <w:rPr>
      <w:sz w:val="20"/>
      <w:szCs w:val="20"/>
      <w:lang w:val="ro-RO"/>
    </w:rPr>
  </w:style>
  <w:style w:type="character" w:customStyle="1" w:styleId="Heading6Char">
    <w:name w:val="Heading 6 Char"/>
    <w:basedOn w:val="DefaultParagraphFont"/>
    <w:link w:val="Heading6"/>
    <w:uiPriority w:val="98"/>
    <w:semiHidden/>
    <w:rsid w:val="008D145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D145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D145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D145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D145C"/>
    <w:rPr>
      <w:color w:val="0072BC" w:themeColor="hyperlink"/>
      <w:u w:val="single"/>
    </w:rPr>
  </w:style>
  <w:style w:type="character" w:styleId="IntenseEmphasis">
    <w:name w:val="Intense Emphasis"/>
    <w:uiPriority w:val="98"/>
    <w:semiHidden/>
    <w:qFormat/>
    <w:rsid w:val="008D145C"/>
    <w:rPr>
      <w:b/>
      <w:bCs/>
    </w:rPr>
  </w:style>
  <w:style w:type="paragraph" w:styleId="IntenseQuote">
    <w:name w:val="Intense Quote"/>
    <w:basedOn w:val="Normal"/>
    <w:next w:val="Normal"/>
    <w:link w:val="IntenseQuoteChar"/>
    <w:uiPriority w:val="98"/>
    <w:semiHidden/>
    <w:qFormat/>
    <w:rsid w:val="008D145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D145C"/>
    <w:rPr>
      <w:b/>
      <w:bCs/>
      <w:i/>
      <w:iCs/>
      <w:sz w:val="24"/>
      <w:szCs w:val="24"/>
      <w:lang w:val="ro-RO" w:bidi="en-US"/>
    </w:rPr>
  </w:style>
  <w:style w:type="character" w:styleId="IntenseReference">
    <w:name w:val="Intense Reference"/>
    <w:uiPriority w:val="98"/>
    <w:semiHidden/>
    <w:qFormat/>
    <w:rsid w:val="008D145C"/>
    <w:rPr>
      <w:smallCaps/>
      <w:spacing w:val="5"/>
      <w:u w:val="single"/>
    </w:rPr>
  </w:style>
  <w:style w:type="paragraph" w:styleId="ListParagraph">
    <w:name w:val="List Paragraph"/>
    <w:basedOn w:val="Normal"/>
    <w:uiPriority w:val="98"/>
    <w:semiHidden/>
    <w:qFormat/>
    <w:rsid w:val="008D145C"/>
    <w:pPr>
      <w:ind w:left="720"/>
      <w:contextualSpacing/>
    </w:pPr>
  </w:style>
  <w:style w:type="table" w:customStyle="1" w:styleId="LtrTableAddress">
    <w:name w:val="Ltr_Table_Address"/>
    <w:aliases w:val="ECHR_Ltr_Table_Address"/>
    <w:basedOn w:val="TableNormal"/>
    <w:uiPriority w:val="99"/>
    <w:rsid w:val="008D145C"/>
    <w:rPr>
      <w:sz w:val="24"/>
      <w:szCs w:val="24"/>
    </w:rPr>
    <w:tblPr>
      <w:tblInd w:w="5103" w:type="dxa"/>
    </w:tblPr>
  </w:style>
  <w:style w:type="paragraph" w:styleId="Quote">
    <w:name w:val="Quote"/>
    <w:basedOn w:val="Normal"/>
    <w:next w:val="Normal"/>
    <w:link w:val="QuoteChar"/>
    <w:uiPriority w:val="98"/>
    <w:semiHidden/>
    <w:qFormat/>
    <w:rsid w:val="008D145C"/>
    <w:pPr>
      <w:spacing w:before="200"/>
      <w:ind w:left="360" w:right="360"/>
    </w:pPr>
    <w:rPr>
      <w:i/>
      <w:iCs/>
      <w:lang w:bidi="en-US"/>
    </w:rPr>
  </w:style>
  <w:style w:type="character" w:customStyle="1" w:styleId="QuoteChar">
    <w:name w:val="Quote Char"/>
    <w:basedOn w:val="DefaultParagraphFont"/>
    <w:link w:val="Quote"/>
    <w:uiPriority w:val="98"/>
    <w:semiHidden/>
    <w:rsid w:val="008D145C"/>
    <w:rPr>
      <w:i/>
      <w:iCs/>
      <w:sz w:val="24"/>
      <w:szCs w:val="24"/>
      <w:lang w:val="ro-RO" w:bidi="en-US"/>
    </w:rPr>
  </w:style>
  <w:style w:type="character" w:styleId="SubtleReference">
    <w:name w:val="Subtle Reference"/>
    <w:uiPriority w:val="98"/>
    <w:semiHidden/>
    <w:qFormat/>
    <w:rsid w:val="008D145C"/>
    <w:rPr>
      <w:smallCaps/>
    </w:rPr>
  </w:style>
  <w:style w:type="table" w:styleId="TableGrid">
    <w:name w:val="Table Grid"/>
    <w:basedOn w:val="TableNormal"/>
    <w:uiPriority w:val="59"/>
    <w:semiHidden/>
    <w:rsid w:val="008D145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D145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D145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D145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D145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D145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D145C"/>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8D145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D145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D145C"/>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D145C"/>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8D145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D145C"/>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D145C"/>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8D145C"/>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8D145C"/>
    <w:pPr>
      <w:ind w:firstLine="284"/>
    </w:pPr>
  </w:style>
  <w:style w:type="character" w:customStyle="1" w:styleId="SubtitleChar">
    <w:name w:val="Subtitle Char"/>
    <w:basedOn w:val="DefaultParagraphFont"/>
    <w:link w:val="Subtitle"/>
    <w:uiPriority w:val="98"/>
    <w:semiHidden/>
    <w:rsid w:val="008D145C"/>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8D145C"/>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8D145C"/>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111111">
    <w:name w:val="Outline List 2"/>
    <w:basedOn w:val="NoList"/>
    <w:uiPriority w:val="99"/>
    <w:semiHidden/>
    <w:unhideWhenUsed/>
    <w:rsid w:val="008D145C"/>
    <w:pPr>
      <w:numPr>
        <w:numId w:val="1"/>
      </w:numPr>
    </w:pPr>
  </w:style>
  <w:style w:type="table" w:customStyle="1" w:styleId="ECHRTableForInternalUse">
    <w:name w:val="ECHR_Table_For_Internal_Use"/>
    <w:basedOn w:val="TableNormal"/>
    <w:uiPriority w:val="99"/>
    <w:rsid w:val="008D145C"/>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8D145C"/>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8D145C"/>
    <w:pPr>
      <w:numPr>
        <w:numId w:val="2"/>
      </w:numPr>
    </w:pPr>
  </w:style>
  <w:style w:type="numbering" w:styleId="ArticleSection">
    <w:name w:val="Outline List 3"/>
    <w:basedOn w:val="NoList"/>
    <w:uiPriority w:val="99"/>
    <w:semiHidden/>
    <w:unhideWhenUsed/>
    <w:rsid w:val="008D145C"/>
    <w:pPr>
      <w:numPr>
        <w:numId w:val="3"/>
      </w:numPr>
    </w:pPr>
  </w:style>
  <w:style w:type="table" w:customStyle="1" w:styleId="ECHRHeaderTable">
    <w:name w:val="ECHR_Header_Table"/>
    <w:basedOn w:val="TableNormal"/>
    <w:uiPriority w:val="99"/>
    <w:rsid w:val="008D145C"/>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8D145C"/>
  </w:style>
  <w:style w:type="paragraph" w:styleId="BlockText">
    <w:name w:val="Block Text"/>
    <w:basedOn w:val="Normal"/>
    <w:uiPriority w:val="98"/>
    <w:semiHidden/>
    <w:rsid w:val="008D145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8D145C"/>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8D145C"/>
    <w:pPr>
      <w:spacing w:after="120"/>
    </w:pPr>
  </w:style>
  <w:style w:type="table" w:customStyle="1" w:styleId="ECHRHeaderTableReduced">
    <w:name w:val="ECHR_Header_Table_Reduced"/>
    <w:basedOn w:val="TableNormal"/>
    <w:uiPriority w:val="99"/>
    <w:rsid w:val="008D145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8D145C"/>
    <w:rPr>
      <w:sz w:val="18"/>
    </w:rPr>
  </w:style>
  <w:style w:type="character" w:styleId="CommentReference">
    <w:name w:val="annotation reference"/>
    <w:basedOn w:val="DefaultParagraphFont"/>
    <w:uiPriority w:val="98"/>
    <w:semiHidden/>
    <w:rsid w:val="008D145C"/>
    <w:rPr>
      <w:sz w:val="16"/>
      <w:szCs w:val="16"/>
    </w:rPr>
  </w:style>
  <w:style w:type="paragraph" w:styleId="CommentText">
    <w:name w:val="annotation text"/>
    <w:basedOn w:val="Normal"/>
    <w:link w:val="CommentTextChar"/>
    <w:uiPriority w:val="98"/>
    <w:semiHidden/>
    <w:rsid w:val="008D145C"/>
    <w:rPr>
      <w:sz w:val="20"/>
      <w:szCs w:val="20"/>
    </w:rPr>
  </w:style>
  <w:style w:type="character" w:customStyle="1" w:styleId="CommentTextChar">
    <w:name w:val="Comment Text Char"/>
    <w:basedOn w:val="DefaultParagraphFont"/>
    <w:link w:val="CommentText"/>
    <w:uiPriority w:val="98"/>
    <w:semiHidden/>
    <w:rsid w:val="008D145C"/>
    <w:rPr>
      <w:sz w:val="20"/>
      <w:szCs w:val="20"/>
      <w:lang w:val="ro-RO"/>
    </w:rPr>
  </w:style>
  <w:style w:type="paragraph" w:customStyle="1" w:styleId="JuSigned">
    <w:name w:val="Ju_Signed"/>
    <w:aliases w:val="_Signature"/>
    <w:basedOn w:val="Normal"/>
    <w:next w:val="JuPara"/>
    <w:uiPriority w:val="31"/>
    <w:qFormat/>
    <w:rsid w:val="008D145C"/>
    <w:pPr>
      <w:tabs>
        <w:tab w:val="center" w:pos="1418"/>
        <w:tab w:val="center" w:pos="5954"/>
      </w:tabs>
      <w:spacing w:before="720"/>
    </w:pPr>
  </w:style>
  <w:style w:type="paragraph" w:customStyle="1" w:styleId="JuTitle">
    <w:name w:val="Ju_Title"/>
    <w:aliases w:val="_Title_2"/>
    <w:basedOn w:val="Normal"/>
    <w:next w:val="JuPara"/>
    <w:uiPriority w:val="38"/>
    <w:qFormat/>
    <w:rsid w:val="008D145C"/>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8D145C"/>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8D145C"/>
    <w:pPr>
      <w:numPr>
        <w:numId w:val="5"/>
      </w:numPr>
      <w:contextualSpacing/>
    </w:pPr>
  </w:style>
  <w:style w:type="paragraph" w:styleId="ListBullet3">
    <w:name w:val="List Bullet 3"/>
    <w:basedOn w:val="Normal"/>
    <w:uiPriority w:val="98"/>
    <w:semiHidden/>
    <w:rsid w:val="008D145C"/>
    <w:pPr>
      <w:numPr>
        <w:numId w:val="6"/>
      </w:numPr>
      <w:contextualSpacing/>
    </w:pPr>
  </w:style>
  <w:style w:type="character" w:customStyle="1" w:styleId="BodyTextChar">
    <w:name w:val="Body Text Char"/>
    <w:basedOn w:val="DefaultParagraphFont"/>
    <w:link w:val="BodyText"/>
    <w:uiPriority w:val="98"/>
    <w:semiHidden/>
    <w:rsid w:val="008D145C"/>
    <w:rPr>
      <w:sz w:val="24"/>
      <w:szCs w:val="24"/>
      <w:lang w:val="ro-RO"/>
    </w:rPr>
  </w:style>
  <w:style w:type="paragraph" w:styleId="BodyText2">
    <w:name w:val="Body Text 2"/>
    <w:basedOn w:val="Normal"/>
    <w:link w:val="BodyText2Char"/>
    <w:uiPriority w:val="98"/>
    <w:semiHidden/>
    <w:rsid w:val="008D145C"/>
    <w:pPr>
      <w:spacing w:after="120" w:line="480" w:lineRule="auto"/>
    </w:pPr>
  </w:style>
  <w:style w:type="character" w:customStyle="1" w:styleId="BodyText2Char">
    <w:name w:val="Body Text 2 Char"/>
    <w:basedOn w:val="DefaultParagraphFont"/>
    <w:link w:val="BodyText2"/>
    <w:uiPriority w:val="98"/>
    <w:semiHidden/>
    <w:rsid w:val="008D145C"/>
    <w:rPr>
      <w:sz w:val="24"/>
      <w:szCs w:val="24"/>
      <w:lang w:val="ro-RO"/>
    </w:rPr>
  </w:style>
  <w:style w:type="paragraph" w:styleId="BodyText3">
    <w:name w:val="Body Text 3"/>
    <w:basedOn w:val="Normal"/>
    <w:link w:val="BodyText3Char"/>
    <w:uiPriority w:val="98"/>
    <w:semiHidden/>
    <w:rsid w:val="008D145C"/>
    <w:pPr>
      <w:spacing w:after="120"/>
    </w:pPr>
    <w:rPr>
      <w:sz w:val="16"/>
      <w:szCs w:val="16"/>
    </w:rPr>
  </w:style>
  <w:style w:type="character" w:customStyle="1" w:styleId="BodyText3Char">
    <w:name w:val="Body Text 3 Char"/>
    <w:basedOn w:val="DefaultParagraphFont"/>
    <w:link w:val="BodyText3"/>
    <w:uiPriority w:val="98"/>
    <w:semiHidden/>
    <w:rsid w:val="008D145C"/>
    <w:rPr>
      <w:sz w:val="16"/>
      <w:szCs w:val="16"/>
      <w:lang w:val="ro-RO"/>
    </w:rPr>
  </w:style>
  <w:style w:type="paragraph" w:styleId="BodyTextFirstIndent">
    <w:name w:val="Body Text First Indent"/>
    <w:basedOn w:val="BodyText"/>
    <w:link w:val="BodyTextFirstIndentChar"/>
    <w:uiPriority w:val="98"/>
    <w:semiHidden/>
    <w:rsid w:val="008D145C"/>
    <w:pPr>
      <w:spacing w:after="0"/>
      <w:ind w:firstLine="360"/>
    </w:pPr>
  </w:style>
  <w:style w:type="character" w:customStyle="1" w:styleId="BodyTextFirstIndentChar">
    <w:name w:val="Body Text First Indent Char"/>
    <w:basedOn w:val="BodyTextChar"/>
    <w:link w:val="BodyTextFirstIndent"/>
    <w:uiPriority w:val="98"/>
    <w:semiHidden/>
    <w:rsid w:val="008D145C"/>
    <w:rPr>
      <w:sz w:val="24"/>
      <w:szCs w:val="24"/>
      <w:lang w:val="ro-RO"/>
    </w:rPr>
  </w:style>
  <w:style w:type="paragraph" w:styleId="BodyTextIndent">
    <w:name w:val="Body Text Indent"/>
    <w:basedOn w:val="Normal"/>
    <w:link w:val="BodyTextIndentChar"/>
    <w:uiPriority w:val="98"/>
    <w:semiHidden/>
    <w:rsid w:val="008D145C"/>
    <w:pPr>
      <w:spacing w:after="120"/>
      <w:ind w:left="283"/>
    </w:pPr>
  </w:style>
  <w:style w:type="character" w:customStyle="1" w:styleId="BodyTextIndentChar">
    <w:name w:val="Body Text Indent Char"/>
    <w:basedOn w:val="DefaultParagraphFont"/>
    <w:link w:val="BodyTextIndent"/>
    <w:uiPriority w:val="98"/>
    <w:semiHidden/>
    <w:rsid w:val="008D145C"/>
    <w:rPr>
      <w:sz w:val="24"/>
      <w:szCs w:val="24"/>
      <w:lang w:val="ro-RO"/>
    </w:rPr>
  </w:style>
  <w:style w:type="paragraph" w:styleId="BodyTextFirstIndent2">
    <w:name w:val="Body Text First Indent 2"/>
    <w:basedOn w:val="BodyTextIndent"/>
    <w:link w:val="BodyTextFirstIndent2Char"/>
    <w:uiPriority w:val="98"/>
    <w:semiHidden/>
    <w:rsid w:val="008D145C"/>
    <w:pPr>
      <w:spacing w:after="0"/>
      <w:ind w:left="360" w:firstLine="360"/>
    </w:pPr>
  </w:style>
  <w:style w:type="character" w:customStyle="1" w:styleId="BodyTextFirstIndent2Char">
    <w:name w:val="Body Text First Indent 2 Char"/>
    <w:basedOn w:val="BodyTextIndentChar"/>
    <w:link w:val="BodyTextFirstIndent2"/>
    <w:uiPriority w:val="98"/>
    <w:semiHidden/>
    <w:rsid w:val="008D145C"/>
    <w:rPr>
      <w:sz w:val="24"/>
      <w:szCs w:val="24"/>
      <w:lang w:val="ro-RO"/>
    </w:rPr>
  </w:style>
  <w:style w:type="paragraph" w:styleId="BodyTextIndent2">
    <w:name w:val="Body Text Indent 2"/>
    <w:basedOn w:val="Normal"/>
    <w:link w:val="BodyTextIndent2Char"/>
    <w:uiPriority w:val="98"/>
    <w:semiHidden/>
    <w:rsid w:val="008D145C"/>
    <w:pPr>
      <w:spacing w:after="120" w:line="480" w:lineRule="auto"/>
      <w:ind w:left="283"/>
    </w:pPr>
  </w:style>
  <w:style w:type="character" w:customStyle="1" w:styleId="BodyTextIndent2Char">
    <w:name w:val="Body Text Indent 2 Char"/>
    <w:basedOn w:val="DefaultParagraphFont"/>
    <w:link w:val="BodyTextIndent2"/>
    <w:uiPriority w:val="98"/>
    <w:semiHidden/>
    <w:rsid w:val="008D145C"/>
    <w:rPr>
      <w:sz w:val="24"/>
      <w:szCs w:val="24"/>
      <w:lang w:val="ro-RO"/>
    </w:rPr>
  </w:style>
  <w:style w:type="paragraph" w:styleId="BodyTextIndent3">
    <w:name w:val="Body Text Indent 3"/>
    <w:basedOn w:val="Normal"/>
    <w:link w:val="BodyTextIndent3Char"/>
    <w:uiPriority w:val="98"/>
    <w:semiHidden/>
    <w:rsid w:val="008D145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D145C"/>
    <w:rPr>
      <w:sz w:val="16"/>
      <w:szCs w:val="16"/>
      <w:lang w:val="ro-RO"/>
    </w:rPr>
  </w:style>
  <w:style w:type="paragraph" w:styleId="Caption">
    <w:name w:val="caption"/>
    <w:basedOn w:val="Normal"/>
    <w:next w:val="Normal"/>
    <w:uiPriority w:val="98"/>
    <w:semiHidden/>
    <w:qFormat/>
    <w:rsid w:val="008D145C"/>
    <w:pPr>
      <w:spacing w:after="200"/>
    </w:pPr>
    <w:rPr>
      <w:b/>
      <w:bCs/>
      <w:color w:val="0072BC" w:themeColor="accent1"/>
      <w:sz w:val="18"/>
      <w:szCs w:val="18"/>
    </w:rPr>
  </w:style>
  <w:style w:type="paragraph" w:styleId="Closing">
    <w:name w:val="Closing"/>
    <w:basedOn w:val="Normal"/>
    <w:link w:val="ClosingChar"/>
    <w:uiPriority w:val="98"/>
    <w:semiHidden/>
    <w:rsid w:val="008D145C"/>
    <w:pPr>
      <w:ind w:left="4252"/>
    </w:pPr>
  </w:style>
  <w:style w:type="character" w:customStyle="1" w:styleId="ClosingChar">
    <w:name w:val="Closing Char"/>
    <w:basedOn w:val="DefaultParagraphFont"/>
    <w:link w:val="Closing"/>
    <w:uiPriority w:val="98"/>
    <w:semiHidden/>
    <w:rsid w:val="008D145C"/>
    <w:rPr>
      <w:sz w:val="24"/>
      <w:szCs w:val="24"/>
      <w:lang w:val="ro-RO"/>
    </w:rPr>
  </w:style>
  <w:style w:type="table" w:styleId="ColorfulGrid">
    <w:name w:val="Colorful Grid"/>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D145C"/>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D145C"/>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D145C"/>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D145C"/>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D145C"/>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8D145C"/>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D145C"/>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D145C"/>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D145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D145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D145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D145C"/>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8D145C"/>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D145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D145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8D145C"/>
    <w:rPr>
      <w:b/>
      <w:bCs/>
    </w:rPr>
  </w:style>
  <w:style w:type="character" w:customStyle="1" w:styleId="CommentSubjectChar">
    <w:name w:val="Comment Subject Char"/>
    <w:basedOn w:val="CommentTextChar"/>
    <w:link w:val="CommentSubject"/>
    <w:uiPriority w:val="98"/>
    <w:semiHidden/>
    <w:rsid w:val="008D145C"/>
    <w:rPr>
      <w:b/>
      <w:bCs/>
      <w:sz w:val="20"/>
      <w:szCs w:val="20"/>
      <w:lang w:val="ro-RO"/>
    </w:rPr>
  </w:style>
  <w:style w:type="table" w:styleId="DarkList">
    <w:name w:val="Dark List"/>
    <w:basedOn w:val="TableNormal"/>
    <w:uiPriority w:val="70"/>
    <w:semiHidden/>
    <w:rsid w:val="008D145C"/>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D145C"/>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D145C"/>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D145C"/>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8D145C"/>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D145C"/>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D145C"/>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D145C"/>
  </w:style>
  <w:style w:type="character" w:customStyle="1" w:styleId="DateChar">
    <w:name w:val="Date Char"/>
    <w:basedOn w:val="DefaultParagraphFont"/>
    <w:link w:val="Date"/>
    <w:uiPriority w:val="98"/>
    <w:semiHidden/>
    <w:rsid w:val="008D145C"/>
    <w:rPr>
      <w:sz w:val="24"/>
      <w:szCs w:val="24"/>
      <w:lang w:val="ro-RO"/>
    </w:rPr>
  </w:style>
  <w:style w:type="paragraph" w:styleId="DocumentMap">
    <w:name w:val="Document Map"/>
    <w:basedOn w:val="Normal"/>
    <w:link w:val="DocumentMapChar"/>
    <w:uiPriority w:val="98"/>
    <w:semiHidden/>
    <w:rsid w:val="008D145C"/>
    <w:rPr>
      <w:rFonts w:ascii="Tahoma" w:hAnsi="Tahoma" w:cs="Tahoma"/>
      <w:sz w:val="16"/>
      <w:szCs w:val="16"/>
    </w:rPr>
  </w:style>
  <w:style w:type="character" w:customStyle="1" w:styleId="DocumentMapChar">
    <w:name w:val="Document Map Char"/>
    <w:basedOn w:val="DefaultParagraphFont"/>
    <w:link w:val="DocumentMap"/>
    <w:uiPriority w:val="98"/>
    <w:semiHidden/>
    <w:rsid w:val="008D145C"/>
    <w:rPr>
      <w:rFonts w:ascii="Tahoma" w:hAnsi="Tahoma" w:cs="Tahoma"/>
      <w:sz w:val="16"/>
      <w:szCs w:val="16"/>
      <w:lang w:val="ro-RO"/>
    </w:rPr>
  </w:style>
  <w:style w:type="paragraph" w:styleId="E-mailSignature">
    <w:name w:val="E-mail Signature"/>
    <w:basedOn w:val="Normal"/>
    <w:link w:val="E-mailSignatureChar"/>
    <w:uiPriority w:val="98"/>
    <w:semiHidden/>
    <w:rsid w:val="008D145C"/>
  </w:style>
  <w:style w:type="character" w:customStyle="1" w:styleId="E-mailSignatureChar">
    <w:name w:val="E-mail Signature Char"/>
    <w:basedOn w:val="DefaultParagraphFont"/>
    <w:link w:val="E-mailSignature"/>
    <w:uiPriority w:val="98"/>
    <w:semiHidden/>
    <w:rsid w:val="008D145C"/>
    <w:rPr>
      <w:sz w:val="24"/>
      <w:szCs w:val="24"/>
      <w:lang w:val="ro-RO"/>
    </w:rPr>
  </w:style>
  <w:style w:type="character" w:styleId="EndnoteReference">
    <w:name w:val="endnote reference"/>
    <w:basedOn w:val="DefaultParagraphFont"/>
    <w:uiPriority w:val="98"/>
    <w:semiHidden/>
    <w:rsid w:val="008D145C"/>
    <w:rPr>
      <w:vertAlign w:val="superscript"/>
    </w:rPr>
  </w:style>
  <w:style w:type="paragraph" w:styleId="EndnoteText">
    <w:name w:val="endnote text"/>
    <w:basedOn w:val="Normal"/>
    <w:link w:val="EndnoteTextChar"/>
    <w:uiPriority w:val="98"/>
    <w:semiHidden/>
    <w:rsid w:val="008D145C"/>
    <w:rPr>
      <w:sz w:val="20"/>
      <w:szCs w:val="20"/>
    </w:rPr>
  </w:style>
  <w:style w:type="character" w:customStyle="1" w:styleId="EndnoteTextChar">
    <w:name w:val="Endnote Text Char"/>
    <w:basedOn w:val="DefaultParagraphFont"/>
    <w:link w:val="EndnoteText"/>
    <w:uiPriority w:val="98"/>
    <w:semiHidden/>
    <w:rsid w:val="008D145C"/>
    <w:rPr>
      <w:sz w:val="20"/>
      <w:szCs w:val="20"/>
      <w:lang w:val="ro-RO"/>
    </w:rPr>
  </w:style>
  <w:style w:type="paragraph" w:styleId="EnvelopeAddress">
    <w:name w:val="envelope address"/>
    <w:basedOn w:val="Normal"/>
    <w:uiPriority w:val="98"/>
    <w:semiHidden/>
    <w:rsid w:val="008D145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D145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D145C"/>
    <w:rPr>
      <w:color w:val="7030A0" w:themeColor="followedHyperlink"/>
      <w:u w:val="single"/>
    </w:rPr>
  </w:style>
  <w:style w:type="character" w:styleId="HTMLAcronym">
    <w:name w:val="HTML Acronym"/>
    <w:basedOn w:val="DefaultParagraphFont"/>
    <w:uiPriority w:val="98"/>
    <w:semiHidden/>
    <w:rsid w:val="008D145C"/>
  </w:style>
  <w:style w:type="paragraph" w:styleId="HTMLAddress">
    <w:name w:val="HTML Address"/>
    <w:basedOn w:val="Normal"/>
    <w:link w:val="HTMLAddressChar"/>
    <w:uiPriority w:val="98"/>
    <w:semiHidden/>
    <w:rsid w:val="008D145C"/>
    <w:rPr>
      <w:i/>
      <w:iCs/>
    </w:rPr>
  </w:style>
  <w:style w:type="character" w:customStyle="1" w:styleId="HTMLAddressChar">
    <w:name w:val="HTML Address Char"/>
    <w:basedOn w:val="DefaultParagraphFont"/>
    <w:link w:val="HTMLAddress"/>
    <w:uiPriority w:val="98"/>
    <w:semiHidden/>
    <w:rsid w:val="008D145C"/>
    <w:rPr>
      <w:i/>
      <w:iCs/>
      <w:sz w:val="24"/>
      <w:szCs w:val="24"/>
      <w:lang w:val="ro-RO"/>
    </w:rPr>
  </w:style>
  <w:style w:type="character" w:styleId="HTMLCite">
    <w:name w:val="HTML Cite"/>
    <w:basedOn w:val="DefaultParagraphFont"/>
    <w:uiPriority w:val="98"/>
    <w:semiHidden/>
    <w:rsid w:val="008D145C"/>
    <w:rPr>
      <w:i/>
      <w:iCs/>
    </w:rPr>
  </w:style>
  <w:style w:type="character" w:styleId="HTMLCode">
    <w:name w:val="HTML Code"/>
    <w:basedOn w:val="DefaultParagraphFont"/>
    <w:uiPriority w:val="98"/>
    <w:semiHidden/>
    <w:rsid w:val="008D145C"/>
    <w:rPr>
      <w:rFonts w:ascii="Consolas" w:hAnsi="Consolas" w:cs="Consolas"/>
      <w:sz w:val="20"/>
      <w:szCs w:val="20"/>
    </w:rPr>
  </w:style>
  <w:style w:type="character" w:styleId="HTMLDefinition">
    <w:name w:val="HTML Definition"/>
    <w:basedOn w:val="DefaultParagraphFont"/>
    <w:uiPriority w:val="98"/>
    <w:semiHidden/>
    <w:rsid w:val="008D145C"/>
    <w:rPr>
      <w:i/>
      <w:iCs/>
    </w:rPr>
  </w:style>
  <w:style w:type="character" w:styleId="HTMLKeyboard">
    <w:name w:val="HTML Keyboard"/>
    <w:basedOn w:val="DefaultParagraphFont"/>
    <w:uiPriority w:val="98"/>
    <w:semiHidden/>
    <w:rsid w:val="008D145C"/>
    <w:rPr>
      <w:rFonts w:ascii="Consolas" w:hAnsi="Consolas" w:cs="Consolas"/>
      <w:sz w:val="20"/>
      <w:szCs w:val="20"/>
    </w:rPr>
  </w:style>
  <w:style w:type="paragraph" w:styleId="HTMLPreformatted">
    <w:name w:val="HTML Preformatted"/>
    <w:basedOn w:val="Normal"/>
    <w:link w:val="HTMLPreformattedChar"/>
    <w:uiPriority w:val="98"/>
    <w:semiHidden/>
    <w:rsid w:val="008D145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D145C"/>
    <w:rPr>
      <w:rFonts w:ascii="Consolas" w:hAnsi="Consolas" w:cs="Consolas"/>
      <w:sz w:val="20"/>
      <w:szCs w:val="20"/>
      <w:lang w:val="ro-RO"/>
    </w:rPr>
  </w:style>
  <w:style w:type="character" w:styleId="HTMLSample">
    <w:name w:val="HTML Sample"/>
    <w:basedOn w:val="DefaultParagraphFont"/>
    <w:uiPriority w:val="98"/>
    <w:semiHidden/>
    <w:rsid w:val="008D145C"/>
    <w:rPr>
      <w:rFonts w:ascii="Consolas" w:hAnsi="Consolas" w:cs="Consolas"/>
      <w:sz w:val="24"/>
      <w:szCs w:val="24"/>
    </w:rPr>
  </w:style>
  <w:style w:type="character" w:styleId="HTMLTypewriter">
    <w:name w:val="HTML Typewriter"/>
    <w:basedOn w:val="DefaultParagraphFont"/>
    <w:uiPriority w:val="98"/>
    <w:semiHidden/>
    <w:rsid w:val="008D145C"/>
    <w:rPr>
      <w:rFonts w:ascii="Consolas" w:hAnsi="Consolas" w:cs="Consolas"/>
      <w:sz w:val="20"/>
      <w:szCs w:val="20"/>
    </w:rPr>
  </w:style>
  <w:style w:type="character" w:styleId="HTMLVariable">
    <w:name w:val="HTML Variable"/>
    <w:basedOn w:val="DefaultParagraphFont"/>
    <w:uiPriority w:val="98"/>
    <w:semiHidden/>
    <w:rsid w:val="008D145C"/>
    <w:rPr>
      <w:i/>
      <w:iCs/>
    </w:rPr>
  </w:style>
  <w:style w:type="paragraph" w:styleId="Index1">
    <w:name w:val="index 1"/>
    <w:basedOn w:val="Normal"/>
    <w:next w:val="Normal"/>
    <w:autoRedefine/>
    <w:uiPriority w:val="98"/>
    <w:semiHidden/>
    <w:rsid w:val="008D145C"/>
    <w:pPr>
      <w:ind w:left="240" w:hanging="240"/>
    </w:pPr>
  </w:style>
  <w:style w:type="paragraph" w:styleId="Index2">
    <w:name w:val="index 2"/>
    <w:basedOn w:val="Normal"/>
    <w:next w:val="Normal"/>
    <w:autoRedefine/>
    <w:uiPriority w:val="98"/>
    <w:semiHidden/>
    <w:rsid w:val="008D145C"/>
    <w:pPr>
      <w:ind w:left="480" w:hanging="240"/>
    </w:pPr>
  </w:style>
  <w:style w:type="paragraph" w:styleId="Index3">
    <w:name w:val="index 3"/>
    <w:basedOn w:val="Normal"/>
    <w:next w:val="Normal"/>
    <w:autoRedefine/>
    <w:uiPriority w:val="98"/>
    <w:semiHidden/>
    <w:rsid w:val="008D145C"/>
    <w:pPr>
      <w:ind w:left="720" w:hanging="240"/>
    </w:pPr>
  </w:style>
  <w:style w:type="paragraph" w:styleId="Index4">
    <w:name w:val="index 4"/>
    <w:basedOn w:val="Normal"/>
    <w:next w:val="Normal"/>
    <w:autoRedefine/>
    <w:uiPriority w:val="98"/>
    <w:semiHidden/>
    <w:rsid w:val="008D145C"/>
    <w:pPr>
      <w:ind w:left="960" w:hanging="240"/>
    </w:pPr>
  </w:style>
  <w:style w:type="paragraph" w:styleId="Index5">
    <w:name w:val="index 5"/>
    <w:basedOn w:val="Normal"/>
    <w:next w:val="Normal"/>
    <w:autoRedefine/>
    <w:uiPriority w:val="98"/>
    <w:semiHidden/>
    <w:rsid w:val="008D145C"/>
    <w:pPr>
      <w:ind w:left="1200" w:hanging="240"/>
    </w:pPr>
  </w:style>
  <w:style w:type="paragraph" w:styleId="Index6">
    <w:name w:val="index 6"/>
    <w:basedOn w:val="Normal"/>
    <w:next w:val="Normal"/>
    <w:autoRedefine/>
    <w:uiPriority w:val="98"/>
    <w:semiHidden/>
    <w:rsid w:val="008D145C"/>
    <w:pPr>
      <w:ind w:left="1440" w:hanging="240"/>
    </w:pPr>
  </w:style>
  <w:style w:type="paragraph" w:styleId="Index7">
    <w:name w:val="index 7"/>
    <w:basedOn w:val="Normal"/>
    <w:next w:val="Normal"/>
    <w:autoRedefine/>
    <w:uiPriority w:val="98"/>
    <w:semiHidden/>
    <w:rsid w:val="008D145C"/>
    <w:pPr>
      <w:ind w:left="1680" w:hanging="240"/>
    </w:pPr>
  </w:style>
  <w:style w:type="paragraph" w:styleId="Index8">
    <w:name w:val="index 8"/>
    <w:basedOn w:val="Normal"/>
    <w:next w:val="Normal"/>
    <w:autoRedefine/>
    <w:uiPriority w:val="98"/>
    <w:semiHidden/>
    <w:rsid w:val="008D145C"/>
    <w:pPr>
      <w:ind w:left="1920" w:hanging="240"/>
    </w:pPr>
  </w:style>
  <w:style w:type="paragraph" w:styleId="Index9">
    <w:name w:val="index 9"/>
    <w:basedOn w:val="Normal"/>
    <w:next w:val="Normal"/>
    <w:autoRedefine/>
    <w:uiPriority w:val="98"/>
    <w:semiHidden/>
    <w:rsid w:val="008D145C"/>
    <w:pPr>
      <w:ind w:left="2160" w:hanging="240"/>
    </w:pPr>
  </w:style>
  <w:style w:type="paragraph" w:styleId="IndexHeading">
    <w:name w:val="index heading"/>
    <w:basedOn w:val="Normal"/>
    <w:next w:val="Index1"/>
    <w:uiPriority w:val="98"/>
    <w:semiHidden/>
    <w:rsid w:val="008D145C"/>
    <w:rPr>
      <w:rFonts w:asciiTheme="majorHAnsi" w:eastAsiaTheme="majorEastAsia" w:hAnsiTheme="majorHAnsi" w:cstheme="majorBidi"/>
      <w:b/>
      <w:bCs/>
    </w:rPr>
  </w:style>
  <w:style w:type="table" w:styleId="LightGrid">
    <w:name w:val="Light Grid"/>
    <w:basedOn w:val="TableNormal"/>
    <w:uiPriority w:val="62"/>
    <w:semiHidden/>
    <w:rsid w:val="008D145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D145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D145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D145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8D145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D145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D145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D145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D145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D145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D145C"/>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8D145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D145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D145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D145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D145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D145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D145C"/>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8D145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D145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D145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D145C"/>
  </w:style>
  <w:style w:type="paragraph" w:styleId="List">
    <w:name w:val="List"/>
    <w:basedOn w:val="Normal"/>
    <w:uiPriority w:val="98"/>
    <w:semiHidden/>
    <w:rsid w:val="008D145C"/>
    <w:pPr>
      <w:ind w:left="283" w:hanging="283"/>
      <w:contextualSpacing/>
    </w:pPr>
  </w:style>
  <w:style w:type="paragraph" w:styleId="List2">
    <w:name w:val="List 2"/>
    <w:basedOn w:val="Normal"/>
    <w:uiPriority w:val="98"/>
    <w:semiHidden/>
    <w:rsid w:val="008D145C"/>
    <w:pPr>
      <w:ind w:left="566" w:hanging="283"/>
      <w:contextualSpacing/>
    </w:pPr>
  </w:style>
  <w:style w:type="paragraph" w:styleId="List3">
    <w:name w:val="List 3"/>
    <w:basedOn w:val="Normal"/>
    <w:uiPriority w:val="98"/>
    <w:semiHidden/>
    <w:rsid w:val="008D145C"/>
    <w:pPr>
      <w:ind w:left="849" w:hanging="283"/>
      <w:contextualSpacing/>
    </w:pPr>
  </w:style>
  <w:style w:type="paragraph" w:styleId="List4">
    <w:name w:val="List 4"/>
    <w:basedOn w:val="Normal"/>
    <w:uiPriority w:val="98"/>
    <w:semiHidden/>
    <w:rsid w:val="008D145C"/>
    <w:pPr>
      <w:ind w:left="1132" w:hanging="283"/>
      <w:contextualSpacing/>
    </w:pPr>
  </w:style>
  <w:style w:type="paragraph" w:styleId="List5">
    <w:name w:val="List 5"/>
    <w:basedOn w:val="Normal"/>
    <w:uiPriority w:val="98"/>
    <w:semiHidden/>
    <w:rsid w:val="008D145C"/>
    <w:pPr>
      <w:ind w:left="1415" w:hanging="283"/>
      <w:contextualSpacing/>
    </w:pPr>
  </w:style>
  <w:style w:type="paragraph" w:styleId="ListBullet">
    <w:name w:val="List Bullet"/>
    <w:basedOn w:val="Normal"/>
    <w:uiPriority w:val="98"/>
    <w:semiHidden/>
    <w:rsid w:val="008D145C"/>
    <w:pPr>
      <w:numPr>
        <w:numId w:val="4"/>
      </w:numPr>
    </w:pPr>
  </w:style>
  <w:style w:type="paragraph" w:styleId="ListBullet4">
    <w:name w:val="List Bullet 4"/>
    <w:basedOn w:val="Normal"/>
    <w:uiPriority w:val="98"/>
    <w:semiHidden/>
    <w:rsid w:val="008D145C"/>
    <w:pPr>
      <w:numPr>
        <w:numId w:val="7"/>
      </w:numPr>
      <w:contextualSpacing/>
    </w:pPr>
  </w:style>
  <w:style w:type="paragraph" w:styleId="ListBullet5">
    <w:name w:val="List Bullet 5"/>
    <w:basedOn w:val="Normal"/>
    <w:uiPriority w:val="98"/>
    <w:semiHidden/>
    <w:rsid w:val="008D145C"/>
    <w:pPr>
      <w:numPr>
        <w:numId w:val="8"/>
      </w:numPr>
      <w:contextualSpacing/>
    </w:pPr>
  </w:style>
  <w:style w:type="paragraph" w:styleId="ListContinue">
    <w:name w:val="List Continue"/>
    <w:basedOn w:val="Normal"/>
    <w:uiPriority w:val="98"/>
    <w:semiHidden/>
    <w:rsid w:val="008D145C"/>
    <w:pPr>
      <w:spacing w:after="120"/>
      <w:ind w:left="283"/>
      <w:contextualSpacing/>
    </w:pPr>
  </w:style>
  <w:style w:type="paragraph" w:styleId="ListContinue2">
    <w:name w:val="List Continue 2"/>
    <w:basedOn w:val="Normal"/>
    <w:uiPriority w:val="98"/>
    <w:semiHidden/>
    <w:rsid w:val="008D145C"/>
    <w:pPr>
      <w:spacing w:after="120"/>
      <w:ind w:left="566"/>
      <w:contextualSpacing/>
    </w:pPr>
  </w:style>
  <w:style w:type="paragraph" w:styleId="ListContinue3">
    <w:name w:val="List Continue 3"/>
    <w:basedOn w:val="Normal"/>
    <w:uiPriority w:val="98"/>
    <w:semiHidden/>
    <w:rsid w:val="008D145C"/>
    <w:pPr>
      <w:spacing w:after="120"/>
      <w:ind w:left="849"/>
      <w:contextualSpacing/>
    </w:pPr>
  </w:style>
  <w:style w:type="paragraph" w:styleId="ListContinue4">
    <w:name w:val="List Continue 4"/>
    <w:basedOn w:val="Normal"/>
    <w:uiPriority w:val="98"/>
    <w:semiHidden/>
    <w:rsid w:val="008D145C"/>
    <w:pPr>
      <w:spacing w:after="120"/>
      <w:ind w:left="1132"/>
      <w:contextualSpacing/>
    </w:pPr>
  </w:style>
  <w:style w:type="paragraph" w:styleId="ListContinue5">
    <w:name w:val="List Continue 5"/>
    <w:basedOn w:val="Normal"/>
    <w:uiPriority w:val="98"/>
    <w:semiHidden/>
    <w:rsid w:val="008D145C"/>
    <w:pPr>
      <w:spacing w:after="120"/>
      <w:ind w:left="1415"/>
      <w:contextualSpacing/>
    </w:pPr>
  </w:style>
  <w:style w:type="paragraph" w:styleId="ListNumber">
    <w:name w:val="List Number"/>
    <w:basedOn w:val="Normal"/>
    <w:uiPriority w:val="98"/>
    <w:semiHidden/>
    <w:rsid w:val="008D145C"/>
    <w:pPr>
      <w:numPr>
        <w:numId w:val="9"/>
      </w:numPr>
      <w:contextualSpacing/>
    </w:pPr>
  </w:style>
  <w:style w:type="paragraph" w:styleId="ListNumber2">
    <w:name w:val="List Number 2"/>
    <w:basedOn w:val="Normal"/>
    <w:uiPriority w:val="98"/>
    <w:semiHidden/>
    <w:rsid w:val="008D145C"/>
    <w:pPr>
      <w:numPr>
        <w:numId w:val="10"/>
      </w:numPr>
      <w:contextualSpacing/>
    </w:pPr>
  </w:style>
  <w:style w:type="paragraph" w:styleId="ListNumber3">
    <w:name w:val="List Number 3"/>
    <w:basedOn w:val="Normal"/>
    <w:uiPriority w:val="98"/>
    <w:semiHidden/>
    <w:rsid w:val="008D145C"/>
    <w:pPr>
      <w:numPr>
        <w:numId w:val="11"/>
      </w:numPr>
      <w:contextualSpacing/>
    </w:pPr>
  </w:style>
  <w:style w:type="paragraph" w:styleId="ListNumber4">
    <w:name w:val="List Number 4"/>
    <w:basedOn w:val="Normal"/>
    <w:uiPriority w:val="98"/>
    <w:semiHidden/>
    <w:rsid w:val="008D145C"/>
    <w:pPr>
      <w:numPr>
        <w:numId w:val="12"/>
      </w:numPr>
      <w:contextualSpacing/>
    </w:pPr>
  </w:style>
  <w:style w:type="paragraph" w:styleId="ListNumber5">
    <w:name w:val="List Number 5"/>
    <w:basedOn w:val="Normal"/>
    <w:uiPriority w:val="98"/>
    <w:semiHidden/>
    <w:rsid w:val="008D145C"/>
    <w:pPr>
      <w:numPr>
        <w:numId w:val="13"/>
      </w:numPr>
      <w:contextualSpacing/>
    </w:pPr>
  </w:style>
  <w:style w:type="paragraph" w:styleId="MacroText">
    <w:name w:val="macro"/>
    <w:link w:val="MacroTextChar"/>
    <w:uiPriority w:val="98"/>
    <w:semiHidden/>
    <w:rsid w:val="008D145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D145C"/>
    <w:rPr>
      <w:rFonts w:ascii="Consolas" w:eastAsiaTheme="minorEastAsia" w:hAnsi="Consolas" w:cs="Consolas"/>
      <w:sz w:val="20"/>
      <w:szCs w:val="20"/>
    </w:rPr>
  </w:style>
  <w:style w:type="table" w:styleId="MediumGrid1">
    <w:name w:val="Medium Grid 1"/>
    <w:basedOn w:val="TableNormal"/>
    <w:uiPriority w:val="67"/>
    <w:semiHidden/>
    <w:rsid w:val="008D145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D145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D145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D145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8D145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D145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D145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D145C"/>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8D145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D145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D145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D145C"/>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8D145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D145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D145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D145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D145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D145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D145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D145C"/>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D145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D145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D145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D145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D14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D145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D145C"/>
    <w:rPr>
      <w:rFonts w:ascii="Times New Roman" w:hAnsi="Times New Roman" w:cs="Times New Roman"/>
    </w:rPr>
  </w:style>
  <w:style w:type="paragraph" w:styleId="NormalIndent">
    <w:name w:val="Normal Indent"/>
    <w:basedOn w:val="Normal"/>
    <w:uiPriority w:val="98"/>
    <w:semiHidden/>
    <w:rsid w:val="008D145C"/>
    <w:pPr>
      <w:ind w:left="720"/>
    </w:pPr>
  </w:style>
  <w:style w:type="paragraph" w:styleId="NoteHeading">
    <w:name w:val="Note Heading"/>
    <w:basedOn w:val="Normal"/>
    <w:next w:val="Normal"/>
    <w:link w:val="NoteHeadingChar"/>
    <w:uiPriority w:val="98"/>
    <w:semiHidden/>
    <w:rsid w:val="008D145C"/>
  </w:style>
  <w:style w:type="character" w:customStyle="1" w:styleId="NoteHeadingChar">
    <w:name w:val="Note Heading Char"/>
    <w:basedOn w:val="DefaultParagraphFont"/>
    <w:link w:val="NoteHeading"/>
    <w:uiPriority w:val="98"/>
    <w:semiHidden/>
    <w:rsid w:val="008D145C"/>
    <w:rPr>
      <w:sz w:val="24"/>
      <w:szCs w:val="24"/>
      <w:lang w:val="ro-RO"/>
    </w:rPr>
  </w:style>
  <w:style w:type="character" w:styleId="PlaceholderText">
    <w:name w:val="Placeholder Text"/>
    <w:basedOn w:val="DefaultParagraphFont"/>
    <w:uiPriority w:val="98"/>
    <w:semiHidden/>
    <w:rsid w:val="008D145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D145C"/>
    <w:rPr>
      <w:rFonts w:ascii="Consolas" w:hAnsi="Consolas" w:cs="Consolas"/>
      <w:sz w:val="21"/>
      <w:szCs w:val="21"/>
    </w:rPr>
  </w:style>
  <w:style w:type="character" w:customStyle="1" w:styleId="PlainTextChar">
    <w:name w:val="Plain Text Char"/>
    <w:basedOn w:val="DefaultParagraphFont"/>
    <w:link w:val="PlainText"/>
    <w:uiPriority w:val="98"/>
    <w:semiHidden/>
    <w:rsid w:val="008D145C"/>
    <w:rPr>
      <w:rFonts w:ascii="Consolas" w:hAnsi="Consolas" w:cs="Consolas"/>
      <w:sz w:val="21"/>
      <w:szCs w:val="21"/>
      <w:lang w:val="ro-RO"/>
    </w:rPr>
  </w:style>
  <w:style w:type="paragraph" w:styleId="Salutation">
    <w:name w:val="Salutation"/>
    <w:basedOn w:val="Normal"/>
    <w:next w:val="Normal"/>
    <w:link w:val="SalutationChar"/>
    <w:uiPriority w:val="98"/>
    <w:semiHidden/>
    <w:rsid w:val="008D145C"/>
  </w:style>
  <w:style w:type="character" w:customStyle="1" w:styleId="SalutationChar">
    <w:name w:val="Salutation Char"/>
    <w:basedOn w:val="DefaultParagraphFont"/>
    <w:link w:val="Salutation"/>
    <w:uiPriority w:val="98"/>
    <w:semiHidden/>
    <w:rsid w:val="008D145C"/>
    <w:rPr>
      <w:sz w:val="24"/>
      <w:szCs w:val="24"/>
      <w:lang w:val="ro-RO"/>
    </w:rPr>
  </w:style>
  <w:style w:type="paragraph" w:styleId="Signature">
    <w:name w:val="Signature"/>
    <w:basedOn w:val="Normal"/>
    <w:link w:val="SignatureChar"/>
    <w:uiPriority w:val="98"/>
    <w:semiHidden/>
    <w:rsid w:val="008D145C"/>
    <w:pPr>
      <w:ind w:left="4252"/>
    </w:pPr>
  </w:style>
  <w:style w:type="character" w:customStyle="1" w:styleId="SignatureChar">
    <w:name w:val="Signature Char"/>
    <w:basedOn w:val="DefaultParagraphFont"/>
    <w:link w:val="Signature"/>
    <w:uiPriority w:val="98"/>
    <w:semiHidden/>
    <w:rsid w:val="008D145C"/>
    <w:rPr>
      <w:sz w:val="24"/>
      <w:szCs w:val="24"/>
      <w:lang w:val="ro-RO"/>
    </w:rPr>
  </w:style>
  <w:style w:type="table" w:styleId="Table3Deffects1">
    <w:name w:val="Table 3D effects 1"/>
    <w:basedOn w:val="TableNormal"/>
    <w:uiPriority w:val="99"/>
    <w:semiHidden/>
    <w:unhideWhenUsed/>
    <w:rsid w:val="008D145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D145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D145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D145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D145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D145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D145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D145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D145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D145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D145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D145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D145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D145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D145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D145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D145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D145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D145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D145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D145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D145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D145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D145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D145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D145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D145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D145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D145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D145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D145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D145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D145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D145C"/>
    <w:pPr>
      <w:ind w:left="240" w:hanging="240"/>
    </w:pPr>
  </w:style>
  <w:style w:type="paragraph" w:styleId="TableofFigures">
    <w:name w:val="table of figures"/>
    <w:basedOn w:val="Normal"/>
    <w:next w:val="Normal"/>
    <w:uiPriority w:val="98"/>
    <w:semiHidden/>
    <w:rsid w:val="008D145C"/>
  </w:style>
  <w:style w:type="table" w:styleId="TableProfessional">
    <w:name w:val="Table Professional"/>
    <w:basedOn w:val="TableNormal"/>
    <w:uiPriority w:val="99"/>
    <w:semiHidden/>
    <w:unhideWhenUsed/>
    <w:rsid w:val="008D145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D145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D145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D145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D145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D145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D145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D145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D145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D145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D145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D145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D145C"/>
    <w:pPr>
      <w:spacing w:after="100"/>
      <w:ind w:left="1680"/>
    </w:pPr>
  </w:style>
  <w:style w:type="paragraph" w:styleId="TOC9">
    <w:name w:val="toc 9"/>
    <w:basedOn w:val="Normal"/>
    <w:next w:val="Normal"/>
    <w:autoRedefine/>
    <w:uiPriority w:val="98"/>
    <w:semiHidden/>
    <w:rsid w:val="008D145C"/>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8D145C"/>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8D145C"/>
    <w:pPr>
      <w:numPr>
        <w:ilvl w:val="1"/>
      </w:numPr>
    </w:pPr>
  </w:style>
  <w:style w:type="paragraph" w:customStyle="1" w:styleId="ECHRBullet3">
    <w:name w:val="ECHR_Bullet_3"/>
    <w:aliases w:val="_Bul_3"/>
    <w:basedOn w:val="ECHRBullet2"/>
    <w:uiPriority w:val="23"/>
    <w:semiHidden/>
    <w:rsid w:val="008D145C"/>
    <w:pPr>
      <w:numPr>
        <w:ilvl w:val="2"/>
      </w:numPr>
    </w:pPr>
  </w:style>
  <w:style w:type="paragraph" w:customStyle="1" w:styleId="ECHRBullet4">
    <w:name w:val="ECHR_Bullet_4"/>
    <w:aliases w:val="_Bul_4"/>
    <w:basedOn w:val="ECHRBullet3"/>
    <w:uiPriority w:val="23"/>
    <w:semiHidden/>
    <w:rsid w:val="008D145C"/>
    <w:pPr>
      <w:numPr>
        <w:ilvl w:val="3"/>
      </w:numPr>
    </w:pPr>
  </w:style>
  <w:style w:type="paragraph" w:customStyle="1" w:styleId="ECHRConfidential">
    <w:name w:val="ECHR_Confidential"/>
    <w:aliases w:val="_Confidential"/>
    <w:basedOn w:val="Normal"/>
    <w:next w:val="Normal"/>
    <w:uiPriority w:val="42"/>
    <w:semiHidden/>
    <w:qFormat/>
    <w:rsid w:val="008D145C"/>
    <w:pPr>
      <w:jc w:val="right"/>
    </w:pPr>
    <w:rPr>
      <w:color w:val="C00000"/>
      <w:sz w:val="20"/>
    </w:rPr>
  </w:style>
  <w:style w:type="paragraph" w:customStyle="1" w:styleId="ECHRDecisionBody">
    <w:name w:val="ECHR_Decision_Body"/>
    <w:aliases w:val="_Decision_Body"/>
    <w:basedOn w:val="NormalJustified"/>
    <w:uiPriority w:val="54"/>
    <w:semiHidden/>
    <w:rsid w:val="008D145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D145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D145C"/>
    <w:rPr>
      <w:rFonts w:ascii="Arial" w:hAnsi="Arial"/>
      <w:i/>
      <w:color w:val="002856"/>
      <w:sz w:val="32"/>
      <w:szCs w:val="24"/>
      <w:lang w:val="ro-RO"/>
    </w:rPr>
  </w:style>
  <w:style w:type="paragraph" w:customStyle="1" w:styleId="DummyStyle">
    <w:name w:val="Dummy_Style"/>
    <w:aliases w:val="_Dummy"/>
    <w:basedOn w:val="Normal"/>
    <w:semiHidden/>
    <w:qFormat/>
    <w:rsid w:val="008D145C"/>
    <w:rPr>
      <w:color w:val="00B050"/>
      <w:sz w:val="22"/>
    </w:rPr>
  </w:style>
  <w:style w:type="paragraph" w:customStyle="1" w:styleId="ECHRFooterLineLandscape">
    <w:name w:val="ECHR_Footer_Line_Landscape"/>
    <w:aliases w:val="_Footer_Line_Landscape"/>
    <w:basedOn w:val="Normal"/>
    <w:uiPriority w:val="29"/>
    <w:semiHidden/>
    <w:rsid w:val="008D145C"/>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8D145C"/>
    <w:pPr>
      <w:ind w:left="567" w:hanging="567"/>
    </w:pPr>
  </w:style>
  <w:style w:type="paragraph" w:customStyle="1" w:styleId="ECHRHeading9">
    <w:name w:val="ECHR_Heading_9"/>
    <w:aliases w:val="_Head_9"/>
    <w:basedOn w:val="Heading9"/>
    <w:uiPriority w:val="17"/>
    <w:semiHidden/>
    <w:rsid w:val="008D145C"/>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8D145C"/>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8D145C"/>
    <w:pPr>
      <w:spacing w:before="120" w:after="120"/>
      <w:ind w:left="567"/>
    </w:pPr>
  </w:style>
  <w:style w:type="paragraph" w:customStyle="1" w:styleId="ECHRLine">
    <w:name w:val="ECHR_Line"/>
    <w:aliases w:val="_Line"/>
    <w:basedOn w:val="NormalJustified"/>
    <w:next w:val="Normal"/>
    <w:uiPriority w:val="46"/>
    <w:semiHidden/>
    <w:rsid w:val="008D145C"/>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8D145C"/>
    <w:pPr>
      <w:numPr>
        <w:numId w:val="0"/>
      </w:numPr>
      <w:ind w:left="284"/>
    </w:pPr>
  </w:style>
  <w:style w:type="paragraph" w:customStyle="1" w:styleId="ECHRNumberedList1">
    <w:name w:val="ECHR_Numbered_List_1"/>
    <w:aliases w:val="_Num_1"/>
    <w:basedOn w:val="NormalJustified"/>
    <w:uiPriority w:val="23"/>
    <w:semiHidden/>
    <w:qFormat/>
    <w:rsid w:val="008D145C"/>
    <w:pPr>
      <w:numPr>
        <w:numId w:val="17"/>
      </w:numPr>
      <w:spacing w:before="60" w:after="60"/>
    </w:pPr>
  </w:style>
  <w:style w:type="paragraph" w:customStyle="1" w:styleId="ECHRNumberedList2">
    <w:name w:val="ECHR_Numbered_List_2"/>
    <w:aliases w:val="_Num_2"/>
    <w:basedOn w:val="ECHRNumberedList1"/>
    <w:uiPriority w:val="23"/>
    <w:semiHidden/>
    <w:rsid w:val="008D145C"/>
    <w:pPr>
      <w:numPr>
        <w:ilvl w:val="1"/>
      </w:numPr>
    </w:pPr>
  </w:style>
  <w:style w:type="paragraph" w:customStyle="1" w:styleId="ECHRNumberedList3">
    <w:name w:val="ECHR_Numbered_List_3"/>
    <w:aliases w:val="_Num_3"/>
    <w:basedOn w:val="ECHRNumberedList2"/>
    <w:uiPriority w:val="23"/>
    <w:semiHidden/>
    <w:rsid w:val="008D145C"/>
    <w:pPr>
      <w:numPr>
        <w:ilvl w:val="2"/>
      </w:numPr>
    </w:pPr>
  </w:style>
  <w:style w:type="paragraph" w:customStyle="1" w:styleId="ECHRPlaceholder">
    <w:name w:val="ECHR_Placeholder"/>
    <w:aliases w:val="_Placeholder"/>
    <w:basedOn w:val="JuSigned"/>
    <w:uiPriority w:val="31"/>
    <w:rsid w:val="008D145C"/>
    <w:rPr>
      <w:color w:val="FFFFFF"/>
    </w:rPr>
  </w:style>
  <w:style w:type="character" w:customStyle="1" w:styleId="ECHRRed">
    <w:name w:val="ECHR_Red"/>
    <w:aliases w:val="_Red"/>
    <w:basedOn w:val="DefaultParagraphFont"/>
    <w:uiPriority w:val="15"/>
    <w:semiHidden/>
    <w:qFormat/>
    <w:rsid w:val="008D145C"/>
    <w:rPr>
      <w:color w:val="C00000" w:themeColor="accent2"/>
    </w:rPr>
  </w:style>
  <w:style w:type="paragraph" w:customStyle="1" w:styleId="ECHRHeaderDate">
    <w:name w:val="ECHR_Header_Date"/>
    <w:aliases w:val="_Ref_Date"/>
    <w:basedOn w:val="Normal"/>
    <w:uiPriority w:val="44"/>
    <w:semiHidden/>
    <w:qFormat/>
    <w:rsid w:val="008D145C"/>
    <w:pPr>
      <w:jc w:val="right"/>
    </w:pPr>
    <w:rPr>
      <w:sz w:val="20"/>
    </w:rPr>
  </w:style>
  <w:style w:type="paragraph" w:customStyle="1" w:styleId="ECHRHeaderRefIt">
    <w:name w:val="ECHR_Header_Ref_It"/>
    <w:aliases w:val="_Ref_Ital"/>
    <w:basedOn w:val="Normal"/>
    <w:next w:val="ECHRHeaderDate"/>
    <w:uiPriority w:val="43"/>
    <w:semiHidden/>
    <w:qFormat/>
    <w:rsid w:val="008D145C"/>
    <w:pPr>
      <w:jc w:val="right"/>
    </w:pPr>
    <w:rPr>
      <w:i/>
      <w:sz w:val="20"/>
    </w:rPr>
  </w:style>
  <w:style w:type="paragraph" w:customStyle="1" w:styleId="ECHRSpacer">
    <w:name w:val="ECHR_Spacer"/>
    <w:aliases w:val="_Spacer"/>
    <w:basedOn w:val="Normal"/>
    <w:uiPriority w:val="45"/>
    <w:semiHidden/>
    <w:rsid w:val="008D145C"/>
    <w:rPr>
      <w:sz w:val="4"/>
    </w:rPr>
  </w:style>
  <w:style w:type="paragraph" w:customStyle="1" w:styleId="ECHRTitleCentre1">
    <w:name w:val="ECHR_Title_Centre_1"/>
    <w:aliases w:val="_Title_C_1"/>
    <w:basedOn w:val="Normal"/>
    <w:next w:val="Normal"/>
    <w:uiPriority w:val="26"/>
    <w:semiHidden/>
    <w:qFormat/>
    <w:rsid w:val="008D145C"/>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8D145C"/>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8D145C"/>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8D145C"/>
    <w:pPr>
      <w:outlineLvl w:val="0"/>
    </w:pPr>
  </w:style>
  <w:style w:type="paragraph" w:customStyle="1" w:styleId="ECHRTitle1">
    <w:name w:val="ECHR_Title_1"/>
    <w:aliases w:val="_Title_L_1"/>
    <w:basedOn w:val="Normal"/>
    <w:next w:val="Normal"/>
    <w:uiPriority w:val="28"/>
    <w:semiHidden/>
    <w:qFormat/>
    <w:rsid w:val="008D145C"/>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8D145C"/>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8D145C"/>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8D145C"/>
    <w:pPr>
      <w:outlineLvl w:val="0"/>
    </w:pPr>
  </w:style>
  <w:style w:type="table" w:customStyle="1" w:styleId="ECHRTable2">
    <w:name w:val="ECHR_Table_2"/>
    <w:basedOn w:val="TableNormal"/>
    <w:uiPriority w:val="99"/>
    <w:rsid w:val="008D145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D145C"/>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8D145C"/>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1E7106"/>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1E7106"/>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1E7106"/>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1E7106"/>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1E7106"/>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1E7106"/>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1E7106"/>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1E7106"/>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1E7106"/>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1E7106"/>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1E7106"/>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1E7106"/>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1E7106"/>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1E7106"/>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1E7106"/>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1E7106"/>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1E7106"/>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1E7106"/>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1E7106"/>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1E7106"/>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1E7106"/>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1E7106"/>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1E7106"/>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1E7106"/>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1E7106"/>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1E7106"/>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1E7106"/>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1E7106"/>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1E7106"/>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1E7106"/>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1E7106"/>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1E7106"/>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1E7106"/>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1E7106"/>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1E7106"/>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1E7106"/>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1E7106"/>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1E7106"/>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1E7106"/>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1E7106"/>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1E7106"/>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1E7106"/>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1E7106"/>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1E7106"/>
    <w:rPr>
      <w:color w:val="2B579A"/>
      <w:shd w:val="clear" w:color="auto" w:fill="E1DFDD"/>
    </w:rPr>
  </w:style>
  <w:style w:type="table" w:styleId="ListTable1Light">
    <w:name w:val="List Table 1 Light"/>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1E7106"/>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1E7106"/>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1E7106"/>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1E7106"/>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1E7106"/>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1E7106"/>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1E7106"/>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1E7106"/>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1E7106"/>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1E7106"/>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1E7106"/>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1E7106"/>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1E7106"/>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1E7106"/>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1E7106"/>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1E7106"/>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1E7106"/>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1E7106"/>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1E7106"/>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1E7106"/>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1E7106"/>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1E7106"/>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1E7106"/>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1E7106"/>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1E7106"/>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1E7106"/>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1E7106"/>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1E7106"/>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1E7106"/>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1E7106"/>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1E7106"/>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1E7106"/>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1E7106"/>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1E7106"/>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1E7106"/>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1E7106"/>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1E7106"/>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1E7106"/>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1E7106"/>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1E7106"/>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1E7106"/>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1E7106"/>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1E7106"/>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1E7106"/>
    <w:rPr>
      <w:color w:val="2B579A"/>
      <w:shd w:val="clear" w:color="auto" w:fill="E1DFDD"/>
    </w:rPr>
  </w:style>
  <w:style w:type="table" w:styleId="PlainTable1">
    <w:name w:val="Plain Table 1"/>
    <w:basedOn w:val="TableNormal"/>
    <w:uiPriority w:val="41"/>
    <w:semiHidden/>
    <w:rsid w:val="001E7106"/>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1E7106"/>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1E7106"/>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1E7106"/>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1E7106"/>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1E7106"/>
    <w:rPr>
      <w:u w:val="dotted"/>
    </w:rPr>
  </w:style>
  <w:style w:type="character" w:customStyle="1" w:styleId="SmartLink">
    <w:name w:val="Smart Link"/>
    <w:basedOn w:val="DefaultParagraphFont"/>
    <w:uiPriority w:val="99"/>
    <w:semiHidden/>
    <w:unhideWhenUsed/>
    <w:rsid w:val="001E7106"/>
    <w:rPr>
      <w:color w:val="0000FF"/>
      <w:u w:val="single"/>
      <w:shd w:val="clear" w:color="auto" w:fill="F3F2F1"/>
    </w:rPr>
  </w:style>
  <w:style w:type="table" w:styleId="TableGridLight">
    <w:name w:val="Grid Table Light"/>
    <w:basedOn w:val="TableNormal"/>
    <w:uiPriority w:val="40"/>
    <w:semiHidden/>
    <w:rsid w:val="001E7106"/>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1E7106"/>
    <w:rPr>
      <w:color w:val="605E5C"/>
      <w:shd w:val="clear" w:color="auto" w:fill="E1DFDD"/>
    </w:rPr>
  </w:style>
  <w:style w:type="character" w:customStyle="1" w:styleId="JuParaChar">
    <w:name w:val="Ju_Para Char"/>
    <w:aliases w:val="_Para Char"/>
    <w:link w:val="JuPara"/>
    <w:uiPriority w:val="4"/>
    <w:rsid w:val="001E7106"/>
    <w:rPr>
      <w:sz w:val="24"/>
      <w:szCs w:val="24"/>
      <w:lang w:val="ro-RO"/>
    </w:rPr>
  </w:style>
  <w:style w:type="paragraph" w:styleId="Revision">
    <w:name w:val="Revision"/>
    <w:hidden/>
    <w:uiPriority w:val="99"/>
    <w:semiHidden/>
    <w:rsid w:val="001E7106"/>
    <w:rPr>
      <w:sz w:val="24"/>
      <w:szCs w:val="24"/>
    </w:rPr>
  </w:style>
  <w:style w:type="paragraph" w:customStyle="1" w:styleId="juHquot">
    <w:name w:val="ju_H_quot"/>
    <w:basedOn w:val="JuQuot"/>
    <w:rsid w:val="001E7106"/>
  </w:style>
  <w:style w:type="table" w:customStyle="1" w:styleId="ECHRUGTableWhiteBox1">
    <w:name w:val="ECHR_UG_Table_White_Box1"/>
    <w:basedOn w:val="TableNormal"/>
    <w:uiPriority w:val="99"/>
    <w:rsid w:val="001E7106"/>
    <w:rPr>
      <w:rFonts w:ascii="Times New Roman" w:eastAsia="Times New Roman" w:hAnsi="Times New Roman" w:cs="Times New Roman"/>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239D2-5F89-4C2B-8D5E-D52E1D8F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10318</Words>
  <Characters>59847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70025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2025-12-24T12:13:00Z</dcterms:created>
  <dcterms:modified xsi:type="dcterms:W3CDTF">2026-01-20T07:56:00Z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1839386</vt:lpwstr>
  </property>
  <property fmtid="{D5CDD505-2E9C-101B-9397-08002B2CF9AE}" pid="3" name="cstLanguage">
    <vt:i4>1036</vt:i4>
  </property>
  <property fmtid="{D5CDD505-2E9C-101B-9397-08002B2CF9AE}" pid="4" name="RegisteredNo">
    <vt:lpwstr>10120/23</vt:lpwstr>
  </property>
</Properties>
</file>