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6D1" w:rsidRPr="00C226D1" w:rsidRDefault="00C226D1" w:rsidP="00C226D1">
      <w:pPr>
        <w:rPr>
          <w:rFonts w:ascii="Times New Roman" w:hAnsi="Times New Roman" w:cs="Times New Roman"/>
          <w:noProof/>
        </w:rPr>
      </w:pPr>
    </w:p>
    <w:p w:rsidR="00C226D1" w:rsidRPr="00C226D1" w:rsidRDefault="00C226D1" w:rsidP="00C226D1"/>
    <w:p w:rsidR="00C226D1" w:rsidRPr="00C226D1" w:rsidRDefault="00C226D1" w:rsidP="00C226D1">
      <w:pPr>
        <w:pStyle w:val="DecHTitle"/>
      </w:pPr>
      <w:r>
        <w:t xml:space="preserve">CURTEA EUROPEANĂ A DREPTURILOR OMULUI</w:t>
      </w:r>
    </w:p>
    <w:p w:rsidR="00C226D1" w:rsidRPr="00C226D1" w:rsidRDefault="00C226D1" w:rsidP="00C226D1">
      <w:pPr>
        <w:pStyle w:val="DecHTitle"/>
      </w:pPr>
      <w:r>
        <w:t xml:space="preserve">SECȚIA A PATRA</w:t>
      </w:r>
    </w:p>
    <w:p w:rsidR="00C226D1" w:rsidRPr="00C226D1" w:rsidRDefault="00C226D1" w:rsidP="00C226D1">
      <w:pPr>
        <w:pStyle w:val="JuTitle"/>
      </w:pPr>
      <w:r>
        <w:t xml:space="preserve">CAUZA ALEXFORCAM S.R.L. ÎMPOTRIVA ROMÂNIEI</w:t>
      </w:r>
    </w:p>
    <w:p w:rsidR="00C226D1" w:rsidRPr="00C226D1" w:rsidRDefault="00C226D1" w:rsidP="00C226D1">
      <w:pPr>
        <w:pStyle w:val="ECHRCoverTitle4"/>
      </w:pPr>
      <w:r>
        <w:t xml:space="preserve">(Cererea nr. 64910/19)</w:t>
      </w:r>
    </w:p>
    <w:p w:rsidR="00C226D1" w:rsidRPr="00C226D1" w:rsidRDefault="00C226D1" w:rsidP="00C226D1">
      <w:pPr>
        <w:pStyle w:val="DecHCase"/>
      </w:pPr>
    </w:p>
    <w:p w:rsidR="00C226D1" w:rsidRPr="00C226D1" w:rsidRDefault="00C226D1" w:rsidP="00C226D1">
      <w:pPr>
        <w:pStyle w:val="DecHCase"/>
      </w:pPr>
    </w:p>
    <w:p w:rsidR="00C226D1" w:rsidRPr="00C226D1" w:rsidRDefault="00C226D1" w:rsidP="00C226D1">
      <w:pPr>
        <w:pStyle w:val="DecHCase"/>
      </w:pPr>
    </w:p>
    <w:p w:rsidR="00C226D1" w:rsidRPr="00C226D1" w:rsidRDefault="00C226D1" w:rsidP="00C226D1">
      <w:pPr>
        <w:pStyle w:val="DecHCase"/>
      </w:pPr>
    </w:p>
    <w:p w:rsidR="00C226D1" w:rsidRPr="00C226D1" w:rsidRDefault="00C226D1" w:rsidP="00C226D1">
      <w:pPr>
        <w:pStyle w:val="DecHCase"/>
      </w:pPr>
    </w:p>
    <w:p w:rsidR="00C226D1" w:rsidRPr="00C226D1" w:rsidRDefault="00C226D1" w:rsidP="00C226D1">
      <w:pPr>
        <w:pStyle w:val="DecHCase"/>
      </w:pPr>
    </w:p>
    <w:p w:rsidR="00C226D1" w:rsidRPr="00C226D1" w:rsidRDefault="00C226D1" w:rsidP="00C226D1">
      <w:pPr>
        <w:pStyle w:val="DecHCase"/>
      </w:pPr>
      <w:r>
        <w:t xml:space="preserve">HOTĂRÂRE</w:t>
      </w:r>
      <w:r>
        <w:br/>
      </w:r>
    </w:p>
    <w:p w:rsidR="00C226D1" w:rsidRPr="00C226D1" w:rsidRDefault="00C226D1" w:rsidP="00C226D1">
      <w:pPr>
        <w:pStyle w:val="DecHCase"/>
      </w:pPr>
      <w:r>
        <w:t xml:space="preserve">STRASBOURG</w:t>
      </w:r>
    </w:p>
    <w:p w:rsidR="00C226D1" w:rsidRPr="00C226D1" w:rsidRDefault="00C226D1" w:rsidP="00C226D1">
      <w:pPr>
        <w:pStyle w:val="DecHCase"/>
        <w:rPr>
          <w:noProof/>
        </w:rPr>
      </w:pPr>
      <w:r>
        <w:t xml:space="preserve">16 iunie 2026</w:t>
      </w:r>
    </w:p>
    <w:p w:rsidR="00C226D1" w:rsidRPr="00C226D1" w:rsidRDefault="00C226D1" w:rsidP="00C226D1">
      <w:pPr>
        <w:pStyle w:val="DecHCase"/>
      </w:pPr>
    </w:p>
    <w:p w:rsidR="00C226D1" w:rsidRPr="00C226D1" w:rsidRDefault="00C226D1" w:rsidP="00C226D1">
      <w:pPr>
        <w:rPr>
          <w:i/>
          <w:sz w:val="22"/>
        </w:rPr>
      </w:pPr>
      <w:r>
        <w:rPr>
          <w:i/>
          <w:sz w:val="22"/>
        </w:rPr>
        <w:t xml:space="preserve">Hotărârea este definitivă.</w:t>
      </w:r>
      <w:r>
        <w:rPr>
          <w:i/>
          <w:sz w:val="22"/>
        </w:rPr>
        <w:t xml:space="preserve"> </w:t>
      </w:r>
      <w:r>
        <w:rPr>
          <w:i/>
          <w:sz w:val="22"/>
        </w:rPr>
        <w:t xml:space="preserve">Aceasta poate suferi modificări de formă.</w:t>
      </w:r>
    </w:p>
    <w:p w:rsidR="00C226D1" w:rsidRPr="00C226D1" w:rsidRDefault="00C226D1" w:rsidP="00C226D1">
      <w:pPr>
        <w:ind w:left="720"/>
        <w:rPr>
          <w:rFonts w:ascii="Times New Roman" w:hAnsi="Times New Roman" w:cs="Times New Roman"/>
          <w:sz w:val="22"/>
        </w:rPr>
        <w:sectPr w:rsidR="00C226D1" w:rsidRPr="00C226D1" w:rsidSect="003E3D2B">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1906" w:h="16838" w:code="9"/>
          <w:pgMar w:top="2274" w:right="2274" w:bottom="2274" w:left="2274" w:header="1134" w:footer="720" w:gutter="0"/>
          <w:pgNumType w:start="1"/>
          <w:cols w:space="720"/>
          <w:noEndnote/>
          <w:titlePg/>
          <w:docGrid w:linePitch="326"/>
        </w:sectPr>
      </w:pPr>
    </w:p>
    <w:p w:rsidR="00C226D1" w:rsidRPr="00C226D1" w:rsidRDefault="00C226D1" w:rsidP="00C226D1">
      <w:pPr>
        <w:pStyle w:val="JuCase"/>
      </w:pPr>
      <w:r>
        <w:t xml:space="preserve">În cauza Alexforcam S.R.L. împotriva României,</w:t>
      </w:r>
    </w:p>
    <w:p w:rsidR="00C226D1" w:rsidRPr="00C226D1" w:rsidRDefault="00C226D1" w:rsidP="00C226D1">
      <w:pPr>
        <w:pStyle w:val="JuPara"/>
      </w:pPr>
      <w:r>
        <w:t xml:space="preserve">Curtea Europeană a Drepturilor Omului (Secția a patra), reunită într-un comitet compus din:</w:t>
      </w:r>
    </w:p>
    <w:p w:rsidR="00C226D1" w:rsidRPr="00C226D1" w:rsidRDefault="00C226D1" w:rsidP="00C226D1">
      <w:pPr>
        <w:pStyle w:val="JuJudges"/>
      </w:pPr>
      <w:r>
        <w:tab/>
      </w:r>
      <w:r>
        <w:t xml:space="preserve">Ana Maria Guerra Martins</w:t>
      </w:r>
      <w:r>
        <w:rPr>
          <w:i/>
        </w:rPr>
        <w:t xml:space="preserve">, președintă</w:t>
      </w:r>
      <w:r>
        <w:t xml:space="preserve">,</w:t>
      </w:r>
      <w:r>
        <w:br/>
      </w:r>
      <w:r>
        <w:tab/>
      </w:r>
      <w:r>
        <w:t xml:space="preserve">Anne Louise Bormann,</w:t>
      </w:r>
      <w:r>
        <w:br/>
      </w:r>
      <w:r>
        <w:tab/>
      </w:r>
      <w:r>
        <w:t xml:space="preserve">Sebastian Rădulețu</w:t>
      </w:r>
      <w:r>
        <w:rPr>
          <w:i/>
        </w:rPr>
        <w:t xml:space="preserve">, judecători</w:t>
      </w:r>
      <w:r>
        <w:t xml:space="preserve">,</w:t>
      </w:r>
      <w:r>
        <w:br/>
      </w:r>
      <w:r>
        <w:t xml:space="preserve">și Simeon Petrovski, </w:t>
      </w:r>
      <w:r>
        <w:rPr>
          <w:i/>
        </w:rPr>
        <w:t xml:space="preserve">grefier adjunct de secție</w:t>
      </w:r>
      <w:r>
        <w:t xml:space="preserve">,</w:t>
      </w:r>
    </w:p>
    <w:p w:rsidR="00C226D1" w:rsidRPr="00C226D1" w:rsidRDefault="00C226D1" w:rsidP="00C226D1">
      <w:pPr>
        <w:pStyle w:val="JuPara"/>
      </w:pPr>
      <w:r>
        <w:t xml:space="preserve">Având în vedere:</w:t>
      </w:r>
    </w:p>
    <w:p w:rsidR="00C226D1" w:rsidRPr="00C226D1" w:rsidRDefault="00C226D1" w:rsidP="00C226D1">
      <w:pPr>
        <w:pStyle w:val="JuPara"/>
      </w:pPr>
      <w:r>
        <w:t xml:space="preserve">cererea (nr. 64910/19) îndreptată împotriva României, prin care o societate cu răspundere limitată cu sediul în acest stat, Alexforcam S.R.L. („societatea reclamantă”), reprezentată de A. Bora, avocat în Bistrița, a sesizat Curtea la 5 decembrie 2019, în temeiul art. 34 din Convenția pentru apărarea drepturilor omului și a libertăților fundamentale („Convenția”),</w:t>
      </w:r>
    </w:p>
    <w:p w:rsidR="00C226D1" w:rsidRPr="00C226D1" w:rsidRDefault="00C226D1" w:rsidP="00C226D1">
      <w:pPr>
        <w:pStyle w:val="JuPara"/>
      </w:pPr>
      <w:r>
        <w:t xml:space="preserve">decizia de a aduce la cunoștința Guvernului român („Guvernul”), reprezentat de agentul guvernamental, doamna O.F. Ezer, din cadrul Ministerului Afacerilor Externe, capetele de cerere întemeiate pe art. 6 § 1 din Convenție și art. 1 din Protocolul nr. 1 la Convenție și de a declara cererea inadmisibilă pentru celelalte capete de cerere,</w:t>
      </w:r>
    </w:p>
    <w:p w:rsidR="00C226D1" w:rsidRPr="00C226D1" w:rsidRDefault="00C226D1" w:rsidP="00C226D1">
      <w:pPr>
        <w:pStyle w:val="JuPara"/>
      </w:pPr>
      <w:r>
        <w:t xml:space="preserve">observațiile părților,</w:t>
      </w:r>
    </w:p>
    <w:p w:rsidR="00C226D1" w:rsidRPr="00C226D1" w:rsidRDefault="00C226D1" w:rsidP="00C226D1">
      <w:pPr>
        <w:pStyle w:val="JuPara"/>
      </w:pPr>
      <w:r>
        <w:t xml:space="preserve">decizia prin care Curtea a respins excepția ridicată de Guvern cu privire la examinarea cererii de către un comitet,</w:t>
      </w:r>
    </w:p>
    <w:p w:rsidR="00C226D1" w:rsidRPr="00C226D1" w:rsidRDefault="00C226D1" w:rsidP="00C226D1">
      <w:pPr>
        <w:pStyle w:val="JuPara"/>
      </w:pPr>
      <w:r>
        <w:t xml:space="preserve">După ce a deliberat în camera de consiliu, la 26 mai 2026,</w:t>
      </w:r>
    </w:p>
    <w:p w:rsidR="00C226D1" w:rsidRPr="00C226D1" w:rsidRDefault="00C226D1" w:rsidP="00C226D1">
      <w:pPr>
        <w:pStyle w:val="JuPara"/>
      </w:pPr>
      <w:r>
        <w:t xml:space="preserve">Pronunță prezenta hotărâre, adoptată la aceeași dată:</w:t>
      </w:r>
    </w:p>
    <w:p w:rsidR="00C226D1" w:rsidRPr="00C226D1" w:rsidRDefault="00C226D1" w:rsidP="00C226D1">
      <w:pPr>
        <w:pStyle w:val="JuHHead"/>
      </w:pPr>
      <w:r>
        <w:t xml:space="preserve">OBIECTUL CAUZEI</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1</w:t>
      </w:r>
      <w:r>
        <w:fldChar w:fldCharType="end"/>
      </w:r>
      <w:r>
        <w:t xml:space="preserve">.</w:t>
      </w:r>
      <w:r>
        <w:t xml:space="preserve">  </w:t>
      </w:r>
      <w:r>
        <w:t xml:space="preserve">Cererea are ca obiect modul în care instanțele interne au aplicat dispozițiile procedurale referitoare la regularizarea cererii de chemare în judecată în cazul societății reclamante, ceea ce a dus la respingerea cererii introduse de aceasta.</w:t>
      </w:r>
      <w:r>
        <w:t xml:space="preserve"> </w:t>
      </w:r>
      <w:r>
        <w:t xml:space="preserve">Este vorba în principal de capătul de cerere privind accesul la o instanță, întemeiat pe art. 6 § 1 din Convenție.</w:t>
      </w:r>
    </w:p>
    <w:bookmarkStart w:id="1" w:name="PV"/>
    <w:p w:rsidR="00C226D1" w:rsidRPr="00C226D1" w:rsidRDefault="00C226D1" w:rsidP="00C226D1">
      <w:pPr>
        <w:pStyle w:val="JuPara"/>
      </w:pPr>
      <w:r w:rsidRPr="00C226D1">
        <w:fldChar w:fldCharType="begin" w:dirty="true"/>
      </w:r>
      <w:r w:rsidRPr="00C226D1">
        <w:instrText xml:space="preserve"> SEQ level0 \*arabic \* MERGEFORMAT </w:instrText>
      </w:r>
      <w:r w:rsidRPr="00C226D1">
        <w:fldChar w:fldCharType="separate"/>
      </w:r>
      <w:r w:rsidRPr="00C226D1">
        <w:t>2</w:t>
      </w:r>
      <w:r w:rsidRPr="00C226D1">
        <w:fldChar w:fldCharType="end"/>
      </w:r>
      <w:bookmarkEnd w:id="1"/>
      <w:r>
        <w:t xml:space="preserve">.</w:t>
      </w:r>
      <w:r>
        <w:t xml:space="preserve">  </w:t>
      </w:r>
      <w:r>
        <w:t xml:space="preserve">Printr-un </w:t>
      </w:r>
      <w:r>
        <w:t xml:space="preserve">proces-verbal de contravenție încheiat la 7 iulie 2015, Garda Forestieră și Inspectoratul de Poliție al Județului Bistrița-Năsăud</w:t>
      </w:r>
      <w:r>
        <w:t xml:space="preserve">, constatând că societatea reclamantă a transmis cu întârziere raportarea referitoare la o cantitate de material lemnos care îi aparținea, au decis să o sancționeze cu amendă contravențională în cuantum de 5 000 de lei românești (RON) [aproximativ 1 100 de euro (EUR)] și au dispus confiscarea valorică a cantității de material lemnos în discuție în valoare de 144 758,44 RON (aproximativ 32 300 EUR).</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3</w:t>
      </w:r>
      <w:r>
        <w:fldChar w:fldCharType="end"/>
      </w:r>
      <w:r>
        <w:t xml:space="preserve">.</w:t>
      </w:r>
      <w:r>
        <w:t xml:space="preserve">  </w:t>
      </w:r>
      <w:r>
        <w:t xml:space="preserve">La 8 iulie 2015, societatea reclamantă a depus la instanță </w:t>
      </w:r>
      <w:r>
        <w:t xml:space="preserve">plângere </w:t>
      </w:r>
      <w:r>
        <w:t xml:space="preserve">pentru anularea procesului-verbal, precizând că va depune mijloacele de apărare la data stabilită de instanță în acest scop.</w:t>
      </w:r>
    </w:p>
    <w:bookmarkStart w:id="2" w:name="demande_de_régularisation"/>
    <w:p w:rsidR="00C226D1" w:rsidRPr="00C226D1" w:rsidRDefault="00C226D1" w:rsidP="00C226D1">
      <w:pPr>
        <w:pStyle w:val="JuPara"/>
      </w:pPr>
      <w:r w:rsidRPr="00C226D1">
        <w:fldChar w:fldCharType="begin" w:dirty="true"/>
      </w:r>
      <w:r w:rsidRPr="00C226D1">
        <w:instrText xml:space="preserve"> SEQ level0 \*arabic \* MERGEFORMAT </w:instrText>
      </w:r>
      <w:r w:rsidRPr="00C226D1">
        <w:fldChar w:fldCharType="separate"/>
      </w:r>
      <w:r w:rsidRPr="00C226D1">
        <w:t>4</w:t>
      </w:r>
      <w:r w:rsidRPr="00C226D1">
        <w:fldChar w:fldCharType="end"/>
      </w:r>
      <w:bookmarkEnd w:id="2"/>
      <w:r>
        <w:t xml:space="preserve">.</w:t>
      </w:r>
      <w:r>
        <w:t xml:space="preserve">  </w:t>
      </w:r>
      <w:r>
        <w:t xml:space="preserve">În temeiul art. 200 din Codul de procedură civilă (</w:t>
      </w:r>
      <w:r>
        <w:t xml:space="preserve">C. proc. civ</w:t>
      </w:r>
      <w:r>
        <w:t xml:space="preserve">.), Judecătoria Bistrița a comunicat societății reclamante să își regularizeze cererea, mai precis să indice motivele în fapt și în drept ale acțiunii sale.</w:t>
      </w:r>
      <w:r>
        <w:t xml:space="preserve"> </w:t>
      </w:r>
      <w:r>
        <w:t xml:space="preserve">Reclamanta trebuia să răspundă la această cerere în termen de 10 zile de la primirea comunicării.</w:t>
      </w:r>
      <w:r>
        <w:t xml:space="preserve"> </w:t>
      </w:r>
      <w:r>
        <w:t xml:space="preserve">La 27 iulie 2015, după primirea comunicării la 17 iulie 2015, societatea reclamantă, reprezentată de un avocat, și-a completat cererea cu elementele dispuse de instanță.</w:t>
      </w:r>
    </w:p>
    <w:bookmarkStart w:id="3" w:name="requête_complète"/>
    <w:p w:rsidR="00C226D1" w:rsidRPr="00C226D1" w:rsidRDefault="00C226D1" w:rsidP="00C226D1">
      <w:pPr>
        <w:pStyle w:val="JuPara"/>
      </w:pPr>
      <w:r w:rsidRPr="00C226D1">
        <w:fldChar w:fldCharType="begin" w:dirty="true"/>
      </w:r>
      <w:r w:rsidRPr="00C226D1">
        <w:instrText xml:space="preserve"> SEQ level0 \*arabic \* MERGEFORMAT </w:instrText>
      </w:r>
      <w:r w:rsidRPr="00C226D1">
        <w:fldChar w:fldCharType="separate"/>
      </w:r>
      <w:r w:rsidRPr="00C226D1">
        <w:t>5</w:t>
      </w:r>
      <w:r w:rsidRPr="00C226D1">
        <w:fldChar w:fldCharType="end"/>
      </w:r>
      <w:bookmarkEnd w:id="3"/>
      <w:r>
        <w:t xml:space="preserve">.</w:t>
      </w:r>
      <w:r>
        <w:t xml:space="preserve">  </w:t>
      </w:r>
      <w:r>
        <w:t xml:space="preserve">La </w:t>
      </w:r>
      <w:r>
        <w:t xml:space="preserve">10 septembrie 2015</w:t>
      </w:r>
      <w:r>
        <w:t xml:space="preserve">, constatând că cererea este completă, instanța a considerat că aceasta putea fi comunicată celeilalte părți, în conformitate cu art. 201 alin. (1) </w:t>
      </w:r>
      <w:r>
        <w:t xml:space="preserve">C. proc. civ</w:t>
      </w:r>
      <w:r>
        <w:t xml:space="preserve">.</w:t>
      </w:r>
    </w:p>
    <w:bookmarkStart w:id="4" w:name="HCCJ_décision_préalable"/>
    <w:bookmarkStart w:id="5" w:name="TPI"/>
    <w:p w:rsidR="00C226D1" w:rsidRPr="00C226D1" w:rsidRDefault="00C226D1" w:rsidP="00C226D1">
      <w:pPr>
        <w:pStyle w:val="JuPara"/>
        <w:rPr>
          <w:rFonts w:cstheme="minorHAnsi"/>
        </w:rPr>
      </w:pPr>
      <w:r w:rsidRPr="00C226D1">
        <w:rPr>
          <w:rFonts w:cstheme="minorHAnsi"/>
        </w:rPr>
        <w:fldChar w:fldCharType="begin" w:dirty="true"/>
      </w:r>
      <w:r w:rsidRPr="00C226D1">
        <w:rPr>
          <w:rFonts w:cstheme="minorHAnsi"/>
        </w:rPr>
        <w:instrText xml:space="preserve"> SEQ level0 \*arabic \* MERGEFORMAT </w:instrText>
      </w:r>
      <w:r w:rsidRPr="00C226D1">
        <w:rPr>
          <w:rFonts w:cstheme="minorHAnsi"/>
        </w:rPr>
        <w:fldChar w:fldCharType="separate"/>
      </w:r>
      <w:r w:rsidRPr="00C226D1">
        <w:rPr>
          <w:rFonts w:cstheme="minorHAnsi"/>
        </w:rPr>
        <w:t>6</w:t>
      </w:r>
      <w:r w:rsidRPr="00C226D1">
        <w:rPr>
          <w:rFonts w:cstheme="minorHAnsi"/>
        </w:rPr>
        <w:fldChar w:fldCharType="end"/>
      </w:r>
      <w:bookmarkEnd w:id="4"/>
      <w:bookmarkEnd w:id="5"/>
      <w:r>
        <w:t xml:space="preserve">.</w:t>
      </w:r>
      <w:r>
        <w:t xml:space="preserve">  </w:t>
      </w:r>
      <w:r>
        <w:t xml:space="preserve">Printr-o sentință civilă pronunțată la 13 iulie 2017, ulterior transferului cauzei la Judecătoria Năsăud care avea competență teritorială să o soluționeze, instanța a respins plângerea ca fiind tardiv formulată.</w:t>
      </w:r>
      <w:r>
        <w:t xml:space="preserve"> </w:t>
      </w:r>
      <w:r>
        <w:t xml:space="preserve">În acest scop, instanța a reținut că, în conformitate cu dispozițiile art. 31 alin. (1) din Ordonanța Guvernului nr. 2/2001 privind regimul juridic al contravențiilor, plângerea trebuie să fie motivată în termen de 15 zile de la data comunicării procesului-verbal de constatare a contravenției și de aplicare a sancțiunii în litigiu.</w:t>
      </w:r>
      <w:r>
        <w:t xml:space="preserve"> </w:t>
      </w:r>
      <w:r>
        <w:t xml:space="preserve">În speță, instanța a arătat că societatea reclamantă își prezentase motivele în procedura de regularizare, </w:t>
      </w:r>
      <w:r>
        <w:t xml:space="preserve">după împlinirea termenului de 15 zile</w:t>
      </w:r>
      <w:r>
        <w:t xml:space="preserve">.</w:t>
      </w:r>
      <w:r>
        <w:t xml:space="preserve"> </w:t>
      </w:r>
      <w:r>
        <w:t xml:space="preserve">Aceasta a făcut trimitere la Decizia nr. 44/2016, pronunțată de Înalta Curte de Casație și Justiție („ÎCCJ”) ca hotărâre prealabilă pentru dezlegarea unor chestiuni de drept și publicată la 28 decembrie 2016, prin care s-au clarificat dispozițiile de procedură administrativă și civilă referitoare la plângerea împotriva procesului-verbal de constatare a contravenției, stabilindu-se a) că plângerea trebuie să fie și motivată în termenul de 15 zile prevăzut de </w:t>
      </w:r>
      <w:r>
        <w:t xml:space="preserve">legislația administrativă</w:t>
      </w:r>
      <w:r>
        <w:t xml:space="preserve">, sub sancțiunea nulității, și b) că procedura de regularizare prevăzută de dispozițiile generale în materie civilă – care permite instanței să indice </w:t>
      </w:r>
      <w:r>
        <w:t xml:space="preserve">lipsurile în formularea unei acțiuni</w:t>
      </w:r>
      <w:r>
        <w:t xml:space="preserve"> și reclamantului să le remedieze într-un anumit termen – este aplicabilă și în materie contravențională.</w:t>
      </w:r>
      <w:r>
        <w:t xml:space="preserve"> </w:t>
      </w:r>
      <w:r>
        <w:t xml:space="preserve">Cu toate acestea, în speță, instanța a considerat că procedura de regularizare nu avea nicio incidență asupra calculului termenului de 15 zile și a arătat că societatea reclamantă își prezentase motivele după împlinirea acestui termen.</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7</w:t>
      </w:r>
      <w:r>
        <w:fldChar w:fldCharType="end"/>
      </w:r>
      <w:r>
        <w:t xml:space="preserve">.</w:t>
      </w:r>
      <w:r>
        <w:t xml:space="preserve">  </w:t>
      </w:r>
      <w:r>
        <w:t xml:space="preserve">Societatea reclamantă a formulat apel</w:t>
      </w:r>
      <w:r>
        <w:t xml:space="preserve"> împotriva acestei sentințe</w:t>
      </w:r>
      <w:r>
        <w:t xml:space="preserve">, susținând că excepția de tardivitate a plângerii a fost ridicată prea târziu, explicând că acest motiv de nulitate nu putea fi examinat decât în procedura de regularizare și soluționat prin încheiere, în conformitate cu art. 200 alin. (3) C. proc. civ.</w:t>
      </w:r>
      <w:r>
        <w:t xml:space="preserve"> </w:t>
      </w:r>
      <w:r>
        <w:t xml:space="preserve">În continuare, aceasta a subliniat că instanța a interpretat și a aplicat în mod greșit Decizia nr. 44/2016 pronunțată de ÎCCJ, care, în opinia sa, s-a limitat la a preciza că termenul de 15 zile prevăzut pentru contravenții acoperea atât introducerea cererii, cât și prezentarea de motive.</w:t>
      </w:r>
      <w:r>
        <w:t xml:space="preserve"> </w:t>
      </w:r>
      <w:r>
        <w:t xml:space="preserve">Aceasta a susținut că ÎCCJ a precizat în mod clar că un reclamant poate </w:t>
      </w:r>
      <w:r>
        <w:t xml:space="preserve">corecta anumite lipsuri în formularea plângerii sale</w:t>
      </w:r>
      <w:r>
        <w:t xml:space="preserve">, urmând procedura de regularizare prevăzută la art. 200 C. proc. civ.</w:t>
      </w:r>
    </w:p>
    <w:p w:rsidR="00C226D1" w:rsidRPr="00C226D1" w:rsidRDefault="00C226D1" w:rsidP="00C226D1">
      <w:pPr>
        <w:pStyle w:val="JuPara"/>
        <w:rPr>
          <w:rFonts w:cstheme="minorHAnsi"/>
        </w:rPr>
      </w:pPr>
      <w:r w:rsidRPr="00C226D1">
        <w:rPr>
          <w:rFonts w:cstheme="minorHAnsi"/>
        </w:rPr>
        <w:fldChar w:fldCharType="begin" w:dirty="true"/>
      </w:r>
      <w:r w:rsidRPr="00C226D1">
        <w:rPr>
          <w:rFonts w:cstheme="minorHAnsi"/>
        </w:rPr>
        <w:instrText xml:space="preserve"> SEQ level0 \*arabic \* MERGEFORMAT </w:instrText>
      </w:r>
      <w:r w:rsidRPr="00C226D1">
        <w:rPr>
          <w:rFonts w:cstheme="minorHAnsi"/>
        </w:rPr>
        <w:fldChar w:fldCharType="separate"/>
      </w:r>
      <w:r w:rsidRPr="00C226D1">
        <w:rPr>
          <w:rFonts w:cstheme="minorHAnsi"/>
        </w:rPr>
        <w:t>8</w:t>
      </w:r>
      <w:r w:rsidRPr="00C226D1">
        <w:rPr>
          <w:rFonts w:cstheme="minorHAnsi"/>
        </w:rPr>
        <w:fldChar w:fldCharType="end"/>
      </w:r>
      <w:r>
        <w:t xml:space="preserve">.</w:t>
      </w:r>
      <w:r>
        <w:t xml:space="preserve">  </w:t>
      </w:r>
      <w:r>
        <w:t xml:space="preserve">Printr-o decizie civilă definitivă pronunțată la 4 aprilie 2019 (comunicată la 13 iunie 2019), Tribunalul Bistrița-Năsăud a confirmat sentința civilă pronunțată de judecătorie, inclusiv interpretarea dată de aceasta Deciziei nr. 44/2016.</w:t>
      </w:r>
    </w:p>
    <w:bookmarkStart w:id="6" w:name="HCCJ_RIL"/>
    <w:p w:rsidR="00C226D1" w:rsidRPr="00C226D1" w:rsidRDefault="00C226D1" w:rsidP="00C226D1">
      <w:pPr>
        <w:pStyle w:val="JuPara"/>
        <w:rPr>
          <w:rFonts w:cstheme="minorHAnsi"/>
        </w:rPr>
      </w:pPr>
      <w:r w:rsidRPr="00C226D1">
        <w:rPr>
          <w:rFonts w:cstheme="minorHAnsi"/>
        </w:rPr>
        <w:fldChar w:fldCharType="begin" w:dirty="true"/>
      </w:r>
      <w:r w:rsidRPr="00C226D1">
        <w:rPr>
          <w:rFonts w:cstheme="minorHAnsi"/>
        </w:rPr>
        <w:instrText xml:space="preserve"> SEQ level0 \*arabic \* MERGEFORMAT </w:instrText>
      </w:r>
      <w:r w:rsidRPr="00C226D1">
        <w:rPr>
          <w:rFonts w:cstheme="minorHAnsi"/>
        </w:rPr>
        <w:fldChar w:fldCharType="separate"/>
      </w:r>
      <w:r w:rsidRPr="00C226D1">
        <w:rPr>
          <w:rFonts w:cstheme="minorHAnsi"/>
        </w:rPr>
        <w:t>9</w:t>
      </w:r>
      <w:r w:rsidRPr="00C226D1">
        <w:rPr>
          <w:rFonts w:cstheme="minorHAnsi"/>
        </w:rPr>
        <w:fldChar w:fldCharType="end"/>
      </w:r>
      <w:bookmarkEnd w:id="6"/>
      <w:r>
        <w:t xml:space="preserve">.</w:t>
      </w:r>
      <w:r>
        <w:t xml:space="preserve">  </w:t>
      </w:r>
      <w:r>
        <w:t xml:space="preserve">La 18 septembrie 2023, în cadrul unui recurs în interesul legii, ÎCCJ a examinat chestiunea dacă, în temeiul art. 204 alin. (1) C. proc. civ., unui reclamant, care solicitase anularea unui proces-verbal de contravenție, i se permitea să suplimenteze motivele după împlinirea termenului de 15 zile prevăzut pentru introducerea cererii respective.</w:t>
      </w:r>
      <w:r>
        <w:t xml:space="preserve"> </w:t>
      </w:r>
      <w:r>
        <w:t xml:space="preserve">ÎCCJ a considerat că trebuie să răspundă la această întrebare pe baza considerațiilor sale din Decizia nr. 44/2016 (</w:t>
      </w:r>
      <w:r>
        <w:rPr>
          <w:i/>
          <w:iCs/>
        </w:rPr>
        <w:t xml:space="preserve">supra</w:t>
      </w:r>
      <w:r>
        <w:t xml:space="preserve">, pct. </w:t>
      </w:r>
      <w:r w:rsidRPr="00C226D1">
        <w:rPr>
          <w:rFonts w:cstheme="minorHAnsi"/>
        </w:rPr>
        <w:fldChar w:fldCharType="begin" w:dirty="true"/>
      </w:r>
      <w:r w:rsidRPr="00C226D1">
        <w:rPr>
          <w:rFonts w:cstheme="minorHAnsi"/>
        </w:rPr>
        <w:instrText xml:space="preserve"> REF HCCJ_décision_préalable \h </w:instrText>
      </w:r>
      <w:r w:rsidRPr="00C226D1">
        <w:rPr>
          <w:rFonts w:cstheme="minorHAnsi"/>
        </w:rPr>
      </w:r>
      <w:r w:rsidRPr="00C226D1">
        <w:rPr>
          <w:rFonts w:cstheme="minorHAnsi"/>
        </w:rPr>
        <w:fldChar w:fldCharType="separate"/>
      </w:r>
      <w:r w:rsidRPr="00C226D1">
        <w:rPr>
          <w:rFonts w:cstheme="minorHAnsi"/>
        </w:rPr>
        <w:t>6</w:t>
      </w:r>
      <w:r w:rsidRPr="00C226D1">
        <w:rPr>
          <w:rFonts w:cstheme="minorHAnsi"/>
        </w:rPr>
        <w:fldChar w:fldCharType="end"/>
      </w:r>
      <w:r>
        <w:t xml:space="preserve">).</w:t>
      </w:r>
      <w:r>
        <w:t xml:space="preserve"> </w:t>
      </w:r>
      <w:r>
        <w:t xml:space="preserve">Instanța a subliniat că, în pofida unei aparente contradicții în dispozitivul acesteia, Decizia nr. 44/2016 stabilise fără echivoc că o plângere contravențională nemotivată poate fi declarată inadmisibilă numai în cazul în care reclamantul nu și-a îndeplinit obligația de a face completările sau modificările dispuse de instanță în termenul de 10 zile prevăzut în procedura de regularizare (art. 200 C. proc. civ.).</w:t>
      </w:r>
      <w:r>
        <w:t xml:space="preserve"> </w:t>
      </w:r>
      <w:r>
        <w:t xml:space="preserve">În aceste condiții, a considerat că era legitim să se concluzioneze că art. 204 C. proc. civ. – care permitea completarea unei cereri – este aplicabil și în materie contravențională.</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10</w:t>
      </w:r>
      <w:r>
        <w:fldChar w:fldCharType="end"/>
      </w:r>
      <w:r>
        <w:t xml:space="preserve">.</w:t>
      </w:r>
      <w:r>
        <w:t xml:space="preserve">  </w:t>
      </w:r>
      <w:r>
        <w:t xml:space="preserve">Invocând art. 6 din Convenție, societatea reclamantă se plânge de o încălcare a „dreptului la o instanță” și, în special, consideră că a fost aplicată în mod greșit Decizia nr. 44/2016 pronunțată de ÎCCJ în timp ce prezenta cauză era pendinte în fața instanțelor.</w:t>
      </w:r>
      <w:r>
        <w:t xml:space="preserve"> </w:t>
      </w:r>
      <w:r>
        <w:t xml:space="preserve">În plus, aceasta reproșează instanțelor naționale faptul că au dat dovadă de un formalism excesiv.</w:t>
      </w:r>
      <w:r>
        <w:t xml:space="preserve"> </w:t>
      </w:r>
      <w:r>
        <w:t xml:space="preserve">În raport cu art. 1 din Protocolul nr. 1 la Convenție, aceasta susține că măsura confiscării aplicată de autoritățile naționale a constituit o măsură disproporționată care, prin urmare, a fost luată cu încălcarea dreptului la respectarea bunurilor sale.</w:t>
      </w:r>
    </w:p>
    <w:p w:rsidR="00C226D1" w:rsidRPr="00C226D1" w:rsidRDefault="00C226D1" w:rsidP="00C226D1">
      <w:pPr>
        <w:pStyle w:val="JuHHead"/>
      </w:pPr>
      <w:r>
        <w:t xml:space="preserve">MOTIVAREA CURȚII</w:t>
      </w:r>
    </w:p>
    <w:p w:rsidR="00C226D1" w:rsidRPr="00C226D1" w:rsidRDefault="00C226D1" w:rsidP="00C226D1">
      <w:pPr>
        <w:pStyle w:val="JuHIRoman"/>
      </w:pPr>
      <w:r>
        <w:t xml:space="preserve">CU PRIVIRE LA PRETINSA ÎNCĂLCARE A ART. 6 § 1 DIN CONVENȚIE</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11</w:t>
      </w:r>
      <w:r>
        <w:fldChar w:fldCharType="end"/>
      </w:r>
      <w:r>
        <w:t xml:space="preserve">.</w:t>
      </w:r>
      <w:r>
        <w:t xml:space="preserve">  </w:t>
      </w:r>
      <w:r>
        <w:t xml:space="preserve">Curtea constată că, în speță, societatea reclamantă a fost sancționată cu amendă contravențională și confiscarea unei mari sume de bani (</w:t>
      </w:r>
      <w:r>
        <w:rPr>
          <w:i/>
          <w:iCs/>
        </w:rPr>
        <w:t xml:space="preserve">supra</w:t>
      </w:r>
      <w:r>
        <w:t xml:space="preserve">, pct. </w:t>
      </w:r>
      <w:r w:rsidR="00C226D1" w:rsidRPr="00C226D1">
        <w:fldChar w:fldCharType="begin" w:dirty="true"/>
      </w:r>
      <w:r w:rsidR="00C226D1" w:rsidRPr="00C226D1">
        <w:instrText xml:space="preserve"> REF PV \h </w:instrText>
      </w:r>
      <w:r w:rsidR="00C226D1" w:rsidRPr="00C226D1">
        <w:fldChar w:fldCharType="separate"/>
      </w:r>
      <w:r w:rsidR="00C226D1" w:rsidRPr="00C226D1">
        <w:t>2</w:t>
      </w:r>
      <w:r w:rsidR="00C226D1" w:rsidRPr="00C226D1">
        <w:fldChar w:fldCharType="end"/>
      </w:r>
      <w:r>
        <w:t xml:space="preserve">).</w:t>
      </w:r>
      <w:r>
        <w:t xml:space="preserve"> </w:t>
      </w:r>
      <w:r>
        <w:t xml:space="preserve">Având în vedere caracterul general al legislației naționale aplicabile, scopul punitiv al sancțiunii și cuantumul foarte ridicat al amenzii, Curtea consideră că art. 6 din Convenție este aplicabil în speță sub aspect penal [</w:t>
      </w:r>
      <w:r>
        <w:rPr>
          <w:i/>
          <w:iCs/>
        </w:rPr>
        <w:t xml:space="preserve">Lefter împotriva României</w:t>
      </w:r>
      <w:r>
        <w:t xml:space="preserve"> (dec.)</w:t>
      </w:r>
      <w:r>
        <w:t xml:space="preserve">, nr. 66268/13, pct. 16, 15 aprilie 2014], astfel cum susține societatea reclamantă.</w:t>
      </w:r>
      <w:r>
        <w:t xml:space="preserve"> </w:t>
      </w:r>
      <w:r>
        <w:t xml:space="preserve">Constatând că acest capăt de cerere nu este în mod vădit nefondat și că nu prezintă niciun alt motiv de inadmisibilitate în sensul art. 35 din Convenție, Curtea îl declară admisibil.</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12</w:t>
      </w:r>
      <w:r>
        <w:fldChar w:fldCharType="end"/>
      </w:r>
      <w:r>
        <w:t xml:space="preserve">.</w:t>
      </w:r>
      <w:r>
        <w:t xml:space="preserve">  </w:t>
      </w:r>
      <w:r>
        <w:t xml:space="preserve">Principiile generale privind accesul la o instanță și, în special, situațiile în care o restrângere poate rezulta dintr-un formalism excesiv au fost rezumate în </w:t>
      </w:r>
      <w:r>
        <w:t xml:space="preserve">hotărârea </w:t>
      </w:r>
      <w:r>
        <w:rPr>
          <w:i/>
          <w:iCs/>
        </w:rPr>
        <w:t xml:space="preserve">Zubac împotriva Croației</w:t>
      </w:r>
      <w:r>
        <w:t xml:space="preserve"> [(MC)</w:t>
      </w:r>
      <w:r>
        <w:t xml:space="preserve">, nr. 40160/12, pct. 76-79 și 96-99, 5 aprilie 2018].</w:t>
      </w:r>
      <w:r>
        <w:t xml:space="preserve"> </w:t>
      </w:r>
      <w:r>
        <w:t xml:space="preserve">Un astfel de formalism poate să rezulte dintr-o interpretare deosebit de riguroasă a unei norme de procedură care împiedică examinarea pe fond a acțiunii în justiție a unui reclamant și constituie un element de natură să ducă la o încălcare de către instanțe a dreptului la protecție efectivă (</w:t>
      </w:r>
      <w:r>
        <w:rPr>
          <w:i/>
          <w:iCs/>
        </w:rPr>
        <w:t xml:space="preserve">ibid</w:t>
      </w:r>
      <w:r>
        <w:t xml:space="preserve">., pct. 97).</w:t>
      </w:r>
    </w:p>
    <w:p w:rsidR="00C226D1" w:rsidRPr="00C226D1" w:rsidRDefault="000E7516" w:rsidP="00C226D1">
      <w:pPr>
        <w:pStyle w:val="JuPara"/>
      </w:pPr>
      <w:r>
        <w:fldChar w:fldCharType="begin" w:dirty="true"/>
      </w:r>
      <w:r>
        <w:instrText xml:space="preserve"> SEQ level0 \*arabic \* MERGEFO</w:instrText>
      </w:r>
      <w:r>
        <w:instrText xml:space="preserve">RMAT </w:instrText>
      </w:r>
      <w:r>
        <w:fldChar w:fldCharType="separate"/>
      </w:r>
      <w:r w:rsidR="00C226D1" w:rsidRPr="00C226D1">
        <w:t>13</w:t>
      </w:r>
      <w:r>
        <w:fldChar w:fldCharType="end"/>
      </w:r>
      <w:r>
        <w:t xml:space="preserve">.</w:t>
      </w:r>
      <w:r>
        <w:t xml:space="preserve">  </w:t>
      </w:r>
      <w:r>
        <w:t xml:space="preserve">În speță, Curtea arată că, într-o primă fază, judecătoria a invitat societatea reclamantă să prezinte motivele în termen de 10 zile, în temeiul art. 200 C. proc. civ., care reglementează procedura de regularizare a cererii de chemare în judecată.</w:t>
      </w:r>
      <w:r>
        <w:t xml:space="preserve"> </w:t>
      </w:r>
      <w:r>
        <w:t xml:space="preserve">Întrucât societatea reclamantă s-a conformat dispozițiilor, instanța a constatat că cererea era completă (a se vedea </w:t>
      </w:r>
      <w:r>
        <w:rPr>
          <w:i/>
          <w:iCs/>
        </w:rPr>
        <w:t xml:space="preserve">supra</w:t>
      </w:r>
      <w:r>
        <w:t xml:space="preserve">, pct. </w:t>
      </w:r>
      <w:r w:rsidR="00C226D1" w:rsidRPr="00C226D1">
        <w:fldChar w:fldCharType="begin" w:dirty="true"/>
      </w:r>
      <w:r w:rsidR="00C226D1" w:rsidRPr="00C226D1">
        <w:instrText xml:space="preserve"> REF demande_de_régularisation \h </w:instrText>
      </w:r>
      <w:r w:rsidR="00C226D1" w:rsidRPr="00C226D1">
        <w:fldChar w:fldCharType="separate"/>
      </w:r>
      <w:r w:rsidR="00C226D1" w:rsidRPr="00C226D1">
        <w:t>4</w:t>
      </w:r>
      <w:r w:rsidR="00C226D1" w:rsidRPr="00C226D1">
        <w:fldChar w:fldCharType="end"/>
      </w:r>
      <w:r>
        <w:t xml:space="preserve">-</w:t>
      </w:r>
      <w:r w:rsidR="00C226D1" w:rsidRPr="00C226D1">
        <w:fldChar w:fldCharType="begin" w:dirty="true"/>
      </w:r>
      <w:r w:rsidR="00C226D1" w:rsidRPr="00C226D1">
        <w:instrText xml:space="preserve"> REF requête_complète \h </w:instrText>
      </w:r>
      <w:r w:rsidR="00C226D1" w:rsidRPr="00C226D1">
        <w:fldChar w:fldCharType="separate"/>
      </w:r>
      <w:r w:rsidR="00C226D1" w:rsidRPr="00C226D1">
        <w:t>5</w:t>
      </w:r>
      <w:r w:rsidR="00C226D1" w:rsidRPr="00C226D1">
        <w:fldChar w:fldCharType="end"/>
      </w:r>
      <w:r>
        <w:t xml:space="preserve">).</w:t>
      </w:r>
      <w:r>
        <w:t xml:space="preserve"> </w:t>
      </w:r>
      <w:r>
        <w:t xml:space="preserve">Cu toate acestea, o altă instanță de același grad având competență teritorială a respins în cele din urmă cererea menționată, reținând că motivele au fost prezentate tardiv, cu depășirea termenului legal de 15 zile prevăzut de lege (a se vedea </w:t>
      </w:r>
      <w:r>
        <w:rPr>
          <w:i/>
          <w:iCs/>
        </w:rPr>
        <w:t xml:space="preserve">supra</w:t>
      </w:r>
      <w:r>
        <w:t xml:space="preserve">, pct. </w:t>
      </w:r>
      <w:r w:rsidR="00C226D1" w:rsidRPr="00C226D1">
        <w:fldChar w:fldCharType="begin" w:dirty="true"/>
      </w:r>
      <w:r w:rsidR="00C226D1" w:rsidRPr="00C226D1">
        <w:instrText xml:space="preserve"> REF TPI \h </w:instrText>
      </w:r>
      <w:r w:rsidR="00C226D1" w:rsidRPr="00C226D1">
        <w:fldChar w:fldCharType="separate"/>
      </w:r>
      <w:r w:rsidR="00C226D1" w:rsidRPr="00C226D1">
        <w:t>6</w:t>
      </w:r>
      <w:r w:rsidR="00C226D1" w:rsidRPr="00C226D1">
        <w:fldChar w:fldCharType="end"/>
      </w:r>
      <w:r>
        <w:t xml:space="preserve">).</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14</w:t>
      </w:r>
      <w:r>
        <w:fldChar w:fldCharType="end"/>
      </w:r>
      <w:r>
        <w:t xml:space="preserve">.</w:t>
      </w:r>
      <w:r>
        <w:t xml:space="preserve">  </w:t>
      </w:r>
      <w:r>
        <w:t xml:space="preserve">Curtea reafirmă că reglementarea privind termenele care trebuie respectate pentru </w:t>
      </w:r>
      <w:r>
        <w:t xml:space="preserve">exercitarea căii de atac</w:t>
      </w:r>
      <w:r>
        <w:t xml:space="preserve"> are ca scop să asigure o bună administrare a justiției și respectarea, în special, a principiului securității juridice.</w:t>
      </w:r>
      <w:r>
        <w:t xml:space="preserve"> </w:t>
      </w:r>
      <w:r>
        <w:t xml:space="preserve">Părțile interesate ar trebui să se aștepte ca aceste norme să fie aplicate.</w:t>
      </w:r>
      <w:r>
        <w:t xml:space="preserve"> </w:t>
      </w:r>
      <w:r>
        <w:t xml:space="preserve">Totuși, reglementarea respectivă, sau aplicarea acesteia, nu ar trebui să împiedice justițiabilul să se prevaleze de o cale de atac disponibilă </w:t>
      </w:r>
      <w:bookmarkStart w:id="7" w:name="_cl40922APPRÉCIATIONDELACOUR"/>
      <w:r>
        <w:t xml:space="preserve">(</w:t>
      </w:r>
      <w:r>
        <w:rPr>
          <w:i/>
        </w:rPr>
        <w:t xml:space="preserve">Üçdağ împotriva Turciei</w:t>
      </w:r>
      <w:bookmarkEnd w:id="7"/>
      <w:r>
        <w:t xml:space="preserve">, nr. 23314/19</w:t>
      </w:r>
      <w:r>
        <w:t xml:space="preserve">, pct. 38, 31 august 2021).</w:t>
      </w:r>
    </w:p>
    <w:p w:rsidR="00C226D1" w:rsidRPr="00C226D1" w:rsidRDefault="000E7516" w:rsidP="00C226D1">
      <w:pPr>
        <w:pStyle w:val="JuPara"/>
      </w:pPr>
      <w:r>
        <w:fldChar w:fldCharType="begin" w:dirty="true"/>
      </w:r>
      <w:r>
        <w:instrText xml:space="preserve"> SE</w:instrText>
      </w:r>
      <w:r>
        <w:instrText xml:space="preserve">Q level0 \*arabic \* MERGEFORMAT </w:instrText>
      </w:r>
      <w:r>
        <w:fldChar w:fldCharType="separate"/>
      </w:r>
      <w:r w:rsidR="00C226D1" w:rsidRPr="00C226D1">
        <w:t>15</w:t>
      </w:r>
      <w:r>
        <w:fldChar w:fldCharType="end"/>
      </w:r>
      <w:r>
        <w:t xml:space="preserve">.</w:t>
      </w:r>
      <w:r>
        <w:t xml:space="preserve">  </w:t>
      </w:r>
      <w:r>
        <w:t xml:space="preserve">Curtea arată că, astfel cum s-a stabilit prin Decizia nr. 44/2016, termenul de 15 zile în materie contravențională vizează atât introducerea plângerii contravenționale, cât și prezentarea motivelor.</w:t>
      </w:r>
      <w:r>
        <w:t xml:space="preserve"> </w:t>
      </w:r>
      <w:r>
        <w:t xml:space="preserve">În plus, ÎCCJ a clarificat dispozițiile generale în materie civilă privind regularizarea unei cereri de chemare în judecată, precizând că, potrivit acestor dispoziții, petentul poate complini lipsurile cererii respective în termen de 10 zile de la data comunicării adresei prin care i se pune în vedere </w:t>
      </w:r>
      <w:r>
        <w:t xml:space="preserve">aceasta de către instanță</w:t>
      </w:r>
      <w:r>
        <w:t xml:space="preserve"> (a se vedea </w:t>
      </w:r>
      <w:r>
        <w:rPr>
          <w:i/>
          <w:iCs/>
        </w:rPr>
        <w:t xml:space="preserve">supra</w:t>
      </w:r>
      <w:r>
        <w:t xml:space="preserve">, pct. </w:t>
      </w:r>
      <w:r w:rsidR="00C226D1" w:rsidRPr="00C226D1">
        <w:fldChar w:fldCharType="begin" w:dirty="true"/>
      </w:r>
      <w:r w:rsidR="00C226D1" w:rsidRPr="00C226D1">
        <w:instrText xml:space="preserve"> REF TPI \h </w:instrText>
      </w:r>
      <w:r w:rsidR="00C226D1" w:rsidRPr="00C226D1">
        <w:fldChar w:fldCharType="separate"/>
      </w:r>
      <w:r w:rsidR="00C226D1" w:rsidRPr="00C226D1">
        <w:t>6</w:t>
      </w:r>
      <w:r w:rsidR="00C226D1" w:rsidRPr="00C226D1">
        <w:fldChar w:fldCharType="end"/>
      </w:r>
      <w:r>
        <w:t xml:space="preserve">).</w:t>
      </w:r>
      <w:r>
        <w:t xml:space="preserve"> </w:t>
      </w:r>
      <w:r>
        <w:t xml:space="preserve">În aceste condiții, recunoscând în același timp importanța formulării unei cereri complete încă de la data sesizării instanței (</w:t>
      </w:r>
      <w:r>
        <w:rPr>
          <w:i/>
          <w:iCs/>
        </w:rPr>
        <w:t xml:space="preserve">Lefter</w:t>
      </w:r>
      <w:r>
        <w:t xml:space="preserve">, citată anterior, pct. 18; decizie având ca obiect o situație în care reclamanta nu a ținut seama de procedura de regularizare dispusă de instanță), Curtea nu este convinsă că restrângerea aplicată societății reclamante era previzibilă.</w:t>
      </w:r>
      <w:r>
        <w:t xml:space="preserve"> </w:t>
      </w:r>
      <w:r>
        <w:t xml:space="preserve">În continuare, constată că această cauză de inadmisibilitate a fost invocată într-o fază avansată a procedurii, chiar dacă dosarul fusese completat cu celeritate de îndată ce s-a dispus regularizarea cererii de către judecătorie, care apreciase că respectiva cauză se afla în stare de judecată (a se vedea </w:t>
      </w:r>
      <w:r>
        <w:rPr>
          <w:i/>
          <w:iCs/>
        </w:rPr>
        <w:t xml:space="preserve">supra</w:t>
      </w:r>
      <w:r>
        <w:t xml:space="preserve">, pct. </w:t>
      </w:r>
      <w:r w:rsidR="00C226D1" w:rsidRPr="00C226D1">
        <w:fldChar w:fldCharType="begin" w:dirty="true"/>
      </w:r>
      <w:r w:rsidR="00C226D1" w:rsidRPr="00C226D1">
        <w:instrText xml:space="preserve"> REF requête_complète \h </w:instrText>
      </w:r>
      <w:r w:rsidR="00C226D1" w:rsidRPr="00C226D1">
        <w:fldChar w:fldCharType="separate"/>
      </w:r>
      <w:r w:rsidR="00C226D1" w:rsidRPr="00C226D1">
        <w:t>5</w:t>
      </w:r>
      <w:r w:rsidR="00C226D1" w:rsidRPr="00C226D1">
        <w:fldChar w:fldCharType="end"/>
      </w:r>
      <w:r>
        <w:t xml:space="preserve">; a se vedea, de asemenea, </w:t>
      </w:r>
      <w:bookmarkStart w:id="8" w:name="_cl44465APPRÉCIATIONDELACOUR"/>
      <w:r>
        <w:rPr>
          <w:i/>
        </w:rPr>
        <w:t xml:space="preserve">J</w:t>
      </w:r>
      <w:r>
        <w:rPr>
          <w:i/>
        </w:rPr>
        <w:t xml:space="preserve">ustine împotriva Franței</w:t>
      </w:r>
      <w:bookmarkEnd w:id="8"/>
      <w:r>
        <w:t xml:space="preserve">, nr. 78664/17, pct. 48, 21 noiembrie 2024).</w:t>
      </w:r>
    </w:p>
    <w:p w:rsidR="00C226D1" w:rsidRPr="00C226D1" w:rsidRDefault="00C226D1" w:rsidP="00C226D1">
      <w:pPr>
        <w:pStyle w:val="JuPara"/>
        <w:rPr>
          <w:rFonts w:cstheme="minorHAnsi"/>
        </w:rPr>
      </w:pPr>
      <w:r w:rsidRPr="00C226D1">
        <w:rPr>
          <w:rFonts w:cstheme="minorHAnsi"/>
        </w:rPr>
        <w:lastRenderedPageBreak/>
        <w:fldChar w:fldCharType="begin" w:dirty="true"/>
      </w:r>
      <w:r w:rsidRPr="00C226D1">
        <w:rPr>
          <w:rFonts w:cstheme="minorHAnsi"/>
        </w:rPr>
        <w:instrText xml:space="preserve"> SEQ level0 \*arabic \* MERGEFORMAT </w:instrText>
      </w:r>
      <w:r w:rsidRPr="00C226D1">
        <w:rPr>
          <w:rFonts w:cstheme="minorHAnsi"/>
        </w:rPr>
        <w:fldChar w:fldCharType="separate"/>
      </w:r>
      <w:r w:rsidRPr="00C226D1">
        <w:rPr>
          <w:rFonts w:cstheme="minorHAnsi"/>
        </w:rPr>
        <w:t>16</w:t>
      </w:r>
      <w:r w:rsidRPr="00C226D1">
        <w:rPr>
          <w:rFonts w:cstheme="minorHAnsi"/>
        </w:rPr>
        <w:fldChar w:fldCharType="end"/>
      </w:r>
      <w:r>
        <w:t xml:space="preserve">.</w:t>
      </w:r>
      <w:r>
        <w:t xml:space="preserve">  </w:t>
      </w:r>
      <w:r>
        <w:t xml:space="preserve">În plus, Curtea arată că, recent, în cadrul recursului în interesul legii, ÎCCJ a confirmat neechivoc că o plângere contravențională nemotivată nu poate fi declarată inadmisibilă decât în cazul în care petentul a omis să dea curs dispozițiilor de regularizare date de instanță în termenul de 10 zile prevăzut în procedura de regularizare (a se vedea </w:t>
      </w:r>
      <w:r>
        <w:rPr>
          <w:i/>
          <w:iCs/>
        </w:rPr>
        <w:t xml:space="preserve">supra</w:t>
      </w:r>
      <w:r>
        <w:t xml:space="preserve">, pct. </w:t>
      </w:r>
      <w:r w:rsidRPr="00C226D1">
        <w:rPr>
          <w:rFonts w:cstheme="minorHAnsi"/>
        </w:rPr>
        <w:fldChar w:fldCharType="begin" w:dirty="true"/>
      </w:r>
      <w:r w:rsidRPr="00C226D1">
        <w:rPr>
          <w:rFonts w:cstheme="minorHAnsi"/>
        </w:rPr>
        <w:instrText xml:space="preserve"> REF HCCJ_RIL \h  \* MERGEFORMAT </w:instrText>
      </w:r>
      <w:r w:rsidRPr="00C226D1">
        <w:rPr>
          <w:rFonts w:cstheme="minorHAnsi"/>
        </w:rPr>
      </w:r>
      <w:r w:rsidRPr="00C226D1">
        <w:rPr>
          <w:rFonts w:cstheme="minorHAnsi"/>
        </w:rPr>
        <w:fldChar w:fldCharType="separate"/>
      </w:r>
      <w:r w:rsidRPr="00C226D1">
        <w:rPr>
          <w:rFonts w:cstheme="minorHAnsi"/>
        </w:rPr>
        <w:t>9</w:t>
      </w:r>
      <w:r w:rsidRPr="00C226D1">
        <w:rPr>
          <w:rFonts w:cstheme="minorHAnsi"/>
        </w:rPr>
        <w:fldChar w:fldCharType="end"/>
      </w:r>
      <w:r>
        <w:t xml:space="preserve">).</w:t>
      </w:r>
    </w:p>
    <w:p w:rsidR="00C226D1" w:rsidRPr="00C226D1" w:rsidRDefault="00C226D1" w:rsidP="00C226D1">
      <w:pPr>
        <w:pStyle w:val="JuPara"/>
        <w:rPr>
          <w:rFonts w:cstheme="minorHAnsi"/>
        </w:rPr>
      </w:pPr>
      <w:r w:rsidRPr="00C226D1">
        <w:rPr>
          <w:rFonts w:cstheme="minorHAnsi"/>
        </w:rPr>
        <w:fldChar w:fldCharType="begin" w:dirty="true"/>
      </w:r>
      <w:r w:rsidRPr="00C226D1">
        <w:rPr>
          <w:rFonts w:cstheme="minorHAnsi"/>
        </w:rPr>
        <w:instrText xml:space="preserve"> SEQ level0 \*arabic \* MERGEFORMAT </w:instrText>
      </w:r>
      <w:r w:rsidRPr="00C226D1">
        <w:rPr>
          <w:rFonts w:cstheme="minorHAnsi"/>
        </w:rPr>
        <w:fldChar w:fldCharType="separate"/>
      </w:r>
      <w:r w:rsidRPr="00C226D1">
        <w:rPr>
          <w:rFonts w:cstheme="minorHAnsi"/>
        </w:rPr>
        <w:t>17</w:t>
      </w:r>
      <w:r w:rsidRPr="00C226D1">
        <w:rPr>
          <w:rFonts w:cstheme="minorHAnsi"/>
        </w:rPr>
        <w:fldChar w:fldCharType="end"/>
      </w:r>
      <w:r>
        <w:t xml:space="preserve">.</w:t>
      </w:r>
      <w:r>
        <w:t xml:space="preserve">  </w:t>
      </w:r>
      <w:r>
        <w:t xml:space="preserve">În aceste condiții, Curtea consideră că, în speță, instanțele naționale nu au efectuat o interpretare și o aplicare acceptabilă a dispozițiilor procedurale.</w:t>
      </w:r>
      <w:r>
        <w:t xml:space="preserve"> </w:t>
      </w:r>
      <w:r>
        <w:t xml:space="preserve">Dimpotrivă, au dat dovadă de un formalism excesiv în interpretarea acestor dispoziții.</w:t>
      </w:r>
      <w:r>
        <w:t xml:space="preserve"> </w:t>
      </w:r>
      <w:r>
        <w:t xml:space="preserve">Prin urmare, inadmisibilitatea cererii societății reclamante pentru motiv de tardivitate, care a împiedicat examinarea sa pe fond, a constituit o restrângere imprevizibilă și disproporționată a accesului societății reclamante la o instanță.</w:t>
      </w:r>
    </w:p>
    <w:bookmarkStart w:id="9" w:name="A6"/>
    <w:p w:rsidR="00C226D1" w:rsidRPr="00C226D1" w:rsidRDefault="00C226D1" w:rsidP="00C226D1">
      <w:pPr>
        <w:pStyle w:val="JuPara"/>
      </w:pPr>
      <w:r w:rsidRPr="00C226D1">
        <w:fldChar w:fldCharType="begin" w:dirty="true"/>
      </w:r>
      <w:r w:rsidRPr="00C226D1">
        <w:instrText xml:space="preserve"> SEQ level0 \*arabic \* MERGEFORMAT </w:instrText>
      </w:r>
      <w:r w:rsidRPr="00C226D1">
        <w:fldChar w:fldCharType="separate"/>
      </w:r>
      <w:r w:rsidRPr="00C226D1">
        <w:t>18</w:t>
      </w:r>
      <w:r w:rsidRPr="00C226D1">
        <w:fldChar w:fldCharType="end"/>
      </w:r>
      <w:bookmarkEnd w:id="9"/>
      <w:r>
        <w:t xml:space="preserve">.</w:t>
      </w:r>
      <w:r>
        <w:t xml:space="preserve">  </w:t>
      </w:r>
      <w:r>
        <w:t xml:space="preserve">În consecință, a fost încălcat art. 6 § 1 din Convenție.</w:t>
      </w:r>
    </w:p>
    <w:p w:rsidR="00C226D1" w:rsidRPr="00C226D1" w:rsidRDefault="00C226D1" w:rsidP="00C226D1">
      <w:pPr>
        <w:pStyle w:val="JuHIRoman"/>
      </w:pPr>
      <w:r>
        <w:t xml:space="preserve">ALTE CAPETE DE CERERE</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19</w:t>
      </w:r>
      <w:r>
        <w:fldChar w:fldCharType="end"/>
      </w:r>
      <w:r>
        <w:t xml:space="preserve">.</w:t>
      </w:r>
      <w:r>
        <w:t xml:space="preserve">  </w:t>
      </w:r>
      <w:r>
        <w:t xml:space="preserve">Curtea consideră că </w:t>
      </w:r>
      <w:r>
        <w:t xml:space="preserve">acest capăt de cerere</w:t>
      </w:r>
      <w:r>
        <w:t xml:space="preserve"> are legătură directă cu cel examinat în raport cu art. 6 § 1 din Convenție.</w:t>
      </w:r>
      <w:r>
        <w:t xml:space="preserve"> </w:t>
      </w:r>
      <w:r>
        <w:t xml:space="preserve">Ținând cont de concluziile sale de la pct. </w:t>
      </w:r>
      <w:r w:rsidR="00C226D1" w:rsidRPr="00C226D1">
        <w:fldChar w:fldCharType="begin" w:dirty="true"/>
      </w:r>
      <w:r w:rsidR="00C226D1" w:rsidRPr="00C226D1">
        <w:instrText xml:space="preserve"> REF A6 \h </w:instrText>
      </w:r>
      <w:r w:rsidR="00C226D1" w:rsidRPr="00C226D1">
        <w:fldChar w:fldCharType="separate"/>
      </w:r>
      <w:r w:rsidR="00C226D1" w:rsidRPr="00C226D1">
        <w:t>18</w:t>
      </w:r>
      <w:r w:rsidR="00C226D1" w:rsidRPr="00C226D1">
        <w:fldChar w:fldCharType="end"/>
      </w:r>
      <w:r>
        <w:t xml:space="preserve"> </w:t>
      </w:r>
      <w:r>
        <w:rPr>
          <w:i/>
          <w:iCs/>
        </w:rPr>
        <w:t xml:space="preserve">supra</w:t>
      </w:r>
      <w:r>
        <w:t xml:space="preserve">, Curtea consideră că nu este necesar să analizeze și admisibilitatea și fondul acestui capăt de cerere </w:t>
      </w:r>
      <w:bookmarkStart w:id="10" w:name="_cl538APPRÉCIATIONDELACOUR"/>
      <w:r>
        <w:t xml:space="preserve">(</w:t>
      </w:r>
      <w:r>
        <w:rPr>
          <w:i/>
        </w:rPr>
        <w:t xml:space="preserve">Albina împotriva României</w:t>
      </w:r>
      <w:bookmarkEnd w:id="10"/>
      <w:r>
        <w:t xml:space="preserve">, nr. 57808/00, pct. 43, 28 aprilie 2005</w:t>
      </w:r>
      <w:r>
        <w:t xml:space="preserve">).</w:t>
      </w:r>
    </w:p>
    <w:p w:rsidR="00C226D1" w:rsidRPr="00C226D1" w:rsidRDefault="00C226D1" w:rsidP="00C226D1">
      <w:pPr>
        <w:pStyle w:val="JuHHead"/>
      </w:pPr>
      <w:r>
        <w:t xml:space="preserve">CU PRIVIRE LA APLICAREA ART. 41 DIN CONVENȚIE</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20</w:t>
      </w:r>
      <w:r>
        <w:fldChar w:fldCharType="end"/>
      </w:r>
      <w:r>
        <w:t xml:space="preserve">.</w:t>
      </w:r>
      <w:r>
        <w:t xml:space="preserve">  </w:t>
      </w:r>
      <w:r>
        <w:t xml:space="preserve">Societatea reclamantă nu a depus cerere de reparație echitabilă.</w:t>
      </w:r>
      <w:r>
        <w:t xml:space="preserve"> </w:t>
      </w:r>
      <w:r>
        <w:t xml:space="preserve">A subliniat însă că, în cazul în care Curtea constată o încălcare, dreptul național prevede posibilitatea redeschiderii procedurii interne.</w:t>
      </w:r>
    </w:p>
    <w:p w:rsidR="00C226D1" w:rsidRPr="00C226D1" w:rsidRDefault="000E7516" w:rsidP="00C226D1">
      <w:pPr>
        <w:pStyle w:val="JuPara"/>
      </w:pPr>
      <w:r>
        <w:fldChar w:fldCharType="begin" w:dirty="true"/>
      </w:r>
      <w:r>
        <w:instrText xml:space="preserve"> SEQ level0 \*arabic \* MERGEFORMAT </w:instrText>
      </w:r>
      <w:r>
        <w:fldChar w:fldCharType="separate"/>
      </w:r>
      <w:r w:rsidR="00C226D1" w:rsidRPr="00C226D1">
        <w:t>21</w:t>
      </w:r>
      <w:r>
        <w:fldChar w:fldCharType="end"/>
      </w:r>
      <w:r>
        <w:t xml:space="preserve">.</w:t>
      </w:r>
      <w:r>
        <w:t xml:space="preserve">  </w:t>
      </w:r>
      <w:r>
        <w:t xml:space="preserve">Având în vedere lipsa cererii de reparație echitabilă, Curtea consideră că nu este necesar să acorde societății reclamante o sumă cu acest titlu.</w:t>
      </w:r>
      <w:r>
        <w:t xml:space="preserve"> </w:t>
      </w:r>
      <w:r>
        <w:t xml:space="preserve">În plus, reamintește că a constatat încălcarea art. 6 § 1 din Convenție ca urmare a nerespectării dreptului de acces la o instanță.</w:t>
      </w:r>
      <w:r>
        <w:t xml:space="preserve"> </w:t>
      </w:r>
      <w:r>
        <w:t xml:space="preserve">Curtea observă în continuare că, atunci când constată încălcarea drepturilor</w:t>
      </w:r>
      <w:r>
        <w:t xml:space="preserve"> unui reclamant sub acest aspect, art. 509 alin. (10) C. proc. civ. permite </w:t>
      </w:r>
      <w:r>
        <w:t xml:space="preserve">redeschiderea </w:t>
      </w:r>
      <w:r>
        <w:t xml:space="preserve">unui proces</w:t>
      </w:r>
      <w:r>
        <w:t xml:space="preserve"> în plan intern.</w:t>
      </w:r>
      <w:r>
        <w:t xml:space="preserve"> </w:t>
      </w:r>
      <w:r>
        <w:t xml:space="preserve">Având în vedere aceste circumstanțe, Curtea consideră că măsura de reparație cea mai potrivită pentru societatea reclamantă ar fi rejudecarea sau redeschiderea procesului, la cererea acesteia, în timp util și cu respectarea cerințelor de la art. 6 § 1 din Convenție (</w:t>
      </w:r>
      <w:bookmarkStart w:id="11" w:name="_cl15411APPLICATIONDELARTICLE41DELACONVE"/>
      <w:r>
        <w:rPr>
          <w:i/>
        </w:rPr>
        <w:t xml:space="preserve">S.C.</w:t>
      </w:r>
      <w:r>
        <w:rPr>
          <w:i/>
        </w:rPr>
        <w:t xml:space="preserve"> </w:t>
      </w:r>
      <w:r>
        <w:rPr>
          <w:i/>
        </w:rPr>
        <w:t xml:space="preserve">IMH Suceava S.R.L. împotriva României</w:t>
      </w:r>
      <w:bookmarkEnd w:id="11"/>
      <w:r>
        <w:t xml:space="preserve">, nr. 24935/04</w:t>
      </w:r>
      <w:r>
        <w:t xml:space="preserve">, pct. 56, 29 octombrie 2013).</w:t>
      </w:r>
    </w:p>
    <w:p w:rsidR="00C226D1" w:rsidRPr="00C226D1" w:rsidRDefault="00C226D1" w:rsidP="00C226D1">
      <w:pPr>
        <w:pStyle w:val="JuHHead"/>
      </w:pPr>
      <w:r>
        <w:t xml:space="preserve">PENTRU ACESTE MOTIVE, CURTEA, ÎN UNANIMITATE,</w:t>
      </w:r>
    </w:p>
    <w:p w:rsidR="00C226D1" w:rsidRPr="00C226D1" w:rsidRDefault="00C226D1" w:rsidP="00C226D1">
      <w:pPr>
        <w:pStyle w:val="JuList"/>
        <w:keepNext/>
        <w:keepLines/>
      </w:pPr>
      <w:r>
        <w:rPr>
          <w:i/>
          <w:iCs/>
        </w:rPr>
        <w:t xml:space="preserve">Declară</w:t>
      </w:r>
      <w:r>
        <w:t xml:space="preserve"> admisibil capătul de cerere întemeiat pe art. 6 § 1 din Convenție;</w:t>
      </w:r>
    </w:p>
    <w:p w:rsidR="00C226D1" w:rsidRPr="00C226D1" w:rsidRDefault="00C226D1" w:rsidP="00C226D1">
      <w:pPr>
        <w:pStyle w:val="JuList"/>
        <w:keepNext/>
        <w:keepLines/>
      </w:pPr>
      <w:r>
        <w:rPr>
          <w:i/>
          <w:iCs/>
        </w:rPr>
        <w:t xml:space="preserve">Hotărăște</w:t>
      </w:r>
      <w:r>
        <w:t xml:space="preserve"> că a fost încălcat art. 6 § 1 din Convenție;</w:t>
      </w:r>
    </w:p>
    <w:p w:rsidR="00C226D1" w:rsidRPr="00C226D1" w:rsidRDefault="00C226D1" w:rsidP="00C226D1">
      <w:pPr>
        <w:pStyle w:val="JuList"/>
        <w:keepNext/>
        <w:keepLines/>
      </w:pPr>
      <w:r>
        <w:rPr>
          <w:i/>
        </w:rPr>
        <w:t xml:space="preserve">Hotărăște</w:t>
      </w:r>
      <w:r>
        <w:t xml:space="preserve"> că nu este necesar să examineze admisibilitatea și fondul capătului de cerere formulat în raport cu art. 1 din Protocolul nr. 1 la Convenție.</w:t>
      </w:r>
    </w:p>
    <w:p w:rsidR="00C226D1" w:rsidRPr="00C226D1" w:rsidRDefault="00C226D1" w:rsidP="00C226D1">
      <w:pPr>
        <w:pStyle w:val="JuParaLast"/>
      </w:pPr>
      <w:r>
        <w:t xml:space="preserve">Redactată în limba franceză, apoi comunicată în scris, la 16 iunie 2026, în temeiul art. 77 § 2 și 3 din Regulament.</w:t>
      </w:r>
    </w:p>
    <w:p w:rsidR="00C226D1" w:rsidRPr="00C226D1" w:rsidRDefault="00C226D1" w:rsidP="00C226D1">
      <w:pPr>
        <w:pStyle w:val="JuSigned"/>
        <w:keepNext/>
        <w:keepLines/>
        <w:rPr>
          <w:color w:val="F8F8F8" w:themeColor="background2"/>
        </w:rPr>
      </w:pPr>
      <w:r>
        <w:rPr>
          <w:color w:val="F8F8F8" w:themeColor="background2"/>
        </w:rPr>
        <w:tab/>
      </w:r>
    </w:p>
    <w:p w:rsidR="00876F03" w:rsidRPr="00C226D1" w:rsidRDefault="00C226D1" w:rsidP="00C226D1">
      <w:pPr>
        <w:pStyle w:val="JuSigned"/>
        <w:rPr>
          <w:noProof/>
        </w:rPr>
      </w:pPr>
      <w:r>
        <w:tab/>
      </w:r>
      <w:r>
        <w:t xml:space="preserve">Simeon Petrovski</w:t>
      </w:r>
      <w:r>
        <w:tab/>
      </w:r>
      <w:r>
        <w:t xml:space="preserve">Ana Maria Guerra Martins</w:t>
      </w:r>
      <w:r>
        <w:br/>
      </w:r>
      <w:r>
        <w:tab/>
      </w:r>
      <w:r>
        <w:t xml:space="preserve">Grefier adjunct</w:t>
      </w:r>
      <w:r>
        <w:tab/>
      </w:r>
      <w:r>
        <w:t xml:space="preserve">Președintă</w:t>
      </w:r>
    </w:p>
    <w:sectPr w:rsidR="00876F03" w:rsidRPr="00C226D1" w:rsidSect="003E3D2B">
      <w:headerReference w:type="even" r:id="rId14"/>
      <w:headerReference w:type="default" r:id="rId15"/>
      <w:footerReference w:type="default" r:id="rId16"/>
      <w:footnotePr>
        <w:numRestart w:val="eachSect"/>
      </w:footnotePr>
      <w:pgSz w:w="11906" w:h="16838" w:code="9"/>
      <w:pgMar w:top="2274" w:right="2274" w:bottom="2274" w:left="2274" w:header="1417"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516" w:rsidRDefault="000E7516">
      <w:r>
        <w:separator/>
      </w:r>
    </w:p>
  </w:endnote>
  <w:endnote w:type="continuationSeparator" w:id="0">
    <w:p w:rsidR="000E7516" w:rsidRDefault="000E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altName w:val="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6D1" w:rsidRPr="00C226D1" w:rsidRDefault="00C226D1" w:rsidP="00C226D1">
    <w:pPr>
      <w:pStyle w:val="JuHeader"/>
    </w:pPr>
    <w:r w:rsidRPr="00C226D1">
      <w:fldChar w:fldCharType="begin"/>
    </w:r>
    <w:r w:rsidRPr="00C226D1">
      <w:instrText xml:space="preserve"> PAGE  \* MERGEFORMAT </w:instrText>
    </w:r>
    <w:r w:rsidRPr="00C226D1">
      <w:fldChar w:fldCharType="separate"/>
    </w:r>
    <w:r w:rsidRPr="00C226D1">
      <w:t>3</w:t>
    </w:r>
    <w:r w:rsidRPr="00C226D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6D1" w:rsidRPr="00C226D1" w:rsidRDefault="00C226D1" w:rsidP="00C226D1">
    <w:pPr>
      <w:jc w:val="center"/>
    </w:pPr>
    <w:r>
      <w:drawing>
        <wp:inline distT="0" distB="0" distL="0" distR="0" wp14:anchorId="04957447" wp14:editId="749A6C21">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C226D1" w:rsidRPr="00C226D1" w:rsidRDefault="00C226D1" w:rsidP="00C226D1">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6D1" w:rsidRPr="00C226D1" w:rsidRDefault="00C226D1" w:rsidP="00C226D1">
    <w:pPr>
      <w:jc w:val="center"/>
    </w:pPr>
    <w:r>
      <w:drawing>
        <wp:inline distT="0" distB="0" distL="0" distR="0" wp14:anchorId="092742FE" wp14:editId="4241C47E">
          <wp:extent cx="771525" cy="619125"/>
          <wp:effectExtent l="0" t="0" r="9525" b="9525"/>
          <wp:docPr id="1193849456" name="Picture 119384945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4945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C226D1" w:rsidRPr="00C226D1" w:rsidRDefault="00C226D1" w:rsidP="00C226D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C226D1" w:rsidRDefault="00342897" w:rsidP="00C226D1">
    <w:pPr>
      <w:pStyle w:val="JuHeader"/>
    </w:pPr>
    <w:r w:rsidRPr="00C226D1">
      <w:fldChar w:fldCharType="begin"/>
    </w:r>
    <w:r w:rsidRPr="00C226D1">
      <w:instrText xml:space="preserve"> PAGE  \* MERGEFORMAT </w:instrText>
    </w:r>
    <w:r w:rsidRPr="00C226D1">
      <w:fldChar w:fldCharType="separate"/>
    </w:r>
    <w:r w:rsidR="00352D1C">
      <w:t>6</w:t>
    </w:r>
    <w:r w:rsidRPr="00C226D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516" w:rsidRDefault="000E7516">
      <w:r>
        <w:separator/>
      </w:r>
    </w:p>
  </w:footnote>
  <w:footnote w:type="continuationSeparator" w:id="0">
    <w:p w:rsidR="000E7516" w:rsidRDefault="000E7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6D1" w:rsidRDefault="00C22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6D1" w:rsidRPr="00C226D1" w:rsidRDefault="00C226D1" w:rsidP="00C226D1">
    <w:pPr>
      <w:jc w:val="center"/>
    </w:pPr>
    <w:r>
      <w:drawing>
        <wp:inline distT="0" distB="0" distL="0" distR="0" wp14:anchorId="3E946E81" wp14:editId="5F60186A">
          <wp:extent cx="2962275" cy="1219200"/>
          <wp:effectExtent l="0" t="0" r="9525" b="0"/>
          <wp:docPr id="824704083" name="Picture 82470408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04083"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C226D1" w:rsidRPr="00C226D1" w:rsidRDefault="00C226D1" w:rsidP="00C226D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6D1" w:rsidRPr="00C226D1" w:rsidRDefault="00C226D1" w:rsidP="00C226D1">
    <w:pPr>
      <w:jc w:val="right"/>
      <w:rPr>
        <w:i/>
        <w:noProof/>
      </w:rPr>
    </w:pPr>
    <w:r>
      <w:rPr>
        <w:i/>
      </w:rPr>
      <w:t xml:space="preserve">Tradus și revizuit de IER (https://ier.gov.ro/)</w:t>
    </w:r>
  </w:p>
  <w:p w:rsidR="00C226D1" w:rsidRPr="00C226D1" w:rsidRDefault="00C226D1" w:rsidP="00C226D1">
    <w:pPr>
      <w:jc w:val="center"/>
      <w:rPr>
        <w:noProof/>
        <w:lang w:val="ro-RO" w:eastAsia="ro-RO"/>
      </w:rPr>
    </w:pPr>
  </w:p>
  <w:p w:rsidR="00C226D1" w:rsidRPr="00C226D1" w:rsidRDefault="00C226D1" w:rsidP="00C226D1">
    <w:pPr>
      <w:jc w:val="center"/>
      <w:rPr>
        <w:noProof/>
        <w:lang w:val="ro-RO" w:eastAsia="ro-RO"/>
      </w:rPr>
    </w:pPr>
  </w:p>
  <w:p w:rsidR="00C226D1" w:rsidRPr="00C226D1" w:rsidRDefault="00C226D1" w:rsidP="00C226D1">
    <w:pPr>
      <w:jc w:val="center"/>
    </w:pPr>
    <w:r>
      <w:drawing>
        <wp:inline distT="0" distB="0" distL="0" distR="0" wp14:anchorId="633331DC" wp14:editId="3E0CB923">
          <wp:extent cx="2962275" cy="1219200"/>
          <wp:effectExtent l="0" t="0" r="9525" b="0"/>
          <wp:docPr id="31101111" name="Picture 311011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11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C226D1" w:rsidRPr="00C226D1" w:rsidRDefault="00C226D1" w:rsidP="00C226D1">
    <w:pPr>
      <w:jc w:val="cent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C226D1" w:rsidRDefault="00342897" w:rsidP="00C226D1">
    <w:pPr>
      <w:pStyle w:val="JuHeader"/>
    </w:pPr>
    <w:r>
      <w:t xml:space="preserve">HOTĂRÂREA ALEXFORCAM S.R.L. ÎMPOTRIVA ROMÂNIEI</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46A" w:rsidRPr="00C226D1" w:rsidRDefault="00342897" w:rsidP="00C226D1">
    <w:pPr>
      <w:pStyle w:val="JuHeader"/>
    </w:pPr>
    <w:r>
      <w:t xml:space="preserve">HOTĂRÂREA ALEXFORCAM S.R.L. ÎMPOTRIVA ROMÂNIEI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A4FC0990">
      <w:start w:val="1"/>
      <w:numFmt w:val="bullet"/>
      <w:pStyle w:val="ListBullet"/>
      <w:lvlText w:val=""/>
      <w:lvlJc w:val="left"/>
      <w:pPr>
        <w:tabs>
          <w:tab w:val="num" w:pos="851"/>
        </w:tabs>
        <w:ind w:left="568" w:firstLine="0"/>
      </w:pPr>
      <w:rPr>
        <w:rFonts w:ascii="Wingdings" w:hAnsi="Wingdings" w:hint="default"/>
        <w:color w:val="808080"/>
        <w:sz w:val="16"/>
      </w:rPr>
    </w:lvl>
    <w:lvl w:ilvl="1" w:tplc="1D4895DA" w:tentative="1">
      <w:start w:val="1"/>
      <w:numFmt w:val="bullet"/>
      <w:lvlText w:val="o"/>
      <w:lvlJc w:val="left"/>
      <w:pPr>
        <w:tabs>
          <w:tab w:val="num" w:pos="1724"/>
        </w:tabs>
        <w:ind w:left="1724" w:hanging="360"/>
      </w:pPr>
      <w:rPr>
        <w:rFonts w:ascii="Courier New" w:hAnsi="Courier New" w:cs="Courier New" w:hint="default"/>
      </w:rPr>
    </w:lvl>
    <w:lvl w:ilvl="2" w:tplc="3710D02A" w:tentative="1">
      <w:start w:val="1"/>
      <w:numFmt w:val="bullet"/>
      <w:lvlText w:val=""/>
      <w:lvlJc w:val="left"/>
      <w:pPr>
        <w:tabs>
          <w:tab w:val="num" w:pos="2444"/>
        </w:tabs>
        <w:ind w:left="2444" w:hanging="360"/>
      </w:pPr>
      <w:rPr>
        <w:rFonts w:ascii="Wingdings" w:hAnsi="Wingdings" w:hint="default"/>
      </w:rPr>
    </w:lvl>
    <w:lvl w:ilvl="3" w:tplc="93F8108A" w:tentative="1">
      <w:start w:val="1"/>
      <w:numFmt w:val="bullet"/>
      <w:lvlText w:val=""/>
      <w:lvlJc w:val="left"/>
      <w:pPr>
        <w:tabs>
          <w:tab w:val="num" w:pos="3164"/>
        </w:tabs>
        <w:ind w:left="3164" w:hanging="360"/>
      </w:pPr>
      <w:rPr>
        <w:rFonts w:ascii="Symbol" w:hAnsi="Symbol" w:hint="default"/>
      </w:rPr>
    </w:lvl>
    <w:lvl w:ilvl="4" w:tplc="C930E900" w:tentative="1">
      <w:start w:val="1"/>
      <w:numFmt w:val="bullet"/>
      <w:lvlText w:val="o"/>
      <w:lvlJc w:val="left"/>
      <w:pPr>
        <w:tabs>
          <w:tab w:val="num" w:pos="3884"/>
        </w:tabs>
        <w:ind w:left="3884" w:hanging="360"/>
      </w:pPr>
      <w:rPr>
        <w:rFonts w:ascii="Courier New" w:hAnsi="Courier New" w:cs="Courier New" w:hint="default"/>
      </w:rPr>
    </w:lvl>
    <w:lvl w:ilvl="5" w:tplc="237CD104" w:tentative="1">
      <w:start w:val="1"/>
      <w:numFmt w:val="bullet"/>
      <w:lvlText w:val=""/>
      <w:lvlJc w:val="left"/>
      <w:pPr>
        <w:tabs>
          <w:tab w:val="num" w:pos="4604"/>
        </w:tabs>
        <w:ind w:left="4604" w:hanging="360"/>
      </w:pPr>
      <w:rPr>
        <w:rFonts w:ascii="Wingdings" w:hAnsi="Wingdings" w:hint="default"/>
      </w:rPr>
    </w:lvl>
    <w:lvl w:ilvl="6" w:tplc="2F0AF7E2" w:tentative="1">
      <w:start w:val="1"/>
      <w:numFmt w:val="bullet"/>
      <w:lvlText w:val=""/>
      <w:lvlJc w:val="left"/>
      <w:pPr>
        <w:tabs>
          <w:tab w:val="num" w:pos="5324"/>
        </w:tabs>
        <w:ind w:left="5324" w:hanging="360"/>
      </w:pPr>
      <w:rPr>
        <w:rFonts w:ascii="Symbol" w:hAnsi="Symbol" w:hint="default"/>
      </w:rPr>
    </w:lvl>
    <w:lvl w:ilvl="7" w:tplc="642A2C0E" w:tentative="1">
      <w:start w:val="1"/>
      <w:numFmt w:val="bullet"/>
      <w:lvlText w:val="o"/>
      <w:lvlJc w:val="left"/>
      <w:pPr>
        <w:tabs>
          <w:tab w:val="num" w:pos="6044"/>
        </w:tabs>
        <w:ind w:left="6044" w:hanging="360"/>
      </w:pPr>
      <w:rPr>
        <w:rFonts w:ascii="Courier New" w:hAnsi="Courier New" w:cs="Courier New" w:hint="default"/>
      </w:rPr>
    </w:lvl>
    <w:lvl w:ilvl="8" w:tplc="96BC56CA"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4"/>
  </w:num>
  <w:num w:numId="5">
    <w:abstractNumId w:val="12"/>
  </w:num>
  <w:num w:numId="6">
    <w:abstractNumId w:val="15"/>
  </w:num>
  <w:num w:numId="7">
    <w:abstractNumId w:val="16"/>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9"/>
  </w:num>
  <w:num w:numId="18">
    <w:abstractNumId w:val="14"/>
  </w:num>
  <w:num w:numId="19">
    <w:abstractNumId w:val="12"/>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dirty" w:grammar="dirty"/>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6C5EA7"/>
    <w:rsid w:val="000041F8"/>
    <w:rsid w:val="000042A8"/>
    <w:rsid w:val="00004308"/>
    <w:rsid w:val="00005BF0"/>
    <w:rsid w:val="00007154"/>
    <w:rsid w:val="000103AE"/>
    <w:rsid w:val="00011D69"/>
    <w:rsid w:val="00012AD3"/>
    <w:rsid w:val="00015C2D"/>
    <w:rsid w:val="00015F00"/>
    <w:rsid w:val="000229A0"/>
    <w:rsid w:val="00022C1D"/>
    <w:rsid w:val="00034987"/>
    <w:rsid w:val="00051015"/>
    <w:rsid w:val="000602DF"/>
    <w:rsid w:val="00061B05"/>
    <w:rsid w:val="000632D5"/>
    <w:rsid w:val="000644EE"/>
    <w:rsid w:val="000675A9"/>
    <w:rsid w:val="00080ECE"/>
    <w:rsid w:val="0008621D"/>
    <w:rsid w:val="00086E4E"/>
    <w:rsid w:val="00086E70"/>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516"/>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50BFA"/>
    <w:rsid w:val="001625AD"/>
    <w:rsid w:val="00162967"/>
    <w:rsid w:val="00162A12"/>
    <w:rsid w:val="00166530"/>
    <w:rsid w:val="00181508"/>
    <w:rsid w:val="001832BD"/>
    <w:rsid w:val="001943B5"/>
    <w:rsid w:val="00194C5B"/>
    <w:rsid w:val="00195134"/>
    <w:rsid w:val="001A145B"/>
    <w:rsid w:val="001A2684"/>
    <w:rsid w:val="001A674C"/>
    <w:rsid w:val="001B3B24"/>
    <w:rsid w:val="001B7487"/>
    <w:rsid w:val="001C0F98"/>
    <w:rsid w:val="001C2A42"/>
    <w:rsid w:val="001C2B5C"/>
    <w:rsid w:val="001C6A7B"/>
    <w:rsid w:val="001D63ED"/>
    <w:rsid w:val="001D7348"/>
    <w:rsid w:val="001E035B"/>
    <w:rsid w:val="001E0961"/>
    <w:rsid w:val="001E3EAE"/>
    <w:rsid w:val="001E6F32"/>
    <w:rsid w:val="001F2145"/>
    <w:rsid w:val="001F39F4"/>
    <w:rsid w:val="001F46A3"/>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2240"/>
    <w:rsid w:val="002948AD"/>
    <w:rsid w:val="0029739C"/>
    <w:rsid w:val="002A01CC"/>
    <w:rsid w:val="002A61B1"/>
    <w:rsid w:val="002A663C"/>
    <w:rsid w:val="002B444B"/>
    <w:rsid w:val="002B5887"/>
    <w:rsid w:val="002B6612"/>
    <w:rsid w:val="002B7E83"/>
    <w:rsid w:val="002C0E27"/>
    <w:rsid w:val="002C3040"/>
    <w:rsid w:val="002C3245"/>
    <w:rsid w:val="002D022D"/>
    <w:rsid w:val="002D24BB"/>
    <w:rsid w:val="002E18C1"/>
    <w:rsid w:val="002F29AA"/>
    <w:rsid w:val="002F2AF7"/>
    <w:rsid w:val="002F7E1C"/>
    <w:rsid w:val="00301A75"/>
    <w:rsid w:val="00302F70"/>
    <w:rsid w:val="0030336F"/>
    <w:rsid w:val="0030375E"/>
    <w:rsid w:val="0030660C"/>
    <w:rsid w:val="00312A30"/>
    <w:rsid w:val="00316323"/>
    <w:rsid w:val="00320F72"/>
    <w:rsid w:val="003244EE"/>
    <w:rsid w:val="0032463E"/>
    <w:rsid w:val="00326224"/>
    <w:rsid w:val="00337EE4"/>
    <w:rsid w:val="00340FFD"/>
    <w:rsid w:val="00342897"/>
    <w:rsid w:val="003471AF"/>
    <w:rsid w:val="003506B1"/>
    <w:rsid w:val="00352D1C"/>
    <w:rsid w:val="00356AC7"/>
    <w:rsid w:val="003609FA"/>
    <w:rsid w:val="003611C9"/>
    <w:rsid w:val="00361D45"/>
    <w:rsid w:val="00367B4F"/>
    <w:rsid w:val="003710C8"/>
    <w:rsid w:val="003722CE"/>
    <w:rsid w:val="003750BE"/>
    <w:rsid w:val="00387B9D"/>
    <w:rsid w:val="00387DFB"/>
    <w:rsid w:val="0039364F"/>
    <w:rsid w:val="00396686"/>
    <w:rsid w:val="0039778E"/>
    <w:rsid w:val="003A37B8"/>
    <w:rsid w:val="003B4941"/>
    <w:rsid w:val="003B6A2E"/>
    <w:rsid w:val="003C5714"/>
    <w:rsid w:val="003C6B9F"/>
    <w:rsid w:val="003C6E2A"/>
    <w:rsid w:val="003D0299"/>
    <w:rsid w:val="003D24B1"/>
    <w:rsid w:val="003D32BE"/>
    <w:rsid w:val="003E3D2B"/>
    <w:rsid w:val="003E3FE3"/>
    <w:rsid w:val="003E6D80"/>
    <w:rsid w:val="003E7A9C"/>
    <w:rsid w:val="003F05FA"/>
    <w:rsid w:val="003F244A"/>
    <w:rsid w:val="003F30B8"/>
    <w:rsid w:val="003F4C45"/>
    <w:rsid w:val="003F5F7B"/>
    <w:rsid w:val="003F736B"/>
    <w:rsid w:val="003F7D64"/>
    <w:rsid w:val="00401F7D"/>
    <w:rsid w:val="00402ADA"/>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9C4"/>
    <w:rsid w:val="00483E5F"/>
    <w:rsid w:val="00484EA4"/>
    <w:rsid w:val="00485FF9"/>
    <w:rsid w:val="004907F0"/>
    <w:rsid w:val="0049140B"/>
    <w:rsid w:val="004923A5"/>
    <w:rsid w:val="00496197"/>
    <w:rsid w:val="00496BFB"/>
    <w:rsid w:val="004A15C7"/>
    <w:rsid w:val="004A2AA9"/>
    <w:rsid w:val="004B013B"/>
    <w:rsid w:val="004B112B"/>
    <w:rsid w:val="004C01E4"/>
    <w:rsid w:val="004C086C"/>
    <w:rsid w:val="004C14C4"/>
    <w:rsid w:val="004C1A3F"/>
    <w:rsid w:val="004C1F56"/>
    <w:rsid w:val="004C27BC"/>
    <w:rsid w:val="004C5352"/>
    <w:rsid w:val="004D15F3"/>
    <w:rsid w:val="004D51C3"/>
    <w:rsid w:val="004D5311"/>
    <w:rsid w:val="004D5DCC"/>
    <w:rsid w:val="004E22F1"/>
    <w:rsid w:val="004F10AF"/>
    <w:rsid w:val="004F11A4"/>
    <w:rsid w:val="004F2389"/>
    <w:rsid w:val="004F304D"/>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1DF2"/>
    <w:rsid w:val="005442EE"/>
    <w:rsid w:val="00547353"/>
    <w:rsid w:val="005474E7"/>
    <w:rsid w:val="005512A3"/>
    <w:rsid w:val="005578CE"/>
    <w:rsid w:val="00562781"/>
    <w:rsid w:val="005631B4"/>
    <w:rsid w:val="00566E2B"/>
    <w:rsid w:val="0057271C"/>
    <w:rsid w:val="00572845"/>
    <w:rsid w:val="00576986"/>
    <w:rsid w:val="00583964"/>
    <w:rsid w:val="00592772"/>
    <w:rsid w:val="00592C8D"/>
    <w:rsid w:val="005947FC"/>
    <w:rsid w:val="00594B9A"/>
    <w:rsid w:val="0059574A"/>
    <w:rsid w:val="005A1B9B"/>
    <w:rsid w:val="005A448B"/>
    <w:rsid w:val="005A6751"/>
    <w:rsid w:val="005B092E"/>
    <w:rsid w:val="005B152C"/>
    <w:rsid w:val="005B1EE0"/>
    <w:rsid w:val="005B2B24"/>
    <w:rsid w:val="005B4425"/>
    <w:rsid w:val="005B4B94"/>
    <w:rsid w:val="005C353F"/>
    <w:rsid w:val="005C3EE8"/>
    <w:rsid w:val="005C5494"/>
    <w:rsid w:val="005D34F9"/>
    <w:rsid w:val="005D4190"/>
    <w:rsid w:val="005D67A3"/>
    <w:rsid w:val="005E2988"/>
    <w:rsid w:val="005E3085"/>
    <w:rsid w:val="005F51E1"/>
    <w:rsid w:val="00610F7A"/>
    <w:rsid w:val="00611C80"/>
    <w:rsid w:val="00613B21"/>
    <w:rsid w:val="00620692"/>
    <w:rsid w:val="006242CA"/>
    <w:rsid w:val="00624C99"/>
    <w:rsid w:val="00624D56"/>
    <w:rsid w:val="00627507"/>
    <w:rsid w:val="00633717"/>
    <w:rsid w:val="006344E1"/>
    <w:rsid w:val="006361FD"/>
    <w:rsid w:val="006545C4"/>
    <w:rsid w:val="00654B7E"/>
    <w:rsid w:val="00661971"/>
    <w:rsid w:val="00661CE8"/>
    <w:rsid w:val="006623D9"/>
    <w:rsid w:val="00662882"/>
    <w:rsid w:val="0066550C"/>
    <w:rsid w:val="006716F2"/>
    <w:rsid w:val="006779BD"/>
    <w:rsid w:val="00682BF2"/>
    <w:rsid w:val="006859CE"/>
    <w:rsid w:val="00691270"/>
    <w:rsid w:val="00694BA8"/>
    <w:rsid w:val="006A037C"/>
    <w:rsid w:val="006A2534"/>
    <w:rsid w:val="006A36F4"/>
    <w:rsid w:val="006A406F"/>
    <w:rsid w:val="006A5D3A"/>
    <w:rsid w:val="006C23D4"/>
    <w:rsid w:val="006C38A0"/>
    <w:rsid w:val="006C475E"/>
    <w:rsid w:val="006C5EA7"/>
    <w:rsid w:val="006C7BB0"/>
    <w:rsid w:val="006D3237"/>
    <w:rsid w:val="006E2E37"/>
    <w:rsid w:val="006E3CF1"/>
    <w:rsid w:val="006E7E80"/>
    <w:rsid w:val="006F158C"/>
    <w:rsid w:val="006F48CA"/>
    <w:rsid w:val="006F64DD"/>
    <w:rsid w:val="00715127"/>
    <w:rsid w:val="00715E8E"/>
    <w:rsid w:val="007172B0"/>
    <w:rsid w:val="00723580"/>
    <w:rsid w:val="00723612"/>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300D"/>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0BC8"/>
    <w:rsid w:val="00891107"/>
    <w:rsid w:val="00893576"/>
    <w:rsid w:val="00893E73"/>
    <w:rsid w:val="00893F30"/>
    <w:rsid w:val="00895F5B"/>
    <w:rsid w:val="008A046A"/>
    <w:rsid w:val="008B02DC"/>
    <w:rsid w:val="008B2698"/>
    <w:rsid w:val="008B3D40"/>
    <w:rsid w:val="008B57CE"/>
    <w:rsid w:val="008C26DE"/>
    <w:rsid w:val="008D093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1E57"/>
    <w:rsid w:val="009630C7"/>
    <w:rsid w:val="00972B55"/>
    <w:rsid w:val="009743B7"/>
    <w:rsid w:val="00975039"/>
    <w:rsid w:val="00977227"/>
    <w:rsid w:val="0098228B"/>
    <w:rsid w:val="009828DA"/>
    <w:rsid w:val="009840A2"/>
    <w:rsid w:val="00985BAB"/>
    <w:rsid w:val="009B1B5F"/>
    <w:rsid w:val="009B6673"/>
    <w:rsid w:val="009C191B"/>
    <w:rsid w:val="009C2BD6"/>
    <w:rsid w:val="009D2F52"/>
    <w:rsid w:val="009E0E2A"/>
    <w:rsid w:val="009E16D2"/>
    <w:rsid w:val="009E1F32"/>
    <w:rsid w:val="009E776C"/>
    <w:rsid w:val="00A00672"/>
    <w:rsid w:val="00A04D8B"/>
    <w:rsid w:val="00A065BF"/>
    <w:rsid w:val="00A132AD"/>
    <w:rsid w:val="00A1726E"/>
    <w:rsid w:val="00A204CF"/>
    <w:rsid w:val="00A21624"/>
    <w:rsid w:val="00A23D49"/>
    <w:rsid w:val="00A27004"/>
    <w:rsid w:val="00A30C29"/>
    <w:rsid w:val="00A34DD6"/>
    <w:rsid w:val="00A36819"/>
    <w:rsid w:val="00A36989"/>
    <w:rsid w:val="00A43628"/>
    <w:rsid w:val="00A43AA3"/>
    <w:rsid w:val="00A45145"/>
    <w:rsid w:val="00A4783F"/>
    <w:rsid w:val="00A54192"/>
    <w:rsid w:val="00A6035E"/>
    <w:rsid w:val="00A60C9B"/>
    <w:rsid w:val="00A6144C"/>
    <w:rsid w:val="00A66617"/>
    <w:rsid w:val="00A671F8"/>
    <w:rsid w:val="00A673A4"/>
    <w:rsid w:val="00A724AE"/>
    <w:rsid w:val="00A73329"/>
    <w:rsid w:val="00A75785"/>
    <w:rsid w:val="00A8094B"/>
    <w:rsid w:val="00A82359"/>
    <w:rsid w:val="00A865D2"/>
    <w:rsid w:val="00A94C20"/>
    <w:rsid w:val="00AA227F"/>
    <w:rsid w:val="00AA3BC7"/>
    <w:rsid w:val="00AA5E4E"/>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0F1A"/>
    <w:rsid w:val="00B235BB"/>
    <w:rsid w:val="00B25320"/>
    <w:rsid w:val="00B25943"/>
    <w:rsid w:val="00B25D3B"/>
    <w:rsid w:val="00B27A44"/>
    <w:rsid w:val="00B30BBF"/>
    <w:rsid w:val="00B33C03"/>
    <w:rsid w:val="00B35251"/>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3D7F"/>
    <w:rsid w:val="00BA71B1"/>
    <w:rsid w:val="00BB0637"/>
    <w:rsid w:val="00BB345F"/>
    <w:rsid w:val="00BB5CA3"/>
    <w:rsid w:val="00BB68EA"/>
    <w:rsid w:val="00BC1C27"/>
    <w:rsid w:val="00BC1F03"/>
    <w:rsid w:val="00BC30F3"/>
    <w:rsid w:val="00BC6BBF"/>
    <w:rsid w:val="00BD1572"/>
    <w:rsid w:val="00BE14E3"/>
    <w:rsid w:val="00BE3774"/>
    <w:rsid w:val="00BE41E5"/>
    <w:rsid w:val="00BF4109"/>
    <w:rsid w:val="00BF4B9C"/>
    <w:rsid w:val="00BF4CC3"/>
    <w:rsid w:val="00C00E59"/>
    <w:rsid w:val="00C054C7"/>
    <w:rsid w:val="00C057B5"/>
    <w:rsid w:val="00C10D07"/>
    <w:rsid w:val="00C149F0"/>
    <w:rsid w:val="00C22687"/>
    <w:rsid w:val="00C226D1"/>
    <w:rsid w:val="00C25983"/>
    <w:rsid w:val="00C32E4D"/>
    <w:rsid w:val="00C333A0"/>
    <w:rsid w:val="00C36408"/>
    <w:rsid w:val="00C36A81"/>
    <w:rsid w:val="00C41974"/>
    <w:rsid w:val="00C45616"/>
    <w:rsid w:val="00C53F4A"/>
    <w:rsid w:val="00C54125"/>
    <w:rsid w:val="00C55B54"/>
    <w:rsid w:val="00C6098E"/>
    <w:rsid w:val="00C6152C"/>
    <w:rsid w:val="00C61D3B"/>
    <w:rsid w:val="00C74810"/>
    <w:rsid w:val="00C81ACF"/>
    <w:rsid w:val="00C90D68"/>
    <w:rsid w:val="00C939FE"/>
    <w:rsid w:val="00CA4BDA"/>
    <w:rsid w:val="00CA7C61"/>
    <w:rsid w:val="00CB1F66"/>
    <w:rsid w:val="00CB2951"/>
    <w:rsid w:val="00CD282B"/>
    <w:rsid w:val="00CD4C35"/>
    <w:rsid w:val="00CD7369"/>
    <w:rsid w:val="00CE0B0E"/>
    <w:rsid w:val="00CE3831"/>
    <w:rsid w:val="00CE57AB"/>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10E5"/>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37E79"/>
    <w:rsid w:val="00E40404"/>
    <w:rsid w:val="00E459C6"/>
    <w:rsid w:val="00E47589"/>
    <w:rsid w:val="00E64915"/>
    <w:rsid w:val="00E661D4"/>
    <w:rsid w:val="00E70091"/>
    <w:rsid w:val="00E70B20"/>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EF6E2D"/>
    <w:rsid w:val="00F00376"/>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0688"/>
    <w:rsid w:val="00FA685B"/>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C30F3"/>
    <w:rPr>
      <w:sz w:val="24"/>
      <w:szCs w:val="24"/>
      <w:lang w:val="ro-RO"/>
    </w:rPr>
  </w:style>
  <w:style w:type="paragraph" w:styleId="Heading1">
    <w:name w:val="heading 1"/>
    <w:basedOn w:val="Normal"/>
    <w:next w:val="Normal"/>
    <w:link w:val="Heading1Char"/>
    <w:uiPriority w:val="98"/>
    <w:semiHidden/>
    <w:rsid w:val="00BC30F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C30F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C30F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C30F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C30F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C30F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C30F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C30F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C30F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BC30F3"/>
    <w:rPr>
      <w:rFonts w:ascii="Tahoma" w:hAnsi="Tahoma" w:cs="Tahoma"/>
      <w:sz w:val="16"/>
      <w:szCs w:val="16"/>
    </w:rPr>
  </w:style>
  <w:style w:type="character" w:customStyle="1" w:styleId="BalloonTextChar">
    <w:name w:val="Balloon Text Char"/>
    <w:basedOn w:val="DefaultParagraphFont"/>
    <w:link w:val="BalloonText"/>
    <w:uiPriority w:val="98"/>
    <w:semiHidden/>
    <w:rsid w:val="00BC30F3"/>
    <w:rPr>
      <w:rFonts w:ascii="Tahoma" w:hAnsi="Tahoma" w:cs="Tahoma"/>
      <w:sz w:val="16"/>
      <w:szCs w:val="16"/>
      <w:lang w:val="ro-RO"/>
    </w:rPr>
  </w:style>
  <w:style w:type="character" w:styleId="BookTitle">
    <w:name w:val="Book Title"/>
    <w:uiPriority w:val="98"/>
    <w:semiHidden/>
    <w:qFormat/>
    <w:rsid w:val="00BC30F3"/>
    <w:rPr>
      <w:i/>
      <w:iCs/>
      <w:smallCaps/>
      <w:spacing w:val="5"/>
    </w:rPr>
  </w:style>
  <w:style w:type="paragraph" w:customStyle="1" w:styleId="JuHeader">
    <w:name w:val="Ju_Header"/>
    <w:aliases w:val="_Header"/>
    <w:basedOn w:val="Header"/>
    <w:uiPriority w:val="29"/>
    <w:qFormat/>
    <w:rsid w:val="00BC30F3"/>
    <w:pPr>
      <w:tabs>
        <w:tab w:val="clear" w:pos="4536"/>
        <w:tab w:val="clear" w:pos="9072"/>
      </w:tabs>
      <w:jc w:val="center"/>
    </w:pPr>
    <w:rPr>
      <w:sz w:val="18"/>
    </w:rPr>
  </w:style>
  <w:style w:type="table" w:styleId="GridTable1Light">
    <w:name w:val="Grid Table 1 Light"/>
    <w:basedOn w:val="TableNormal"/>
    <w:uiPriority w:val="46"/>
    <w:semiHidden/>
    <w:rsid w:val="00BC30F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uiPriority w:val="98"/>
    <w:semiHidden/>
    <w:qFormat/>
    <w:rsid w:val="00BC30F3"/>
    <w:rPr>
      <w:b/>
      <w:bCs/>
    </w:rPr>
  </w:style>
  <w:style w:type="paragraph" w:styleId="NoSpacing">
    <w:name w:val="No Spacing"/>
    <w:basedOn w:val="Normal"/>
    <w:link w:val="NoSpacingChar"/>
    <w:uiPriority w:val="98"/>
    <w:semiHidden/>
    <w:qFormat/>
    <w:rsid w:val="00BC30F3"/>
  </w:style>
  <w:style w:type="character" w:customStyle="1" w:styleId="NoSpacingChar">
    <w:name w:val="No Spacing Char"/>
    <w:basedOn w:val="DefaultParagraphFont"/>
    <w:link w:val="NoSpacing"/>
    <w:uiPriority w:val="98"/>
    <w:semiHidden/>
    <w:rsid w:val="00BC30F3"/>
    <w:rPr>
      <w:sz w:val="24"/>
      <w:szCs w:val="24"/>
      <w:lang w:val="ro-RO"/>
    </w:rPr>
  </w:style>
  <w:style w:type="paragraph" w:customStyle="1" w:styleId="JuQuot">
    <w:name w:val="Ju_Quot"/>
    <w:aliases w:val="_Quote"/>
    <w:basedOn w:val="NormalJustified"/>
    <w:uiPriority w:val="20"/>
    <w:qFormat/>
    <w:rsid w:val="00BC30F3"/>
    <w:pPr>
      <w:spacing w:before="120" w:after="120"/>
      <w:ind w:left="425" w:firstLine="142"/>
    </w:pPr>
    <w:rPr>
      <w:sz w:val="20"/>
    </w:rPr>
  </w:style>
  <w:style w:type="paragraph" w:customStyle="1" w:styleId="JuList">
    <w:name w:val="Ju_List"/>
    <w:aliases w:val="_List_1"/>
    <w:basedOn w:val="NormalJustified"/>
    <w:uiPriority w:val="23"/>
    <w:qFormat/>
    <w:rsid w:val="00BC30F3"/>
    <w:pPr>
      <w:numPr>
        <w:numId w:val="19"/>
      </w:numPr>
      <w:spacing w:before="280" w:after="60"/>
    </w:pPr>
  </w:style>
  <w:style w:type="paragraph" w:customStyle="1" w:styleId="JuLista">
    <w:name w:val="Ju_List_a"/>
    <w:aliases w:val="_List_2"/>
    <w:basedOn w:val="NormalJustified"/>
    <w:uiPriority w:val="23"/>
    <w:rsid w:val="00BC30F3"/>
    <w:pPr>
      <w:numPr>
        <w:ilvl w:val="1"/>
        <w:numId w:val="19"/>
      </w:numPr>
    </w:pPr>
  </w:style>
  <w:style w:type="paragraph" w:customStyle="1" w:styleId="JuListi">
    <w:name w:val="Ju_List_i"/>
    <w:aliases w:val="_List_3"/>
    <w:basedOn w:val="NormalJustified"/>
    <w:uiPriority w:val="23"/>
    <w:rsid w:val="00BC30F3"/>
    <w:pPr>
      <w:numPr>
        <w:ilvl w:val="2"/>
        <w:numId w:val="19"/>
      </w:numPr>
    </w:pPr>
  </w:style>
  <w:style w:type="paragraph" w:customStyle="1" w:styleId="DecHTitle">
    <w:name w:val="Dec_H_Title"/>
    <w:aliases w:val="_Title_1"/>
    <w:basedOn w:val="JuPara"/>
    <w:next w:val="JuPara"/>
    <w:uiPriority w:val="38"/>
    <w:qFormat/>
    <w:rsid w:val="00BC30F3"/>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BC30F3"/>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BC30F3"/>
    <w:pPr>
      <w:keepNext/>
      <w:keepLines/>
      <w:tabs>
        <w:tab w:val="right" w:pos="7938"/>
      </w:tabs>
      <w:ind w:firstLine="0"/>
      <w:jc w:val="center"/>
    </w:pPr>
    <w:rPr>
      <w:i/>
    </w:rPr>
  </w:style>
  <w:style w:type="numbering" w:customStyle="1" w:styleId="ECHRA1StyleBulletedSquare">
    <w:name w:val="ECHR_A1_Style_Bulleted_Square"/>
    <w:basedOn w:val="NoList"/>
    <w:rsid w:val="00BC30F3"/>
    <w:pPr>
      <w:numPr>
        <w:numId w:val="4"/>
      </w:numPr>
    </w:pPr>
  </w:style>
  <w:style w:type="paragraph" w:customStyle="1" w:styleId="JuHHead">
    <w:name w:val="Ju_H_Head"/>
    <w:aliases w:val="_Head_1"/>
    <w:basedOn w:val="Heading1"/>
    <w:next w:val="JuPara"/>
    <w:uiPriority w:val="17"/>
    <w:qFormat/>
    <w:rsid w:val="00BC30F3"/>
    <w:pPr>
      <w:keepNext/>
      <w:keepLines/>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BC30F3"/>
    <w:pPr>
      <w:numPr>
        <w:numId w:val="5"/>
      </w:numPr>
    </w:pPr>
  </w:style>
  <w:style w:type="paragraph" w:customStyle="1" w:styleId="JuSigned">
    <w:name w:val="Ju_Signed"/>
    <w:aliases w:val="_Signature"/>
    <w:basedOn w:val="Normal"/>
    <w:next w:val="JuPara"/>
    <w:uiPriority w:val="31"/>
    <w:qFormat/>
    <w:rsid w:val="00BC30F3"/>
    <w:pPr>
      <w:tabs>
        <w:tab w:val="center" w:pos="1418"/>
        <w:tab w:val="center" w:pos="5954"/>
      </w:tabs>
      <w:spacing w:before="720"/>
    </w:pPr>
  </w:style>
  <w:style w:type="paragraph" w:styleId="Title">
    <w:name w:val="Title"/>
    <w:basedOn w:val="Normal"/>
    <w:next w:val="Normal"/>
    <w:link w:val="TitleChar"/>
    <w:uiPriority w:val="98"/>
    <w:semiHidden/>
    <w:qFormat/>
    <w:rsid w:val="00BC30F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C30F3"/>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BC30F3"/>
    <w:pPr>
      <w:numPr>
        <w:numId w:val="6"/>
      </w:numPr>
    </w:pPr>
  </w:style>
  <w:style w:type="table" w:customStyle="1" w:styleId="ECHRTable2019">
    <w:name w:val="ECHR_Table_2019"/>
    <w:basedOn w:val="TableNormal"/>
    <w:uiPriority w:val="99"/>
    <w:rsid w:val="00BC30F3"/>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BC30F3"/>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BC30F3"/>
    <w:pPr>
      <w:tabs>
        <w:tab w:val="center" w:pos="6407"/>
      </w:tabs>
      <w:spacing w:before="720"/>
      <w:jc w:val="right"/>
    </w:pPr>
  </w:style>
  <w:style w:type="paragraph" w:customStyle="1" w:styleId="JuHIRoman">
    <w:name w:val="Ju_H_I_Roman"/>
    <w:aliases w:val="_Head_2"/>
    <w:basedOn w:val="Heading2"/>
    <w:next w:val="JuPara"/>
    <w:uiPriority w:val="17"/>
    <w:qFormat/>
    <w:rsid w:val="00BC30F3"/>
    <w:pPr>
      <w:keepNext/>
      <w:keepLines/>
      <w:numPr>
        <w:ilvl w:val="1"/>
        <w:numId w:val="17"/>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BC30F3"/>
    <w:pPr>
      <w:keepNext/>
      <w:keepLines/>
      <w:numPr>
        <w:ilvl w:val="2"/>
        <w:numId w:val="17"/>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BC30F3"/>
    <w:pPr>
      <w:keepNext/>
      <w:keepLines/>
      <w:numPr>
        <w:ilvl w:val="3"/>
        <w:numId w:val="17"/>
      </w:numPr>
      <w:spacing w:before="100" w:beforeAutospacing="1" w:after="120"/>
      <w:jc w:val="both"/>
    </w:pPr>
    <w:rPr>
      <w:b w:val="0"/>
      <w:color w:val="auto"/>
      <w:sz w:val="24"/>
    </w:rPr>
  </w:style>
  <w:style w:type="paragraph" w:styleId="Header">
    <w:name w:val="header"/>
    <w:basedOn w:val="Normal"/>
    <w:link w:val="HeaderChar"/>
    <w:uiPriority w:val="98"/>
    <w:semiHidden/>
    <w:rsid w:val="00BC30F3"/>
    <w:pPr>
      <w:tabs>
        <w:tab w:val="center" w:pos="4536"/>
        <w:tab w:val="right" w:pos="9072"/>
      </w:tabs>
    </w:pPr>
  </w:style>
  <w:style w:type="character" w:customStyle="1" w:styleId="HeaderChar">
    <w:name w:val="Header Char"/>
    <w:basedOn w:val="DefaultParagraphFont"/>
    <w:link w:val="Header"/>
    <w:uiPriority w:val="98"/>
    <w:semiHidden/>
    <w:rsid w:val="00BC30F3"/>
    <w:rPr>
      <w:sz w:val="24"/>
      <w:szCs w:val="24"/>
      <w:lang w:val="ro-RO"/>
    </w:rPr>
  </w:style>
  <w:style w:type="character" w:customStyle="1" w:styleId="Heading1Char">
    <w:name w:val="Heading 1 Char"/>
    <w:basedOn w:val="DefaultParagraphFont"/>
    <w:link w:val="Heading1"/>
    <w:uiPriority w:val="98"/>
    <w:semiHidden/>
    <w:rsid w:val="00BC30F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BC30F3"/>
    <w:pPr>
      <w:keepNext/>
      <w:keepLines/>
      <w:numPr>
        <w:ilvl w:val="4"/>
        <w:numId w:val="17"/>
      </w:numPr>
      <w:spacing w:before="100" w:beforeAutospacing="1" w:after="120"/>
      <w:jc w:val="both"/>
    </w:pPr>
    <w:rPr>
      <w:color w:val="auto"/>
      <w:sz w:val="20"/>
    </w:rPr>
  </w:style>
  <w:style w:type="paragraph" w:customStyle="1" w:styleId="JuHi">
    <w:name w:val="Ju_H_i"/>
    <w:aliases w:val="_Head_6"/>
    <w:basedOn w:val="Heading6"/>
    <w:next w:val="JuPara"/>
    <w:uiPriority w:val="17"/>
    <w:rsid w:val="00BC30F3"/>
    <w:pPr>
      <w:keepNext/>
      <w:keepLines/>
      <w:numPr>
        <w:ilvl w:val="5"/>
        <w:numId w:val="17"/>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BC30F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BC30F3"/>
    <w:pPr>
      <w:keepNext/>
      <w:keepLines/>
      <w:numPr>
        <w:ilvl w:val="6"/>
        <w:numId w:val="17"/>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BC30F3"/>
    <w:pPr>
      <w:keepNext/>
      <w:keepLines/>
      <w:numPr>
        <w:ilvl w:val="7"/>
        <w:numId w:val="17"/>
      </w:numPr>
      <w:spacing w:before="100" w:beforeAutospacing="1" w:after="120"/>
      <w:jc w:val="both"/>
    </w:pPr>
    <w:rPr>
      <w:i/>
    </w:rPr>
  </w:style>
  <w:style w:type="character" w:customStyle="1" w:styleId="Heading3Char">
    <w:name w:val="Heading 3 Char"/>
    <w:basedOn w:val="DefaultParagraphFont"/>
    <w:link w:val="Heading3"/>
    <w:uiPriority w:val="98"/>
    <w:semiHidden/>
    <w:rsid w:val="00BC30F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BC30F3"/>
    <w:pPr>
      <w:keepNext/>
      <w:keepLines/>
      <w:spacing w:before="240" w:after="240"/>
      <w:ind w:firstLine="284"/>
    </w:pPr>
  </w:style>
  <w:style w:type="paragraph" w:customStyle="1" w:styleId="JuJudges">
    <w:name w:val="Ju_Judges"/>
    <w:aliases w:val="_Judges"/>
    <w:basedOn w:val="Normal"/>
    <w:uiPriority w:val="32"/>
    <w:qFormat/>
    <w:rsid w:val="00BC30F3"/>
    <w:pPr>
      <w:tabs>
        <w:tab w:val="left" w:pos="567"/>
        <w:tab w:val="left" w:pos="1134"/>
      </w:tabs>
    </w:pPr>
  </w:style>
  <w:style w:type="character" w:customStyle="1" w:styleId="Heading4Char">
    <w:name w:val="Heading 4 Char"/>
    <w:basedOn w:val="DefaultParagraphFont"/>
    <w:link w:val="Heading4"/>
    <w:uiPriority w:val="98"/>
    <w:semiHidden/>
    <w:rsid w:val="00BC30F3"/>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BC30F3"/>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BC30F3"/>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BC30F3"/>
    <w:rPr>
      <w:caps w:val="0"/>
      <w:smallCaps/>
    </w:rPr>
  </w:style>
  <w:style w:type="paragraph" w:customStyle="1" w:styleId="NormalJustified">
    <w:name w:val="Normal_Justified"/>
    <w:basedOn w:val="Normal"/>
    <w:semiHidden/>
    <w:rsid w:val="00BC30F3"/>
    <w:pPr>
      <w:jc w:val="both"/>
    </w:pPr>
  </w:style>
  <w:style w:type="character" w:styleId="SubtleEmphasis">
    <w:name w:val="Subtle Emphasis"/>
    <w:uiPriority w:val="98"/>
    <w:semiHidden/>
    <w:qFormat/>
    <w:rsid w:val="00BC30F3"/>
    <w:rPr>
      <w:i/>
      <w:iCs/>
    </w:rPr>
  </w:style>
  <w:style w:type="table" w:customStyle="1" w:styleId="ECHRTable">
    <w:name w:val="ECHR_Table"/>
    <w:basedOn w:val="TableNormal"/>
    <w:rsid w:val="00BC30F3"/>
    <w:rPr>
      <w:rFonts w:eastAsia="Times New Roman" w:cs="Times New Roman"/>
      <w:sz w:val="20"/>
      <w:szCs w:val="20"/>
      <w:lang w:val="ro-RO"/>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BC30F3"/>
    <w:rPr>
      <w:rFonts w:ascii="Verdana" w:eastAsia="Times New Roman" w:hAnsi="Verdana" w:cs="Times New Roman"/>
      <w:sz w:val="20"/>
      <w:szCs w:val="20"/>
      <w:lang w:val="ro-RO"/>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BC30F3"/>
    <w:rPr>
      <w:b/>
      <w:bCs/>
      <w:i/>
      <w:iCs/>
      <w:spacing w:val="10"/>
      <w:bdr w:val="none" w:sz="0" w:space="0" w:color="auto"/>
      <w:shd w:val="clear" w:color="auto" w:fill="auto"/>
    </w:rPr>
  </w:style>
  <w:style w:type="paragraph" w:styleId="Footer0">
    <w:name w:val="footer"/>
    <w:basedOn w:val="Normal"/>
    <w:link w:val="FooterChar"/>
    <w:uiPriority w:val="98"/>
    <w:semiHidden/>
    <w:rsid w:val="00BC30F3"/>
    <w:pPr>
      <w:tabs>
        <w:tab w:val="center" w:pos="3686"/>
        <w:tab w:val="right" w:pos="7371"/>
      </w:tabs>
    </w:pPr>
  </w:style>
  <w:style w:type="character" w:customStyle="1" w:styleId="FooterChar">
    <w:name w:val="Footer Char"/>
    <w:basedOn w:val="DefaultParagraphFont"/>
    <w:link w:val="Footer0"/>
    <w:uiPriority w:val="98"/>
    <w:semiHidden/>
    <w:rsid w:val="00BC30F3"/>
    <w:rPr>
      <w:sz w:val="24"/>
      <w:szCs w:val="24"/>
      <w:lang w:val="ro-RO"/>
    </w:rPr>
  </w:style>
  <w:style w:type="character" w:styleId="FootnoteReference">
    <w:name w:val="footnote reference"/>
    <w:basedOn w:val="DefaultParagraphFont"/>
    <w:uiPriority w:val="98"/>
    <w:semiHidden/>
    <w:rsid w:val="00BC30F3"/>
    <w:rPr>
      <w:vertAlign w:val="superscript"/>
    </w:rPr>
  </w:style>
  <w:style w:type="paragraph" w:styleId="FootnoteText">
    <w:name w:val="footnote text"/>
    <w:basedOn w:val="NormalJustified"/>
    <w:link w:val="FootnoteTextChar"/>
    <w:uiPriority w:val="98"/>
    <w:semiHidden/>
    <w:rsid w:val="00BC30F3"/>
    <w:rPr>
      <w:sz w:val="20"/>
      <w:szCs w:val="20"/>
    </w:rPr>
  </w:style>
  <w:style w:type="character" w:customStyle="1" w:styleId="FootnoteTextChar">
    <w:name w:val="Footnote Text Char"/>
    <w:basedOn w:val="DefaultParagraphFont"/>
    <w:link w:val="FootnoteText"/>
    <w:uiPriority w:val="98"/>
    <w:semiHidden/>
    <w:rsid w:val="00BC30F3"/>
    <w:rPr>
      <w:sz w:val="20"/>
      <w:szCs w:val="20"/>
      <w:lang w:val="ro-RO"/>
    </w:rPr>
  </w:style>
  <w:style w:type="character" w:customStyle="1" w:styleId="Heading6Char">
    <w:name w:val="Heading 6 Char"/>
    <w:basedOn w:val="DefaultParagraphFont"/>
    <w:link w:val="Heading6"/>
    <w:uiPriority w:val="98"/>
    <w:semiHidden/>
    <w:rsid w:val="00BC30F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BC30F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BC30F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C30F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BC30F3"/>
    <w:rPr>
      <w:color w:val="0072BC" w:themeColor="hyperlink"/>
      <w:u w:val="single"/>
    </w:rPr>
  </w:style>
  <w:style w:type="character" w:styleId="IntenseEmphasis">
    <w:name w:val="Intense Emphasis"/>
    <w:uiPriority w:val="98"/>
    <w:semiHidden/>
    <w:qFormat/>
    <w:rsid w:val="00BC30F3"/>
    <w:rPr>
      <w:b/>
      <w:bCs/>
    </w:rPr>
  </w:style>
  <w:style w:type="paragraph" w:styleId="IntenseQuote">
    <w:name w:val="Intense Quote"/>
    <w:basedOn w:val="Normal"/>
    <w:next w:val="Normal"/>
    <w:link w:val="IntenseQuoteChar"/>
    <w:uiPriority w:val="98"/>
    <w:semiHidden/>
    <w:qFormat/>
    <w:rsid w:val="00BC30F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C30F3"/>
    <w:rPr>
      <w:b/>
      <w:bCs/>
      <w:i/>
      <w:iCs/>
      <w:sz w:val="24"/>
      <w:szCs w:val="24"/>
      <w:lang w:val="ro-RO" w:bidi="en-US"/>
    </w:rPr>
  </w:style>
  <w:style w:type="character" w:styleId="IntenseReference">
    <w:name w:val="Intense Reference"/>
    <w:uiPriority w:val="98"/>
    <w:semiHidden/>
    <w:qFormat/>
    <w:rsid w:val="00BC30F3"/>
    <w:rPr>
      <w:smallCaps/>
      <w:spacing w:val="5"/>
      <w:u w:val="single"/>
    </w:rPr>
  </w:style>
  <w:style w:type="paragraph" w:styleId="ListParagraph">
    <w:name w:val="List Paragraph"/>
    <w:basedOn w:val="Normal"/>
    <w:uiPriority w:val="98"/>
    <w:semiHidden/>
    <w:qFormat/>
    <w:rsid w:val="00BC30F3"/>
    <w:pPr>
      <w:ind w:left="720"/>
      <w:contextualSpacing/>
    </w:pPr>
  </w:style>
  <w:style w:type="table" w:customStyle="1" w:styleId="LtrTableAddress">
    <w:name w:val="Ltr_Table_Address"/>
    <w:aliases w:val="ECHR_Ltr_Table_Address"/>
    <w:basedOn w:val="TableNormal"/>
    <w:uiPriority w:val="99"/>
    <w:rsid w:val="00BC30F3"/>
    <w:rPr>
      <w:sz w:val="24"/>
      <w:szCs w:val="24"/>
    </w:rPr>
    <w:tblPr>
      <w:tblInd w:w="5103" w:type="dxa"/>
    </w:tblPr>
  </w:style>
  <w:style w:type="paragraph" w:styleId="Quote">
    <w:name w:val="Quote"/>
    <w:basedOn w:val="Normal"/>
    <w:next w:val="Normal"/>
    <w:link w:val="QuoteChar"/>
    <w:uiPriority w:val="98"/>
    <w:semiHidden/>
    <w:qFormat/>
    <w:rsid w:val="00BC30F3"/>
    <w:pPr>
      <w:spacing w:before="200"/>
      <w:ind w:left="360" w:right="360"/>
    </w:pPr>
    <w:rPr>
      <w:i/>
      <w:iCs/>
      <w:lang w:bidi="en-US"/>
    </w:rPr>
  </w:style>
  <w:style w:type="character" w:customStyle="1" w:styleId="QuoteChar">
    <w:name w:val="Quote Char"/>
    <w:basedOn w:val="DefaultParagraphFont"/>
    <w:link w:val="Quote"/>
    <w:uiPriority w:val="98"/>
    <w:semiHidden/>
    <w:rsid w:val="00BC30F3"/>
    <w:rPr>
      <w:i/>
      <w:iCs/>
      <w:sz w:val="24"/>
      <w:szCs w:val="24"/>
      <w:lang w:val="ro-RO" w:bidi="en-US"/>
    </w:rPr>
  </w:style>
  <w:style w:type="character" w:styleId="SubtleReference">
    <w:name w:val="Subtle Reference"/>
    <w:uiPriority w:val="98"/>
    <w:semiHidden/>
    <w:qFormat/>
    <w:rsid w:val="00BC30F3"/>
    <w:rPr>
      <w:smallCaps/>
    </w:rPr>
  </w:style>
  <w:style w:type="table" w:styleId="TableGrid">
    <w:name w:val="Table Grid"/>
    <w:basedOn w:val="TableNormal"/>
    <w:uiPriority w:val="59"/>
    <w:semiHidden/>
    <w:rsid w:val="00BC30F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BC30F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C30F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C30F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C30F3"/>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C30F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BC30F3"/>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BC30F3"/>
    <w:rPr>
      <w:rFonts w:eastAsiaTheme="minorEastAsia"/>
      <w:sz w:val="20"/>
      <w:szCs w:val="24"/>
      <w:lang w:val="ro-RO"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C30F3"/>
    <w:rPr>
      <w:rFonts w:eastAsiaTheme="minorEastAsia"/>
      <w:sz w:val="24"/>
      <w:szCs w:val="24"/>
      <w:lang w:val="ro-RO"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BC30F3"/>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C30F3"/>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BC30F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BC30F3"/>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BC30F3"/>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BC30F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C30F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BC30F3"/>
    <w:pPr>
      <w:numPr>
        <w:numId w:val="1"/>
      </w:numPr>
    </w:pPr>
  </w:style>
  <w:style w:type="paragraph" w:customStyle="1" w:styleId="JuPara">
    <w:name w:val="Ju_Para"/>
    <w:aliases w:val="_Para"/>
    <w:basedOn w:val="NormalJustified"/>
    <w:link w:val="JuParaChar"/>
    <w:uiPriority w:val="4"/>
    <w:qFormat/>
    <w:rsid w:val="00BC30F3"/>
    <w:pPr>
      <w:ind w:firstLine="284"/>
    </w:pPr>
  </w:style>
  <w:style w:type="numbering" w:styleId="1ai">
    <w:name w:val="Outline List 1"/>
    <w:basedOn w:val="NoList"/>
    <w:uiPriority w:val="99"/>
    <w:semiHidden/>
    <w:unhideWhenUsed/>
    <w:rsid w:val="00BC30F3"/>
    <w:pPr>
      <w:numPr>
        <w:numId w:val="2"/>
      </w:numPr>
    </w:pPr>
  </w:style>
  <w:style w:type="table" w:customStyle="1" w:styleId="ECHRTableSimpleBox">
    <w:name w:val="ECHR_Table_Simple_Box"/>
    <w:basedOn w:val="TableNormal"/>
    <w:uiPriority w:val="99"/>
    <w:rsid w:val="00BC30F3"/>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BC30F3"/>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BC30F3"/>
    <w:pPr>
      <w:numPr>
        <w:numId w:val="3"/>
      </w:numPr>
    </w:pPr>
  </w:style>
  <w:style w:type="table" w:customStyle="1" w:styleId="ECHRTableForInternalUse">
    <w:name w:val="ECHR_Table_For_Internal_Use"/>
    <w:basedOn w:val="TableNormal"/>
    <w:uiPriority w:val="99"/>
    <w:rsid w:val="00BC30F3"/>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BC30F3"/>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BC30F3"/>
  </w:style>
  <w:style w:type="paragraph" w:styleId="BlockText">
    <w:name w:val="Block Text"/>
    <w:basedOn w:val="Normal"/>
    <w:uiPriority w:val="98"/>
    <w:semiHidden/>
    <w:rsid w:val="00BC30F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BC30F3"/>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BC30F3"/>
    <w:pPr>
      <w:spacing w:after="120"/>
    </w:pPr>
  </w:style>
  <w:style w:type="character" w:customStyle="1" w:styleId="BodyTextChar">
    <w:name w:val="Body Text Char"/>
    <w:basedOn w:val="DefaultParagraphFont"/>
    <w:link w:val="BodyText"/>
    <w:uiPriority w:val="98"/>
    <w:semiHidden/>
    <w:rsid w:val="00BC30F3"/>
    <w:rPr>
      <w:sz w:val="24"/>
      <w:szCs w:val="24"/>
      <w:lang w:val="ro-RO"/>
    </w:rPr>
  </w:style>
  <w:style w:type="table" w:customStyle="1" w:styleId="ECHRTableOddBanded">
    <w:name w:val="ECHR_Table_Odd_Banded"/>
    <w:basedOn w:val="TableNormal"/>
    <w:uiPriority w:val="99"/>
    <w:rsid w:val="00BC30F3"/>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BC30F3"/>
    <w:pPr>
      <w:spacing w:after="120" w:line="480" w:lineRule="auto"/>
    </w:pPr>
  </w:style>
  <w:style w:type="table" w:customStyle="1" w:styleId="ECHRHeaderTableReduced">
    <w:name w:val="ECHR_Header_Table_Reduced"/>
    <w:basedOn w:val="TableNormal"/>
    <w:uiPriority w:val="99"/>
    <w:rsid w:val="00BC30F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BC30F3"/>
    <w:pPr>
      <w:ind w:firstLine="284"/>
    </w:pPr>
    <w:rPr>
      <w:b/>
    </w:rPr>
  </w:style>
  <w:style w:type="character" w:styleId="PageNumber">
    <w:name w:val="page number"/>
    <w:uiPriority w:val="98"/>
    <w:semiHidden/>
    <w:rsid w:val="00BC30F3"/>
    <w:rPr>
      <w:sz w:val="18"/>
    </w:rPr>
  </w:style>
  <w:style w:type="paragraph" w:styleId="ListBullet2">
    <w:name w:val="List Bullet 2"/>
    <w:basedOn w:val="Normal"/>
    <w:uiPriority w:val="98"/>
    <w:semiHidden/>
    <w:rsid w:val="00BC30F3"/>
    <w:pPr>
      <w:numPr>
        <w:numId w:val="8"/>
      </w:numPr>
      <w:contextualSpacing/>
    </w:pPr>
  </w:style>
  <w:style w:type="character" w:customStyle="1" w:styleId="BodyText2Char">
    <w:name w:val="Body Text 2 Char"/>
    <w:basedOn w:val="DefaultParagraphFont"/>
    <w:link w:val="BodyText2"/>
    <w:uiPriority w:val="98"/>
    <w:semiHidden/>
    <w:rsid w:val="00BC30F3"/>
    <w:rPr>
      <w:sz w:val="24"/>
      <w:szCs w:val="24"/>
      <w:lang w:val="ro-RO"/>
    </w:rPr>
  </w:style>
  <w:style w:type="paragraph" w:styleId="BodyText3">
    <w:name w:val="Body Text 3"/>
    <w:basedOn w:val="Normal"/>
    <w:link w:val="BodyText3Char"/>
    <w:uiPriority w:val="98"/>
    <w:semiHidden/>
    <w:rsid w:val="00BC30F3"/>
    <w:pPr>
      <w:spacing w:after="120"/>
    </w:pPr>
    <w:rPr>
      <w:sz w:val="16"/>
      <w:szCs w:val="16"/>
    </w:rPr>
  </w:style>
  <w:style w:type="character" w:customStyle="1" w:styleId="BodyText3Char">
    <w:name w:val="Body Text 3 Char"/>
    <w:basedOn w:val="DefaultParagraphFont"/>
    <w:link w:val="BodyText3"/>
    <w:uiPriority w:val="98"/>
    <w:semiHidden/>
    <w:rsid w:val="00BC30F3"/>
    <w:rPr>
      <w:sz w:val="16"/>
      <w:szCs w:val="16"/>
      <w:lang w:val="ro-RO"/>
    </w:rPr>
  </w:style>
  <w:style w:type="paragraph" w:styleId="BodyTextFirstIndent">
    <w:name w:val="Body Text First Indent"/>
    <w:basedOn w:val="BodyText"/>
    <w:link w:val="BodyTextFirstIndentChar"/>
    <w:uiPriority w:val="98"/>
    <w:semiHidden/>
    <w:rsid w:val="00BC30F3"/>
    <w:pPr>
      <w:spacing w:after="0"/>
      <w:ind w:firstLine="360"/>
    </w:pPr>
  </w:style>
  <w:style w:type="character" w:customStyle="1" w:styleId="BodyTextFirstIndentChar">
    <w:name w:val="Body Text First Indent Char"/>
    <w:basedOn w:val="BodyTextChar"/>
    <w:link w:val="BodyTextFirstIndent"/>
    <w:uiPriority w:val="98"/>
    <w:semiHidden/>
    <w:rsid w:val="00BC30F3"/>
    <w:rPr>
      <w:sz w:val="24"/>
      <w:szCs w:val="24"/>
      <w:lang w:val="ro-RO"/>
    </w:rPr>
  </w:style>
  <w:style w:type="paragraph" w:styleId="BodyTextIndent">
    <w:name w:val="Body Text Indent"/>
    <w:basedOn w:val="Normal"/>
    <w:link w:val="BodyTextIndentChar"/>
    <w:uiPriority w:val="98"/>
    <w:semiHidden/>
    <w:rsid w:val="00BC30F3"/>
    <w:pPr>
      <w:spacing w:after="120"/>
      <w:ind w:left="283"/>
    </w:pPr>
  </w:style>
  <w:style w:type="character" w:customStyle="1" w:styleId="BodyTextIndentChar">
    <w:name w:val="Body Text Indent Char"/>
    <w:basedOn w:val="DefaultParagraphFont"/>
    <w:link w:val="BodyTextIndent"/>
    <w:uiPriority w:val="98"/>
    <w:semiHidden/>
    <w:rsid w:val="00BC30F3"/>
    <w:rPr>
      <w:sz w:val="24"/>
      <w:szCs w:val="24"/>
      <w:lang w:val="ro-RO"/>
    </w:rPr>
  </w:style>
  <w:style w:type="paragraph" w:styleId="BodyTextFirstIndent2">
    <w:name w:val="Body Text First Indent 2"/>
    <w:basedOn w:val="BodyTextIndent"/>
    <w:link w:val="BodyTextFirstIndent2Char"/>
    <w:uiPriority w:val="98"/>
    <w:semiHidden/>
    <w:rsid w:val="00BC30F3"/>
    <w:pPr>
      <w:spacing w:after="0"/>
      <w:ind w:left="360" w:firstLine="360"/>
    </w:pPr>
  </w:style>
  <w:style w:type="character" w:customStyle="1" w:styleId="BodyTextFirstIndent2Char">
    <w:name w:val="Body Text First Indent 2 Char"/>
    <w:basedOn w:val="BodyTextIndentChar"/>
    <w:link w:val="BodyTextFirstIndent2"/>
    <w:uiPriority w:val="98"/>
    <w:semiHidden/>
    <w:rsid w:val="00BC30F3"/>
    <w:rPr>
      <w:sz w:val="24"/>
      <w:szCs w:val="24"/>
      <w:lang w:val="ro-RO"/>
    </w:rPr>
  </w:style>
  <w:style w:type="paragraph" w:styleId="BodyTextIndent2">
    <w:name w:val="Body Text Indent 2"/>
    <w:basedOn w:val="Normal"/>
    <w:link w:val="BodyTextIndent2Char"/>
    <w:uiPriority w:val="98"/>
    <w:semiHidden/>
    <w:rsid w:val="00BC30F3"/>
    <w:pPr>
      <w:spacing w:after="120" w:line="480" w:lineRule="auto"/>
      <w:ind w:left="283"/>
    </w:pPr>
  </w:style>
  <w:style w:type="character" w:customStyle="1" w:styleId="BodyTextIndent2Char">
    <w:name w:val="Body Text Indent 2 Char"/>
    <w:basedOn w:val="DefaultParagraphFont"/>
    <w:link w:val="BodyTextIndent2"/>
    <w:uiPriority w:val="98"/>
    <w:semiHidden/>
    <w:rsid w:val="00BC30F3"/>
    <w:rPr>
      <w:sz w:val="24"/>
      <w:szCs w:val="24"/>
      <w:lang w:val="ro-RO"/>
    </w:rPr>
  </w:style>
  <w:style w:type="paragraph" w:styleId="BodyTextIndent3">
    <w:name w:val="Body Text Indent 3"/>
    <w:basedOn w:val="Normal"/>
    <w:link w:val="BodyTextIndent3Char"/>
    <w:uiPriority w:val="98"/>
    <w:semiHidden/>
    <w:rsid w:val="00BC30F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C30F3"/>
    <w:rPr>
      <w:sz w:val="16"/>
      <w:szCs w:val="16"/>
      <w:lang w:val="ro-RO"/>
    </w:rPr>
  </w:style>
  <w:style w:type="paragraph" w:styleId="Caption">
    <w:name w:val="caption"/>
    <w:basedOn w:val="Normal"/>
    <w:next w:val="Normal"/>
    <w:uiPriority w:val="98"/>
    <w:semiHidden/>
    <w:qFormat/>
    <w:rsid w:val="00BC30F3"/>
    <w:pPr>
      <w:spacing w:after="200"/>
    </w:pPr>
    <w:rPr>
      <w:b/>
      <w:bCs/>
      <w:color w:val="0072BC" w:themeColor="accent1"/>
      <w:sz w:val="18"/>
      <w:szCs w:val="18"/>
    </w:rPr>
  </w:style>
  <w:style w:type="paragraph" w:styleId="Closing">
    <w:name w:val="Closing"/>
    <w:basedOn w:val="Normal"/>
    <w:link w:val="ClosingChar"/>
    <w:uiPriority w:val="98"/>
    <w:semiHidden/>
    <w:rsid w:val="00BC30F3"/>
    <w:pPr>
      <w:ind w:left="4252"/>
    </w:pPr>
  </w:style>
  <w:style w:type="character" w:customStyle="1" w:styleId="ClosingChar">
    <w:name w:val="Closing Char"/>
    <w:basedOn w:val="DefaultParagraphFont"/>
    <w:link w:val="Closing"/>
    <w:uiPriority w:val="98"/>
    <w:semiHidden/>
    <w:rsid w:val="00BC30F3"/>
    <w:rPr>
      <w:sz w:val="24"/>
      <w:szCs w:val="24"/>
      <w:lang w:val="ro-RO"/>
    </w:rPr>
  </w:style>
  <w:style w:type="table" w:styleId="ColorfulGrid">
    <w:name w:val="Colorful Grid"/>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C30F3"/>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C30F3"/>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C30F3"/>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C30F3"/>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C30F3"/>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BC30F3"/>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C30F3"/>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C30F3"/>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C30F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C30F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C30F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C30F3"/>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BC30F3"/>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C30F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C30F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BC30F3"/>
    <w:rPr>
      <w:sz w:val="16"/>
      <w:szCs w:val="16"/>
    </w:rPr>
  </w:style>
  <w:style w:type="paragraph" w:styleId="CommentText">
    <w:name w:val="annotation text"/>
    <w:basedOn w:val="Normal"/>
    <w:link w:val="CommentTextChar"/>
    <w:uiPriority w:val="98"/>
    <w:semiHidden/>
    <w:rsid w:val="00BC30F3"/>
    <w:rPr>
      <w:sz w:val="20"/>
      <w:szCs w:val="20"/>
    </w:rPr>
  </w:style>
  <w:style w:type="character" w:customStyle="1" w:styleId="CommentTextChar">
    <w:name w:val="Comment Text Char"/>
    <w:basedOn w:val="DefaultParagraphFont"/>
    <w:link w:val="CommentText"/>
    <w:uiPriority w:val="98"/>
    <w:semiHidden/>
    <w:rsid w:val="00BC30F3"/>
    <w:rPr>
      <w:sz w:val="20"/>
      <w:szCs w:val="20"/>
      <w:lang w:val="ro-RO"/>
    </w:rPr>
  </w:style>
  <w:style w:type="paragraph" w:styleId="CommentSubject">
    <w:name w:val="annotation subject"/>
    <w:basedOn w:val="CommentText"/>
    <w:next w:val="CommentText"/>
    <w:link w:val="CommentSubjectChar"/>
    <w:uiPriority w:val="98"/>
    <w:semiHidden/>
    <w:rsid w:val="00BC30F3"/>
    <w:rPr>
      <w:b/>
      <w:bCs/>
    </w:rPr>
  </w:style>
  <w:style w:type="character" w:customStyle="1" w:styleId="CommentSubjectChar">
    <w:name w:val="Comment Subject Char"/>
    <w:basedOn w:val="CommentTextChar"/>
    <w:link w:val="CommentSubject"/>
    <w:uiPriority w:val="98"/>
    <w:semiHidden/>
    <w:rsid w:val="00BC30F3"/>
    <w:rPr>
      <w:b/>
      <w:bCs/>
      <w:sz w:val="20"/>
      <w:szCs w:val="20"/>
      <w:lang w:val="ro-RO"/>
    </w:rPr>
  </w:style>
  <w:style w:type="table" w:styleId="DarkList">
    <w:name w:val="Dark List"/>
    <w:basedOn w:val="TableNormal"/>
    <w:uiPriority w:val="70"/>
    <w:semiHidden/>
    <w:rsid w:val="00BC30F3"/>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C30F3"/>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C30F3"/>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C30F3"/>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BC30F3"/>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C30F3"/>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C30F3"/>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C30F3"/>
  </w:style>
  <w:style w:type="character" w:customStyle="1" w:styleId="DateChar">
    <w:name w:val="Date Char"/>
    <w:basedOn w:val="DefaultParagraphFont"/>
    <w:link w:val="Date"/>
    <w:uiPriority w:val="98"/>
    <w:semiHidden/>
    <w:rsid w:val="00BC30F3"/>
    <w:rPr>
      <w:sz w:val="24"/>
      <w:szCs w:val="24"/>
      <w:lang w:val="ro-RO"/>
    </w:rPr>
  </w:style>
  <w:style w:type="paragraph" w:styleId="DocumentMap">
    <w:name w:val="Document Map"/>
    <w:basedOn w:val="Normal"/>
    <w:link w:val="DocumentMapChar"/>
    <w:uiPriority w:val="98"/>
    <w:semiHidden/>
    <w:rsid w:val="00BC30F3"/>
    <w:rPr>
      <w:rFonts w:ascii="Tahoma" w:hAnsi="Tahoma" w:cs="Tahoma"/>
      <w:sz w:val="16"/>
      <w:szCs w:val="16"/>
    </w:rPr>
  </w:style>
  <w:style w:type="character" w:customStyle="1" w:styleId="DocumentMapChar">
    <w:name w:val="Document Map Char"/>
    <w:basedOn w:val="DefaultParagraphFont"/>
    <w:link w:val="DocumentMap"/>
    <w:uiPriority w:val="98"/>
    <w:semiHidden/>
    <w:rsid w:val="00BC30F3"/>
    <w:rPr>
      <w:rFonts w:ascii="Tahoma" w:hAnsi="Tahoma" w:cs="Tahoma"/>
      <w:sz w:val="16"/>
      <w:szCs w:val="16"/>
      <w:lang w:val="ro-RO"/>
    </w:rPr>
  </w:style>
  <w:style w:type="paragraph" w:styleId="E-mailSignature">
    <w:name w:val="E-mail Signature"/>
    <w:basedOn w:val="Normal"/>
    <w:link w:val="E-mailSignatureChar"/>
    <w:uiPriority w:val="98"/>
    <w:semiHidden/>
    <w:rsid w:val="00BC30F3"/>
  </w:style>
  <w:style w:type="character" w:customStyle="1" w:styleId="E-mailSignatureChar">
    <w:name w:val="E-mail Signature Char"/>
    <w:basedOn w:val="DefaultParagraphFont"/>
    <w:link w:val="E-mailSignature"/>
    <w:uiPriority w:val="98"/>
    <w:semiHidden/>
    <w:rsid w:val="00BC30F3"/>
    <w:rPr>
      <w:sz w:val="24"/>
      <w:szCs w:val="24"/>
      <w:lang w:val="ro-RO"/>
    </w:rPr>
  </w:style>
  <w:style w:type="character" w:styleId="EndnoteReference">
    <w:name w:val="endnote reference"/>
    <w:basedOn w:val="DefaultParagraphFont"/>
    <w:uiPriority w:val="98"/>
    <w:semiHidden/>
    <w:rsid w:val="00BC30F3"/>
    <w:rPr>
      <w:vertAlign w:val="superscript"/>
    </w:rPr>
  </w:style>
  <w:style w:type="paragraph" w:styleId="EndnoteText">
    <w:name w:val="endnote text"/>
    <w:basedOn w:val="Normal"/>
    <w:link w:val="EndnoteTextChar"/>
    <w:uiPriority w:val="98"/>
    <w:semiHidden/>
    <w:rsid w:val="00BC30F3"/>
    <w:rPr>
      <w:sz w:val="20"/>
      <w:szCs w:val="20"/>
    </w:rPr>
  </w:style>
  <w:style w:type="character" w:customStyle="1" w:styleId="EndnoteTextChar">
    <w:name w:val="Endnote Text Char"/>
    <w:basedOn w:val="DefaultParagraphFont"/>
    <w:link w:val="EndnoteText"/>
    <w:uiPriority w:val="98"/>
    <w:semiHidden/>
    <w:rsid w:val="00BC30F3"/>
    <w:rPr>
      <w:sz w:val="20"/>
      <w:szCs w:val="20"/>
      <w:lang w:val="ro-RO"/>
    </w:rPr>
  </w:style>
  <w:style w:type="paragraph" w:styleId="EnvelopeAddress">
    <w:name w:val="envelope address"/>
    <w:basedOn w:val="Normal"/>
    <w:uiPriority w:val="98"/>
    <w:semiHidden/>
    <w:rsid w:val="00BC30F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C30F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C30F3"/>
    <w:rPr>
      <w:color w:val="7030A0" w:themeColor="followedHyperlink"/>
      <w:u w:val="single"/>
    </w:rPr>
  </w:style>
  <w:style w:type="character" w:styleId="HTMLAcronym">
    <w:name w:val="HTML Acronym"/>
    <w:basedOn w:val="DefaultParagraphFont"/>
    <w:uiPriority w:val="98"/>
    <w:semiHidden/>
    <w:rsid w:val="00BC30F3"/>
  </w:style>
  <w:style w:type="paragraph" w:styleId="HTMLAddress">
    <w:name w:val="HTML Address"/>
    <w:basedOn w:val="Normal"/>
    <w:link w:val="HTMLAddressChar"/>
    <w:uiPriority w:val="98"/>
    <w:semiHidden/>
    <w:rsid w:val="00BC30F3"/>
    <w:rPr>
      <w:i/>
      <w:iCs/>
    </w:rPr>
  </w:style>
  <w:style w:type="character" w:customStyle="1" w:styleId="HTMLAddressChar">
    <w:name w:val="HTML Address Char"/>
    <w:basedOn w:val="DefaultParagraphFont"/>
    <w:link w:val="HTMLAddress"/>
    <w:uiPriority w:val="98"/>
    <w:semiHidden/>
    <w:rsid w:val="00BC30F3"/>
    <w:rPr>
      <w:i/>
      <w:iCs/>
      <w:sz w:val="24"/>
      <w:szCs w:val="24"/>
      <w:lang w:val="ro-RO"/>
    </w:rPr>
  </w:style>
  <w:style w:type="character" w:styleId="HTMLCite">
    <w:name w:val="HTML Cite"/>
    <w:basedOn w:val="DefaultParagraphFont"/>
    <w:uiPriority w:val="98"/>
    <w:semiHidden/>
    <w:rsid w:val="00BC30F3"/>
    <w:rPr>
      <w:i/>
      <w:iCs/>
    </w:rPr>
  </w:style>
  <w:style w:type="character" w:styleId="HTMLCode">
    <w:name w:val="HTML Code"/>
    <w:basedOn w:val="DefaultParagraphFont"/>
    <w:uiPriority w:val="98"/>
    <w:semiHidden/>
    <w:rsid w:val="00BC30F3"/>
    <w:rPr>
      <w:rFonts w:ascii="Consolas" w:hAnsi="Consolas" w:cs="Consolas"/>
      <w:sz w:val="20"/>
      <w:szCs w:val="20"/>
    </w:rPr>
  </w:style>
  <w:style w:type="character" w:styleId="HTMLDefinition">
    <w:name w:val="HTML Definition"/>
    <w:basedOn w:val="DefaultParagraphFont"/>
    <w:uiPriority w:val="98"/>
    <w:semiHidden/>
    <w:rsid w:val="00BC30F3"/>
    <w:rPr>
      <w:i/>
      <w:iCs/>
    </w:rPr>
  </w:style>
  <w:style w:type="character" w:styleId="HTMLKeyboard">
    <w:name w:val="HTML Keyboard"/>
    <w:basedOn w:val="DefaultParagraphFont"/>
    <w:uiPriority w:val="98"/>
    <w:semiHidden/>
    <w:rsid w:val="00BC30F3"/>
    <w:rPr>
      <w:rFonts w:ascii="Consolas" w:hAnsi="Consolas" w:cs="Consolas"/>
      <w:sz w:val="20"/>
      <w:szCs w:val="20"/>
    </w:rPr>
  </w:style>
  <w:style w:type="paragraph" w:styleId="HTMLPreformatted">
    <w:name w:val="HTML Preformatted"/>
    <w:basedOn w:val="Normal"/>
    <w:link w:val="HTMLPreformattedChar"/>
    <w:uiPriority w:val="98"/>
    <w:semiHidden/>
    <w:rsid w:val="00BC30F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C30F3"/>
    <w:rPr>
      <w:rFonts w:ascii="Consolas" w:hAnsi="Consolas" w:cs="Consolas"/>
      <w:sz w:val="20"/>
      <w:szCs w:val="20"/>
      <w:lang w:val="ro-RO"/>
    </w:rPr>
  </w:style>
  <w:style w:type="character" w:styleId="HTMLSample">
    <w:name w:val="HTML Sample"/>
    <w:basedOn w:val="DefaultParagraphFont"/>
    <w:uiPriority w:val="98"/>
    <w:semiHidden/>
    <w:rsid w:val="00BC30F3"/>
    <w:rPr>
      <w:rFonts w:ascii="Consolas" w:hAnsi="Consolas" w:cs="Consolas"/>
      <w:sz w:val="24"/>
      <w:szCs w:val="24"/>
    </w:rPr>
  </w:style>
  <w:style w:type="character" w:styleId="HTMLTypewriter">
    <w:name w:val="HTML Typewriter"/>
    <w:basedOn w:val="DefaultParagraphFont"/>
    <w:uiPriority w:val="98"/>
    <w:semiHidden/>
    <w:rsid w:val="00BC30F3"/>
    <w:rPr>
      <w:rFonts w:ascii="Consolas" w:hAnsi="Consolas" w:cs="Consolas"/>
      <w:sz w:val="20"/>
      <w:szCs w:val="20"/>
    </w:rPr>
  </w:style>
  <w:style w:type="character" w:styleId="HTMLVariable">
    <w:name w:val="HTML Variable"/>
    <w:basedOn w:val="DefaultParagraphFont"/>
    <w:uiPriority w:val="98"/>
    <w:semiHidden/>
    <w:rsid w:val="00BC30F3"/>
    <w:rPr>
      <w:i/>
      <w:iCs/>
    </w:rPr>
  </w:style>
  <w:style w:type="paragraph" w:styleId="Index1">
    <w:name w:val="index 1"/>
    <w:basedOn w:val="Normal"/>
    <w:next w:val="Normal"/>
    <w:autoRedefine/>
    <w:uiPriority w:val="98"/>
    <w:semiHidden/>
    <w:rsid w:val="00BC30F3"/>
    <w:pPr>
      <w:ind w:left="240" w:hanging="240"/>
    </w:pPr>
  </w:style>
  <w:style w:type="paragraph" w:styleId="Index2">
    <w:name w:val="index 2"/>
    <w:basedOn w:val="Normal"/>
    <w:next w:val="Normal"/>
    <w:autoRedefine/>
    <w:uiPriority w:val="98"/>
    <w:semiHidden/>
    <w:rsid w:val="00BC30F3"/>
    <w:pPr>
      <w:ind w:left="480" w:hanging="240"/>
    </w:pPr>
  </w:style>
  <w:style w:type="paragraph" w:styleId="Index3">
    <w:name w:val="index 3"/>
    <w:basedOn w:val="Normal"/>
    <w:next w:val="Normal"/>
    <w:autoRedefine/>
    <w:uiPriority w:val="98"/>
    <w:semiHidden/>
    <w:rsid w:val="00BC30F3"/>
    <w:pPr>
      <w:ind w:left="720" w:hanging="240"/>
    </w:pPr>
  </w:style>
  <w:style w:type="paragraph" w:styleId="Index4">
    <w:name w:val="index 4"/>
    <w:basedOn w:val="Normal"/>
    <w:next w:val="Normal"/>
    <w:autoRedefine/>
    <w:uiPriority w:val="98"/>
    <w:semiHidden/>
    <w:rsid w:val="00BC30F3"/>
    <w:pPr>
      <w:ind w:left="960" w:hanging="240"/>
    </w:pPr>
  </w:style>
  <w:style w:type="paragraph" w:styleId="Index5">
    <w:name w:val="index 5"/>
    <w:basedOn w:val="Normal"/>
    <w:next w:val="Normal"/>
    <w:autoRedefine/>
    <w:uiPriority w:val="98"/>
    <w:semiHidden/>
    <w:rsid w:val="00BC30F3"/>
    <w:pPr>
      <w:ind w:left="1200" w:hanging="240"/>
    </w:pPr>
  </w:style>
  <w:style w:type="paragraph" w:styleId="Index6">
    <w:name w:val="index 6"/>
    <w:basedOn w:val="Normal"/>
    <w:next w:val="Normal"/>
    <w:autoRedefine/>
    <w:uiPriority w:val="98"/>
    <w:semiHidden/>
    <w:rsid w:val="00BC30F3"/>
    <w:pPr>
      <w:ind w:left="1440" w:hanging="240"/>
    </w:pPr>
  </w:style>
  <w:style w:type="paragraph" w:styleId="Index7">
    <w:name w:val="index 7"/>
    <w:basedOn w:val="Normal"/>
    <w:next w:val="Normal"/>
    <w:autoRedefine/>
    <w:uiPriority w:val="98"/>
    <w:semiHidden/>
    <w:rsid w:val="00BC30F3"/>
    <w:pPr>
      <w:ind w:left="1680" w:hanging="240"/>
    </w:pPr>
  </w:style>
  <w:style w:type="paragraph" w:styleId="Index8">
    <w:name w:val="index 8"/>
    <w:basedOn w:val="Normal"/>
    <w:next w:val="Normal"/>
    <w:autoRedefine/>
    <w:uiPriority w:val="98"/>
    <w:semiHidden/>
    <w:rsid w:val="00BC30F3"/>
    <w:pPr>
      <w:ind w:left="1920" w:hanging="240"/>
    </w:pPr>
  </w:style>
  <w:style w:type="paragraph" w:styleId="Index9">
    <w:name w:val="index 9"/>
    <w:basedOn w:val="Normal"/>
    <w:next w:val="Normal"/>
    <w:autoRedefine/>
    <w:uiPriority w:val="98"/>
    <w:semiHidden/>
    <w:rsid w:val="00BC30F3"/>
    <w:pPr>
      <w:ind w:left="2160" w:hanging="240"/>
    </w:pPr>
  </w:style>
  <w:style w:type="paragraph" w:styleId="IndexHeading">
    <w:name w:val="index heading"/>
    <w:basedOn w:val="Normal"/>
    <w:next w:val="Index1"/>
    <w:uiPriority w:val="98"/>
    <w:semiHidden/>
    <w:rsid w:val="00BC30F3"/>
    <w:rPr>
      <w:rFonts w:asciiTheme="majorHAnsi" w:eastAsiaTheme="majorEastAsia" w:hAnsiTheme="majorHAnsi" w:cstheme="majorBidi"/>
      <w:b/>
      <w:bCs/>
    </w:rPr>
  </w:style>
  <w:style w:type="table" w:styleId="LightGrid">
    <w:name w:val="Light Grid"/>
    <w:basedOn w:val="TableNormal"/>
    <w:uiPriority w:val="62"/>
    <w:semiHidden/>
    <w:rsid w:val="00BC30F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C30F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C30F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C30F3"/>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BC30F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C30F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C30F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C30F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C30F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C30F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C30F3"/>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BC30F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C30F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C30F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BC30F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C30F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C30F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C30F3"/>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BC30F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C30F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C30F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C30F3"/>
  </w:style>
  <w:style w:type="paragraph" w:styleId="List">
    <w:name w:val="List"/>
    <w:basedOn w:val="Normal"/>
    <w:uiPriority w:val="98"/>
    <w:semiHidden/>
    <w:rsid w:val="00BC30F3"/>
    <w:pPr>
      <w:ind w:left="283" w:hanging="283"/>
      <w:contextualSpacing/>
    </w:pPr>
  </w:style>
  <w:style w:type="paragraph" w:styleId="List2">
    <w:name w:val="List 2"/>
    <w:basedOn w:val="Normal"/>
    <w:uiPriority w:val="98"/>
    <w:semiHidden/>
    <w:rsid w:val="00BC30F3"/>
    <w:pPr>
      <w:ind w:left="566" w:hanging="283"/>
      <w:contextualSpacing/>
    </w:pPr>
  </w:style>
  <w:style w:type="paragraph" w:styleId="List3">
    <w:name w:val="List 3"/>
    <w:basedOn w:val="Normal"/>
    <w:uiPriority w:val="98"/>
    <w:semiHidden/>
    <w:rsid w:val="00BC30F3"/>
    <w:pPr>
      <w:ind w:left="849" w:hanging="283"/>
      <w:contextualSpacing/>
    </w:pPr>
  </w:style>
  <w:style w:type="paragraph" w:styleId="List4">
    <w:name w:val="List 4"/>
    <w:basedOn w:val="Normal"/>
    <w:uiPriority w:val="98"/>
    <w:semiHidden/>
    <w:rsid w:val="00BC30F3"/>
    <w:pPr>
      <w:ind w:left="1132" w:hanging="283"/>
      <w:contextualSpacing/>
    </w:pPr>
  </w:style>
  <w:style w:type="paragraph" w:styleId="List5">
    <w:name w:val="List 5"/>
    <w:basedOn w:val="Normal"/>
    <w:uiPriority w:val="98"/>
    <w:semiHidden/>
    <w:rsid w:val="00BC30F3"/>
    <w:pPr>
      <w:ind w:left="1415" w:hanging="283"/>
      <w:contextualSpacing/>
    </w:pPr>
  </w:style>
  <w:style w:type="paragraph" w:styleId="ListBullet">
    <w:name w:val="List Bullet"/>
    <w:basedOn w:val="Normal"/>
    <w:uiPriority w:val="98"/>
    <w:semiHidden/>
    <w:rsid w:val="00BC30F3"/>
    <w:pPr>
      <w:numPr>
        <w:numId w:val="7"/>
      </w:numPr>
    </w:pPr>
  </w:style>
  <w:style w:type="paragraph" w:styleId="ListBullet3">
    <w:name w:val="List Bullet 3"/>
    <w:basedOn w:val="Normal"/>
    <w:uiPriority w:val="98"/>
    <w:semiHidden/>
    <w:rsid w:val="00BC30F3"/>
    <w:pPr>
      <w:numPr>
        <w:numId w:val="9"/>
      </w:numPr>
      <w:contextualSpacing/>
    </w:pPr>
  </w:style>
  <w:style w:type="paragraph" w:styleId="ListBullet4">
    <w:name w:val="List Bullet 4"/>
    <w:basedOn w:val="Normal"/>
    <w:uiPriority w:val="98"/>
    <w:semiHidden/>
    <w:rsid w:val="00BC30F3"/>
    <w:pPr>
      <w:numPr>
        <w:numId w:val="10"/>
      </w:numPr>
      <w:contextualSpacing/>
    </w:pPr>
  </w:style>
  <w:style w:type="paragraph" w:styleId="ListBullet5">
    <w:name w:val="List Bullet 5"/>
    <w:basedOn w:val="Normal"/>
    <w:uiPriority w:val="98"/>
    <w:semiHidden/>
    <w:rsid w:val="00BC30F3"/>
    <w:pPr>
      <w:numPr>
        <w:numId w:val="11"/>
      </w:numPr>
      <w:contextualSpacing/>
    </w:pPr>
  </w:style>
  <w:style w:type="paragraph" w:styleId="ListContinue">
    <w:name w:val="List Continue"/>
    <w:basedOn w:val="Normal"/>
    <w:uiPriority w:val="98"/>
    <w:semiHidden/>
    <w:rsid w:val="00BC30F3"/>
    <w:pPr>
      <w:spacing w:after="120"/>
      <w:ind w:left="283"/>
      <w:contextualSpacing/>
    </w:pPr>
  </w:style>
  <w:style w:type="paragraph" w:styleId="ListContinue2">
    <w:name w:val="List Continue 2"/>
    <w:basedOn w:val="Normal"/>
    <w:uiPriority w:val="98"/>
    <w:semiHidden/>
    <w:rsid w:val="00BC30F3"/>
    <w:pPr>
      <w:spacing w:after="120"/>
      <w:ind w:left="566"/>
      <w:contextualSpacing/>
    </w:pPr>
  </w:style>
  <w:style w:type="paragraph" w:styleId="ListContinue3">
    <w:name w:val="List Continue 3"/>
    <w:basedOn w:val="Normal"/>
    <w:uiPriority w:val="98"/>
    <w:semiHidden/>
    <w:rsid w:val="00BC30F3"/>
    <w:pPr>
      <w:spacing w:after="120"/>
      <w:ind w:left="849"/>
      <w:contextualSpacing/>
    </w:pPr>
  </w:style>
  <w:style w:type="paragraph" w:styleId="ListContinue4">
    <w:name w:val="List Continue 4"/>
    <w:basedOn w:val="Normal"/>
    <w:uiPriority w:val="98"/>
    <w:semiHidden/>
    <w:rsid w:val="00BC30F3"/>
    <w:pPr>
      <w:spacing w:after="120"/>
      <w:ind w:left="1132"/>
      <w:contextualSpacing/>
    </w:pPr>
  </w:style>
  <w:style w:type="paragraph" w:styleId="ListContinue5">
    <w:name w:val="List Continue 5"/>
    <w:basedOn w:val="Normal"/>
    <w:uiPriority w:val="98"/>
    <w:semiHidden/>
    <w:rsid w:val="00BC30F3"/>
    <w:pPr>
      <w:spacing w:after="120"/>
      <w:ind w:left="1415"/>
      <w:contextualSpacing/>
    </w:pPr>
  </w:style>
  <w:style w:type="paragraph" w:styleId="ListNumber">
    <w:name w:val="List Number"/>
    <w:basedOn w:val="Normal"/>
    <w:uiPriority w:val="98"/>
    <w:semiHidden/>
    <w:rsid w:val="00BC30F3"/>
    <w:pPr>
      <w:numPr>
        <w:numId w:val="12"/>
      </w:numPr>
      <w:contextualSpacing/>
    </w:pPr>
  </w:style>
  <w:style w:type="paragraph" w:styleId="ListNumber2">
    <w:name w:val="List Number 2"/>
    <w:basedOn w:val="Normal"/>
    <w:uiPriority w:val="98"/>
    <w:semiHidden/>
    <w:rsid w:val="00BC30F3"/>
    <w:pPr>
      <w:numPr>
        <w:numId w:val="13"/>
      </w:numPr>
      <w:contextualSpacing/>
    </w:pPr>
  </w:style>
  <w:style w:type="paragraph" w:styleId="ListNumber3">
    <w:name w:val="List Number 3"/>
    <w:basedOn w:val="Normal"/>
    <w:uiPriority w:val="98"/>
    <w:semiHidden/>
    <w:rsid w:val="00BC30F3"/>
    <w:pPr>
      <w:numPr>
        <w:numId w:val="14"/>
      </w:numPr>
      <w:contextualSpacing/>
    </w:pPr>
  </w:style>
  <w:style w:type="paragraph" w:styleId="ListNumber4">
    <w:name w:val="List Number 4"/>
    <w:basedOn w:val="Normal"/>
    <w:uiPriority w:val="98"/>
    <w:semiHidden/>
    <w:rsid w:val="00BC30F3"/>
    <w:pPr>
      <w:numPr>
        <w:numId w:val="15"/>
      </w:numPr>
      <w:contextualSpacing/>
    </w:pPr>
  </w:style>
  <w:style w:type="paragraph" w:styleId="ListNumber5">
    <w:name w:val="List Number 5"/>
    <w:basedOn w:val="Normal"/>
    <w:uiPriority w:val="98"/>
    <w:semiHidden/>
    <w:rsid w:val="00BC30F3"/>
    <w:pPr>
      <w:numPr>
        <w:numId w:val="16"/>
      </w:numPr>
      <w:contextualSpacing/>
    </w:pPr>
  </w:style>
  <w:style w:type="paragraph" w:styleId="MacroText">
    <w:name w:val="macro"/>
    <w:link w:val="MacroTextChar"/>
    <w:uiPriority w:val="98"/>
    <w:semiHidden/>
    <w:rsid w:val="00BC30F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C30F3"/>
    <w:rPr>
      <w:rFonts w:ascii="Consolas" w:eastAsiaTheme="minorEastAsia" w:hAnsi="Consolas" w:cs="Consolas"/>
      <w:sz w:val="20"/>
      <w:szCs w:val="20"/>
    </w:rPr>
  </w:style>
  <w:style w:type="table" w:styleId="MediumGrid1">
    <w:name w:val="Medium Grid 1"/>
    <w:basedOn w:val="TableNormal"/>
    <w:uiPriority w:val="67"/>
    <w:semiHidden/>
    <w:rsid w:val="00BC30F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C30F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C30F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C30F3"/>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BC30F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C30F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C30F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C30F3"/>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BC30F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C30F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C30F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C30F3"/>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BC30F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C30F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C30F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C30F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C30F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C30F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C30F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C30F3"/>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C30F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C30F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C30F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C30F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C30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C30F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C30F3"/>
    <w:rPr>
      <w:rFonts w:ascii="Times New Roman" w:hAnsi="Times New Roman" w:cs="Times New Roman"/>
    </w:rPr>
  </w:style>
  <w:style w:type="paragraph" w:styleId="NormalIndent">
    <w:name w:val="Normal Indent"/>
    <w:basedOn w:val="Normal"/>
    <w:uiPriority w:val="98"/>
    <w:semiHidden/>
    <w:rsid w:val="00BC30F3"/>
    <w:pPr>
      <w:ind w:left="720"/>
    </w:pPr>
  </w:style>
  <w:style w:type="paragraph" w:styleId="NoteHeading">
    <w:name w:val="Note Heading"/>
    <w:basedOn w:val="Normal"/>
    <w:next w:val="Normal"/>
    <w:link w:val="NoteHeadingChar"/>
    <w:uiPriority w:val="98"/>
    <w:semiHidden/>
    <w:rsid w:val="00BC30F3"/>
  </w:style>
  <w:style w:type="character" w:customStyle="1" w:styleId="NoteHeadingChar">
    <w:name w:val="Note Heading Char"/>
    <w:basedOn w:val="DefaultParagraphFont"/>
    <w:link w:val="NoteHeading"/>
    <w:uiPriority w:val="98"/>
    <w:semiHidden/>
    <w:rsid w:val="00BC30F3"/>
    <w:rPr>
      <w:sz w:val="24"/>
      <w:szCs w:val="24"/>
      <w:lang w:val="ro-RO"/>
    </w:rPr>
  </w:style>
  <w:style w:type="character" w:styleId="PlaceholderText">
    <w:name w:val="Placeholder Text"/>
    <w:basedOn w:val="DefaultParagraphFont"/>
    <w:uiPriority w:val="98"/>
    <w:semiHidden/>
    <w:rsid w:val="00BC30F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C30F3"/>
    <w:rPr>
      <w:rFonts w:ascii="Consolas" w:hAnsi="Consolas" w:cs="Consolas"/>
      <w:sz w:val="21"/>
      <w:szCs w:val="21"/>
    </w:rPr>
  </w:style>
  <w:style w:type="character" w:customStyle="1" w:styleId="PlainTextChar">
    <w:name w:val="Plain Text Char"/>
    <w:basedOn w:val="DefaultParagraphFont"/>
    <w:link w:val="PlainText"/>
    <w:uiPriority w:val="98"/>
    <w:semiHidden/>
    <w:rsid w:val="00BC30F3"/>
    <w:rPr>
      <w:rFonts w:ascii="Consolas" w:hAnsi="Consolas" w:cs="Consolas"/>
      <w:sz w:val="21"/>
      <w:szCs w:val="21"/>
      <w:lang w:val="ro-RO"/>
    </w:rPr>
  </w:style>
  <w:style w:type="paragraph" w:styleId="Salutation">
    <w:name w:val="Salutation"/>
    <w:basedOn w:val="Normal"/>
    <w:next w:val="Normal"/>
    <w:link w:val="SalutationChar"/>
    <w:uiPriority w:val="98"/>
    <w:semiHidden/>
    <w:rsid w:val="00BC30F3"/>
  </w:style>
  <w:style w:type="character" w:customStyle="1" w:styleId="SalutationChar">
    <w:name w:val="Salutation Char"/>
    <w:basedOn w:val="DefaultParagraphFont"/>
    <w:link w:val="Salutation"/>
    <w:uiPriority w:val="98"/>
    <w:semiHidden/>
    <w:rsid w:val="00BC30F3"/>
    <w:rPr>
      <w:sz w:val="24"/>
      <w:szCs w:val="24"/>
      <w:lang w:val="ro-RO"/>
    </w:rPr>
  </w:style>
  <w:style w:type="paragraph" w:styleId="Signature">
    <w:name w:val="Signature"/>
    <w:basedOn w:val="Normal"/>
    <w:link w:val="SignatureChar"/>
    <w:uiPriority w:val="98"/>
    <w:semiHidden/>
    <w:rsid w:val="00BC30F3"/>
    <w:pPr>
      <w:ind w:left="4252"/>
    </w:pPr>
  </w:style>
  <w:style w:type="character" w:customStyle="1" w:styleId="SignatureChar">
    <w:name w:val="Signature Char"/>
    <w:basedOn w:val="DefaultParagraphFont"/>
    <w:link w:val="Signature"/>
    <w:uiPriority w:val="98"/>
    <w:semiHidden/>
    <w:rsid w:val="00BC30F3"/>
    <w:rPr>
      <w:sz w:val="24"/>
      <w:szCs w:val="24"/>
      <w:lang w:val="ro-RO"/>
    </w:rPr>
  </w:style>
  <w:style w:type="table" w:styleId="Table3Deffects1">
    <w:name w:val="Table 3D effects 1"/>
    <w:basedOn w:val="TableNormal"/>
    <w:uiPriority w:val="99"/>
    <w:semiHidden/>
    <w:unhideWhenUsed/>
    <w:rsid w:val="00BC30F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C30F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C30F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C30F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C30F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C30F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C30F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C30F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C30F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C30F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C30F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C30F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C30F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C30F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C30F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C30F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C30F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C30F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C30F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C30F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C30F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C30F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C30F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C30F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C30F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C30F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C30F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C30F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C30F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C30F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C30F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C30F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C30F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C30F3"/>
    <w:pPr>
      <w:ind w:left="240" w:hanging="240"/>
    </w:pPr>
  </w:style>
  <w:style w:type="paragraph" w:styleId="TableofFigures">
    <w:name w:val="table of figures"/>
    <w:basedOn w:val="Normal"/>
    <w:next w:val="Normal"/>
    <w:uiPriority w:val="98"/>
    <w:semiHidden/>
    <w:rsid w:val="00BC30F3"/>
  </w:style>
  <w:style w:type="table" w:styleId="TableProfessional">
    <w:name w:val="Table Professional"/>
    <w:basedOn w:val="TableNormal"/>
    <w:uiPriority w:val="99"/>
    <w:semiHidden/>
    <w:unhideWhenUsed/>
    <w:rsid w:val="00BC30F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C30F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C30F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C30F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C30F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C30F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C30F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C30F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C30F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C30F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BC30F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C30F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C30F3"/>
    <w:pPr>
      <w:spacing w:after="100"/>
      <w:ind w:left="1680"/>
    </w:pPr>
  </w:style>
  <w:style w:type="paragraph" w:styleId="TOC9">
    <w:name w:val="toc 9"/>
    <w:basedOn w:val="Normal"/>
    <w:next w:val="Normal"/>
    <w:autoRedefine/>
    <w:uiPriority w:val="98"/>
    <w:semiHidden/>
    <w:rsid w:val="00BC30F3"/>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BC30F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BC30F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C30F3"/>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BC30F3"/>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BC30F3"/>
    <w:pPr>
      <w:numPr>
        <w:numId w:val="18"/>
      </w:numPr>
      <w:spacing w:before="60" w:after="60"/>
    </w:pPr>
  </w:style>
  <w:style w:type="paragraph" w:customStyle="1" w:styleId="ECHRBullet2">
    <w:name w:val="ECHR_Bullet_2"/>
    <w:aliases w:val="_Bul_2"/>
    <w:basedOn w:val="ECHRBullet1"/>
    <w:uiPriority w:val="23"/>
    <w:semiHidden/>
    <w:rsid w:val="00BC30F3"/>
    <w:pPr>
      <w:numPr>
        <w:ilvl w:val="1"/>
      </w:numPr>
    </w:pPr>
  </w:style>
  <w:style w:type="paragraph" w:customStyle="1" w:styleId="ECHRBullet3">
    <w:name w:val="ECHR_Bullet_3"/>
    <w:aliases w:val="_Bul_3"/>
    <w:basedOn w:val="ECHRBullet2"/>
    <w:uiPriority w:val="23"/>
    <w:semiHidden/>
    <w:rsid w:val="00BC30F3"/>
    <w:pPr>
      <w:numPr>
        <w:ilvl w:val="2"/>
      </w:numPr>
    </w:pPr>
  </w:style>
  <w:style w:type="paragraph" w:customStyle="1" w:styleId="ECHRBullet4">
    <w:name w:val="ECHR_Bullet_4"/>
    <w:aliases w:val="_Bul_4"/>
    <w:basedOn w:val="ECHRBullet3"/>
    <w:uiPriority w:val="23"/>
    <w:semiHidden/>
    <w:rsid w:val="00BC30F3"/>
    <w:pPr>
      <w:numPr>
        <w:ilvl w:val="3"/>
      </w:numPr>
    </w:pPr>
  </w:style>
  <w:style w:type="paragraph" w:customStyle="1" w:styleId="ECHRConfidential">
    <w:name w:val="ECHR_Confidential"/>
    <w:aliases w:val="_Confidential"/>
    <w:basedOn w:val="Normal"/>
    <w:next w:val="Normal"/>
    <w:uiPriority w:val="42"/>
    <w:semiHidden/>
    <w:qFormat/>
    <w:rsid w:val="00BC30F3"/>
    <w:pPr>
      <w:jc w:val="right"/>
    </w:pPr>
    <w:rPr>
      <w:color w:val="C00000"/>
      <w:sz w:val="20"/>
    </w:rPr>
  </w:style>
  <w:style w:type="paragraph" w:customStyle="1" w:styleId="ECHRDecisionBody">
    <w:name w:val="ECHR_Decision_Body"/>
    <w:aliases w:val="_Decision_Body"/>
    <w:basedOn w:val="NormalJustified"/>
    <w:uiPriority w:val="54"/>
    <w:semiHidden/>
    <w:rsid w:val="00BC30F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BC30F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BC30F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BC30F3"/>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BC30F3"/>
    <w:pPr>
      <w:jc w:val="right"/>
    </w:pPr>
    <w:rPr>
      <w:sz w:val="20"/>
    </w:rPr>
  </w:style>
  <w:style w:type="paragraph" w:customStyle="1" w:styleId="ECHRHeaderRefIt">
    <w:name w:val="ECHR_Header_Ref_It"/>
    <w:aliases w:val="_Ref_Ital"/>
    <w:basedOn w:val="Normal"/>
    <w:next w:val="ECHRHeaderDate"/>
    <w:uiPriority w:val="43"/>
    <w:semiHidden/>
    <w:qFormat/>
    <w:rsid w:val="00BC30F3"/>
    <w:pPr>
      <w:jc w:val="right"/>
    </w:pPr>
    <w:rPr>
      <w:i/>
      <w:sz w:val="20"/>
    </w:rPr>
  </w:style>
  <w:style w:type="paragraph" w:customStyle="1" w:styleId="ECHRHeading9">
    <w:name w:val="ECHR_Heading_9"/>
    <w:aliases w:val="_Head_9"/>
    <w:basedOn w:val="Heading9"/>
    <w:uiPriority w:val="17"/>
    <w:semiHidden/>
    <w:rsid w:val="00BC30F3"/>
    <w:pPr>
      <w:keepNext/>
      <w:keepLines/>
      <w:numPr>
        <w:ilvl w:val="8"/>
        <w:numId w:val="17"/>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BC30F3"/>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BC30F3"/>
    <w:pPr>
      <w:numPr>
        <w:numId w:val="20"/>
      </w:numPr>
      <w:spacing w:before="60" w:after="60"/>
    </w:pPr>
  </w:style>
  <w:style w:type="paragraph" w:customStyle="1" w:styleId="ECHRNumberedList2">
    <w:name w:val="ECHR_Numbered_List_2"/>
    <w:aliases w:val="_Num_2"/>
    <w:basedOn w:val="ECHRNumberedList1"/>
    <w:uiPriority w:val="23"/>
    <w:semiHidden/>
    <w:rsid w:val="00BC30F3"/>
    <w:pPr>
      <w:numPr>
        <w:ilvl w:val="1"/>
      </w:numPr>
    </w:pPr>
  </w:style>
  <w:style w:type="paragraph" w:customStyle="1" w:styleId="ECHRNumberedList3">
    <w:name w:val="ECHR_Numbered_List_3"/>
    <w:aliases w:val="_Num_3"/>
    <w:basedOn w:val="ECHRNumberedList2"/>
    <w:uiPriority w:val="23"/>
    <w:semiHidden/>
    <w:rsid w:val="00BC30F3"/>
    <w:pPr>
      <w:numPr>
        <w:ilvl w:val="2"/>
      </w:numPr>
    </w:pPr>
  </w:style>
  <w:style w:type="paragraph" w:customStyle="1" w:styleId="ECHRParaHanging">
    <w:name w:val="ECHR_Para_Hanging"/>
    <w:aliases w:val="_Hanging"/>
    <w:basedOn w:val="NormalJustified"/>
    <w:uiPriority w:val="8"/>
    <w:semiHidden/>
    <w:qFormat/>
    <w:rsid w:val="00BC30F3"/>
    <w:pPr>
      <w:ind w:left="567" w:hanging="567"/>
    </w:pPr>
  </w:style>
  <w:style w:type="paragraph" w:customStyle="1" w:styleId="ECHRParaIndent">
    <w:name w:val="ECHR_Para_Indent"/>
    <w:aliases w:val="_Indent"/>
    <w:basedOn w:val="NormalJustified"/>
    <w:uiPriority w:val="7"/>
    <w:semiHidden/>
    <w:qFormat/>
    <w:rsid w:val="00BC30F3"/>
    <w:pPr>
      <w:spacing w:before="120" w:after="120"/>
      <w:ind w:left="567"/>
    </w:pPr>
  </w:style>
  <w:style w:type="character" w:customStyle="1" w:styleId="ECHRRed">
    <w:name w:val="ECHR_Red"/>
    <w:aliases w:val="_Red"/>
    <w:basedOn w:val="DefaultParagraphFont"/>
    <w:uiPriority w:val="15"/>
    <w:semiHidden/>
    <w:qFormat/>
    <w:rsid w:val="00BC30F3"/>
    <w:rPr>
      <w:color w:val="C00000" w:themeColor="accent2"/>
    </w:rPr>
  </w:style>
  <w:style w:type="paragraph" w:customStyle="1" w:styleId="DecList">
    <w:name w:val="Dec_List"/>
    <w:aliases w:val="_List"/>
    <w:basedOn w:val="JuList"/>
    <w:uiPriority w:val="22"/>
    <w:rsid w:val="00BC30F3"/>
    <w:pPr>
      <w:numPr>
        <w:numId w:val="0"/>
      </w:numPr>
      <w:ind w:left="284"/>
    </w:pPr>
  </w:style>
  <w:style w:type="table" w:customStyle="1" w:styleId="ECHRTable2">
    <w:name w:val="ECHR_Table_2"/>
    <w:basedOn w:val="TableNormal"/>
    <w:uiPriority w:val="99"/>
    <w:rsid w:val="00BC30F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C30F3"/>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BC30F3"/>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BC30F3"/>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BC30F3"/>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BC30F3"/>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BC30F3"/>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BC30F3"/>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BC30F3"/>
    <w:pPr>
      <w:outlineLvl w:val="0"/>
    </w:pPr>
  </w:style>
  <w:style w:type="paragraph" w:customStyle="1" w:styleId="ECHRTitleTOC1">
    <w:name w:val="ECHR_Title_TOC_1"/>
    <w:aliases w:val="_Title_L_TOC"/>
    <w:basedOn w:val="ECHRTitle1"/>
    <w:next w:val="Normal"/>
    <w:uiPriority w:val="27"/>
    <w:semiHidden/>
    <w:qFormat/>
    <w:rsid w:val="00BC30F3"/>
    <w:pPr>
      <w:outlineLvl w:val="0"/>
    </w:pPr>
  </w:style>
  <w:style w:type="paragraph" w:customStyle="1" w:styleId="ECHRPlaceholder">
    <w:name w:val="ECHR_Placeholder"/>
    <w:aliases w:val="_Placeholder"/>
    <w:basedOn w:val="JuSigned"/>
    <w:uiPriority w:val="31"/>
    <w:rsid w:val="00BC30F3"/>
    <w:rPr>
      <w:color w:val="FFFFFF"/>
    </w:rPr>
  </w:style>
  <w:style w:type="paragraph" w:customStyle="1" w:styleId="ECHRSpacer">
    <w:name w:val="ECHR_Spacer"/>
    <w:aliases w:val="_Spacer"/>
    <w:basedOn w:val="Normal"/>
    <w:uiPriority w:val="45"/>
    <w:semiHidden/>
    <w:rsid w:val="00BC30F3"/>
    <w:rPr>
      <w:sz w:val="4"/>
    </w:rPr>
  </w:style>
  <w:style w:type="table" w:customStyle="1" w:styleId="ECHRTableGrey">
    <w:name w:val="ECHR_Table_Grey"/>
    <w:basedOn w:val="TableNormal"/>
    <w:uiPriority w:val="99"/>
    <w:rsid w:val="00BC30F3"/>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6C5EA7"/>
    <w:rPr>
      <w:sz w:val="24"/>
      <w:szCs w:val="24"/>
      <w:lang w:val="ro-RO"/>
    </w:rPr>
  </w:style>
  <w:style w:type="table" w:styleId="GridTable1Light-Accent1">
    <w:name w:val="Grid Table 1 Light Accent 1"/>
    <w:basedOn w:val="TableNormal"/>
    <w:uiPriority w:val="46"/>
    <w:semiHidden/>
    <w:rsid w:val="00BC30F3"/>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C30F3"/>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C30F3"/>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C30F3"/>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C30F3"/>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C30F3"/>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C30F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C30F3"/>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C30F3"/>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C30F3"/>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BC30F3"/>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C30F3"/>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C30F3"/>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C30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C30F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C30F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C30F3"/>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BC30F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C30F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C30F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C30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C30F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C30F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C30F3"/>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BC30F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C30F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C30F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C30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C30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C30F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C30F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C30F3"/>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BC30F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C30F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C30F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C30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C30F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C30F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C30F3"/>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BC30F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C30F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C30F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BC30F3"/>
    <w:rPr>
      <w:color w:val="2B579A"/>
      <w:shd w:val="clear" w:color="auto" w:fill="E1DFDD"/>
    </w:rPr>
  </w:style>
  <w:style w:type="table" w:styleId="ListTable1Light">
    <w:name w:val="List Table 1 Light"/>
    <w:basedOn w:val="TableNormal"/>
    <w:uiPriority w:val="46"/>
    <w:semiHidden/>
    <w:rsid w:val="00BC30F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C30F3"/>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C30F3"/>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C30F3"/>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BC30F3"/>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C30F3"/>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C30F3"/>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C30F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C30F3"/>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C30F3"/>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C30F3"/>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BC30F3"/>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C30F3"/>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C30F3"/>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C30F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C30F3"/>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C30F3"/>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C30F3"/>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BC30F3"/>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C30F3"/>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C30F3"/>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C30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C30F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C30F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C30F3"/>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BC30F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C30F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C30F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C30F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C30F3"/>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C30F3"/>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C30F3"/>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C30F3"/>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C30F3"/>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C30F3"/>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C30F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C30F3"/>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C30F3"/>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C30F3"/>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BC30F3"/>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C30F3"/>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C30F3"/>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C30F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C30F3"/>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C30F3"/>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C30F3"/>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C30F3"/>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C30F3"/>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C30F3"/>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BC30F3"/>
    <w:rPr>
      <w:color w:val="2B579A"/>
      <w:shd w:val="clear" w:color="auto" w:fill="E1DFDD"/>
    </w:rPr>
  </w:style>
  <w:style w:type="table" w:styleId="PlainTable1">
    <w:name w:val="Plain Table 1"/>
    <w:basedOn w:val="TableNormal"/>
    <w:uiPriority w:val="41"/>
    <w:semiHidden/>
    <w:rsid w:val="00BC30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C30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C30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C30F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C30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BC30F3"/>
    <w:rPr>
      <w:u w:val="dotted"/>
    </w:rPr>
  </w:style>
  <w:style w:type="character" w:customStyle="1" w:styleId="SmartLink">
    <w:name w:val="Smart Link"/>
    <w:basedOn w:val="DefaultParagraphFont"/>
    <w:uiPriority w:val="99"/>
    <w:semiHidden/>
    <w:unhideWhenUsed/>
    <w:rsid w:val="00BC30F3"/>
    <w:rPr>
      <w:color w:val="0000FF"/>
      <w:u w:val="single"/>
      <w:shd w:val="clear" w:color="auto" w:fill="F3F2F1"/>
    </w:rPr>
  </w:style>
  <w:style w:type="table" w:styleId="TableGridLight">
    <w:name w:val="Grid Table Light"/>
    <w:basedOn w:val="TableNormal"/>
    <w:uiPriority w:val="40"/>
    <w:semiHidden/>
    <w:rsid w:val="00BC30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ummyStyle">
    <w:name w:val="Dummy_Style"/>
    <w:aliases w:val="_Dummy"/>
    <w:basedOn w:val="Normal"/>
    <w:semiHidden/>
    <w:qFormat/>
    <w:rsid w:val="00BC30F3"/>
    <w:rPr>
      <w:color w:val="00B05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2AE48-AFE7-47F3-87C0-1E5978A4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2343</Words>
  <Characters>13590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AFFAIRE ALEXFORCAM S.R.L. c. ROUMANIE</dc:title>
  <dc:subject>JUDF</dc:subject>
  <dc:creator/>
  <cp:lastModifiedBy/>
  <cp:revision>1</cp:revision>
  <dcterms:created xsi:type="dcterms:W3CDTF">2026-06-25T10:09:00Z</dcterms:created>
  <dcterms:modified xsi:type="dcterms:W3CDTF">2026-07-06T10:35:00Z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1502921</vt:lpwstr>
  </property>
  <property fmtid="{D5CDD505-2E9C-101B-9397-08002B2CF9AE}" pid="3" name="cstLanguage">
    <vt:i4>1036</vt:i4>
  </property>
  <property fmtid="{D5CDD505-2E9C-101B-9397-08002B2CF9AE}" pid="4" name="RegisteredNo">
    <vt:lpwstr>64910/19</vt:lpwstr>
  </property>
</Properties>
</file>