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AACB5" w14:textId="29351407" w:rsidR="007A0164" w:rsidRDefault="007A0164">
      <w:pPr>
        <w:spacing w:line="1" w:lineRule="exact"/>
      </w:pPr>
    </w:p>
    <w:p w14:paraId="744E0C7C" w14:textId="5B7FAE8B" w:rsidR="000D2DE7" w:rsidRDefault="000D2DE7">
      <w:pPr>
        <w:pStyle w:val="Bodytext10"/>
        <w:jc w:val="center"/>
        <w:rPr>
          <w:rStyle w:val="Bodytext1"/>
          <w:b/>
          <w:bCs/>
        </w:rPr>
      </w:pPr>
      <w:r w:rsidRPr="000D2DE7">
        <w:rPr>
          <w:rStyle w:val="Bodytext1"/>
          <w:b/>
          <w:bCs/>
          <w:noProof/>
          <w:lang w:val="en-US"/>
        </w:rPr>
        <w:drawing>
          <wp:inline distT="0" distB="0" distL="0" distR="0" wp14:anchorId="3C502E12" wp14:editId="58E4937E">
            <wp:extent cx="5958840" cy="727559"/>
            <wp:effectExtent l="0" t="0" r="381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8840" cy="727559"/>
                    </a:xfrm>
                    <a:prstGeom prst="rect">
                      <a:avLst/>
                    </a:prstGeom>
                    <a:noFill/>
                    <a:ln>
                      <a:noFill/>
                    </a:ln>
                  </pic:spPr>
                </pic:pic>
              </a:graphicData>
            </a:graphic>
          </wp:inline>
        </w:drawing>
      </w:r>
    </w:p>
    <w:p w14:paraId="05DD2386" w14:textId="77777777" w:rsidR="000D2DE7" w:rsidRDefault="000D2DE7" w:rsidP="000D2DE7">
      <w:pPr>
        <w:pStyle w:val="Bodytext10"/>
        <w:rPr>
          <w:rStyle w:val="Bodytext1"/>
          <w:b/>
          <w:bCs/>
        </w:rPr>
      </w:pPr>
    </w:p>
    <w:p w14:paraId="152C2E30" w14:textId="5DFE3410" w:rsidR="007A0164" w:rsidRPr="000D2DE7" w:rsidRDefault="00423DE4" w:rsidP="000D2DE7">
      <w:pPr>
        <w:pStyle w:val="Bodytext10"/>
        <w:jc w:val="center"/>
        <w:rPr>
          <w:b/>
          <w:bCs/>
        </w:rPr>
      </w:pPr>
      <w:r>
        <w:rPr>
          <w:rStyle w:val="Bodytext1"/>
          <w:b/>
          <w:bCs/>
        </w:rPr>
        <w:t>Declarația de la Riga</w:t>
      </w:r>
      <w:r>
        <w:rPr>
          <w:rStyle w:val="Bodytext1"/>
          <w:b/>
          <w:bCs/>
        </w:rPr>
        <w:br/>
        <w:t xml:space="preserve">Confruntarea </w:t>
      </w:r>
      <w:r w:rsidR="000D2DE7">
        <w:rPr>
          <w:rStyle w:val="Bodytext1"/>
          <w:b/>
          <w:bCs/>
        </w:rPr>
        <w:t xml:space="preserve">ameninţărilor faţă de </w:t>
      </w:r>
      <w:r>
        <w:rPr>
          <w:rStyle w:val="Bodytext1"/>
          <w:b/>
          <w:bCs/>
        </w:rPr>
        <w:t>statul de drept</w:t>
      </w:r>
    </w:p>
    <w:p w14:paraId="5AF496F1" w14:textId="7B6008AB" w:rsidR="007A0164" w:rsidRDefault="000D2DE7">
      <w:pPr>
        <w:pStyle w:val="Heading110"/>
        <w:keepNext/>
        <w:keepLines/>
        <w:ind w:firstLine="140"/>
      </w:pPr>
      <w:bookmarkStart w:id="0" w:name="bookmark0"/>
      <w:r>
        <w:rPr>
          <w:rStyle w:val="Heading11"/>
        </w:rPr>
        <w:t>I. P</w:t>
      </w:r>
      <w:r w:rsidR="00423DE4">
        <w:rPr>
          <w:rStyle w:val="Heading11"/>
        </w:rPr>
        <w:t>reambul</w:t>
      </w:r>
      <w:bookmarkEnd w:id="0"/>
    </w:p>
    <w:p w14:paraId="744F7B88" w14:textId="13992202" w:rsidR="007A0164" w:rsidRDefault="00423DE4">
      <w:pPr>
        <w:pStyle w:val="Bodytext10"/>
        <w:numPr>
          <w:ilvl w:val="0"/>
          <w:numId w:val="1"/>
        </w:numPr>
        <w:tabs>
          <w:tab w:val="left" w:pos="358"/>
        </w:tabs>
        <w:ind w:left="440" w:hanging="440"/>
        <w:jc w:val="both"/>
      </w:pPr>
      <w:r>
        <w:rPr>
          <w:rStyle w:val="Bodytext1"/>
        </w:rPr>
        <w:t xml:space="preserve">Statul de drept este esențial pentru respectarea valorilor fundamentale ale demnității umane, libertății, democrației, egalității și </w:t>
      </w:r>
      <w:r w:rsidR="000D2DE7">
        <w:rPr>
          <w:rStyle w:val="Bodytext1"/>
        </w:rPr>
        <w:t xml:space="preserve">drepturilor omului (articolul 2 </w:t>
      </w:r>
      <w:r>
        <w:rPr>
          <w:rStyle w:val="Bodytext1"/>
        </w:rPr>
        <w:t xml:space="preserve">TUE), pe care se întemeiază Uniunea Europeană. Respectarea statului de drept impune ca toate prerogativele de autoritate publică să acționeze în conformitate cu aceste valori și în limitele stabilite prin lege. Sistemul judiciar este garantul respectării drepturilor </w:t>
      </w:r>
      <w:r w:rsidR="000D2DE7">
        <w:rPr>
          <w:rStyle w:val="Bodytext1"/>
        </w:rPr>
        <w:t>cetăţenilor</w:t>
      </w:r>
      <w:r>
        <w:rPr>
          <w:rStyle w:val="Bodytext1"/>
        </w:rPr>
        <w:t xml:space="preserve"> prin aplicarea legii. Sistemul judiciar trebuie să contribuie la </w:t>
      </w:r>
      <w:r w:rsidR="000D2DE7">
        <w:rPr>
          <w:rStyle w:val="Bodytext1"/>
        </w:rPr>
        <w:t>susţinerea</w:t>
      </w:r>
      <w:r>
        <w:rPr>
          <w:rStyle w:val="Bodytext1"/>
        </w:rPr>
        <w:t xml:space="preserve"> statului de drept prin decizii de calitate, </w:t>
      </w:r>
      <w:r w:rsidR="000D2DE7">
        <w:rPr>
          <w:rStyle w:val="Bodytext1"/>
        </w:rPr>
        <w:t xml:space="preserve">celeritatea actului de </w:t>
      </w:r>
      <w:r>
        <w:rPr>
          <w:rStyle w:val="Bodytext1"/>
        </w:rPr>
        <w:t>justiție și deschidere către societate. Prin urmare, imparțialitatea și independența sa trebuie apărate fără echivoc.</w:t>
      </w:r>
    </w:p>
    <w:p w14:paraId="28430466" w14:textId="77777777" w:rsidR="007A0164" w:rsidRDefault="00423DE4">
      <w:pPr>
        <w:pStyle w:val="Bodytext10"/>
        <w:numPr>
          <w:ilvl w:val="0"/>
          <w:numId w:val="1"/>
        </w:numPr>
        <w:tabs>
          <w:tab w:val="left" w:pos="358"/>
        </w:tabs>
        <w:ind w:left="440" w:hanging="440"/>
        <w:jc w:val="both"/>
      </w:pPr>
      <w:r>
        <w:rPr>
          <w:rStyle w:val="Bodytext1"/>
        </w:rPr>
        <w:t>Statul de drept cuprinde elemente multiple, care se manifestă în diferite domenii de activitate. Prezenta declarație abordează nu numai amenințările la adresa statului de drept, ci și acțiunile necesare pentru a le aborda din punctul de vedere al consiliilor judiciare și al organismelor alternative de guvernanță judiciară.</w:t>
      </w:r>
    </w:p>
    <w:p w14:paraId="2E0C776D" w14:textId="348B93ED" w:rsidR="007A0164" w:rsidRDefault="00423DE4">
      <w:pPr>
        <w:pStyle w:val="Bodytext10"/>
        <w:numPr>
          <w:ilvl w:val="0"/>
          <w:numId w:val="1"/>
        </w:numPr>
        <w:tabs>
          <w:tab w:val="left" w:pos="358"/>
        </w:tabs>
        <w:ind w:left="440" w:hanging="440"/>
        <w:jc w:val="both"/>
      </w:pPr>
      <w:r>
        <w:rPr>
          <w:rStyle w:val="Bodytext1"/>
        </w:rPr>
        <w:t>În ultimii</w:t>
      </w:r>
      <w:r w:rsidR="000D2DE7">
        <w:rPr>
          <w:rStyle w:val="Bodytext1"/>
        </w:rPr>
        <w:t xml:space="preserve"> ani, o combinație de factori a</w:t>
      </w:r>
      <w:r>
        <w:rPr>
          <w:rStyle w:val="Bodytext1"/>
        </w:rPr>
        <w:t xml:space="preserve"> creat provocări fundamentale pentru statul de drept. Printre acești factori se numără evoluțiile politice, schimbările societale, evoluțiile majore ale peisajului mediatic și impactul progreselor digitale. Fiecare dintre aceste fenomene prezintă amenințări reale la adresa statului de drept și provocări conexe pentru sistemul judiciar. Pentru a explica modul în care pot fi abordate aceste provocări, </w:t>
      </w:r>
      <w:r w:rsidR="000D2DE7">
        <w:rPr>
          <w:rStyle w:val="Bodytext1"/>
        </w:rPr>
        <w:t xml:space="preserve">acestea trebuie mai întâi </w:t>
      </w:r>
      <w:r>
        <w:rPr>
          <w:rStyle w:val="Bodytext1"/>
        </w:rPr>
        <w:t>desc</w:t>
      </w:r>
      <w:r w:rsidR="000D2DE7">
        <w:rPr>
          <w:rStyle w:val="Bodytext1"/>
        </w:rPr>
        <w:t>rise</w:t>
      </w:r>
      <w:r>
        <w:rPr>
          <w:rStyle w:val="Bodytext1"/>
        </w:rPr>
        <w:t>.</w:t>
      </w:r>
    </w:p>
    <w:p w14:paraId="2F4E572E" w14:textId="77777777" w:rsidR="007A0164" w:rsidRDefault="00423DE4">
      <w:pPr>
        <w:pStyle w:val="Heading110"/>
        <w:keepNext/>
        <w:keepLines/>
        <w:numPr>
          <w:ilvl w:val="0"/>
          <w:numId w:val="2"/>
        </w:numPr>
        <w:tabs>
          <w:tab w:val="left" w:pos="358"/>
        </w:tabs>
      </w:pPr>
      <w:bookmarkStart w:id="1" w:name="bookmark2"/>
      <w:r>
        <w:rPr>
          <w:rStyle w:val="Heading11"/>
        </w:rPr>
        <w:t>Provocări</w:t>
      </w:r>
      <w:bookmarkEnd w:id="1"/>
    </w:p>
    <w:p w14:paraId="6B735D98" w14:textId="77777777" w:rsidR="007A0164" w:rsidRDefault="00423DE4">
      <w:pPr>
        <w:pStyle w:val="Bodytext10"/>
        <w:numPr>
          <w:ilvl w:val="0"/>
          <w:numId w:val="3"/>
        </w:numPr>
        <w:tabs>
          <w:tab w:val="left" w:pos="358"/>
        </w:tabs>
        <w:spacing w:line="269" w:lineRule="auto"/>
        <w:ind w:left="440" w:hanging="440"/>
        <w:jc w:val="both"/>
      </w:pPr>
      <w:r>
        <w:rPr>
          <w:rStyle w:val="Bodytext1"/>
        </w:rPr>
        <w:t>Amenințările la adresa statului de drept variază prin natura, amploarea și efectul lor. Unele dintre acestea sunt clare, în timp ce altele sunt mai neclare și apar printr-o combinație de măsuri puse în aplicare de-a lungul timpului. Efectele acestor măsuri pot varia de la un efect disuasiv în cadrul sistemului judiciar până la erodarea încrederii societății în instituțiile judiciare.</w:t>
      </w:r>
    </w:p>
    <w:p w14:paraId="43DA80E9" w14:textId="21B2CAE7" w:rsidR="007A0164" w:rsidRDefault="00423DE4">
      <w:pPr>
        <w:pStyle w:val="Bodytext10"/>
        <w:numPr>
          <w:ilvl w:val="0"/>
          <w:numId w:val="3"/>
        </w:numPr>
        <w:tabs>
          <w:tab w:val="left" w:pos="358"/>
        </w:tabs>
        <w:spacing w:line="271" w:lineRule="auto"/>
        <w:ind w:left="440" w:hanging="440"/>
        <w:jc w:val="both"/>
      </w:pPr>
      <w:r>
        <w:rPr>
          <w:rStyle w:val="Bodytext1"/>
        </w:rPr>
        <w:t>Mai multe provocări se referă la separ</w:t>
      </w:r>
      <w:r w:rsidR="00D54F84">
        <w:rPr>
          <w:rStyle w:val="Bodytext1"/>
        </w:rPr>
        <w:t>aţia</w:t>
      </w:r>
      <w:r>
        <w:rPr>
          <w:rStyle w:val="Bodytext1"/>
        </w:rPr>
        <w:t xml:space="preserve"> puterilor și la sistemul de control și echilibru – esența democrației. În acest cadru, puterea judecătorească trebuie să păstreze competența de a controla legalitatea acțiunii puterii executive și, dacă este cazul, a puterii legislative. Atunci când acest echilibru este rupt, sistemul judiciar nu poate funcționa corect. D</w:t>
      </w:r>
      <w:r w:rsidR="00D54F84">
        <w:rPr>
          <w:rStyle w:val="Bodytext1"/>
        </w:rPr>
        <w:t>reptul la un proces echitabil în faţa unei instanțe</w:t>
      </w:r>
      <w:r>
        <w:rPr>
          <w:rStyle w:val="Bodytext1"/>
        </w:rPr>
        <w:t xml:space="preserve"> independent</w:t>
      </w:r>
      <w:r w:rsidR="00D54F84">
        <w:rPr>
          <w:rStyle w:val="Bodytext1"/>
        </w:rPr>
        <w:t>e</w:t>
      </w:r>
      <w:r>
        <w:rPr>
          <w:rStyle w:val="Bodytext1"/>
        </w:rPr>
        <w:t xml:space="preserve"> este subminat.</w:t>
      </w:r>
    </w:p>
    <w:p w14:paraId="30904BAE" w14:textId="6C5587A9" w:rsidR="007A0164" w:rsidRDefault="00423DE4">
      <w:pPr>
        <w:pStyle w:val="Bodytext10"/>
        <w:numPr>
          <w:ilvl w:val="0"/>
          <w:numId w:val="3"/>
        </w:numPr>
        <w:tabs>
          <w:tab w:val="left" w:pos="358"/>
        </w:tabs>
        <w:ind w:left="440" w:hanging="440"/>
        <w:jc w:val="both"/>
      </w:pPr>
      <w:r>
        <w:rPr>
          <w:rStyle w:val="Bodytext1"/>
        </w:rPr>
        <w:t xml:space="preserve">În unele țări, relațiile cu alte autorități publice au devenit din ce în ce mai problematice. Situația s-a deteriorat în </w:t>
      </w:r>
      <w:r w:rsidR="002763B4">
        <w:rPr>
          <w:rStyle w:val="Bodytext1"/>
        </w:rPr>
        <w:t>ceea ce priveşte mai multe ţări membre</w:t>
      </w:r>
      <w:r w:rsidR="002763B4">
        <w:rPr>
          <w:rStyle w:val="Bodytext1"/>
          <w:lang w:val="en-US"/>
        </w:rPr>
        <w:t>/</w:t>
      </w:r>
      <w:r>
        <w:rPr>
          <w:rStyle w:val="Bodytext1"/>
        </w:rPr>
        <w:t>observatori ai ENCJ. Slăbirea sist</w:t>
      </w:r>
      <w:r w:rsidR="00D54F84">
        <w:rPr>
          <w:rStyle w:val="Bodytext1"/>
        </w:rPr>
        <w:t>emului judiciar poate include refuzul punerii</w:t>
      </w:r>
      <w:r>
        <w:rPr>
          <w:rStyle w:val="Bodytext1"/>
        </w:rPr>
        <w:t xml:space="preserve"> în aplicare a deciziilor contrare guvernului, lipsa unei consultări adecvate a sistemului judiciar cu privire la proiectele legislative relevante și punerea în aplicare a reformelor fără consimțământul sistemului judiciar.</w:t>
      </w:r>
    </w:p>
    <w:p w14:paraId="2AB40E4E" w14:textId="387DC469" w:rsidR="007A0164" w:rsidRDefault="00423DE4">
      <w:pPr>
        <w:pStyle w:val="Bodytext10"/>
        <w:ind w:left="440"/>
        <w:jc w:val="both"/>
      </w:pPr>
      <w:r>
        <w:rPr>
          <w:rStyle w:val="Bodytext1"/>
        </w:rPr>
        <w:t xml:space="preserve">Judecătorii ar trebui să accepte </w:t>
      </w:r>
      <w:r w:rsidR="00D54F84">
        <w:rPr>
          <w:rStyle w:val="Bodytext1"/>
        </w:rPr>
        <w:t>critica</w:t>
      </w:r>
      <w:r>
        <w:rPr>
          <w:rStyle w:val="Bodytext1"/>
        </w:rPr>
        <w:t xml:space="preserve"> legitim</w:t>
      </w:r>
      <w:r w:rsidR="00D54F84">
        <w:rPr>
          <w:rStyle w:val="Bodytext1"/>
        </w:rPr>
        <w:t>ă</w:t>
      </w:r>
      <w:r>
        <w:rPr>
          <w:rStyle w:val="Bodytext1"/>
        </w:rPr>
        <w:t xml:space="preserve">. Cu toate acestea, s-a întâmplat ca autoritățile publice și </w:t>
      </w:r>
      <w:r w:rsidR="00D54F84">
        <w:rPr>
          <w:rStyle w:val="Bodytext1"/>
        </w:rPr>
        <w:t>oamenii politici să atace</w:t>
      </w:r>
      <w:r>
        <w:rPr>
          <w:rStyle w:val="Bodytext1"/>
        </w:rPr>
        <w:t xml:space="preserve"> în mod public atât judecătorii</w:t>
      </w:r>
      <w:r w:rsidR="00D54F84">
        <w:rPr>
          <w:rStyle w:val="Bodytext1"/>
        </w:rPr>
        <w:t xml:space="preserve"> în nume propriu</w:t>
      </w:r>
      <w:r>
        <w:rPr>
          <w:rStyle w:val="Bodytext1"/>
        </w:rPr>
        <w:t xml:space="preserve">, cât și sistemul judiciar în </w:t>
      </w:r>
      <w:r w:rsidR="00D54F84">
        <w:rPr>
          <w:rStyle w:val="Bodytext1"/>
        </w:rPr>
        <w:t>ansamblul său</w:t>
      </w:r>
      <w:r>
        <w:rPr>
          <w:rStyle w:val="Bodytext1"/>
        </w:rPr>
        <w:t xml:space="preserve">. În mod inevitabil, astfel de atacuri vor diminua sau vor distruge încrederea societății în </w:t>
      </w:r>
      <w:r>
        <w:rPr>
          <w:rStyle w:val="Bodytext1"/>
        </w:rPr>
        <w:lastRenderedPageBreak/>
        <w:t>administrarea justiției în ansamblul său. Atacarea judecătorilor pentru exercitarea funcțiilor lor judiciare constitui</w:t>
      </w:r>
      <w:r w:rsidR="00D54F84">
        <w:rPr>
          <w:rStyle w:val="Bodytext1"/>
        </w:rPr>
        <w:t>e o încălcare vădită a separaţiei</w:t>
      </w:r>
      <w:r>
        <w:rPr>
          <w:rStyle w:val="Bodytext1"/>
        </w:rPr>
        <w:t xml:space="preserve"> puterilor.</w:t>
      </w:r>
    </w:p>
    <w:p w14:paraId="589593BC" w14:textId="346D5877" w:rsidR="007A0164" w:rsidRDefault="00D54F84">
      <w:pPr>
        <w:pStyle w:val="Bodytext10"/>
        <w:numPr>
          <w:ilvl w:val="0"/>
          <w:numId w:val="3"/>
        </w:numPr>
        <w:tabs>
          <w:tab w:val="left" w:pos="364"/>
        </w:tabs>
        <w:ind w:left="440" w:hanging="440"/>
        <w:jc w:val="both"/>
      </w:pPr>
      <w:r>
        <w:rPr>
          <w:rStyle w:val="Bodytext1"/>
        </w:rPr>
        <w:t xml:space="preserve">Mass-media liberă </w:t>
      </w:r>
      <w:r w:rsidR="00423DE4">
        <w:rPr>
          <w:rStyle w:val="Bodytext1"/>
        </w:rPr>
        <w:t xml:space="preserve">este un câine </w:t>
      </w:r>
      <w:r>
        <w:rPr>
          <w:rStyle w:val="Bodytext1"/>
        </w:rPr>
        <w:t xml:space="preserve">de pază </w:t>
      </w:r>
      <w:r w:rsidR="00423DE4">
        <w:rPr>
          <w:rStyle w:val="Bodytext1"/>
        </w:rPr>
        <w:t xml:space="preserve">al democrației. Este una dintre instituțiile care apără statul de drept. </w:t>
      </w:r>
      <w:r>
        <w:rPr>
          <w:rStyle w:val="Bodytext1"/>
        </w:rPr>
        <w:t>Libertatea mass-mediei, ameninţată într-un număr tot mai mare de ţări</w:t>
      </w:r>
      <w:r w:rsidR="00423DE4">
        <w:rPr>
          <w:rStyle w:val="Bodytext1"/>
        </w:rPr>
        <w:t xml:space="preserve">, aduce o contribuție importantă la transparența și la deschiderea sistemului judiciar. Cu toate acestea, există o tendință crescândă a politicienilor și a altor </w:t>
      </w:r>
      <w:r>
        <w:rPr>
          <w:rStyle w:val="Bodytext1"/>
        </w:rPr>
        <w:t>persoane</w:t>
      </w:r>
      <w:r w:rsidR="00423DE4">
        <w:rPr>
          <w:rStyle w:val="Bodytext1"/>
        </w:rPr>
        <w:t xml:space="preserve"> de a influența mass-media și de a </w:t>
      </w:r>
      <w:r>
        <w:rPr>
          <w:rStyle w:val="Bodytext1"/>
        </w:rPr>
        <w:t>o</w:t>
      </w:r>
      <w:r w:rsidR="00423DE4">
        <w:rPr>
          <w:rStyle w:val="Bodytext1"/>
        </w:rPr>
        <w:t xml:space="preserve"> utiliza ca mijloc de contestare a hotărârilor judecătorești. La rândul său, acest lucru </w:t>
      </w:r>
      <w:r>
        <w:rPr>
          <w:rStyle w:val="Bodytext1"/>
        </w:rPr>
        <w:t>reprezintă o</w:t>
      </w:r>
      <w:r w:rsidR="00423DE4">
        <w:rPr>
          <w:rStyle w:val="Bodytext1"/>
        </w:rPr>
        <w:t xml:space="preserve"> presiun</w:t>
      </w:r>
      <w:r>
        <w:rPr>
          <w:rStyle w:val="Bodytext1"/>
        </w:rPr>
        <w:t>e</w:t>
      </w:r>
      <w:r w:rsidR="00423DE4">
        <w:rPr>
          <w:rStyle w:val="Bodytext1"/>
        </w:rPr>
        <w:t xml:space="preserve"> asupra sistemului judiciar prin informarea necorespunzătoare, dezinformarea și expunerea </w:t>
      </w:r>
      <w:r>
        <w:rPr>
          <w:rStyle w:val="Bodytext1"/>
        </w:rPr>
        <w:t>nominală</w:t>
      </w:r>
      <w:r w:rsidR="00423DE4">
        <w:rPr>
          <w:rStyle w:val="Bodytext1"/>
        </w:rPr>
        <w:t xml:space="preserve"> a judecătorilor. Aceste presiuni au generat amenințări nu numai pentru reputația judecătorilor, ci și pentru securitatea lor fizică și </w:t>
      </w:r>
      <w:r w:rsidR="00140128">
        <w:rPr>
          <w:rStyle w:val="Bodytext1"/>
        </w:rPr>
        <w:t>psihică</w:t>
      </w:r>
      <w:r w:rsidR="00423DE4">
        <w:rPr>
          <w:rStyle w:val="Bodytext1"/>
        </w:rPr>
        <w:t xml:space="preserve"> în </w:t>
      </w:r>
      <w:r w:rsidR="00140128">
        <w:rPr>
          <w:rStyle w:val="Bodytext1"/>
        </w:rPr>
        <w:t>instanţe</w:t>
      </w:r>
      <w:r w:rsidR="00423DE4">
        <w:rPr>
          <w:rStyle w:val="Bodytext1"/>
        </w:rPr>
        <w:t xml:space="preserve"> și în </w:t>
      </w:r>
      <w:r w:rsidR="00140128">
        <w:rPr>
          <w:rStyle w:val="Bodytext1"/>
        </w:rPr>
        <w:t>afara acestora</w:t>
      </w:r>
      <w:r w:rsidR="00423DE4">
        <w:rPr>
          <w:rStyle w:val="Bodytext1"/>
        </w:rPr>
        <w:t xml:space="preserve">. </w:t>
      </w:r>
      <w:r w:rsidR="00140128">
        <w:rPr>
          <w:rStyle w:val="Bodytext1"/>
        </w:rPr>
        <w:t>Justiţiabilii, din ce în ce mai nemulţumiţi, se simt îndreptățiti</w:t>
      </w:r>
      <w:r w:rsidR="00423DE4">
        <w:rPr>
          <w:rStyle w:val="Bodytext1"/>
        </w:rPr>
        <w:t xml:space="preserve"> să formuleze plângeri împotriva funcționarilor publici, inclusiv a judecătorilor.</w:t>
      </w:r>
    </w:p>
    <w:p w14:paraId="7D51857C" w14:textId="2569D551" w:rsidR="007A0164" w:rsidRDefault="00423DE4">
      <w:pPr>
        <w:pStyle w:val="Bodytext10"/>
        <w:numPr>
          <w:ilvl w:val="0"/>
          <w:numId w:val="3"/>
        </w:numPr>
        <w:tabs>
          <w:tab w:val="left" w:pos="364"/>
        </w:tabs>
        <w:ind w:left="440" w:hanging="440"/>
        <w:jc w:val="both"/>
      </w:pPr>
      <w:r>
        <w:rPr>
          <w:rStyle w:val="Bodytext1"/>
        </w:rPr>
        <w:t>Peisajul mediatic merită o atenție deosebită. Rolul</w:t>
      </w:r>
      <w:r w:rsidR="00140128">
        <w:rPr>
          <w:rStyle w:val="Bodytext1"/>
        </w:rPr>
        <w:t xml:space="preserve"> tot mai</w:t>
      </w:r>
      <w:r>
        <w:rPr>
          <w:rStyle w:val="Bodytext1"/>
        </w:rPr>
        <w:t xml:space="preserve"> redus al mass-mediei tradiționale și al jurnalismului de investigație, combinat cu intensificarea platform</w:t>
      </w:r>
      <w:r w:rsidR="00140128">
        <w:rPr>
          <w:rStyle w:val="Bodytext1"/>
        </w:rPr>
        <w:t xml:space="preserve">elor de comunicare socială și a </w:t>
      </w:r>
      <w:r>
        <w:rPr>
          <w:rStyle w:val="Bodytext1"/>
        </w:rPr>
        <w:t xml:space="preserve">autoraportării, sporește riscul </w:t>
      </w:r>
      <w:r w:rsidR="00140128">
        <w:rPr>
          <w:rStyle w:val="Bodytext1"/>
        </w:rPr>
        <w:t>apariţiei unor verdicte ale mass-mediei</w:t>
      </w:r>
      <w:r>
        <w:rPr>
          <w:rStyle w:val="Bodytext1"/>
        </w:rPr>
        <w:t xml:space="preserve"> în cazurile </w:t>
      </w:r>
      <w:r w:rsidR="00140128">
        <w:rPr>
          <w:rStyle w:val="Bodytext1"/>
        </w:rPr>
        <w:t>intens mediatizate</w:t>
      </w:r>
      <w:r>
        <w:rPr>
          <w:rStyle w:val="Bodytext1"/>
        </w:rPr>
        <w:t>. Monitorizarea acestor evoluții necesită resurse considerabile. Adesea, identificarea și contracararea discursurilor dăunătoare sistemului judiciar pot fi extrem de dificile. Bineînț</w:t>
      </w:r>
      <w:r w:rsidR="00140128">
        <w:rPr>
          <w:rStyle w:val="Bodytext1"/>
        </w:rPr>
        <w:t>eles, acestea vor contribui la</w:t>
      </w:r>
      <w:r>
        <w:rPr>
          <w:rStyle w:val="Bodytext1"/>
        </w:rPr>
        <w:t xml:space="preserve"> pierdere</w:t>
      </w:r>
      <w:r w:rsidR="00140128">
        <w:rPr>
          <w:rStyle w:val="Bodytext1"/>
        </w:rPr>
        <w:t>a încrederii publicului în sistemul de justiţie.</w:t>
      </w:r>
    </w:p>
    <w:p w14:paraId="3B7ADF5B" w14:textId="3DC79941" w:rsidR="007A0164" w:rsidRDefault="00423DE4">
      <w:pPr>
        <w:pStyle w:val="Bodytext10"/>
        <w:numPr>
          <w:ilvl w:val="0"/>
          <w:numId w:val="3"/>
        </w:numPr>
        <w:tabs>
          <w:tab w:val="left" w:pos="364"/>
        </w:tabs>
        <w:ind w:left="440" w:hanging="440"/>
        <w:jc w:val="both"/>
      </w:pPr>
      <w:r>
        <w:rPr>
          <w:rStyle w:val="Bodytext1"/>
        </w:rPr>
        <w:t>Alocarea unor resurse insuficiente sistemului judiciar contribuie, de asemenea, la subminarea statului de drept. Acest lucru poate implica limitarea capacității sistemului judiciar de a participa în mod semnificativ la planificarea și alocarea bugetului judiciar. Mai direct, acest lucru poate însemna reducerea finanțării</w:t>
      </w:r>
      <w:r w:rsidR="00140128">
        <w:rPr>
          <w:rStyle w:val="Bodytext1"/>
        </w:rPr>
        <w:t xml:space="preserve"> în sistemul judiciar</w:t>
      </w:r>
      <w:r>
        <w:rPr>
          <w:rStyle w:val="Bodytext1"/>
        </w:rPr>
        <w:t xml:space="preserve"> sau </w:t>
      </w:r>
      <w:r w:rsidR="00140128">
        <w:rPr>
          <w:rStyle w:val="Bodytext1"/>
        </w:rPr>
        <w:t>îngheţarea</w:t>
      </w:r>
      <w:r>
        <w:rPr>
          <w:rStyle w:val="Bodytext1"/>
        </w:rPr>
        <w:t xml:space="preserve"> oricărei creșteri a salariilor </w:t>
      </w:r>
      <w:r w:rsidR="00140128">
        <w:rPr>
          <w:rStyle w:val="Bodytext1"/>
        </w:rPr>
        <w:t xml:space="preserve">magistraţilor şi </w:t>
      </w:r>
      <w:r>
        <w:rPr>
          <w:rStyle w:val="Bodytext1"/>
        </w:rPr>
        <w:t>personalului</w:t>
      </w:r>
      <w:r w:rsidR="00140128">
        <w:rPr>
          <w:rStyle w:val="Bodytext1"/>
        </w:rPr>
        <w:t xml:space="preserve"> auxiliar</w:t>
      </w:r>
      <w:r>
        <w:rPr>
          <w:rStyle w:val="Bodytext1"/>
        </w:rPr>
        <w:t xml:space="preserve"> din sistemul judiciar </w:t>
      </w:r>
      <w:r w:rsidR="00140128">
        <w:rPr>
          <w:rStyle w:val="Bodytext1"/>
        </w:rPr>
        <w:t>în pofida</w:t>
      </w:r>
      <w:r>
        <w:rPr>
          <w:rStyle w:val="Bodytext1"/>
        </w:rPr>
        <w:t xml:space="preserve"> inflației, </w:t>
      </w:r>
      <w:r w:rsidR="00140128">
        <w:rPr>
          <w:rStyle w:val="Bodytext1"/>
        </w:rPr>
        <w:t>fiind crescute</w:t>
      </w:r>
      <w:r>
        <w:rPr>
          <w:rStyle w:val="Bodytext1"/>
        </w:rPr>
        <w:t xml:space="preserve">, în același timp, alte salarii din sectorul public. Aceasta poate consta, de asemenea, în </w:t>
      </w:r>
      <w:r w:rsidR="00140128">
        <w:rPr>
          <w:rStyle w:val="Bodytext1"/>
        </w:rPr>
        <w:t xml:space="preserve">refuzul asigurării </w:t>
      </w:r>
      <w:r>
        <w:rPr>
          <w:rStyle w:val="Bodytext1"/>
        </w:rPr>
        <w:t xml:space="preserve">personalului </w:t>
      </w:r>
      <w:r w:rsidR="00140128">
        <w:rPr>
          <w:rStyle w:val="Bodytext1"/>
        </w:rPr>
        <w:t>auxiliar</w:t>
      </w:r>
      <w:r>
        <w:rPr>
          <w:rStyle w:val="Bodytext1"/>
        </w:rPr>
        <w:t xml:space="preserve"> </w:t>
      </w:r>
      <w:r w:rsidR="00140128">
        <w:rPr>
          <w:rStyle w:val="Bodytext1"/>
        </w:rPr>
        <w:t>pentru activitatea de judecată</w:t>
      </w:r>
      <w:r>
        <w:rPr>
          <w:rStyle w:val="Bodytext1"/>
        </w:rPr>
        <w:t xml:space="preserve">. Lipsa resurselor duce, de asemenea, la un volum de muncă excesiv. În mod inevitabil, astfel de acțiuni diminuează statutul judecătorilor în </w:t>
      </w:r>
      <w:r w:rsidR="00733BD4">
        <w:rPr>
          <w:rStyle w:val="Bodytext1"/>
        </w:rPr>
        <w:t>funcţie</w:t>
      </w:r>
      <w:r>
        <w:rPr>
          <w:rStyle w:val="Bodytext1"/>
        </w:rPr>
        <w:t xml:space="preserve"> și descurajează </w:t>
      </w:r>
      <w:r w:rsidR="00733BD4">
        <w:rPr>
          <w:rStyle w:val="Bodytext1"/>
        </w:rPr>
        <w:t>alegerea unei cariere în domeniul judiciar</w:t>
      </w:r>
      <w:r>
        <w:rPr>
          <w:rStyle w:val="Bodytext1"/>
        </w:rPr>
        <w:t>.</w:t>
      </w:r>
    </w:p>
    <w:p w14:paraId="73D782E4" w14:textId="639A2070" w:rsidR="007A0164" w:rsidRDefault="00423DE4">
      <w:pPr>
        <w:pStyle w:val="Bodytext10"/>
        <w:numPr>
          <w:ilvl w:val="0"/>
          <w:numId w:val="3"/>
        </w:numPr>
        <w:tabs>
          <w:tab w:val="left" w:pos="404"/>
        </w:tabs>
        <w:ind w:left="440" w:hanging="440"/>
        <w:jc w:val="both"/>
      </w:pPr>
      <w:r>
        <w:rPr>
          <w:rStyle w:val="Bodytext1"/>
        </w:rPr>
        <w:t xml:space="preserve">Progresele înregistrate în ceea ce privește digitalizarea au îmbunătățit, în multe privințe, accesul la justiție. Aceste progrese fac, de asemenea, ca activitatea judecătorilor să fie mai eficientă și mai rapidă. Acest lucru aduce beneficii atât cetățenilor, cât și sistemului judiciar. Cu toate acestea, aceste progrese tehnologice </w:t>
      </w:r>
      <w:r w:rsidR="00733BD4">
        <w:rPr>
          <w:rStyle w:val="Bodytext1"/>
        </w:rPr>
        <w:t>generează şi dificultăţi proprii</w:t>
      </w:r>
      <w:r>
        <w:rPr>
          <w:rStyle w:val="Bodytext1"/>
        </w:rPr>
        <w:t xml:space="preserve">. În ceea ce privește judecătorii, </w:t>
      </w:r>
      <w:r w:rsidR="00733BD4">
        <w:rPr>
          <w:rStyle w:val="Bodytext1"/>
        </w:rPr>
        <w:t>profilarea</w:t>
      </w:r>
      <w:r>
        <w:rPr>
          <w:rStyle w:val="Bodytext1"/>
        </w:rPr>
        <w:t xml:space="preserve"> judecătorilor și capacitatea de a identifica judecătorii care au luat hotărâri în cazuri sensibile sporesc riscul de amenințări </w:t>
      </w:r>
      <w:r w:rsidR="00733BD4">
        <w:rPr>
          <w:rStyle w:val="Bodytext1"/>
        </w:rPr>
        <w:t>care pot degenera</w:t>
      </w:r>
      <w:r>
        <w:rPr>
          <w:rStyle w:val="Bodytext1"/>
        </w:rPr>
        <w:t xml:space="preserve"> </w:t>
      </w:r>
      <w:r w:rsidR="00733BD4">
        <w:rPr>
          <w:rStyle w:val="Bodytext1"/>
        </w:rPr>
        <w:t xml:space="preserve">în </w:t>
      </w:r>
      <w:r>
        <w:rPr>
          <w:rStyle w:val="Bodytext1"/>
        </w:rPr>
        <w:t>violenț</w:t>
      </w:r>
      <w:r w:rsidR="00733BD4">
        <w:rPr>
          <w:rStyle w:val="Bodytext1"/>
        </w:rPr>
        <w:t>e</w:t>
      </w:r>
      <w:r>
        <w:rPr>
          <w:rStyle w:val="Bodytext1"/>
        </w:rPr>
        <w:t xml:space="preserve"> verbale sau fizice. Provocările cu care se confruntă sistemul judiciar în ansamblu includ protecția datelor și posibilitatea ca sistemele de păstrare a datelor să permită puterii executive să aibă acces la calculatoarele și datele judecătorilor sau ale personalului </w:t>
      </w:r>
      <w:r w:rsidR="00733BD4">
        <w:rPr>
          <w:rStyle w:val="Bodytext1"/>
        </w:rPr>
        <w:t>auxiliar</w:t>
      </w:r>
      <w:r>
        <w:rPr>
          <w:rStyle w:val="Bodytext1"/>
        </w:rPr>
        <w:t>, subminând astfel independența sistemului judiciar.</w:t>
      </w:r>
    </w:p>
    <w:p w14:paraId="2DC5670E" w14:textId="77777777" w:rsidR="007A0164" w:rsidRDefault="00423DE4">
      <w:pPr>
        <w:pStyle w:val="Heading110"/>
        <w:keepNext/>
        <w:keepLines/>
        <w:numPr>
          <w:ilvl w:val="0"/>
          <w:numId w:val="2"/>
        </w:numPr>
        <w:tabs>
          <w:tab w:val="left" w:pos="370"/>
        </w:tabs>
      </w:pPr>
      <w:bookmarkStart w:id="2" w:name="bookmark4"/>
      <w:r>
        <w:rPr>
          <w:rStyle w:val="Heading11"/>
        </w:rPr>
        <w:t>Cadrul actual</w:t>
      </w:r>
      <w:bookmarkEnd w:id="2"/>
    </w:p>
    <w:p w14:paraId="090F523D" w14:textId="0E9DC229" w:rsidR="007A0164" w:rsidRDefault="00423DE4">
      <w:pPr>
        <w:pStyle w:val="Bodytext10"/>
        <w:numPr>
          <w:ilvl w:val="0"/>
          <w:numId w:val="4"/>
        </w:numPr>
        <w:tabs>
          <w:tab w:val="left" w:pos="404"/>
        </w:tabs>
        <w:ind w:left="440" w:hanging="440"/>
        <w:jc w:val="both"/>
      </w:pPr>
      <w:r>
        <w:rPr>
          <w:rStyle w:val="Bodytext1"/>
        </w:rPr>
        <w:t>Fiecare dintre aceste amenințări riscă să perturbe echilibrul delicat</w:t>
      </w:r>
      <w:r w:rsidR="00733BD4">
        <w:rPr>
          <w:rStyle w:val="Bodytext1"/>
        </w:rPr>
        <w:t xml:space="preserve"> al puterii</w:t>
      </w:r>
      <w:r>
        <w:rPr>
          <w:rStyle w:val="Bodytext1"/>
        </w:rPr>
        <w:t xml:space="preserve"> între sistemul judiciar, executiv și legislativ. </w:t>
      </w:r>
      <w:r w:rsidR="00733BD4">
        <w:rPr>
          <w:rStyle w:val="Bodytext1"/>
        </w:rPr>
        <w:t>Oricare</w:t>
      </w:r>
      <w:r>
        <w:rPr>
          <w:rStyle w:val="Bodytext1"/>
        </w:rPr>
        <w:t xml:space="preserve"> dintre acest</w:t>
      </w:r>
      <w:r w:rsidR="002763B4">
        <w:rPr>
          <w:rStyle w:val="Bodytext1"/>
        </w:rPr>
        <w:t>e provocări ar putea reduce</w:t>
      </w:r>
      <w:r>
        <w:rPr>
          <w:rStyle w:val="Bodytext1"/>
        </w:rPr>
        <w:t xml:space="preserve"> st</w:t>
      </w:r>
      <w:r w:rsidR="002763B4">
        <w:rPr>
          <w:rStyle w:val="Bodytext1"/>
        </w:rPr>
        <w:t xml:space="preserve">atutul sistemului judiciar </w:t>
      </w:r>
      <w:r>
        <w:rPr>
          <w:rStyle w:val="Bodytext1"/>
        </w:rPr>
        <w:t>și l-ar putea expune</w:t>
      </w:r>
      <w:r w:rsidR="00733BD4" w:rsidRPr="00733BD4">
        <w:rPr>
          <w:rStyle w:val="Bodytext1"/>
        </w:rPr>
        <w:t xml:space="preserve"> </w:t>
      </w:r>
      <w:r w:rsidR="00733BD4">
        <w:rPr>
          <w:rStyle w:val="Bodytext1"/>
        </w:rPr>
        <w:t>în mod excesiv</w:t>
      </w:r>
      <w:r>
        <w:rPr>
          <w:rStyle w:val="Bodytext1"/>
        </w:rPr>
        <w:t xml:space="preserve"> </w:t>
      </w:r>
      <w:r w:rsidR="00733BD4">
        <w:rPr>
          <w:rStyle w:val="Bodytext1"/>
        </w:rPr>
        <w:t xml:space="preserve">unei supravegheri și unui control </w:t>
      </w:r>
      <w:r>
        <w:rPr>
          <w:rStyle w:val="Bodytext1"/>
        </w:rPr>
        <w:t>direct al altor autorități publice.</w:t>
      </w:r>
    </w:p>
    <w:p w14:paraId="3C091659" w14:textId="77777777" w:rsidR="00733BD4" w:rsidRDefault="00423DE4" w:rsidP="00733BD4">
      <w:pPr>
        <w:pStyle w:val="Bodytext10"/>
        <w:numPr>
          <w:ilvl w:val="0"/>
          <w:numId w:val="4"/>
        </w:numPr>
        <w:tabs>
          <w:tab w:val="left" w:pos="404"/>
        </w:tabs>
        <w:ind w:left="440" w:hanging="440"/>
        <w:jc w:val="both"/>
      </w:pPr>
      <w:r>
        <w:rPr>
          <w:rStyle w:val="Bodytext1"/>
        </w:rPr>
        <w:t>Ar trebui instituite garanții juridice și instituționale adecvate la nivel european și național pentru a asigura o protecție efectivă a independenței sistemului judiciar. Aceste garanții ar trebui să respecte standardele stabilite de RECJ. Standardele RECJ privind transparența judiciară și răspunderea ar trebui, de asemenea, respectate.</w:t>
      </w:r>
    </w:p>
    <w:p w14:paraId="4D27BE03" w14:textId="03D900FF" w:rsidR="007A0164" w:rsidRDefault="00423DE4" w:rsidP="00733BD4">
      <w:pPr>
        <w:pStyle w:val="Bodytext10"/>
        <w:numPr>
          <w:ilvl w:val="0"/>
          <w:numId w:val="4"/>
        </w:numPr>
        <w:tabs>
          <w:tab w:val="left" w:pos="404"/>
        </w:tabs>
        <w:ind w:left="440" w:hanging="440"/>
        <w:jc w:val="both"/>
      </w:pPr>
      <w:r>
        <w:rPr>
          <w:rStyle w:val="Bodytext1"/>
        </w:rPr>
        <w:t xml:space="preserve">Deși există mecanisme sistemice la nivelul UE pentru a contracara aceste amenințări, aplicarea lor </w:t>
      </w:r>
      <w:r>
        <w:rPr>
          <w:rStyle w:val="Bodytext1"/>
        </w:rPr>
        <w:lastRenderedPageBreak/>
        <w:t xml:space="preserve">poate fi adesea întârziată. Acestea sunt, de asemenea, adecvate pentru a face față situațiilor în care amenințarea la adresa statului de drept a ajuns într-un stadiu avansat. În consecință, în calitate de primă linie de apărare, aceste amenințări trebuie să fie </w:t>
      </w:r>
      <w:r w:rsidR="002E1107">
        <w:rPr>
          <w:rStyle w:val="Bodytext1"/>
        </w:rPr>
        <w:t>contracarate</w:t>
      </w:r>
      <w:r>
        <w:rPr>
          <w:rStyle w:val="Bodytext1"/>
        </w:rPr>
        <w:t xml:space="preserve"> chiar de </w:t>
      </w:r>
      <w:r w:rsidR="002E1107">
        <w:rPr>
          <w:rStyle w:val="Bodytext1"/>
        </w:rPr>
        <w:t>instanţe</w:t>
      </w:r>
      <w:r>
        <w:rPr>
          <w:rStyle w:val="Bodytext1"/>
        </w:rPr>
        <w:t>. Consiliile judiciare și alte organisme de conducere alternative joacă un rol esențial în acest sens.</w:t>
      </w:r>
    </w:p>
    <w:p w14:paraId="08B1599A" w14:textId="77777777" w:rsidR="007A0164" w:rsidRDefault="00423DE4">
      <w:pPr>
        <w:pStyle w:val="Heading110"/>
        <w:keepNext/>
        <w:keepLines/>
      </w:pPr>
      <w:bookmarkStart w:id="3" w:name="bookmark6"/>
      <w:r>
        <w:rPr>
          <w:rStyle w:val="Heading11"/>
        </w:rPr>
        <w:t>IV. Acțiuni</w:t>
      </w:r>
      <w:bookmarkEnd w:id="3"/>
    </w:p>
    <w:p w14:paraId="16C71AA0" w14:textId="0252E24C" w:rsidR="007A0164" w:rsidRDefault="00423DE4">
      <w:pPr>
        <w:pStyle w:val="Bodytext10"/>
        <w:numPr>
          <w:ilvl w:val="0"/>
          <w:numId w:val="4"/>
        </w:numPr>
        <w:tabs>
          <w:tab w:val="left" w:pos="764"/>
        </w:tabs>
        <w:ind w:left="720" w:hanging="360"/>
        <w:jc w:val="both"/>
      </w:pPr>
      <w:r>
        <w:rPr>
          <w:rStyle w:val="Bodytext1"/>
        </w:rPr>
        <w:t xml:space="preserve">Este necesară o vigilență constantă din partea consiliilor judiciare pentru a identifica rapid orice amenințare la adresa independenței sistemului judiciar și orice evoluție care ar putea </w:t>
      </w:r>
      <w:r w:rsidR="002E1107">
        <w:rPr>
          <w:rStyle w:val="Bodytext1"/>
        </w:rPr>
        <w:t>tinde la subminarea</w:t>
      </w:r>
      <w:r>
        <w:rPr>
          <w:rStyle w:val="Bodytext1"/>
        </w:rPr>
        <w:t xml:space="preserve"> statul</w:t>
      </w:r>
      <w:r w:rsidR="002E1107">
        <w:rPr>
          <w:rStyle w:val="Bodytext1"/>
        </w:rPr>
        <w:t>ui</w:t>
      </w:r>
      <w:r>
        <w:rPr>
          <w:rStyle w:val="Bodytext1"/>
        </w:rPr>
        <w:t xml:space="preserve"> de drept.</w:t>
      </w:r>
    </w:p>
    <w:p w14:paraId="6F553002" w14:textId="3213A4CD" w:rsidR="007A0164" w:rsidRDefault="00423DE4">
      <w:pPr>
        <w:pStyle w:val="Bodytext10"/>
        <w:numPr>
          <w:ilvl w:val="0"/>
          <w:numId w:val="4"/>
        </w:numPr>
        <w:tabs>
          <w:tab w:val="left" w:pos="764"/>
        </w:tabs>
        <w:ind w:left="720" w:hanging="360"/>
        <w:jc w:val="both"/>
      </w:pPr>
      <w:r>
        <w:rPr>
          <w:rStyle w:val="Bodytext1"/>
        </w:rPr>
        <w:t xml:space="preserve">Consiliile </w:t>
      </w:r>
      <w:r w:rsidR="002E1107">
        <w:rPr>
          <w:rStyle w:val="Bodytext1"/>
        </w:rPr>
        <w:t>judiciare</w:t>
      </w:r>
      <w:r>
        <w:rPr>
          <w:rStyle w:val="Bodytext1"/>
        </w:rPr>
        <w:t xml:space="preserve"> trebuie, de asemenea, să dea dovadă de leadership și curaj. Aceștia trebuie să acționeze fără întârziere și să utilizeze toate mijloacele de care dispun. Aceasta poate include emiterea de avize juridice, </w:t>
      </w:r>
      <w:r w:rsidR="002E1107">
        <w:rPr>
          <w:rStyle w:val="Bodytext1"/>
        </w:rPr>
        <w:t>luări de poziţie</w:t>
      </w:r>
      <w:r>
        <w:rPr>
          <w:rStyle w:val="Bodytext1"/>
        </w:rPr>
        <w:t xml:space="preserve"> în numele sistemului judiciar, atragerea sprijinului public </w:t>
      </w:r>
      <w:r w:rsidR="002E1107">
        <w:rPr>
          <w:rStyle w:val="Bodytext1"/>
        </w:rPr>
        <w:t>pentru judecători</w:t>
      </w:r>
      <w:r>
        <w:rPr>
          <w:rStyle w:val="Bodytext1"/>
        </w:rPr>
        <w:t>, dialogul cu alte autorități publice și alertarea instituțiilor și organismelor judiciare ale UE cu privire la dificultățile lor.</w:t>
      </w:r>
    </w:p>
    <w:p w14:paraId="321FAC4C" w14:textId="18409A70" w:rsidR="007A0164" w:rsidRDefault="00423DE4">
      <w:pPr>
        <w:pStyle w:val="Bodytext10"/>
        <w:numPr>
          <w:ilvl w:val="0"/>
          <w:numId w:val="4"/>
        </w:numPr>
        <w:tabs>
          <w:tab w:val="left" w:pos="764"/>
        </w:tabs>
        <w:spacing w:after="320"/>
        <w:ind w:left="720" w:hanging="360"/>
        <w:jc w:val="both"/>
      </w:pPr>
      <w:r>
        <w:rPr>
          <w:rStyle w:val="Bodytext1"/>
        </w:rPr>
        <w:t xml:space="preserve">Ar trebui luate măsuri pentru a stabili și a menține o cooperare eficace cu organizațiile altor profesii juridice. Societatea civilă poate fi un aliat puternic și fiabil pentru sistemul judiciar în perioade de nevoie. Încrederea societății în sistemul judiciar poate fi creată prin transparența și responsabilitatea sistemului judiciar, o cunoaștere amplă a statului de drept fiind, de asemenea, </w:t>
      </w:r>
      <w:r w:rsidR="002E1107">
        <w:rPr>
          <w:rStyle w:val="Bodytext1"/>
        </w:rPr>
        <w:t>esențială. Prin urmare, consiliile</w:t>
      </w:r>
      <w:r>
        <w:rPr>
          <w:rStyle w:val="Bodytext1"/>
        </w:rPr>
        <w:t xml:space="preserve"> ar trebui să investească în sensibilizarea publicului și în educație, în special în rândul tinerilor.</w:t>
      </w:r>
    </w:p>
    <w:p w14:paraId="0421A4EC" w14:textId="38004013" w:rsidR="007A0164" w:rsidRDefault="002E1107">
      <w:pPr>
        <w:pStyle w:val="Bodytext10"/>
        <w:numPr>
          <w:ilvl w:val="0"/>
          <w:numId w:val="4"/>
        </w:numPr>
        <w:tabs>
          <w:tab w:val="left" w:pos="764"/>
        </w:tabs>
        <w:ind w:left="720" w:hanging="360"/>
        <w:jc w:val="both"/>
      </w:pPr>
      <w:r>
        <w:rPr>
          <w:rStyle w:val="Bodytext1"/>
        </w:rPr>
        <w:t>Prezentarea</w:t>
      </w:r>
      <w:r w:rsidR="00423DE4">
        <w:rPr>
          <w:rStyle w:val="Bodytext1"/>
        </w:rPr>
        <w:t xml:space="preserve"> sistemului judi</w:t>
      </w:r>
      <w:r>
        <w:rPr>
          <w:rStyle w:val="Bodytext1"/>
        </w:rPr>
        <w:t>ciar trebuie realizată</w:t>
      </w:r>
      <w:r w:rsidR="00423DE4">
        <w:rPr>
          <w:rStyle w:val="Bodytext1"/>
        </w:rPr>
        <w:t xml:space="preserve"> în mod eficient. Cetățenii trebuie să înțeleagă ce înseamnă pentru ei individual independența sistemului judiciar și care sunt beneficiile pe care le aduce creșterii economice și stabilității țării lor. Pentru a realiza acest lucru, sistemul judiciar ar trebui să stabilească relații puternice cu mass-media și să dezvolte canale de comunicare deschise pentru a ajunge la un public </w:t>
      </w:r>
      <w:r>
        <w:rPr>
          <w:rStyle w:val="Bodytext1"/>
        </w:rPr>
        <w:t xml:space="preserve">cât </w:t>
      </w:r>
      <w:r w:rsidR="00423DE4">
        <w:rPr>
          <w:rStyle w:val="Bodytext1"/>
        </w:rPr>
        <w:t>mai larg.</w:t>
      </w:r>
    </w:p>
    <w:p w14:paraId="19C0A5E3" w14:textId="75CB2E65" w:rsidR="007A0164" w:rsidRDefault="00423DE4">
      <w:pPr>
        <w:pStyle w:val="Bodytext10"/>
        <w:numPr>
          <w:ilvl w:val="0"/>
          <w:numId w:val="4"/>
        </w:numPr>
        <w:tabs>
          <w:tab w:val="left" w:pos="764"/>
        </w:tabs>
        <w:ind w:left="720" w:hanging="360"/>
        <w:jc w:val="both"/>
      </w:pPr>
      <w:r>
        <w:rPr>
          <w:rStyle w:val="Bodytext1"/>
        </w:rPr>
        <w:t xml:space="preserve">Reziliența sistemului judiciar trebuie să fie construită și menținută. Atunci când statul de drept este în pericol, consiliile </w:t>
      </w:r>
      <w:r w:rsidR="002E1107">
        <w:rPr>
          <w:rStyle w:val="Bodytext1"/>
        </w:rPr>
        <w:t>judiciare</w:t>
      </w:r>
      <w:r>
        <w:rPr>
          <w:rStyle w:val="Bodytext1"/>
        </w:rPr>
        <w:t xml:space="preserve"> trebuie să își împărtășească în mod deschis poziția cu restul sistemului judiciar. Reziliența poate fi construită prin mijloace active. Aceasta include formarea sistemului judiciar și inspirarea înțelegerii, în cadrul sistemului judiciar, potrivit căreia statul de drept conține numeroase elemente care depășesc legalitatea legilor. Judecătorii trebuie să fie informați că </w:t>
      </w:r>
      <w:r w:rsidR="002E1107">
        <w:rPr>
          <w:rStyle w:val="Bodytext1"/>
        </w:rPr>
        <w:t>obligaţia de rezervă</w:t>
      </w:r>
      <w:r>
        <w:rPr>
          <w:rStyle w:val="Bodytext1"/>
        </w:rPr>
        <w:t xml:space="preserve"> nu se aplică atunci când statul de drept este în pericol. Judecătorii trebuie încurajați să partajeze cu colegii lor orice rezerve sau îndoieli cu privire la procesele în curs.</w:t>
      </w:r>
    </w:p>
    <w:p w14:paraId="0EA8B921" w14:textId="6F00A253" w:rsidR="007A0164" w:rsidRDefault="00423DE4">
      <w:pPr>
        <w:pStyle w:val="Bodytext10"/>
        <w:numPr>
          <w:ilvl w:val="0"/>
          <w:numId w:val="4"/>
        </w:numPr>
        <w:tabs>
          <w:tab w:val="left" w:pos="764"/>
        </w:tabs>
        <w:ind w:left="720" w:hanging="360"/>
        <w:jc w:val="both"/>
      </w:pPr>
      <w:r>
        <w:rPr>
          <w:rStyle w:val="Bodytext1"/>
        </w:rPr>
        <w:t xml:space="preserve">În cele din urmă, solidaritatea între </w:t>
      </w:r>
      <w:r w:rsidR="002E1107">
        <w:rPr>
          <w:rStyle w:val="Bodytext1"/>
        </w:rPr>
        <w:t>consiliile judiciare</w:t>
      </w:r>
      <w:r>
        <w:rPr>
          <w:rStyle w:val="Bodytext1"/>
        </w:rPr>
        <w:t xml:space="preserve"> europene este o valoare esențială. Astfel cum reiese din Declarația de la Atena din 2022, acest lucru</w:t>
      </w:r>
      <w:r w:rsidR="002E1107">
        <w:rPr>
          <w:rStyle w:val="Bodytext1"/>
        </w:rPr>
        <w:t xml:space="preserve"> merită reiterat</w:t>
      </w:r>
      <w:r>
        <w:rPr>
          <w:rStyle w:val="Bodytext1"/>
        </w:rPr>
        <w:t xml:space="preserve">. Solidaritatea preventivă și reactivă este necesară pentru a proteja statul de drept. Consiliile </w:t>
      </w:r>
      <w:r w:rsidR="002E1107">
        <w:rPr>
          <w:rStyle w:val="Bodytext1"/>
        </w:rPr>
        <w:t xml:space="preserve">judiciare </w:t>
      </w:r>
      <w:r>
        <w:rPr>
          <w:rStyle w:val="Bodytext1"/>
        </w:rPr>
        <w:t xml:space="preserve">trebuie să sprijine și să </w:t>
      </w:r>
      <w:r w:rsidR="002E1107">
        <w:rPr>
          <w:rStyle w:val="Bodytext1"/>
        </w:rPr>
        <w:t>susţină</w:t>
      </w:r>
      <w:r w:rsidR="002763B4">
        <w:rPr>
          <w:rStyle w:val="Bodytext1"/>
        </w:rPr>
        <w:t xml:space="preserve"> activ</w:t>
      </w:r>
      <w:bookmarkStart w:id="4" w:name="_GoBack"/>
      <w:bookmarkEnd w:id="4"/>
      <w:r>
        <w:rPr>
          <w:rStyle w:val="Bodytext1"/>
        </w:rPr>
        <w:t xml:space="preserve"> orice coleg aflat în dificultate. RECJ joacă aici un rol singular. Deși RECJ nu poate participa la dezbateri politice, acesta va sprijini judecătorii prin sensibilizarea, publicarea de declarații, discutarea cu instituțiile europene și efectuarea, după caz, a unor vizite de solidaritate la </w:t>
      </w:r>
      <w:r w:rsidR="002E1107">
        <w:rPr>
          <w:rStyle w:val="Bodytext1"/>
        </w:rPr>
        <w:t>membri</w:t>
      </w:r>
      <w:r>
        <w:rPr>
          <w:rStyle w:val="Bodytext1"/>
        </w:rPr>
        <w:t xml:space="preserve"> și la observatori.</w:t>
      </w:r>
    </w:p>
    <w:sectPr w:rsidR="007A0164">
      <w:pgSz w:w="11900" w:h="16840"/>
      <w:pgMar w:top="1446" w:right="899" w:bottom="1390" w:left="1617" w:header="1018" w:footer="962"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9EE0C" w14:textId="77777777" w:rsidR="00EB2342" w:rsidRDefault="00EB2342">
      <w:r>
        <w:separator/>
      </w:r>
    </w:p>
  </w:endnote>
  <w:endnote w:type="continuationSeparator" w:id="0">
    <w:p w14:paraId="62913345" w14:textId="77777777" w:rsidR="00EB2342" w:rsidRDefault="00EB2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3FF47" w14:textId="77777777" w:rsidR="00EB2342" w:rsidRDefault="00EB2342"/>
  </w:footnote>
  <w:footnote w:type="continuationSeparator" w:id="0">
    <w:p w14:paraId="7555A5F4" w14:textId="77777777" w:rsidR="00EB2342" w:rsidRDefault="00EB234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B0047"/>
    <w:multiLevelType w:val="multilevel"/>
    <w:tmpl w:val="BA943F38"/>
    <w:lvl w:ilvl="0">
      <w:start w:val="1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857D89"/>
    <w:multiLevelType w:val="multilevel"/>
    <w:tmpl w:val="964C4D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8C676E"/>
    <w:multiLevelType w:val="multilevel"/>
    <w:tmpl w:val="765043FC"/>
    <w:lvl w:ilvl="0">
      <w:start w:val="2"/>
      <w:numFmt w:val="upperRoman"/>
      <w:lvlText w:val="%1."/>
      <w:lvlJc w:val="left"/>
      <w:rPr>
        <w:rFonts w:ascii="Arial" w:eastAsia="Arial" w:hAnsi="Arial" w:cs="Arial"/>
        <w:b/>
        <w:bCs/>
        <w:i w:val="0"/>
        <w:iCs w:val="0"/>
        <w:smallCaps w:val="0"/>
        <w:strike w:val="0"/>
        <w:color w:val="215E99"/>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3129D0"/>
    <w:multiLevelType w:val="multilevel"/>
    <w:tmpl w:val="BBB227E4"/>
    <w:lvl w:ilvl="0">
      <w:start w:val="4"/>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64"/>
    <w:rsid w:val="000D2DE7"/>
    <w:rsid w:val="00140128"/>
    <w:rsid w:val="00196EF3"/>
    <w:rsid w:val="002763B4"/>
    <w:rsid w:val="002E1107"/>
    <w:rsid w:val="003336A1"/>
    <w:rsid w:val="00423DE4"/>
    <w:rsid w:val="006D259B"/>
    <w:rsid w:val="00733BD4"/>
    <w:rsid w:val="007A0164"/>
    <w:rsid w:val="00D54F84"/>
    <w:rsid w:val="00EB2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209DD"/>
  <w15:docId w15:val="{820513CB-76E5-45E7-A83E-374E140D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o"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Picturecaption1">
    <w:name w:val="Picture caption|1_"/>
    <w:basedOn w:val="Fontdeparagrafimplicit"/>
    <w:link w:val="Picturecaption10"/>
    <w:rPr>
      <w:rFonts w:ascii="Arial" w:eastAsia="Arial" w:hAnsi="Arial" w:cs="Arial"/>
      <w:b/>
      <w:bCs/>
      <w:i w:val="0"/>
      <w:iCs w:val="0"/>
      <w:smallCaps w:val="0"/>
      <w:strike w:val="0"/>
      <w:color w:val="373737"/>
      <w:sz w:val="16"/>
      <w:szCs w:val="16"/>
      <w:u w:val="none"/>
    </w:rPr>
  </w:style>
  <w:style w:type="character" w:customStyle="1" w:styleId="Bodytext3">
    <w:name w:val="Body text|3_"/>
    <w:basedOn w:val="Fontdeparagrafimplicit"/>
    <w:link w:val="Bodytext30"/>
    <w:rPr>
      <w:rFonts w:ascii="Arial" w:eastAsia="Arial" w:hAnsi="Arial" w:cs="Arial"/>
      <w:b/>
      <w:bCs/>
      <w:i w:val="0"/>
      <w:iCs w:val="0"/>
      <w:smallCaps w:val="0"/>
      <w:strike w:val="0"/>
      <w:color w:val="993B4F"/>
      <w:sz w:val="16"/>
      <w:szCs w:val="16"/>
      <w:u w:val="single"/>
    </w:rPr>
  </w:style>
  <w:style w:type="character" w:customStyle="1" w:styleId="Bodytext2">
    <w:name w:val="Body text|2_"/>
    <w:basedOn w:val="Fontdeparagrafimplicit"/>
    <w:link w:val="Bodytext20"/>
    <w:rPr>
      <w:rFonts w:ascii="Arial" w:eastAsia="Arial" w:hAnsi="Arial" w:cs="Arial"/>
      <w:b/>
      <w:bCs/>
      <w:i w:val="0"/>
      <w:iCs w:val="0"/>
      <w:smallCaps w:val="0"/>
      <w:strike w:val="0"/>
      <w:color w:val="993B4F"/>
      <w:sz w:val="12"/>
      <w:szCs w:val="12"/>
      <w:u w:val="none"/>
    </w:rPr>
  </w:style>
  <w:style w:type="character" w:customStyle="1" w:styleId="Bodytext1">
    <w:name w:val="Body text|1_"/>
    <w:basedOn w:val="Fontdeparagrafimplicit"/>
    <w:link w:val="Bodytext10"/>
    <w:rPr>
      <w:rFonts w:ascii="Arial" w:eastAsia="Arial" w:hAnsi="Arial" w:cs="Arial"/>
      <w:b w:val="0"/>
      <w:bCs w:val="0"/>
      <w:i w:val="0"/>
      <w:iCs w:val="0"/>
      <w:smallCaps w:val="0"/>
      <w:strike w:val="0"/>
      <w:sz w:val="20"/>
      <w:szCs w:val="20"/>
      <w:u w:val="none"/>
    </w:rPr>
  </w:style>
  <w:style w:type="character" w:customStyle="1" w:styleId="Heading11">
    <w:name w:val="Heading #1|1_"/>
    <w:basedOn w:val="Fontdeparagrafimplicit"/>
    <w:link w:val="Heading110"/>
    <w:rPr>
      <w:rFonts w:ascii="Arial" w:eastAsia="Arial" w:hAnsi="Arial" w:cs="Arial"/>
      <w:b/>
      <w:bCs/>
      <w:i w:val="0"/>
      <w:iCs w:val="0"/>
      <w:smallCaps w:val="0"/>
      <w:strike w:val="0"/>
      <w:color w:val="215E99"/>
      <w:sz w:val="20"/>
      <w:szCs w:val="20"/>
      <w:u w:val="none"/>
    </w:rPr>
  </w:style>
  <w:style w:type="paragraph" w:customStyle="1" w:styleId="Picturecaption10">
    <w:name w:val="Picture caption|1"/>
    <w:basedOn w:val="Normal"/>
    <w:link w:val="Picturecaption1"/>
    <w:pPr>
      <w:spacing w:line="283" w:lineRule="auto"/>
    </w:pPr>
    <w:rPr>
      <w:rFonts w:ascii="Arial" w:eastAsia="Arial" w:hAnsi="Arial" w:cs="Arial"/>
      <w:b/>
      <w:bCs/>
      <w:color w:val="373737"/>
      <w:sz w:val="16"/>
      <w:szCs w:val="16"/>
    </w:rPr>
  </w:style>
  <w:style w:type="paragraph" w:customStyle="1" w:styleId="Bodytext30">
    <w:name w:val="Body text|3"/>
    <w:basedOn w:val="Normal"/>
    <w:link w:val="Bodytext3"/>
    <w:pPr>
      <w:spacing w:after="240"/>
      <w:jc w:val="center"/>
    </w:pPr>
    <w:rPr>
      <w:rFonts w:ascii="Arial" w:eastAsia="Arial" w:hAnsi="Arial" w:cs="Arial"/>
      <w:b/>
      <w:bCs/>
      <w:color w:val="993B4F"/>
      <w:sz w:val="16"/>
      <w:szCs w:val="16"/>
      <w:u w:val="single"/>
    </w:rPr>
  </w:style>
  <w:style w:type="paragraph" w:customStyle="1" w:styleId="Bodytext20">
    <w:name w:val="Body text|2"/>
    <w:basedOn w:val="Normal"/>
    <w:link w:val="Bodytext2"/>
    <w:pPr>
      <w:spacing w:after="940" w:line="259" w:lineRule="auto"/>
      <w:jc w:val="center"/>
    </w:pPr>
    <w:rPr>
      <w:rFonts w:ascii="Arial" w:eastAsia="Arial" w:hAnsi="Arial" w:cs="Arial"/>
      <w:b/>
      <w:bCs/>
      <w:color w:val="993B4F"/>
      <w:sz w:val="12"/>
      <w:szCs w:val="12"/>
    </w:rPr>
  </w:style>
  <w:style w:type="paragraph" w:customStyle="1" w:styleId="Bodytext10">
    <w:name w:val="Body text|1"/>
    <w:basedOn w:val="Normal"/>
    <w:link w:val="Bodytext1"/>
    <w:pPr>
      <w:spacing w:after="240" w:line="276" w:lineRule="auto"/>
    </w:pPr>
    <w:rPr>
      <w:rFonts w:ascii="Arial" w:eastAsia="Arial" w:hAnsi="Arial" w:cs="Arial"/>
      <w:sz w:val="20"/>
      <w:szCs w:val="20"/>
    </w:rPr>
  </w:style>
  <w:style w:type="paragraph" w:customStyle="1" w:styleId="Heading110">
    <w:name w:val="Heading #1|1"/>
    <w:basedOn w:val="Normal"/>
    <w:link w:val="Heading11"/>
    <w:pPr>
      <w:spacing w:after="240" w:line="276" w:lineRule="auto"/>
      <w:outlineLvl w:val="0"/>
    </w:pPr>
    <w:rPr>
      <w:rFonts w:ascii="Arial" w:eastAsia="Arial" w:hAnsi="Arial" w:cs="Arial"/>
      <w:b/>
      <w:bCs/>
      <w:color w:val="215E99"/>
      <w:sz w:val="20"/>
      <w:szCs w:val="20"/>
    </w:rPr>
  </w:style>
  <w:style w:type="paragraph" w:styleId="TextnBalon">
    <w:name w:val="Balloon Text"/>
    <w:basedOn w:val="Normal"/>
    <w:link w:val="TextnBalonCaracter"/>
    <w:uiPriority w:val="99"/>
    <w:semiHidden/>
    <w:unhideWhenUsed/>
    <w:rsid w:val="002E1107"/>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E110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1613</Words>
  <Characters>9197</Characters>
  <Application>Microsoft Office Word</Application>
  <DocSecurity>0</DocSecurity>
  <Lines>76</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Adina, TANASE</cp:lastModifiedBy>
  <cp:revision>4</cp:revision>
  <cp:lastPrinted>2025-06-24T10:36:00Z</cp:lastPrinted>
  <dcterms:created xsi:type="dcterms:W3CDTF">2025-06-24T09:45:00Z</dcterms:created>
  <dcterms:modified xsi:type="dcterms:W3CDTF">2025-06-25T11:31:00Z</dcterms:modified>
</cp:coreProperties>
</file>