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82D2F" w:rsidRDefault="00000000">
      <w:pPr>
        <w:pStyle w:val="Picturecaption10"/>
        <w:framePr w:w="2693" w:h="490" w:wrap="none" w:hAnchor="page" w:x="3704" w:y="59"/>
      </w:pPr>
      <w:r>
        <w:rPr>
          <w:rStyle w:val="Picturecaption1"/>
          <w:b/>
        </w:rPr>
        <w:t>Rețeaua Europeană a Consiliilor Judiciare (ENCJ)</w:t>
      </w:r>
    </w:p>
    <w:p w:rsidR="00482D2F" w:rsidRDefault="00000000">
      <w:pPr>
        <w:pStyle w:val="Picturecaption10"/>
        <w:framePr w:w="2674" w:h="490" w:wrap="none" w:hAnchor="page" w:x="3709" w:y="707"/>
      </w:pPr>
      <w:proofErr w:type="spellStart"/>
      <w:r>
        <w:rPr>
          <w:rStyle w:val="Picturecaption1"/>
          <w:b/>
          <w:color w:val="22AB8C"/>
        </w:rPr>
        <w:t>Reseau</w:t>
      </w:r>
      <w:proofErr w:type="spellEnd"/>
      <w:r>
        <w:rPr>
          <w:rStyle w:val="Picturecaption1"/>
          <w:b/>
          <w:color w:val="22AB8C"/>
        </w:rPr>
        <w:t xml:space="preserve"> </w:t>
      </w:r>
      <w:proofErr w:type="spellStart"/>
      <w:r>
        <w:rPr>
          <w:rStyle w:val="Picturecaption1"/>
          <w:b/>
          <w:color w:val="22AB8C"/>
        </w:rPr>
        <w:t>europeen</w:t>
      </w:r>
      <w:proofErr w:type="spellEnd"/>
      <w:r>
        <w:rPr>
          <w:rStyle w:val="Picturecaption1"/>
          <w:b/>
          <w:color w:val="22AB8C"/>
        </w:rPr>
        <w:t xml:space="preserve"> des </w:t>
      </w:r>
      <w:proofErr w:type="spellStart"/>
      <w:r>
        <w:rPr>
          <w:rStyle w:val="Picturecaption1"/>
          <w:b/>
          <w:color w:val="22AB8C"/>
        </w:rPr>
        <w:t>Conseils</w:t>
      </w:r>
      <w:proofErr w:type="spellEnd"/>
      <w:r>
        <w:rPr>
          <w:rStyle w:val="Picturecaption1"/>
          <w:b/>
          <w:color w:val="22AB8C"/>
        </w:rPr>
        <w:t xml:space="preserve"> de la </w:t>
      </w:r>
      <w:proofErr w:type="spellStart"/>
      <w:r>
        <w:rPr>
          <w:rStyle w:val="Picturecaption1"/>
          <w:b/>
          <w:color w:val="22AB8C"/>
        </w:rPr>
        <w:t>Justice</w:t>
      </w:r>
      <w:proofErr w:type="spellEnd"/>
      <w:r>
        <w:rPr>
          <w:rStyle w:val="Picturecaption1"/>
          <w:b/>
          <w:color w:val="22AB8C"/>
        </w:rPr>
        <w:t xml:space="preserve"> (</w:t>
      </w:r>
      <w:proofErr w:type="spellStart"/>
      <w:r>
        <w:rPr>
          <w:rStyle w:val="Picturecaption1"/>
          <w:b/>
          <w:color w:val="22AB8C"/>
        </w:rPr>
        <w:t>recJ</w:t>
      </w:r>
      <w:proofErr w:type="spellEnd"/>
      <w:r>
        <w:rPr>
          <w:rStyle w:val="Picturecaption1"/>
          <w:b/>
          <w:color w:val="22AB8C"/>
        </w:rPr>
        <w:t>)</w:t>
      </w:r>
    </w:p>
    <w:p w:rsidR="00482D2F" w:rsidRDefault="00000000">
      <w:pPr>
        <w:pStyle w:val="Picturecaption10"/>
        <w:framePr w:w="1646" w:h="504" w:wrap="none" w:hAnchor="page" w:x="8749" w:y="423"/>
        <w:spacing w:line="187" w:lineRule="auto"/>
        <w:rPr>
          <w:sz w:val="16"/>
        </w:rPr>
      </w:pPr>
      <w:proofErr w:type="spellStart"/>
      <w:r>
        <w:rPr>
          <w:rStyle w:val="Picturecaption1"/>
          <w:b/>
          <w:color w:val="7B7E80"/>
          <w:sz w:val="16"/>
        </w:rPr>
        <w:t>Consiglio</w:t>
      </w:r>
      <w:proofErr w:type="spellEnd"/>
      <w:r>
        <w:rPr>
          <w:rStyle w:val="Picturecaption1"/>
          <w:b/>
          <w:color w:val="7B7E80"/>
          <w:sz w:val="16"/>
        </w:rPr>
        <w:t xml:space="preserve"> </w:t>
      </w:r>
      <w:proofErr w:type="spellStart"/>
      <w:r>
        <w:rPr>
          <w:rStyle w:val="Picturecaption1"/>
          <w:b/>
          <w:color w:val="7B7E80"/>
          <w:sz w:val="16"/>
        </w:rPr>
        <w:t>Superiore</w:t>
      </w:r>
      <w:proofErr w:type="spellEnd"/>
      <w:r>
        <w:rPr>
          <w:rStyle w:val="Picturecaption1"/>
          <w:b/>
          <w:color w:val="7B7E80"/>
          <w:sz w:val="16"/>
        </w:rPr>
        <w:t xml:space="preserve"> </w:t>
      </w:r>
      <w:proofErr w:type="spellStart"/>
      <w:r>
        <w:rPr>
          <w:rStyle w:val="Picturecaption1"/>
          <w:b/>
          <w:color w:val="7B7E80"/>
          <w:sz w:val="16"/>
        </w:rPr>
        <w:t>della</w:t>
      </w:r>
      <w:proofErr w:type="spellEnd"/>
      <w:r>
        <w:rPr>
          <w:rStyle w:val="Picturecaption1"/>
          <w:b/>
          <w:color w:val="7B7E80"/>
          <w:sz w:val="16"/>
        </w:rPr>
        <w:t xml:space="preserve"> Magistratura</w:t>
      </w:r>
    </w:p>
    <w:p w:rsidR="00482D2F" w:rsidRDefault="00000000">
      <w:pPr>
        <w:spacing w:line="360" w:lineRule="exact"/>
      </w:pPr>
      <w:r>
        <w:rPr>
          <w:noProof/>
        </w:rPr>
        <w:drawing>
          <wp:anchor distT="0" distB="6350" distL="0" distR="0" simplePos="0" relativeHeight="62914690" behindDoc="1" locked="0" layoutInCell="1" allowOverlap="1">
            <wp:simplePos x="0" y="0"/>
            <wp:positionH relativeFrom="page">
              <wp:posOffset>982980</wp:posOffset>
            </wp:positionH>
            <wp:positionV relativeFrom="margin">
              <wp:posOffset>0</wp:posOffset>
            </wp:positionV>
            <wp:extent cx="3121025" cy="755650"/>
            <wp:effectExtent l="0" t="0" r="0" b="0"/>
            <wp:wrapNone/>
            <wp:docPr id="1" name="Forma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seta de imagin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121025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21590" simplePos="0" relativeHeight="62914691" behindDoc="1" locked="0" layoutInCell="1" allowOverlap="1">
            <wp:simplePos x="0" y="0"/>
            <wp:positionH relativeFrom="page">
              <wp:posOffset>4232275</wp:posOffset>
            </wp:positionH>
            <wp:positionV relativeFrom="margin">
              <wp:posOffset>0</wp:posOffset>
            </wp:positionV>
            <wp:extent cx="2346960" cy="755650"/>
            <wp:effectExtent l="0" t="0" r="0" b="0"/>
            <wp:wrapNone/>
            <wp:docPr id="3" name="Forma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seta foto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346960" cy="755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2D2F" w:rsidRDefault="00482D2F">
      <w:pPr>
        <w:spacing w:line="360" w:lineRule="exact"/>
      </w:pPr>
    </w:p>
    <w:p w:rsidR="00482D2F" w:rsidRDefault="00482D2F">
      <w:pPr>
        <w:spacing w:after="474" w:line="1" w:lineRule="exact"/>
      </w:pPr>
    </w:p>
    <w:p w:rsidR="00482D2F" w:rsidRDefault="00482D2F">
      <w:pPr>
        <w:spacing w:line="1" w:lineRule="exact"/>
        <w:sectPr w:rsidR="00482D2F">
          <w:pgSz w:w="11900" w:h="16840"/>
          <w:pgMar w:top="1441" w:right="1505" w:bottom="1409" w:left="1548" w:header="1013" w:footer="981" w:gutter="0"/>
          <w:pgNumType w:start="1"/>
          <w:cols w:space="720"/>
          <w:noEndnote/>
          <w:docGrid w:linePitch="360"/>
        </w:sectPr>
      </w:pPr>
    </w:p>
    <w:p w:rsidR="00482D2F" w:rsidRDefault="00482D2F">
      <w:pPr>
        <w:spacing w:line="240" w:lineRule="exact"/>
        <w:rPr>
          <w:sz w:val="19"/>
        </w:rPr>
      </w:pPr>
    </w:p>
    <w:p w:rsidR="00482D2F" w:rsidRDefault="00482D2F">
      <w:pPr>
        <w:spacing w:before="119" w:after="119" w:line="240" w:lineRule="exact"/>
        <w:rPr>
          <w:sz w:val="19"/>
        </w:rPr>
      </w:pPr>
    </w:p>
    <w:p w:rsidR="00482D2F" w:rsidRDefault="00482D2F">
      <w:pPr>
        <w:spacing w:line="1" w:lineRule="exact"/>
        <w:sectPr w:rsidR="00482D2F">
          <w:type w:val="continuous"/>
          <w:pgSz w:w="11900" w:h="16840"/>
          <w:pgMar w:top="1438" w:right="0" w:bottom="1411" w:left="0" w:header="0" w:footer="3" w:gutter="0"/>
          <w:cols w:space="720"/>
          <w:noEndnote/>
          <w:docGrid w:linePitch="360"/>
        </w:sectPr>
      </w:pPr>
    </w:p>
    <w:p w:rsidR="00482D2F" w:rsidRDefault="00000000">
      <w:pPr>
        <w:pStyle w:val="Bodytext20"/>
        <w:spacing w:after="100"/>
      </w:pPr>
      <w:r>
        <w:rPr>
          <w:rStyle w:val="Bodytext2"/>
          <w:b/>
        </w:rPr>
        <w:t>Declarația de la Roma 2024</w:t>
      </w:r>
    </w:p>
    <w:p w:rsidR="00482D2F" w:rsidRDefault="00000000">
      <w:pPr>
        <w:pStyle w:val="Bodytext20"/>
        <w:spacing w:after="100"/>
      </w:pPr>
      <w:r>
        <w:rPr>
          <w:rStyle w:val="Bodytext2"/>
          <w:b/>
        </w:rPr>
        <w:t>Accesul la justiție</w:t>
      </w:r>
    </w:p>
    <w:p w:rsidR="00482D2F" w:rsidRDefault="00000000">
      <w:pPr>
        <w:pStyle w:val="Bodytext20"/>
        <w:spacing w:after="300"/>
      </w:pPr>
      <w:r>
        <w:rPr>
          <w:rStyle w:val="Bodytext2"/>
          <w:b/>
        </w:rPr>
        <w:t>14 iunie 2024</w:t>
      </w:r>
    </w:p>
    <w:p w:rsidR="00482D2F" w:rsidRDefault="00000000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</w:pPr>
      <w:r>
        <w:rPr>
          <w:rStyle w:val="Bodytext1"/>
        </w:rPr>
        <w:t>Accesul la justiție este o piatră de temelie a statului de drept și un drept fundamental al omului, esențial pentru protecția și realizarea tuturor celorlalte drepturi. Prin urmare, este oportun ca Rețeaua Europeană a Consiliilor Judiciare să adopte o declarație cu privire la acest drept la cea de-a 20-a aniversare a Adunării Generale.</w:t>
      </w:r>
    </w:p>
    <w:p w:rsidR="007E75BE" w:rsidRDefault="00000000" w:rsidP="007E75BE">
      <w:pPr>
        <w:pStyle w:val="Bodytext10"/>
        <w:numPr>
          <w:ilvl w:val="0"/>
          <w:numId w:val="1"/>
        </w:numPr>
        <w:tabs>
          <w:tab w:val="left" w:pos="341"/>
        </w:tabs>
        <w:spacing w:line="254" w:lineRule="auto"/>
        <w:ind w:left="360" w:hanging="360"/>
        <w:jc w:val="both"/>
        <w:rPr>
          <w:rStyle w:val="Bodytext1"/>
        </w:rPr>
      </w:pPr>
      <w:r>
        <w:rPr>
          <w:rStyle w:val="Bodytext1"/>
        </w:rPr>
        <w:t>Accesul la instanță implică dreptul de a exercita un control jurisdicțional efectiv, constând în</w:t>
      </w:r>
      <w:r w:rsidR="007E75BE">
        <w:rPr>
          <w:rStyle w:val="Bodytext1"/>
        </w:rPr>
        <w:t xml:space="preserve"> </w:t>
      </w:r>
      <w:r>
        <w:rPr>
          <w:rStyle w:val="Bodytext1"/>
        </w:rPr>
        <w:t>posibilitate</w:t>
      </w:r>
      <w:r w:rsidR="007E75BE">
        <w:rPr>
          <w:rStyle w:val="Bodytext1"/>
        </w:rPr>
        <w:t>a</w:t>
      </w:r>
      <w:r>
        <w:rPr>
          <w:rStyle w:val="Bodytext1"/>
        </w:rPr>
        <w:t xml:space="preserve"> </w:t>
      </w:r>
      <w:r w:rsidR="007E75BE">
        <w:rPr>
          <w:rStyle w:val="Bodytext1"/>
        </w:rPr>
        <w:t xml:space="preserve">individului </w:t>
      </w:r>
      <w:r>
        <w:rPr>
          <w:rStyle w:val="Bodytext1"/>
        </w:rPr>
        <w:t>de a contesta orice decizie care</w:t>
      </w:r>
      <w:r w:rsidR="007E75BE">
        <w:rPr>
          <w:rStyle w:val="Bodytext1"/>
        </w:rPr>
        <w:t>-i</w:t>
      </w:r>
      <w:r>
        <w:rPr>
          <w:rStyle w:val="Bodytext1"/>
        </w:rPr>
        <w:t xml:space="preserve"> afectează drepturile stabilite prin lege, disponibilitatea căilor de atac și </w:t>
      </w:r>
      <w:r w:rsidR="002F64A7">
        <w:rPr>
          <w:rStyle w:val="Bodytext1"/>
        </w:rPr>
        <w:t xml:space="preserve">existența unor </w:t>
      </w:r>
      <w:r>
        <w:rPr>
          <w:rStyle w:val="Bodytext1"/>
        </w:rPr>
        <w:t xml:space="preserve">proceduri adecvate aplicabile </w:t>
      </w:r>
      <w:r w:rsidR="007E75BE">
        <w:rPr>
          <w:rStyle w:val="Bodytext1"/>
          <w:lang w:val="ro-RO"/>
        </w:rPr>
        <w:t>în mod</w:t>
      </w:r>
      <w:r>
        <w:rPr>
          <w:rStyle w:val="Bodytext1"/>
        </w:rPr>
        <w:t xml:space="preserve"> egal. Controlul jurisdicțional trebuie să fie </w:t>
      </w:r>
      <w:r w:rsidR="007E75BE">
        <w:rPr>
          <w:rStyle w:val="Bodytext1"/>
        </w:rPr>
        <w:t>exercitat</w:t>
      </w:r>
      <w:r>
        <w:rPr>
          <w:rStyle w:val="Bodytext1"/>
        </w:rPr>
        <w:t xml:space="preserve"> de o instanță independentă și imparțială, instituită prin lege</w:t>
      </w:r>
      <w:r w:rsidR="002F64A7">
        <w:rPr>
          <w:rStyle w:val="Bodytext1"/>
        </w:rPr>
        <w:t xml:space="preserve"> și să fie realizat</w:t>
      </w:r>
      <w:r>
        <w:rPr>
          <w:rStyle w:val="Bodytext1"/>
        </w:rPr>
        <w:t xml:space="preserve"> într-un termen rezonabil.</w:t>
      </w:r>
      <w:r w:rsidR="007E75BE" w:rsidRPr="007E75BE">
        <w:t xml:space="preserve"> </w:t>
      </w:r>
    </w:p>
    <w:p w:rsidR="00482D2F" w:rsidRDefault="00000000" w:rsidP="007E75BE">
      <w:pPr>
        <w:pStyle w:val="Bodytext10"/>
        <w:numPr>
          <w:ilvl w:val="0"/>
          <w:numId w:val="1"/>
        </w:numPr>
        <w:tabs>
          <w:tab w:val="left" w:pos="341"/>
        </w:tabs>
        <w:spacing w:line="254" w:lineRule="auto"/>
        <w:ind w:left="360" w:hanging="360"/>
        <w:jc w:val="both"/>
      </w:pPr>
      <w:r>
        <w:rPr>
          <w:rStyle w:val="Bodytext1"/>
        </w:rPr>
        <w:t xml:space="preserve">Accesul la justiție trebuie să fie garantat în mod egal tuturor persoanelor, nu numai în teorie, ci și în practică. </w:t>
      </w:r>
      <w:r w:rsidR="002F64A7">
        <w:rPr>
          <w:rStyle w:val="Bodytext1"/>
        </w:rPr>
        <w:t xml:space="preserve">În acest sens este necesară </w:t>
      </w:r>
      <w:r w:rsidRPr="007E75BE">
        <w:rPr>
          <w:rStyle w:val="Bodytext1"/>
          <w:color w:val="222222"/>
        </w:rPr>
        <w:t>atragerea atenției publicului asupra drepturilor</w:t>
      </w:r>
      <w:r w:rsidR="002F64A7">
        <w:rPr>
          <w:rStyle w:val="Bodytext1"/>
          <w:color w:val="222222"/>
        </w:rPr>
        <w:t xml:space="preserve"> </w:t>
      </w:r>
      <w:r w:rsidR="001E0B20">
        <w:rPr>
          <w:rStyle w:val="Bodytext1"/>
          <w:color w:val="222222"/>
        </w:rPr>
        <w:t>conferite de lege</w:t>
      </w:r>
      <w:r w:rsidRPr="007E75BE">
        <w:rPr>
          <w:rStyle w:val="Bodytext1"/>
          <w:color w:val="222222"/>
        </w:rPr>
        <w:t xml:space="preserve">, </w:t>
      </w:r>
      <w:r w:rsidR="00B257A0">
        <w:rPr>
          <w:rStyle w:val="Bodytext1"/>
          <w:color w:val="222222"/>
        </w:rPr>
        <w:t xml:space="preserve">accesibilitatea </w:t>
      </w:r>
      <w:r w:rsidR="00B257A0">
        <w:rPr>
          <w:rStyle w:val="Bodytext1"/>
          <w:color w:val="222222"/>
          <w:lang w:val="ro-RO"/>
        </w:rPr>
        <w:t xml:space="preserve">și simplitatea </w:t>
      </w:r>
      <w:r w:rsidRPr="007E75BE">
        <w:rPr>
          <w:rStyle w:val="Bodytext1"/>
          <w:color w:val="222222"/>
        </w:rPr>
        <w:t>procesul</w:t>
      </w:r>
      <w:r w:rsidR="00B257A0">
        <w:rPr>
          <w:rStyle w:val="Bodytext1"/>
          <w:color w:val="222222"/>
        </w:rPr>
        <w:t>ui</w:t>
      </w:r>
      <w:r w:rsidRPr="007E75BE">
        <w:rPr>
          <w:rStyle w:val="Bodytext1"/>
          <w:color w:val="222222"/>
        </w:rPr>
        <w:t>, utiliza</w:t>
      </w:r>
      <w:r w:rsidR="00B257A0">
        <w:rPr>
          <w:rStyle w:val="Bodytext1"/>
          <w:color w:val="222222"/>
        </w:rPr>
        <w:t>rea</w:t>
      </w:r>
      <w:r w:rsidRPr="007E75BE">
        <w:rPr>
          <w:rStyle w:val="Bodytext1"/>
          <w:color w:val="222222"/>
        </w:rPr>
        <w:t xml:space="preserve"> un</w:t>
      </w:r>
      <w:r w:rsidR="00B257A0">
        <w:rPr>
          <w:rStyle w:val="Bodytext1"/>
          <w:color w:val="222222"/>
        </w:rPr>
        <w:t>ui</w:t>
      </w:r>
      <w:r w:rsidRPr="007E75BE">
        <w:rPr>
          <w:rStyle w:val="Bodytext1"/>
          <w:color w:val="222222"/>
        </w:rPr>
        <w:t xml:space="preserve"> limbaj clar și ușor de înțeles, </w:t>
      </w:r>
      <w:r w:rsidR="00B257A0">
        <w:rPr>
          <w:rStyle w:val="Bodytext1"/>
          <w:color w:val="222222"/>
        </w:rPr>
        <w:t>garantarea</w:t>
      </w:r>
      <w:r w:rsidRPr="007E75BE">
        <w:rPr>
          <w:rStyle w:val="Bodytext1"/>
          <w:color w:val="222222"/>
        </w:rPr>
        <w:t xml:space="preserve"> acces</w:t>
      </w:r>
      <w:r w:rsidR="00B257A0">
        <w:rPr>
          <w:rStyle w:val="Bodytext1"/>
          <w:color w:val="222222"/>
        </w:rPr>
        <w:t>ului</w:t>
      </w:r>
      <w:r w:rsidRPr="007E75BE">
        <w:rPr>
          <w:rStyle w:val="Bodytext1"/>
          <w:color w:val="222222"/>
        </w:rPr>
        <w:t xml:space="preserve"> fizic la instanțe și ofer</w:t>
      </w:r>
      <w:r w:rsidR="00B257A0">
        <w:rPr>
          <w:rStyle w:val="Bodytext1"/>
          <w:color w:val="222222"/>
        </w:rPr>
        <w:t>irea</w:t>
      </w:r>
      <w:r w:rsidRPr="007E75BE">
        <w:rPr>
          <w:rStyle w:val="Bodytext1"/>
          <w:color w:val="222222"/>
        </w:rPr>
        <w:t xml:space="preserve"> sprijin</w:t>
      </w:r>
      <w:r w:rsidR="00B257A0">
        <w:rPr>
          <w:rStyle w:val="Bodytext1"/>
          <w:color w:val="222222"/>
        </w:rPr>
        <w:t>ului</w:t>
      </w:r>
      <w:r w:rsidRPr="007E75BE">
        <w:rPr>
          <w:rStyle w:val="Bodytext1"/>
          <w:color w:val="222222"/>
        </w:rPr>
        <w:t xml:space="preserve"> și consilie</w:t>
      </w:r>
      <w:r w:rsidR="00B257A0">
        <w:rPr>
          <w:rStyle w:val="Bodytext1"/>
          <w:color w:val="222222"/>
        </w:rPr>
        <w:t>rii</w:t>
      </w:r>
      <w:r w:rsidRPr="007E75BE">
        <w:rPr>
          <w:rStyle w:val="Bodytext1"/>
          <w:color w:val="222222"/>
        </w:rPr>
        <w:t xml:space="preserve"> juridic</w:t>
      </w:r>
      <w:r w:rsidR="00B257A0">
        <w:rPr>
          <w:rStyle w:val="Bodytext1"/>
          <w:color w:val="222222"/>
        </w:rPr>
        <w:t>e</w:t>
      </w:r>
      <w:r w:rsidRPr="007E75BE">
        <w:rPr>
          <w:rStyle w:val="Bodytext1"/>
          <w:color w:val="222222"/>
        </w:rPr>
        <w:t xml:space="preserve"> gratuit</w:t>
      </w:r>
      <w:r w:rsidR="00B257A0">
        <w:rPr>
          <w:rStyle w:val="Bodytext1"/>
          <w:color w:val="222222"/>
        </w:rPr>
        <w:t>e</w:t>
      </w:r>
      <w:r w:rsidRPr="007E75BE">
        <w:rPr>
          <w:rStyle w:val="Bodytext1"/>
          <w:color w:val="222222"/>
        </w:rPr>
        <w:t xml:space="preserve">, </w:t>
      </w:r>
      <w:r w:rsidR="00B257A0">
        <w:rPr>
          <w:rStyle w:val="Bodytext1"/>
          <w:color w:val="222222"/>
        </w:rPr>
        <w:t>când este cazul</w:t>
      </w:r>
      <w:r>
        <w:rPr>
          <w:rStyle w:val="Bodytext1"/>
        </w:rPr>
        <w:t xml:space="preserve">. Ar trebui alocate resurse financiare suficiente în aceste scopuri, inclusiv </w:t>
      </w:r>
      <w:r w:rsidR="00B257A0">
        <w:rPr>
          <w:rStyle w:val="Bodytext1"/>
        </w:rPr>
        <w:t>ajutor public judiciar</w:t>
      </w:r>
      <w:r>
        <w:rPr>
          <w:rStyle w:val="Bodytext1"/>
        </w:rPr>
        <w:t>.</w:t>
      </w:r>
    </w:p>
    <w:p w:rsidR="00482D2F" w:rsidRDefault="00000000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</w:pPr>
      <w:r>
        <w:rPr>
          <w:rStyle w:val="Bodytext1"/>
        </w:rPr>
        <w:t xml:space="preserve">Consiliile judiciare și alte organisme similare trebuie să asigure accesul la justiție în </w:t>
      </w:r>
      <w:r w:rsidR="00B257A0">
        <w:rPr>
          <w:rStyle w:val="Bodytext1"/>
        </w:rPr>
        <w:t xml:space="preserve">limita permisă de </w:t>
      </w:r>
      <w:r>
        <w:rPr>
          <w:rStyle w:val="Bodytext1"/>
        </w:rPr>
        <w:t>mandatul lor, prin protejarea și promovarea independenței judiciare, a standardelor etice, a transparenței, a calității și a bunei funcționări a sistemului judiciar.</w:t>
      </w:r>
    </w:p>
    <w:p w:rsidR="00482D2F" w:rsidRDefault="00000000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</w:pPr>
      <w:r>
        <w:rPr>
          <w:rStyle w:val="Bodytext1"/>
        </w:rPr>
        <w:t xml:space="preserve">Persoanele vulnerabile ies în evidență și trebuie luate în considerare. Accesul la justiție pentru persoanele vulnerabile este un aspect esențial pentru a asigura echitatea și egalitatea în sistemul juridic. Pentru a atenua barierele cu care se confruntă persoanele vulnerabile în această privință, ar trebui depuse eforturi pentru a concepe și promova instrumente și proceduri care să țină seama de vulnerabilitățile specifice. Un judecător ar trebui să fie în măsură să adopte un rol activ, </w:t>
      </w:r>
      <w:r w:rsidR="007A7732">
        <w:rPr>
          <w:rStyle w:val="Bodytext1"/>
        </w:rPr>
        <w:t>acolo unde se impune</w:t>
      </w:r>
      <w:r>
        <w:rPr>
          <w:rStyle w:val="Bodytext1"/>
        </w:rPr>
        <w:t>.</w:t>
      </w:r>
    </w:p>
    <w:p w:rsidR="007F5ABB" w:rsidRDefault="00000000" w:rsidP="007F5ABB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  <w:rPr>
          <w:rStyle w:val="Bodytext1"/>
        </w:rPr>
      </w:pPr>
      <w:r>
        <w:rPr>
          <w:rStyle w:val="Bodytext1"/>
        </w:rPr>
        <w:t xml:space="preserve">În acest sens, consiliile judiciare ar trebui să ia în considerare posibilitatea de a organiza programe </w:t>
      </w:r>
      <w:r w:rsidR="007F5ABB">
        <w:rPr>
          <w:rStyle w:val="Bodytext1"/>
        </w:rPr>
        <w:t xml:space="preserve">țintite </w:t>
      </w:r>
      <w:r>
        <w:rPr>
          <w:rStyle w:val="Bodytext1"/>
        </w:rPr>
        <w:t>pentru a informa justițiabilii vulnerabili cu privire la drepturile lor</w:t>
      </w:r>
      <w:r w:rsidR="007F5ABB">
        <w:rPr>
          <w:rStyle w:val="Bodytext1"/>
        </w:rPr>
        <w:t xml:space="preserve"> și pentru creșterea, în rândul judecătorilor, a gradului de </w:t>
      </w:r>
      <w:r>
        <w:rPr>
          <w:rStyle w:val="Bodytext1"/>
        </w:rPr>
        <w:lastRenderedPageBreak/>
        <w:t>conștientiz</w:t>
      </w:r>
      <w:r w:rsidR="007F5ABB">
        <w:rPr>
          <w:rStyle w:val="Bodytext1"/>
        </w:rPr>
        <w:t>are</w:t>
      </w:r>
      <w:r>
        <w:rPr>
          <w:rStyle w:val="Bodytext1"/>
        </w:rPr>
        <w:t xml:space="preserve"> și înțeleger</w:t>
      </w:r>
      <w:r w:rsidR="007F5ABB">
        <w:rPr>
          <w:rStyle w:val="Bodytext1"/>
        </w:rPr>
        <w:t>e a</w:t>
      </w:r>
      <w:r>
        <w:rPr>
          <w:rStyle w:val="Bodytext1"/>
        </w:rPr>
        <w:t xml:space="preserve"> diferitelor circumstanțe ale persoanelor care se prezintă în fața instanțelor de judecată, pentru a asigura un tratament echitabil al acestora. Consiliile judiciare ar trebui să promoveze recunoașterea și înțelegerea </w:t>
      </w:r>
      <w:r w:rsidR="001E0B20">
        <w:rPr>
          <w:rStyle w:val="Bodytext1"/>
        </w:rPr>
        <w:t xml:space="preserve">diverselor </w:t>
      </w:r>
      <w:r>
        <w:rPr>
          <w:rStyle w:val="Bodytext1"/>
        </w:rPr>
        <w:t>vulnerabilități</w:t>
      </w:r>
      <w:r w:rsidR="001E0B20">
        <w:rPr>
          <w:rStyle w:val="Bodytext1"/>
        </w:rPr>
        <w:t xml:space="preserve"> ale</w:t>
      </w:r>
      <w:r>
        <w:rPr>
          <w:rStyle w:val="Bodytext1"/>
        </w:rPr>
        <w:t xml:space="preserve"> justițiabililor prin </w:t>
      </w:r>
      <w:r w:rsidR="001E0B20">
        <w:rPr>
          <w:rStyle w:val="Bodytext1"/>
        </w:rPr>
        <w:t xml:space="preserve">activități de </w:t>
      </w:r>
      <w:r>
        <w:rPr>
          <w:rStyle w:val="Bodytext1"/>
        </w:rPr>
        <w:t>formare</w:t>
      </w:r>
      <w:r w:rsidR="001E0B20">
        <w:rPr>
          <w:rStyle w:val="Bodytext1"/>
        </w:rPr>
        <w:t xml:space="preserve"> </w:t>
      </w:r>
      <w:r>
        <w:rPr>
          <w:rStyle w:val="Bodytext1"/>
        </w:rPr>
        <w:t xml:space="preserve">a judecătorilor, </w:t>
      </w:r>
      <w:r w:rsidR="001E0B20">
        <w:rPr>
          <w:rStyle w:val="Bodytext1"/>
        </w:rPr>
        <w:t xml:space="preserve">prin </w:t>
      </w:r>
      <w:r>
        <w:rPr>
          <w:rStyle w:val="Bodytext1"/>
        </w:rPr>
        <w:t xml:space="preserve">promovarea celor mai bune practici și </w:t>
      </w:r>
      <w:r w:rsidR="001E0B20">
        <w:rPr>
          <w:rStyle w:val="Bodytext1"/>
        </w:rPr>
        <w:t>prin</w:t>
      </w:r>
      <w:r>
        <w:rPr>
          <w:rStyle w:val="Bodytext1"/>
        </w:rPr>
        <w:t xml:space="preserve"> alt</w:t>
      </w:r>
      <w:r w:rsidR="001E0B20">
        <w:rPr>
          <w:rStyle w:val="Bodytext1"/>
        </w:rPr>
        <w:t xml:space="preserve">e </w:t>
      </w:r>
      <w:r>
        <w:rPr>
          <w:rStyle w:val="Bodytext1"/>
        </w:rPr>
        <w:t>instrumente disponibile.</w:t>
      </w:r>
      <w:r w:rsidR="007F5ABB" w:rsidRPr="007F5ABB">
        <w:t xml:space="preserve"> </w:t>
      </w:r>
      <w:r w:rsidR="001E0B20">
        <w:t xml:space="preserve"> </w:t>
      </w:r>
    </w:p>
    <w:p w:rsidR="00482D2F" w:rsidRDefault="00000000" w:rsidP="007F5ABB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</w:pPr>
      <w:r>
        <w:rPr>
          <w:rStyle w:val="Bodytext1"/>
        </w:rPr>
        <w:t xml:space="preserve">Tehnologiile digitale </w:t>
      </w:r>
      <w:r w:rsidR="001E0B20">
        <w:rPr>
          <w:rStyle w:val="Bodytext1"/>
        </w:rPr>
        <w:t>pot</w:t>
      </w:r>
      <w:r>
        <w:rPr>
          <w:rStyle w:val="Bodytext1"/>
        </w:rPr>
        <w:t xml:space="preserve"> fi </w:t>
      </w:r>
      <w:r w:rsidR="001E0B20">
        <w:rPr>
          <w:rStyle w:val="Bodytext1"/>
        </w:rPr>
        <w:t>adoptate</w:t>
      </w:r>
      <w:r>
        <w:rPr>
          <w:rStyle w:val="Bodytext1"/>
        </w:rPr>
        <w:t xml:space="preserve"> în procesul de </w:t>
      </w:r>
      <w:r w:rsidR="007F5ABB">
        <w:rPr>
          <w:rStyle w:val="Bodytext1"/>
        </w:rPr>
        <w:t>înfăptuire</w:t>
      </w:r>
      <w:r>
        <w:rPr>
          <w:rStyle w:val="Bodytext1"/>
        </w:rPr>
        <w:t xml:space="preserve"> a justiției. Instrumentele digitale pot contribui în mod considerabil la </w:t>
      </w:r>
      <w:r w:rsidR="001E0B20">
        <w:rPr>
          <w:rStyle w:val="Bodytext1"/>
        </w:rPr>
        <w:t>celeritatea înfăptuirii justiției</w:t>
      </w:r>
      <w:r>
        <w:rPr>
          <w:rStyle w:val="Bodytext1"/>
        </w:rPr>
        <w:t xml:space="preserve">: de la </w:t>
      </w:r>
      <w:r w:rsidR="001E0B20">
        <w:rPr>
          <w:rStyle w:val="Bodytext1"/>
        </w:rPr>
        <w:t>introducerea</w:t>
      </w:r>
      <w:r>
        <w:rPr>
          <w:rStyle w:val="Bodytext1"/>
        </w:rPr>
        <w:t xml:space="preserve"> simplificată a </w:t>
      </w:r>
      <w:r w:rsidR="001E0B20">
        <w:rPr>
          <w:rStyle w:val="Bodytext1"/>
        </w:rPr>
        <w:t>acțiunilor în instanță</w:t>
      </w:r>
      <w:r>
        <w:rPr>
          <w:rStyle w:val="Bodytext1"/>
        </w:rPr>
        <w:t xml:space="preserve"> la </w:t>
      </w:r>
      <w:r w:rsidR="0038762F">
        <w:rPr>
          <w:rStyle w:val="Bodytext1"/>
        </w:rPr>
        <w:t xml:space="preserve">un acces </w:t>
      </w:r>
      <w:r w:rsidR="001E0B20">
        <w:rPr>
          <w:rStyle w:val="Bodytext1"/>
        </w:rPr>
        <w:t>mai bun</w:t>
      </w:r>
      <w:r w:rsidR="0038762F">
        <w:rPr>
          <w:rStyle w:val="Bodytext1"/>
        </w:rPr>
        <w:t xml:space="preserve"> la</w:t>
      </w:r>
      <w:r>
        <w:rPr>
          <w:rStyle w:val="Bodytext1"/>
        </w:rPr>
        <w:t xml:space="preserve"> </w:t>
      </w:r>
      <w:r w:rsidR="0038762F">
        <w:rPr>
          <w:rStyle w:val="Bodytext1"/>
        </w:rPr>
        <w:t xml:space="preserve">marea </w:t>
      </w:r>
      <w:r>
        <w:rPr>
          <w:rStyle w:val="Bodytext1"/>
        </w:rPr>
        <w:t>baz</w:t>
      </w:r>
      <w:r w:rsidR="0038762F">
        <w:rPr>
          <w:rStyle w:val="Bodytext1"/>
        </w:rPr>
        <w:t>ă</w:t>
      </w:r>
      <w:r>
        <w:rPr>
          <w:rStyle w:val="Bodytext1"/>
        </w:rPr>
        <w:t xml:space="preserve"> </w:t>
      </w:r>
      <w:r w:rsidR="0038762F">
        <w:rPr>
          <w:rStyle w:val="Bodytext1"/>
        </w:rPr>
        <w:t xml:space="preserve">de date </w:t>
      </w:r>
      <w:r>
        <w:rPr>
          <w:rStyle w:val="Bodytext1"/>
        </w:rPr>
        <w:t>a hotărârilor judecătorești, anonimizate, după caz.</w:t>
      </w:r>
    </w:p>
    <w:p w:rsidR="00482D2F" w:rsidRDefault="00000000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</w:pPr>
      <w:r>
        <w:rPr>
          <w:rStyle w:val="Bodytext1"/>
        </w:rPr>
        <w:t xml:space="preserve">Utilizarea tehnologiilor digitale ar trebui să vizeze întotdeauna îmbunătățirea, nu limitarea accesului la justiție. Nevoile justițiabililor vulnerabili trebuie analizate cu atenție în acest sens, </w:t>
      </w:r>
      <w:r w:rsidR="000646CD">
        <w:rPr>
          <w:rStyle w:val="Bodytext1"/>
        </w:rPr>
        <w:t xml:space="preserve">iar </w:t>
      </w:r>
      <w:r>
        <w:rPr>
          <w:rStyle w:val="Bodytext1"/>
        </w:rPr>
        <w:t xml:space="preserve">dacă este necesar, ar trebui să fie </w:t>
      </w:r>
      <w:r w:rsidR="000646CD">
        <w:rPr>
          <w:rStyle w:val="Bodytext1"/>
        </w:rPr>
        <w:t>acordată</w:t>
      </w:r>
      <w:r>
        <w:rPr>
          <w:rStyle w:val="Bodytext1"/>
        </w:rPr>
        <w:t xml:space="preserve"> asistență. În acest moment,</w:t>
      </w:r>
      <w:r>
        <w:rPr>
          <w:rStyle w:val="Bodytext1"/>
        </w:rPr>
        <w:softHyphen/>
      </w:r>
      <w:r w:rsidR="000646CD">
        <w:rPr>
          <w:rStyle w:val="Bodytext1"/>
        </w:rPr>
        <w:t xml:space="preserve"> </w:t>
      </w:r>
      <w:r>
        <w:rPr>
          <w:rStyle w:val="Bodytext1"/>
        </w:rPr>
        <w:t>accesul nedigital la justiție ar trebui să rămână disponibil, atunci când este posibil.</w:t>
      </w:r>
    </w:p>
    <w:p w:rsidR="00482D2F" w:rsidRDefault="000646CD">
      <w:pPr>
        <w:pStyle w:val="Bodytext10"/>
        <w:numPr>
          <w:ilvl w:val="0"/>
          <w:numId w:val="1"/>
        </w:numPr>
        <w:tabs>
          <w:tab w:val="left" w:pos="341"/>
        </w:tabs>
        <w:ind w:left="360" w:hanging="360"/>
        <w:jc w:val="both"/>
      </w:pPr>
      <w:r>
        <w:rPr>
          <w:rStyle w:val="Bodytext1"/>
        </w:rPr>
        <w:t>În limita mandatului lor, consiliile judiciare ar trebui să joace un rol activ și de lider în evaluarea soluțiilor de IA propuse pentru</w:t>
      </w:r>
      <w:r w:rsidR="00CA4B9D">
        <w:rPr>
          <w:rStyle w:val="Bodytext1"/>
        </w:rPr>
        <w:t xml:space="preserve"> a fi </w:t>
      </w:r>
      <w:r>
        <w:rPr>
          <w:rStyle w:val="Bodytext1"/>
        </w:rPr>
        <w:t>utiliza</w:t>
      </w:r>
      <w:r w:rsidR="00CA4B9D">
        <w:rPr>
          <w:rStyle w:val="Bodytext1"/>
        </w:rPr>
        <w:t>t</w:t>
      </w:r>
      <w:r>
        <w:rPr>
          <w:rStyle w:val="Bodytext1"/>
        </w:rPr>
        <w:t xml:space="preserve">e în cadrul sistemului judiciar. </w:t>
      </w:r>
      <w:r w:rsidRPr="000646CD">
        <w:t>În limita mandatului lor</w:t>
      </w:r>
      <w:r>
        <w:rPr>
          <w:rStyle w:val="Bodytext1"/>
        </w:rPr>
        <w:t xml:space="preserve">, consiliile judiciare ar trebui, de asemenea, să stabilească standarde pentru utilizarea tehnologiilor digitale, inclusiv a tehnologiilor IA. </w:t>
      </w:r>
    </w:p>
    <w:sectPr w:rsidR="00482D2F">
      <w:type w:val="continuous"/>
      <w:pgSz w:w="11900" w:h="16840"/>
      <w:pgMar w:top="1438" w:right="2124" w:bottom="1411" w:left="1553" w:header="1010" w:footer="98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F7692" w:rsidRDefault="009F7692">
      <w:r>
        <w:separator/>
      </w:r>
    </w:p>
  </w:endnote>
  <w:endnote w:type="continuationSeparator" w:id="0">
    <w:p w:rsidR="009F7692" w:rsidRDefault="009F7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F7692" w:rsidRDefault="009F7692"/>
  </w:footnote>
  <w:footnote w:type="continuationSeparator" w:id="0">
    <w:p w:rsidR="009F7692" w:rsidRDefault="009F76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823CB"/>
    <w:multiLevelType w:val="multilevel"/>
    <w:tmpl w:val="C0E0DD1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222222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030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D2F"/>
    <w:rsid w:val="000646CD"/>
    <w:rsid w:val="001C2575"/>
    <w:rsid w:val="001E0B20"/>
    <w:rsid w:val="001F1B11"/>
    <w:rsid w:val="00297E9D"/>
    <w:rsid w:val="002F64A7"/>
    <w:rsid w:val="0031088B"/>
    <w:rsid w:val="0038762F"/>
    <w:rsid w:val="003958F0"/>
    <w:rsid w:val="00445E7E"/>
    <w:rsid w:val="00482D2F"/>
    <w:rsid w:val="007A7732"/>
    <w:rsid w:val="007E75BE"/>
    <w:rsid w:val="007F5ABB"/>
    <w:rsid w:val="009F7692"/>
    <w:rsid w:val="00B257A0"/>
    <w:rsid w:val="00CA4B9D"/>
    <w:rsid w:val="00DB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CA50F"/>
  <w15:docId w15:val="{4E8B9078-5CEE-4016-91A4-D5A97AD5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ro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1">
    <w:name w:val="Picture caption|1_"/>
    <w:basedOn w:val="DefaultParagraphFont"/>
    <w:link w:val="Picturecaption10"/>
    <w:rPr>
      <w:rFonts w:ascii="Arial" w:eastAsia="Arial" w:hAnsi="Arial" w:cs="Arial"/>
      <w:b/>
      <w:i w:val="0"/>
      <w:smallCaps w:val="0"/>
      <w:strike w:val="0"/>
      <w:color w:val="222222"/>
      <w:sz w:val="17"/>
      <w:u w:val="none"/>
    </w:rPr>
  </w:style>
  <w:style w:type="character" w:customStyle="1" w:styleId="Bodytext2">
    <w:name w:val="Body text|2_"/>
    <w:basedOn w:val="DefaultParagraphFont"/>
    <w:link w:val="Bodytext20"/>
    <w:rPr>
      <w:rFonts w:ascii="Arial" w:eastAsia="Arial" w:hAnsi="Arial" w:cs="Arial"/>
      <w:b/>
      <w:i w:val="0"/>
      <w:smallCaps w:val="0"/>
      <w:strike w:val="0"/>
      <w:u w:val="none"/>
    </w:rPr>
  </w:style>
  <w:style w:type="character" w:customStyle="1" w:styleId="Bodytext1">
    <w:name w:val="Body text|1_"/>
    <w:basedOn w:val="DefaultParagraphFont"/>
    <w:link w:val="Bodytext10"/>
    <w:rPr>
      <w:rFonts w:ascii="Calibri" w:eastAsia="Calibri" w:hAnsi="Calibri" w:cs="Calibri"/>
      <w:b w:val="0"/>
      <w:i w:val="0"/>
      <w:smallCaps w:val="0"/>
      <w:strike w:val="0"/>
      <w:u w:val="none"/>
    </w:rPr>
  </w:style>
  <w:style w:type="paragraph" w:customStyle="1" w:styleId="Picturecaption10">
    <w:name w:val="Picture caption|1"/>
    <w:basedOn w:val="Normal"/>
    <w:link w:val="Picturecaption1"/>
    <w:pPr>
      <w:spacing w:line="288" w:lineRule="auto"/>
    </w:pPr>
    <w:rPr>
      <w:rFonts w:ascii="Arial" w:eastAsia="Arial" w:hAnsi="Arial" w:cs="Arial"/>
      <w:b/>
      <w:color w:val="222222"/>
      <w:sz w:val="17"/>
    </w:rPr>
  </w:style>
  <w:style w:type="paragraph" w:customStyle="1" w:styleId="Bodytext20">
    <w:name w:val="Body text|2"/>
    <w:basedOn w:val="Normal"/>
    <w:link w:val="Bodytext2"/>
    <w:pPr>
      <w:spacing w:after="200" w:line="276" w:lineRule="auto"/>
      <w:jc w:val="center"/>
    </w:pPr>
    <w:rPr>
      <w:rFonts w:ascii="Arial" w:eastAsia="Arial" w:hAnsi="Arial" w:cs="Arial"/>
      <w:b/>
    </w:rPr>
  </w:style>
  <w:style w:type="paragraph" w:customStyle="1" w:styleId="Bodytext10">
    <w:name w:val="Body text|1"/>
    <w:basedOn w:val="Normal"/>
    <w:link w:val="Bodytext1"/>
    <w:pPr>
      <w:spacing w:after="100" w:line="257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Flavia, FLORENTA</dc:creator>
  <cp:lastModifiedBy>Flavia, FLORENTA</cp:lastModifiedBy>
  <cp:revision>4</cp:revision>
  <dcterms:created xsi:type="dcterms:W3CDTF">2024-06-26T12:27:00Z</dcterms:created>
  <dcterms:modified xsi:type="dcterms:W3CDTF">2024-06-28T09:03:00Z</dcterms:modified>
</cp:coreProperties>
</file>