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3C0" w:rsidRPr="008253C0" w:rsidRDefault="008253C0" w:rsidP="008253C0">
      <w:pPr>
        <w:jc w:val="center"/>
        <w:rPr>
          <w:rFonts w:ascii="Times New Roman" w:hAnsi="Times New Roman" w:cs="Times New Roman"/>
          <w:noProof/>
        </w:rPr>
      </w:pPr>
    </w:p>
    <w:p w:rsidR="008253C0" w:rsidRPr="008253C0" w:rsidRDefault="008253C0" w:rsidP="008253C0">
      <w:pPr>
        <w:jc w:val="center"/>
      </w:pPr>
    </w:p>
    <w:p w:rsidR="008253C0" w:rsidRPr="008253C0" w:rsidRDefault="008253C0" w:rsidP="008253C0">
      <w:pPr>
        <w:pStyle w:val="DecHTitle"/>
      </w:pPr>
      <w:r>
        <w:t>CURTEA EUROPEANĂ A DREPTURILOR OMULUI</w:t>
      </w:r>
    </w:p>
    <w:p w:rsidR="008253C0" w:rsidRPr="008253C0" w:rsidRDefault="008253C0" w:rsidP="008253C0">
      <w:pPr>
        <w:pStyle w:val="DecHTitle"/>
      </w:pPr>
      <w:r>
        <w:t>SECȚIA A PATRA</w:t>
      </w:r>
    </w:p>
    <w:p w:rsidR="008253C0" w:rsidRPr="008253C0" w:rsidRDefault="008253C0" w:rsidP="008253C0">
      <w:pPr>
        <w:pStyle w:val="JuTitle"/>
        <w:rPr>
          <w:color w:val="000000" w:themeColor="text1"/>
        </w:rPr>
      </w:pPr>
      <w:r>
        <w:rPr>
          <w:color w:val="000000" w:themeColor="text1"/>
        </w:rPr>
        <w:t>CAUZA PÂRVU ȘI ALȚII ÎMPOTRIVA ROMÂNIEI</w:t>
      </w:r>
    </w:p>
    <w:p w:rsidR="008253C0" w:rsidRPr="008253C0" w:rsidRDefault="008253C0" w:rsidP="008253C0">
      <w:pPr>
        <w:pStyle w:val="ECHRCoverTitle4"/>
      </w:pPr>
      <w:r>
        <w:t>(Cererea nr. 3524/22)</w:t>
      </w:r>
    </w:p>
    <w:p w:rsidR="008253C0" w:rsidRPr="008253C0" w:rsidRDefault="008253C0" w:rsidP="008253C0">
      <w:pPr>
        <w:pStyle w:val="DecHCase"/>
      </w:pPr>
    </w:p>
    <w:p w:rsidR="008253C0" w:rsidRPr="008253C0" w:rsidRDefault="008253C0" w:rsidP="008253C0">
      <w:pPr>
        <w:pStyle w:val="DecHCase"/>
      </w:pPr>
      <w:bookmarkStart w:id="0" w:name="_GoBack"/>
      <w:bookmarkEnd w:id="0"/>
    </w:p>
    <w:p w:rsidR="008253C0" w:rsidRPr="008253C0" w:rsidRDefault="008253C0" w:rsidP="008253C0">
      <w:pPr>
        <w:pStyle w:val="DecHCase"/>
      </w:pPr>
    </w:p>
    <w:p w:rsidR="008253C0" w:rsidRPr="008253C0" w:rsidRDefault="008253C0" w:rsidP="008253C0">
      <w:pPr>
        <w:pStyle w:val="DecHCase"/>
      </w:pPr>
    </w:p>
    <w:p w:rsidR="008253C0" w:rsidRPr="008253C0" w:rsidRDefault="008253C0" w:rsidP="008253C0">
      <w:pPr>
        <w:pStyle w:val="DecHCase"/>
      </w:pPr>
    </w:p>
    <w:p w:rsidR="008253C0" w:rsidRPr="008253C0" w:rsidRDefault="008253C0" w:rsidP="008253C0">
      <w:pPr>
        <w:pStyle w:val="DecHCase"/>
      </w:pPr>
    </w:p>
    <w:p w:rsidR="008253C0" w:rsidRPr="008253C0" w:rsidRDefault="008253C0" w:rsidP="008253C0">
      <w:pPr>
        <w:pStyle w:val="DecHCase"/>
      </w:pPr>
      <w:r>
        <w:t>HOTĂRÂRE</w:t>
      </w:r>
    </w:p>
    <w:p w:rsidR="008253C0" w:rsidRPr="008253C0" w:rsidRDefault="008253C0" w:rsidP="008253C0">
      <w:pPr>
        <w:pStyle w:val="DecHCase"/>
        <w:rPr>
          <w:i/>
          <w:sz w:val="22"/>
          <w:szCs w:val="22"/>
        </w:rPr>
      </w:pPr>
      <w:r>
        <w:rPr>
          <w:i/>
          <w:iCs/>
        </w:rPr>
        <w:t>Prezenta versiune a fost</w:t>
      </w:r>
      <w:r>
        <w:rPr>
          <w:i/>
          <w:sz w:val="22"/>
        </w:rPr>
        <w:t xml:space="preserve"> </w:t>
      </w:r>
      <w:bookmarkStart w:id="1" w:name="rectification"/>
      <w:r>
        <w:rPr>
          <w:i/>
          <w:sz w:val="22"/>
        </w:rPr>
        <w:t>rectificată</w:t>
      </w:r>
      <w:bookmarkEnd w:id="1"/>
      <w:r>
        <w:rPr>
          <w:i/>
          <w:sz w:val="22"/>
        </w:rPr>
        <w:t xml:space="preserve"> la 4 noiembrie 2025</w:t>
      </w:r>
      <w:r>
        <w:rPr>
          <w:i/>
          <w:sz w:val="22"/>
        </w:rPr>
        <w:br/>
        <w:t>în temeiul art. 81 din Regulamentul Curții.</w:t>
      </w:r>
    </w:p>
    <w:p w:rsidR="008253C0" w:rsidRPr="008253C0" w:rsidRDefault="008253C0" w:rsidP="008253C0">
      <w:pPr>
        <w:pStyle w:val="DecHCase"/>
      </w:pPr>
      <w:r>
        <w:t>STRASBOURG</w:t>
      </w:r>
    </w:p>
    <w:p w:rsidR="008253C0" w:rsidRPr="008253C0" w:rsidRDefault="008253C0" w:rsidP="008253C0">
      <w:pPr>
        <w:pStyle w:val="DecHCase"/>
        <w:rPr>
          <w:rFonts w:ascii="Times New Roman" w:hAnsi="Times New Roman" w:cs="Times New Roman"/>
        </w:rPr>
      </w:pPr>
      <w:r>
        <w:rPr>
          <w:rFonts w:ascii="Times New Roman" w:hAnsi="Times New Roman"/>
        </w:rPr>
        <w:t>26 august 2025</w:t>
      </w:r>
    </w:p>
    <w:p w:rsidR="008253C0" w:rsidRPr="008253C0" w:rsidRDefault="008253C0" w:rsidP="008253C0">
      <w:pPr>
        <w:pStyle w:val="JuPara"/>
      </w:pPr>
    </w:p>
    <w:p w:rsidR="008253C0" w:rsidRPr="008253C0" w:rsidRDefault="008253C0" w:rsidP="008253C0">
      <w:pPr>
        <w:rPr>
          <w:i/>
          <w:sz w:val="22"/>
        </w:rPr>
      </w:pPr>
      <w:r>
        <w:rPr>
          <w:i/>
          <w:sz w:val="22"/>
        </w:rPr>
        <w:t>Prezenta hotărâre este definitivă, dar poate suferi modificări de formă.</w:t>
      </w:r>
    </w:p>
    <w:p w:rsidR="008253C0" w:rsidRPr="008253C0" w:rsidRDefault="008253C0" w:rsidP="008253C0">
      <w:pPr>
        <w:sectPr w:rsidR="008253C0" w:rsidRPr="008253C0"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8253C0" w:rsidRPr="008253C0" w:rsidRDefault="008253C0" w:rsidP="008253C0">
      <w:pPr>
        <w:pStyle w:val="JuCase"/>
      </w:pPr>
      <w:r>
        <w:lastRenderedPageBreak/>
        <w:t>În cauza Pârvu și alții împotriva României,</w:t>
      </w:r>
    </w:p>
    <w:p w:rsidR="008253C0" w:rsidRPr="008253C0" w:rsidRDefault="008253C0" w:rsidP="008253C0">
      <w:pPr>
        <w:pStyle w:val="JuPara"/>
      </w:pPr>
      <w:r>
        <w:t>Curtea Europeană a Drepturilor Omului (Secția a patra), reunită într-un comitet compus din:</w:t>
      </w:r>
    </w:p>
    <w:p w:rsidR="008253C0" w:rsidRPr="008253C0" w:rsidRDefault="008253C0" w:rsidP="008253C0">
      <w:pPr>
        <w:pStyle w:val="JuJudges"/>
      </w:pPr>
      <w:r>
        <w:tab/>
        <w:t>Anne Louise Bormann</w:t>
      </w:r>
      <w:r>
        <w:rPr>
          <w:i/>
        </w:rPr>
        <w:t>, președinte</w:t>
      </w:r>
      <w:r>
        <w:t>,</w:t>
      </w:r>
      <w:r>
        <w:br/>
      </w:r>
      <w:r>
        <w:tab/>
        <w:t>Sebastian Rădulețu,</w:t>
      </w:r>
      <w:r>
        <w:br/>
      </w:r>
      <w:r>
        <w:tab/>
        <w:t>András Jakab</w:t>
      </w:r>
      <w:r>
        <w:rPr>
          <w:i/>
        </w:rPr>
        <w:t>, judecători</w:t>
      </w:r>
      <w:r>
        <w:t>,</w:t>
      </w:r>
      <w:r>
        <w:br/>
        <w:t xml:space="preserve">și Valentin Nicolescu, </w:t>
      </w:r>
      <w:r>
        <w:rPr>
          <w:i/>
        </w:rPr>
        <w:t>grefier adjunct interimar de secție,</w:t>
      </w:r>
    </w:p>
    <w:p w:rsidR="008253C0" w:rsidRPr="008253C0" w:rsidRDefault="008253C0" w:rsidP="008253C0">
      <w:pPr>
        <w:pStyle w:val="JuPara"/>
      </w:pPr>
      <w:r>
        <w:t>având în vedere:</w:t>
      </w:r>
    </w:p>
    <w:p w:rsidR="008253C0" w:rsidRPr="008253C0" w:rsidRDefault="008253C0" w:rsidP="008253C0">
      <w:pPr>
        <w:pStyle w:val="JuPara"/>
      </w:pPr>
      <w:r>
        <w:t>cererea nr. 3524/22 îndreptată împotriva României, prin care trei resortisanți ai acestui stat, ale căror date sunt prezentate în tabelul anexat („reclamanții”), au sesizat Curtea la 3 ianuarie 2022, în temeiul art. 34 din Convenția pentru apărarea drepturilor omului și a libertăților fundamentale („Convenția”);</w:t>
      </w:r>
    </w:p>
    <w:p w:rsidR="008253C0" w:rsidRPr="008253C0" w:rsidRDefault="008253C0" w:rsidP="008253C0">
      <w:pPr>
        <w:pStyle w:val="JuPara"/>
      </w:pPr>
      <w:r>
        <w:t>decizia de a comunica această cerere Guvernului român („Guvernul”), reprezentat de agentul guvernamental, doamna O.F. Ezer, din cadrul Ministerului Afacerilor Externe;</w:t>
      </w:r>
    </w:p>
    <w:p w:rsidR="008253C0" w:rsidRPr="008253C0" w:rsidRDefault="008253C0" w:rsidP="008253C0">
      <w:pPr>
        <w:pStyle w:val="JuPara"/>
      </w:pPr>
      <w:r>
        <w:t>observațiile părților;</w:t>
      </w:r>
    </w:p>
    <w:p w:rsidR="008253C0" w:rsidRPr="008253C0" w:rsidRDefault="008253C0" w:rsidP="008253C0">
      <w:pPr>
        <w:pStyle w:val="JuPara"/>
      </w:pPr>
      <w:r>
        <w:t>după ce a deliberat în camera de consiliu, la 24 iunie 2025,</w:t>
      </w:r>
    </w:p>
    <w:p w:rsidR="008253C0" w:rsidRPr="008253C0" w:rsidRDefault="008253C0" w:rsidP="008253C0">
      <w:pPr>
        <w:pStyle w:val="JuPara"/>
      </w:pPr>
      <w:r>
        <w:t>pronunță prezenta hotărâre, adoptată la aceeași dată:</w:t>
      </w:r>
    </w:p>
    <w:p w:rsidR="008253C0" w:rsidRPr="008253C0" w:rsidRDefault="008253C0" w:rsidP="008253C0">
      <w:pPr>
        <w:pStyle w:val="JuHHead"/>
        <w:numPr>
          <w:ilvl w:val="0"/>
          <w:numId w:val="0"/>
        </w:numPr>
      </w:pPr>
      <w:r>
        <w:t>OBIECTUL CAUZEI</w:t>
      </w:r>
    </w:p>
    <w:p w:rsidR="008253C0" w:rsidRPr="008253C0" w:rsidRDefault="00EE512C" w:rsidP="008253C0">
      <w:pPr>
        <w:pStyle w:val="JuPara"/>
      </w:pPr>
      <w:r>
        <w:fldChar w:fldCharType="begin"/>
      </w:r>
      <w:r>
        <w:instrText xml:space="preserve"> SEQ level0 \*arabic \* MERGEFORMAT </w:instrText>
      </w:r>
      <w:r>
        <w:fldChar w:fldCharType="separate"/>
      </w:r>
      <w:bookmarkStart w:id="2" w:name="paragraph00001"/>
      <w:r w:rsidR="008253C0" w:rsidRPr="008253C0">
        <w:t>1</w:t>
      </w:r>
      <w:bookmarkEnd w:id="2"/>
      <w:r>
        <w:fldChar w:fldCharType="end"/>
      </w:r>
      <w:r w:rsidR="00E0109E">
        <w:t>.  Reclamanții sunt părinții și, respectiv, fratele domnului Sorin Pârvu, ucis la 26 septembrie 2009 de un polițist în cursul unei operațiuni în legătură cu executarea unui mandat european de arestare. Cauza pe care reclamanții au introdus-o în fața Curții are ca obiect răspunderea autorităților în ceea ce privește omorul respectiv și caracterul efectiv al anchetei efectuate în această privință.</w:t>
      </w:r>
    </w:p>
    <w:p w:rsidR="008253C0" w:rsidRPr="008253C0" w:rsidRDefault="00EE512C" w:rsidP="008253C0">
      <w:pPr>
        <w:pStyle w:val="JuPara"/>
      </w:pPr>
      <w:r>
        <w:fldChar w:fldCharType="begin"/>
      </w:r>
      <w:r>
        <w:instrText xml:space="preserve"> SEQ level0 \*arabic \* MERGEFORMAT </w:instrText>
      </w:r>
      <w:r>
        <w:fldChar w:fldCharType="separate"/>
      </w:r>
      <w:bookmarkStart w:id="3" w:name="paragraph00002"/>
      <w:r w:rsidR="008253C0" w:rsidRPr="008253C0">
        <w:t>2</w:t>
      </w:r>
      <w:bookmarkEnd w:id="3"/>
      <w:r>
        <w:fldChar w:fldCharType="end"/>
      </w:r>
      <w:r w:rsidR="00E0109E">
        <w:t xml:space="preserve">.  Principalele fapte, inclusiv evenimentele care s-au soldat cu decesul domnului Sorin Pârvu și urmărirea penală care a urmat, sunt descrise în hotărârea </w:t>
      </w:r>
      <w:r w:rsidR="00E0109E">
        <w:rPr>
          <w:i/>
          <w:iCs/>
        </w:rPr>
        <w:t>Pârvu împotriva României</w:t>
      </w:r>
      <w:r w:rsidR="00E0109E">
        <w:t xml:space="preserve"> (nr. 13326/18, pct. 5-49, 30 august 2022), privind cererea formulată de văduva domnului Sorin Pârvu.</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3</w:t>
      </w:r>
      <w:r>
        <w:fldChar w:fldCharType="end"/>
      </w:r>
      <w:r w:rsidR="00E0109E">
        <w:t>.  Imediat după ce domnul Sorin Pârvu a fost împușcat, unul dintre polițiști a observat că victima nu era persoana pe care poliția urmărea să o aresteze în acea zi. O ambulanță a sosit 15 minute mai târziu și, după ce s-a încercat fără succes resuscitarea domnului Sorin Pârvu, acesta a fost transportat la Spitalul de Urgență Brăila, unde a decedat ulterior.</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4</w:t>
      </w:r>
      <w:r>
        <w:fldChar w:fldCharType="end"/>
      </w:r>
      <w:r w:rsidR="00E0109E">
        <w:t>.  La 11 iunie 2010, un procuror din cadrul Parchetului de pe lângă Înalta Curte de Casație și Justiție (ÎCCJ) a dispus începerea urmăririi penale pentru omor calificat, faptă prevăzută de art. 174-175 din Codul penal, față de polițistul D.G., cel care îl împușcase în cap pe domnul Sorin Pârvu.</w:t>
      </w:r>
    </w:p>
    <w:p w:rsidR="008253C0" w:rsidRPr="008253C0" w:rsidRDefault="00EE512C" w:rsidP="008253C0">
      <w:pPr>
        <w:pStyle w:val="JuPara"/>
      </w:pPr>
      <w:r>
        <w:fldChar w:fldCharType="begin"/>
      </w:r>
      <w:r>
        <w:instrText xml:space="preserve"> SEQ </w:instrText>
      </w:r>
      <w:r>
        <w:instrText xml:space="preserve">level0 \*arabic \* MERGEFORMAT </w:instrText>
      </w:r>
      <w:r>
        <w:fldChar w:fldCharType="separate"/>
      </w:r>
      <w:r w:rsidR="008253C0" w:rsidRPr="008253C0">
        <w:t>5</w:t>
      </w:r>
      <w:r>
        <w:fldChar w:fldCharType="end"/>
      </w:r>
      <w:r w:rsidR="00E0109E">
        <w:t>.  La 7 iulie 2011, parchetul sus-menționat a dispus scoaterea de sub urmărire penală a lui D.G., considerând că decesul domnului Sorin Pârvu a fost accidental.</w:t>
      </w:r>
    </w:p>
    <w:p w:rsidR="008253C0" w:rsidRPr="008253C0" w:rsidRDefault="00EE512C" w:rsidP="008253C0">
      <w:pPr>
        <w:pStyle w:val="JuPara"/>
      </w:pPr>
      <w:r>
        <w:lastRenderedPageBreak/>
        <w:fldChar w:fldCharType="begin"/>
      </w:r>
      <w:r>
        <w:instrText xml:space="preserve"> SEQ level0 \*arabic \* MERGEFORMAT </w:instrText>
      </w:r>
      <w:r>
        <w:fldChar w:fldCharType="separate"/>
      </w:r>
      <w:r w:rsidR="008253C0" w:rsidRPr="008253C0">
        <w:t>6</w:t>
      </w:r>
      <w:r>
        <w:fldChar w:fldCharType="end"/>
      </w:r>
      <w:r w:rsidR="00E0109E">
        <w:t>.  La 21 decembrie 2011, Curtea de Apel Galați a admis plângerea împotriva rezoluției procurorului din 7 iulie 2011, a desființat rezoluția și a trimis cauza la parchet în vederea redeschiderii urmăririi penale, pentru lămurirea faptelor și împrejurărilor cauzei care fuseseră omise în cursul cercetărilor inițiale.</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7</w:t>
      </w:r>
      <w:r>
        <w:fldChar w:fldCharType="end"/>
      </w:r>
      <w:r w:rsidR="00E0109E">
        <w:t>.  La 24 februarie 2012, procurorul i-a comunicat lui D.G. schimbarea încadrării juridice a faptei pentru care s-a efectuat urmărirea penală în aceea de omor deosebit de grav [prevăzută de art. 174 și art. 175 alin. (1) lit. i) și g) din Codul penal].</w:t>
      </w:r>
    </w:p>
    <w:p w:rsidR="008253C0" w:rsidRPr="008253C0" w:rsidRDefault="008253C0" w:rsidP="008253C0">
      <w:pPr>
        <w:pStyle w:val="JuPara"/>
        <w:rPr>
          <w:rFonts w:cstheme="minorHAnsi"/>
        </w:rPr>
      </w:pPr>
      <w:r w:rsidRPr="008253C0">
        <w:rPr>
          <w:rFonts w:cstheme="minorHAnsi"/>
        </w:rPr>
        <w:fldChar w:fldCharType="begin"/>
      </w:r>
      <w:r w:rsidRPr="008253C0">
        <w:rPr>
          <w:rFonts w:cstheme="minorHAnsi"/>
        </w:rPr>
        <w:instrText xml:space="preserve"> SEQ level0 \*arabic \* MERGEFORMAT </w:instrText>
      </w:r>
      <w:r w:rsidRPr="008253C0">
        <w:rPr>
          <w:rFonts w:cstheme="minorHAnsi"/>
        </w:rPr>
        <w:fldChar w:fldCharType="separate"/>
      </w:r>
      <w:r w:rsidRPr="008253C0">
        <w:rPr>
          <w:rFonts w:cstheme="minorHAnsi"/>
        </w:rPr>
        <w:t>8</w:t>
      </w:r>
      <w:r w:rsidRPr="008253C0">
        <w:rPr>
          <w:rFonts w:cstheme="minorHAnsi"/>
        </w:rPr>
        <w:fldChar w:fldCharType="end"/>
      </w:r>
      <w:r>
        <w:t>.  La 30 august 2013, Parchetul de pe lângă ÎCCJ a emis o rezoluție prin care a dispus din nou scoaterea de sub urmărire penală a lui D.G., considerând că acesta din urmă nu era responsabil pentru decesul domnului Pârvu, survenit accidental.</w:t>
      </w:r>
    </w:p>
    <w:p w:rsidR="008253C0" w:rsidRPr="008253C0" w:rsidRDefault="008253C0" w:rsidP="008253C0">
      <w:pPr>
        <w:pStyle w:val="JuPara"/>
        <w:rPr>
          <w:rFonts w:cstheme="minorHAnsi"/>
        </w:rPr>
      </w:pPr>
      <w:r w:rsidRPr="008253C0">
        <w:rPr>
          <w:rFonts w:cstheme="minorHAnsi"/>
        </w:rPr>
        <w:fldChar w:fldCharType="begin"/>
      </w:r>
      <w:r w:rsidRPr="008253C0">
        <w:rPr>
          <w:rFonts w:cstheme="minorHAnsi"/>
        </w:rPr>
        <w:instrText xml:space="preserve"> SEQ level0 \*arabic \* MERGEFORMAT </w:instrText>
      </w:r>
      <w:r w:rsidRPr="008253C0">
        <w:rPr>
          <w:rFonts w:cstheme="minorHAnsi"/>
        </w:rPr>
        <w:fldChar w:fldCharType="separate"/>
      </w:r>
      <w:bookmarkStart w:id="4" w:name="paragraph00029"/>
      <w:r w:rsidRPr="008253C0">
        <w:rPr>
          <w:rFonts w:cstheme="minorHAnsi"/>
        </w:rPr>
        <w:t>9</w:t>
      </w:r>
      <w:bookmarkEnd w:id="4"/>
      <w:r w:rsidRPr="008253C0">
        <w:rPr>
          <w:rFonts w:cstheme="minorHAnsi"/>
        </w:rPr>
        <w:fldChar w:fldCharType="end"/>
      </w:r>
      <w:r>
        <w:t>.  La 5 februarie 2014, Curtea de Apel Galați a admis plângerea împotriva rezoluției procurorului menționate mai sus, a desființat rezoluția și a trimis cauza la procuror în vederea redeschiderii urmăririi penale, considerând că multe aspecte de fapt și de drept ale cauzei nu au fost încă lămurite. Curtea de apel a enumerat pe patru pagini întregi toate aspectele care rămăseseră de elucidat prin continuarea cercetărilor penale, inclusiv admiterea probelor propuse de reclamanți, care se constituiseră părți civile. Aceste probe includeau, de exemplu, declarația administratorului de la chioșcul din apropiere, care a fost martor la incident.</w:t>
      </w:r>
    </w:p>
    <w:p w:rsidR="008253C0" w:rsidRPr="008253C0" w:rsidRDefault="008253C0" w:rsidP="008253C0">
      <w:pPr>
        <w:pStyle w:val="JuPara"/>
        <w:rPr>
          <w:rFonts w:cstheme="minorHAnsi"/>
        </w:rPr>
      </w:pPr>
      <w:r w:rsidRPr="008253C0">
        <w:rPr>
          <w:rFonts w:cstheme="minorHAnsi"/>
        </w:rPr>
        <w:fldChar w:fldCharType="begin"/>
      </w:r>
      <w:r w:rsidRPr="008253C0">
        <w:rPr>
          <w:rFonts w:cstheme="minorHAnsi"/>
        </w:rPr>
        <w:instrText xml:space="preserve"> SEQ level0 \*arabic \* MERGEFORMAT </w:instrText>
      </w:r>
      <w:r w:rsidRPr="008253C0">
        <w:rPr>
          <w:rFonts w:cstheme="minorHAnsi"/>
        </w:rPr>
        <w:fldChar w:fldCharType="separate"/>
      </w:r>
      <w:r w:rsidRPr="008253C0">
        <w:rPr>
          <w:rFonts w:cstheme="minorHAnsi"/>
        </w:rPr>
        <w:t>10</w:t>
      </w:r>
      <w:r w:rsidRPr="008253C0">
        <w:rPr>
          <w:rFonts w:cstheme="minorHAnsi"/>
        </w:rPr>
        <w:fldChar w:fldCharType="end"/>
      </w:r>
      <w:r>
        <w:t>.  La 28 august 2014, procurorul a dispus din nou schimbarea încadrării juridice a faptei pentru care s-a efectuat urmărirea penală față de D.G. în aceea de omor, prevăzută de art. 188 din Noul Cod penal, intrat în vigoare de la 1 februarie 2014.</w:t>
      </w:r>
    </w:p>
    <w:p w:rsidR="008253C0" w:rsidRPr="008253C0" w:rsidRDefault="008253C0" w:rsidP="008253C0">
      <w:pPr>
        <w:pStyle w:val="JuPara"/>
        <w:rPr>
          <w:rFonts w:cstheme="minorHAnsi"/>
        </w:rPr>
      </w:pPr>
      <w:r w:rsidRPr="008253C0">
        <w:rPr>
          <w:rFonts w:cstheme="minorHAnsi"/>
        </w:rPr>
        <w:fldChar w:fldCharType="begin"/>
      </w:r>
      <w:r w:rsidRPr="008253C0">
        <w:rPr>
          <w:rFonts w:cstheme="minorHAnsi"/>
        </w:rPr>
        <w:instrText xml:space="preserve"> SEQ level0 \*arabic \* MERGEFORMAT </w:instrText>
      </w:r>
      <w:r w:rsidRPr="008253C0">
        <w:rPr>
          <w:rFonts w:cstheme="minorHAnsi"/>
        </w:rPr>
        <w:fldChar w:fldCharType="separate"/>
      </w:r>
      <w:r w:rsidRPr="008253C0">
        <w:rPr>
          <w:rFonts w:cstheme="minorHAnsi"/>
        </w:rPr>
        <w:t>11</w:t>
      </w:r>
      <w:r w:rsidRPr="008253C0">
        <w:rPr>
          <w:rFonts w:cstheme="minorHAnsi"/>
        </w:rPr>
        <w:fldChar w:fldCharType="end"/>
      </w:r>
      <w:r>
        <w:t>.  La 3 iulie 2015, Parchetul de pe lângă ÎCCJ a dispus clasarea cauzei față de D.G., considerând că a existat o cauză justificativă, respectiv legitima apărare.</w:t>
      </w:r>
    </w:p>
    <w:p w:rsidR="008253C0" w:rsidRPr="008253C0" w:rsidRDefault="008253C0" w:rsidP="008253C0">
      <w:pPr>
        <w:pStyle w:val="JuPara"/>
        <w:rPr>
          <w:rFonts w:cstheme="minorHAnsi"/>
        </w:rPr>
      </w:pPr>
      <w:r w:rsidRPr="008253C0">
        <w:rPr>
          <w:rFonts w:cstheme="minorHAnsi"/>
        </w:rPr>
        <w:fldChar w:fldCharType="begin"/>
      </w:r>
      <w:r w:rsidRPr="008253C0">
        <w:rPr>
          <w:rFonts w:cstheme="minorHAnsi"/>
        </w:rPr>
        <w:instrText xml:space="preserve"> SEQ level0 \*arabic \* MERGEFORMAT </w:instrText>
      </w:r>
      <w:r w:rsidRPr="008253C0">
        <w:rPr>
          <w:rFonts w:cstheme="minorHAnsi"/>
        </w:rPr>
        <w:fldChar w:fldCharType="separate"/>
      </w:r>
      <w:bookmarkStart w:id="5" w:name="paragraph00031"/>
      <w:r w:rsidRPr="008253C0">
        <w:rPr>
          <w:rFonts w:cstheme="minorHAnsi"/>
        </w:rPr>
        <w:t>12</w:t>
      </w:r>
      <w:bookmarkEnd w:id="5"/>
      <w:r w:rsidRPr="008253C0">
        <w:rPr>
          <w:rFonts w:cstheme="minorHAnsi"/>
        </w:rPr>
        <w:fldChar w:fldCharType="end"/>
      </w:r>
      <w:r>
        <w:t>.  La 26 februarie 2016, Tribunalul Brăila a admis plângerea împotriva ordonanței procurorului din 3 iulie 2015, sus-menționată, a desființat ordonanța și a trimis cauza la procuror pentru a completa urmărirea penală, considerând că activitățile dispuse de Curtea de Apel Galați în sentința penală din 5 februarie 2014 ori nu au fost efectuate, ori au fost incomplet realizate de către procuror. În încheierea sus-menționată, Tribunalul a precizat, de asemenea, că activitățile a căror realizare fusese dispusă de Curtea de Apel erau obligatorii, nu recomandări. Potrivit Tribunalului, nerespectarea acestor dispoziții ar fi făcut ca cercetările efectuate să fie incomplete.</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13</w:t>
      </w:r>
      <w:r>
        <w:fldChar w:fldCharType="end"/>
      </w:r>
      <w:r w:rsidR="00E0109E">
        <w:t>.  La 7 iunie 2018, Parchetul de pe lângă ÎCCJ a dispus din nou clasarea cauzei față de polițistul D.G., considerând că acesta a acționat în legitimă apărare pentru a apăra viața celorlalți trei lucrători de poliție care participau la operațiune.</w:t>
      </w:r>
    </w:p>
    <w:p w:rsidR="008253C0" w:rsidRPr="008253C0" w:rsidRDefault="00EE512C" w:rsidP="008253C0">
      <w:pPr>
        <w:pStyle w:val="JuPara"/>
      </w:pPr>
      <w:r>
        <w:fldChar w:fldCharType="begin"/>
      </w:r>
      <w:r>
        <w:instrText xml:space="preserve"> SEQ level0 \*arab</w:instrText>
      </w:r>
      <w:r>
        <w:instrText xml:space="preserve">ic \* MERGEFORMAT </w:instrText>
      </w:r>
      <w:r>
        <w:fldChar w:fldCharType="separate"/>
      </w:r>
      <w:bookmarkStart w:id="6" w:name="paragraph00014"/>
      <w:r w:rsidR="008253C0" w:rsidRPr="008253C0">
        <w:t>14</w:t>
      </w:r>
      <w:bookmarkEnd w:id="6"/>
      <w:r>
        <w:fldChar w:fldCharType="end"/>
      </w:r>
      <w:r w:rsidR="00E0109E">
        <w:t xml:space="preserve">.  La 6 martie 2019, Tribunalul Brăila a admis plângerea împotriva ordonanței procurorului din 7 iunie 2018, a desființat ordonanța și a trimis </w:t>
      </w:r>
      <w:r w:rsidR="00E0109E">
        <w:lastRenderedPageBreak/>
        <w:t>cauza la procuror pentru a completa urmărirea penală, considerând că unele dintre activitățile dispuse prin hotărârile judecătorești anterioare încă nu fuseseră efectuate și multe aspecte ale cauzei nu fuseseră încă lămurite.</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15</w:t>
      </w:r>
      <w:r>
        <w:fldChar w:fldCharType="end"/>
      </w:r>
      <w:r w:rsidR="00E0109E">
        <w:t>.  La 25 iunie 2020, Parchetul de pe lângă ÎCCJ a dispus din nou clasarea cauzei față de D.G., considerând că acesta a acționat în legitimă apărare, totodată susținând că împușcarea a fost accidentală. Procurorul a concluzionat că faptul că niciunul dintre lucrătorii de poliție nu a suferit leziuni traumatice grave nu poate schimba natura atacului comis de domnul Sorin Pârvu.</w:t>
      </w:r>
    </w:p>
    <w:p w:rsidR="008253C0" w:rsidRPr="008253C0" w:rsidRDefault="00EE512C" w:rsidP="008253C0">
      <w:pPr>
        <w:pStyle w:val="JuPara"/>
      </w:pPr>
      <w:r>
        <w:fldChar w:fldCharType="begin"/>
      </w:r>
      <w:r>
        <w:instrText xml:space="preserve"> SEQ level0 \*arabic \* MERGEFORMAT </w:instrText>
      </w:r>
      <w:r>
        <w:fldChar w:fldCharType="separate"/>
      </w:r>
      <w:bookmarkStart w:id="7" w:name="paragraph00016"/>
      <w:r w:rsidR="008253C0" w:rsidRPr="008253C0">
        <w:t>16</w:t>
      </w:r>
      <w:bookmarkEnd w:id="7"/>
      <w:r>
        <w:fldChar w:fldCharType="end"/>
      </w:r>
      <w:r w:rsidR="00E0109E">
        <w:t>.  Prin încheierea definitivă din 8 aprilie 2021, comunicată reclamanților la 12 iulie 2021, Tribunalul Brăila a respins plângerea acestora împotriva ordonanței procurorului din 25 iunie 2020, considerând că nu există elemente incompatibile în ordonanța procurorului din 25 iunie 2020, concluziile privind autoapărarea legitimă și împușcarea accidentală „fiind reținute în momente diferite și în ipoteze diferite”.</w:t>
      </w:r>
    </w:p>
    <w:p w:rsidR="008253C0" w:rsidRPr="008253C0" w:rsidRDefault="00EE512C" w:rsidP="008253C0">
      <w:pPr>
        <w:pStyle w:val="JuPara"/>
      </w:pPr>
      <w:r>
        <w:fldChar w:fldCharType="begin"/>
      </w:r>
      <w:r>
        <w:instrText xml:space="preserve"> SEQ level0</w:instrText>
      </w:r>
      <w:r>
        <w:instrText xml:space="preserve"> \*arabic \* MERGEFORMAT </w:instrText>
      </w:r>
      <w:r>
        <w:fldChar w:fldCharType="separate"/>
      </w:r>
      <w:r w:rsidR="008253C0" w:rsidRPr="008253C0">
        <w:t>17</w:t>
      </w:r>
      <w:r>
        <w:fldChar w:fldCharType="end"/>
      </w:r>
      <w:r w:rsidR="00E0109E">
        <w:t>.  Invocând art. 2 și 6 § 1 din Convenție, reclamanții au susținut că autoritățile sunt responsabile pentru uciderea domnului Sorin Pârvu și că ancheta lor în această privință nu a fost efectivă.</w:t>
      </w:r>
    </w:p>
    <w:p w:rsidR="008253C0" w:rsidRPr="008253C0" w:rsidRDefault="008253C0" w:rsidP="008253C0">
      <w:pPr>
        <w:pStyle w:val="JuHHead"/>
      </w:pPr>
      <w:r>
        <w:t>MOTIVAREA CURȚII</w:t>
      </w:r>
    </w:p>
    <w:p w:rsidR="008253C0" w:rsidRPr="008253C0" w:rsidRDefault="008253C0" w:rsidP="008253C0">
      <w:pPr>
        <w:pStyle w:val="JuHIRoman"/>
        <w:numPr>
          <w:ilvl w:val="0"/>
          <w:numId w:val="0"/>
        </w:numPr>
      </w:pPr>
      <w:r>
        <w:t>CU PRIVIRE LA PRETINSA ÎNCĂLCARE A ART. 2 DIN CONVENȚIE</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18</w:t>
      </w:r>
      <w:r>
        <w:fldChar w:fldCharType="end"/>
      </w:r>
      <w:r w:rsidR="00E0109E">
        <w:t xml:space="preserve">.  Având competența de a realiza încadrarea juridică a faptelor cauzei [a se vedea </w:t>
      </w:r>
      <w:r w:rsidR="00E0109E">
        <w:rPr>
          <w:i/>
          <w:iCs/>
        </w:rPr>
        <w:t>Radomilja și alții împotriva Croației</w:t>
      </w:r>
      <w:r w:rsidR="00E0109E">
        <w:t xml:space="preserve"> (MC) nr. 37685/10 și 22768/12, pct. 114, 124 și 126, 20 martie 2018], Curtea consideră că examinarea capetelor de cerere formulate de reclamanți, privind răspunderea autorităților în ceea ce privește uciderea domnului Sorin Pârvu și ancheta lor în acest sens, trebuie făcută numai în raport cu art. 2.</w:t>
      </w:r>
    </w:p>
    <w:p w:rsidR="008253C0" w:rsidRPr="008253C0" w:rsidRDefault="008253C0" w:rsidP="008253C0">
      <w:pPr>
        <w:pStyle w:val="JuHA"/>
      </w:pPr>
      <w:r>
        <w:t>Cu privire la admisibilitate</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19</w:t>
      </w:r>
      <w:r>
        <w:fldChar w:fldCharType="end"/>
      </w:r>
      <w:r w:rsidR="00E0109E">
        <w:t>.  Guvernul susține că cererea trebuie respinsă ca fiind în esență aceeași cu cererea nr. 13326/18, introdusă de văduva domnului Sorin Pârvu. Reclamanții contestă această teză.</w:t>
      </w:r>
    </w:p>
    <w:p w:rsidR="008253C0" w:rsidRPr="008253C0" w:rsidRDefault="008253C0" w:rsidP="008253C0">
      <w:pPr>
        <w:pStyle w:val="JuPara"/>
        <w:rPr>
          <w:rFonts w:eastAsia="Times New Roman"/>
        </w:rPr>
      </w:pPr>
      <w:r w:rsidRPr="008253C0">
        <w:rPr>
          <w:rFonts w:eastAsia="Times New Roman"/>
        </w:rPr>
        <w:fldChar w:fldCharType="begin"/>
      </w:r>
      <w:r w:rsidRPr="008253C0">
        <w:rPr>
          <w:rFonts w:eastAsia="Times New Roman"/>
        </w:rPr>
        <w:instrText xml:space="preserve"> SEQ level0 \*arabic \* MERGEFORMAT </w:instrText>
      </w:r>
      <w:r w:rsidRPr="008253C0">
        <w:rPr>
          <w:rFonts w:eastAsia="Times New Roman"/>
        </w:rPr>
        <w:fldChar w:fldCharType="separate"/>
      </w:r>
      <w:r w:rsidRPr="008253C0">
        <w:rPr>
          <w:rFonts w:eastAsia="Times New Roman"/>
        </w:rPr>
        <w:t>20</w:t>
      </w:r>
      <w:r w:rsidRPr="008253C0">
        <w:rPr>
          <w:rFonts w:eastAsia="Times New Roman"/>
        </w:rPr>
        <w:fldChar w:fldCharType="end"/>
      </w:r>
      <w:r>
        <w:t xml:space="preserve">.  Curtea reamintește condițiile stabilite în jurisprudența sa cu privire la art. 35 § 2 lit. b) din Convenție, potrivit cărora o cerere trebuie declarată inadmisibilă dacă „este în mod esențial aceeași cu o cerere examinată anterior de către Curte [...] și nu conține fapte noi” [a se vedea </w:t>
      </w:r>
      <w:bookmarkStart w:id="8" w:name="_cl40422THECOURTSASSESSMENT"/>
      <w:r>
        <w:rPr>
          <w:i/>
        </w:rPr>
        <w:t>Verein gegen Tierfabriken Schweiz (VgT)</w:t>
      </w:r>
      <w:r>
        <w:rPr>
          <w:i/>
          <w:iCs/>
        </w:rPr>
        <w:t xml:space="preserve"> împotriva Elveției (nr. 2)</w:t>
      </w:r>
      <w:bookmarkEnd w:id="8"/>
      <w:r>
        <w:t xml:space="preserve"> (MC), nr. 32772/02, pct. 63, CEDO 2009 și </w:t>
      </w:r>
      <w:r>
        <w:rPr>
          <w:i/>
          <w:iCs/>
        </w:rPr>
        <w:t>Folgerø și alții împotriva Norvegiei</w:t>
      </w:r>
      <w:r>
        <w:t xml:space="preserve"> (dec.), nr. 15472/02, 14 februarie 2006]. Prin urmare, Curtea trebuie să verifice dacă cele două cereri, cea cu nr. 13326/18 și prezenta cerere, privesc în esență aceeași persoană, aceleași fapte și aceleași plângeri.</w:t>
      </w:r>
    </w:p>
    <w:p w:rsidR="008253C0" w:rsidRPr="008253C0" w:rsidRDefault="008253C0" w:rsidP="008253C0">
      <w:pPr>
        <w:pStyle w:val="JuPara"/>
        <w:rPr>
          <w:rFonts w:eastAsia="Times New Roman"/>
        </w:rPr>
      </w:pPr>
      <w:r w:rsidRPr="008253C0">
        <w:rPr>
          <w:rFonts w:eastAsia="Times New Roman"/>
        </w:rPr>
        <w:lastRenderedPageBreak/>
        <w:fldChar w:fldCharType="begin"/>
      </w:r>
      <w:r w:rsidRPr="008253C0">
        <w:rPr>
          <w:rFonts w:eastAsia="Times New Roman"/>
        </w:rPr>
        <w:instrText xml:space="preserve"> SEQ level0 \*arabic \* MERGEFORMAT </w:instrText>
      </w:r>
      <w:r w:rsidRPr="008253C0">
        <w:rPr>
          <w:rFonts w:eastAsia="Times New Roman"/>
        </w:rPr>
        <w:fldChar w:fldCharType="separate"/>
      </w:r>
      <w:r w:rsidRPr="008253C0">
        <w:rPr>
          <w:rFonts w:eastAsia="Times New Roman"/>
        </w:rPr>
        <w:t>21</w:t>
      </w:r>
      <w:r w:rsidRPr="008253C0">
        <w:rPr>
          <w:rFonts w:eastAsia="Times New Roman"/>
        </w:rPr>
        <w:fldChar w:fldCharType="end"/>
      </w:r>
      <w:r>
        <w:t xml:space="preserve">.  Curtea constată că prezenta cerere este formulată de părinții și, respectiv, fratele domnului Sorin Pârvu (a se vedea </w:t>
      </w:r>
      <w:r>
        <w:rPr>
          <w:i/>
          <w:iCs/>
        </w:rPr>
        <w:t>supra</w:t>
      </w:r>
      <w:r>
        <w:t xml:space="preserve">, pct. </w:t>
      </w:r>
      <w:r w:rsidRPr="008253C0">
        <w:rPr>
          <w:rFonts w:eastAsia="Times New Roman"/>
        </w:rPr>
        <w:fldChar w:fldCharType="begin"/>
      </w:r>
      <w:r w:rsidRPr="008253C0">
        <w:rPr>
          <w:rFonts w:eastAsia="Times New Roman"/>
        </w:rPr>
        <w:instrText xml:space="preserve"> REF paragraph00001 \h  \* CharFormat </w:instrText>
      </w:r>
      <w:r w:rsidRPr="008253C0">
        <w:rPr>
          <w:rFonts w:eastAsia="Times New Roman"/>
        </w:rPr>
      </w:r>
      <w:r w:rsidRPr="008253C0">
        <w:rPr>
          <w:rFonts w:eastAsia="Times New Roman"/>
        </w:rPr>
        <w:fldChar w:fldCharType="separate"/>
      </w:r>
      <w:r w:rsidRPr="008253C0">
        <w:rPr>
          <w:rFonts w:eastAsia="Times New Roman"/>
        </w:rPr>
        <w:t>1</w:t>
      </w:r>
      <w:r w:rsidRPr="008253C0">
        <w:rPr>
          <w:rFonts w:eastAsia="Times New Roman"/>
        </w:rPr>
        <w:fldChar w:fldCharType="end"/>
      </w:r>
      <w:r>
        <w:t xml:space="preserve">), iar cererea nr. 13326/18 a fost formulată de văduva domnului Sorin Pârvu (a se vedea </w:t>
      </w:r>
      <w:r>
        <w:rPr>
          <w:i/>
          <w:iCs/>
        </w:rPr>
        <w:t>supra</w:t>
      </w:r>
      <w:r>
        <w:t xml:space="preserve">, pct. </w:t>
      </w:r>
      <w:r w:rsidRPr="008253C0">
        <w:rPr>
          <w:rFonts w:eastAsia="Times New Roman"/>
        </w:rPr>
        <w:fldChar w:fldCharType="begin"/>
      </w:r>
      <w:r w:rsidRPr="008253C0">
        <w:rPr>
          <w:rFonts w:eastAsia="Times New Roman"/>
        </w:rPr>
        <w:instrText xml:space="preserve"> REF paragraph00002 \h  \* CharFormat </w:instrText>
      </w:r>
      <w:r w:rsidRPr="008253C0">
        <w:rPr>
          <w:rFonts w:eastAsia="Times New Roman"/>
        </w:rPr>
      </w:r>
      <w:r w:rsidRPr="008253C0">
        <w:rPr>
          <w:rFonts w:eastAsia="Times New Roman"/>
        </w:rPr>
        <w:fldChar w:fldCharType="separate"/>
      </w:r>
      <w:r w:rsidRPr="008253C0">
        <w:rPr>
          <w:rFonts w:eastAsia="Times New Roman"/>
        </w:rPr>
        <w:t>2</w:t>
      </w:r>
      <w:r w:rsidRPr="008253C0">
        <w:rPr>
          <w:rFonts w:eastAsia="Times New Roman"/>
        </w:rPr>
        <w:fldChar w:fldCharType="end"/>
      </w:r>
      <w:r>
        <w:t xml:space="preserve">). De asemenea, Curtea constată că reclamanții din prezenta cauză s-au constituit parte vătămată în procesele interne și s-au adresat organelor de urmărire penală separat de văduva domnului Sorin Pârvu, inclusiv prin propunerea de probe noi (a se vedea </w:t>
      </w:r>
      <w:r>
        <w:rPr>
          <w:i/>
          <w:iCs/>
        </w:rPr>
        <w:t>supra</w:t>
      </w:r>
      <w:r>
        <w:t xml:space="preserve">, pct. </w:t>
      </w:r>
      <w:r w:rsidRPr="008253C0">
        <w:rPr>
          <w:rFonts w:eastAsia="Times New Roman"/>
        </w:rPr>
        <w:fldChar w:fldCharType="begin"/>
      </w:r>
      <w:r w:rsidRPr="008253C0">
        <w:rPr>
          <w:rFonts w:eastAsia="Times New Roman"/>
        </w:rPr>
        <w:instrText xml:space="preserve"> REF paragraph00029 \h  \* CharFormat </w:instrText>
      </w:r>
      <w:r w:rsidRPr="008253C0">
        <w:rPr>
          <w:rFonts w:eastAsia="Times New Roman"/>
        </w:rPr>
      </w:r>
      <w:r w:rsidRPr="008253C0">
        <w:rPr>
          <w:rFonts w:eastAsia="Times New Roman"/>
        </w:rPr>
        <w:fldChar w:fldCharType="separate"/>
      </w:r>
      <w:r w:rsidRPr="008253C0">
        <w:rPr>
          <w:rFonts w:eastAsia="Times New Roman"/>
        </w:rPr>
        <w:t>9</w:t>
      </w:r>
      <w:r w:rsidRPr="008253C0">
        <w:rPr>
          <w:rFonts w:eastAsia="Times New Roman"/>
        </w:rPr>
        <w:fldChar w:fldCharType="end"/>
      </w:r>
      <w:r>
        <w:t xml:space="preserve">). Pe de altă parte, văduva domnului Sorin Pârvu a introdus cererea sa în anul 2018, plângându-se de împușcarea mortală de către poliție a soțului său și de lipsa, până la acea dată, a unei anchete efective, care era încă în desfășurare în 2018, în timp ce reclamanții din prezenta cauză s-au plâns în special de ineficiența întregii anchete, care s-a încheiat în aprilie 2021 (a se vedea </w:t>
      </w:r>
      <w:r>
        <w:rPr>
          <w:i/>
          <w:iCs/>
        </w:rPr>
        <w:t>supra</w:t>
      </w:r>
      <w:r>
        <w:t xml:space="preserve">, pct. </w:t>
      </w:r>
      <w:r w:rsidRPr="008253C0">
        <w:rPr>
          <w:rFonts w:eastAsia="Times New Roman"/>
        </w:rPr>
        <w:fldChar w:fldCharType="begin"/>
      </w:r>
      <w:r w:rsidRPr="008253C0">
        <w:rPr>
          <w:rFonts w:eastAsia="Times New Roman"/>
        </w:rPr>
        <w:instrText xml:space="preserve"> REF paragraph00016 \h  \* CharFormat </w:instrText>
      </w:r>
      <w:r w:rsidRPr="008253C0">
        <w:rPr>
          <w:rFonts w:eastAsia="Times New Roman"/>
        </w:rPr>
      </w:r>
      <w:r w:rsidRPr="008253C0">
        <w:rPr>
          <w:rFonts w:eastAsia="Times New Roman"/>
        </w:rPr>
        <w:fldChar w:fldCharType="separate"/>
      </w:r>
      <w:r w:rsidRPr="008253C0">
        <w:rPr>
          <w:rFonts w:eastAsia="Times New Roman"/>
        </w:rPr>
        <w:t>16</w:t>
      </w:r>
      <w:r w:rsidRPr="008253C0">
        <w:rPr>
          <w:rFonts w:eastAsia="Times New Roman"/>
        </w:rPr>
        <w:fldChar w:fldCharType="end"/>
      </w:r>
      <w:r>
        <w:t xml:space="preserve">). Prin urmare, prezenta cerere nu este în mod esențial aceeași cu cererea nr. 13326/18 (a se vedea </w:t>
      </w:r>
      <w:bookmarkStart w:id="9" w:name="_cl43935THECOURTSASSESSMENT"/>
      <w:r>
        <w:rPr>
          <w:i/>
        </w:rPr>
        <w:t>Ștefan-Gabriel Mocanu</w:t>
      </w:r>
      <w:r>
        <w:rPr>
          <w:i/>
          <w:iCs/>
        </w:rPr>
        <w:t xml:space="preserve"> și alții împotriva României</w:t>
      </w:r>
      <w:bookmarkEnd w:id="9"/>
      <w:r>
        <w:t xml:space="preserve">, nr. 34323/21 și alte 8, pct. 34, 12 decembrie 2023). Argumentul Guvernului potrivit căruia, între reclamanți și văduva domnului Sorin Pârvu, există o identitate care decurge din drepturile depline asupra succesiunii acestuia din urmă nu poate fi admis ca relevant [a se vedea </w:t>
      </w:r>
      <w:r>
        <w:rPr>
          <w:i/>
          <w:iCs/>
        </w:rPr>
        <w:t>Ucak și Kargili împotriva Turciei</w:t>
      </w:r>
      <w:r>
        <w:t xml:space="preserve"> (dec.), nr. 75527/01 și 11837/02, 28 martie 2006], iar celălalt argument al acestuia, potrivit căruia reclamanții ar fi trebuit să depună cererea la Curte mai devreme în vederea conexării cu cauza nr. 13326/18 pentru o examinare unică de către Curte, are legătură mai degrabă cu a doua excepție preliminară (a se vedea </w:t>
      </w:r>
      <w:r>
        <w:rPr>
          <w:i/>
          <w:iCs/>
        </w:rPr>
        <w:t>infra</w:t>
      </w:r>
      <w:r>
        <w:t xml:space="preserve">, pct. </w:t>
      </w:r>
      <w:r w:rsidRPr="008253C0">
        <w:rPr>
          <w:rFonts w:eastAsia="Times New Roman"/>
        </w:rPr>
        <w:fldChar w:fldCharType="begin"/>
      </w:r>
      <w:r w:rsidRPr="008253C0">
        <w:rPr>
          <w:rFonts w:eastAsia="Times New Roman"/>
        </w:rPr>
        <w:instrText xml:space="preserve"> REF SorinParvuparagraph22 \h </w:instrText>
      </w:r>
      <w:r w:rsidRPr="008253C0">
        <w:rPr>
          <w:rFonts w:eastAsia="Times New Roman"/>
        </w:rPr>
      </w:r>
      <w:r w:rsidRPr="008253C0">
        <w:rPr>
          <w:rFonts w:eastAsia="Times New Roman"/>
        </w:rPr>
        <w:fldChar w:fldCharType="separate"/>
      </w:r>
      <w:r w:rsidRPr="008253C0">
        <w:rPr>
          <w:rFonts w:eastAsia="Times New Roman"/>
        </w:rPr>
        <w:t>22</w:t>
      </w:r>
      <w:r w:rsidRPr="008253C0">
        <w:rPr>
          <w:rFonts w:eastAsia="Times New Roman"/>
        </w:rPr>
        <w:fldChar w:fldCharType="end"/>
      </w:r>
      <w:r>
        <w:t>-</w:t>
      </w:r>
      <w:r w:rsidRPr="008253C0">
        <w:rPr>
          <w:rFonts w:eastAsia="Times New Roman"/>
        </w:rPr>
        <w:fldChar w:fldCharType="begin"/>
      </w:r>
      <w:r w:rsidRPr="008253C0">
        <w:rPr>
          <w:rFonts w:eastAsia="Times New Roman"/>
        </w:rPr>
        <w:instrText xml:space="preserve"> REF paragraph00022 \h  \* CharFormat </w:instrText>
      </w:r>
      <w:r w:rsidRPr="008253C0">
        <w:rPr>
          <w:rFonts w:eastAsia="Times New Roman"/>
        </w:rPr>
      </w:r>
      <w:r w:rsidRPr="008253C0">
        <w:rPr>
          <w:rFonts w:eastAsia="Times New Roman"/>
        </w:rPr>
        <w:fldChar w:fldCharType="separate"/>
      </w:r>
      <w:r w:rsidRPr="008253C0">
        <w:rPr>
          <w:rFonts w:eastAsia="Times New Roman"/>
        </w:rPr>
        <w:t>23</w:t>
      </w:r>
      <w:r w:rsidRPr="008253C0">
        <w:rPr>
          <w:rFonts w:eastAsia="Times New Roman"/>
        </w:rPr>
        <w:fldChar w:fldCharType="end"/>
      </w:r>
      <w:r>
        <w:t>).</w:t>
      </w:r>
    </w:p>
    <w:p w:rsidR="008253C0" w:rsidRPr="008253C0" w:rsidRDefault="008253C0" w:rsidP="008253C0">
      <w:pPr>
        <w:suppressAutoHyphens/>
        <w:ind w:firstLine="284"/>
        <w:jc w:val="both"/>
        <w:rPr>
          <w:rFonts w:eastAsia="Times New Roman"/>
        </w:rPr>
      </w:pPr>
      <w:r>
        <w:t>Prin urmare, Curtea respinge această excepție preliminară.</w:t>
      </w:r>
    </w:p>
    <w:bookmarkStart w:id="10" w:name="SorinParvuparagraph22"/>
    <w:p w:rsidR="008253C0" w:rsidRPr="008253C0" w:rsidRDefault="008253C0" w:rsidP="008253C0">
      <w:pPr>
        <w:pStyle w:val="JuPara"/>
      </w:pPr>
      <w:r w:rsidRPr="008253C0">
        <w:fldChar w:fldCharType="begin"/>
      </w:r>
      <w:r w:rsidRPr="008253C0">
        <w:instrText xml:space="preserve"> SEQ level0 \*arabic \* MERGEFORMAT </w:instrText>
      </w:r>
      <w:r w:rsidRPr="008253C0">
        <w:fldChar w:fldCharType="separate"/>
      </w:r>
      <w:r w:rsidRPr="008253C0">
        <w:t>22</w:t>
      </w:r>
      <w:r w:rsidRPr="008253C0">
        <w:fldChar w:fldCharType="end"/>
      </w:r>
      <w:bookmarkEnd w:id="10"/>
      <w:r>
        <w:t xml:space="preserve">.  Guvernul a ridicat, de asemenea, o excepție preliminară potrivit căreia cererea a fost depusă după termenul de 6 luni, reclamanții având datoria să dea dovadă de mai multă diligență în depunerea cererii lor la Curte. În opinia Guvernului, reclamanții au așteptat prea mult, sesizând Curtea cu această cauză după mai mult de 12 ani de la decesul domnului Sorin Pârvu, la aproape 2 ani de la a patra desființare de către instanțele judecătorești naționale a ordonanței procurorului de clasare a cauzei (a se vedea </w:t>
      </w:r>
      <w:r>
        <w:rPr>
          <w:i/>
          <w:iCs/>
        </w:rPr>
        <w:t>supra</w:t>
      </w:r>
      <w:r>
        <w:t xml:space="preserve">, pct. </w:t>
      </w:r>
      <w:r w:rsidRPr="008253C0">
        <w:fldChar w:fldCharType="begin"/>
      </w:r>
      <w:r w:rsidRPr="008253C0">
        <w:instrText xml:space="preserve"> REF paragraph00014 \h  \* CharFormat </w:instrText>
      </w:r>
      <w:r w:rsidRPr="008253C0">
        <w:fldChar w:fldCharType="separate"/>
      </w:r>
      <w:r w:rsidRPr="008253C0">
        <w:t>14</w:t>
      </w:r>
      <w:r w:rsidRPr="008253C0">
        <w:fldChar w:fldCharType="end"/>
      </w:r>
      <w:r>
        <w:t>) și 9 luni de la pronunțarea încheierii definitive a Tribunalului Brăila la 8 aprilie 2021. Referitor la aceasta din urmă, Guvernul a precizat că reclamanții nu ar fi trebuit să aștepte până când încheierea integrală le-a fost comunicată la 12 iulie 2021. În împrejurările cauzei, reclamanții resping această teză.</w:t>
      </w:r>
    </w:p>
    <w:p w:rsidR="008253C0" w:rsidRPr="008253C0" w:rsidRDefault="00EE512C" w:rsidP="008253C0">
      <w:pPr>
        <w:pStyle w:val="JuPara"/>
      </w:pPr>
      <w:r>
        <w:fldChar w:fldCharType="begin"/>
      </w:r>
      <w:r>
        <w:instrText xml:space="preserve"> SEQ level0 \*arabic \* MERGEFORMAT </w:instrText>
      </w:r>
      <w:r>
        <w:fldChar w:fldCharType="separate"/>
      </w:r>
      <w:bookmarkStart w:id="11" w:name="paragraph00022"/>
      <w:r w:rsidR="008253C0" w:rsidRPr="008253C0">
        <w:t>23</w:t>
      </w:r>
      <w:bookmarkEnd w:id="11"/>
      <w:r>
        <w:fldChar w:fldCharType="end"/>
      </w:r>
      <w:r w:rsidR="00E0109E">
        <w:t>.  Făcând trimitere la principiile privind termenul prevăzut la art. 35 § 1 din Convenție în contextul susținerilor referitoare la anchete lipsite de caracter efectiv în legătură cu decesul rudelor reclamanților [</w:t>
      </w:r>
      <w:r w:rsidR="00E0109E">
        <w:rPr>
          <w:i/>
          <w:iCs/>
        </w:rPr>
        <w:t>Mocanu și alții împotriva României</w:t>
      </w:r>
      <w:r w:rsidR="00E0109E">
        <w:t xml:space="preserve"> (MC), nr. 10865/09 și alte 2, pct. 258-269, CEDO 2014 (extrase)], Curtea observă că reclamanții au luat cunoștință la 12 iulie 2021 de motivarea integrală a încheierii definitive a Tribunalului Brăila din 8 aprilie 2021 și au introdus cererea la Curte la 3 ianuarie 2022. Curtea nu poate admite că, în circumstanțele cauzei, reclamanții nu au dat dovadă de diligența necesară așteptând soluționarea procedurii naționale și în special </w:t>
      </w:r>
      <w:r w:rsidR="00E0109E">
        <w:lastRenderedPageBreak/>
        <w:t xml:space="preserve">comunicarea încheierii definitive integrale. Așa ceva nu era nerezonabil pentru ca aceștia să își poată susține în mod corespunzător cauza în fața Curții, cunoscând motivarea acestei încheieri, care a fost, de altfel, prima hotărâre judecătorească prin care s-a confirmat teza parchetului (a se vedea </w:t>
      </w:r>
      <w:r w:rsidR="00E0109E">
        <w:rPr>
          <w:i/>
          <w:iCs/>
        </w:rPr>
        <w:t>supra</w:t>
      </w:r>
      <w:r w:rsidR="00E0109E">
        <w:t xml:space="preserve">, pct. </w:t>
      </w:r>
      <w:r w:rsidR="008253C0" w:rsidRPr="008253C0">
        <w:fldChar w:fldCharType="begin"/>
      </w:r>
      <w:r w:rsidR="008253C0" w:rsidRPr="008253C0">
        <w:instrText xml:space="preserve"> REF paragraph00016 \h  \* CharFormat </w:instrText>
      </w:r>
      <w:r w:rsidR="008253C0" w:rsidRPr="008253C0">
        <w:fldChar w:fldCharType="separate"/>
      </w:r>
      <w:r w:rsidR="008253C0" w:rsidRPr="008253C0">
        <w:t>16</w:t>
      </w:r>
      <w:r w:rsidR="008253C0" w:rsidRPr="008253C0">
        <w:fldChar w:fldCharType="end"/>
      </w:r>
      <w:r w:rsidR="00E0109E">
        <w:t>). Circumstanțele actuale sunt în mare măsură diferite de cele care determină Curtea să sancționeze lipsa de diligență a reclamanților în acest tip de cauze [</w:t>
      </w:r>
      <w:r w:rsidR="00E0109E">
        <w:rPr>
          <w:i/>
          <w:iCs/>
        </w:rPr>
        <w:t>Orić împotriva Croației</w:t>
      </w:r>
      <w:r w:rsidR="00E0109E">
        <w:t xml:space="preserve"> (dec.), nr. 50203/12, pct. 37-41, 13 mai 2014]. În plus, Curtea observă că reclamanții nu au avut nicio indicație specifică din cererea separată introdusă de văduva domnului Sorin Pârvu, încă pendinte în fața Curții până la hotărârea pronunțată la 30 august 2022.</w:t>
      </w:r>
    </w:p>
    <w:p w:rsidR="008253C0" w:rsidRPr="008253C0" w:rsidRDefault="008253C0" w:rsidP="008253C0">
      <w:pPr>
        <w:pStyle w:val="JuPara"/>
      </w:pPr>
      <w:r>
        <w:t>Prin urmare, Curtea respinge și această excepție preliminară.</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24</w:t>
      </w:r>
      <w:r>
        <w:fldChar w:fldCharType="end"/>
      </w:r>
      <w:r w:rsidR="00E0109E">
        <w:t>.  Curtea constată că acest capăt de cerere nu este în mod vădit nefondat în sensul art. 35 § 3 lit. a) din Convenție și că nu prezintă niciun alt motiv de inadmisibilitate. Prin urmare, este necesar să fie declarat admisibil.</w:t>
      </w:r>
    </w:p>
    <w:p w:rsidR="008253C0" w:rsidRPr="008253C0" w:rsidRDefault="008253C0" w:rsidP="008253C0">
      <w:pPr>
        <w:pStyle w:val="JuHA"/>
      </w:pPr>
      <w:r>
        <w:t>Cu privire la fond</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25</w:t>
      </w:r>
      <w:r>
        <w:fldChar w:fldCharType="end"/>
      </w:r>
      <w:r w:rsidR="00E0109E">
        <w:t>.  Principiile generale privind dreptul la viață, în special în contextul operațiunilor poliției, au fost rezumate în cauza</w:t>
      </w:r>
      <w:bookmarkStart w:id="12" w:name="_cl41909THECOURTSASSESSMENT"/>
      <w:r w:rsidR="00E0109E">
        <w:t xml:space="preserve"> </w:t>
      </w:r>
      <w:r w:rsidR="00E0109E">
        <w:rPr>
          <w:i/>
        </w:rPr>
        <w:t>Pârvu</w:t>
      </w:r>
      <w:bookmarkEnd w:id="12"/>
      <w:r w:rsidR="00E0109E">
        <w:t xml:space="preserve"> (citată anterior, pct. 71-76).</w:t>
      </w:r>
    </w:p>
    <w:p w:rsidR="008253C0" w:rsidRPr="008253C0" w:rsidRDefault="008253C0" w:rsidP="008253C0">
      <w:pPr>
        <w:pStyle w:val="JuPara"/>
        <w:rPr>
          <w:rFonts w:eastAsia="Times New Roman"/>
        </w:rPr>
      </w:pPr>
      <w:r w:rsidRPr="008253C0">
        <w:rPr>
          <w:rFonts w:eastAsia="Times New Roman"/>
        </w:rPr>
        <w:fldChar w:fldCharType="begin"/>
      </w:r>
      <w:r w:rsidRPr="008253C0">
        <w:rPr>
          <w:rFonts w:eastAsia="Times New Roman"/>
        </w:rPr>
        <w:instrText xml:space="preserve"> SEQ level0 \*arabic \* MERGEFORMAT </w:instrText>
      </w:r>
      <w:r w:rsidRPr="008253C0">
        <w:rPr>
          <w:rFonts w:eastAsia="Times New Roman"/>
        </w:rPr>
        <w:fldChar w:fldCharType="separate"/>
      </w:r>
      <w:r w:rsidRPr="008253C0">
        <w:rPr>
          <w:rFonts w:eastAsia="Times New Roman"/>
        </w:rPr>
        <w:t>26</w:t>
      </w:r>
      <w:r w:rsidRPr="008253C0">
        <w:rPr>
          <w:rFonts w:eastAsia="Times New Roman"/>
        </w:rPr>
        <w:fldChar w:fldCharType="end"/>
      </w:r>
      <w:r>
        <w:t>.  Curtea face trimitere la constatările sale potrivit cărora ancheta internă privind evenimentele soldate cu decesul domnului Pârvu nu a fost efectivă, având în vedere lipsa de celeritate și de rigurozitate a acesteia (</w:t>
      </w:r>
      <w:r>
        <w:rPr>
          <w:i/>
        </w:rPr>
        <w:t>Pârvu,</w:t>
      </w:r>
      <w:r>
        <w:t xml:space="preserve"> citată anterior, pct. 98). Aceasta a durat din septembrie 2009 până în aprilie 2021, cu numeroase hotărâri judecătorești de trimitere a cauzei la procuror ca urmare a diferitelor omisiuni ale anchetei, și a lăsat neclarificate o serie de aspecte referitoare la elemente de fapt esențiale ale cauzei </w:t>
      </w:r>
      <w:r>
        <w:rPr>
          <w:i/>
        </w:rPr>
        <w:t>(Pârvu,</w:t>
      </w:r>
      <w:r>
        <w:t xml:space="preserve"> citată anterior, pct. 80).</w:t>
      </w:r>
    </w:p>
    <w:p w:rsidR="008253C0" w:rsidRPr="008253C0" w:rsidRDefault="008253C0" w:rsidP="008253C0">
      <w:pPr>
        <w:pStyle w:val="JuPara"/>
        <w:rPr>
          <w:rFonts w:eastAsia="Times New Roman"/>
        </w:rPr>
      </w:pPr>
      <w:r w:rsidRPr="008253C0">
        <w:rPr>
          <w:rFonts w:eastAsia="Times New Roman"/>
        </w:rPr>
        <w:fldChar w:fldCharType="begin"/>
      </w:r>
      <w:r w:rsidRPr="008253C0">
        <w:rPr>
          <w:rFonts w:eastAsia="Times New Roman"/>
        </w:rPr>
        <w:instrText xml:space="preserve"> SEQ level0 \*arabic </w:instrText>
      </w:r>
      <w:r w:rsidRPr="008253C0">
        <w:rPr>
          <w:rFonts w:eastAsia="Times New Roman"/>
        </w:rPr>
        <w:fldChar w:fldCharType="separate"/>
      </w:r>
      <w:bookmarkStart w:id="13" w:name="paragraph00081"/>
      <w:r w:rsidRPr="008253C0">
        <w:rPr>
          <w:rFonts w:eastAsia="Times New Roman"/>
        </w:rPr>
        <w:t>27</w:t>
      </w:r>
      <w:bookmarkEnd w:id="13"/>
      <w:r w:rsidRPr="008253C0">
        <w:rPr>
          <w:rFonts w:eastAsia="Times New Roman"/>
        </w:rPr>
        <w:fldChar w:fldCharType="end"/>
      </w:r>
      <w:r>
        <w:t>.  Pe baza probelor care i-au fost prezentate și, în special, a deficiențelor anchetei interne, în special în etapele inițiale, Curtea nu a fost convinsă nici de argumentele prezentate de Guvern cu privire la „convingerea sinceră” a lui D.G. că armarea pistolului era absolut necesară pentru autoapărare în situația specifică, nici de explicația privind natura accidentală în cele din urmă a împușcării (</w:t>
      </w:r>
      <w:r>
        <w:rPr>
          <w:i/>
        </w:rPr>
        <w:t>Pârvu,</w:t>
      </w:r>
      <w:r>
        <w:t xml:space="preserve"> citată anterior, pct. 82). În plus, operațiunea nu a fost pregătită pentru a reduce la minim orice recurgere la forță letală (</w:t>
      </w:r>
      <w:r>
        <w:rPr>
          <w:i/>
        </w:rPr>
        <w:t>Pârvu,</w:t>
      </w:r>
      <w:r>
        <w:t xml:space="preserve"> citată anterior, pct. 87).</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28</w:t>
      </w:r>
      <w:r>
        <w:fldChar w:fldCharType="end"/>
      </w:r>
      <w:r w:rsidR="00E0109E">
        <w:t>.  În consecință, a fost încălcat art. 2 din Convenție, atât sub aspect material cât și sub aspect procedural, în privința reclamanților din prezenta cerere.</w:t>
      </w:r>
    </w:p>
    <w:p w:rsidR="008253C0" w:rsidRPr="008253C0" w:rsidRDefault="008253C0" w:rsidP="008253C0">
      <w:pPr>
        <w:pStyle w:val="JuHHead"/>
        <w:rPr>
          <w:caps w:val="0"/>
        </w:rPr>
      </w:pPr>
      <w:r>
        <w:rPr>
          <w:caps w:val="0"/>
        </w:rPr>
        <w:t>CU PRIVIRE LA APLICAREA ART. 41 DIN CONVENȚIE</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29</w:t>
      </w:r>
      <w:r>
        <w:fldChar w:fldCharType="end"/>
      </w:r>
      <w:r w:rsidR="00E0109E">
        <w:t>.  Reclamanții au solicitat în solidar 65 000 de euro (EUR) cu titlu de despăgubire pentru prejudiciul moral.</w:t>
      </w:r>
    </w:p>
    <w:p w:rsidR="008253C0" w:rsidRPr="008253C0" w:rsidRDefault="00EE512C" w:rsidP="008253C0">
      <w:pPr>
        <w:pStyle w:val="JuPara"/>
      </w:pPr>
      <w:r>
        <w:lastRenderedPageBreak/>
        <w:fldChar w:fldCharType="begin"/>
      </w:r>
      <w:r>
        <w:instrText xml:space="preserve"> SEQ level0 \*arabic \* MERGEFORMAT </w:instrText>
      </w:r>
      <w:r>
        <w:fldChar w:fldCharType="separate"/>
      </w:r>
      <w:r w:rsidR="008253C0" w:rsidRPr="008253C0">
        <w:t>30</w:t>
      </w:r>
      <w:r>
        <w:fldChar w:fldCharType="end"/>
      </w:r>
      <w:r w:rsidR="00E0109E">
        <w:t>.  Guvernul a considerat că o constatare a unei încălcări ar constitui, în sine, o reparație echitabilă suficientă pentru prejudiciul moral suferit de reclamanți.</w:t>
      </w:r>
    </w:p>
    <w:p w:rsidR="008253C0" w:rsidRPr="008253C0" w:rsidRDefault="00EE512C" w:rsidP="008253C0">
      <w:pPr>
        <w:pStyle w:val="JuPara"/>
      </w:pPr>
      <w:r>
        <w:fldChar w:fldCharType="begin"/>
      </w:r>
      <w:r>
        <w:instrText xml:space="preserve"> SEQ level0 \*arabic \* MERGEFORMAT </w:instrText>
      </w:r>
      <w:r>
        <w:fldChar w:fldCharType="separate"/>
      </w:r>
      <w:r w:rsidR="008253C0" w:rsidRPr="008253C0">
        <w:t>31</w:t>
      </w:r>
      <w:r>
        <w:fldChar w:fldCharType="end"/>
      </w:r>
      <w:r w:rsidR="00E0109E">
        <w:t>.  Curtea acordă reclamanților în solidar 50 000 EUR pentru prejudiciul moral, plus orice sumă ce poate fi datorată cu titlu de impozit de reclamanți.</w:t>
      </w:r>
    </w:p>
    <w:p w:rsidR="008253C0" w:rsidRPr="008253C0" w:rsidRDefault="008253C0" w:rsidP="008253C0">
      <w:pPr>
        <w:pStyle w:val="JuHHead"/>
      </w:pPr>
      <w:r>
        <w:t>PENTRU ACESTE MOTIVE, CURTEA, ÎN UNANIMITATE,</w:t>
      </w:r>
    </w:p>
    <w:p w:rsidR="008253C0" w:rsidRPr="008253C0" w:rsidRDefault="008253C0" w:rsidP="008253C0">
      <w:pPr>
        <w:pStyle w:val="JuList"/>
      </w:pPr>
      <w:r>
        <w:rPr>
          <w:i/>
        </w:rPr>
        <w:t>Declară</w:t>
      </w:r>
      <w:r>
        <w:t xml:space="preserve"> cererea admisibilă;</w:t>
      </w:r>
    </w:p>
    <w:p w:rsidR="008253C0" w:rsidRPr="008253C0" w:rsidRDefault="008253C0" w:rsidP="008253C0">
      <w:pPr>
        <w:pStyle w:val="JuList"/>
      </w:pPr>
      <w:r>
        <w:rPr>
          <w:i/>
          <w:iCs/>
        </w:rPr>
        <w:t>Hotărăște</w:t>
      </w:r>
      <w:r>
        <w:t xml:space="preserve"> că a fost încălcat art. 2 din Convenție atât sub aspect material, cât și sub aspect procedural;</w:t>
      </w:r>
    </w:p>
    <w:p w:rsidR="008253C0" w:rsidRPr="008253C0" w:rsidRDefault="008253C0" w:rsidP="008253C0">
      <w:pPr>
        <w:pStyle w:val="JuList"/>
        <w:rPr>
          <w:i/>
          <w:iCs/>
        </w:rPr>
      </w:pPr>
      <w:r>
        <w:rPr>
          <w:i/>
        </w:rPr>
        <w:t>Hotărăște</w:t>
      </w:r>
    </w:p>
    <w:p w:rsidR="008253C0" w:rsidRPr="008253C0" w:rsidRDefault="008253C0" w:rsidP="008253C0">
      <w:pPr>
        <w:pStyle w:val="JuLista"/>
      </w:pPr>
      <w:r>
        <w:t>că statul pârât trebuie să plătească în solidar reclamanților, în termen de trei luni, suma de 50 000 EUR (cincizeci de mii de euro), care trebuie convertită în moneda statului pârât la rata de schimb aplicabilă la data plății, pentru prejudiciul moral, plus orice sumă ce poate fi datorată cu titlu de impozit;</w:t>
      </w:r>
    </w:p>
    <w:p w:rsidR="008253C0" w:rsidRPr="008253C0" w:rsidRDefault="008253C0" w:rsidP="008253C0">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rsidR="008253C0" w:rsidRPr="008253C0" w:rsidRDefault="008253C0" w:rsidP="008253C0">
      <w:pPr>
        <w:pStyle w:val="JuList"/>
      </w:pPr>
      <w:r>
        <w:rPr>
          <w:i/>
          <w:iCs/>
        </w:rPr>
        <w:t>Respinge</w:t>
      </w:r>
      <w:r>
        <w:t xml:space="preserve"> cererea de acordare a unei reparații echitabile pentru celelalte capete de cerere.</w:t>
      </w:r>
    </w:p>
    <w:p w:rsidR="008253C0" w:rsidRPr="008253C0" w:rsidRDefault="008253C0" w:rsidP="008253C0">
      <w:pPr>
        <w:pStyle w:val="JuParaLast"/>
      </w:pPr>
      <w:r>
        <w:t>Redactată în limba engleză, apoi comunicată în scris, la 26 august 2025, în temeiul art. 77 § 2 și 3 din Regulament.</w:t>
      </w:r>
    </w:p>
    <w:p w:rsidR="008253C0" w:rsidRPr="008253C0" w:rsidRDefault="008253C0" w:rsidP="008253C0">
      <w:pPr>
        <w:pStyle w:val="ECHRPlaceholder"/>
      </w:pPr>
      <w:r>
        <w:tab/>
      </w:r>
    </w:p>
    <w:p w:rsidR="008253C0" w:rsidRPr="008253C0" w:rsidRDefault="008253C0" w:rsidP="008253C0">
      <w:pPr>
        <w:pStyle w:val="JuSigned"/>
      </w:pPr>
      <w:r>
        <w:tab/>
        <w:t>Valentin Nicolescu</w:t>
      </w:r>
      <w:r>
        <w:tab/>
        <w:t>Anne Louise Bormann</w:t>
      </w:r>
      <w:r>
        <w:br/>
      </w:r>
      <w:r>
        <w:tab/>
        <w:t>Grefier adjunct interimar de secție</w:t>
      </w:r>
      <w:r>
        <w:tab/>
        <w:t>Președinte</w:t>
      </w:r>
    </w:p>
    <w:p w:rsidR="008253C0" w:rsidRPr="008253C0" w:rsidRDefault="008253C0" w:rsidP="008253C0">
      <w:pPr>
        <w:rPr>
          <w:noProof/>
          <w:color w:val="000000"/>
        </w:rPr>
      </w:pPr>
    </w:p>
    <w:p w:rsidR="008253C0" w:rsidRPr="008253C0" w:rsidRDefault="008253C0" w:rsidP="008253C0">
      <w:pPr>
        <w:rPr>
          <w:noProof/>
          <w:color w:val="000000"/>
        </w:rPr>
        <w:sectPr w:rsidR="008253C0" w:rsidRPr="008253C0"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pPr>
    </w:p>
    <w:p w:rsidR="008253C0" w:rsidRPr="008253C0" w:rsidRDefault="008253C0" w:rsidP="008253C0">
      <w:pPr>
        <w:pStyle w:val="DecHTitle"/>
        <w:rPr>
          <w:noProof/>
        </w:rPr>
      </w:pPr>
      <w:r>
        <w:lastRenderedPageBreak/>
        <w:t>ANEXĂ</w:t>
      </w:r>
    </w:p>
    <w:p w:rsidR="008253C0" w:rsidRPr="008253C0" w:rsidRDefault="008253C0" w:rsidP="008253C0">
      <w:pPr>
        <w:pStyle w:val="DecHCase"/>
        <w:keepNext w:val="0"/>
        <w:keepLines w:val="0"/>
        <w:jc w:val="left"/>
        <w:rPr>
          <w:rFonts w:ascii="Times New Roman" w:hAnsi="Times New Roman" w:cs="Times New Roman"/>
        </w:rPr>
      </w:pPr>
      <w:r>
        <w:rPr>
          <w:rFonts w:ascii="Times New Roman" w:hAnsi="Times New Roman"/>
        </w:rPr>
        <w:t>Lista reclamanților:</w:t>
      </w:r>
    </w:p>
    <w:p w:rsidR="008253C0" w:rsidRPr="008253C0" w:rsidRDefault="008253C0" w:rsidP="008253C0">
      <w:pPr>
        <w:pStyle w:val="JuPara"/>
        <w:rPr>
          <w:rFonts w:ascii="Times New Roman" w:eastAsia="Times New Roman" w:hAnsi="Times New Roman" w:cs="Times New Roman"/>
        </w:rPr>
      </w:pPr>
      <w:r>
        <w:rPr>
          <w:rFonts w:ascii="Times New Roman" w:hAnsi="Times New Roman"/>
        </w:rPr>
        <w:t>Cererea nr. 3524/22</w:t>
      </w:r>
    </w:p>
    <w:tbl>
      <w:tblPr>
        <w:tblStyle w:val="ECHRListTable"/>
        <w:tblW w:w="5000" w:type="pct"/>
        <w:tblLook w:val="0420" w:firstRow="1" w:lastRow="0" w:firstColumn="0" w:lastColumn="0" w:noHBand="0" w:noVBand="1"/>
      </w:tblPr>
      <w:tblGrid>
        <w:gridCol w:w="595"/>
        <w:gridCol w:w="2018"/>
        <w:gridCol w:w="2088"/>
        <w:gridCol w:w="1421"/>
        <w:gridCol w:w="1226"/>
      </w:tblGrid>
      <w:tr w:rsidR="008253C0" w:rsidRPr="008253C0" w:rsidTr="00635DA8">
        <w:trPr>
          <w:cnfStyle w:val="100000000000" w:firstRow="1" w:lastRow="0" w:firstColumn="0" w:lastColumn="0" w:oddVBand="0" w:evenVBand="0" w:oddHBand="0" w:evenHBand="0" w:firstRowFirstColumn="0" w:firstRowLastColumn="0" w:lastRowFirstColumn="0" w:lastRowLastColumn="0"/>
        </w:trPr>
        <w:tc>
          <w:tcPr>
            <w:tcW w:w="404" w:type="pct"/>
          </w:tcPr>
          <w:p w:rsidR="008253C0" w:rsidRPr="008253C0" w:rsidRDefault="008253C0" w:rsidP="00635DA8">
            <w:pPr>
              <w:rPr>
                <w:rFonts w:eastAsia="Times New Roman"/>
              </w:rPr>
            </w:pPr>
            <w:r>
              <w:t>Nr.</w:t>
            </w:r>
          </w:p>
        </w:tc>
        <w:tc>
          <w:tcPr>
            <w:tcW w:w="1373" w:type="pct"/>
          </w:tcPr>
          <w:p w:rsidR="008253C0" w:rsidRPr="008253C0" w:rsidRDefault="008253C0" w:rsidP="00635DA8">
            <w:pPr>
              <w:rPr>
                <w:rFonts w:eastAsia="Times New Roman"/>
              </w:rPr>
            </w:pPr>
            <w:r>
              <w:t>Nume reclamant(ă)</w:t>
            </w:r>
          </w:p>
        </w:tc>
        <w:tc>
          <w:tcPr>
            <w:tcW w:w="1421" w:type="pct"/>
          </w:tcPr>
          <w:p w:rsidR="008253C0" w:rsidRPr="008253C0" w:rsidRDefault="008253C0" w:rsidP="00635DA8">
            <w:pPr>
              <w:rPr>
                <w:rFonts w:eastAsia="Times New Roman"/>
              </w:rPr>
            </w:pPr>
            <w:r>
              <w:t>Anul nașterii/înscrierii</w:t>
            </w:r>
          </w:p>
        </w:tc>
        <w:tc>
          <w:tcPr>
            <w:tcW w:w="967" w:type="pct"/>
          </w:tcPr>
          <w:p w:rsidR="008253C0" w:rsidRPr="008253C0" w:rsidRDefault="008253C0" w:rsidP="00635DA8">
            <w:pPr>
              <w:rPr>
                <w:rFonts w:eastAsia="Times New Roman"/>
              </w:rPr>
            </w:pPr>
            <w:r>
              <w:t>Cetățenie</w:t>
            </w:r>
          </w:p>
        </w:tc>
        <w:tc>
          <w:tcPr>
            <w:tcW w:w="834" w:type="pct"/>
          </w:tcPr>
          <w:p w:rsidR="008253C0" w:rsidRPr="008253C0" w:rsidRDefault="008253C0" w:rsidP="00635DA8">
            <w:pPr>
              <w:rPr>
                <w:rFonts w:eastAsia="Times New Roman"/>
              </w:rPr>
            </w:pPr>
            <w:r>
              <w:t>Domiciliu</w:t>
            </w:r>
          </w:p>
        </w:tc>
      </w:tr>
      <w:tr w:rsidR="008253C0" w:rsidRPr="008253C0" w:rsidTr="00635DA8">
        <w:tc>
          <w:tcPr>
            <w:tcW w:w="404" w:type="pct"/>
          </w:tcPr>
          <w:p w:rsidR="008253C0" w:rsidRPr="008253C0" w:rsidRDefault="008253C0" w:rsidP="00635DA8">
            <w:pPr>
              <w:rPr>
                <w:rFonts w:eastAsia="Times New Roman"/>
              </w:rPr>
            </w:pPr>
            <w:r>
              <w:t>1.</w:t>
            </w:r>
          </w:p>
        </w:tc>
        <w:tc>
          <w:tcPr>
            <w:tcW w:w="1373" w:type="pct"/>
          </w:tcPr>
          <w:p w:rsidR="008253C0" w:rsidRPr="008253C0" w:rsidRDefault="008253C0" w:rsidP="00635DA8">
            <w:pPr>
              <w:rPr>
                <w:rFonts w:eastAsia="Times New Roman"/>
              </w:rPr>
            </w:pPr>
            <w:r>
              <w:t>George PÂRVU</w:t>
            </w:r>
          </w:p>
        </w:tc>
        <w:tc>
          <w:tcPr>
            <w:tcW w:w="1421" w:type="pct"/>
          </w:tcPr>
          <w:p w:rsidR="008253C0" w:rsidRPr="008253C0" w:rsidRDefault="008253C0" w:rsidP="00635DA8">
            <w:pPr>
              <w:rPr>
                <w:rFonts w:eastAsia="Times New Roman"/>
              </w:rPr>
            </w:pPr>
            <w:r>
              <w:t>1989</w:t>
            </w:r>
          </w:p>
        </w:tc>
        <w:tc>
          <w:tcPr>
            <w:tcW w:w="967" w:type="pct"/>
          </w:tcPr>
          <w:p w:rsidR="008253C0" w:rsidRPr="008253C0" w:rsidRDefault="008253C0" w:rsidP="00635DA8">
            <w:pPr>
              <w:rPr>
                <w:rFonts w:eastAsia="Times New Roman"/>
              </w:rPr>
            </w:pPr>
            <w:r>
              <w:t>română</w:t>
            </w:r>
          </w:p>
        </w:tc>
        <w:tc>
          <w:tcPr>
            <w:tcW w:w="834" w:type="pct"/>
          </w:tcPr>
          <w:p w:rsidR="008253C0" w:rsidRPr="008253C0" w:rsidRDefault="008253C0" w:rsidP="00635DA8">
            <w:pPr>
              <w:rPr>
                <w:rFonts w:eastAsia="Times New Roman"/>
              </w:rPr>
            </w:pPr>
            <w:r>
              <w:t>Brăila</w:t>
            </w:r>
          </w:p>
        </w:tc>
      </w:tr>
      <w:tr w:rsidR="008253C0" w:rsidRPr="008253C0" w:rsidTr="00635DA8">
        <w:tc>
          <w:tcPr>
            <w:tcW w:w="404" w:type="pct"/>
          </w:tcPr>
          <w:p w:rsidR="008253C0" w:rsidRPr="008253C0" w:rsidRDefault="008253C0" w:rsidP="00635DA8">
            <w:pPr>
              <w:rPr>
                <w:rFonts w:eastAsia="Times New Roman"/>
              </w:rPr>
            </w:pPr>
            <w:r>
              <w:t>2.</w:t>
            </w:r>
          </w:p>
        </w:tc>
        <w:tc>
          <w:tcPr>
            <w:tcW w:w="1373" w:type="pct"/>
          </w:tcPr>
          <w:p w:rsidR="008253C0" w:rsidRPr="008253C0" w:rsidRDefault="008253C0" w:rsidP="00635DA8">
            <w:pPr>
              <w:rPr>
                <w:rFonts w:eastAsia="Times New Roman"/>
              </w:rPr>
            </w:pPr>
            <w:r>
              <w:t>Ioneliea MOLDOVEANU</w:t>
            </w:r>
            <w:r w:rsidRPr="008253C0">
              <w:rPr>
                <w:rFonts w:eastAsia="Times New Roman"/>
                <w:vertAlign w:val="superscript"/>
              </w:rPr>
              <w:footnoteReference w:id="1"/>
            </w:r>
          </w:p>
        </w:tc>
        <w:tc>
          <w:tcPr>
            <w:tcW w:w="1421" w:type="pct"/>
          </w:tcPr>
          <w:p w:rsidR="008253C0" w:rsidRPr="008253C0" w:rsidRDefault="008253C0" w:rsidP="00635DA8">
            <w:pPr>
              <w:rPr>
                <w:rFonts w:eastAsia="Times New Roman"/>
              </w:rPr>
            </w:pPr>
            <w:r>
              <w:t>1959</w:t>
            </w:r>
          </w:p>
        </w:tc>
        <w:tc>
          <w:tcPr>
            <w:tcW w:w="967" w:type="pct"/>
          </w:tcPr>
          <w:p w:rsidR="008253C0" w:rsidRPr="008253C0" w:rsidRDefault="008253C0" w:rsidP="00635DA8">
            <w:pPr>
              <w:rPr>
                <w:rFonts w:eastAsia="Times New Roman"/>
              </w:rPr>
            </w:pPr>
            <w:r>
              <w:t>română</w:t>
            </w:r>
          </w:p>
        </w:tc>
        <w:tc>
          <w:tcPr>
            <w:tcW w:w="834" w:type="pct"/>
          </w:tcPr>
          <w:p w:rsidR="008253C0" w:rsidRPr="008253C0" w:rsidRDefault="008253C0" w:rsidP="00635DA8">
            <w:pPr>
              <w:rPr>
                <w:rFonts w:eastAsia="Times New Roman"/>
              </w:rPr>
            </w:pPr>
            <w:r>
              <w:t>Brăila</w:t>
            </w:r>
          </w:p>
        </w:tc>
      </w:tr>
      <w:tr w:rsidR="008253C0" w:rsidRPr="008253C0" w:rsidTr="00635DA8">
        <w:tc>
          <w:tcPr>
            <w:tcW w:w="404" w:type="pct"/>
          </w:tcPr>
          <w:p w:rsidR="008253C0" w:rsidRPr="008253C0" w:rsidRDefault="008253C0" w:rsidP="00635DA8">
            <w:pPr>
              <w:rPr>
                <w:rFonts w:eastAsia="Times New Roman"/>
              </w:rPr>
            </w:pPr>
            <w:r>
              <w:t>3.</w:t>
            </w:r>
          </w:p>
        </w:tc>
        <w:tc>
          <w:tcPr>
            <w:tcW w:w="1373" w:type="pct"/>
          </w:tcPr>
          <w:p w:rsidR="008253C0" w:rsidRPr="008253C0" w:rsidRDefault="008253C0" w:rsidP="00635DA8">
            <w:pPr>
              <w:rPr>
                <w:rFonts w:eastAsia="Times New Roman"/>
              </w:rPr>
            </w:pPr>
            <w:r>
              <w:t>Ionel PÂRVU</w:t>
            </w:r>
          </w:p>
        </w:tc>
        <w:tc>
          <w:tcPr>
            <w:tcW w:w="1421" w:type="pct"/>
          </w:tcPr>
          <w:p w:rsidR="008253C0" w:rsidRPr="008253C0" w:rsidRDefault="008253C0" w:rsidP="00635DA8">
            <w:pPr>
              <w:rPr>
                <w:rFonts w:eastAsia="Times New Roman"/>
              </w:rPr>
            </w:pPr>
            <w:r>
              <w:t>1955</w:t>
            </w:r>
          </w:p>
        </w:tc>
        <w:tc>
          <w:tcPr>
            <w:tcW w:w="967" w:type="pct"/>
          </w:tcPr>
          <w:p w:rsidR="008253C0" w:rsidRPr="008253C0" w:rsidRDefault="008253C0" w:rsidP="00635DA8">
            <w:pPr>
              <w:rPr>
                <w:rFonts w:eastAsia="Times New Roman"/>
              </w:rPr>
            </w:pPr>
            <w:r>
              <w:t>română</w:t>
            </w:r>
          </w:p>
        </w:tc>
        <w:tc>
          <w:tcPr>
            <w:tcW w:w="834" w:type="pct"/>
          </w:tcPr>
          <w:p w:rsidR="008253C0" w:rsidRPr="008253C0" w:rsidRDefault="008253C0" w:rsidP="00635DA8">
            <w:pPr>
              <w:rPr>
                <w:rFonts w:eastAsia="Times New Roman"/>
              </w:rPr>
            </w:pPr>
            <w:r>
              <w:t>Brăila</w:t>
            </w:r>
          </w:p>
        </w:tc>
      </w:tr>
    </w:tbl>
    <w:p w:rsidR="00770C31" w:rsidRPr="008253C0" w:rsidRDefault="00770C31" w:rsidP="008253C0">
      <w:pPr>
        <w:rPr>
          <w:rFonts w:ascii="Times New Roman" w:hAnsi="Times New Roman" w:cs="Times New Roman"/>
        </w:rPr>
      </w:pPr>
    </w:p>
    <w:sectPr w:rsidR="00770C31" w:rsidRPr="008253C0" w:rsidSect="00030F25">
      <w:headerReference w:type="even" r:id="rId16"/>
      <w:headerReference w:type="default" r:id="rId17"/>
      <w:footerReference w:type="even" r:id="rId18"/>
      <w:footerReference w:type="default" r:id="rId19"/>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608" w:rsidRDefault="00CF3608">
      <w:r>
        <w:separator/>
      </w:r>
    </w:p>
  </w:endnote>
  <w:endnote w:type="continuationSeparator" w:id="0">
    <w:p w:rsidR="00CF3608" w:rsidRDefault="00CF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C0" w:rsidRPr="008253C0" w:rsidRDefault="008253C0" w:rsidP="008253C0">
    <w:pPr>
      <w:jc w:val="center"/>
    </w:pPr>
    <w:r>
      <w:rPr>
        <w:noProof/>
        <w:lang w:eastAsia="ro-RO"/>
      </w:rPr>
      <w:drawing>
        <wp:inline distT="0" distB="0" distL="0" distR="0" wp14:anchorId="2DCF0251" wp14:editId="7998BA1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8253C0" w:rsidRPr="008253C0" w:rsidRDefault="008253C0" w:rsidP="008253C0">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C0" w:rsidRPr="00DB06D2" w:rsidRDefault="008253C0" w:rsidP="00DB06D2">
    <w:pPr>
      <w:jc w:val="center"/>
    </w:pPr>
    <w:r>
      <w:rPr>
        <w:noProof/>
        <w:lang w:eastAsia="ro-RO"/>
      </w:rPr>
      <w:drawing>
        <wp:inline distT="0" distB="0" distL="0" distR="0" wp14:anchorId="3FB5D7B5" wp14:editId="3E21212E">
          <wp:extent cx="771525" cy="619125"/>
          <wp:effectExtent l="0" t="0" r="9525" b="9525"/>
          <wp:docPr id="5" name="Picture 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C0" w:rsidRPr="008253C0" w:rsidRDefault="008253C0" w:rsidP="008253C0">
    <w:pPr>
      <w:pStyle w:val="JuHeader"/>
    </w:pPr>
    <w:r w:rsidRPr="008253C0">
      <w:fldChar w:fldCharType="begin"/>
    </w:r>
    <w:r w:rsidRPr="008253C0">
      <w:instrText xml:space="preserve"> PAGE  \* MERGEFORMAT </w:instrText>
    </w:r>
    <w:r w:rsidRPr="008253C0">
      <w:fldChar w:fldCharType="separate"/>
    </w:r>
    <w:r w:rsidR="00EE512C">
      <w:rPr>
        <w:noProof/>
      </w:rPr>
      <w:t>6</w:t>
    </w:r>
    <w:r w:rsidRPr="008253C0">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C0" w:rsidRPr="008253C0" w:rsidRDefault="008253C0" w:rsidP="008253C0">
    <w:pPr>
      <w:pStyle w:val="JuHeader"/>
    </w:pPr>
    <w:r w:rsidRPr="008253C0">
      <w:fldChar w:fldCharType="begin"/>
    </w:r>
    <w:r w:rsidRPr="008253C0">
      <w:instrText xml:space="preserve"> PAGE  \* MERGEFORMAT </w:instrText>
    </w:r>
    <w:r w:rsidRPr="008253C0">
      <w:fldChar w:fldCharType="separate"/>
    </w:r>
    <w:r w:rsidR="00EE512C">
      <w:rPr>
        <w:noProof/>
      </w:rPr>
      <w:t>5</w:t>
    </w:r>
    <w:r w:rsidRPr="008253C0">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253C0" w:rsidRDefault="00CE308E" w:rsidP="008253C0">
    <w:pPr>
      <w:pStyle w:val="JuHeader"/>
    </w:pPr>
    <w:r w:rsidRPr="008253C0">
      <w:fldChar w:fldCharType="begin"/>
    </w:r>
    <w:r w:rsidRPr="008253C0">
      <w:instrText xml:space="preserve"> PAGE  \* MERGEFORMAT </w:instrText>
    </w:r>
    <w:r w:rsidRPr="008253C0">
      <w:fldChar w:fldCharType="separate"/>
    </w:r>
    <w:r w:rsidRPr="008253C0">
      <w:t>2</w:t>
    </w:r>
    <w:r w:rsidRPr="008253C0">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253C0" w:rsidRDefault="00CE308E" w:rsidP="008253C0">
    <w:pPr>
      <w:pStyle w:val="JuHeader"/>
    </w:pPr>
    <w:r w:rsidRPr="008253C0">
      <w:fldChar w:fldCharType="begin"/>
    </w:r>
    <w:r w:rsidRPr="008253C0">
      <w:instrText xml:space="preserve"> PAGE  \* MERGEFORMAT </w:instrText>
    </w:r>
    <w:r w:rsidRPr="008253C0">
      <w:fldChar w:fldCharType="separate"/>
    </w:r>
    <w:r w:rsidR="00EE512C">
      <w:rPr>
        <w:noProof/>
      </w:rPr>
      <w:t>7</w:t>
    </w:r>
    <w:r w:rsidRPr="008253C0">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608" w:rsidRPr="00770C31" w:rsidRDefault="00CF3608" w:rsidP="0098410D">
      <w:r w:rsidRPr="00770C31">
        <w:separator/>
      </w:r>
    </w:p>
  </w:footnote>
  <w:footnote w:type="continuationSeparator" w:id="0">
    <w:p w:rsidR="00CF3608" w:rsidRPr="00770C31" w:rsidRDefault="00CF3608" w:rsidP="0098410D">
      <w:r w:rsidRPr="00770C31">
        <w:continuationSeparator/>
      </w:r>
    </w:p>
  </w:footnote>
  <w:footnote w:id="1">
    <w:p w:rsidR="008253C0" w:rsidRPr="008253C0" w:rsidRDefault="008253C0" w:rsidP="008253C0">
      <w:pPr>
        <w:pStyle w:val="FootnoteText"/>
      </w:pPr>
      <w:r>
        <w:rPr>
          <w:vertAlign w:val="superscript"/>
        </w:rPr>
        <w:footnoteRef/>
      </w:r>
      <w:r>
        <w:rPr>
          <w:vertAlign w:val="superscript"/>
        </w:rPr>
        <w:t xml:space="preserve"> </w:t>
      </w:r>
      <w:r>
        <w:t xml:space="preserve">Rectificat la 4 noiembrie 2025: prenumele reclamantei a fost corectat din </w:t>
      </w:r>
      <w:r>
        <w:rPr>
          <w:i/>
          <w:iCs/>
        </w:rPr>
        <w:t>Ionelia</w:t>
      </w:r>
      <w:r>
        <w:t xml:space="preserve"> în </w:t>
      </w:r>
      <w:r>
        <w:rPr>
          <w:i/>
          <w:iCs/>
        </w:rPr>
        <w:t>Ioneliea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C0" w:rsidRPr="008253C0" w:rsidRDefault="008253C0" w:rsidP="008253C0">
    <w:pPr>
      <w:jc w:val="center"/>
    </w:pPr>
    <w:r>
      <w:rPr>
        <w:noProof/>
        <w:lang w:eastAsia="ro-RO"/>
      </w:rPr>
      <w:drawing>
        <wp:inline distT="0" distB="0" distL="0" distR="0" wp14:anchorId="212D548D" wp14:editId="631167FB">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8253C0" w:rsidRPr="008253C0" w:rsidRDefault="008253C0" w:rsidP="008253C0">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3D5" w:rsidRPr="00E95050" w:rsidRDefault="000C53D5" w:rsidP="000C53D5">
    <w:pPr>
      <w:jc w:val="right"/>
      <w:rPr>
        <w:i/>
        <w:noProof/>
        <w:sz w:val="22"/>
        <w:szCs w:val="22"/>
      </w:rPr>
    </w:pPr>
    <w:r>
      <w:rPr>
        <w:i/>
        <w:iCs/>
      </w:rPr>
      <w:t>Tradus și revizuit de IER</w:t>
    </w:r>
    <w:r>
      <w:t xml:space="preserve"> </w:t>
    </w:r>
    <w:r>
      <w:rPr>
        <w:i/>
        <w:sz w:val="22"/>
      </w:rPr>
      <w:t>(</w:t>
    </w:r>
    <w:hyperlink r:id="rId1" w:history="1">
      <w:r w:rsidR="00EE512C" w:rsidRPr="00FE4D6A">
        <w:rPr>
          <w:rStyle w:val="Hyperlink"/>
        </w:rPr>
        <w:t>https://ier.gov.ro/</w:t>
      </w:r>
    </w:hyperlink>
    <w:r>
      <w:rPr>
        <w:i/>
        <w:sz w:val="22"/>
      </w:rPr>
      <w:t>)</w:t>
    </w:r>
  </w:p>
  <w:p w:rsidR="000C53D5" w:rsidRDefault="000C53D5" w:rsidP="008253C0">
    <w:pPr>
      <w:jc w:val="center"/>
      <w:rPr>
        <w:noProof/>
        <w:lang w:eastAsia="ro-RO"/>
      </w:rPr>
    </w:pPr>
  </w:p>
  <w:p w:rsidR="008253C0" w:rsidRPr="008253C0" w:rsidRDefault="008253C0" w:rsidP="008253C0">
    <w:pPr>
      <w:jc w:val="center"/>
    </w:pPr>
    <w:r>
      <w:rPr>
        <w:noProof/>
        <w:lang w:eastAsia="ro-RO"/>
      </w:rPr>
      <w:drawing>
        <wp:inline distT="0" distB="0" distL="0" distR="0" wp14:anchorId="7328B875" wp14:editId="7C395D1B">
          <wp:extent cx="2962275" cy="1219200"/>
          <wp:effectExtent l="0" t="0" r="9525" b="0"/>
          <wp:docPr id="4" name="Picture 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8253C0" w:rsidRPr="008253C0" w:rsidRDefault="008253C0" w:rsidP="008253C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C0" w:rsidRPr="008253C0" w:rsidRDefault="008253C0" w:rsidP="008253C0">
    <w:pPr>
      <w:pStyle w:val="JuHeader"/>
    </w:pPr>
    <w:r>
      <w:t>HOTĂRÂREA PÂRVU ȘI ALȚII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3C0" w:rsidRPr="008253C0" w:rsidRDefault="008253C0" w:rsidP="008253C0">
    <w:pPr>
      <w:pStyle w:val="JuHeader"/>
    </w:pPr>
    <w:r>
      <w:t>HOTĂRÂREA PÂRVU ȘI ALȚII ÎMPOTRIVA ROMÂNIEI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253C0" w:rsidRDefault="00CE308E" w:rsidP="008253C0">
    <w:pPr>
      <w:pStyle w:val="JuHeader"/>
    </w:pPr>
    <w:r>
      <w:t>HOTĂRÂREA PÂRVU ȘI ALȚII ÎMPOTRIVA ROMÂNIEI</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253C0" w:rsidRDefault="00CE308E" w:rsidP="008253C0">
    <w:pPr>
      <w:pStyle w:val="JuHeader"/>
    </w:pPr>
    <w:r>
      <w:t>HOTĂRÂREA PÂRVU ȘI ALȚII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40A6803E">
      <w:start w:val="1"/>
      <w:numFmt w:val="bullet"/>
      <w:pStyle w:val="ListBullet"/>
      <w:lvlText w:val=""/>
      <w:lvlJc w:val="left"/>
      <w:pPr>
        <w:tabs>
          <w:tab w:val="num" w:pos="851"/>
        </w:tabs>
        <w:ind w:left="568" w:firstLine="0"/>
      </w:pPr>
      <w:rPr>
        <w:rFonts w:ascii="Wingdings" w:hAnsi="Wingdings" w:hint="default"/>
        <w:color w:val="808080"/>
        <w:sz w:val="16"/>
      </w:rPr>
    </w:lvl>
    <w:lvl w:ilvl="1" w:tplc="4350BC9E" w:tentative="1">
      <w:start w:val="1"/>
      <w:numFmt w:val="bullet"/>
      <w:lvlText w:val="o"/>
      <w:lvlJc w:val="left"/>
      <w:pPr>
        <w:tabs>
          <w:tab w:val="num" w:pos="1724"/>
        </w:tabs>
        <w:ind w:left="1724" w:hanging="360"/>
      </w:pPr>
      <w:rPr>
        <w:rFonts w:ascii="Courier New" w:hAnsi="Courier New" w:cs="Courier New" w:hint="default"/>
      </w:rPr>
    </w:lvl>
    <w:lvl w:ilvl="2" w:tplc="8FEA843A" w:tentative="1">
      <w:start w:val="1"/>
      <w:numFmt w:val="bullet"/>
      <w:lvlText w:val=""/>
      <w:lvlJc w:val="left"/>
      <w:pPr>
        <w:tabs>
          <w:tab w:val="num" w:pos="2444"/>
        </w:tabs>
        <w:ind w:left="2444" w:hanging="360"/>
      </w:pPr>
      <w:rPr>
        <w:rFonts w:ascii="Wingdings" w:hAnsi="Wingdings" w:hint="default"/>
      </w:rPr>
    </w:lvl>
    <w:lvl w:ilvl="3" w:tplc="2CAAF97E" w:tentative="1">
      <w:start w:val="1"/>
      <w:numFmt w:val="bullet"/>
      <w:lvlText w:val=""/>
      <w:lvlJc w:val="left"/>
      <w:pPr>
        <w:tabs>
          <w:tab w:val="num" w:pos="3164"/>
        </w:tabs>
        <w:ind w:left="3164" w:hanging="360"/>
      </w:pPr>
      <w:rPr>
        <w:rFonts w:ascii="Symbol" w:hAnsi="Symbol" w:hint="default"/>
      </w:rPr>
    </w:lvl>
    <w:lvl w:ilvl="4" w:tplc="F710CAA4" w:tentative="1">
      <w:start w:val="1"/>
      <w:numFmt w:val="bullet"/>
      <w:lvlText w:val="o"/>
      <w:lvlJc w:val="left"/>
      <w:pPr>
        <w:tabs>
          <w:tab w:val="num" w:pos="3884"/>
        </w:tabs>
        <w:ind w:left="3884" w:hanging="360"/>
      </w:pPr>
      <w:rPr>
        <w:rFonts w:ascii="Courier New" w:hAnsi="Courier New" w:cs="Courier New" w:hint="default"/>
      </w:rPr>
    </w:lvl>
    <w:lvl w:ilvl="5" w:tplc="97982656" w:tentative="1">
      <w:start w:val="1"/>
      <w:numFmt w:val="bullet"/>
      <w:lvlText w:val=""/>
      <w:lvlJc w:val="left"/>
      <w:pPr>
        <w:tabs>
          <w:tab w:val="num" w:pos="4604"/>
        </w:tabs>
        <w:ind w:left="4604" w:hanging="360"/>
      </w:pPr>
      <w:rPr>
        <w:rFonts w:ascii="Wingdings" w:hAnsi="Wingdings" w:hint="default"/>
      </w:rPr>
    </w:lvl>
    <w:lvl w:ilvl="6" w:tplc="F57E95F0" w:tentative="1">
      <w:start w:val="1"/>
      <w:numFmt w:val="bullet"/>
      <w:lvlText w:val=""/>
      <w:lvlJc w:val="left"/>
      <w:pPr>
        <w:tabs>
          <w:tab w:val="num" w:pos="5324"/>
        </w:tabs>
        <w:ind w:left="5324" w:hanging="360"/>
      </w:pPr>
      <w:rPr>
        <w:rFonts w:ascii="Symbol" w:hAnsi="Symbol" w:hint="default"/>
      </w:rPr>
    </w:lvl>
    <w:lvl w:ilvl="7" w:tplc="AFDC38B0" w:tentative="1">
      <w:start w:val="1"/>
      <w:numFmt w:val="bullet"/>
      <w:lvlText w:val="o"/>
      <w:lvlJc w:val="left"/>
      <w:pPr>
        <w:tabs>
          <w:tab w:val="num" w:pos="6044"/>
        </w:tabs>
        <w:ind w:left="6044" w:hanging="360"/>
      </w:pPr>
      <w:rPr>
        <w:rFonts w:ascii="Courier New" w:hAnsi="Courier New" w:cs="Courier New" w:hint="default"/>
      </w:rPr>
    </w:lvl>
    <w:lvl w:ilvl="8" w:tplc="381A9A04"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4"/>
  </w:num>
  <w:num w:numId="3">
    <w:abstractNumId w:val="12"/>
  </w:num>
  <w:num w:numId="4">
    <w:abstractNumId w:val="11"/>
  </w:num>
  <w:num w:numId="5">
    <w:abstractNumId w:val="15"/>
  </w:num>
  <w:num w:numId="6">
    <w:abstractNumId w:val="16"/>
  </w:num>
  <w:num w:numId="7">
    <w:abstractNumId w:val="17"/>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3"/>
    <w:docVar w:name="SignForeName" w:val="0"/>
    <w:docVar w:name="SndCaseNumber" w:val="Error!Nodocumentvariablesupplied."/>
  </w:docVars>
  <w:rsids>
    <w:rsidRoot w:val="00770C31"/>
    <w:rsid w:val="000041F8"/>
    <w:rsid w:val="000042A8"/>
    <w:rsid w:val="00004308"/>
    <w:rsid w:val="0000559D"/>
    <w:rsid w:val="00005BF0"/>
    <w:rsid w:val="0000617D"/>
    <w:rsid w:val="00007154"/>
    <w:rsid w:val="000103AE"/>
    <w:rsid w:val="00011D69"/>
    <w:rsid w:val="00012AD3"/>
    <w:rsid w:val="00015C2D"/>
    <w:rsid w:val="00015F00"/>
    <w:rsid w:val="0001705B"/>
    <w:rsid w:val="0001768D"/>
    <w:rsid w:val="00022C1D"/>
    <w:rsid w:val="00023D9E"/>
    <w:rsid w:val="0002592F"/>
    <w:rsid w:val="00030F25"/>
    <w:rsid w:val="00031428"/>
    <w:rsid w:val="00034987"/>
    <w:rsid w:val="00041560"/>
    <w:rsid w:val="000602DF"/>
    <w:rsid w:val="00061B05"/>
    <w:rsid w:val="000632D5"/>
    <w:rsid w:val="000644EE"/>
    <w:rsid w:val="00064E74"/>
    <w:rsid w:val="000712E3"/>
    <w:rsid w:val="0007780A"/>
    <w:rsid w:val="00085457"/>
    <w:rsid w:val="000925AD"/>
    <w:rsid w:val="00096FE1"/>
    <w:rsid w:val="00097A62"/>
    <w:rsid w:val="000A24EB"/>
    <w:rsid w:val="000A2705"/>
    <w:rsid w:val="000B686A"/>
    <w:rsid w:val="000B6923"/>
    <w:rsid w:val="000B7195"/>
    <w:rsid w:val="000B765F"/>
    <w:rsid w:val="000C53D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3C0F"/>
    <w:rsid w:val="00166530"/>
    <w:rsid w:val="00170027"/>
    <w:rsid w:val="00172027"/>
    <w:rsid w:val="00177EEA"/>
    <w:rsid w:val="00182EBA"/>
    <w:rsid w:val="001832BD"/>
    <w:rsid w:val="00187A04"/>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65DE"/>
    <w:rsid w:val="00206D81"/>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5872"/>
    <w:rsid w:val="00287AD5"/>
    <w:rsid w:val="002934D0"/>
    <w:rsid w:val="00293676"/>
    <w:rsid w:val="00293BD9"/>
    <w:rsid w:val="002948AD"/>
    <w:rsid w:val="002A01CC"/>
    <w:rsid w:val="002A613A"/>
    <w:rsid w:val="002A61B1"/>
    <w:rsid w:val="002A663C"/>
    <w:rsid w:val="002A6D8D"/>
    <w:rsid w:val="002B444B"/>
    <w:rsid w:val="002B5887"/>
    <w:rsid w:val="002B5B43"/>
    <w:rsid w:val="002C0E27"/>
    <w:rsid w:val="002C140F"/>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0671A"/>
    <w:rsid w:val="00312A30"/>
    <w:rsid w:val="003201D8"/>
    <w:rsid w:val="00320F72"/>
    <w:rsid w:val="0032463E"/>
    <w:rsid w:val="00326224"/>
    <w:rsid w:val="00337EE4"/>
    <w:rsid w:val="00340FFD"/>
    <w:rsid w:val="00345C41"/>
    <w:rsid w:val="003506B1"/>
    <w:rsid w:val="00355877"/>
    <w:rsid w:val="00356AC7"/>
    <w:rsid w:val="003609FA"/>
    <w:rsid w:val="003657D1"/>
    <w:rsid w:val="003710C8"/>
    <w:rsid w:val="003750BE"/>
    <w:rsid w:val="00385A36"/>
    <w:rsid w:val="00385F3D"/>
    <w:rsid w:val="0038740C"/>
    <w:rsid w:val="00387B9D"/>
    <w:rsid w:val="00387C70"/>
    <w:rsid w:val="00390294"/>
    <w:rsid w:val="00390F1C"/>
    <w:rsid w:val="003931AC"/>
    <w:rsid w:val="0039364F"/>
    <w:rsid w:val="00396686"/>
    <w:rsid w:val="0039778E"/>
    <w:rsid w:val="003B0799"/>
    <w:rsid w:val="003B4941"/>
    <w:rsid w:val="003C5714"/>
    <w:rsid w:val="003C6B9F"/>
    <w:rsid w:val="003C6E2A"/>
    <w:rsid w:val="003D0299"/>
    <w:rsid w:val="003E44A7"/>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640C"/>
    <w:rsid w:val="00427E7A"/>
    <w:rsid w:val="004355AC"/>
    <w:rsid w:val="00436C49"/>
    <w:rsid w:val="00443D98"/>
    <w:rsid w:val="00445366"/>
    <w:rsid w:val="00447F5B"/>
    <w:rsid w:val="00460DB9"/>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16E"/>
    <w:rsid w:val="00547353"/>
    <w:rsid w:val="005474E7"/>
    <w:rsid w:val="005512A3"/>
    <w:rsid w:val="005578CE"/>
    <w:rsid w:val="00562781"/>
    <w:rsid w:val="00562B6C"/>
    <w:rsid w:val="005717B8"/>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5F795E"/>
    <w:rsid w:val="00611C80"/>
    <w:rsid w:val="00620692"/>
    <w:rsid w:val="00623885"/>
    <w:rsid w:val="006242CA"/>
    <w:rsid w:val="00627507"/>
    <w:rsid w:val="00633717"/>
    <w:rsid w:val="006344E1"/>
    <w:rsid w:val="00643524"/>
    <w:rsid w:val="0064393B"/>
    <w:rsid w:val="00645CF2"/>
    <w:rsid w:val="00653BED"/>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50B4"/>
    <w:rsid w:val="006C7BB0"/>
    <w:rsid w:val="006D3237"/>
    <w:rsid w:val="006E2E37"/>
    <w:rsid w:val="006E3CF1"/>
    <w:rsid w:val="006E68A3"/>
    <w:rsid w:val="006E7E80"/>
    <w:rsid w:val="006F1C2D"/>
    <w:rsid w:val="006F48CA"/>
    <w:rsid w:val="006F64DD"/>
    <w:rsid w:val="006F712D"/>
    <w:rsid w:val="0070710E"/>
    <w:rsid w:val="00715127"/>
    <w:rsid w:val="00715E8E"/>
    <w:rsid w:val="007212CB"/>
    <w:rsid w:val="00723580"/>
    <w:rsid w:val="00723755"/>
    <w:rsid w:val="0073136C"/>
    <w:rsid w:val="00731F0F"/>
    <w:rsid w:val="0073263A"/>
    <w:rsid w:val="00733250"/>
    <w:rsid w:val="00741404"/>
    <w:rsid w:val="007449E5"/>
    <w:rsid w:val="0074750E"/>
    <w:rsid w:val="00747FF0"/>
    <w:rsid w:val="00751066"/>
    <w:rsid w:val="0075566E"/>
    <w:rsid w:val="00763602"/>
    <w:rsid w:val="00764D4E"/>
    <w:rsid w:val="00765A1F"/>
    <w:rsid w:val="00770C31"/>
    <w:rsid w:val="00775B6D"/>
    <w:rsid w:val="00776D68"/>
    <w:rsid w:val="00781140"/>
    <w:rsid w:val="0078323E"/>
    <w:rsid w:val="007849C2"/>
    <w:rsid w:val="007850EE"/>
    <w:rsid w:val="00785B95"/>
    <w:rsid w:val="00790E96"/>
    <w:rsid w:val="007926FD"/>
    <w:rsid w:val="00793366"/>
    <w:rsid w:val="0079666C"/>
    <w:rsid w:val="007A452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3C0"/>
    <w:rsid w:val="008255F5"/>
    <w:rsid w:val="00826890"/>
    <w:rsid w:val="0083014E"/>
    <w:rsid w:val="0083214A"/>
    <w:rsid w:val="00832F4A"/>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97DFF"/>
    <w:rsid w:val="008B02DC"/>
    <w:rsid w:val="008B092C"/>
    <w:rsid w:val="008B57CE"/>
    <w:rsid w:val="008C1870"/>
    <w:rsid w:val="008C26DE"/>
    <w:rsid w:val="008D1668"/>
    <w:rsid w:val="008D2225"/>
    <w:rsid w:val="008D4752"/>
    <w:rsid w:val="008D5A13"/>
    <w:rsid w:val="008E271C"/>
    <w:rsid w:val="008E3235"/>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37DAF"/>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6A65"/>
    <w:rsid w:val="009A7FC1"/>
    <w:rsid w:val="009B1606"/>
    <w:rsid w:val="009B1B5F"/>
    <w:rsid w:val="009B6673"/>
    <w:rsid w:val="009C191B"/>
    <w:rsid w:val="009C2BD6"/>
    <w:rsid w:val="009D57AA"/>
    <w:rsid w:val="009E1F32"/>
    <w:rsid w:val="009E2CC2"/>
    <w:rsid w:val="009E47A2"/>
    <w:rsid w:val="009E776C"/>
    <w:rsid w:val="009E7A6F"/>
    <w:rsid w:val="009F3C9D"/>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753"/>
    <w:rsid w:val="00AA3BC7"/>
    <w:rsid w:val="00AA754A"/>
    <w:rsid w:val="00AB097C"/>
    <w:rsid w:val="00AB099E"/>
    <w:rsid w:val="00AB4328"/>
    <w:rsid w:val="00AC38DE"/>
    <w:rsid w:val="00AC4CD4"/>
    <w:rsid w:val="00AE0A2E"/>
    <w:rsid w:val="00AE354C"/>
    <w:rsid w:val="00AF12C5"/>
    <w:rsid w:val="00AF4B07"/>
    <w:rsid w:val="00AF6186"/>
    <w:rsid w:val="00AF7A3A"/>
    <w:rsid w:val="00B02587"/>
    <w:rsid w:val="00B049D1"/>
    <w:rsid w:val="00B04CEF"/>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1480"/>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D75EC"/>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09CA"/>
    <w:rsid w:val="00C32E4D"/>
    <w:rsid w:val="00C333A0"/>
    <w:rsid w:val="00C36A81"/>
    <w:rsid w:val="00C41974"/>
    <w:rsid w:val="00C44675"/>
    <w:rsid w:val="00C44A2C"/>
    <w:rsid w:val="00C44AD8"/>
    <w:rsid w:val="00C44F09"/>
    <w:rsid w:val="00C477F7"/>
    <w:rsid w:val="00C509A6"/>
    <w:rsid w:val="00C53F4A"/>
    <w:rsid w:val="00C54125"/>
    <w:rsid w:val="00C55B54"/>
    <w:rsid w:val="00C6098E"/>
    <w:rsid w:val="00C6152C"/>
    <w:rsid w:val="00C66902"/>
    <w:rsid w:val="00C71424"/>
    <w:rsid w:val="00C74810"/>
    <w:rsid w:val="00C90D68"/>
    <w:rsid w:val="00C939FE"/>
    <w:rsid w:val="00CA4BDA"/>
    <w:rsid w:val="00CB13E3"/>
    <w:rsid w:val="00CB1F66"/>
    <w:rsid w:val="00CB232C"/>
    <w:rsid w:val="00CB2951"/>
    <w:rsid w:val="00CB4277"/>
    <w:rsid w:val="00CC5067"/>
    <w:rsid w:val="00CD11D3"/>
    <w:rsid w:val="00CD282B"/>
    <w:rsid w:val="00CD3A7C"/>
    <w:rsid w:val="00CD447B"/>
    <w:rsid w:val="00CD4C35"/>
    <w:rsid w:val="00CD7369"/>
    <w:rsid w:val="00CE0B0E"/>
    <w:rsid w:val="00CE16F5"/>
    <w:rsid w:val="00CE308E"/>
    <w:rsid w:val="00CE3831"/>
    <w:rsid w:val="00CF2397"/>
    <w:rsid w:val="00CF3608"/>
    <w:rsid w:val="00D00ABB"/>
    <w:rsid w:val="00D02EEC"/>
    <w:rsid w:val="00D03551"/>
    <w:rsid w:val="00D04315"/>
    <w:rsid w:val="00D06A63"/>
    <w:rsid w:val="00D07E0E"/>
    <w:rsid w:val="00D10CD6"/>
    <w:rsid w:val="00D11478"/>
    <w:rsid w:val="00D155CF"/>
    <w:rsid w:val="00D15ED0"/>
    <w:rsid w:val="00D164BF"/>
    <w:rsid w:val="00D21B3E"/>
    <w:rsid w:val="00D21FED"/>
    <w:rsid w:val="00D23048"/>
    <w:rsid w:val="00D24251"/>
    <w:rsid w:val="00D26E72"/>
    <w:rsid w:val="00D343E2"/>
    <w:rsid w:val="00D361A2"/>
    <w:rsid w:val="00D37272"/>
    <w:rsid w:val="00D44C2E"/>
    <w:rsid w:val="00D45414"/>
    <w:rsid w:val="00D471E8"/>
    <w:rsid w:val="00D50A0A"/>
    <w:rsid w:val="00D53548"/>
    <w:rsid w:val="00D5576B"/>
    <w:rsid w:val="00D566BD"/>
    <w:rsid w:val="00D57A4D"/>
    <w:rsid w:val="00D60AA7"/>
    <w:rsid w:val="00D6435F"/>
    <w:rsid w:val="00D658B4"/>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06D2"/>
    <w:rsid w:val="00DB177D"/>
    <w:rsid w:val="00DB36C2"/>
    <w:rsid w:val="00DB5088"/>
    <w:rsid w:val="00DC00A8"/>
    <w:rsid w:val="00DC169B"/>
    <w:rsid w:val="00DC2AB9"/>
    <w:rsid w:val="00DC63F0"/>
    <w:rsid w:val="00DD37EA"/>
    <w:rsid w:val="00DD6EE5"/>
    <w:rsid w:val="00DE386C"/>
    <w:rsid w:val="00DE4D35"/>
    <w:rsid w:val="00DF098B"/>
    <w:rsid w:val="00DF11C4"/>
    <w:rsid w:val="00DF210C"/>
    <w:rsid w:val="00DF4B6A"/>
    <w:rsid w:val="00E004C0"/>
    <w:rsid w:val="00E0109E"/>
    <w:rsid w:val="00E02C09"/>
    <w:rsid w:val="00E04D59"/>
    <w:rsid w:val="00E06EFD"/>
    <w:rsid w:val="00E07DA1"/>
    <w:rsid w:val="00E123CB"/>
    <w:rsid w:val="00E13B09"/>
    <w:rsid w:val="00E20E13"/>
    <w:rsid w:val="00E21DBC"/>
    <w:rsid w:val="00E275D7"/>
    <w:rsid w:val="00E27988"/>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38A6"/>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12C"/>
    <w:rsid w:val="00EE5DD2"/>
    <w:rsid w:val="00EF36C5"/>
    <w:rsid w:val="00EF3DB4"/>
    <w:rsid w:val="00F00A79"/>
    <w:rsid w:val="00F00D13"/>
    <w:rsid w:val="00F00E86"/>
    <w:rsid w:val="00F0637D"/>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74D"/>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53F0"/>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8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C1870"/>
    <w:rPr>
      <w:sz w:val="24"/>
      <w:szCs w:val="24"/>
    </w:rPr>
  </w:style>
  <w:style w:type="paragraph" w:styleId="Heading1">
    <w:name w:val="heading 1"/>
    <w:basedOn w:val="Normal"/>
    <w:next w:val="Normal"/>
    <w:link w:val="Heading1Char"/>
    <w:uiPriority w:val="98"/>
    <w:semiHidden/>
    <w:rsid w:val="008C187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C187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C1870"/>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C1870"/>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C1870"/>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C1870"/>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C1870"/>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C187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C187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C1870"/>
    <w:rPr>
      <w:rFonts w:ascii="Tahoma" w:hAnsi="Tahoma" w:cs="Tahoma"/>
      <w:sz w:val="16"/>
      <w:szCs w:val="16"/>
    </w:rPr>
  </w:style>
  <w:style w:type="character" w:customStyle="1" w:styleId="BalloonTextChar">
    <w:name w:val="Balloon Text Char"/>
    <w:basedOn w:val="DefaultParagraphFont"/>
    <w:link w:val="BalloonText"/>
    <w:uiPriority w:val="98"/>
    <w:semiHidden/>
    <w:rsid w:val="008C1870"/>
    <w:rPr>
      <w:rFonts w:ascii="Tahoma" w:hAnsi="Tahoma" w:cs="Tahoma"/>
      <w:sz w:val="16"/>
      <w:szCs w:val="16"/>
      <w:lang w:val="ro-RO"/>
    </w:rPr>
  </w:style>
  <w:style w:type="character" w:styleId="BookTitle">
    <w:name w:val="Book Title"/>
    <w:uiPriority w:val="98"/>
    <w:semiHidden/>
    <w:qFormat/>
    <w:rsid w:val="008C1870"/>
    <w:rPr>
      <w:i/>
      <w:iCs/>
      <w:smallCaps/>
      <w:spacing w:val="5"/>
    </w:rPr>
  </w:style>
  <w:style w:type="paragraph" w:customStyle="1" w:styleId="JuHeader">
    <w:name w:val="Ju_Header"/>
    <w:aliases w:val="_Header"/>
    <w:basedOn w:val="Header"/>
    <w:uiPriority w:val="29"/>
    <w:qFormat/>
    <w:rsid w:val="008C1870"/>
    <w:pPr>
      <w:tabs>
        <w:tab w:val="clear" w:pos="4536"/>
        <w:tab w:val="clear" w:pos="9072"/>
      </w:tabs>
      <w:jc w:val="center"/>
    </w:pPr>
    <w:rPr>
      <w:sz w:val="18"/>
    </w:rPr>
  </w:style>
  <w:style w:type="paragraph" w:customStyle="1" w:styleId="NormalJustified">
    <w:name w:val="Normal_Justified"/>
    <w:basedOn w:val="Normal"/>
    <w:semiHidden/>
    <w:rsid w:val="008C1870"/>
    <w:pPr>
      <w:jc w:val="both"/>
    </w:pPr>
  </w:style>
  <w:style w:type="character" w:styleId="Strong">
    <w:name w:val="Strong"/>
    <w:uiPriority w:val="98"/>
    <w:semiHidden/>
    <w:qFormat/>
    <w:rsid w:val="008C1870"/>
    <w:rPr>
      <w:b/>
      <w:bCs/>
    </w:rPr>
  </w:style>
  <w:style w:type="paragraph" w:styleId="NoSpacing">
    <w:name w:val="No Spacing"/>
    <w:basedOn w:val="Normal"/>
    <w:link w:val="NoSpacingChar"/>
    <w:uiPriority w:val="98"/>
    <w:semiHidden/>
    <w:qFormat/>
    <w:rsid w:val="008C1870"/>
  </w:style>
  <w:style w:type="character" w:customStyle="1" w:styleId="NoSpacingChar">
    <w:name w:val="No Spacing Char"/>
    <w:basedOn w:val="DefaultParagraphFont"/>
    <w:link w:val="NoSpacing"/>
    <w:uiPriority w:val="98"/>
    <w:semiHidden/>
    <w:rsid w:val="008C1870"/>
    <w:rPr>
      <w:sz w:val="24"/>
      <w:szCs w:val="24"/>
      <w:lang w:val="ro-RO"/>
    </w:rPr>
  </w:style>
  <w:style w:type="paragraph" w:customStyle="1" w:styleId="JuQuot">
    <w:name w:val="Ju_Quot"/>
    <w:aliases w:val="_Quote"/>
    <w:basedOn w:val="NormalJustified"/>
    <w:uiPriority w:val="20"/>
    <w:qFormat/>
    <w:rsid w:val="008C1870"/>
    <w:pPr>
      <w:spacing w:before="120" w:after="120"/>
      <w:ind w:left="425" w:firstLine="142"/>
    </w:pPr>
    <w:rPr>
      <w:sz w:val="20"/>
    </w:rPr>
  </w:style>
  <w:style w:type="paragraph" w:customStyle="1" w:styleId="DummyStyle">
    <w:name w:val="Dummy_Style"/>
    <w:aliases w:val="_Dummy"/>
    <w:basedOn w:val="Normal"/>
    <w:semiHidden/>
    <w:qFormat/>
    <w:rsid w:val="008C1870"/>
    <w:rPr>
      <w:color w:val="00B050"/>
      <w:sz w:val="22"/>
    </w:rPr>
  </w:style>
  <w:style w:type="paragraph" w:customStyle="1" w:styleId="JuList">
    <w:name w:val="Ju_List"/>
    <w:aliases w:val="_List_1"/>
    <w:basedOn w:val="NormalJustified"/>
    <w:uiPriority w:val="23"/>
    <w:qFormat/>
    <w:rsid w:val="008C1870"/>
    <w:pPr>
      <w:numPr>
        <w:numId w:val="20"/>
      </w:numPr>
      <w:spacing w:before="280" w:after="60"/>
    </w:pPr>
  </w:style>
  <w:style w:type="paragraph" w:customStyle="1" w:styleId="JuLista">
    <w:name w:val="Ju_List_a"/>
    <w:aliases w:val="_List_2"/>
    <w:basedOn w:val="NormalJustified"/>
    <w:uiPriority w:val="23"/>
    <w:rsid w:val="008C1870"/>
    <w:pPr>
      <w:numPr>
        <w:ilvl w:val="1"/>
        <w:numId w:val="20"/>
      </w:numPr>
    </w:pPr>
  </w:style>
  <w:style w:type="paragraph" w:customStyle="1" w:styleId="JuListi">
    <w:name w:val="Ju_List_i"/>
    <w:aliases w:val="_List_3"/>
    <w:basedOn w:val="NormalJustified"/>
    <w:uiPriority w:val="23"/>
    <w:rsid w:val="008C1870"/>
    <w:pPr>
      <w:numPr>
        <w:ilvl w:val="2"/>
        <w:numId w:val="20"/>
      </w:numPr>
    </w:pPr>
  </w:style>
  <w:style w:type="paragraph" w:customStyle="1" w:styleId="JuHArticle">
    <w:name w:val="Ju_H_Article"/>
    <w:aliases w:val="_Title_Quote"/>
    <w:basedOn w:val="Normal"/>
    <w:next w:val="JuQuot"/>
    <w:uiPriority w:val="19"/>
    <w:qFormat/>
    <w:rsid w:val="008C1870"/>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8C1870"/>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8C1870"/>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8C1870"/>
    <w:pPr>
      <w:keepNext/>
      <w:keepLines/>
      <w:numPr>
        <w:numId w:val="1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8C1870"/>
    <w:pPr>
      <w:numPr>
        <w:numId w:val="5"/>
      </w:numPr>
    </w:pPr>
  </w:style>
  <w:style w:type="paragraph" w:customStyle="1" w:styleId="JuSigned">
    <w:name w:val="Ju_Signed"/>
    <w:aliases w:val="_Signature"/>
    <w:basedOn w:val="Normal"/>
    <w:next w:val="JuPara"/>
    <w:uiPriority w:val="31"/>
    <w:qFormat/>
    <w:rsid w:val="008C1870"/>
    <w:pPr>
      <w:tabs>
        <w:tab w:val="center" w:pos="1418"/>
        <w:tab w:val="center" w:pos="5954"/>
      </w:tabs>
      <w:spacing w:before="720"/>
    </w:pPr>
  </w:style>
  <w:style w:type="paragraph" w:styleId="Title">
    <w:name w:val="Title"/>
    <w:basedOn w:val="Normal"/>
    <w:next w:val="Normal"/>
    <w:link w:val="TitleChar"/>
    <w:uiPriority w:val="98"/>
    <w:semiHidden/>
    <w:qFormat/>
    <w:rsid w:val="008C187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C1870"/>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8C1870"/>
    <w:pPr>
      <w:numPr>
        <w:numId w:val="1"/>
      </w:numPr>
    </w:pPr>
  </w:style>
  <w:style w:type="numbering" w:customStyle="1" w:styleId="ECHRA1StyleNumberedList">
    <w:name w:val="ECHR_A1_Style_Numbered_List"/>
    <w:basedOn w:val="NoList"/>
    <w:rsid w:val="008C1870"/>
    <w:pPr>
      <w:numPr>
        <w:numId w:val="6"/>
      </w:numPr>
    </w:pPr>
  </w:style>
  <w:style w:type="table" w:customStyle="1" w:styleId="ECHRTable2019">
    <w:name w:val="ECHR_Table_2019"/>
    <w:basedOn w:val="TableNormal"/>
    <w:uiPriority w:val="99"/>
    <w:rsid w:val="008C1870"/>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8C1870"/>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8C1870"/>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8C1870"/>
    <w:pPr>
      <w:keepNext/>
      <w:keepLines/>
      <w:numPr>
        <w:ilvl w:val="2"/>
        <w:numId w:val="1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8C1870"/>
    <w:pPr>
      <w:keepNext/>
      <w:keepLines/>
      <w:numPr>
        <w:ilvl w:val="3"/>
        <w:numId w:val="19"/>
      </w:numPr>
      <w:spacing w:before="100" w:beforeAutospacing="1" w:after="120"/>
      <w:jc w:val="both"/>
    </w:pPr>
    <w:rPr>
      <w:b w:val="0"/>
      <w:color w:val="auto"/>
      <w:sz w:val="24"/>
    </w:rPr>
  </w:style>
  <w:style w:type="paragraph" w:styleId="Header">
    <w:name w:val="header"/>
    <w:basedOn w:val="Normal"/>
    <w:link w:val="HeaderChar"/>
    <w:uiPriority w:val="98"/>
    <w:semiHidden/>
    <w:rsid w:val="008C1870"/>
    <w:pPr>
      <w:tabs>
        <w:tab w:val="center" w:pos="4536"/>
        <w:tab w:val="right" w:pos="9072"/>
      </w:tabs>
    </w:pPr>
  </w:style>
  <w:style w:type="character" w:customStyle="1" w:styleId="HeaderChar">
    <w:name w:val="Header Char"/>
    <w:basedOn w:val="DefaultParagraphFont"/>
    <w:link w:val="Header"/>
    <w:uiPriority w:val="98"/>
    <w:semiHidden/>
    <w:rsid w:val="008C1870"/>
    <w:rPr>
      <w:sz w:val="24"/>
      <w:szCs w:val="24"/>
      <w:lang w:val="ro-RO"/>
    </w:rPr>
  </w:style>
  <w:style w:type="character" w:customStyle="1" w:styleId="Heading1Char">
    <w:name w:val="Heading 1 Char"/>
    <w:basedOn w:val="DefaultParagraphFont"/>
    <w:link w:val="Heading1"/>
    <w:uiPriority w:val="98"/>
    <w:semiHidden/>
    <w:rsid w:val="008C1870"/>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8C1870"/>
    <w:pPr>
      <w:keepNext/>
      <w:keepLines/>
      <w:numPr>
        <w:ilvl w:val="4"/>
        <w:numId w:val="19"/>
      </w:numPr>
      <w:spacing w:before="100" w:beforeAutospacing="1" w:after="120"/>
      <w:jc w:val="both"/>
    </w:pPr>
    <w:rPr>
      <w:color w:val="auto"/>
      <w:sz w:val="20"/>
    </w:rPr>
  </w:style>
  <w:style w:type="paragraph" w:customStyle="1" w:styleId="JuHi">
    <w:name w:val="Ju_H_i"/>
    <w:aliases w:val="_Head_6"/>
    <w:basedOn w:val="Heading6"/>
    <w:next w:val="JuPara"/>
    <w:uiPriority w:val="17"/>
    <w:rsid w:val="008C1870"/>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C1870"/>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8C1870"/>
    <w:pPr>
      <w:keepNext/>
      <w:keepLines/>
      <w:numPr>
        <w:ilvl w:val="6"/>
        <w:numId w:val="1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8C1870"/>
    <w:pPr>
      <w:keepNext/>
      <w:keepLines/>
      <w:numPr>
        <w:ilvl w:val="7"/>
        <w:numId w:val="19"/>
      </w:numPr>
      <w:spacing w:before="100" w:beforeAutospacing="1" w:after="120"/>
      <w:jc w:val="both"/>
    </w:pPr>
    <w:rPr>
      <w:i/>
    </w:rPr>
  </w:style>
  <w:style w:type="character" w:customStyle="1" w:styleId="Heading3Char">
    <w:name w:val="Heading 3 Char"/>
    <w:basedOn w:val="DefaultParagraphFont"/>
    <w:link w:val="Heading3"/>
    <w:uiPriority w:val="98"/>
    <w:semiHidden/>
    <w:rsid w:val="008C1870"/>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8C1870"/>
    <w:pPr>
      <w:keepNext/>
      <w:keepLines/>
      <w:spacing w:before="240" w:after="240"/>
      <w:ind w:firstLine="284"/>
    </w:pPr>
  </w:style>
  <w:style w:type="paragraph" w:customStyle="1" w:styleId="JuJudges">
    <w:name w:val="Ju_Judges"/>
    <w:aliases w:val="_Judges"/>
    <w:basedOn w:val="Normal"/>
    <w:uiPriority w:val="32"/>
    <w:qFormat/>
    <w:rsid w:val="008C1870"/>
    <w:pPr>
      <w:tabs>
        <w:tab w:val="left" w:pos="567"/>
        <w:tab w:val="left" w:pos="1134"/>
      </w:tabs>
    </w:pPr>
  </w:style>
  <w:style w:type="character" w:customStyle="1" w:styleId="Heading4Char">
    <w:name w:val="Heading 4 Char"/>
    <w:basedOn w:val="DefaultParagraphFont"/>
    <w:link w:val="Heading4"/>
    <w:uiPriority w:val="98"/>
    <w:semiHidden/>
    <w:rsid w:val="008C1870"/>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8C1870"/>
    <w:pPr>
      <w:tabs>
        <w:tab w:val="center" w:pos="6407"/>
      </w:tabs>
      <w:spacing w:before="720"/>
      <w:jc w:val="right"/>
    </w:pPr>
  </w:style>
  <w:style w:type="character" w:customStyle="1" w:styleId="Heading5Char">
    <w:name w:val="Heading 5 Char"/>
    <w:basedOn w:val="DefaultParagraphFont"/>
    <w:link w:val="Heading5"/>
    <w:uiPriority w:val="98"/>
    <w:semiHidden/>
    <w:rsid w:val="008C1870"/>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8C1870"/>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8C1870"/>
    <w:rPr>
      <w:caps w:val="0"/>
      <w:smallCaps/>
    </w:rPr>
  </w:style>
  <w:style w:type="character" w:styleId="SubtleEmphasis">
    <w:name w:val="Subtle Emphasis"/>
    <w:uiPriority w:val="98"/>
    <w:semiHidden/>
    <w:qFormat/>
    <w:rsid w:val="008C1870"/>
    <w:rPr>
      <w:i/>
      <w:iCs/>
    </w:rPr>
  </w:style>
  <w:style w:type="table" w:customStyle="1" w:styleId="ECHRTable">
    <w:name w:val="ECHR_Table"/>
    <w:basedOn w:val="TableNormal"/>
    <w:rsid w:val="008C1870"/>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C1870"/>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8C1870"/>
    <w:rPr>
      <w:b/>
      <w:bCs/>
      <w:i/>
      <w:iCs/>
      <w:spacing w:val="10"/>
      <w:bdr w:val="none" w:sz="0" w:space="0" w:color="auto"/>
      <w:shd w:val="clear" w:color="auto" w:fill="auto"/>
    </w:rPr>
  </w:style>
  <w:style w:type="paragraph" w:styleId="Footer0">
    <w:name w:val="footer"/>
    <w:basedOn w:val="Normal"/>
    <w:link w:val="FooterChar"/>
    <w:uiPriority w:val="98"/>
    <w:semiHidden/>
    <w:rsid w:val="008C1870"/>
    <w:pPr>
      <w:tabs>
        <w:tab w:val="center" w:pos="3686"/>
        <w:tab w:val="right" w:pos="7371"/>
      </w:tabs>
    </w:pPr>
  </w:style>
  <w:style w:type="character" w:customStyle="1" w:styleId="FooterChar">
    <w:name w:val="Footer Char"/>
    <w:basedOn w:val="DefaultParagraphFont"/>
    <w:link w:val="Footer0"/>
    <w:uiPriority w:val="98"/>
    <w:semiHidden/>
    <w:rsid w:val="008C1870"/>
    <w:rPr>
      <w:sz w:val="24"/>
      <w:szCs w:val="24"/>
      <w:lang w:val="ro-RO"/>
    </w:rPr>
  </w:style>
  <w:style w:type="character" w:styleId="FootnoteReference">
    <w:name w:val="footnote reference"/>
    <w:basedOn w:val="DefaultParagraphFont"/>
    <w:uiPriority w:val="98"/>
    <w:semiHidden/>
    <w:rsid w:val="008C1870"/>
    <w:rPr>
      <w:vertAlign w:val="superscript"/>
    </w:rPr>
  </w:style>
  <w:style w:type="paragraph" w:styleId="FootnoteText">
    <w:name w:val="footnote text"/>
    <w:basedOn w:val="NormalJustified"/>
    <w:link w:val="FootnoteTextChar"/>
    <w:uiPriority w:val="98"/>
    <w:semiHidden/>
    <w:rsid w:val="008C1870"/>
    <w:rPr>
      <w:sz w:val="20"/>
      <w:szCs w:val="20"/>
    </w:rPr>
  </w:style>
  <w:style w:type="character" w:customStyle="1" w:styleId="FootnoteTextChar">
    <w:name w:val="Footnote Text Char"/>
    <w:basedOn w:val="DefaultParagraphFont"/>
    <w:link w:val="FootnoteText"/>
    <w:uiPriority w:val="98"/>
    <w:semiHidden/>
    <w:rsid w:val="008C1870"/>
    <w:rPr>
      <w:sz w:val="20"/>
      <w:szCs w:val="20"/>
      <w:lang w:val="ro-RO"/>
    </w:rPr>
  </w:style>
  <w:style w:type="character" w:customStyle="1" w:styleId="Heading6Char">
    <w:name w:val="Heading 6 Char"/>
    <w:basedOn w:val="DefaultParagraphFont"/>
    <w:link w:val="Heading6"/>
    <w:uiPriority w:val="98"/>
    <w:semiHidden/>
    <w:rsid w:val="008C1870"/>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C1870"/>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C1870"/>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C1870"/>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8C1870"/>
    <w:rPr>
      <w:color w:val="0072BC" w:themeColor="hyperlink"/>
      <w:u w:val="single"/>
    </w:rPr>
  </w:style>
  <w:style w:type="character" w:styleId="IntenseEmphasis">
    <w:name w:val="Intense Emphasis"/>
    <w:uiPriority w:val="98"/>
    <w:semiHidden/>
    <w:qFormat/>
    <w:rsid w:val="008C1870"/>
    <w:rPr>
      <w:b/>
      <w:bCs/>
    </w:rPr>
  </w:style>
  <w:style w:type="paragraph" w:styleId="IntenseQuote">
    <w:name w:val="Intense Quote"/>
    <w:basedOn w:val="Normal"/>
    <w:next w:val="Normal"/>
    <w:link w:val="IntenseQuoteChar"/>
    <w:uiPriority w:val="98"/>
    <w:semiHidden/>
    <w:qFormat/>
    <w:rsid w:val="008C1870"/>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C1870"/>
    <w:rPr>
      <w:b/>
      <w:bCs/>
      <w:i/>
      <w:iCs/>
      <w:sz w:val="24"/>
      <w:szCs w:val="24"/>
      <w:lang w:val="ro-RO" w:bidi="en-US"/>
    </w:rPr>
  </w:style>
  <w:style w:type="character" w:styleId="IntenseReference">
    <w:name w:val="Intense Reference"/>
    <w:uiPriority w:val="98"/>
    <w:semiHidden/>
    <w:qFormat/>
    <w:rsid w:val="008C1870"/>
    <w:rPr>
      <w:smallCaps/>
      <w:spacing w:val="5"/>
      <w:u w:val="single"/>
    </w:rPr>
  </w:style>
  <w:style w:type="paragraph" w:styleId="ListParagraph">
    <w:name w:val="List Paragraph"/>
    <w:basedOn w:val="Normal"/>
    <w:uiPriority w:val="98"/>
    <w:semiHidden/>
    <w:qFormat/>
    <w:rsid w:val="008C1870"/>
    <w:pPr>
      <w:ind w:left="720"/>
      <w:contextualSpacing/>
    </w:pPr>
  </w:style>
  <w:style w:type="table" w:customStyle="1" w:styleId="LtrTableAddress">
    <w:name w:val="Ltr_Table_Address"/>
    <w:aliases w:val="ECHR_Ltr_Table_Address"/>
    <w:basedOn w:val="TableNormal"/>
    <w:uiPriority w:val="99"/>
    <w:rsid w:val="008C1870"/>
    <w:rPr>
      <w:sz w:val="24"/>
      <w:szCs w:val="24"/>
    </w:rPr>
    <w:tblPr>
      <w:tblInd w:w="5103" w:type="dxa"/>
    </w:tblPr>
  </w:style>
  <w:style w:type="paragraph" w:styleId="Quote">
    <w:name w:val="Quote"/>
    <w:basedOn w:val="Normal"/>
    <w:next w:val="Normal"/>
    <w:link w:val="QuoteChar"/>
    <w:uiPriority w:val="98"/>
    <w:semiHidden/>
    <w:qFormat/>
    <w:rsid w:val="008C1870"/>
    <w:pPr>
      <w:spacing w:before="200"/>
      <w:ind w:left="360" w:right="360"/>
    </w:pPr>
    <w:rPr>
      <w:i/>
      <w:iCs/>
      <w:lang w:bidi="en-US"/>
    </w:rPr>
  </w:style>
  <w:style w:type="character" w:customStyle="1" w:styleId="QuoteChar">
    <w:name w:val="Quote Char"/>
    <w:basedOn w:val="DefaultParagraphFont"/>
    <w:link w:val="Quote"/>
    <w:uiPriority w:val="98"/>
    <w:semiHidden/>
    <w:rsid w:val="008C1870"/>
    <w:rPr>
      <w:i/>
      <w:iCs/>
      <w:sz w:val="24"/>
      <w:szCs w:val="24"/>
      <w:lang w:val="ro-RO" w:bidi="en-US"/>
    </w:rPr>
  </w:style>
  <w:style w:type="character" w:styleId="SubtleReference">
    <w:name w:val="Subtle Reference"/>
    <w:uiPriority w:val="98"/>
    <w:semiHidden/>
    <w:qFormat/>
    <w:rsid w:val="008C1870"/>
    <w:rPr>
      <w:smallCaps/>
    </w:rPr>
  </w:style>
  <w:style w:type="table" w:styleId="TableGrid">
    <w:name w:val="Table Grid"/>
    <w:basedOn w:val="TableNormal"/>
    <w:uiPriority w:val="59"/>
    <w:semiHidden/>
    <w:rsid w:val="008C1870"/>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C1870"/>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C1870"/>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C1870"/>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C1870"/>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C1870"/>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C1870"/>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8C1870"/>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C1870"/>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C1870"/>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C1870"/>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8C1870"/>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C1870"/>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C1870"/>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8C1870"/>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C1870"/>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8C1870"/>
    <w:pPr>
      <w:numPr>
        <w:numId w:val="2"/>
      </w:numPr>
    </w:pPr>
  </w:style>
  <w:style w:type="paragraph" w:customStyle="1" w:styleId="JuPara">
    <w:name w:val="Ju_Para"/>
    <w:aliases w:val="_Para"/>
    <w:basedOn w:val="NormalJustified"/>
    <w:link w:val="JuParaChar"/>
    <w:uiPriority w:val="4"/>
    <w:qFormat/>
    <w:rsid w:val="008C1870"/>
    <w:pPr>
      <w:ind w:firstLine="284"/>
    </w:pPr>
  </w:style>
  <w:style w:type="numbering" w:styleId="1ai">
    <w:name w:val="Outline List 1"/>
    <w:basedOn w:val="NoList"/>
    <w:uiPriority w:val="99"/>
    <w:semiHidden/>
    <w:unhideWhenUsed/>
    <w:rsid w:val="008C1870"/>
    <w:pPr>
      <w:numPr>
        <w:numId w:val="3"/>
      </w:numPr>
    </w:pPr>
  </w:style>
  <w:style w:type="table" w:customStyle="1" w:styleId="ECHRTableSimpleBox">
    <w:name w:val="ECHR_Table_Simple_Box"/>
    <w:basedOn w:val="TableNormal"/>
    <w:uiPriority w:val="99"/>
    <w:rsid w:val="008C1870"/>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8C1870"/>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8C1870"/>
    <w:pPr>
      <w:numPr>
        <w:numId w:val="4"/>
      </w:numPr>
    </w:pPr>
  </w:style>
  <w:style w:type="table" w:customStyle="1" w:styleId="ECHRTableForInternalUse">
    <w:name w:val="ECHR_Table_For_Internal_Use"/>
    <w:basedOn w:val="TableNormal"/>
    <w:uiPriority w:val="99"/>
    <w:rsid w:val="008C1870"/>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8C1870"/>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8C1870"/>
  </w:style>
  <w:style w:type="paragraph" w:styleId="BlockText">
    <w:name w:val="Block Text"/>
    <w:basedOn w:val="Normal"/>
    <w:uiPriority w:val="98"/>
    <w:semiHidden/>
    <w:rsid w:val="008C187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8C1870"/>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8C1870"/>
    <w:pPr>
      <w:spacing w:after="120"/>
    </w:pPr>
  </w:style>
  <w:style w:type="character" w:customStyle="1" w:styleId="BodyTextChar">
    <w:name w:val="Body Text Char"/>
    <w:basedOn w:val="DefaultParagraphFont"/>
    <w:link w:val="BodyText"/>
    <w:uiPriority w:val="98"/>
    <w:semiHidden/>
    <w:rsid w:val="008C1870"/>
    <w:rPr>
      <w:sz w:val="24"/>
      <w:szCs w:val="24"/>
      <w:lang w:val="ro-RO"/>
    </w:rPr>
  </w:style>
  <w:style w:type="table" w:customStyle="1" w:styleId="ECHRTableOddBanded">
    <w:name w:val="ECHR_Table_Odd_Banded"/>
    <w:basedOn w:val="TableNormal"/>
    <w:uiPriority w:val="99"/>
    <w:rsid w:val="008C1870"/>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8C1870"/>
    <w:pPr>
      <w:spacing w:after="120" w:line="480" w:lineRule="auto"/>
    </w:pPr>
  </w:style>
  <w:style w:type="table" w:customStyle="1" w:styleId="ECHRHeaderTableReduced">
    <w:name w:val="ECHR_Header_Table_Reduced"/>
    <w:basedOn w:val="TableNormal"/>
    <w:uiPriority w:val="99"/>
    <w:rsid w:val="008C1870"/>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8C1870"/>
    <w:pPr>
      <w:ind w:firstLine="284"/>
    </w:pPr>
    <w:rPr>
      <w:b/>
    </w:rPr>
  </w:style>
  <w:style w:type="character" w:styleId="PageNumber">
    <w:name w:val="page number"/>
    <w:uiPriority w:val="98"/>
    <w:semiHidden/>
    <w:rsid w:val="008C1870"/>
    <w:rPr>
      <w:sz w:val="18"/>
    </w:rPr>
  </w:style>
  <w:style w:type="paragraph" w:styleId="ListBullet">
    <w:name w:val="List Bullet"/>
    <w:basedOn w:val="Normal"/>
    <w:uiPriority w:val="98"/>
    <w:semiHidden/>
    <w:rsid w:val="008C1870"/>
    <w:pPr>
      <w:numPr>
        <w:numId w:val="7"/>
      </w:numPr>
    </w:pPr>
  </w:style>
  <w:style w:type="paragraph" w:styleId="ListBullet3">
    <w:name w:val="List Bullet 3"/>
    <w:basedOn w:val="Normal"/>
    <w:uiPriority w:val="98"/>
    <w:semiHidden/>
    <w:rsid w:val="008C1870"/>
    <w:pPr>
      <w:numPr>
        <w:numId w:val="9"/>
      </w:numPr>
      <w:contextualSpacing/>
    </w:pPr>
  </w:style>
  <w:style w:type="character" w:customStyle="1" w:styleId="BodyText2Char">
    <w:name w:val="Body Text 2 Char"/>
    <w:basedOn w:val="DefaultParagraphFont"/>
    <w:link w:val="BodyText2"/>
    <w:uiPriority w:val="98"/>
    <w:semiHidden/>
    <w:rsid w:val="008C1870"/>
    <w:rPr>
      <w:sz w:val="24"/>
      <w:szCs w:val="24"/>
      <w:lang w:val="ro-RO"/>
    </w:rPr>
  </w:style>
  <w:style w:type="paragraph" w:styleId="BodyText3">
    <w:name w:val="Body Text 3"/>
    <w:basedOn w:val="Normal"/>
    <w:link w:val="BodyText3Char"/>
    <w:uiPriority w:val="98"/>
    <w:semiHidden/>
    <w:rsid w:val="008C1870"/>
    <w:pPr>
      <w:spacing w:after="120"/>
    </w:pPr>
    <w:rPr>
      <w:sz w:val="16"/>
      <w:szCs w:val="16"/>
    </w:rPr>
  </w:style>
  <w:style w:type="character" w:customStyle="1" w:styleId="BodyText3Char">
    <w:name w:val="Body Text 3 Char"/>
    <w:basedOn w:val="DefaultParagraphFont"/>
    <w:link w:val="BodyText3"/>
    <w:uiPriority w:val="98"/>
    <w:semiHidden/>
    <w:rsid w:val="008C1870"/>
    <w:rPr>
      <w:sz w:val="16"/>
      <w:szCs w:val="16"/>
      <w:lang w:val="ro-RO"/>
    </w:rPr>
  </w:style>
  <w:style w:type="paragraph" w:styleId="BodyTextFirstIndent">
    <w:name w:val="Body Text First Indent"/>
    <w:basedOn w:val="BodyText"/>
    <w:link w:val="BodyTextFirstIndentChar"/>
    <w:uiPriority w:val="98"/>
    <w:semiHidden/>
    <w:rsid w:val="008C1870"/>
    <w:pPr>
      <w:spacing w:after="0"/>
      <w:ind w:firstLine="360"/>
    </w:pPr>
  </w:style>
  <w:style w:type="character" w:customStyle="1" w:styleId="BodyTextFirstIndentChar">
    <w:name w:val="Body Text First Indent Char"/>
    <w:basedOn w:val="BodyTextChar"/>
    <w:link w:val="BodyTextFirstIndent"/>
    <w:uiPriority w:val="98"/>
    <w:semiHidden/>
    <w:rsid w:val="008C1870"/>
    <w:rPr>
      <w:sz w:val="24"/>
      <w:szCs w:val="24"/>
      <w:lang w:val="ro-RO"/>
    </w:rPr>
  </w:style>
  <w:style w:type="paragraph" w:styleId="BodyTextIndent">
    <w:name w:val="Body Text Indent"/>
    <w:basedOn w:val="Normal"/>
    <w:link w:val="BodyTextIndentChar"/>
    <w:uiPriority w:val="98"/>
    <w:semiHidden/>
    <w:rsid w:val="008C1870"/>
    <w:pPr>
      <w:spacing w:after="120"/>
      <w:ind w:left="283"/>
    </w:pPr>
  </w:style>
  <w:style w:type="character" w:customStyle="1" w:styleId="BodyTextIndentChar">
    <w:name w:val="Body Text Indent Char"/>
    <w:basedOn w:val="DefaultParagraphFont"/>
    <w:link w:val="BodyTextIndent"/>
    <w:uiPriority w:val="98"/>
    <w:semiHidden/>
    <w:rsid w:val="008C1870"/>
    <w:rPr>
      <w:sz w:val="24"/>
      <w:szCs w:val="24"/>
      <w:lang w:val="ro-RO"/>
    </w:rPr>
  </w:style>
  <w:style w:type="paragraph" w:styleId="BodyTextFirstIndent2">
    <w:name w:val="Body Text First Indent 2"/>
    <w:basedOn w:val="BodyTextIndent"/>
    <w:link w:val="BodyTextFirstIndent2Char"/>
    <w:uiPriority w:val="98"/>
    <w:semiHidden/>
    <w:rsid w:val="008C1870"/>
    <w:pPr>
      <w:spacing w:after="0"/>
      <w:ind w:left="360" w:firstLine="360"/>
    </w:pPr>
  </w:style>
  <w:style w:type="character" w:customStyle="1" w:styleId="BodyTextFirstIndent2Char">
    <w:name w:val="Body Text First Indent 2 Char"/>
    <w:basedOn w:val="BodyTextIndentChar"/>
    <w:link w:val="BodyTextFirstIndent2"/>
    <w:uiPriority w:val="98"/>
    <w:semiHidden/>
    <w:rsid w:val="008C1870"/>
    <w:rPr>
      <w:sz w:val="24"/>
      <w:szCs w:val="24"/>
      <w:lang w:val="ro-RO"/>
    </w:rPr>
  </w:style>
  <w:style w:type="paragraph" w:styleId="BodyTextIndent2">
    <w:name w:val="Body Text Indent 2"/>
    <w:basedOn w:val="Normal"/>
    <w:link w:val="BodyTextIndent2Char"/>
    <w:uiPriority w:val="98"/>
    <w:semiHidden/>
    <w:rsid w:val="008C1870"/>
    <w:pPr>
      <w:spacing w:after="120" w:line="480" w:lineRule="auto"/>
      <w:ind w:left="283"/>
    </w:pPr>
  </w:style>
  <w:style w:type="character" w:customStyle="1" w:styleId="BodyTextIndent2Char">
    <w:name w:val="Body Text Indent 2 Char"/>
    <w:basedOn w:val="DefaultParagraphFont"/>
    <w:link w:val="BodyTextIndent2"/>
    <w:uiPriority w:val="98"/>
    <w:semiHidden/>
    <w:rsid w:val="008C1870"/>
    <w:rPr>
      <w:sz w:val="24"/>
      <w:szCs w:val="24"/>
      <w:lang w:val="ro-RO"/>
    </w:rPr>
  </w:style>
  <w:style w:type="paragraph" w:styleId="BodyTextIndent3">
    <w:name w:val="Body Text Indent 3"/>
    <w:basedOn w:val="Normal"/>
    <w:link w:val="BodyTextIndent3Char"/>
    <w:uiPriority w:val="98"/>
    <w:semiHidden/>
    <w:rsid w:val="008C1870"/>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C1870"/>
    <w:rPr>
      <w:sz w:val="16"/>
      <w:szCs w:val="16"/>
      <w:lang w:val="ro-RO"/>
    </w:rPr>
  </w:style>
  <w:style w:type="paragraph" w:styleId="Caption">
    <w:name w:val="caption"/>
    <w:basedOn w:val="Normal"/>
    <w:next w:val="Normal"/>
    <w:uiPriority w:val="98"/>
    <w:semiHidden/>
    <w:qFormat/>
    <w:rsid w:val="008C1870"/>
    <w:pPr>
      <w:spacing w:after="200"/>
    </w:pPr>
    <w:rPr>
      <w:b/>
      <w:bCs/>
      <w:color w:val="0072BC" w:themeColor="accent1"/>
      <w:sz w:val="18"/>
      <w:szCs w:val="18"/>
    </w:rPr>
  </w:style>
  <w:style w:type="paragraph" w:styleId="Closing">
    <w:name w:val="Closing"/>
    <w:basedOn w:val="Normal"/>
    <w:link w:val="ClosingChar"/>
    <w:uiPriority w:val="98"/>
    <w:semiHidden/>
    <w:rsid w:val="008C1870"/>
    <w:pPr>
      <w:ind w:left="4252"/>
    </w:pPr>
  </w:style>
  <w:style w:type="character" w:customStyle="1" w:styleId="ClosingChar">
    <w:name w:val="Closing Char"/>
    <w:basedOn w:val="DefaultParagraphFont"/>
    <w:link w:val="Closing"/>
    <w:uiPriority w:val="98"/>
    <w:semiHidden/>
    <w:rsid w:val="008C1870"/>
    <w:rPr>
      <w:sz w:val="24"/>
      <w:szCs w:val="24"/>
      <w:lang w:val="ro-RO"/>
    </w:rPr>
  </w:style>
  <w:style w:type="table" w:styleId="ColorfulGrid">
    <w:name w:val="Colorful Grid"/>
    <w:basedOn w:val="TableNormal"/>
    <w:uiPriority w:val="73"/>
    <w:semiHidden/>
    <w:rsid w:val="008C1870"/>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C1870"/>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C1870"/>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C1870"/>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8C1870"/>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C1870"/>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C1870"/>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C1870"/>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C1870"/>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C1870"/>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C1870"/>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8C1870"/>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C1870"/>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C1870"/>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C1870"/>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C1870"/>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C1870"/>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C1870"/>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8C1870"/>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C1870"/>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C1870"/>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8C1870"/>
    <w:rPr>
      <w:sz w:val="16"/>
      <w:szCs w:val="16"/>
    </w:rPr>
  </w:style>
  <w:style w:type="paragraph" w:styleId="CommentText">
    <w:name w:val="annotation text"/>
    <w:basedOn w:val="Normal"/>
    <w:link w:val="CommentTextChar"/>
    <w:uiPriority w:val="98"/>
    <w:semiHidden/>
    <w:rsid w:val="008C1870"/>
    <w:rPr>
      <w:sz w:val="20"/>
      <w:szCs w:val="20"/>
    </w:rPr>
  </w:style>
  <w:style w:type="character" w:customStyle="1" w:styleId="CommentTextChar">
    <w:name w:val="Comment Text Char"/>
    <w:basedOn w:val="DefaultParagraphFont"/>
    <w:link w:val="CommentText"/>
    <w:uiPriority w:val="98"/>
    <w:semiHidden/>
    <w:rsid w:val="008C1870"/>
    <w:rPr>
      <w:sz w:val="20"/>
      <w:szCs w:val="20"/>
      <w:lang w:val="ro-RO"/>
    </w:rPr>
  </w:style>
  <w:style w:type="paragraph" w:styleId="CommentSubject">
    <w:name w:val="annotation subject"/>
    <w:basedOn w:val="CommentText"/>
    <w:next w:val="CommentText"/>
    <w:link w:val="CommentSubjectChar"/>
    <w:uiPriority w:val="98"/>
    <w:semiHidden/>
    <w:rsid w:val="008C1870"/>
    <w:rPr>
      <w:b/>
      <w:bCs/>
    </w:rPr>
  </w:style>
  <w:style w:type="character" w:customStyle="1" w:styleId="CommentSubjectChar">
    <w:name w:val="Comment Subject Char"/>
    <w:basedOn w:val="CommentTextChar"/>
    <w:link w:val="CommentSubject"/>
    <w:uiPriority w:val="98"/>
    <w:semiHidden/>
    <w:rsid w:val="008C1870"/>
    <w:rPr>
      <w:b/>
      <w:bCs/>
      <w:sz w:val="20"/>
      <w:szCs w:val="20"/>
      <w:lang w:val="ro-RO"/>
    </w:rPr>
  </w:style>
  <w:style w:type="table" w:styleId="DarkList">
    <w:name w:val="Dark List"/>
    <w:basedOn w:val="TableNormal"/>
    <w:uiPriority w:val="70"/>
    <w:semiHidden/>
    <w:rsid w:val="008C1870"/>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C1870"/>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C1870"/>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C1870"/>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8C1870"/>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C1870"/>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C1870"/>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C1870"/>
  </w:style>
  <w:style w:type="character" w:customStyle="1" w:styleId="DateChar">
    <w:name w:val="Date Char"/>
    <w:basedOn w:val="DefaultParagraphFont"/>
    <w:link w:val="Date"/>
    <w:uiPriority w:val="98"/>
    <w:semiHidden/>
    <w:rsid w:val="008C1870"/>
    <w:rPr>
      <w:sz w:val="24"/>
      <w:szCs w:val="24"/>
      <w:lang w:val="ro-RO"/>
    </w:rPr>
  </w:style>
  <w:style w:type="paragraph" w:styleId="DocumentMap">
    <w:name w:val="Document Map"/>
    <w:basedOn w:val="Normal"/>
    <w:link w:val="DocumentMapChar"/>
    <w:uiPriority w:val="98"/>
    <w:semiHidden/>
    <w:rsid w:val="008C1870"/>
    <w:rPr>
      <w:rFonts w:ascii="Tahoma" w:hAnsi="Tahoma" w:cs="Tahoma"/>
      <w:sz w:val="16"/>
      <w:szCs w:val="16"/>
    </w:rPr>
  </w:style>
  <w:style w:type="character" w:customStyle="1" w:styleId="DocumentMapChar">
    <w:name w:val="Document Map Char"/>
    <w:basedOn w:val="DefaultParagraphFont"/>
    <w:link w:val="DocumentMap"/>
    <w:uiPriority w:val="98"/>
    <w:semiHidden/>
    <w:rsid w:val="008C1870"/>
    <w:rPr>
      <w:rFonts w:ascii="Tahoma" w:hAnsi="Tahoma" w:cs="Tahoma"/>
      <w:sz w:val="16"/>
      <w:szCs w:val="16"/>
      <w:lang w:val="ro-RO"/>
    </w:rPr>
  </w:style>
  <w:style w:type="paragraph" w:styleId="E-mailSignature">
    <w:name w:val="E-mail Signature"/>
    <w:basedOn w:val="Normal"/>
    <w:link w:val="E-mailSignatureChar"/>
    <w:uiPriority w:val="98"/>
    <w:semiHidden/>
    <w:rsid w:val="008C1870"/>
  </w:style>
  <w:style w:type="character" w:customStyle="1" w:styleId="E-mailSignatureChar">
    <w:name w:val="E-mail Signature Char"/>
    <w:basedOn w:val="DefaultParagraphFont"/>
    <w:link w:val="E-mailSignature"/>
    <w:uiPriority w:val="98"/>
    <w:semiHidden/>
    <w:rsid w:val="008C1870"/>
    <w:rPr>
      <w:sz w:val="24"/>
      <w:szCs w:val="24"/>
      <w:lang w:val="ro-RO"/>
    </w:rPr>
  </w:style>
  <w:style w:type="character" w:styleId="EndnoteReference">
    <w:name w:val="endnote reference"/>
    <w:basedOn w:val="DefaultParagraphFont"/>
    <w:uiPriority w:val="98"/>
    <w:semiHidden/>
    <w:rsid w:val="008C1870"/>
    <w:rPr>
      <w:vertAlign w:val="superscript"/>
    </w:rPr>
  </w:style>
  <w:style w:type="paragraph" w:styleId="EndnoteText">
    <w:name w:val="endnote text"/>
    <w:basedOn w:val="Normal"/>
    <w:link w:val="EndnoteTextChar"/>
    <w:uiPriority w:val="98"/>
    <w:semiHidden/>
    <w:rsid w:val="008C1870"/>
    <w:rPr>
      <w:sz w:val="20"/>
      <w:szCs w:val="20"/>
    </w:rPr>
  </w:style>
  <w:style w:type="character" w:customStyle="1" w:styleId="EndnoteTextChar">
    <w:name w:val="Endnote Text Char"/>
    <w:basedOn w:val="DefaultParagraphFont"/>
    <w:link w:val="EndnoteText"/>
    <w:uiPriority w:val="98"/>
    <w:semiHidden/>
    <w:rsid w:val="008C1870"/>
    <w:rPr>
      <w:sz w:val="20"/>
      <w:szCs w:val="20"/>
      <w:lang w:val="ro-RO"/>
    </w:rPr>
  </w:style>
  <w:style w:type="paragraph" w:styleId="EnvelopeAddress">
    <w:name w:val="envelope address"/>
    <w:basedOn w:val="Normal"/>
    <w:uiPriority w:val="98"/>
    <w:semiHidden/>
    <w:rsid w:val="008C1870"/>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C1870"/>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C1870"/>
    <w:rPr>
      <w:color w:val="7030A0" w:themeColor="followedHyperlink"/>
      <w:u w:val="single"/>
    </w:rPr>
  </w:style>
  <w:style w:type="character" w:styleId="HTMLAcronym">
    <w:name w:val="HTML Acronym"/>
    <w:basedOn w:val="DefaultParagraphFont"/>
    <w:uiPriority w:val="98"/>
    <w:semiHidden/>
    <w:rsid w:val="008C1870"/>
  </w:style>
  <w:style w:type="paragraph" w:styleId="HTMLAddress">
    <w:name w:val="HTML Address"/>
    <w:basedOn w:val="Normal"/>
    <w:link w:val="HTMLAddressChar"/>
    <w:uiPriority w:val="98"/>
    <w:semiHidden/>
    <w:rsid w:val="008C1870"/>
    <w:rPr>
      <w:i/>
      <w:iCs/>
    </w:rPr>
  </w:style>
  <w:style w:type="character" w:customStyle="1" w:styleId="HTMLAddressChar">
    <w:name w:val="HTML Address Char"/>
    <w:basedOn w:val="DefaultParagraphFont"/>
    <w:link w:val="HTMLAddress"/>
    <w:uiPriority w:val="98"/>
    <w:semiHidden/>
    <w:rsid w:val="008C1870"/>
    <w:rPr>
      <w:i/>
      <w:iCs/>
      <w:sz w:val="24"/>
      <w:szCs w:val="24"/>
      <w:lang w:val="ro-RO"/>
    </w:rPr>
  </w:style>
  <w:style w:type="character" w:styleId="HTMLCite">
    <w:name w:val="HTML Cite"/>
    <w:basedOn w:val="DefaultParagraphFont"/>
    <w:uiPriority w:val="98"/>
    <w:semiHidden/>
    <w:rsid w:val="008C1870"/>
    <w:rPr>
      <w:i/>
      <w:iCs/>
    </w:rPr>
  </w:style>
  <w:style w:type="character" w:styleId="HTMLCode">
    <w:name w:val="HTML Code"/>
    <w:basedOn w:val="DefaultParagraphFont"/>
    <w:uiPriority w:val="98"/>
    <w:semiHidden/>
    <w:rsid w:val="008C1870"/>
    <w:rPr>
      <w:rFonts w:ascii="Consolas" w:hAnsi="Consolas" w:cs="Consolas"/>
      <w:sz w:val="20"/>
      <w:szCs w:val="20"/>
    </w:rPr>
  </w:style>
  <w:style w:type="character" w:styleId="HTMLDefinition">
    <w:name w:val="HTML Definition"/>
    <w:basedOn w:val="DefaultParagraphFont"/>
    <w:uiPriority w:val="98"/>
    <w:semiHidden/>
    <w:rsid w:val="008C1870"/>
    <w:rPr>
      <w:i/>
      <w:iCs/>
    </w:rPr>
  </w:style>
  <w:style w:type="character" w:styleId="HTMLKeyboard">
    <w:name w:val="HTML Keyboard"/>
    <w:basedOn w:val="DefaultParagraphFont"/>
    <w:uiPriority w:val="98"/>
    <w:semiHidden/>
    <w:rsid w:val="008C1870"/>
    <w:rPr>
      <w:rFonts w:ascii="Consolas" w:hAnsi="Consolas" w:cs="Consolas"/>
      <w:sz w:val="20"/>
      <w:szCs w:val="20"/>
    </w:rPr>
  </w:style>
  <w:style w:type="paragraph" w:styleId="HTMLPreformatted">
    <w:name w:val="HTML Preformatted"/>
    <w:basedOn w:val="Normal"/>
    <w:link w:val="HTMLPreformattedChar"/>
    <w:uiPriority w:val="98"/>
    <w:semiHidden/>
    <w:rsid w:val="008C1870"/>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C1870"/>
    <w:rPr>
      <w:rFonts w:ascii="Consolas" w:hAnsi="Consolas" w:cs="Consolas"/>
      <w:sz w:val="20"/>
      <w:szCs w:val="20"/>
      <w:lang w:val="ro-RO"/>
    </w:rPr>
  </w:style>
  <w:style w:type="character" w:styleId="HTMLSample">
    <w:name w:val="HTML Sample"/>
    <w:basedOn w:val="DefaultParagraphFont"/>
    <w:uiPriority w:val="98"/>
    <w:semiHidden/>
    <w:rsid w:val="008C1870"/>
    <w:rPr>
      <w:rFonts w:ascii="Consolas" w:hAnsi="Consolas" w:cs="Consolas"/>
      <w:sz w:val="24"/>
      <w:szCs w:val="24"/>
    </w:rPr>
  </w:style>
  <w:style w:type="character" w:styleId="HTMLTypewriter">
    <w:name w:val="HTML Typewriter"/>
    <w:basedOn w:val="DefaultParagraphFont"/>
    <w:uiPriority w:val="98"/>
    <w:semiHidden/>
    <w:rsid w:val="008C1870"/>
    <w:rPr>
      <w:rFonts w:ascii="Consolas" w:hAnsi="Consolas" w:cs="Consolas"/>
      <w:sz w:val="20"/>
      <w:szCs w:val="20"/>
    </w:rPr>
  </w:style>
  <w:style w:type="character" w:styleId="HTMLVariable">
    <w:name w:val="HTML Variable"/>
    <w:basedOn w:val="DefaultParagraphFont"/>
    <w:uiPriority w:val="98"/>
    <w:semiHidden/>
    <w:rsid w:val="008C1870"/>
    <w:rPr>
      <w:i/>
      <w:iCs/>
    </w:rPr>
  </w:style>
  <w:style w:type="paragraph" w:styleId="Index1">
    <w:name w:val="index 1"/>
    <w:basedOn w:val="Normal"/>
    <w:next w:val="Normal"/>
    <w:autoRedefine/>
    <w:uiPriority w:val="98"/>
    <w:semiHidden/>
    <w:rsid w:val="008C1870"/>
    <w:pPr>
      <w:ind w:left="240" w:hanging="240"/>
    </w:pPr>
  </w:style>
  <w:style w:type="paragraph" w:styleId="Index2">
    <w:name w:val="index 2"/>
    <w:basedOn w:val="Normal"/>
    <w:next w:val="Normal"/>
    <w:autoRedefine/>
    <w:uiPriority w:val="98"/>
    <w:semiHidden/>
    <w:rsid w:val="008C1870"/>
    <w:pPr>
      <w:ind w:left="480" w:hanging="240"/>
    </w:pPr>
  </w:style>
  <w:style w:type="paragraph" w:styleId="Index3">
    <w:name w:val="index 3"/>
    <w:basedOn w:val="Normal"/>
    <w:next w:val="Normal"/>
    <w:autoRedefine/>
    <w:uiPriority w:val="98"/>
    <w:semiHidden/>
    <w:rsid w:val="008C1870"/>
    <w:pPr>
      <w:ind w:left="720" w:hanging="240"/>
    </w:pPr>
  </w:style>
  <w:style w:type="paragraph" w:styleId="Index4">
    <w:name w:val="index 4"/>
    <w:basedOn w:val="Normal"/>
    <w:next w:val="Normal"/>
    <w:autoRedefine/>
    <w:uiPriority w:val="98"/>
    <w:semiHidden/>
    <w:rsid w:val="008C1870"/>
    <w:pPr>
      <w:ind w:left="960" w:hanging="240"/>
    </w:pPr>
  </w:style>
  <w:style w:type="paragraph" w:styleId="Index5">
    <w:name w:val="index 5"/>
    <w:basedOn w:val="Normal"/>
    <w:next w:val="Normal"/>
    <w:autoRedefine/>
    <w:uiPriority w:val="98"/>
    <w:semiHidden/>
    <w:rsid w:val="008C1870"/>
    <w:pPr>
      <w:ind w:left="1200" w:hanging="240"/>
    </w:pPr>
  </w:style>
  <w:style w:type="paragraph" w:styleId="Index6">
    <w:name w:val="index 6"/>
    <w:basedOn w:val="Normal"/>
    <w:next w:val="Normal"/>
    <w:autoRedefine/>
    <w:uiPriority w:val="98"/>
    <w:semiHidden/>
    <w:rsid w:val="008C1870"/>
    <w:pPr>
      <w:ind w:left="1440" w:hanging="240"/>
    </w:pPr>
  </w:style>
  <w:style w:type="paragraph" w:styleId="Index7">
    <w:name w:val="index 7"/>
    <w:basedOn w:val="Normal"/>
    <w:next w:val="Normal"/>
    <w:autoRedefine/>
    <w:uiPriority w:val="98"/>
    <w:semiHidden/>
    <w:rsid w:val="008C1870"/>
    <w:pPr>
      <w:ind w:left="1680" w:hanging="240"/>
    </w:pPr>
  </w:style>
  <w:style w:type="paragraph" w:styleId="Index8">
    <w:name w:val="index 8"/>
    <w:basedOn w:val="Normal"/>
    <w:next w:val="Normal"/>
    <w:autoRedefine/>
    <w:uiPriority w:val="98"/>
    <w:semiHidden/>
    <w:rsid w:val="008C1870"/>
    <w:pPr>
      <w:ind w:left="1920" w:hanging="240"/>
    </w:pPr>
  </w:style>
  <w:style w:type="paragraph" w:styleId="Index9">
    <w:name w:val="index 9"/>
    <w:basedOn w:val="Normal"/>
    <w:next w:val="Normal"/>
    <w:autoRedefine/>
    <w:uiPriority w:val="98"/>
    <w:semiHidden/>
    <w:rsid w:val="008C1870"/>
    <w:pPr>
      <w:ind w:left="2160" w:hanging="240"/>
    </w:pPr>
  </w:style>
  <w:style w:type="paragraph" w:styleId="IndexHeading">
    <w:name w:val="index heading"/>
    <w:basedOn w:val="Normal"/>
    <w:next w:val="Index1"/>
    <w:uiPriority w:val="98"/>
    <w:semiHidden/>
    <w:rsid w:val="008C1870"/>
    <w:rPr>
      <w:rFonts w:asciiTheme="majorHAnsi" w:eastAsiaTheme="majorEastAsia" w:hAnsiTheme="majorHAnsi" w:cstheme="majorBidi"/>
      <w:b/>
      <w:bCs/>
    </w:rPr>
  </w:style>
  <w:style w:type="table" w:styleId="LightGrid">
    <w:name w:val="Light Grid"/>
    <w:basedOn w:val="TableNormal"/>
    <w:uiPriority w:val="62"/>
    <w:semiHidden/>
    <w:rsid w:val="008C187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C187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C187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C1870"/>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8C187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C187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C187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C187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C187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C187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C1870"/>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8C187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C187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C187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C1870"/>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C1870"/>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C1870"/>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C1870"/>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8C1870"/>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C1870"/>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C1870"/>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C1870"/>
  </w:style>
  <w:style w:type="paragraph" w:styleId="List">
    <w:name w:val="List"/>
    <w:basedOn w:val="Normal"/>
    <w:uiPriority w:val="98"/>
    <w:semiHidden/>
    <w:rsid w:val="008C1870"/>
    <w:pPr>
      <w:ind w:left="283" w:hanging="283"/>
      <w:contextualSpacing/>
    </w:pPr>
  </w:style>
  <w:style w:type="paragraph" w:styleId="List2">
    <w:name w:val="List 2"/>
    <w:basedOn w:val="Normal"/>
    <w:uiPriority w:val="98"/>
    <w:semiHidden/>
    <w:rsid w:val="008C1870"/>
    <w:pPr>
      <w:ind w:left="566" w:hanging="283"/>
      <w:contextualSpacing/>
    </w:pPr>
  </w:style>
  <w:style w:type="paragraph" w:styleId="List3">
    <w:name w:val="List 3"/>
    <w:basedOn w:val="Normal"/>
    <w:uiPriority w:val="98"/>
    <w:semiHidden/>
    <w:rsid w:val="008C1870"/>
    <w:pPr>
      <w:ind w:left="849" w:hanging="283"/>
      <w:contextualSpacing/>
    </w:pPr>
  </w:style>
  <w:style w:type="paragraph" w:styleId="List4">
    <w:name w:val="List 4"/>
    <w:basedOn w:val="Normal"/>
    <w:uiPriority w:val="98"/>
    <w:semiHidden/>
    <w:rsid w:val="008C1870"/>
    <w:pPr>
      <w:ind w:left="1132" w:hanging="283"/>
      <w:contextualSpacing/>
    </w:pPr>
  </w:style>
  <w:style w:type="paragraph" w:styleId="List5">
    <w:name w:val="List 5"/>
    <w:basedOn w:val="Normal"/>
    <w:uiPriority w:val="98"/>
    <w:semiHidden/>
    <w:rsid w:val="008C1870"/>
    <w:pPr>
      <w:ind w:left="1415" w:hanging="283"/>
      <w:contextualSpacing/>
    </w:pPr>
  </w:style>
  <w:style w:type="paragraph" w:styleId="ListBullet2">
    <w:name w:val="List Bullet 2"/>
    <w:basedOn w:val="Normal"/>
    <w:uiPriority w:val="98"/>
    <w:semiHidden/>
    <w:rsid w:val="008C1870"/>
    <w:pPr>
      <w:numPr>
        <w:numId w:val="8"/>
      </w:numPr>
      <w:contextualSpacing/>
    </w:pPr>
  </w:style>
  <w:style w:type="paragraph" w:styleId="ListBullet4">
    <w:name w:val="List Bullet 4"/>
    <w:basedOn w:val="Normal"/>
    <w:uiPriority w:val="98"/>
    <w:semiHidden/>
    <w:rsid w:val="008C1870"/>
    <w:pPr>
      <w:numPr>
        <w:numId w:val="10"/>
      </w:numPr>
      <w:contextualSpacing/>
    </w:pPr>
  </w:style>
  <w:style w:type="paragraph" w:styleId="ListBullet5">
    <w:name w:val="List Bullet 5"/>
    <w:basedOn w:val="Normal"/>
    <w:uiPriority w:val="98"/>
    <w:semiHidden/>
    <w:rsid w:val="008C1870"/>
    <w:pPr>
      <w:numPr>
        <w:numId w:val="11"/>
      </w:numPr>
      <w:contextualSpacing/>
    </w:pPr>
  </w:style>
  <w:style w:type="paragraph" w:styleId="ListContinue">
    <w:name w:val="List Continue"/>
    <w:basedOn w:val="Normal"/>
    <w:uiPriority w:val="98"/>
    <w:semiHidden/>
    <w:rsid w:val="008C1870"/>
    <w:pPr>
      <w:spacing w:after="120"/>
      <w:ind w:left="283"/>
      <w:contextualSpacing/>
    </w:pPr>
  </w:style>
  <w:style w:type="paragraph" w:styleId="ListContinue2">
    <w:name w:val="List Continue 2"/>
    <w:basedOn w:val="Normal"/>
    <w:uiPriority w:val="98"/>
    <w:semiHidden/>
    <w:rsid w:val="008C1870"/>
    <w:pPr>
      <w:spacing w:after="120"/>
      <w:ind w:left="566"/>
      <w:contextualSpacing/>
    </w:pPr>
  </w:style>
  <w:style w:type="paragraph" w:styleId="ListContinue3">
    <w:name w:val="List Continue 3"/>
    <w:basedOn w:val="Normal"/>
    <w:uiPriority w:val="98"/>
    <w:semiHidden/>
    <w:rsid w:val="008C1870"/>
    <w:pPr>
      <w:spacing w:after="120"/>
      <w:ind w:left="849"/>
      <w:contextualSpacing/>
    </w:pPr>
  </w:style>
  <w:style w:type="paragraph" w:styleId="ListContinue4">
    <w:name w:val="List Continue 4"/>
    <w:basedOn w:val="Normal"/>
    <w:uiPriority w:val="98"/>
    <w:semiHidden/>
    <w:rsid w:val="008C1870"/>
    <w:pPr>
      <w:spacing w:after="120"/>
      <w:ind w:left="1132"/>
      <w:contextualSpacing/>
    </w:pPr>
  </w:style>
  <w:style w:type="paragraph" w:styleId="ListContinue5">
    <w:name w:val="List Continue 5"/>
    <w:basedOn w:val="Normal"/>
    <w:uiPriority w:val="98"/>
    <w:semiHidden/>
    <w:rsid w:val="008C1870"/>
    <w:pPr>
      <w:spacing w:after="120"/>
      <w:ind w:left="1415"/>
      <w:contextualSpacing/>
    </w:pPr>
  </w:style>
  <w:style w:type="paragraph" w:styleId="ListNumber">
    <w:name w:val="List Number"/>
    <w:basedOn w:val="Normal"/>
    <w:uiPriority w:val="98"/>
    <w:semiHidden/>
    <w:rsid w:val="008C1870"/>
    <w:pPr>
      <w:numPr>
        <w:numId w:val="12"/>
      </w:numPr>
      <w:contextualSpacing/>
    </w:pPr>
  </w:style>
  <w:style w:type="paragraph" w:styleId="ListNumber2">
    <w:name w:val="List Number 2"/>
    <w:basedOn w:val="Normal"/>
    <w:uiPriority w:val="98"/>
    <w:semiHidden/>
    <w:rsid w:val="008C1870"/>
    <w:pPr>
      <w:numPr>
        <w:numId w:val="13"/>
      </w:numPr>
      <w:contextualSpacing/>
    </w:pPr>
  </w:style>
  <w:style w:type="paragraph" w:styleId="ListNumber3">
    <w:name w:val="List Number 3"/>
    <w:basedOn w:val="Normal"/>
    <w:uiPriority w:val="98"/>
    <w:semiHidden/>
    <w:rsid w:val="008C1870"/>
    <w:pPr>
      <w:numPr>
        <w:numId w:val="14"/>
      </w:numPr>
      <w:contextualSpacing/>
    </w:pPr>
  </w:style>
  <w:style w:type="paragraph" w:styleId="ListNumber4">
    <w:name w:val="List Number 4"/>
    <w:basedOn w:val="Normal"/>
    <w:uiPriority w:val="98"/>
    <w:semiHidden/>
    <w:rsid w:val="008C1870"/>
    <w:pPr>
      <w:numPr>
        <w:numId w:val="15"/>
      </w:numPr>
      <w:contextualSpacing/>
    </w:pPr>
  </w:style>
  <w:style w:type="paragraph" w:styleId="ListNumber5">
    <w:name w:val="List Number 5"/>
    <w:basedOn w:val="Normal"/>
    <w:uiPriority w:val="98"/>
    <w:semiHidden/>
    <w:rsid w:val="008C1870"/>
    <w:pPr>
      <w:numPr>
        <w:numId w:val="16"/>
      </w:numPr>
      <w:contextualSpacing/>
    </w:pPr>
  </w:style>
  <w:style w:type="paragraph" w:styleId="MacroText">
    <w:name w:val="macro"/>
    <w:link w:val="MacroTextChar"/>
    <w:uiPriority w:val="98"/>
    <w:semiHidden/>
    <w:rsid w:val="008C1870"/>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C1870"/>
    <w:rPr>
      <w:rFonts w:ascii="Consolas" w:eastAsiaTheme="minorEastAsia" w:hAnsi="Consolas" w:cs="Consolas"/>
      <w:sz w:val="20"/>
      <w:szCs w:val="20"/>
    </w:rPr>
  </w:style>
  <w:style w:type="table" w:styleId="MediumGrid1">
    <w:name w:val="Medium Grid 1"/>
    <w:basedOn w:val="TableNormal"/>
    <w:uiPriority w:val="67"/>
    <w:semiHidden/>
    <w:rsid w:val="008C187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C187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C187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C1870"/>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8C187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C187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C187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C1870"/>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8C1870"/>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C1870"/>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C1870"/>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8C1870"/>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C1870"/>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C1870"/>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8C1870"/>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C1870"/>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C1870"/>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C1870"/>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8C1870"/>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C1870"/>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C1870"/>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C187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C187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C187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C187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C1870"/>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C187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C187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C187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C187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C187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C187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C187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C187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C187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C187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C187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C1870"/>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C1870"/>
    <w:rPr>
      <w:rFonts w:ascii="Times New Roman" w:hAnsi="Times New Roman" w:cs="Times New Roman"/>
    </w:rPr>
  </w:style>
  <w:style w:type="paragraph" w:styleId="NormalIndent">
    <w:name w:val="Normal Indent"/>
    <w:basedOn w:val="Normal"/>
    <w:uiPriority w:val="98"/>
    <w:semiHidden/>
    <w:rsid w:val="008C1870"/>
    <w:pPr>
      <w:ind w:left="720"/>
    </w:pPr>
  </w:style>
  <w:style w:type="paragraph" w:styleId="NoteHeading">
    <w:name w:val="Note Heading"/>
    <w:basedOn w:val="Normal"/>
    <w:next w:val="Normal"/>
    <w:link w:val="NoteHeadingChar"/>
    <w:uiPriority w:val="98"/>
    <w:semiHidden/>
    <w:rsid w:val="008C1870"/>
  </w:style>
  <w:style w:type="character" w:customStyle="1" w:styleId="NoteHeadingChar">
    <w:name w:val="Note Heading Char"/>
    <w:basedOn w:val="DefaultParagraphFont"/>
    <w:link w:val="NoteHeading"/>
    <w:uiPriority w:val="98"/>
    <w:semiHidden/>
    <w:rsid w:val="008C1870"/>
    <w:rPr>
      <w:sz w:val="24"/>
      <w:szCs w:val="24"/>
      <w:lang w:val="ro-RO"/>
    </w:rPr>
  </w:style>
  <w:style w:type="character" w:styleId="PlaceholderText">
    <w:name w:val="Placeholder Text"/>
    <w:basedOn w:val="DefaultParagraphFont"/>
    <w:uiPriority w:val="98"/>
    <w:semiHidden/>
    <w:rsid w:val="008C1870"/>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C1870"/>
    <w:rPr>
      <w:rFonts w:ascii="Consolas" w:hAnsi="Consolas" w:cs="Consolas"/>
      <w:sz w:val="21"/>
      <w:szCs w:val="21"/>
    </w:rPr>
  </w:style>
  <w:style w:type="character" w:customStyle="1" w:styleId="PlainTextChar">
    <w:name w:val="Plain Text Char"/>
    <w:basedOn w:val="DefaultParagraphFont"/>
    <w:link w:val="PlainText"/>
    <w:uiPriority w:val="98"/>
    <w:semiHidden/>
    <w:rsid w:val="008C1870"/>
    <w:rPr>
      <w:rFonts w:ascii="Consolas" w:hAnsi="Consolas" w:cs="Consolas"/>
      <w:sz w:val="21"/>
      <w:szCs w:val="21"/>
      <w:lang w:val="ro-RO"/>
    </w:rPr>
  </w:style>
  <w:style w:type="paragraph" w:styleId="Salutation">
    <w:name w:val="Salutation"/>
    <w:basedOn w:val="Normal"/>
    <w:next w:val="Normal"/>
    <w:link w:val="SalutationChar"/>
    <w:uiPriority w:val="98"/>
    <w:semiHidden/>
    <w:rsid w:val="008C1870"/>
  </w:style>
  <w:style w:type="character" w:customStyle="1" w:styleId="SalutationChar">
    <w:name w:val="Salutation Char"/>
    <w:basedOn w:val="DefaultParagraphFont"/>
    <w:link w:val="Salutation"/>
    <w:uiPriority w:val="98"/>
    <w:semiHidden/>
    <w:rsid w:val="008C1870"/>
    <w:rPr>
      <w:sz w:val="24"/>
      <w:szCs w:val="24"/>
      <w:lang w:val="ro-RO"/>
    </w:rPr>
  </w:style>
  <w:style w:type="paragraph" w:styleId="Signature">
    <w:name w:val="Signature"/>
    <w:basedOn w:val="Normal"/>
    <w:link w:val="SignatureChar"/>
    <w:uiPriority w:val="98"/>
    <w:semiHidden/>
    <w:rsid w:val="008C1870"/>
    <w:pPr>
      <w:ind w:left="4252"/>
    </w:pPr>
  </w:style>
  <w:style w:type="character" w:customStyle="1" w:styleId="SignatureChar">
    <w:name w:val="Signature Char"/>
    <w:basedOn w:val="DefaultParagraphFont"/>
    <w:link w:val="Signature"/>
    <w:uiPriority w:val="98"/>
    <w:semiHidden/>
    <w:rsid w:val="008C1870"/>
    <w:rPr>
      <w:sz w:val="24"/>
      <w:szCs w:val="24"/>
      <w:lang w:val="ro-RO"/>
    </w:rPr>
  </w:style>
  <w:style w:type="table" w:styleId="Table3Deffects1">
    <w:name w:val="Table 3D effects 1"/>
    <w:basedOn w:val="TableNormal"/>
    <w:uiPriority w:val="99"/>
    <w:semiHidden/>
    <w:unhideWhenUsed/>
    <w:rsid w:val="008C1870"/>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1870"/>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1870"/>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1870"/>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1870"/>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1870"/>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1870"/>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1870"/>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1870"/>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1870"/>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C1870"/>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1870"/>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1870"/>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1870"/>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1870"/>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1870"/>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1870"/>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187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1870"/>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1870"/>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1870"/>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187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1870"/>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1870"/>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1870"/>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C1870"/>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1870"/>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1870"/>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187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187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187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1870"/>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187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C1870"/>
    <w:pPr>
      <w:ind w:left="240" w:hanging="240"/>
    </w:pPr>
  </w:style>
  <w:style w:type="paragraph" w:styleId="TableofFigures">
    <w:name w:val="table of figures"/>
    <w:basedOn w:val="Normal"/>
    <w:next w:val="Normal"/>
    <w:uiPriority w:val="98"/>
    <w:semiHidden/>
    <w:rsid w:val="008C1870"/>
  </w:style>
  <w:style w:type="table" w:styleId="TableProfessional">
    <w:name w:val="Table Professional"/>
    <w:basedOn w:val="TableNormal"/>
    <w:uiPriority w:val="99"/>
    <w:semiHidden/>
    <w:unhideWhenUsed/>
    <w:rsid w:val="008C187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1870"/>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1870"/>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1870"/>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1870"/>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1870"/>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1870"/>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1870"/>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1870"/>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C1870"/>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C1870"/>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C1870"/>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C1870"/>
    <w:pPr>
      <w:spacing w:after="100"/>
      <w:ind w:left="1680"/>
    </w:pPr>
  </w:style>
  <w:style w:type="paragraph" w:styleId="TOC9">
    <w:name w:val="toc 9"/>
    <w:basedOn w:val="Normal"/>
    <w:next w:val="Normal"/>
    <w:autoRedefine/>
    <w:uiPriority w:val="98"/>
    <w:semiHidden/>
    <w:rsid w:val="008C1870"/>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8C1870"/>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8C1870"/>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8C1870"/>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8C1870"/>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8C1870"/>
    <w:pPr>
      <w:numPr>
        <w:numId w:val="17"/>
      </w:numPr>
      <w:spacing w:before="60" w:after="60"/>
    </w:pPr>
  </w:style>
  <w:style w:type="paragraph" w:customStyle="1" w:styleId="ECHRBullet2">
    <w:name w:val="ECHR_Bullet_2"/>
    <w:aliases w:val="_Bul_2"/>
    <w:basedOn w:val="ECHRBullet1"/>
    <w:uiPriority w:val="23"/>
    <w:semiHidden/>
    <w:rsid w:val="008C1870"/>
    <w:pPr>
      <w:numPr>
        <w:ilvl w:val="1"/>
      </w:numPr>
    </w:pPr>
  </w:style>
  <w:style w:type="paragraph" w:customStyle="1" w:styleId="ECHRBullet3">
    <w:name w:val="ECHR_Bullet_3"/>
    <w:aliases w:val="_Bul_3"/>
    <w:basedOn w:val="ECHRBullet2"/>
    <w:uiPriority w:val="23"/>
    <w:semiHidden/>
    <w:rsid w:val="008C1870"/>
    <w:pPr>
      <w:numPr>
        <w:ilvl w:val="2"/>
      </w:numPr>
    </w:pPr>
  </w:style>
  <w:style w:type="paragraph" w:customStyle="1" w:styleId="ECHRBullet4">
    <w:name w:val="ECHR_Bullet_4"/>
    <w:aliases w:val="_Bul_4"/>
    <w:basedOn w:val="ECHRBullet3"/>
    <w:uiPriority w:val="23"/>
    <w:semiHidden/>
    <w:rsid w:val="008C1870"/>
    <w:pPr>
      <w:numPr>
        <w:ilvl w:val="3"/>
      </w:numPr>
    </w:pPr>
  </w:style>
  <w:style w:type="paragraph" w:customStyle="1" w:styleId="ECHRConfidential">
    <w:name w:val="ECHR_Confidential"/>
    <w:aliases w:val="_Confidential"/>
    <w:basedOn w:val="Normal"/>
    <w:next w:val="Normal"/>
    <w:uiPriority w:val="42"/>
    <w:semiHidden/>
    <w:qFormat/>
    <w:rsid w:val="008C1870"/>
    <w:pPr>
      <w:jc w:val="right"/>
    </w:pPr>
    <w:rPr>
      <w:color w:val="C00000"/>
      <w:sz w:val="20"/>
    </w:rPr>
  </w:style>
  <w:style w:type="paragraph" w:customStyle="1" w:styleId="ECHRDecisionBody">
    <w:name w:val="ECHR_Decision_Body"/>
    <w:aliases w:val="_Decision_Body"/>
    <w:basedOn w:val="NormalJustified"/>
    <w:uiPriority w:val="54"/>
    <w:semiHidden/>
    <w:rsid w:val="008C1870"/>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C1870"/>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C1870"/>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8C1870"/>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8C1870"/>
    <w:pPr>
      <w:jc w:val="right"/>
    </w:pPr>
    <w:rPr>
      <w:sz w:val="20"/>
    </w:rPr>
  </w:style>
  <w:style w:type="paragraph" w:customStyle="1" w:styleId="ECHRHeaderRefIt">
    <w:name w:val="ECHR_Header_Ref_It"/>
    <w:aliases w:val="_Ref_Ital"/>
    <w:basedOn w:val="Normal"/>
    <w:next w:val="ECHRHeaderDate"/>
    <w:uiPriority w:val="43"/>
    <w:semiHidden/>
    <w:qFormat/>
    <w:rsid w:val="008C1870"/>
    <w:pPr>
      <w:jc w:val="right"/>
    </w:pPr>
    <w:rPr>
      <w:i/>
      <w:sz w:val="20"/>
    </w:rPr>
  </w:style>
  <w:style w:type="paragraph" w:customStyle="1" w:styleId="ECHRHeading9">
    <w:name w:val="ECHR_Heading_9"/>
    <w:aliases w:val="_Head_9"/>
    <w:basedOn w:val="Heading9"/>
    <w:uiPriority w:val="17"/>
    <w:semiHidden/>
    <w:rsid w:val="008C1870"/>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8C1870"/>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8C1870"/>
    <w:pPr>
      <w:numPr>
        <w:numId w:val="18"/>
      </w:numPr>
      <w:spacing w:before="60" w:after="60"/>
    </w:pPr>
  </w:style>
  <w:style w:type="paragraph" w:customStyle="1" w:styleId="ECHRNumberedList2">
    <w:name w:val="ECHR_Numbered_List_2"/>
    <w:aliases w:val="_Num_2"/>
    <w:basedOn w:val="ECHRNumberedList1"/>
    <w:uiPriority w:val="23"/>
    <w:semiHidden/>
    <w:rsid w:val="008C1870"/>
    <w:pPr>
      <w:numPr>
        <w:ilvl w:val="1"/>
      </w:numPr>
    </w:pPr>
  </w:style>
  <w:style w:type="paragraph" w:customStyle="1" w:styleId="ECHRNumberedList3">
    <w:name w:val="ECHR_Numbered_List_3"/>
    <w:aliases w:val="_Num_3"/>
    <w:basedOn w:val="ECHRNumberedList2"/>
    <w:uiPriority w:val="23"/>
    <w:semiHidden/>
    <w:rsid w:val="008C1870"/>
    <w:pPr>
      <w:numPr>
        <w:ilvl w:val="2"/>
      </w:numPr>
    </w:pPr>
  </w:style>
  <w:style w:type="paragraph" w:customStyle="1" w:styleId="ECHRParaHanging">
    <w:name w:val="ECHR_Para_Hanging"/>
    <w:aliases w:val="_Hanging"/>
    <w:basedOn w:val="NormalJustified"/>
    <w:uiPriority w:val="8"/>
    <w:semiHidden/>
    <w:qFormat/>
    <w:rsid w:val="008C1870"/>
    <w:pPr>
      <w:ind w:left="567" w:hanging="567"/>
    </w:pPr>
  </w:style>
  <w:style w:type="paragraph" w:customStyle="1" w:styleId="ECHRParaIndent">
    <w:name w:val="ECHR_Para_Indent"/>
    <w:aliases w:val="_Indent"/>
    <w:basedOn w:val="NormalJustified"/>
    <w:uiPriority w:val="7"/>
    <w:semiHidden/>
    <w:qFormat/>
    <w:rsid w:val="008C1870"/>
    <w:pPr>
      <w:spacing w:before="120" w:after="120"/>
      <w:ind w:left="284"/>
    </w:pPr>
  </w:style>
  <w:style w:type="character" w:customStyle="1" w:styleId="ECHRRed">
    <w:name w:val="ECHR_Red"/>
    <w:aliases w:val="_Red"/>
    <w:basedOn w:val="DefaultParagraphFont"/>
    <w:uiPriority w:val="15"/>
    <w:semiHidden/>
    <w:qFormat/>
    <w:rsid w:val="008C1870"/>
    <w:rPr>
      <w:color w:val="C00000" w:themeColor="accent2"/>
    </w:rPr>
  </w:style>
  <w:style w:type="paragraph" w:customStyle="1" w:styleId="DecList">
    <w:name w:val="Dec_List"/>
    <w:aliases w:val="_List"/>
    <w:basedOn w:val="JuList"/>
    <w:uiPriority w:val="22"/>
    <w:rsid w:val="008C1870"/>
    <w:pPr>
      <w:numPr>
        <w:numId w:val="0"/>
      </w:numPr>
      <w:ind w:left="284"/>
    </w:pPr>
  </w:style>
  <w:style w:type="table" w:customStyle="1" w:styleId="ECHRTable2">
    <w:name w:val="ECHR_Table_2"/>
    <w:basedOn w:val="TableNormal"/>
    <w:uiPriority w:val="99"/>
    <w:rsid w:val="008C1870"/>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C1870"/>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8C1870"/>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8C1870"/>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8C1870"/>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8C1870"/>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8C1870"/>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8C1870"/>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8C1870"/>
    <w:pPr>
      <w:outlineLvl w:val="0"/>
    </w:pPr>
  </w:style>
  <w:style w:type="paragraph" w:customStyle="1" w:styleId="ECHRTitleTOC1">
    <w:name w:val="ECHR_Title_TOC_1"/>
    <w:aliases w:val="_Title_L_TOC"/>
    <w:basedOn w:val="ECHRTitle1"/>
    <w:next w:val="Normal"/>
    <w:uiPriority w:val="27"/>
    <w:semiHidden/>
    <w:qFormat/>
    <w:rsid w:val="008C1870"/>
    <w:pPr>
      <w:outlineLvl w:val="0"/>
    </w:pPr>
  </w:style>
  <w:style w:type="paragraph" w:customStyle="1" w:styleId="ECHRPlaceholder">
    <w:name w:val="ECHR_Placeholder"/>
    <w:aliases w:val="_Placeholder"/>
    <w:basedOn w:val="JuSigned"/>
    <w:uiPriority w:val="31"/>
    <w:rsid w:val="008C1870"/>
    <w:rPr>
      <w:color w:val="FFFFFF"/>
    </w:rPr>
  </w:style>
  <w:style w:type="paragraph" w:customStyle="1" w:styleId="ECHRSpacer">
    <w:name w:val="ECHR_Spacer"/>
    <w:aliases w:val="_Spacer"/>
    <w:basedOn w:val="Normal"/>
    <w:uiPriority w:val="45"/>
    <w:semiHidden/>
    <w:rsid w:val="008C1870"/>
    <w:rPr>
      <w:sz w:val="4"/>
    </w:rPr>
  </w:style>
  <w:style w:type="table" w:customStyle="1" w:styleId="ECHRTableGrey">
    <w:name w:val="ECHR_Table_Grey"/>
    <w:basedOn w:val="TableNormal"/>
    <w:uiPriority w:val="99"/>
    <w:rsid w:val="008C1870"/>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C1870"/>
    <w:rPr>
      <w:color w:val="605E5C"/>
      <w:shd w:val="clear" w:color="auto" w:fill="E1DFDD"/>
    </w:rPr>
  </w:style>
  <w:style w:type="character" w:customStyle="1" w:styleId="JuParaChar">
    <w:name w:val="Ju_Para Char"/>
    <w:aliases w:val="_Para Char"/>
    <w:link w:val="JuPara"/>
    <w:uiPriority w:val="4"/>
    <w:rsid w:val="00770C31"/>
    <w:rPr>
      <w:sz w:val="24"/>
      <w:szCs w:val="24"/>
      <w:lang w:val="ro-RO"/>
    </w:rPr>
  </w:style>
  <w:style w:type="table" w:styleId="GridTable1Light">
    <w:name w:val="Grid Table 1 Light"/>
    <w:basedOn w:val="TableNormal"/>
    <w:uiPriority w:val="46"/>
    <w:semiHidden/>
    <w:rsid w:val="00B714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7148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7148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71480"/>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7148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7148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7148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7148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7148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7148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71480"/>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B7148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7148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7148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7148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7148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7148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71480"/>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B7148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7148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7148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7148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7148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7148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71480"/>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B7148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7148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7148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714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714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714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714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B714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714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714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7148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7148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7148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71480"/>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B7148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7148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7148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7148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7148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7148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71480"/>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B7148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7148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7148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B71480"/>
    <w:rPr>
      <w:color w:val="2B579A"/>
      <w:shd w:val="clear" w:color="auto" w:fill="E1DFDD"/>
    </w:rPr>
  </w:style>
  <w:style w:type="table" w:styleId="ListTable1Light">
    <w:name w:val="List Table 1 Light"/>
    <w:basedOn w:val="TableNormal"/>
    <w:uiPriority w:val="46"/>
    <w:semiHidden/>
    <w:rsid w:val="00B7148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7148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7148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71480"/>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B7148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7148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7148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7148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7148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7148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71480"/>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B7148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7148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7148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7148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7148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7148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71480"/>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B7148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7148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7148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7148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7148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7148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71480"/>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B7148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7148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7148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7148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71480"/>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71480"/>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71480"/>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71480"/>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71480"/>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71480"/>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7148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7148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7148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71480"/>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B7148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7148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7148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7148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7148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7148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71480"/>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7148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7148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7148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B71480"/>
    <w:rPr>
      <w:color w:val="2B579A"/>
      <w:shd w:val="clear" w:color="auto" w:fill="E1DFDD"/>
    </w:rPr>
  </w:style>
  <w:style w:type="table" w:styleId="PlainTable1">
    <w:name w:val="Plain Table 1"/>
    <w:basedOn w:val="TableNormal"/>
    <w:uiPriority w:val="41"/>
    <w:semiHidden/>
    <w:rsid w:val="00B7148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714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7148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7148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7148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B71480"/>
    <w:rPr>
      <w:u w:val="dotted"/>
    </w:rPr>
  </w:style>
  <w:style w:type="character" w:customStyle="1" w:styleId="SmartLink">
    <w:name w:val="Smart Link"/>
    <w:basedOn w:val="DefaultParagraphFont"/>
    <w:uiPriority w:val="99"/>
    <w:semiHidden/>
    <w:unhideWhenUsed/>
    <w:rsid w:val="00B71480"/>
    <w:rPr>
      <w:color w:val="0000FF"/>
      <w:u w:val="single"/>
      <w:shd w:val="clear" w:color="auto" w:fill="F3F2F1"/>
    </w:rPr>
  </w:style>
  <w:style w:type="table" w:styleId="TableGridLight">
    <w:name w:val="Grid Table Light"/>
    <w:basedOn w:val="TableNormal"/>
    <w:uiPriority w:val="40"/>
    <w:semiHidden/>
    <w:rsid w:val="00B714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D3A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59B68-CB46-442B-8668-3B88AE25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2568</Words>
  <Characters>14897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2026-01-22T09:38:00Z</dcterms:created>
  <dcterms:modified xsi:type="dcterms:W3CDTF">2026-02-05T08:18:00Z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1694842</vt:lpwstr>
  </property>
  <property fmtid="{D5CDD505-2E9C-101B-9397-08002B2CF9AE}" pid="3" name="cstLanguage">
    <vt:i4>2057</vt:i4>
  </property>
  <property fmtid="{D5CDD505-2E9C-101B-9397-08002B2CF9AE}" pid="4" name="RegisteredNo">
    <vt:lpwstr>3524/22</vt:lpwstr>
  </property>
</Properties>
</file>