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B21" w:rsidRDefault="00314B21" w:rsidP="0098410D">
      <w:pPr>
        <w:jc w:val="center"/>
      </w:pPr>
    </w:p>
    <w:p w:rsidR="000C25D7" w:rsidRDefault="000C25D7" w:rsidP="000C25D7">
      <w:pPr>
        <w:pStyle w:val="DecHTitle"/>
        <w:keepNext w:val="0"/>
        <w:keepLines w:val="0"/>
      </w:pPr>
      <w:r>
        <w:t>CURTEA EUROPEANĂ A DREPTURILOR OMULUI</w:t>
      </w:r>
    </w:p>
    <w:p w:rsidR="0098410D" w:rsidRPr="00AC38DE" w:rsidRDefault="00736C78" w:rsidP="0011320E">
      <w:pPr>
        <w:pStyle w:val="DecHTitle"/>
        <w:keepNext w:val="0"/>
        <w:keepLines w:val="0"/>
      </w:pPr>
      <w:r>
        <w:t>SECȚIA A TREIA</w:t>
      </w:r>
    </w:p>
    <w:p w:rsidR="008E6217" w:rsidRPr="00AC38DE" w:rsidRDefault="00736C78" w:rsidP="0011320E">
      <w:pPr>
        <w:pStyle w:val="JuTitle"/>
        <w:keepNext w:val="0"/>
        <w:keepLines w:val="0"/>
      </w:pPr>
      <w:r>
        <w:rPr>
          <w:color w:val="000000" w:themeColor="text1"/>
        </w:rPr>
        <w:t>CAUZA GREEN ALLIANCE ÎMPOTRIVA BULGARIEI</w:t>
      </w:r>
    </w:p>
    <w:p w:rsidR="00D74888" w:rsidRPr="00AC38DE" w:rsidRDefault="00C56213" w:rsidP="0011320E">
      <w:pPr>
        <w:pStyle w:val="ECHRCoverTitle4"/>
        <w:keepNext w:val="0"/>
        <w:keepLines w:val="0"/>
      </w:pPr>
      <w:r>
        <w:t>(C</w:t>
      </w:r>
      <w:bookmarkStart w:id="0" w:name="_GoBack"/>
      <w:bookmarkEnd w:id="0"/>
      <w:r w:rsidR="00736C78">
        <w:t>ererea nr. 6580/22)</w:t>
      </w:r>
    </w:p>
    <w:p w:rsidR="0098410D" w:rsidRPr="00AC38DE" w:rsidRDefault="0098410D" w:rsidP="0011320E">
      <w:pPr>
        <w:pStyle w:val="DecHCase"/>
        <w:keepNext w:val="0"/>
        <w:keepLines w:val="0"/>
      </w:pPr>
    </w:p>
    <w:p w:rsidR="0054716E" w:rsidRPr="00AC38DE" w:rsidRDefault="0054716E" w:rsidP="0011320E">
      <w:pPr>
        <w:pStyle w:val="DecHCase"/>
        <w:keepNext w:val="0"/>
        <w:keepLines w:val="0"/>
      </w:pPr>
    </w:p>
    <w:p w:rsidR="0098410D" w:rsidRPr="00AC38DE" w:rsidRDefault="0098410D" w:rsidP="0011320E">
      <w:pPr>
        <w:pStyle w:val="DecHCase"/>
        <w:keepNext w:val="0"/>
        <w:keepLines w:val="0"/>
      </w:pPr>
    </w:p>
    <w:p w:rsidR="0098410D" w:rsidRPr="00AC38DE" w:rsidRDefault="00736C78" w:rsidP="0011320E">
      <w:pPr>
        <w:pStyle w:val="DecHCase"/>
        <w:keepNext w:val="0"/>
        <w:keepLines w:val="0"/>
      </w:pPr>
      <w:r>
        <w:t>HOTĂRÂRE</w:t>
      </w:r>
    </w:p>
    <w:p w:rsidR="0011320E" w:rsidRPr="000C25D7" w:rsidRDefault="00736C78" w:rsidP="0011320E">
      <w:pPr>
        <w:pBdr>
          <w:top w:val="single" w:sz="4" w:space="1" w:color="auto"/>
          <w:left w:val="single" w:sz="4" w:space="4" w:color="auto"/>
          <w:bottom w:val="single" w:sz="4" w:space="1" w:color="auto"/>
          <w:right w:val="single" w:sz="4" w:space="4" w:color="auto"/>
        </w:pBdr>
        <w:jc w:val="both"/>
        <w:rPr>
          <w:sz w:val="22"/>
          <w:szCs w:val="22"/>
        </w:rPr>
      </w:pPr>
      <w:r>
        <w:rPr>
          <w:sz w:val="22"/>
        </w:rPr>
        <w:t xml:space="preserve">Art. 8 • Domiciliu • Corespondență • Deficiențe ale cadrului juridic care permit infiltrarea „agenților cu identitate atribuită” în organizațiile private și în „profesiile liberale” • Aplicarea prin analogie a principiilor jurisprudențiale dezvoltate în legătură cu supravegherea secretă • Activitatea unui „agent cu identitate atribuită” ar putea aduce atingere drepturilor asociației reclamante • Simpla existență a regulamentului relevant a constituit o ingerință în drepturile asociației reclamante • Examinarea </w:t>
      </w:r>
      <w:r>
        <w:rPr>
          <w:i/>
          <w:iCs/>
          <w:sz w:val="22"/>
        </w:rPr>
        <w:t>in abstracto</w:t>
      </w:r>
      <w:r>
        <w:rPr>
          <w:sz w:val="22"/>
        </w:rPr>
        <w:t xml:space="preserve"> a cadrului juridic • Lipsa unor garanții minime împotriva arbitrariului și abuzului • Neîndeplinirea cerinței privind calitatea legii</w:t>
      </w:r>
    </w:p>
    <w:p w:rsidR="0011320E" w:rsidRPr="0011320E" w:rsidRDefault="0011320E" w:rsidP="0011320E">
      <w:pPr>
        <w:pBdr>
          <w:top w:val="single" w:sz="4" w:space="1" w:color="auto"/>
          <w:left w:val="single" w:sz="4" w:space="4" w:color="auto"/>
          <w:bottom w:val="single" w:sz="4" w:space="1" w:color="auto"/>
          <w:right w:val="single" w:sz="4" w:space="4" w:color="auto"/>
        </w:pBdr>
        <w:jc w:val="center"/>
        <w:rPr>
          <w:sz w:val="20"/>
          <w:szCs w:val="20"/>
        </w:rPr>
      </w:pPr>
    </w:p>
    <w:p w:rsidR="0011320E" w:rsidRDefault="00736C78" w:rsidP="0011320E">
      <w:pPr>
        <w:pBdr>
          <w:top w:val="single" w:sz="4" w:space="1" w:color="auto"/>
          <w:left w:val="single" w:sz="4" w:space="4" w:color="auto"/>
          <w:bottom w:val="single" w:sz="4" w:space="1" w:color="auto"/>
          <w:right w:val="single" w:sz="4" w:space="4" w:color="auto"/>
        </w:pBdr>
        <w:jc w:val="center"/>
      </w:pPr>
      <w:r>
        <w:rPr>
          <w:sz w:val="20"/>
        </w:rPr>
        <w:t xml:space="preserve">Întocmită de Grefă. </w:t>
      </w:r>
      <w:r>
        <w:t>Nu obligă Curtea.</w:t>
      </w:r>
    </w:p>
    <w:p w:rsidR="0011320E" w:rsidRDefault="0011320E" w:rsidP="0011320E">
      <w:pPr>
        <w:pStyle w:val="DecHCase"/>
        <w:keepNext w:val="0"/>
        <w:keepLines w:val="0"/>
      </w:pPr>
    </w:p>
    <w:p w:rsidR="0098410D" w:rsidRPr="00AC38DE" w:rsidRDefault="00736C78" w:rsidP="0011320E">
      <w:pPr>
        <w:pStyle w:val="DecHCase"/>
        <w:keepNext w:val="0"/>
        <w:keepLines w:val="0"/>
      </w:pPr>
      <w:r>
        <w:t>STRASBOURG</w:t>
      </w:r>
    </w:p>
    <w:p w:rsidR="0098410D" w:rsidRDefault="00736C78" w:rsidP="0011320E">
      <w:pPr>
        <w:pStyle w:val="DecHCase"/>
        <w:keepNext w:val="0"/>
        <w:keepLines w:val="0"/>
      </w:pPr>
      <w:r>
        <w:t>17 februarie 2026</w:t>
      </w:r>
    </w:p>
    <w:p w:rsidR="00314B21" w:rsidRPr="00314B21" w:rsidRDefault="00314B21" w:rsidP="0011320E">
      <w:pPr>
        <w:pStyle w:val="DecHCase"/>
        <w:keepNext w:val="0"/>
        <w:keepLines w:val="0"/>
      </w:pPr>
    </w:p>
    <w:p w:rsidR="002422B6" w:rsidRDefault="00736C78" w:rsidP="0011320E">
      <w:pPr>
        <w:jc w:val="both"/>
        <w:rPr>
          <w:i/>
          <w:sz w:val="22"/>
        </w:rPr>
      </w:pPr>
      <w:r>
        <w:rPr>
          <w:i/>
          <w:sz w:val="22"/>
        </w:rPr>
        <w:t>Hotărârea devine definitivă în condițiile prevăzute la art. 44 § 2 din Convenție. Poate suferi modificări de formă.</w:t>
      </w:r>
    </w:p>
    <w:p w:rsidR="00314B21" w:rsidRDefault="00314B21" w:rsidP="0011320E">
      <w:pPr>
        <w:rPr>
          <w:iCs/>
          <w:sz w:val="22"/>
        </w:rPr>
        <w:sectPr w:rsidR="00314B21" w:rsidSect="009F2908">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1134" w:right="1134" w:bottom="1134" w:left="1701" w:header="1134" w:footer="720" w:gutter="0"/>
          <w:pgNumType w:start="1"/>
          <w:cols w:space="720"/>
          <w:noEndnote/>
          <w:titlePg/>
          <w:docGrid w:linePitch="326"/>
        </w:sectPr>
      </w:pPr>
    </w:p>
    <w:p w:rsidR="00314B21" w:rsidRPr="00FB0FCB" w:rsidRDefault="00736C78" w:rsidP="00314B21">
      <w:pPr>
        <w:pStyle w:val="TOCHeading"/>
      </w:pPr>
      <w:r>
        <w:lastRenderedPageBreak/>
        <w:t>CUPRINS</w:t>
      </w:r>
    </w:p>
    <w:p w:rsidR="00D036E7" w:rsidRDefault="00736C78">
      <w:pPr>
        <w:pStyle w:val="TOC1"/>
        <w:rPr>
          <w:rFonts w:eastAsiaTheme="minorEastAsia"/>
          <w:b w:val="0"/>
          <w:noProof/>
          <w:sz w:val="22"/>
          <w:szCs w:val="22"/>
          <w:lang w:eastAsia="ro-RO"/>
        </w:rPr>
      </w:pPr>
      <w:r>
        <w:fldChar w:fldCharType="begin"/>
      </w:r>
      <w:r>
        <w:instrText xml:space="preserve"> TOC \o "1-8" \h \z \u </w:instrText>
      </w:r>
      <w:r>
        <w:fldChar w:fldCharType="separate"/>
      </w:r>
      <w:hyperlink w:anchor="_Toc238743225" w:history="1">
        <w:r w:rsidR="00D036E7" w:rsidRPr="00B74A04">
          <w:rPr>
            <w:rStyle w:val="Hyperlink"/>
            <w:noProof/>
          </w:rPr>
          <w:t>INTRODUCERE</w:t>
        </w:r>
        <w:r w:rsidR="00D036E7">
          <w:rPr>
            <w:noProof/>
            <w:webHidden/>
          </w:rPr>
          <w:tab/>
        </w:r>
        <w:r w:rsidR="00D036E7">
          <w:rPr>
            <w:noProof/>
            <w:webHidden/>
          </w:rPr>
          <w:fldChar w:fldCharType="begin"/>
        </w:r>
        <w:r w:rsidR="00D036E7">
          <w:rPr>
            <w:noProof/>
            <w:webHidden/>
          </w:rPr>
          <w:instrText xml:space="preserve"> PAGEREF _Toc238743225 \h </w:instrText>
        </w:r>
        <w:r w:rsidR="00D036E7">
          <w:rPr>
            <w:noProof/>
            <w:webHidden/>
          </w:rPr>
        </w:r>
        <w:r w:rsidR="00D036E7">
          <w:rPr>
            <w:noProof/>
            <w:webHidden/>
          </w:rPr>
          <w:fldChar w:fldCharType="separate"/>
        </w:r>
        <w:r w:rsidR="00D036E7">
          <w:rPr>
            <w:noProof/>
            <w:webHidden/>
          </w:rPr>
          <w:t>1</w:t>
        </w:r>
        <w:r w:rsidR="00D036E7">
          <w:rPr>
            <w:noProof/>
            <w:webHidden/>
          </w:rPr>
          <w:fldChar w:fldCharType="end"/>
        </w:r>
      </w:hyperlink>
    </w:p>
    <w:p w:rsidR="00D036E7" w:rsidRDefault="00C56213">
      <w:pPr>
        <w:pStyle w:val="TOC1"/>
        <w:rPr>
          <w:rFonts w:eastAsiaTheme="minorEastAsia"/>
          <w:b w:val="0"/>
          <w:noProof/>
          <w:sz w:val="22"/>
          <w:szCs w:val="22"/>
          <w:lang w:eastAsia="ro-RO"/>
        </w:rPr>
      </w:pPr>
      <w:hyperlink w:anchor="_Toc238743226" w:history="1">
        <w:r w:rsidR="00D036E7" w:rsidRPr="00B74A04">
          <w:rPr>
            <w:rStyle w:val="Hyperlink"/>
            <w:noProof/>
          </w:rPr>
          <w:t>ÎN FAPT</w:t>
        </w:r>
        <w:r w:rsidR="00D036E7">
          <w:rPr>
            <w:noProof/>
            <w:webHidden/>
          </w:rPr>
          <w:tab/>
        </w:r>
        <w:r w:rsidR="00D036E7">
          <w:rPr>
            <w:noProof/>
            <w:webHidden/>
          </w:rPr>
          <w:fldChar w:fldCharType="begin"/>
        </w:r>
        <w:r w:rsidR="00D036E7">
          <w:rPr>
            <w:noProof/>
            <w:webHidden/>
          </w:rPr>
          <w:instrText xml:space="preserve"> PAGEREF _Toc238743226 \h </w:instrText>
        </w:r>
        <w:r w:rsidR="00D036E7">
          <w:rPr>
            <w:noProof/>
            <w:webHidden/>
          </w:rPr>
        </w:r>
        <w:r w:rsidR="00D036E7">
          <w:rPr>
            <w:noProof/>
            <w:webHidden/>
          </w:rPr>
          <w:fldChar w:fldCharType="separate"/>
        </w:r>
        <w:r w:rsidR="00D036E7">
          <w:rPr>
            <w:noProof/>
            <w:webHidden/>
          </w:rPr>
          <w:t>2</w:t>
        </w:r>
        <w:r w:rsidR="00D036E7">
          <w:rPr>
            <w:noProof/>
            <w:webHidden/>
          </w:rPr>
          <w:fldChar w:fldCharType="end"/>
        </w:r>
      </w:hyperlink>
    </w:p>
    <w:p w:rsidR="00D036E7" w:rsidRDefault="00C56213">
      <w:pPr>
        <w:pStyle w:val="TOC2"/>
        <w:tabs>
          <w:tab w:val="left" w:pos="680"/>
        </w:tabs>
        <w:rPr>
          <w:rFonts w:eastAsiaTheme="minorEastAsia"/>
          <w:noProof/>
          <w:sz w:val="22"/>
          <w:szCs w:val="22"/>
          <w:lang w:eastAsia="ro-RO"/>
        </w:rPr>
      </w:pPr>
      <w:hyperlink w:anchor="_Toc238743227" w:history="1">
        <w:r w:rsidR="00D036E7" w:rsidRPr="00B74A04">
          <w:rPr>
            <w:rStyle w:val="Hyperlink"/>
            <w:noProof/>
          </w:rPr>
          <w:t>I.</w:t>
        </w:r>
        <w:r w:rsidR="00D036E7">
          <w:rPr>
            <w:rFonts w:eastAsiaTheme="minorEastAsia"/>
            <w:noProof/>
            <w:sz w:val="22"/>
            <w:szCs w:val="22"/>
            <w:lang w:eastAsia="ro-RO"/>
          </w:rPr>
          <w:tab/>
        </w:r>
        <w:r w:rsidR="00D036E7" w:rsidRPr="00B74A04">
          <w:rPr>
            <w:rStyle w:val="Hyperlink"/>
            <w:noProof/>
          </w:rPr>
          <w:t>SOCIETATEA RECLAMANTĂ</w:t>
        </w:r>
        <w:r w:rsidR="00D036E7">
          <w:rPr>
            <w:noProof/>
            <w:webHidden/>
          </w:rPr>
          <w:tab/>
        </w:r>
        <w:r w:rsidR="00D036E7">
          <w:rPr>
            <w:noProof/>
            <w:webHidden/>
          </w:rPr>
          <w:fldChar w:fldCharType="begin"/>
        </w:r>
        <w:r w:rsidR="00D036E7">
          <w:rPr>
            <w:noProof/>
            <w:webHidden/>
          </w:rPr>
          <w:instrText xml:space="preserve"> PAGEREF _Toc238743227 \h </w:instrText>
        </w:r>
        <w:r w:rsidR="00D036E7">
          <w:rPr>
            <w:noProof/>
            <w:webHidden/>
          </w:rPr>
        </w:r>
        <w:r w:rsidR="00D036E7">
          <w:rPr>
            <w:noProof/>
            <w:webHidden/>
          </w:rPr>
          <w:fldChar w:fldCharType="separate"/>
        </w:r>
        <w:r w:rsidR="00D036E7">
          <w:rPr>
            <w:noProof/>
            <w:webHidden/>
          </w:rPr>
          <w:t>2</w:t>
        </w:r>
        <w:r w:rsidR="00D036E7">
          <w:rPr>
            <w:noProof/>
            <w:webHidden/>
          </w:rPr>
          <w:fldChar w:fldCharType="end"/>
        </w:r>
      </w:hyperlink>
    </w:p>
    <w:p w:rsidR="00D036E7" w:rsidRDefault="00C56213">
      <w:pPr>
        <w:pStyle w:val="TOC2"/>
        <w:tabs>
          <w:tab w:val="left" w:pos="1020"/>
        </w:tabs>
        <w:rPr>
          <w:rFonts w:eastAsiaTheme="minorEastAsia"/>
          <w:noProof/>
          <w:sz w:val="22"/>
          <w:szCs w:val="22"/>
          <w:lang w:eastAsia="ro-RO"/>
        </w:rPr>
      </w:pPr>
      <w:hyperlink w:anchor="_Toc238743228" w:history="1">
        <w:r w:rsidR="00D036E7" w:rsidRPr="00B74A04">
          <w:rPr>
            <w:rStyle w:val="Hyperlink"/>
            <w:noProof/>
          </w:rPr>
          <w:t>II.</w:t>
        </w:r>
        <w:r w:rsidR="00D036E7">
          <w:rPr>
            <w:rFonts w:eastAsiaTheme="minorEastAsia"/>
            <w:noProof/>
            <w:sz w:val="22"/>
            <w:szCs w:val="22"/>
            <w:lang w:eastAsia="ro-RO"/>
          </w:rPr>
          <w:tab/>
        </w:r>
        <w:r w:rsidR="00D036E7" w:rsidRPr="00B74A04">
          <w:rPr>
            <w:rStyle w:val="Hyperlink"/>
            <w:noProof/>
          </w:rPr>
          <w:t>REGULAMENTUL PRIVIND AGENȚII CU IDENTITATE ATRIBUITĂ</w:t>
        </w:r>
        <w:r w:rsidR="00D036E7">
          <w:rPr>
            <w:noProof/>
            <w:webHidden/>
          </w:rPr>
          <w:tab/>
        </w:r>
        <w:r w:rsidR="00D036E7">
          <w:rPr>
            <w:noProof/>
            <w:webHidden/>
          </w:rPr>
          <w:fldChar w:fldCharType="begin"/>
        </w:r>
        <w:r w:rsidR="00D036E7">
          <w:rPr>
            <w:noProof/>
            <w:webHidden/>
          </w:rPr>
          <w:instrText xml:space="preserve"> PAGEREF _Toc238743228 \h </w:instrText>
        </w:r>
        <w:r w:rsidR="00D036E7">
          <w:rPr>
            <w:noProof/>
            <w:webHidden/>
          </w:rPr>
        </w:r>
        <w:r w:rsidR="00D036E7">
          <w:rPr>
            <w:noProof/>
            <w:webHidden/>
          </w:rPr>
          <w:fldChar w:fldCharType="separate"/>
        </w:r>
        <w:r w:rsidR="00D036E7">
          <w:rPr>
            <w:noProof/>
            <w:webHidden/>
          </w:rPr>
          <w:t>2</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29" w:history="1">
        <w:r w:rsidR="00D036E7" w:rsidRPr="00B74A04">
          <w:rPr>
            <w:rStyle w:val="Hyperlink"/>
            <w:noProof/>
          </w:rPr>
          <w:t>A.</w:t>
        </w:r>
        <w:r w:rsidR="00D036E7">
          <w:rPr>
            <w:rFonts w:eastAsiaTheme="minorEastAsia"/>
            <w:noProof/>
            <w:sz w:val="22"/>
            <w:szCs w:val="22"/>
            <w:lang w:eastAsia="ro-RO"/>
          </w:rPr>
          <w:tab/>
        </w:r>
        <w:r w:rsidR="00D036E7" w:rsidRPr="00B74A04">
          <w:rPr>
            <w:rStyle w:val="Hyperlink"/>
            <w:noProof/>
          </w:rPr>
          <w:t>Astfel cum a fost emis inițial, în 2008</w:t>
        </w:r>
        <w:r w:rsidR="00D036E7">
          <w:rPr>
            <w:noProof/>
            <w:webHidden/>
          </w:rPr>
          <w:tab/>
        </w:r>
        <w:r w:rsidR="00D036E7">
          <w:rPr>
            <w:noProof/>
            <w:webHidden/>
          </w:rPr>
          <w:fldChar w:fldCharType="begin"/>
        </w:r>
        <w:r w:rsidR="00D036E7">
          <w:rPr>
            <w:noProof/>
            <w:webHidden/>
          </w:rPr>
          <w:instrText xml:space="preserve"> PAGEREF _Toc238743229 \h </w:instrText>
        </w:r>
        <w:r w:rsidR="00D036E7">
          <w:rPr>
            <w:noProof/>
            <w:webHidden/>
          </w:rPr>
        </w:r>
        <w:r w:rsidR="00D036E7">
          <w:rPr>
            <w:noProof/>
            <w:webHidden/>
          </w:rPr>
          <w:fldChar w:fldCharType="separate"/>
        </w:r>
        <w:r w:rsidR="00D036E7">
          <w:rPr>
            <w:noProof/>
            <w:webHidden/>
          </w:rPr>
          <w:t>2</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30" w:history="1">
        <w:r w:rsidR="00D036E7" w:rsidRPr="00B74A04">
          <w:rPr>
            <w:rStyle w:val="Hyperlink"/>
            <w:noProof/>
          </w:rPr>
          <w:t>B.</w:t>
        </w:r>
        <w:r w:rsidR="00D036E7">
          <w:rPr>
            <w:rFonts w:eastAsiaTheme="minorEastAsia"/>
            <w:noProof/>
            <w:sz w:val="22"/>
            <w:szCs w:val="22"/>
            <w:lang w:eastAsia="ro-RO"/>
          </w:rPr>
          <w:tab/>
        </w:r>
        <w:r w:rsidR="00D036E7" w:rsidRPr="00B74A04">
          <w:rPr>
            <w:rStyle w:val="Hyperlink"/>
            <w:noProof/>
          </w:rPr>
          <w:t>Modificările din 2018</w:t>
        </w:r>
        <w:r w:rsidR="00D036E7">
          <w:rPr>
            <w:noProof/>
            <w:webHidden/>
          </w:rPr>
          <w:tab/>
        </w:r>
        <w:r w:rsidR="00D036E7">
          <w:rPr>
            <w:noProof/>
            <w:webHidden/>
          </w:rPr>
          <w:fldChar w:fldCharType="begin"/>
        </w:r>
        <w:r w:rsidR="00D036E7">
          <w:rPr>
            <w:noProof/>
            <w:webHidden/>
          </w:rPr>
          <w:instrText xml:space="preserve"> PAGEREF _Toc238743230 \h </w:instrText>
        </w:r>
        <w:r w:rsidR="00D036E7">
          <w:rPr>
            <w:noProof/>
            <w:webHidden/>
          </w:rPr>
        </w:r>
        <w:r w:rsidR="00D036E7">
          <w:rPr>
            <w:noProof/>
            <w:webHidden/>
          </w:rPr>
          <w:fldChar w:fldCharType="separate"/>
        </w:r>
        <w:r w:rsidR="00D036E7">
          <w:rPr>
            <w:noProof/>
            <w:webHidden/>
          </w:rPr>
          <w:t>4</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31" w:history="1">
        <w:r w:rsidR="00D036E7" w:rsidRPr="00B74A04">
          <w:rPr>
            <w:rStyle w:val="Hyperlink"/>
            <w:noProof/>
          </w:rPr>
          <w:t>1.</w:t>
        </w:r>
        <w:r w:rsidR="00D036E7">
          <w:rPr>
            <w:rFonts w:eastAsiaTheme="minorEastAsia"/>
            <w:noProof/>
            <w:sz w:val="22"/>
            <w:szCs w:val="22"/>
            <w:lang w:eastAsia="ro-RO"/>
          </w:rPr>
          <w:tab/>
        </w:r>
        <w:r w:rsidR="00D036E7" w:rsidRPr="00B74A04">
          <w:rPr>
            <w:rStyle w:val="Hyperlink"/>
            <w:noProof/>
          </w:rPr>
          <w:t>Propunerea Agenției cu privire la aceste modificări</w:t>
        </w:r>
        <w:r w:rsidR="00D036E7">
          <w:rPr>
            <w:noProof/>
            <w:webHidden/>
          </w:rPr>
          <w:tab/>
        </w:r>
        <w:r w:rsidR="00D036E7">
          <w:rPr>
            <w:noProof/>
            <w:webHidden/>
          </w:rPr>
          <w:fldChar w:fldCharType="begin"/>
        </w:r>
        <w:r w:rsidR="00D036E7">
          <w:rPr>
            <w:noProof/>
            <w:webHidden/>
          </w:rPr>
          <w:instrText xml:space="preserve"> PAGEREF _Toc238743231 \h </w:instrText>
        </w:r>
        <w:r w:rsidR="00D036E7">
          <w:rPr>
            <w:noProof/>
            <w:webHidden/>
          </w:rPr>
        </w:r>
        <w:r w:rsidR="00D036E7">
          <w:rPr>
            <w:noProof/>
            <w:webHidden/>
          </w:rPr>
          <w:fldChar w:fldCharType="separate"/>
        </w:r>
        <w:r w:rsidR="00D036E7">
          <w:rPr>
            <w:noProof/>
            <w:webHidden/>
          </w:rPr>
          <w:t>4</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32" w:history="1">
        <w:r w:rsidR="00D036E7" w:rsidRPr="00B74A04">
          <w:rPr>
            <w:rStyle w:val="Hyperlink"/>
            <w:noProof/>
          </w:rPr>
          <w:t>2.</w:t>
        </w:r>
        <w:r w:rsidR="00D036E7">
          <w:rPr>
            <w:rFonts w:eastAsiaTheme="minorEastAsia"/>
            <w:noProof/>
            <w:sz w:val="22"/>
            <w:szCs w:val="22"/>
            <w:lang w:eastAsia="ro-RO"/>
          </w:rPr>
          <w:tab/>
        </w:r>
        <w:r w:rsidR="00D036E7" w:rsidRPr="00B74A04">
          <w:rPr>
            <w:rStyle w:val="Hyperlink"/>
            <w:noProof/>
          </w:rPr>
          <w:t>Consultarea publică în ceea ce privește propunerea respectivă</w:t>
        </w:r>
        <w:r w:rsidR="00D036E7">
          <w:rPr>
            <w:noProof/>
            <w:webHidden/>
          </w:rPr>
          <w:tab/>
        </w:r>
        <w:r w:rsidR="00D036E7">
          <w:rPr>
            <w:noProof/>
            <w:webHidden/>
          </w:rPr>
          <w:fldChar w:fldCharType="begin"/>
        </w:r>
        <w:r w:rsidR="00D036E7">
          <w:rPr>
            <w:noProof/>
            <w:webHidden/>
          </w:rPr>
          <w:instrText xml:space="preserve"> PAGEREF _Toc238743232 \h </w:instrText>
        </w:r>
        <w:r w:rsidR="00D036E7">
          <w:rPr>
            <w:noProof/>
            <w:webHidden/>
          </w:rPr>
        </w:r>
        <w:r w:rsidR="00D036E7">
          <w:rPr>
            <w:noProof/>
            <w:webHidden/>
          </w:rPr>
          <w:fldChar w:fldCharType="separate"/>
        </w:r>
        <w:r w:rsidR="00D036E7">
          <w:rPr>
            <w:noProof/>
            <w:webHidden/>
          </w:rPr>
          <w:t>4</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233" w:history="1">
        <w:r w:rsidR="00D036E7" w:rsidRPr="00B74A04">
          <w:rPr>
            <w:rStyle w:val="Hyperlink"/>
            <w:noProof/>
          </w:rPr>
          <w:t>(a)</w:t>
        </w:r>
        <w:r w:rsidR="00D036E7">
          <w:rPr>
            <w:rFonts w:eastAsiaTheme="minorEastAsia"/>
            <w:noProof/>
            <w:sz w:val="22"/>
            <w:szCs w:val="22"/>
            <w:lang w:eastAsia="ro-RO"/>
          </w:rPr>
          <w:tab/>
        </w:r>
        <w:r w:rsidR="00D036E7" w:rsidRPr="00B74A04">
          <w:rPr>
            <w:rStyle w:val="Hyperlink"/>
            <w:noProof/>
          </w:rPr>
          <w:t>Observațiile Comitetului Helsinki din Bulgaria</w:t>
        </w:r>
        <w:r w:rsidR="00D036E7">
          <w:rPr>
            <w:noProof/>
            <w:webHidden/>
          </w:rPr>
          <w:tab/>
        </w:r>
        <w:r w:rsidR="00D036E7">
          <w:rPr>
            <w:noProof/>
            <w:webHidden/>
          </w:rPr>
          <w:fldChar w:fldCharType="begin"/>
        </w:r>
        <w:r w:rsidR="00D036E7">
          <w:rPr>
            <w:noProof/>
            <w:webHidden/>
          </w:rPr>
          <w:instrText xml:space="preserve"> PAGEREF _Toc238743233 \h </w:instrText>
        </w:r>
        <w:r w:rsidR="00D036E7">
          <w:rPr>
            <w:noProof/>
            <w:webHidden/>
          </w:rPr>
        </w:r>
        <w:r w:rsidR="00D036E7">
          <w:rPr>
            <w:noProof/>
            <w:webHidden/>
          </w:rPr>
          <w:fldChar w:fldCharType="separate"/>
        </w:r>
        <w:r w:rsidR="00D036E7">
          <w:rPr>
            <w:noProof/>
            <w:webHidden/>
          </w:rPr>
          <w:t>5</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234" w:history="1">
        <w:r w:rsidR="00D036E7" w:rsidRPr="00B74A04">
          <w:rPr>
            <w:rStyle w:val="Hyperlink"/>
            <w:noProof/>
          </w:rPr>
          <w:t>(b)</w:t>
        </w:r>
        <w:r w:rsidR="00D036E7">
          <w:rPr>
            <w:rFonts w:eastAsiaTheme="minorEastAsia"/>
            <w:noProof/>
            <w:sz w:val="22"/>
            <w:szCs w:val="22"/>
            <w:lang w:eastAsia="ro-RO"/>
          </w:rPr>
          <w:tab/>
        </w:r>
        <w:r w:rsidR="00D036E7" w:rsidRPr="00B74A04">
          <w:rPr>
            <w:rStyle w:val="Hyperlink"/>
            <w:noProof/>
          </w:rPr>
          <w:t>Observațiile Consiliului Superior al Baroului</w:t>
        </w:r>
        <w:r w:rsidR="00D036E7">
          <w:rPr>
            <w:noProof/>
            <w:webHidden/>
          </w:rPr>
          <w:tab/>
        </w:r>
        <w:r w:rsidR="00D036E7">
          <w:rPr>
            <w:noProof/>
            <w:webHidden/>
          </w:rPr>
          <w:fldChar w:fldCharType="begin"/>
        </w:r>
        <w:r w:rsidR="00D036E7">
          <w:rPr>
            <w:noProof/>
            <w:webHidden/>
          </w:rPr>
          <w:instrText xml:space="preserve"> PAGEREF _Toc238743234 \h </w:instrText>
        </w:r>
        <w:r w:rsidR="00D036E7">
          <w:rPr>
            <w:noProof/>
            <w:webHidden/>
          </w:rPr>
        </w:r>
        <w:r w:rsidR="00D036E7">
          <w:rPr>
            <w:noProof/>
            <w:webHidden/>
          </w:rPr>
          <w:fldChar w:fldCharType="separate"/>
        </w:r>
        <w:r w:rsidR="00D036E7">
          <w:rPr>
            <w:noProof/>
            <w:webHidden/>
          </w:rPr>
          <w:t>5</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235" w:history="1">
        <w:r w:rsidR="00D036E7" w:rsidRPr="00B74A04">
          <w:rPr>
            <w:rStyle w:val="Hyperlink"/>
            <w:noProof/>
          </w:rPr>
          <w:t>(c)</w:t>
        </w:r>
        <w:r w:rsidR="00D036E7">
          <w:rPr>
            <w:rFonts w:eastAsiaTheme="minorEastAsia"/>
            <w:noProof/>
            <w:sz w:val="22"/>
            <w:szCs w:val="22"/>
            <w:lang w:eastAsia="ro-RO"/>
          </w:rPr>
          <w:tab/>
        </w:r>
        <w:r w:rsidR="00D036E7" w:rsidRPr="00B74A04">
          <w:rPr>
            <w:rStyle w:val="Hyperlink"/>
            <w:noProof/>
          </w:rPr>
          <w:t>Răspunsul Agenției</w:t>
        </w:r>
        <w:r w:rsidR="00D036E7">
          <w:rPr>
            <w:noProof/>
            <w:webHidden/>
          </w:rPr>
          <w:tab/>
        </w:r>
        <w:r w:rsidR="00D036E7">
          <w:rPr>
            <w:noProof/>
            <w:webHidden/>
          </w:rPr>
          <w:fldChar w:fldCharType="begin"/>
        </w:r>
        <w:r w:rsidR="00D036E7">
          <w:rPr>
            <w:noProof/>
            <w:webHidden/>
          </w:rPr>
          <w:instrText xml:space="preserve"> PAGEREF _Toc238743235 \h </w:instrText>
        </w:r>
        <w:r w:rsidR="00D036E7">
          <w:rPr>
            <w:noProof/>
            <w:webHidden/>
          </w:rPr>
        </w:r>
        <w:r w:rsidR="00D036E7">
          <w:rPr>
            <w:noProof/>
            <w:webHidden/>
          </w:rPr>
          <w:fldChar w:fldCharType="separate"/>
        </w:r>
        <w:r w:rsidR="00D036E7">
          <w:rPr>
            <w:noProof/>
            <w:webHidden/>
          </w:rPr>
          <w:t>6</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236" w:history="1">
        <w:r w:rsidR="00D036E7" w:rsidRPr="00B74A04">
          <w:rPr>
            <w:rStyle w:val="Hyperlink"/>
            <w:noProof/>
          </w:rPr>
          <w:t>(d)</w:t>
        </w:r>
        <w:r w:rsidR="00D036E7">
          <w:rPr>
            <w:rFonts w:eastAsiaTheme="minorEastAsia"/>
            <w:noProof/>
            <w:sz w:val="22"/>
            <w:szCs w:val="22"/>
            <w:lang w:eastAsia="ro-RO"/>
          </w:rPr>
          <w:tab/>
        </w:r>
        <w:r w:rsidR="00D036E7" w:rsidRPr="00B74A04">
          <w:rPr>
            <w:rStyle w:val="Hyperlink"/>
            <w:noProof/>
          </w:rPr>
          <w:t>Adoptarea modificărilor</w:t>
        </w:r>
        <w:r w:rsidR="00D036E7">
          <w:rPr>
            <w:noProof/>
            <w:webHidden/>
          </w:rPr>
          <w:tab/>
        </w:r>
        <w:r w:rsidR="00D036E7">
          <w:rPr>
            <w:noProof/>
            <w:webHidden/>
          </w:rPr>
          <w:fldChar w:fldCharType="begin"/>
        </w:r>
        <w:r w:rsidR="00D036E7">
          <w:rPr>
            <w:noProof/>
            <w:webHidden/>
          </w:rPr>
          <w:instrText xml:space="preserve"> PAGEREF _Toc238743236 \h </w:instrText>
        </w:r>
        <w:r w:rsidR="00D036E7">
          <w:rPr>
            <w:noProof/>
            <w:webHidden/>
          </w:rPr>
        </w:r>
        <w:r w:rsidR="00D036E7">
          <w:rPr>
            <w:noProof/>
            <w:webHidden/>
          </w:rPr>
          <w:fldChar w:fldCharType="separate"/>
        </w:r>
        <w:r w:rsidR="00D036E7">
          <w:rPr>
            <w:noProof/>
            <w:webHidden/>
          </w:rPr>
          <w:t>7</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37" w:history="1">
        <w:r w:rsidR="00D036E7" w:rsidRPr="00B74A04">
          <w:rPr>
            <w:rStyle w:val="Hyperlink"/>
            <w:noProof/>
          </w:rPr>
          <w:t>3.</w:t>
        </w:r>
        <w:r w:rsidR="00D036E7">
          <w:rPr>
            <w:rFonts w:eastAsiaTheme="minorEastAsia"/>
            <w:noProof/>
            <w:sz w:val="22"/>
            <w:szCs w:val="22"/>
            <w:lang w:eastAsia="ro-RO"/>
          </w:rPr>
          <w:tab/>
        </w:r>
        <w:r w:rsidR="00D036E7" w:rsidRPr="00B74A04">
          <w:rPr>
            <w:rStyle w:val="Hyperlink"/>
            <w:noProof/>
          </w:rPr>
          <w:t>Textul modificărilor</w:t>
        </w:r>
        <w:r w:rsidR="00D036E7">
          <w:rPr>
            <w:noProof/>
            <w:webHidden/>
          </w:rPr>
          <w:tab/>
        </w:r>
        <w:r w:rsidR="00D036E7">
          <w:rPr>
            <w:noProof/>
            <w:webHidden/>
          </w:rPr>
          <w:fldChar w:fldCharType="begin"/>
        </w:r>
        <w:r w:rsidR="00D036E7">
          <w:rPr>
            <w:noProof/>
            <w:webHidden/>
          </w:rPr>
          <w:instrText xml:space="preserve"> PAGEREF _Toc238743237 \h </w:instrText>
        </w:r>
        <w:r w:rsidR="00D036E7">
          <w:rPr>
            <w:noProof/>
            <w:webHidden/>
          </w:rPr>
        </w:r>
        <w:r w:rsidR="00D036E7">
          <w:rPr>
            <w:noProof/>
            <w:webHidden/>
          </w:rPr>
          <w:fldChar w:fldCharType="separate"/>
        </w:r>
        <w:r w:rsidR="00D036E7">
          <w:rPr>
            <w:noProof/>
            <w:webHidden/>
          </w:rPr>
          <w:t>7</w:t>
        </w:r>
        <w:r w:rsidR="00D036E7">
          <w:rPr>
            <w:noProof/>
            <w:webHidden/>
          </w:rPr>
          <w:fldChar w:fldCharType="end"/>
        </w:r>
      </w:hyperlink>
    </w:p>
    <w:p w:rsidR="00D036E7" w:rsidRDefault="00C56213">
      <w:pPr>
        <w:pStyle w:val="TOC2"/>
        <w:tabs>
          <w:tab w:val="left" w:pos="1020"/>
        </w:tabs>
        <w:rPr>
          <w:rFonts w:eastAsiaTheme="minorEastAsia"/>
          <w:noProof/>
          <w:sz w:val="22"/>
          <w:szCs w:val="22"/>
          <w:lang w:eastAsia="ro-RO"/>
        </w:rPr>
      </w:pPr>
      <w:hyperlink w:anchor="_Toc238743238" w:history="1">
        <w:r w:rsidR="00D036E7" w:rsidRPr="00B74A04">
          <w:rPr>
            <w:rStyle w:val="Hyperlink"/>
            <w:noProof/>
          </w:rPr>
          <w:t>III.</w:t>
        </w:r>
        <w:r w:rsidR="00D036E7">
          <w:rPr>
            <w:rFonts w:eastAsiaTheme="minorEastAsia"/>
            <w:noProof/>
            <w:sz w:val="22"/>
            <w:szCs w:val="22"/>
            <w:lang w:eastAsia="ro-RO"/>
          </w:rPr>
          <w:tab/>
        </w:r>
        <w:r w:rsidR="00D036E7" w:rsidRPr="00B74A04">
          <w:rPr>
            <w:rStyle w:val="Hyperlink"/>
            <w:noProof/>
          </w:rPr>
          <w:t>CONTROLUL JURISDICȚIONAL AL ARTICOLELOR MODIFICATE</w:t>
        </w:r>
        <w:r w:rsidR="00D036E7">
          <w:rPr>
            <w:noProof/>
            <w:webHidden/>
          </w:rPr>
          <w:tab/>
        </w:r>
        <w:r w:rsidR="00D036E7">
          <w:rPr>
            <w:noProof/>
            <w:webHidden/>
          </w:rPr>
          <w:fldChar w:fldCharType="begin"/>
        </w:r>
        <w:r w:rsidR="00D036E7">
          <w:rPr>
            <w:noProof/>
            <w:webHidden/>
          </w:rPr>
          <w:instrText xml:space="preserve"> PAGEREF _Toc238743238 \h </w:instrText>
        </w:r>
        <w:r w:rsidR="00D036E7">
          <w:rPr>
            <w:noProof/>
            <w:webHidden/>
          </w:rPr>
        </w:r>
        <w:r w:rsidR="00D036E7">
          <w:rPr>
            <w:noProof/>
            <w:webHidden/>
          </w:rPr>
          <w:fldChar w:fldCharType="separate"/>
        </w:r>
        <w:r w:rsidR="00D036E7">
          <w:rPr>
            <w:noProof/>
            <w:webHidden/>
          </w:rPr>
          <w:t>8</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39" w:history="1">
        <w:r w:rsidR="00D036E7" w:rsidRPr="00B74A04">
          <w:rPr>
            <w:rStyle w:val="Hyperlink"/>
            <w:noProof/>
          </w:rPr>
          <w:t>A.</w:t>
        </w:r>
        <w:r w:rsidR="00D036E7">
          <w:rPr>
            <w:rFonts w:eastAsiaTheme="minorEastAsia"/>
            <w:noProof/>
            <w:sz w:val="22"/>
            <w:szCs w:val="22"/>
            <w:lang w:eastAsia="ro-RO"/>
          </w:rPr>
          <w:tab/>
        </w:r>
        <w:r w:rsidR="00D036E7" w:rsidRPr="00B74A04">
          <w:rPr>
            <w:rStyle w:val="Hyperlink"/>
            <w:noProof/>
          </w:rPr>
          <w:t>În primă instanță</w:t>
        </w:r>
        <w:r w:rsidR="00D036E7">
          <w:rPr>
            <w:noProof/>
            <w:webHidden/>
          </w:rPr>
          <w:tab/>
        </w:r>
        <w:r w:rsidR="00D036E7">
          <w:rPr>
            <w:noProof/>
            <w:webHidden/>
          </w:rPr>
          <w:fldChar w:fldCharType="begin"/>
        </w:r>
        <w:r w:rsidR="00D036E7">
          <w:rPr>
            <w:noProof/>
            <w:webHidden/>
          </w:rPr>
          <w:instrText xml:space="preserve"> PAGEREF _Toc238743239 \h </w:instrText>
        </w:r>
        <w:r w:rsidR="00D036E7">
          <w:rPr>
            <w:noProof/>
            <w:webHidden/>
          </w:rPr>
        </w:r>
        <w:r w:rsidR="00D036E7">
          <w:rPr>
            <w:noProof/>
            <w:webHidden/>
          </w:rPr>
          <w:fldChar w:fldCharType="separate"/>
        </w:r>
        <w:r w:rsidR="00D036E7">
          <w:rPr>
            <w:noProof/>
            <w:webHidden/>
          </w:rPr>
          <w:t>8</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40" w:history="1">
        <w:r w:rsidR="00D036E7" w:rsidRPr="00B74A04">
          <w:rPr>
            <w:rStyle w:val="Hyperlink"/>
            <w:noProof/>
          </w:rPr>
          <w:t>1.</w:t>
        </w:r>
        <w:r w:rsidR="00D036E7">
          <w:rPr>
            <w:rFonts w:eastAsiaTheme="minorEastAsia"/>
            <w:noProof/>
            <w:sz w:val="22"/>
            <w:szCs w:val="22"/>
            <w:lang w:eastAsia="ro-RO"/>
          </w:rPr>
          <w:tab/>
        </w:r>
        <w:r w:rsidR="00D036E7" w:rsidRPr="00B74A04">
          <w:rPr>
            <w:rStyle w:val="Hyperlink"/>
            <w:noProof/>
          </w:rPr>
          <w:t>Desfășurarea procedurii</w:t>
        </w:r>
        <w:r w:rsidR="00D036E7">
          <w:rPr>
            <w:noProof/>
            <w:webHidden/>
          </w:rPr>
          <w:tab/>
        </w:r>
        <w:r w:rsidR="00D036E7">
          <w:rPr>
            <w:noProof/>
            <w:webHidden/>
          </w:rPr>
          <w:fldChar w:fldCharType="begin"/>
        </w:r>
        <w:r w:rsidR="00D036E7">
          <w:rPr>
            <w:noProof/>
            <w:webHidden/>
          </w:rPr>
          <w:instrText xml:space="preserve"> PAGEREF _Toc238743240 \h </w:instrText>
        </w:r>
        <w:r w:rsidR="00D036E7">
          <w:rPr>
            <w:noProof/>
            <w:webHidden/>
          </w:rPr>
        </w:r>
        <w:r w:rsidR="00D036E7">
          <w:rPr>
            <w:noProof/>
            <w:webHidden/>
          </w:rPr>
          <w:fldChar w:fldCharType="separate"/>
        </w:r>
        <w:r w:rsidR="00D036E7">
          <w:rPr>
            <w:noProof/>
            <w:webHidden/>
          </w:rPr>
          <w:t>8</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41" w:history="1">
        <w:r w:rsidR="00D036E7" w:rsidRPr="00B74A04">
          <w:rPr>
            <w:rStyle w:val="Hyperlink"/>
            <w:noProof/>
          </w:rPr>
          <w:t>2.</w:t>
        </w:r>
        <w:r w:rsidR="00D036E7">
          <w:rPr>
            <w:rFonts w:eastAsiaTheme="minorEastAsia"/>
            <w:noProof/>
            <w:sz w:val="22"/>
            <w:szCs w:val="22"/>
            <w:lang w:eastAsia="ro-RO"/>
          </w:rPr>
          <w:tab/>
        </w:r>
        <w:r w:rsidR="00D036E7" w:rsidRPr="00B74A04">
          <w:rPr>
            <w:rStyle w:val="Hyperlink"/>
            <w:noProof/>
          </w:rPr>
          <w:t>Hotărârea Curții Administrative Supreme</w:t>
        </w:r>
        <w:r w:rsidR="00D036E7">
          <w:rPr>
            <w:noProof/>
            <w:webHidden/>
          </w:rPr>
          <w:tab/>
        </w:r>
        <w:r w:rsidR="00D036E7">
          <w:rPr>
            <w:noProof/>
            <w:webHidden/>
          </w:rPr>
          <w:fldChar w:fldCharType="begin"/>
        </w:r>
        <w:r w:rsidR="00D036E7">
          <w:rPr>
            <w:noProof/>
            <w:webHidden/>
          </w:rPr>
          <w:instrText xml:space="preserve"> PAGEREF _Toc238743241 \h </w:instrText>
        </w:r>
        <w:r w:rsidR="00D036E7">
          <w:rPr>
            <w:noProof/>
            <w:webHidden/>
          </w:rPr>
        </w:r>
        <w:r w:rsidR="00D036E7">
          <w:rPr>
            <w:noProof/>
            <w:webHidden/>
          </w:rPr>
          <w:fldChar w:fldCharType="separate"/>
        </w:r>
        <w:r w:rsidR="00D036E7">
          <w:rPr>
            <w:noProof/>
            <w:webHidden/>
          </w:rPr>
          <w:t>10</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42" w:history="1">
        <w:r w:rsidR="00D036E7" w:rsidRPr="00B74A04">
          <w:rPr>
            <w:rStyle w:val="Hyperlink"/>
            <w:noProof/>
          </w:rPr>
          <w:t>B.</w:t>
        </w:r>
        <w:r w:rsidR="00D036E7">
          <w:rPr>
            <w:rFonts w:eastAsiaTheme="minorEastAsia"/>
            <w:noProof/>
            <w:sz w:val="22"/>
            <w:szCs w:val="22"/>
            <w:lang w:eastAsia="ro-RO"/>
          </w:rPr>
          <w:tab/>
        </w:r>
        <w:r w:rsidR="00D036E7" w:rsidRPr="00B74A04">
          <w:rPr>
            <w:rStyle w:val="Hyperlink"/>
            <w:noProof/>
          </w:rPr>
          <w:t>În recurs</w:t>
        </w:r>
        <w:r w:rsidR="00D036E7">
          <w:rPr>
            <w:noProof/>
            <w:webHidden/>
          </w:rPr>
          <w:tab/>
        </w:r>
        <w:r w:rsidR="00D036E7">
          <w:rPr>
            <w:noProof/>
            <w:webHidden/>
          </w:rPr>
          <w:fldChar w:fldCharType="begin"/>
        </w:r>
        <w:r w:rsidR="00D036E7">
          <w:rPr>
            <w:noProof/>
            <w:webHidden/>
          </w:rPr>
          <w:instrText xml:space="preserve"> PAGEREF _Toc238743242 \h </w:instrText>
        </w:r>
        <w:r w:rsidR="00D036E7">
          <w:rPr>
            <w:noProof/>
            <w:webHidden/>
          </w:rPr>
        </w:r>
        <w:r w:rsidR="00D036E7">
          <w:rPr>
            <w:noProof/>
            <w:webHidden/>
          </w:rPr>
          <w:fldChar w:fldCharType="separate"/>
        </w:r>
        <w:r w:rsidR="00D036E7">
          <w:rPr>
            <w:noProof/>
            <w:webHidden/>
          </w:rPr>
          <w:t>10</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43" w:history="1">
        <w:r w:rsidR="00D036E7" w:rsidRPr="00B74A04">
          <w:rPr>
            <w:rStyle w:val="Hyperlink"/>
            <w:noProof/>
          </w:rPr>
          <w:t>1.</w:t>
        </w:r>
        <w:r w:rsidR="00D036E7">
          <w:rPr>
            <w:rFonts w:eastAsiaTheme="minorEastAsia"/>
            <w:noProof/>
            <w:sz w:val="22"/>
            <w:szCs w:val="22"/>
            <w:lang w:eastAsia="ro-RO"/>
          </w:rPr>
          <w:tab/>
        </w:r>
        <w:r w:rsidR="00D036E7" w:rsidRPr="00B74A04">
          <w:rPr>
            <w:rStyle w:val="Hyperlink"/>
            <w:noProof/>
          </w:rPr>
          <w:t>Desfășurarea procedurii</w:t>
        </w:r>
        <w:r w:rsidR="00D036E7">
          <w:rPr>
            <w:noProof/>
            <w:webHidden/>
          </w:rPr>
          <w:tab/>
        </w:r>
        <w:r w:rsidR="00D036E7">
          <w:rPr>
            <w:noProof/>
            <w:webHidden/>
          </w:rPr>
          <w:fldChar w:fldCharType="begin"/>
        </w:r>
        <w:r w:rsidR="00D036E7">
          <w:rPr>
            <w:noProof/>
            <w:webHidden/>
          </w:rPr>
          <w:instrText xml:space="preserve"> PAGEREF _Toc238743243 \h </w:instrText>
        </w:r>
        <w:r w:rsidR="00D036E7">
          <w:rPr>
            <w:noProof/>
            <w:webHidden/>
          </w:rPr>
        </w:r>
        <w:r w:rsidR="00D036E7">
          <w:rPr>
            <w:noProof/>
            <w:webHidden/>
          </w:rPr>
          <w:fldChar w:fldCharType="separate"/>
        </w:r>
        <w:r w:rsidR="00D036E7">
          <w:rPr>
            <w:noProof/>
            <w:webHidden/>
          </w:rPr>
          <w:t>10</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44" w:history="1">
        <w:r w:rsidR="00D036E7" w:rsidRPr="00B74A04">
          <w:rPr>
            <w:rStyle w:val="Hyperlink"/>
            <w:noProof/>
          </w:rPr>
          <w:t>2.</w:t>
        </w:r>
        <w:r w:rsidR="00D036E7">
          <w:rPr>
            <w:rFonts w:eastAsiaTheme="minorEastAsia"/>
            <w:noProof/>
            <w:sz w:val="22"/>
            <w:szCs w:val="22"/>
            <w:lang w:eastAsia="ro-RO"/>
          </w:rPr>
          <w:tab/>
        </w:r>
        <w:r w:rsidR="00D036E7" w:rsidRPr="00B74A04">
          <w:rPr>
            <w:rStyle w:val="Hyperlink"/>
            <w:noProof/>
          </w:rPr>
          <w:t>Hotărârea Curții Administrative Supreme</w:t>
        </w:r>
        <w:r w:rsidR="00D036E7">
          <w:rPr>
            <w:noProof/>
            <w:webHidden/>
          </w:rPr>
          <w:tab/>
        </w:r>
        <w:r w:rsidR="00D036E7">
          <w:rPr>
            <w:noProof/>
            <w:webHidden/>
          </w:rPr>
          <w:fldChar w:fldCharType="begin"/>
        </w:r>
        <w:r w:rsidR="00D036E7">
          <w:rPr>
            <w:noProof/>
            <w:webHidden/>
          </w:rPr>
          <w:instrText xml:space="preserve"> PAGEREF _Toc238743244 \h </w:instrText>
        </w:r>
        <w:r w:rsidR="00D036E7">
          <w:rPr>
            <w:noProof/>
            <w:webHidden/>
          </w:rPr>
        </w:r>
        <w:r w:rsidR="00D036E7">
          <w:rPr>
            <w:noProof/>
            <w:webHidden/>
          </w:rPr>
          <w:fldChar w:fldCharType="separate"/>
        </w:r>
        <w:r w:rsidR="00D036E7">
          <w:rPr>
            <w:noProof/>
            <w:webHidden/>
          </w:rPr>
          <w:t>11</w:t>
        </w:r>
        <w:r w:rsidR="00D036E7">
          <w:rPr>
            <w:noProof/>
            <w:webHidden/>
          </w:rPr>
          <w:fldChar w:fldCharType="end"/>
        </w:r>
      </w:hyperlink>
    </w:p>
    <w:p w:rsidR="00D036E7" w:rsidRDefault="00C56213">
      <w:pPr>
        <w:pStyle w:val="TOC1"/>
        <w:rPr>
          <w:rFonts w:eastAsiaTheme="minorEastAsia"/>
          <w:b w:val="0"/>
          <w:noProof/>
          <w:sz w:val="22"/>
          <w:szCs w:val="22"/>
          <w:lang w:eastAsia="ro-RO"/>
        </w:rPr>
      </w:pPr>
      <w:hyperlink w:anchor="_Toc238743245" w:history="1">
        <w:r w:rsidR="00D036E7" w:rsidRPr="00B74A04">
          <w:rPr>
            <w:rStyle w:val="Hyperlink"/>
            <w:noProof/>
          </w:rPr>
          <w:t>CADRUL JURIDIC RELEVANT</w:t>
        </w:r>
        <w:r w:rsidR="00D036E7">
          <w:rPr>
            <w:noProof/>
            <w:webHidden/>
          </w:rPr>
          <w:tab/>
        </w:r>
        <w:r w:rsidR="00D036E7">
          <w:rPr>
            <w:noProof/>
            <w:webHidden/>
          </w:rPr>
          <w:fldChar w:fldCharType="begin"/>
        </w:r>
        <w:r w:rsidR="00D036E7">
          <w:rPr>
            <w:noProof/>
            <w:webHidden/>
          </w:rPr>
          <w:instrText xml:space="preserve"> PAGEREF _Toc238743245 \h </w:instrText>
        </w:r>
        <w:r w:rsidR="00D036E7">
          <w:rPr>
            <w:noProof/>
            <w:webHidden/>
          </w:rPr>
        </w:r>
        <w:r w:rsidR="00D036E7">
          <w:rPr>
            <w:noProof/>
            <w:webHidden/>
          </w:rPr>
          <w:fldChar w:fldCharType="separate"/>
        </w:r>
        <w:r w:rsidR="00D036E7">
          <w:rPr>
            <w:noProof/>
            <w:webHidden/>
          </w:rPr>
          <w:t>11</w:t>
        </w:r>
        <w:r w:rsidR="00D036E7">
          <w:rPr>
            <w:noProof/>
            <w:webHidden/>
          </w:rPr>
          <w:fldChar w:fldCharType="end"/>
        </w:r>
      </w:hyperlink>
    </w:p>
    <w:p w:rsidR="00D036E7" w:rsidRDefault="00C56213">
      <w:pPr>
        <w:pStyle w:val="TOC2"/>
        <w:tabs>
          <w:tab w:val="left" w:pos="680"/>
        </w:tabs>
        <w:rPr>
          <w:rFonts w:eastAsiaTheme="minorEastAsia"/>
          <w:noProof/>
          <w:sz w:val="22"/>
          <w:szCs w:val="22"/>
          <w:lang w:eastAsia="ro-RO"/>
        </w:rPr>
      </w:pPr>
      <w:hyperlink w:anchor="_Toc238743246" w:history="1">
        <w:r w:rsidR="00D036E7" w:rsidRPr="00B74A04">
          <w:rPr>
            <w:rStyle w:val="Hyperlink"/>
            <w:noProof/>
          </w:rPr>
          <w:t>I.</w:t>
        </w:r>
        <w:r w:rsidR="00D036E7">
          <w:rPr>
            <w:rFonts w:eastAsiaTheme="minorEastAsia"/>
            <w:noProof/>
            <w:sz w:val="22"/>
            <w:szCs w:val="22"/>
            <w:lang w:eastAsia="ro-RO"/>
          </w:rPr>
          <w:tab/>
        </w:r>
        <w:r w:rsidR="00D036E7" w:rsidRPr="00B74A04">
          <w:rPr>
            <w:rStyle w:val="Hyperlink"/>
            <w:noProof/>
          </w:rPr>
          <w:t>LEGEA DIN 2007</w:t>
        </w:r>
        <w:r w:rsidR="00D036E7">
          <w:rPr>
            <w:noProof/>
            <w:webHidden/>
          </w:rPr>
          <w:tab/>
        </w:r>
        <w:r w:rsidR="00D036E7">
          <w:rPr>
            <w:noProof/>
            <w:webHidden/>
          </w:rPr>
          <w:fldChar w:fldCharType="begin"/>
        </w:r>
        <w:r w:rsidR="00D036E7">
          <w:rPr>
            <w:noProof/>
            <w:webHidden/>
          </w:rPr>
          <w:instrText xml:space="preserve"> PAGEREF _Toc238743246 \h </w:instrText>
        </w:r>
        <w:r w:rsidR="00D036E7">
          <w:rPr>
            <w:noProof/>
            <w:webHidden/>
          </w:rPr>
        </w:r>
        <w:r w:rsidR="00D036E7">
          <w:rPr>
            <w:noProof/>
            <w:webHidden/>
          </w:rPr>
          <w:fldChar w:fldCharType="separate"/>
        </w:r>
        <w:r w:rsidR="00D036E7">
          <w:rPr>
            <w:noProof/>
            <w:webHidden/>
          </w:rPr>
          <w:t>11</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47" w:history="1">
        <w:r w:rsidR="00D036E7" w:rsidRPr="00B74A04">
          <w:rPr>
            <w:rStyle w:val="Hyperlink"/>
            <w:noProof/>
          </w:rPr>
          <w:t>A.</w:t>
        </w:r>
        <w:r w:rsidR="00D036E7">
          <w:rPr>
            <w:rFonts w:eastAsiaTheme="minorEastAsia"/>
            <w:noProof/>
            <w:sz w:val="22"/>
            <w:szCs w:val="22"/>
            <w:lang w:eastAsia="ro-RO"/>
          </w:rPr>
          <w:tab/>
        </w:r>
        <w:r w:rsidR="00D036E7" w:rsidRPr="00B74A04">
          <w:rPr>
            <w:rStyle w:val="Hyperlink"/>
            <w:noProof/>
          </w:rPr>
          <w:t>Agenția, atribuțiile și competențele sale</w:t>
        </w:r>
        <w:r w:rsidR="00D036E7">
          <w:rPr>
            <w:noProof/>
            <w:webHidden/>
          </w:rPr>
          <w:tab/>
        </w:r>
        <w:r w:rsidR="00D036E7">
          <w:rPr>
            <w:noProof/>
            <w:webHidden/>
          </w:rPr>
          <w:fldChar w:fldCharType="begin"/>
        </w:r>
        <w:r w:rsidR="00D036E7">
          <w:rPr>
            <w:noProof/>
            <w:webHidden/>
          </w:rPr>
          <w:instrText xml:space="preserve"> PAGEREF _Toc238743247 \h </w:instrText>
        </w:r>
        <w:r w:rsidR="00D036E7">
          <w:rPr>
            <w:noProof/>
            <w:webHidden/>
          </w:rPr>
        </w:r>
        <w:r w:rsidR="00D036E7">
          <w:rPr>
            <w:noProof/>
            <w:webHidden/>
          </w:rPr>
          <w:fldChar w:fldCharType="separate"/>
        </w:r>
        <w:r w:rsidR="00D036E7">
          <w:rPr>
            <w:noProof/>
            <w:webHidden/>
          </w:rPr>
          <w:t>11</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48" w:history="1">
        <w:r w:rsidR="00D036E7" w:rsidRPr="00B74A04">
          <w:rPr>
            <w:rStyle w:val="Hyperlink"/>
            <w:noProof/>
          </w:rPr>
          <w:t>B.</w:t>
        </w:r>
        <w:r w:rsidR="00D036E7">
          <w:rPr>
            <w:rFonts w:eastAsiaTheme="minorEastAsia"/>
            <w:noProof/>
            <w:sz w:val="22"/>
            <w:szCs w:val="22"/>
            <w:lang w:eastAsia="ro-RO"/>
          </w:rPr>
          <w:tab/>
        </w:r>
        <w:r w:rsidR="00D036E7" w:rsidRPr="00B74A04">
          <w:rPr>
            <w:rStyle w:val="Hyperlink"/>
            <w:noProof/>
          </w:rPr>
          <w:t>„Agenții cu identitate atribuită” folosiți de Agenție</w:t>
        </w:r>
        <w:r w:rsidR="00D036E7">
          <w:rPr>
            <w:noProof/>
            <w:webHidden/>
          </w:rPr>
          <w:tab/>
        </w:r>
        <w:r w:rsidR="00D036E7">
          <w:rPr>
            <w:noProof/>
            <w:webHidden/>
          </w:rPr>
          <w:fldChar w:fldCharType="begin"/>
        </w:r>
        <w:r w:rsidR="00D036E7">
          <w:rPr>
            <w:noProof/>
            <w:webHidden/>
          </w:rPr>
          <w:instrText xml:space="preserve"> PAGEREF _Toc238743248 \h </w:instrText>
        </w:r>
        <w:r w:rsidR="00D036E7">
          <w:rPr>
            <w:noProof/>
            <w:webHidden/>
          </w:rPr>
        </w:r>
        <w:r w:rsidR="00D036E7">
          <w:rPr>
            <w:noProof/>
            <w:webHidden/>
          </w:rPr>
          <w:fldChar w:fldCharType="separate"/>
        </w:r>
        <w:r w:rsidR="00D036E7">
          <w:rPr>
            <w:noProof/>
            <w:webHidden/>
          </w:rPr>
          <w:t>13</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49" w:history="1">
        <w:r w:rsidR="00D036E7" w:rsidRPr="00B74A04">
          <w:rPr>
            <w:rStyle w:val="Hyperlink"/>
            <w:noProof/>
          </w:rPr>
          <w:t>C.</w:t>
        </w:r>
        <w:r w:rsidR="00D036E7">
          <w:rPr>
            <w:rFonts w:eastAsiaTheme="minorEastAsia"/>
            <w:noProof/>
            <w:sz w:val="22"/>
            <w:szCs w:val="22"/>
            <w:lang w:eastAsia="ro-RO"/>
          </w:rPr>
          <w:tab/>
        </w:r>
        <w:r w:rsidR="00D036E7" w:rsidRPr="00B74A04">
          <w:rPr>
            <w:rStyle w:val="Hyperlink"/>
            <w:noProof/>
          </w:rPr>
          <w:t>Informatorii recrutați de Agenție</w:t>
        </w:r>
        <w:r w:rsidR="00D036E7">
          <w:rPr>
            <w:noProof/>
            <w:webHidden/>
          </w:rPr>
          <w:tab/>
        </w:r>
        <w:r w:rsidR="00D036E7">
          <w:rPr>
            <w:noProof/>
            <w:webHidden/>
          </w:rPr>
          <w:fldChar w:fldCharType="begin"/>
        </w:r>
        <w:r w:rsidR="00D036E7">
          <w:rPr>
            <w:noProof/>
            <w:webHidden/>
          </w:rPr>
          <w:instrText xml:space="preserve"> PAGEREF _Toc238743249 \h </w:instrText>
        </w:r>
        <w:r w:rsidR="00D036E7">
          <w:rPr>
            <w:noProof/>
            <w:webHidden/>
          </w:rPr>
        </w:r>
        <w:r w:rsidR="00D036E7">
          <w:rPr>
            <w:noProof/>
            <w:webHidden/>
          </w:rPr>
          <w:fldChar w:fldCharType="separate"/>
        </w:r>
        <w:r w:rsidR="00D036E7">
          <w:rPr>
            <w:noProof/>
            <w:webHidden/>
          </w:rPr>
          <w:t>13</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50" w:history="1">
        <w:r w:rsidR="00D036E7" w:rsidRPr="00B74A04">
          <w:rPr>
            <w:rStyle w:val="Hyperlink"/>
            <w:noProof/>
          </w:rPr>
          <w:t>D.</w:t>
        </w:r>
        <w:r w:rsidR="00D036E7">
          <w:rPr>
            <w:rFonts w:eastAsiaTheme="minorEastAsia"/>
            <w:noProof/>
            <w:sz w:val="22"/>
            <w:szCs w:val="22"/>
            <w:lang w:eastAsia="ro-RO"/>
          </w:rPr>
          <w:tab/>
        </w:r>
        <w:r w:rsidR="00D036E7" w:rsidRPr="00B74A04">
          <w:rPr>
            <w:rStyle w:val="Hyperlink"/>
            <w:noProof/>
          </w:rPr>
          <w:t>Prelucrarea datelor de către Agenție</w:t>
        </w:r>
        <w:r w:rsidR="00D036E7">
          <w:rPr>
            <w:noProof/>
            <w:webHidden/>
          </w:rPr>
          <w:tab/>
        </w:r>
        <w:r w:rsidR="00D036E7">
          <w:rPr>
            <w:noProof/>
            <w:webHidden/>
          </w:rPr>
          <w:fldChar w:fldCharType="begin"/>
        </w:r>
        <w:r w:rsidR="00D036E7">
          <w:rPr>
            <w:noProof/>
            <w:webHidden/>
          </w:rPr>
          <w:instrText xml:space="preserve"> PAGEREF _Toc238743250 \h </w:instrText>
        </w:r>
        <w:r w:rsidR="00D036E7">
          <w:rPr>
            <w:noProof/>
            <w:webHidden/>
          </w:rPr>
        </w:r>
        <w:r w:rsidR="00D036E7">
          <w:rPr>
            <w:noProof/>
            <w:webHidden/>
          </w:rPr>
          <w:fldChar w:fldCharType="separate"/>
        </w:r>
        <w:r w:rsidR="00D036E7">
          <w:rPr>
            <w:noProof/>
            <w:webHidden/>
          </w:rPr>
          <w:t>14</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51" w:history="1">
        <w:r w:rsidR="00D036E7" w:rsidRPr="00B74A04">
          <w:rPr>
            <w:rStyle w:val="Hyperlink"/>
            <w:noProof/>
          </w:rPr>
          <w:t>E.</w:t>
        </w:r>
        <w:r w:rsidR="00D036E7">
          <w:rPr>
            <w:rFonts w:eastAsiaTheme="minorEastAsia"/>
            <w:noProof/>
            <w:sz w:val="22"/>
            <w:szCs w:val="22"/>
            <w:lang w:eastAsia="ro-RO"/>
          </w:rPr>
          <w:tab/>
        </w:r>
        <w:r w:rsidR="00D036E7" w:rsidRPr="00B74A04">
          <w:rPr>
            <w:rStyle w:val="Hyperlink"/>
            <w:noProof/>
          </w:rPr>
          <w:t>Supravegherea generală a activității Agenției</w:t>
        </w:r>
        <w:r w:rsidR="00D036E7">
          <w:rPr>
            <w:noProof/>
            <w:webHidden/>
          </w:rPr>
          <w:tab/>
        </w:r>
        <w:r w:rsidR="00D036E7">
          <w:rPr>
            <w:noProof/>
            <w:webHidden/>
          </w:rPr>
          <w:fldChar w:fldCharType="begin"/>
        </w:r>
        <w:r w:rsidR="00D036E7">
          <w:rPr>
            <w:noProof/>
            <w:webHidden/>
          </w:rPr>
          <w:instrText xml:space="preserve"> PAGEREF _Toc238743251 \h </w:instrText>
        </w:r>
        <w:r w:rsidR="00D036E7">
          <w:rPr>
            <w:noProof/>
            <w:webHidden/>
          </w:rPr>
        </w:r>
        <w:r w:rsidR="00D036E7">
          <w:rPr>
            <w:noProof/>
            <w:webHidden/>
          </w:rPr>
          <w:fldChar w:fldCharType="separate"/>
        </w:r>
        <w:r w:rsidR="00D036E7">
          <w:rPr>
            <w:noProof/>
            <w:webHidden/>
          </w:rPr>
          <w:t>15</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52" w:history="1">
        <w:r w:rsidR="00D036E7" w:rsidRPr="00B74A04">
          <w:rPr>
            <w:rStyle w:val="Hyperlink"/>
            <w:noProof/>
          </w:rPr>
          <w:t>1.</w:t>
        </w:r>
        <w:r w:rsidR="00D036E7">
          <w:rPr>
            <w:rFonts w:eastAsiaTheme="minorEastAsia"/>
            <w:noProof/>
            <w:sz w:val="22"/>
            <w:szCs w:val="22"/>
            <w:lang w:eastAsia="ro-RO"/>
          </w:rPr>
          <w:tab/>
        </w:r>
        <w:r w:rsidR="00D036E7" w:rsidRPr="00B74A04">
          <w:rPr>
            <w:rStyle w:val="Hyperlink"/>
            <w:noProof/>
          </w:rPr>
          <w:t>Supravegherea de către Parlament</w:t>
        </w:r>
        <w:r w:rsidR="00D036E7">
          <w:rPr>
            <w:noProof/>
            <w:webHidden/>
          </w:rPr>
          <w:tab/>
        </w:r>
        <w:r w:rsidR="00D036E7">
          <w:rPr>
            <w:noProof/>
            <w:webHidden/>
          </w:rPr>
          <w:fldChar w:fldCharType="begin"/>
        </w:r>
        <w:r w:rsidR="00D036E7">
          <w:rPr>
            <w:noProof/>
            <w:webHidden/>
          </w:rPr>
          <w:instrText xml:space="preserve"> PAGEREF _Toc238743252 \h </w:instrText>
        </w:r>
        <w:r w:rsidR="00D036E7">
          <w:rPr>
            <w:noProof/>
            <w:webHidden/>
          </w:rPr>
        </w:r>
        <w:r w:rsidR="00D036E7">
          <w:rPr>
            <w:noProof/>
            <w:webHidden/>
          </w:rPr>
          <w:fldChar w:fldCharType="separate"/>
        </w:r>
        <w:r w:rsidR="00D036E7">
          <w:rPr>
            <w:noProof/>
            <w:webHidden/>
          </w:rPr>
          <w:t>15</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53" w:history="1">
        <w:r w:rsidR="00D036E7" w:rsidRPr="00B74A04">
          <w:rPr>
            <w:rStyle w:val="Hyperlink"/>
            <w:noProof/>
          </w:rPr>
          <w:t>2.</w:t>
        </w:r>
        <w:r w:rsidR="00D036E7">
          <w:rPr>
            <w:rFonts w:eastAsiaTheme="minorEastAsia"/>
            <w:noProof/>
            <w:sz w:val="22"/>
            <w:szCs w:val="22"/>
            <w:lang w:eastAsia="ro-RO"/>
          </w:rPr>
          <w:tab/>
        </w:r>
        <w:r w:rsidR="00D036E7" w:rsidRPr="00B74A04">
          <w:rPr>
            <w:rStyle w:val="Hyperlink"/>
            <w:noProof/>
          </w:rPr>
          <w:t>Supravegherea de către Guvern</w:t>
        </w:r>
        <w:r w:rsidR="00D036E7">
          <w:rPr>
            <w:noProof/>
            <w:webHidden/>
          </w:rPr>
          <w:tab/>
        </w:r>
        <w:r w:rsidR="00D036E7">
          <w:rPr>
            <w:noProof/>
            <w:webHidden/>
          </w:rPr>
          <w:fldChar w:fldCharType="begin"/>
        </w:r>
        <w:r w:rsidR="00D036E7">
          <w:rPr>
            <w:noProof/>
            <w:webHidden/>
          </w:rPr>
          <w:instrText xml:space="preserve"> PAGEREF _Toc238743253 \h </w:instrText>
        </w:r>
        <w:r w:rsidR="00D036E7">
          <w:rPr>
            <w:noProof/>
            <w:webHidden/>
          </w:rPr>
        </w:r>
        <w:r w:rsidR="00D036E7">
          <w:rPr>
            <w:noProof/>
            <w:webHidden/>
          </w:rPr>
          <w:fldChar w:fldCharType="separate"/>
        </w:r>
        <w:r w:rsidR="00D036E7">
          <w:rPr>
            <w:noProof/>
            <w:webHidden/>
          </w:rPr>
          <w:t>16</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54" w:history="1">
        <w:r w:rsidR="00D036E7" w:rsidRPr="00B74A04">
          <w:rPr>
            <w:rStyle w:val="Hyperlink"/>
            <w:noProof/>
          </w:rPr>
          <w:t>3.</w:t>
        </w:r>
        <w:r w:rsidR="00D036E7">
          <w:rPr>
            <w:rFonts w:eastAsiaTheme="minorEastAsia"/>
            <w:noProof/>
            <w:sz w:val="22"/>
            <w:szCs w:val="22"/>
            <w:lang w:eastAsia="ro-RO"/>
          </w:rPr>
          <w:tab/>
        </w:r>
        <w:r w:rsidR="00D036E7" w:rsidRPr="00B74A04">
          <w:rPr>
            <w:rStyle w:val="Hyperlink"/>
            <w:noProof/>
          </w:rPr>
          <w:t>Supravegherea de către Președintele Republicii</w:t>
        </w:r>
        <w:r w:rsidR="00D036E7">
          <w:rPr>
            <w:noProof/>
            <w:webHidden/>
          </w:rPr>
          <w:tab/>
        </w:r>
        <w:r w:rsidR="00D036E7">
          <w:rPr>
            <w:noProof/>
            <w:webHidden/>
          </w:rPr>
          <w:fldChar w:fldCharType="begin"/>
        </w:r>
        <w:r w:rsidR="00D036E7">
          <w:rPr>
            <w:noProof/>
            <w:webHidden/>
          </w:rPr>
          <w:instrText xml:space="preserve"> PAGEREF _Toc238743254 \h </w:instrText>
        </w:r>
        <w:r w:rsidR="00D036E7">
          <w:rPr>
            <w:noProof/>
            <w:webHidden/>
          </w:rPr>
        </w:r>
        <w:r w:rsidR="00D036E7">
          <w:rPr>
            <w:noProof/>
            <w:webHidden/>
          </w:rPr>
          <w:fldChar w:fldCharType="separate"/>
        </w:r>
        <w:r w:rsidR="00D036E7">
          <w:rPr>
            <w:noProof/>
            <w:webHidden/>
          </w:rPr>
          <w:t>16</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55" w:history="1">
        <w:r w:rsidR="00D036E7" w:rsidRPr="00B74A04">
          <w:rPr>
            <w:rStyle w:val="Hyperlink"/>
            <w:noProof/>
          </w:rPr>
          <w:t>F.</w:t>
        </w:r>
        <w:r w:rsidR="00D036E7">
          <w:rPr>
            <w:rFonts w:eastAsiaTheme="minorEastAsia"/>
            <w:noProof/>
            <w:sz w:val="22"/>
            <w:szCs w:val="22"/>
            <w:lang w:eastAsia="ro-RO"/>
          </w:rPr>
          <w:tab/>
        </w:r>
        <w:r w:rsidR="00D036E7" w:rsidRPr="00B74A04">
          <w:rPr>
            <w:rStyle w:val="Hyperlink"/>
            <w:noProof/>
          </w:rPr>
          <w:t>Accesul la datele cu caracter personal prelucrate de Agenție</w:t>
        </w:r>
        <w:r w:rsidR="00D036E7">
          <w:rPr>
            <w:noProof/>
            <w:webHidden/>
          </w:rPr>
          <w:tab/>
        </w:r>
        <w:r w:rsidR="00D036E7">
          <w:rPr>
            <w:noProof/>
            <w:webHidden/>
          </w:rPr>
          <w:fldChar w:fldCharType="begin"/>
        </w:r>
        <w:r w:rsidR="00D036E7">
          <w:rPr>
            <w:noProof/>
            <w:webHidden/>
          </w:rPr>
          <w:instrText xml:space="preserve"> PAGEREF _Toc238743255 \h </w:instrText>
        </w:r>
        <w:r w:rsidR="00D036E7">
          <w:rPr>
            <w:noProof/>
            <w:webHidden/>
          </w:rPr>
        </w:r>
        <w:r w:rsidR="00D036E7">
          <w:rPr>
            <w:noProof/>
            <w:webHidden/>
          </w:rPr>
          <w:fldChar w:fldCharType="separate"/>
        </w:r>
        <w:r w:rsidR="00D036E7">
          <w:rPr>
            <w:noProof/>
            <w:webHidden/>
          </w:rPr>
          <w:t>16</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56" w:history="1">
        <w:r w:rsidR="00D036E7" w:rsidRPr="00B74A04">
          <w:rPr>
            <w:rStyle w:val="Hyperlink"/>
            <w:noProof/>
          </w:rPr>
          <w:t>1.</w:t>
        </w:r>
        <w:r w:rsidR="00D036E7">
          <w:rPr>
            <w:rFonts w:eastAsiaTheme="minorEastAsia"/>
            <w:noProof/>
            <w:sz w:val="22"/>
            <w:szCs w:val="22"/>
            <w:lang w:eastAsia="ro-RO"/>
          </w:rPr>
          <w:tab/>
        </w:r>
        <w:r w:rsidR="00D036E7" w:rsidRPr="00B74A04">
          <w:rPr>
            <w:rStyle w:val="Hyperlink"/>
            <w:noProof/>
          </w:rPr>
          <w:t>Dispoziții și reglementări legale relevante</w:t>
        </w:r>
        <w:r w:rsidR="00D036E7">
          <w:rPr>
            <w:noProof/>
            <w:webHidden/>
          </w:rPr>
          <w:tab/>
        </w:r>
        <w:r w:rsidR="00D036E7">
          <w:rPr>
            <w:noProof/>
            <w:webHidden/>
          </w:rPr>
          <w:fldChar w:fldCharType="begin"/>
        </w:r>
        <w:r w:rsidR="00D036E7">
          <w:rPr>
            <w:noProof/>
            <w:webHidden/>
          </w:rPr>
          <w:instrText xml:space="preserve"> PAGEREF _Toc238743256 \h </w:instrText>
        </w:r>
        <w:r w:rsidR="00D036E7">
          <w:rPr>
            <w:noProof/>
            <w:webHidden/>
          </w:rPr>
        </w:r>
        <w:r w:rsidR="00D036E7">
          <w:rPr>
            <w:noProof/>
            <w:webHidden/>
          </w:rPr>
          <w:fldChar w:fldCharType="separate"/>
        </w:r>
        <w:r w:rsidR="00D036E7">
          <w:rPr>
            <w:noProof/>
            <w:webHidden/>
          </w:rPr>
          <w:t>16</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57" w:history="1">
        <w:r w:rsidR="00D036E7" w:rsidRPr="00B74A04">
          <w:rPr>
            <w:rStyle w:val="Hyperlink"/>
            <w:noProof/>
          </w:rPr>
          <w:t>2.</w:t>
        </w:r>
        <w:r w:rsidR="00D036E7">
          <w:rPr>
            <w:rFonts w:eastAsiaTheme="minorEastAsia"/>
            <w:noProof/>
            <w:sz w:val="22"/>
            <w:szCs w:val="22"/>
            <w:lang w:eastAsia="ro-RO"/>
          </w:rPr>
          <w:tab/>
        </w:r>
        <w:r w:rsidR="00D036E7" w:rsidRPr="00B74A04">
          <w:rPr>
            <w:rStyle w:val="Hyperlink"/>
            <w:noProof/>
          </w:rPr>
          <w:t>Jurisprudența instanțelor bulgare în temeiul acestor dispoziții</w:t>
        </w:r>
        <w:r w:rsidR="00D036E7">
          <w:rPr>
            <w:noProof/>
            <w:webHidden/>
          </w:rPr>
          <w:tab/>
        </w:r>
        <w:r w:rsidR="00D036E7">
          <w:rPr>
            <w:noProof/>
            <w:webHidden/>
          </w:rPr>
          <w:fldChar w:fldCharType="begin"/>
        </w:r>
        <w:r w:rsidR="00D036E7">
          <w:rPr>
            <w:noProof/>
            <w:webHidden/>
          </w:rPr>
          <w:instrText xml:space="preserve"> PAGEREF _Toc238743257 \h </w:instrText>
        </w:r>
        <w:r w:rsidR="00D036E7">
          <w:rPr>
            <w:noProof/>
            <w:webHidden/>
          </w:rPr>
        </w:r>
        <w:r w:rsidR="00D036E7">
          <w:rPr>
            <w:noProof/>
            <w:webHidden/>
          </w:rPr>
          <w:fldChar w:fldCharType="separate"/>
        </w:r>
        <w:r w:rsidR="00D036E7">
          <w:rPr>
            <w:noProof/>
            <w:webHidden/>
          </w:rPr>
          <w:t>17</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258" w:history="1">
        <w:r w:rsidR="00D036E7" w:rsidRPr="00B74A04">
          <w:rPr>
            <w:rStyle w:val="Hyperlink"/>
            <w:noProof/>
          </w:rPr>
          <w:t>(a)</w:t>
        </w:r>
        <w:r w:rsidR="00D036E7">
          <w:rPr>
            <w:rFonts w:eastAsiaTheme="minorEastAsia"/>
            <w:noProof/>
            <w:sz w:val="22"/>
            <w:szCs w:val="22"/>
            <w:lang w:eastAsia="ro-RO"/>
          </w:rPr>
          <w:tab/>
        </w:r>
        <w:r w:rsidR="00D036E7" w:rsidRPr="00B74A04">
          <w:rPr>
            <w:rStyle w:val="Hyperlink"/>
            <w:noProof/>
          </w:rPr>
          <w:t>Cauza din 2012</w:t>
        </w:r>
        <w:r w:rsidR="00D036E7">
          <w:rPr>
            <w:noProof/>
            <w:webHidden/>
          </w:rPr>
          <w:tab/>
        </w:r>
        <w:r w:rsidR="00D036E7">
          <w:rPr>
            <w:noProof/>
            <w:webHidden/>
          </w:rPr>
          <w:fldChar w:fldCharType="begin"/>
        </w:r>
        <w:r w:rsidR="00D036E7">
          <w:rPr>
            <w:noProof/>
            <w:webHidden/>
          </w:rPr>
          <w:instrText xml:space="preserve"> PAGEREF _Toc238743258 \h </w:instrText>
        </w:r>
        <w:r w:rsidR="00D036E7">
          <w:rPr>
            <w:noProof/>
            <w:webHidden/>
          </w:rPr>
        </w:r>
        <w:r w:rsidR="00D036E7">
          <w:rPr>
            <w:noProof/>
            <w:webHidden/>
          </w:rPr>
          <w:fldChar w:fldCharType="separate"/>
        </w:r>
        <w:r w:rsidR="00D036E7">
          <w:rPr>
            <w:noProof/>
            <w:webHidden/>
          </w:rPr>
          <w:t>17</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259" w:history="1">
        <w:r w:rsidR="00D036E7" w:rsidRPr="00B74A04">
          <w:rPr>
            <w:rStyle w:val="Hyperlink"/>
            <w:noProof/>
          </w:rPr>
          <w:t>(b)</w:t>
        </w:r>
        <w:r w:rsidR="00D036E7">
          <w:rPr>
            <w:rFonts w:eastAsiaTheme="minorEastAsia"/>
            <w:noProof/>
            <w:sz w:val="22"/>
            <w:szCs w:val="22"/>
            <w:lang w:eastAsia="ro-RO"/>
          </w:rPr>
          <w:tab/>
        </w:r>
        <w:r w:rsidR="00D036E7" w:rsidRPr="00B74A04">
          <w:rPr>
            <w:rStyle w:val="Hyperlink"/>
            <w:noProof/>
          </w:rPr>
          <w:t>Cauza din 2014-2018</w:t>
        </w:r>
        <w:r w:rsidR="00D036E7">
          <w:rPr>
            <w:noProof/>
            <w:webHidden/>
          </w:rPr>
          <w:tab/>
        </w:r>
        <w:r w:rsidR="00D036E7">
          <w:rPr>
            <w:noProof/>
            <w:webHidden/>
          </w:rPr>
          <w:fldChar w:fldCharType="begin"/>
        </w:r>
        <w:r w:rsidR="00D036E7">
          <w:rPr>
            <w:noProof/>
            <w:webHidden/>
          </w:rPr>
          <w:instrText xml:space="preserve"> PAGEREF _Toc238743259 \h </w:instrText>
        </w:r>
        <w:r w:rsidR="00D036E7">
          <w:rPr>
            <w:noProof/>
            <w:webHidden/>
          </w:rPr>
        </w:r>
        <w:r w:rsidR="00D036E7">
          <w:rPr>
            <w:noProof/>
            <w:webHidden/>
          </w:rPr>
          <w:fldChar w:fldCharType="separate"/>
        </w:r>
        <w:r w:rsidR="00D036E7">
          <w:rPr>
            <w:noProof/>
            <w:webHidden/>
          </w:rPr>
          <w:t>17</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260" w:history="1">
        <w:r w:rsidR="00D036E7" w:rsidRPr="00B74A04">
          <w:rPr>
            <w:rStyle w:val="Hyperlink"/>
            <w:noProof/>
          </w:rPr>
          <w:t>(c)</w:t>
        </w:r>
        <w:r w:rsidR="00D036E7">
          <w:rPr>
            <w:rFonts w:eastAsiaTheme="minorEastAsia"/>
            <w:noProof/>
            <w:sz w:val="22"/>
            <w:szCs w:val="22"/>
            <w:lang w:eastAsia="ro-RO"/>
          </w:rPr>
          <w:tab/>
        </w:r>
        <w:r w:rsidR="00D036E7" w:rsidRPr="00B74A04">
          <w:rPr>
            <w:rStyle w:val="Hyperlink"/>
            <w:noProof/>
          </w:rPr>
          <w:t>Prima cauză din perioada 2021-2022</w:t>
        </w:r>
        <w:r w:rsidR="00D036E7">
          <w:rPr>
            <w:noProof/>
            <w:webHidden/>
          </w:rPr>
          <w:tab/>
        </w:r>
        <w:r w:rsidR="00D036E7">
          <w:rPr>
            <w:noProof/>
            <w:webHidden/>
          </w:rPr>
          <w:fldChar w:fldCharType="begin"/>
        </w:r>
        <w:r w:rsidR="00D036E7">
          <w:rPr>
            <w:noProof/>
            <w:webHidden/>
          </w:rPr>
          <w:instrText xml:space="preserve"> PAGEREF _Toc238743260 \h </w:instrText>
        </w:r>
        <w:r w:rsidR="00D036E7">
          <w:rPr>
            <w:noProof/>
            <w:webHidden/>
          </w:rPr>
        </w:r>
        <w:r w:rsidR="00D036E7">
          <w:rPr>
            <w:noProof/>
            <w:webHidden/>
          </w:rPr>
          <w:fldChar w:fldCharType="separate"/>
        </w:r>
        <w:r w:rsidR="00D036E7">
          <w:rPr>
            <w:noProof/>
            <w:webHidden/>
          </w:rPr>
          <w:t>18</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261" w:history="1">
        <w:r w:rsidR="00D036E7" w:rsidRPr="00B74A04">
          <w:rPr>
            <w:rStyle w:val="Hyperlink"/>
            <w:noProof/>
          </w:rPr>
          <w:t>(d)</w:t>
        </w:r>
        <w:r w:rsidR="00D036E7">
          <w:rPr>
            <w:rFonts w:eastAsiaTheme="minorEastAsia"/>
            <w:noProof/>
            <w:sz w:val="22"/>
            <w:szCs w:val="22"/>
            <w:lang w:eastAsia="ro-RO"/>
          </w:rPr>
          <w:tab/>
        </w:r>
        <w:r w:rsidR="00D036E7" w:rsidRPr="00B74A04">
          <w:rPr>
            <w:rStyle w:val="Hyperlink"/>
            <w:noProof/>
          </w:rPr>
          <w:t>A doua cauză din perioada 2021-2022</w:t>
        </w:r>
        <w:r w:rsidR="00D036E7">
          <w:rPr>
            <w:noProof/>
            <w:webHidden/>
          </w:rPr>
          <w:tab/>
        </w:r>
        <w:r w:rsidR="00D036E7">
          <w:rPr>
            <w:noProof/>
            <w:webHidden/>
          </w:rPr>
          <w:fldChar w:fldCharType="begin"/>
        </w:r>
        <w:r w:rsidR="00D036E7">
          <w:rPr>
            <w:noProof/>
            <w:webHidden/>
          </w:rPr>
          <w:instrText xml:space="preserve"> PAGEREF _Toc238743261 \h </w:instrText>
        </w:r>
        <w:r w:rsidR="00D036E7">
          <w:rPr>
            <w:noProof/>
            <w:webHidden/>
          </w:rPr>
        </w:r>
        <w:r w:rsidR="00D036E7">
          <w:rPr>
            <w:noProof/>
            <w:webHidden/>
          </w:rPr>
          <w:fldChar w:fldCharType="separate"/>
        </w:r>
        <w:r w:rsidR="00D036E7">
          <w:rPr>
            <w:noProof/>
            <w:webHidden/>
          </w:rPr>
          <w:t>18</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262" w:history="1">
        <w:r w:rsidR="00D036E7" w:rsidRPr="00B74A04">
          <w:rPr>
            <w:rStyle w:val="Hyperlink"/>
            <w:noProof/>
          </w:rPr>
          <w:t>(e)</w:t>
        </w:r>
        <w:r w:rsidR="00D036E7">
          <w:rPr>
            <w:rFonts w:eastAsiaTheme="minorEastAsia"/>
            <w:noProof/>
            <w:sz w:val="22"/>
            <w:szCs w:val="22"/>
            <w:lang w:eastAsia="ro-RO"/>
          </w:rPr>
          <w:tab/>
        </w:r>
        <w:r w:rsidR="00D036E7" w:rsidRPr="00B74A04">
          <w:rPr>
            <w:rStyle w:val="Hyperlink"/>
            <w:noProof/>
          </w:rPr>
          <w:t>Cauza din 2024</w:t>
        </w:r>
        <w:r w:rsidR="00D036E7">
          <w:rPr>
            <w:noProof/>
            <w:webHidden/>
          </w:rPr>
          <w:tab/>
        </w:r>
        <w:r w:rsidR="00D036E7">
          <w:rPr>
            <w:noProof/>
            <w:webHidden/>
          </w:rPr>
          <w:fldChar w:fldCharType="begin"/>
        </w:r>
        <w:r w:rsidR="00D036E7">
          <w:rPr>
            <w:noProof/>
            <w:webHidden/>
          </w:rPr>
          <w:instrText xml:space="preserve"> PAGEREF _Toc238743262 \h </w:instrText>
        </w:r>
        <w:r w:rsidR="00D036E7">
          <w:rPr>
            <w:noProof/>
            <w:webHidden/>
          </w:rPr>
        </w:r>
        <w:r w:rsidR="00D036E7">
          <w:rPr>
            <w:noProof/>
            <w:webHidden/>
          </w:rPr>
          <w:fldChar w:fldCharType="separate"/>
        </w:r>
        <w:r w:rsidR="00D036E7">
          <w:rPr>
            <w:noProof/>
            <w:webHidden/>
          </w:rPr>
          <w:t>19</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63" w:history="1">
        <w:r w:rsidR="00D036E7" w:rsidRPr="00B74A04">
          <w:rPr>
            <w:rStyle w:val="Hyperlink"/>
            <w:noProof/>
          </w:rPr>
          <w:t>G.</w:t>
        </w:r>
        <w:r w:rsidR="00D036E7">
          <w:rPr>
            <w:rFonts w:eastAsiaTheme="minorEastAsia"/>
            <w:noProof/>
            <w:sz w:val="22"/>
            <w:szCs w:val="22"/>
            <w:lang w:eastAsia="ro-RO"/>
          </w:rPr>
          <w:tab/>
        </w:r>
        <w:r w:rsidR="00D036E7" w:rsidRPr="00B74A04">
          <w:rPr>
            <w:rStyle w:val="Hyperlink"/>
            <w:noProof/>
          </w:rPr>
          <w:t>Supravegherea prelucrării datelor cu caracter personal de către Agenție</w:t>
        </w:r>
        <w:r w:rsidR="00D036E7">
          <w:rPr>
            <w:noProof/>
            <w:webHidden/>
          </w:rPr>
          <w:tab/>
        </w:r>
        <w:r w:rsidR="00D036E7">
          <w:rPr>
            <w:noProof/>
            <w:webHidden/>
          </w:rPr>
          <w:fldChar w:fldCharType="begin"/>
        </w:r>
        <w:r w:rsidR="00D036E7">
          <w:rPr>
            <w:noProof/>
            <w:webHidden/>
          </w:rPr>
          <w:instrText xml:space="preserve"> PAGEREF _Toc238743263 \h </w:instrText>
        </w:r>
        <w:r w:rsidR="00D036E7">
          <w:rPr>
            <w:noProof/>
            <w:webHidden/>
          </w:rPr>
        </w:r>
        <w:r w:rsidR="00D036E7">
          <w:rPr>
            <w:noProof/>
            <w:webHidden/>
          </w:rPr>
          <w:fldChar w:fldCharType="separate"/>
        </w:r>
        <w:r w:rsidR="00D036E7">
          <w:rPr>
            <w:noProof/>
            <w:webHidden/>
          </w:rPr>
          <w:t>19</w:t>
        </w:r>
        <w:r w:rsidR="00D036E7">
          <w:rPr>
            <w:noProof/>
            <w:webHidden/>
          </w:rPr>
          <w:fldChar w:fldCharType="end"/>
        </w:r>
      </w:hyperlink>
    </w:p>
    <w:p w:rsidR="00D036E7" w:rsidRDefault="00C56213">
      <w:pPr>
        <w:pStyle w:val="TOC2"/>
        <w:tabs>
          <w:tab w:val="left" w:pos="1020"/>
        </w:tabs>
        <w:rPr>
          <w:rFonts w:eastAsiaTheme="minorEastAsia"/>
          <w:noProof/>
          <w:sz w:val="22"/>
          <w:szCs w:val="22"/>
          <w:lang w:eastAsia="ro-RO"/>
        </w:rPr>
      </w:pPr>
      <w:hyperlink w:anchor="_Toc238743264" w:history="1">
        <w:r w:rsidR="00D036E7" w:rsidRPr="00B74A04">
          <w:rPr>
            <w:rStyle w:val="Hyperlink"/>
            <w:noProof/>
          </w:rPr>
          <w:t>II.</w:t>
        </w:r>
        <w:r w:rsidR="00D036E7">
          <w:rPr>
            <w:rFonts w:eastAsiaTheme="minorEastAsia"/>
            <w:noProof/>
            <w:sz w:val="22"/>
            <w:szCs w:val="22"/>
            <w:lang w:eastAsia="ro-RO"/>
          </w:rPr>
          <w:tab/>
        </w:r>
        <w:r w:rsidR="00D036E7" w:rsidRPr="00B74A04">
          <w:rPr>
            <w:rStyle w:val="Hyperlink"/>
            <w:noProof/>
          </w:rPr>
          <w:t>LEGEA DIN 1997 PRIVIND MIJLOACELE SPECIALE DE SUPRAVEGHERE</w:t>
        </w:r>
        <w:r w:rsidR="00D036E7">
          <w:rPr>
            <w:noProof/>
            <w:webHidden/>
          </w:rPr>
          <w:tab/>
        </w:r>
        <w:r w:rsidR="00D036E7">
          <w:rPr>
            <w:noProof/>
            <w:webHidden/>
          </w:rPr>
          <w:fldChar w:fldCharType="begin"/>
        </w:r>
        <w:r w:rsidR="00D036E7">
          <w:rPr>
            <w:noProof/>
            <w:webHidden/>
          </w:rPr>
          <w:instrText xml:space="preserve"> PAGEREF _Toc238743264 \h </w:instrText>
        </w:r>
        <w:r w:rsidR="00D036E7">
          <w:rPr>
            <w:noProof/>
            <w:webHidden/>
          </w:rPr>
        </w:r>
        <w:r w:rsidR="00D036E7">
          <w:rPr>
            <w:noProof/>
            <w:webHidden/>
          </w:rPr>
          <w:fldChar w:fldCharType="separate"/>
        </w:r>
        <w:r w:rsidR="00D036E7">
          <w:rPr>
            <w:noProof/>
            <w:webHidden/>
          </w:rPr>
          <w:t>20</w:t>
        </w:r>
        <w:r w:rsidR="00D036E7">
          <w:rPr>
            <w:noProof/>
            <w:webHidden/>
          </w:rPr>
          <w:fldChar w:fldCharType="end"/>
        </w:r>
      </w:hyperlink>
    </w:p>
    <w:p w:rsidR="00D036E7" w:rsidRDefault="00C56213">
      <w:pPr>
        <w:pStyle w:val="TOC2"/>
        <w:tabs>
          <w:tab w:val="left" w:pos="1020"/>
        </w:tabs>
        <w:rPr>
          <w:rFonts w:eastAsiaTheme="minorEastAsia"/>
          <w:noProof/>
          <w:sz w:val="22"/>
          <w:szCs w:val="22"/>
          <w:lang w:eastAsia="ro-RO"/>
        </w:rPr>
      </w:pPr>
      <w:hyperlink w:anchor="_Toc238743265" w:history="1">
        <w:r w:rsidR="00D036E7" w:rsidRPr="00B74A04">
          <w:rPr>
            <w:rStyle w:val="Hyperlink"/>
            <w:noProof/>
          </w:rPr>
          <w:t>III.</w:t>
        </w:r>
        <w:r w:rsidR="00D036E7">
          <w:rPr>
            <w:rFonts w:eastAsiaTheme="minorEastAsia"/>
            <w:noProof/>
            <w:sz w:val="22"/>
            <w:szCs w:val="22"/>
            <w:lang w:eastAsia="ro-RO"/>
          </w:rPr>
          <w:tab/>
        </w:r>
        <w:r w:rsidR="00D036E7" w:rsidRPr="00B74A04">
          <w:rPr>
            <w:rStyle w:val="Hyperlink"/>
            <w:noProof/>
          </w:rPr>
          <w:t>GESTIONAREA ȘI FUNCȚIONAREA SISTEMULUI DE PROTECȚIE A SECURITĂȚII NAȚIONALE</w:t>
        </w:r>
        <w:r w:rsidR="00D036E7">
          <w:rPr>
            <w:noProof/>
            <w:webHidden/>
          </w:rPr>
          <w:tab/>
        </w:r>
        <w:r w:rsidR="00D036E7">
          <w:rPr>
            <w:noProof/>
            <w:webHidden/>
          </w:rPr>
          <w:fldChar w:fldCharType="begin"/>
        </w:r>
        <w:r w:rsidR="00D036E7">
          <w:rPr>
            <w:noProof/>
            <w:webHidden/>
          </w:rPr>
          <w:instrText xml:space="preserve"> PAGEREF _Toc238743265 \h </w:instrText>
        </w:r>
        <w:r w:rsidR="00D036E7">
          <w:rPr>
            <w:noProof/>
            <w:webHidden/>
          </w:rPr>
        </w:r>
        <w:r w:rsidR="00D036E7">
          <w:rPr>
            <w:noProof/>
            <w:webHidden/>
          </w:rPr>
          <w:fldChar w:fldCharType="separate"/>
        </w:r>
        <w:r w:rsidR="00D036E7">
          <w:rPr>
            <w:noProof/>
            <w:webHidden/>
          </w:rPr>
          <w:t>21</w:t>
        </w:r>
        <w:r w:rsidR="00D036E7">
          <w:rPr>
            <w:noProof/>
            <w:webHidden/>
          </w:rPr>
          <w:fldChar w:fldCharType="end"/>
        </w:r>
      </w:hyperlink>
    </w:p>
    <w:p w:rsidR="00D036E7" w:rsidRDefault="00C56213">
      <w:pPr>
        <w:pStyle w:val="TOC2"/>
        <w:tabs>
          <w:tab w:val="left" w:pos="1020"/>
        </w:tabs>
        <w:rPr>
          <w:rFonts w:eastAsiaTheme="minorEastAsia"/>
          <w:noProof/>
          <w:sz w:val="22"/>
          <w:szCs w:val="22"/>
          <w:lang w:eastAsia="ro-RO"/>
        </w:rPr>
      </w:pPr>
      <w:hyperlink w:anchor="_Toc238743266" w:history="1">
        <w:r w:rsidR="00D036E7" w:rsidRPr="00B74A04">
          <w:rPr>
            <w:rStyle w:val="Hyperlink"/>
            <w:noProof/>
          </w:rPr>
          <w:t>IV.</w:t>
        </w:r>
        <w:r w:rsidR="00D036E7">
          <w:rPr>
            <w:rFonts w:eastAsiaTheme="minorEastAsia"/>
            <w:noProof/>
            <w:sz w:val="22"/>
            <w:szCs w:val="22"/>
            <w:lang w:eastAsia="ro-RO"/>
          </w:rPr>
          <w:tab/>
        </w:r>
        <w:r w:rsidR="00D036E7" w:rsidRPr="00B74A04">
          <w:rPr>
            <w:rStyle w:val="Hyperlink"/>
            <w:noProof/>
          </w:rPr>
          <w:t>LEGEA DIN 2002 PRIVIND PROTECȚIA DATELOR CU CARACTER PERSONAL</w:t>
        </w:r>
        <w:r w:rsidR="00D036E7">
          <w:rPr>
            <w:noProof/>
            <w:webHidden/>
          </w:rPr>
          <w:tab/>
        </w:r>
        <w:r w:rsidR="00D036E7">
          <w:rPr>
            <w:noProof/>
            <w:webHidden/>
          </w:rPr>
          <w:fldChar w:fldCharType="begin"/>
        </w:r>
        <w:r w:rsidR="00D036E7">
          <w:rPr>
            <w:noProof/>
            <w:webHidden/>
          </w:rPr>
          <w:instrText xml:space="preserve"> PAGEREF _Toc238743266 \h </w:instrText>
        </w:r>
        <w:r w:rsidR="00D036E7">
          <w:rPr>
            <w:noProof/>
            <w:webHidden/>
          </w:rPr>
        </w:r>
        <w:r w:rsidR="00D036E7">
          <w:rPr>
            <w:noProof/>
            <w:webHidden/>
          </w:rPr>
          <w:fldChar w:fldCharType="separate"/>
        </w:r>
        <w:r w:rsidR="00D036E7">
          <w:rPr>
            <w:noProof/>
            <w:webHidden/>
          </w:rPr>
          <w:t>21</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67" w:history="1">
        <w:r w:rsidR="00D036E7" w:rsidRPr="00B74A04">
          <w:rPr>
            <w:rStyle w:val="Hyperlink"/>
            <w:noProof/>
          </w:rPr>
          <w:t>A.</w:t>
        </w:r>
        <w:r w:rsidR="00D036E7">
          <w:rPr>
            <w:rFonts w:eastAsiaTheme="minorEastAsia"/>
            <w:noProof/>
            <w:sz w:val="22"/>
            <w:szCs w:val="22"/>
            <w:lang w:eastAsia="ro-RO"/>
          </w:rPr>
          <w:tab/>
        </w:r>
        <w:r w:rsidR="00D036E7" w:rsidRPr="00B74A04">
          <w:rPr>
            <w:rStyle w:val="Hyperlink"/>
            <w:noProof/>
          </w:rPr>
          <w:t>Domeniu de aplicare</w:t>
        </w:r>
        <w:r w:rsidR="00D036E7">
          <w:rPr>
            <w:noProof/>
            <w:webHidden/>
          </w:rPr>
          <w:tab/>
        </w:r>
        <w:r w:rsidR="00D036E7">
          <w:rPr>
            <w:noProof/>
            <w:webHidden/>
          </w:rPr>
          <w:fldChar w:fldCharType="begin"/>
        </w:r>
        <w:r w:rsidR="00D036E7">
          <w:rPr>
            <w:noProof/>
            <w:webHidden/>
          </w:rPr>
          <w:instrText xml:space="preserve"> PAGEREF _Toc238743267 \h </w:instrText>
        </w:r>
        <w:r w:rsidR="00D036E7">
          <w:rPr>
            <w:noProof/>
            <w:webHidden/>
          </w:rPr>
        </w:r>
        <w:r w:rsidR="00D036E7">
          <w:rPr>
            <w:noProof/>
            <w:webHidden/>
          </w:rPr>
          <w:fldChar w:fldCharType="separate"/>
        </w:r>
        <w:r w:rsidR="00D036E7">
          <w:rPr>
            <w:noProof/>
            <w:webHidden/>
          </w:rPr>
          <w:t>22</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68" w:history="1">
        <w:r w:rsidR="00D036E7" w:rsidRPr="00B74A04">
          <w:rPr>
            <w:rStyle w:val="Hyperlink"/>
            <w:noProof/>
          </w:rPr>
          <w:t>1.</w:t>
        </w:r>
        <w:r w:rsidR="00D036E7">
          <w:rPr>
            <w:rFonts w:eastAsiaTheme="minorEastAsia"/>
            <w:noProof/>
            <w:sz w:val="22"/>
            <w:szCs w:val="22"/>
            <w:lang w:eastAsia="ro-RO"/>
          </w:rPr>
          <w:tab/>
        </w:r>
        <w:r w:rsidR="00D036E7" w:rsidRPr="00B74A04">
          <w:rPr>
            <w:rStyle w:val="Hyperlink"/>
            <w:noProof/>
          </w:rPr>
          <w:t>Ratione personae</w:t>
        </w:r>
        <w:r w:rsidR="00D036E7">
          <w:rPr>
            <w:noProof/>
            <w:webHidden/>
          </w:rPr>
          <w:tab/>
        </w:r>
        <w:r w:rsidR="00D036E7">
          <w:rPr>
            <w:noProof/>
            <w:webHidden/>
          </w:rPr>
          <w:fldChar w:fldCharType="begin"/>
        </w:r>
        <w:r w:rsidR="00D036E7">
          <w:rPr>
            <w:noProof/>
            <w:webHidden/>
          </w:rPr>
          <w:instrText xml:space="preserve"> PAGEREF _Toc238743268 \h </w:instrText>
        </w:r>
        <w:r w:rsidR="00D036E7">
          <w:rPr>
            <w:noProof/>
            <w:webHidden/>
          </w:rPr>
        </w:r>
        <w:r w:rsidR="00D036E7">
          <w:rPr>
            <w:noProof/>
            <w:webHidden/>
          </w:rPr>
          <w:fldChar w:fldCharType="separate"/>
        </w:r>
        <w:r w:rsidR="00D036E7">
          <w:rPr>
            <w:noProof/>
            <w:webHidden/>
          </w:rPr>
          <w:t>22</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69" w:history="1">
        <w:r w:rsidR="00D036E7" w:rsidRPr="00B74A04">
          <w:rPr>
            <w:rStyle w:val="Hyperlink"/>
            <w:noProof/>
          </w:rPr>
          <w:t>2.</w:t>
        </w:r>
        <w:r w:rsidR="00D036E7">
          <w:rPr>
            <w:rFonts w:eastAsiaTheme="minorEastAsia"/>
            <w:noProof/>
            <w:sz w:val="22"/>
            <w:szCs w:val="22"/>
            <w:lang w:eastAsia="ro-RO"/>
          </w:rPr>
          <w:tab/>
        </w:r>
        <w:r w:rsidR="00D036E7" w:rsidRPr="00B74A04">
          <w:rPr>
            <w:rStyle w:val="Hyperlink"/>
            <w:noProof/>
          </w:rPr>
          <w:t>Aplicarea acestor dispoziții în cazul prelucrării în scopuri legate de securitatea națională</w:t>
        </w:r>
        <w:r w:rsidR="00D036E7">
          <w:rPr>
            <w:noProof/>
            <w:webHidden/>
          </w:rPr>
          <w:tab/>
        </w:r>
        <w:r w:rsidR="00D036E7">
          <w:rPr>
            <w:noProof/>
            <w:webHidden/>
          </w:rPr>
          <w:fldChar w:fldCharType="begin"/>
        </w:r>
        <w:r w:rsidR="00D036E7">
          <w:rPr>
            <w:noProof/>
            <w:webHidden/>
          </w:rPr>
          <w:instrText xml:space="preserve"> PAGEREF _Toc238743269 \h </w:instrText>
        </w:r>
        <w:r w:rsidR="00D036E7">
          <w:rPr>
            <w:noProof/>
            <w:webHidden/>
          </w:rPr>
        </w:r>
        <w:r w:rsidR="00D036E7">
          <w:rPr>
            <w:noProof/>
            <w:webHidden/>
          </w:rPr>
          <w:fldChar w:fldCharType="separate"/>
        </w:r>
        <w:r w:rsidR="00D036E7">
          <w:rPr>
            <w:noProof/>
            <w:webHidden/>
          </w:rPr>
          <w:t>22</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70" w:history="1">
        <w:r w:rsidR="00D036E7" w:rsidRPr="00B74A04">
          <w:rPr>
            <w:rStyle w:val="Hyperlink"/>
            <w:noProof/>
          </w:rPr>
          <w:t>B.</w:t>
        </w:r>
        <w:r w:rsidR="00D036E7">
          <w:rPr>
            <w:rFonts w:eastAsiaTheme="minorEastAsia"/>
            <w:noProof/>
            <w:sz w:val="22"/>
            <w:szCs w:val="22"/>
            <w:lang w:eastAsia="ro-RO"/>
          </w:rPr>
          <w:tab/>
        </w:r>
        <w:r w:rsidR="00D036E7" w:rsidRPr="00B74A04">
          <w:rPr>
            <w:rStyle w:val="Hyperlink"/>
            <w:noProof/>
          </w:rPr>
          <w:t>Dreptul de acces la datele cu caracter personal și restrângerea acestui drept</w:t>
        </w:r>
        <w:r w:rsidR="00D036E7">
          <w:rPr>
            <w:noProof/>
            <w:webHidden/>
          </w:rPr>
          <w:tab/>
        </w:r>
        <w:r w:rsidR="00D036E7">
          <w:rPr>
            <w:noProof/>
            <w:webHidden/>
          </w:rPr>
          <w:fldChar w:fldCharType="begin"/>
        </w:r>
        <w:r w:rsidR="00D036E7">
          <w:rPr>
            <w:noProof/>
            <w:webHidden/>
          </w:rPr>
          <w:instrText xml:space="preserve"> PAGEREF _Toc238743270 \h </w:instrText>
        </w:r>
        <w:r w:rsidR="00D036E7">
          <w:rPr>
            <w:noProof/>
            <w:webHidden/>
          </w:rPr>
        </w:r>
        <w:r w:rsidR="00D036E7">
          <w:rPr>
            <w:noProof/>
            <w:webHidden/>
          </w:rPr>
          <w:fldChar w:fldCharType="separate"/>
        </w:r>
        <w:r w:rsidR="00D036E7">
          <w:rPr>
            <w:noProof/>
            <w:webHidden/>
          </w:rPr>
          <w:t>23</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71" w:history="1">
        <w:r w:rsidR="00D036E7" w:rsidRPr="00B74A04">
          <w:rPr>
            <w:rStyle w:val="Hyperlink"/>
            <w:noProof/>
          </w:rPr>
          <w:t>1.</w:t>
        </w:r>
        <w:r w:rsidR="00D036E7">
          <w:rPr>
            <w:rFonts w:eastAsiaTheme="minorEastAsia"/>
            <w:noProof/>
            <w:sz w:val="22"/>
            <w:szCs w:val="22"/>
            <w:lang w:eastAsia="ro-RO"/>
          </w:rPr>
          <w:tab/>
        </w:r>
        <w:r w:rsidR="00D036E7" w:rsidRPr="00B74A04">
          <w:rPr>
            <w:rStyle w:val="Hyperlink"/>
            <w:noProof/>
          </w:rPr>
          <w:t>Cu privire la prelucrarea care intră sub incidența RGPD</w:t>
        </w:r>
        <w:r w:rsidR="00D036E7">
          <w:rPr>
            <w:noProof/>
            <w:webHidden/>
          </w:rPr>
          <w:tab/>
        </w:r>
        <w:r w:rsidR="00D036E7">
          <w:rPr>
            <w:noProof/>
            <w:webHidden/>
          </w:rPr>
          <w:fldChar w:fldCharType="begin"/>
        </w:r>
        <w:r w:rsidR="00D036E7">
          <w:rPr>
            <w:noProof/>
            <w:webHidden/>
          </w:rPr>
          <w:instrText xml:space="preserve"> PAGEREF _Toc238743271 \h </w:instrText>
        </w:r>
        <w:r w:rsidR="00D036E7">
          <w:rPr>
            <w:noProof/>
            <w:webHidden/>
          </w:rPr>
        </w:r>
        <w:r w:rsidR="00D036E7">
          <w:rPr>
            <w:noProof/>
            <w:webHidden/>
          </w:rPr>
          <w:fldChar w:fldCharType="separate"/>
        </w:r>
        <w:r w:rsidR="00D036E7">
          <w:rPr>
            <w:noProof/>
            <w:webHidden/>
          </w:rPr>
          <w:t>23</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72" w:history="1">
        <w:r w:rsidR="00D036E7" w:rsidRPr="00B74A04">
          <w:rPr>
            <w:rStyle w:val="Hyperlink"/>
            <w:noProof/>
          </w:rPr>
          <w:t>2.</w:t>
        </w:r>
        <w:r w:rsidR="00D036E7">
          <w:rPr>
            <w:rFonts w:eastAsiaTheme="minorEastAsia"/>
            <w:noProof/>
            <w:sz w:val="22"/>
            <w:szCs w:val="22"/>
            <w:lang w:eastAsia="ro-RO"/>
          </w:rPr>
          <w:tab/>
        </w:r>
        <w:r w:rsidR="00D036E7" w:rsidRPr="00B74A04">
          <w:rPr>
            <w:rStyle w:val="Hyperlink"/>
            <w:noProof/>
          </w:rPr>
          <w:t>Cu privire la prelucrarea datelor de către autorități în scopul asigurării respectării legii</w:t>
        </w:r>
        <w:r w:rsidR="00D036E7">
          <w:rPr>
            <w:noProof/>
            <w:webHidden/>
          </w:rPr>
          <w:tab/>
        </w:r>
        <w:r w:rsidR="00D036E7">
          <w:rPr>
            <w:noProof/>
            <w:webHidden/>
          </w:rPr>
          <w:fldChar w:fldCharType="begin"/>
        </w:r>
        <w:r w:rsidR="00D036E7">
          <w:rPr>
            <w:noProof/>
            <w:webHidden/>
          </w:rPr>
          <w:instrText xml:space="preserve"> PAGEREF _Toc238743272 \h </w:instrText>
        </w:r>
        <w:r w:rsidR="00D036E7">
          <w:rPr>
            <w:noProof/>
            <w:webHidden/>
          </w:rPr>
        </w:r>
        <w:r w:rsidR="00D036E7">
          <w:rPr>
            <w:noProof/>
            <w:webHidden/>
          </w:rPr>
          <w:fldChar w:fldCharType="separate"/>
        </w:r>
        <w:r w:rsidR="00D036E7">
          <w:rPr>
            <w:noProof/>
            <w:webHidden/>
          </w:rPr>
          <w:t>24</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73" w:history="1">
        <w:r w:rsidR="00D036E7" w:rsidRPr="00B74A04">
          <w:rPr>
            <w:rStyle w:val="Hyperlink"/>
            <w:noProof/>
          </w:rPr>
          <w:t>C.</w:t>
        </w:r>
        <w:r w:rsidR="00D036E7">
          <w:rPr>
            <w:rFonts w:eastAsiaTheme="minorEastAsia"/>
            <w:noProof/>
            <w:sz w:val="22"/>
            <w:szCs w:val="22"/>
            <w:lang w:eastAsia="ro-RO"/>
          </w:rPr>
          <w:tab/>
        </w:r>
        <w:r w:rsidR="00D036E7" w:rsidRPr="00B74A04">
          <w:rPr>
            <w:rStyle w:val="Hyperlink"/>
            <w:noProof/>
          </w:rPr>
          <w:t>Autoritatea de supraveghere</w:t>
        </w:r>
        <w:r w:rsidR="00D036E7">
          <w:rPr>
            <w:noProof/>
            <w:webHidden/>
          </w:rPr>
          <w:tab/>
        </w:r>
        <w:r w:rsidR="00D036E7">
          <w:rPr>
            <w:noProof/>
            <w:webHidden/>
          </w:rPr>
          <w:fldChar w:fldCharType="begin"/>
        </w:r>
        <w:r w:rsidR="00D036E7">
          <w:rPr>
            <w:noProof/>
            <w:webHidden/>
          </w:rPr>
          <w:instrText xml:space="preserve"> PAGEREF _Toc238743273 \h </w:instrText>
        </w:r>
        <w:r w:rsidR="00D036E7">
          <w:rPr>
            <w:noProof/>
            <w:webHidden/>
          </w:rPr>
        </w:r>
        <w:r w:rsidR="00D036E7">
          <w:rPr>
            <w:noProof/>
            <w:webHidden/>
          </w:rPr>
          <w:fldChar w:fldCharType="separate"/>
        </w:r>
        <w:r w:rsidR="00D036E7">
          <w:rPr>
            <w:noProof/>
            <w:webHidden/>
          </w:rPr>
          <w:t>25</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74" w:history="1">
        <w:r w:rsidR="00D036E7" w:rsidRPr="00B74A04">
          <w:rPr>
            <w:rStyle w:val="Hyperlink"/>
            <w:noProof/>
          </w:rPr>
          <w:t>D.</w:t>
        </w:r>
        <w:r w:rsidR="00D036E7">
          <w:rPr>
            <w:rFonts w:eastAsiaTheme="minorEastAsia"/>
            <w:noProof/>
            <w:sz w:val="22"/>
            <w:szCs w:val="22"/>
            <w:lang w:eastAsia="ro-RO"/>
          </w:rPr>
          <w:tab/>
        </w:r>
        <w:r w:rsidR="00D036E7" w:rsidRPr="00B74A04">
          <w:rPr>
            <w:rStyle w:val="Hyperlink"/>
            <w:noProof/>
          </w:rPr>
          <w:t>Căi de atac</w:t>
        </w:r>
        <w:r w:rsidR="00D036E7">
          <w:rPr>
            <w:noProof/>
            <w:webHidden/>
          </w:rPr>
          <w:tab/>
        </w:r>
        <w:r w:rsidR="00D036E7">
          <w:rPr>
            <w:noProof/>
            <w:webHidden/>
          </w:rPr>
          <w:fldChar w:fldCharType="begin"/>
        </w:r>
        <w:r w:rsidR="00D036E7">
          <w:rPr>
            <w:noProof/>
            <w:webHidden/>
          </w:rPr>
          <w:instrText xml:space="preserve"> PAGEREF _Toc238743274 \h </w:instrText>
        </w:r>
        <w:r w:rsidR="00D036E7">
          <w:rPr>
            <w:noProof/>
            <w:webHidden/>
          </w:rPr>
        </w:r>
        <w:r w:rsidR="00D036E7">
          <w:rPr>
            <w:noProof/>
            <w:webHidden/>
          </w:rPr>
          <w:fldChar w:fldCharType="separate"/>
        </w:r>
        <w:r w:rsidR="00D036E7">
          <w:rPr>
            <w:noProof/>
            <w:webHidden/>
          </w:rPr>
          <w:t>26</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75" w:history="1">
        <w:r w:rsidR="00D036E7" w:rsidRPr="00B74A04">
          <w:rPr>
            <w:rStyle w:val="Hyperlink"/>
            <w:noProof/>
          </w:rPr>
          <w:t>1.</w:t>
        </w:r>
        <w:r w:rsidR="00D036E7">
          <w:rPr>
            <w:rFonts w:eastAsiaTheme="minorEastAsia"/>
            <w:noProof/>
            <w:sz w:val="22"/>
            <w:szCs w:val="22"/>
            <w:lang w:eastAsia="ro-RO"/>
          </w:rPr>
          <w:tab/>
        </w:r>
        <w:r w:rsidR="00D036E7" w:rsidRPr="00B74A04">
          <w:rPr>
            <w:rStyle w:val="Hyperlink"/>
            <w:noProof/>
          </w:rPr>
          <w:t>În ceea ce privește prelucrarea care intră în domeniul de aplicare al RGPD</w:t>
        </w:r>
        <w:r w:rsidR="00D036E7">
          <w:rPr>
            <w:noProof/>
            <w:webHidden/>
          </w:rPr>
          <w:tab/>
        </w:r>
        <w:r w:rsidR="00D036E7">
          <w:rPr>
            <w:noProof/>
            <w:webHidden/>
          </w:rPr>
          <w:fldChar w:fldCharType="begin"/>
        </w:r>
        <w:r w:rsidR="00D036E7">
          <w:rPr>
            <w:noProof/>
            <w:webHidden/>
          </w:rPr>
          <w:instrText xml:space="preserve"> PAGEREF _Toc238743275 \h </w:instrText>
        </w:r>
        <w:r w:rsidR="00D036E7">
          <w:rPr>
            <w:noProof/>
            <w:webHidden/>
          </w:rPr>
        </w:r>
        <w:r w:rsidR="00D036E7">
          <w:rPr>
            <w:noProof/>
            <w:webHidden/>
          </w:rPr>
          <w:fldChar w:fldCharType="separate"/>
        </w:r>
        <w:r w:rsidR="00D036E7">
          <w:rPr>
            <w:noProof/>
            <w:webHidden/>
          </w:rPr>
          <w:t>26</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76" w:history="1">
        <w:r w:rsidR="00D036E7" w:rsidRPr="00B74A04">
          <w:rPr>
            <w:rStyle w:val="Hyperlink"/>
            <w:noProof/>
          </w:rPr>
          <w:t>2.</w:t>
        </w:r>
        <w:r w:rsidR="00D036E7">
          <w:rPr>
            <w:rFonts w:eastAsiaTheme="minorEastAsia"/>
            <w:noProof/>
            <w:sz w:val="22"/>
            <w:szCs w:val="22"/>
            <w:lang w:eastAsia="ro-RO"/>
          </w:rPr>
          <w:tab/>
        </w:r>
        <w:r w:rsidR="00D036E7" w:rsidRPr="00B74A04">
          <w:rPr>
            <w:rStyle w:val="Hyperlink"/>
            <w:noProof/>
          </w:rPr>
          <w:t>În ceea ce privește prelucrarea efectuată de autorități în scopul asigurării respectării legii</w:t>
        </w:r>
        <w:r w:rsidR="00D036E7">
          <w:rPr>
            <w:noProof/>
            <w:webHidden/>
          </w:rPr>
          <w:tab/>
        </w:r>
        <w:r w:rsidR="00D036E7">
          <w:rPr>
            <w:noProof/>
            <w:webHidden/>
          </w:rPr>
          <w:fldChar w:fldCharType="begin"/>
        </w:r>
        <w:r w:rsidR="00D036E7">
          <w:rPr>
            <w:noProof/>
            <w:webHidden/>
          </w:rPr>
          <w:instrText xml:space="preserve"> PAGEREF _Toc238743276 \h </w:instrText>
        </w:r>
        <w:r w:rsidR="00D036E7">
          <w:rPr>
            <w:noProof/>
            <w:webHidden/>
          </w:rPr>
        </w:r>
        <w:r w:rsidR="00D036E7">
          <w:rPr>
            <w:noProof/>
            <w:webHidden/>
          </w:rPr>
          <w:fldChar w:fldCharType="separate"/>
        </w:r>
        <w:r w:rsidR="00D036E7">
          <w:rPr>
            <w:noProof/>
            <w:webHidden/>
          </w:rPr>
          <w:t>27</w:t>
        </w:r>
        <w:r w:rsidR="00D036E7">
          <w:rPr>
            <w:noProof/>
            <w:webHidden/>
          </w:rPr>
          <w:fldChar w:fldCharType="end"/>
        </w:r>
      </w:hyperlink>
    </w:p>
    <w:p w:rsidR="00D036E7" w:rsidRDefault="00C56213">
      <w:pPr>
        <w:pStyle w:val="TOC2"/>
        <w:tabs>
          <w:tab w:val="left" w:pos="1020"/>
        </w:tabs>
        <w:rPr>
          <w:rFonts w:eastAsiaTheme="minorEastAsia"/>
          <w:noProof/>
          <w:sz w:val="22"/>
          <w:szCs w:val="22"/>
          <w:lang w:eastAsia="ro-RO"/>
        </w:rPr>
      </w:pPr>
      <w:hyperlink w:anchor="_Toc238743277" w:history="1">
        <w:r w:rsidR="00D036E7" w:rsidRPr="00B74A04">
          <w:rPr>
            <w:rStyle w:val="Hyperlink"/>
            <w:noProof/>
          </w:rPr>
          <w:t>V.</w:t>
        </w:r>
        <w:r w:rsidR="00D036E7">
          <w:rPr>
            <w:rFonts w:eastAsiaTheme="minorEastAsia"/>
            <w:noProof/>
            <w:sz w:val="22"/>
            <w:szCs w:val="22"/>
            <w:lang w:eastAsia="ro-RO"/>
          </w:rPr>
          <w:tab/>
        </w:r>
        <w:r w:rsidR="00D036E7" w:rsidRPr="00B74A04">
          <w:rPr>
            <w:rStyle w:val="Hyperlink"/>
            <w:noProof/>
          </w:rPr>
          <w:t>CODUL DE PROCEDURĂ ADMINISTRATIVĂ</w:t>
        </w:r>
        <w:r w:rsidR="00D036E7">
          <w:rPr>
            <w:noProof/>
            <w:webHidden/>
          </w:rPr>
          <w:tab/>
        </w:r>
        <w:r w:rsidR="00D036E7">
          <w:rPr>
            <w:noProof/>
            <w:webHidden/>
          </w:rPr>
          <w:fldChar w:fldCharType="begin"/>
        </w:r>
        <w:r w:rsidR="00D036E7">
          <w:rPr>
            <w:noProof/>
            <w:webHidden/>
          </w:rPr>
          <w:instrText xml:space="preserve"> PAGEREF _Toc238743277 \h </w:instrText>
        </w:r>
        <w:r w:rsidR="00D036E7">
          <w:rPr>
            <w:noProof/>
            <w:webHidden/>
          </w:rPr>
        </w:r>
        <w:r w:rsidR="00D036E7">
          <w:rPr>
            <w:noProof/>
            <w:webHidden/>
          </w:rPr>
          <w:fldChar w:fldCharType="separate"/>
        </w:r>
        <w:r w:rsidR="00D036E7">
          <w:rPr>
            <w:noProof/>
            <w:webHidden/>
          </w:rPr>
          <w:t>27</w:t>
        </w:r>
        <w:r w:rsidR="00D036E7">
          <w:rPr>
            <w:noProof/>
            <w:webHidden/>
          </w:rPr>
          <w:fldChar w:fldCharType="end"/>
        </w:r>
      </w:hyperlink>
    </w:p>
    <w:p w:rsidR="00D036E7" w:rsidRDefault="00C56213">
      <w:pPr>
        <w:pStyle w:val="TOC1"/>
        <w:rPr>
          <w:rFonts w:eastAsiaTheme="minorEastAsia"/>
          <w:b w:val="0"/>
          <w:noProof/>
          <w:sz w:val="22"/>
          <w:szCs w:val="22"/>
          <w:lang w:eastAsia="ro-RO"/>
        </w:rPr>
      </w:pPr>
      <w:hyperlink w:anchor="_Toc238743278" w:history="1">
        <w:r w:rsidR="00D036E7" w:rsidRPr="00B74A04">
          <w:rPr>
            <w:rStyle w:val="Hyperlink"/>
            <w:noProof/>
          </w:rPr>
          <w:t>ÎN DREPT</w:t>
        </w:r>
        <w:r w:rsidR="00D036E7">
          <w:rPr>
            <w:noProof/>
            <w:webHidden/>
          </w:rPr>
          <w:tab/>
        </w:r>
        <w:r w:rsidR="00D036E7">
          <w:rPr>
            <w:noProof/>
            <w:webHidden/>
          </w:rPr>
          <w:fldChar w:fldCharType="begin"/>
        </w:r>
        <w:r w:rsidR="00D036E7">
          <w:rPr>
            <w:noProof/>
            <w:webHidden/>
          </w:rPr>
          <w:instrText xml:space="preserve"> PAGEREF _Toc238743278 \h </w:instrText>
        </w:r>
        <w:r w:rsidR="00D036E7">
          <w:rPr>
            <w:noProof/>
            <w:webHidden/>
          </w:rPr>
        </w:r>
        <w:r w:rsidR="00D036E7">
          <w:rPr>
            <w:noProof/>
            <w:webHidden/>
          </w:rPr>
          <w:fldChar w:fldCharType="separate"/>
        </w:r>
        <w:r w:rsidR="00D036E7">
          <w:rPr>
            <w:noProof/>
            <w:webHidden/>
          </w:rPr>
          <w:t>27</w:t>
        </w:r>
        <w:r w:rsidR="00D036E7">
          <w:rPr>
            <w:noProof/>
            <w:webHidden/>
          </w:rPr>
          <w:fldChar w:fldCharType="end"/>
        </w:r>
      </w:hyperlink>
    </w:p>
    <w:p w:rsidR="00D036E7" w:rsidRDefault="00C56213">
      <w:pPr>
        <w:pStyle w:val="TOC2"/>
        <w:tabs>
          <w:tab w:val="left" w:pos="680"/>
        </w:tabs>
        <w:rPr>
          <w:rFonts w:eastAsiaTheme="minorEastAsia"/>
          <w:noProof/>
          <w:sz w:val="22"/>
          <w:szCs w:val="22"/>
          <w:lang w:eastAsia="ro-RO"/>
        </w:rPr>
      </w:pPr>
      <w:hyperlink w:anchor="_Toc238743279" w:history="1">
        <w:r w:rsidR="00D036E7" w:rsidRPr="00B74A04">
          <w:rPr>
            <w:rStyle w:val="Hyperlink"/>
            <w:noProof/>
          </w:rPr>
          <w:t>I.</w:t>
        </w:r>
        <w:r w:rsidR="00D036E7">
          <w:rPr>
            <w:rFonts w:eastAsiaTheme="minorEastAsia"/>
            <w:noProof/>
            <w:sz w:val="22"/>
            <w:szCs w:val="22"/>
            <w:lang w:eastAsia="ro-RO"/>
          </w:rPr>
          <w:tab/>
        </w:r>
        <w:r w:rsidR="00D036E7" w:rsidRPr="00B74A04">
          <w:rPr>
            <w:rStyle w:val="Hyperlink"/>
            <w:noProof/>
          </w:rPr>
          <w:t>CU PRIVIRE LA PRETINSA ÎNCĂLCARE A ART. 8 DIN CONVENȚIE</w:t>
        </w:r>
        <w:r w:rsidR="00D036E7">
          <w:rPr>
            <w:noProof/>
            <w:webHidden/>
          </w:rPr>
          <w:tab/>
        </w:r>
        <w:r w:rsidR="00D036E7">
          <w:rPr>
            <w:noProof/>
            <w:webHidden/>
          </w:rPr>
          <w:fldChar w:fldCharType="begin"/>
        </w:r>
        <w:r w:rsidR="00D036E7">
          <w:rPr>
            <w:noProof/>
            <w:webHidden/>
          </w:rPr>
          <w:instrText xml:space="preserve"> PAGEREF _Toc238743279 \h </w:instrText>
        </w:r>
        <w:r w:rsidR="00D036E7">
          <w:rPr>
            <w:noProof/>
            <w:webHidden/>
          </w:rPr>
        </w:r>
        <w:r w:rsidR="00D036E7">
          <w:rPr>
            <w:noProof/>
            <w:webHidden/>
          </w:rPr>
          <w:fldChar w:fldCharType="separate"/>
        </w:r>
        <w:r w:rsidR="00D036E7">
          <w:rPr>
            <w:noProof/>
            <w:webHidden/>
          </w:rPr>
          <w:t>27</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80" w:history="1">
        <w:r w:rsidR="00D036E7" w:rsidRPr="00B74A04">
          <w:rPr>
            <w:rStyle w:val="Hyperlink"/>
            <w:noProof/>
          </w:rPr>
          <w:t>A.</w:t>
        </w:r>
        <w:r w:rsidR="00D036E7">
          <w:rPr>
            <w:rFonts w:eastAsiaTheme="minorEastAsia"/>
            <w:noProof/>
            <w:sz w:val="22"/>
            <w:szCs w:val="22"/>
            <w:lang w:eastAsia="ro-RO"/>
          </w:rPr>
          <w:tab/>
        </w:r>
        <w:r w:rsidR="00D036E7" w:rsidRPr="00B74A04">
          <w:rPr>
            <w:rStyle w:val="Hyperlink"/>
            <w:noProof/>
          </w:rPr>
          <w:t>Cu privire la admisibilitate</w:t>
        </w:r>
        <w:r w:rsidR="00D036E7">
          <w:rPr>
            <w:noProof/>
            <w:webHidden/>
          </w:rPr>
          <w:tab/>
        </w:r>
        <w:r w:rsidR="00D036E7">
          <w:rPr>
            <w:noProof/>
            <w:webHidden/>
          </w:rPr>
          <w:fldChar w:fldCharType="begin"/>
        </w:r>
        <w:r w:rsidR="00D036E7">
          <w:rPr>
            <w:noProof/>
            <w:webHidden/>
          </w:rPr>
          <w:instrText xml:space="preserve"> PAGEREF _Toc238743280 \h </w:instrText>
        </w:r>
        <w:r w:rsidR="00D036E7">
          <w:rPr>
            <w:noProof/>
            <w:webHidden/>
          </w:rPr>
        </w:r>
        <w:r w:rsidR="00D036E7">
          <w:rPr>
            <w:noProof/>
            <w:webHidden/>
          </w:rPr>
          <w:fldChar w:fldCharType="separate"/>
        </w:r>
        <w:r w:rsidR="00D036E7">
          <w:rPr>
            <w:noProof/>
            <w:webHidden/>
          </w:rPr>
          <w:t>28</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81" w:history="1">
        <w:r w:rsidR="00D036E7" w:rsidRPr="00B74A04">
          <w:rPr>
            <w:rStyle w:val="Hyperlink"/>
            <w:noProof/>
          </w:rPr>
          <w:t>1.</w:t>
        </w:r>
        <w:r w:rsidR="00D036E7">
          <w:rPr>
            <w:rFonts w:eastAsiaTheme="minorEastAsia"/>
            <w:noProof/>
            <w:sz w:val="22"/>
            <w:szCs w:val="22"/>
            <w:lang w:eastAsia="ro-RO"/>
          </w:rPr>
          <w:tab/>
        </w:r>
        <w:r w:rsidR="00D036E7" w:rsidRPr="00B74A04">
          <w:rPr>
            <w:rStyle w:val="Hyperlink"/>
            <w:noProof/>
          </w:rPr>
          <w:t>Argumentele părților</w:t>
        </w:r>
        <w:r w:rsidR="00D036E7">
          <w:rPr>
            <w:noProof/>
            <w:webHidden/>
          </w:rPr>
          <w:tab/>
        </w:r>
        <w:r w:rsidR="00D036E7">
          <w:rPr>
            <w:noProof/>
            <w:webHidden/>
          </w:rPr>
          <w:fldChar w:fldCharType="begin"/>
        </w:r>
        <w:r w:rsidR="00D036E7">
          <w:rPr>
            <w:noProof/>
            <w:webHidden/>
          </w:rPr>
          <w:instrText xml:space="preserve"> PAGEREF _Toc238743281 \h </w:instrText>
        </w:r>
        <w:r w:rsidR="00D036E7">
          <w:rPr>
            <w:noProof/>
            <w:webHidden/>
          </w:rPr>
        </w:r>
        <w:r w:rsidR="00D036E7">
          <w:rPr>
            <w:noProof/>
            <w:webHidden/>
          </w:rPr>
          <w:fldChar w:fldCharType="separate"/>
        </w:r>
        <w:r w:rsidR="00D036E7">
          <w:rPr>
            <w:noProof/>
            <w:webHidden/>
          </w:rPr>
          <w:t>28</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282" w:history="1">
        <w:r w:rsidR="00D036E7" w:rsidRPr="00B74A04">
          <w:rPr>
            <w:rStyle w:val="Hyperlink"/>
            <w:noProof/>
          </w:rPr>
          <w:t>(a)</w:t>
        </w:r>
        <w:r w:rsidR="00D036E7">
          <w:rPr>
            <w:rFonts w:eastAsiaTheme="minorEastAsia"/>
            <w:noProof/>
            <w:sz w:val="22"/>
            <w:szCs w:val="22"/>
            <w:lang w:eastAsia="ro-RO"/>
          </w:rPr>
          <w:tab/>
        </w:r>
        <w:r w:rsidR="00D036E7" w:rsidRPr="00B74A04">
          <w:rPr>
            <w:rStyle w:val="Hyperlink"/>
            <w:noProof/>
          </w:rPr>
          <w:t>Calitatea de victimă</w:t>
        </w:r>
        <w:r w:rsidR="00D036E7">
          <w:rPr>
            <w:noProof/>
            <w:webHidden/>
          </w:rPr>
          <w:tab/>
        </w:r>
        <w:r w:rsidR="00D036E7">
          <w:rPr>
            <w:noProof/>
            <w:webHidden/>
          </w:rPr>
          <w:fldChar w:fldCharType="begin"/>
        </w:r>
        <w:r w:rsidR="00D036E7">
          <w:rPr>
            <w:noProof/>
            <w:webHidden/>
          </w:rPr>
          <w:instrText xml:space="preserve"> PAGEREF _Toc238743282 \h </w:instrText>
        </w:r>
        <w:r w:rsidR="00D036E7">
          <w:rPr>
            <w:noProof/>
            <w:webHidden/>
          </w:rPr>
        </w:r>
        <w:r w:rsidR="00D036E7">
          <w:rPr>
            <w:noProof/>
            <w:webHidden/>
          </w:rPr>
          <w:fldChar w:fldCharType="separate"/>
        </w:r>
        <w:r w:rsidR="00D036E7">
          <w:rPr>
            <w:noProof/>
            <w:webHidden/>
          </w:rPr>
          <w:t>28</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283" w:history="1">
        <w:r w:rsidR="00D036E7" w:rsidRPr="00B74A04">
          <w:rPr>
            <w:rStyle w:val="Hyperlink"/>
            <w:noProof/>
          </w:rPr>
          <w:t>(b)</w:t>
        </w:r>
        <w:r w:rsidR="00D036E7">
          <w:rPr>
            <w:rFonts w:eastAsiaTheme="minorEastAsia"/>
            <w:noProof/>
            <w:sz w:val="22"/>
            <w:szCs w:val="22"/>
            <w:lang w:eastAsia="ro-RO"/>
          </w:rPr>
          <w:tab/>
        </w:r>
        <w:r w:rsidR="00D036E7" w:rsidRPr="00B74A04">
          <w:rPr>
            <w:rStyle w:val="Hyperlink"/>
            <w:noProof/>
          </w:rPr>
          <w:t>Epuizarea căilor de atac interne</w:t>
        </w:r>
        <w:r w:rsidR="00D036E7">
          <w:rPr>
            <w:noProof/>
            <w:webHidden/>
          </w:rPr>
          <w:tab/>
        </w:r>
        <w:r w:rsidR="00D036E7">
          <w:rPr>
            <w:noProof/>
            <w:webHidden/>
          </w:rPr>
          <w:fldChar w:fldCharType="begin"/>
        </w:r>
        <w:r w:rsidR="00D036E7">
          <w:rPr>
            <w:noProof/>
            <w:webHidden/>
          </w:rPr>
          <w:instrText xml:space="preserve"> PAGEREF _Toc238743283 \h </w:instrText>
        </w:r>
        <w:r w:rsidR="00D036E7">
          <w:rPr>
            <w:noProof/>
            <w:webHidden/>
          </w:rPr>
        </w:r>
        <w:r w:rsidR="00D036E7">
          <w:rPr>
            <w:noProof/>
            <w:webHidden/>
          </w:rPr>
          <w:fldChar w:fldCharType="separate"/>
        </w:r>
        <w:r w:rsidR="00D036E7">
          <w:rPr>
            <w:noProof/>
            <w:webHidden/>
          </w:rPr>
          <w:t>28</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84" w:history="1">
        <w:r w:rsidR="00D036E7" w:rsidRPr="00B74A04">
          <w:rPr>
            <w:rStyle w:val="Hyperlink"/>
            <w:noProof/>
          </w:rPr>
          <w:t>2.</w:t>
        </w:r>
        <w:r w:rsidR="00D036E7">
          <w:rPr>
            <w:rFonts w:eastAsiaTheme="minorEastAsia"/>
            <w:noProof/>
            <w:sz w:val="22"/>
            <w:szCs w:val="22"/>
            <w:lang w:eastAsia="ro-RO"/>
          </w:rPr>
          <w:tab/>
        </w:r>
        <w:r w:rsidR="00D036E7" w:rsidRPr="00B74A04">
          <w:rPr>
            <w:rStyle w:val="Hyperlink"/>
            <w:noProof/>
          </w:rPr>
          <w:t>Motivarea Curții</w:t>
        </w:r>
        <w:r w:rsidR="00D036E7">
          <w:rPr>
            <w:noProof/>
            <w:webHidden/>
          </w:rPr>
          <w:tab/>
        </w:r>
        <w:r w:rsidR="00D036E7">
          <w:rPr>
            <w:noProof/>
            <w:webHidden/>
          </w:rPr>
          <w:fldChar w:fldCharType="begin"/>
        </w:r>
        <w:r w:rsidR="00D036E7">
          <w:rPr>
            <w:noProof/>
            <w:webHidden/>
          </w:rPr>
          <w:instrText xml:space="preserve"> PAGEREF _Toc238743284 \h </w:instrText>
        </w:r>
        <w:r w:rsidR="00D036E7">
          <w:rPr>
            <w:noProof/>
            <w:webHidden/>
          </w:rPr>
        </w:r>
        <w:r w:rsidR="00D036E7">
          <w:rPr>
            <w:noProof/>
            <w:webHidden/>
          </w:rPr>
          <w:fldChar w:fldCharType="separate"/>
        </w:r>
        <w:r w:rsidR="00D036E7">
          <w:rPr>
            <w:noProof/>
            <w:webHidden/>
          </w:rPr>
          <w:t>28</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285" w:history="1">
        <w:r w:rsidR="00D036E7" w:rsidRPr="00B74A04">
          <w:rPr>
            <w:rStyle w:val="Hyperlink"/>
            <w:noProof/>
          </w:rPr>
          <w:t>(a)</w:t>
        </w:r>
        <w:r w:rsidR="00D036E7">
          <w:rPr>
            <w:rFonts w:eastAsiaTheme="minorEastAsia"/>
            <w:noProof/>
            <w:sz w:val="22"/>
            <w:szCs w:val="22"/>
            <w:lang w:eastAsia="ro-RO"/>
          </w:rPr>
          <w:tab/>
        </w:r>
        <w:r w:rsidR="00D036E7" w:rsidRPr="00B74A04">
          <w:rPr>
            <w:rStyle w:val="Hyperlink"/>
            <w:noProof/>
          </w:rPr>
          <w:t>Calitatea de victimă și epuizarea căilor de atac interne</w:t>
        </w:r>
        <w:r w:rsidR="00D036E7">
          <w:rPr>
            <w:noProof/>
            <w:webHidden/>
          </w:rPr>
          <w:tab/>
        </w:r>
        <w:r w:rsidR="00D036E7">
          <w:rPr>
            <w:noProof/>
            <w:webHidden/>
          </w:rPr>
          <w:fldChar w:fldCharType="begin"/>
        </w:r>
        <w:r w:rsidR="00D036E7">
          <w:rPr>
            <w:noProof/>
            <w:webHidden/>
          </w:rPr>
          <w:instrText xml:space="preserve"> PAGEREF _Toc238743285 \h </w:instrText>
        </w:r>
        <w:r w:rsidR="00D036E7">
          <w:rPr>
            <w:noProof/>
            <w:webHidden/>
          </w:rPr>
        </w:r>
        <w:r w:rsidR="00D036E7">
          <w:rPr>
            <w:noProof/>
            <w:webHidden/>
          </w:rPr>
          <w:fldChar w:fldCharType="separate"/>
        </w:r>
        <w:r w:rsidR="00D036E7">
          <w:rPr>
            <w:noProof/>
            <w:webHidden/>
          </w:rPr>
          <w:t>28</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286" w:history="1">
        <w:r w:rsidR="00D036E7" w:rsidRPr="00B74A04">
          <w:rPr>
            <w:rStyle w:val="Hyperlink"/>
            <w:noProof/>
          </w:rPr>
          <w:t>(b)</w:t>
        </w:r>
        <w:r w:rsidR="00D036E7">
          <w:rPr>
            <w:rFonts w:eastAsiaTheme="minorEastAsia"/>
            <w:noProof/>
            <w:sz w:val="22"/>
            <w:szCs w:val="22"/>
            <w:lang w:eastAsia="ro-RO"/>
          </w:rPr>
          <w:tab/>
        </w:r>
        <w:r w:rsidR="00D036E7" w:rsidRPr="00B74A04">
          <w:rPr>
            <w:rStyle w:val="Hyperlink"/>
            <w:noProof/>
          </w:rPr>
          <w:t>Concluzie cu privire la admisibilitatea capătului de cerere</w:t>
        </w:r>
        <w:r w:rsidR="00D036E7">
          <w:rPr>
            <w:noProof/>
            <w:webHidden/>
          </w:rPr>
          <w:tab/>
        </w:r>
        <w:r w:rsidR="00D036E7">
          <w:rPr>
            <w:noProof/>
            <w:webHidden/>
          </w:rPr>
          <w:fldChar w:fldCharType="begin"/>
        </w:r>
        <w:r w:rsidR="00D036E7">
          <w:rPr>
            <w:noProof/>
            <w:webHidden/>
          </w:rPr>
          <w:instrText xml:space="preserve"> PAGEREF _Toc238743286 \h </w:instrText>
        </w:r>
        <w:r w:rsidR="00D036E7">
          <w:rPr>
            <w:noProof/>
            <w:webHidden/>
          </w:rPr>
        </w:r>
        <w:r w:rsidR="00D036E7">
          <w:rPr>
            <w:noProof/>
            <w:webHidden/>
          </w:rPr>
          <w:fldChar w:fldCharType="separate"/>
        </w:r>
        <w:r w:rsidR="00D036E7">
          <w:rPr>
            <w:noProof/>
            <w:webHidden/>
          </w:rPr>
          <w:t>29</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287" w:history="1">
        <w:r w:rsidR="00D036E7" w:rsidRPr="00B74A04">
          <w:rPr>
            <w:rStyle w:val="Hyperlink"/>
            <w:noProof/>
          </w:rPr>
          <w:t>B.</w:t>
        </w:r>
        <w:r w:rsidR="00D036E7">
          <w:rPr>
            <w:rFonts w:eastAsiaTheme="minorEastAsia"/>
            <w:noProof/>
            <w:sz w:val="22"/>
            <w:szCs w:val="22"/>
            <w:lang w:eastAsia="ro-RO"/>
          </w:rPr>
          <w:tab/>
        </w:r>
        <w:r w:rsidR="00D036E7" w:rsidRPr="00B74A04">
          <w:rPr>
            <w:rStyle w:val="Hyperlink"/>
            <w:noProof/>
          </w:rPr>
          <w:t>Cu privire la fond</w:t>
        </w:r>
        <w:r w:rsidR="00D036E7">
          <w:rPr>
            <w:noProof/>
            <w:webHidden/>
          </w:rPr>
          <w:tab/>
        </w:r>
        <w:r w:rsidR="00D036E7">
          <w:rPr>
            <w:noProof/>
            <w:webHidden/>
          </w:rPr>
          <w:fldChar w:fldCharType="begin"/>
        </w:r>
        <w:r w:rsidR="00D036E7">
          <w:rPr>
            <w:noProof/>
            <w:webHidden/>
          </w:rPr>
          <w:instrText xml:space="preserve"> PAGEREF _Toc238743287 \h </w:instrText>
        </w:r>
        <w:r w:rsidR="00D036E7">
          <w:rPr>
            <w:noProof/>
            <w:webHidden/>
          </w:rPr>
        </w:r>
        <w:r w:rsidR="00D036E7">
          <w:rPr>
            <w:noProof/>
            <w:webHidden/>
          </w:rPr>
          <w:fldChar w:fldCharType="separate"/>
        </w:r>
        <w:r w:rsidR="00D036E7">
          <w:rPr>
            <w:noProof/>
            <w:webHidden/>
          </w:rPr>
          <w:t>29</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288" w:history="1">
        <w:r w:rsidR="00D036E7" w:rsidRPr="00B74A04">
          <w:rPr>
            <w:rStyle w:val="Hyperlink"/>
            <w:noProof/>
          </w:rPr>
          <w:t>1.</w:t>
        </w:r>
        <w:r w:rsidR="00D036E7">
          <w:rPr>
            <w:rFonts w:eastAsiaTheme="minorEastAsia"/>
            <w:noProof/>
            <w:sz w:val="22"/>
            <w:szCs w:val="22"/>
            <w:lang w:eastAsia="ro-RO"/>
          </w:rPr>
          <w:tab/>
        </w:r>
        <w:r w:rsidR="00D036E7" w:rsidRPr="00B74A04">
          <w:rPr>
            <w:rStyle w:val="Hyperlink"/>
            <w:noProof/>
          </w:rPr>
          <w:t>Calitatea de victimă și existența unei ingerințe în exercitarea drepturilor protejate în temeiul art. 8 din Convenție</w:t>
        </w:r>
        <w:r w:rsidR="00D036E7">
          <w:rPr>
            <w:noProof/>
            <w:webHidden/>
          </w:rPr>
          <w:tab/>
        </w:r>
        <w:r w:rsidR="00D036E7">
          <w:rPr>
            <w:noProof/>
            <w:webHidden/>
          </w:rPr>
          <w:fldChar w:fldCharType="begin"/>
        </w:r>
        <w:r w:rsidR="00D036E7">
          <w:rPr>
            <w:noProof/>
            <w:webHidden/>
          </w:rPr>
          <w:instrText xml:space="preserve"> PAGEREF _Toc238743288 \h </w:instrText>
        </w:r>
        <w:r w:rsidR="00D036E7">
          <w:rPr>
            <w:noProof/>
            <w:webHidden/>
          </w:rPr>
        </w:r>
        <w:r w:rsidR="00D036E7">
          <w:rPr>
            <w:noProof/>
            <w:webHidden/>
          </w:rPr>
          <w:fldChar w:fldCharType="separate"/>
        </w:r>
        <w:r w:rsidR="00D036E7">
          <w:rPr>
            <w:noProof/>
            <w:webHidden/>
          </w:rPr>
          <w:t>29</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289" w:history="1">
        <w:r w:rsidR="00D036E7" w:rsidRPr="00B74A04">
          <w:rPr>
            <w:rStyle w:val="Hyperlink"/>
            <w:noProof/>
          </w:rPr>
          <w:t>(a)</w:t>
        </w:r>
        <w:r w:rsidR="00D036E7">
          <w:rPr>
            <w:rFonts w:eastAsiaTheme="minorEastAsia"/>
            <w:noProof/>
            <w:sz w:val="22"/>
            <w:szCs w:val="22"/>
            <w:lang w:eastAsia="ro-RO"/>
          </w:rPr>
          <w:tab/>
        </w:r>
        <w:r w:rsidR="00D036E7" w:rsidRPr="00B74A04">
          <w:rPr>
            <w:rStyle w:val="Hyperlink"/>
            <w:noProof/>
          </w:rPr>
          <w:t>Argumentele părților</w:t>
        </w:r>
        <w:r w:rsidR="00D036E7">
          <w:rPr>
            <w:noProof/>
            <w:webHidden/>
          </w:rPr>
          <w:tab/>
        </w:r>
        <w:r w:rsidR="00D036E7">
          <w:rPr>
            <w:noProof/>
            <w:webHidden/>
          </w:rPr>
          <w:fldChar w:fldCharType="begin"/>
        </w:r>
        <w:r w:rsidR="00D036E7">
          <w:rPr>
            <w:noProof/>
            <w:webHidden/>
          </w:rPr>
          <w:instrText xml:space="preserve"> PAGEREF _Toc238743289 \h </w:instrText>
        </w:r>
        <w:r w:rsidR="00D036E7">
          <w:rPr>
            <w:noProof/>
            <w:webHidden/>
          </w:rPr>
        </w:r>
        <w:r w:rsidR="00D036E7">
          <w:rPr>
            <w:noProof/>
            <w:webHidden/>
          </w:rPr>
          <w:fldChar w:fldCharType="separate"/>
        </w:r>
        <w:r w:rsidR="00D036E7">
          <w:rPr>
            <w:noProof/>
            <w:webHidden/>
          </w:rPr>
          <w:t>29</w:t>
        </w:r>
        <w:r w:rsidR="00D036E7">
          <w:rPr>
            <w:noProof/>
            <w:webHidden/>
          </w:rPr>
          <w:fldChar w:fldCharType="end"/>
        </w:r>
      </w:hyperlink>
    </w:p>
    <w:p w:rsidR="00D036E7" w:rsidRDefault="00C56213">
      <w:pPr>
        <w:pStyle w:val="TOC6"/>
        <w:tabs>
          <w:tab w:val="left" w:pos="2381"/>
        </w:tabs>
        <w:rPr>
          <w:rFonts w:eastAsiaTheme="minorEastAsia"/>
          <w:noProof/>
          <w:sz w:val="22"/>
          <w:szCs w:val="22"/>
          <w:lang w:eastAsia="ro-RO"/>
        </w:rPr>
      </w:pPr>
      <w:hyperlink w:anchor="_Toc238743290" w:history="1">
        <w:r w:rsidR="00D036E7" w:rsidRPr="00B74A04">
          <w:rPr>
            <w:rStyle w:val="Hyperlink"/>
            <w:noProof/>
            <w:lang w:bidi="en-US"/>
          </w:rPr>
          <w:t>(i)</w:t>
        </w:r>
        <w:r w:rsidR="00D036E7">
          <w:rPr>
            <w:rFonts w:eastAsiaTheme="minorEastAsia"/>
            <w:noProof/>
            <w:sz w:val="22"/>
            <w:szCs w:val="22"/>
            <w:lang w:eastAsia="ro-RO"/>
          </w:rPr>
          <w:tab/>
        </w:r>
        <w:r w:rsidR="00D036E7" w:rsidRPr="00B74A04">
          <w:rPr>
            <w:rStyle w:val="Hyperlink"/>
            <w:noProof/>
            <w:lang w:bidi="en-US"/>
          </w:rPr>
          <w:t>Asociația reclamantă</w:t>
        </w:r>
        <w:r w:rsidR="00D036E7">
          <w:rPr>
            <w:noProof/>
            <w:webHidden/>
          </w:rPr>
          <w:tab/>
        </w:r>
        <w:r w:rsidR="00D036E7">
          <w:rPr>
            <w:noProof/>
            <w:webHidden/>
          </w:rPr>
          <w:fldChar w:fldCharType="begin"/>
        </w:r>
        <w:r w:rsidR="00D036E7">
          <w:rPr>
            <w:noProof/>
            <w:webHidden/>
          </w:rPr>
          <w:instrText xml:space="preserve"> PAGEREF _Toc238743290 \h </w:instrText>
        </w:r>
        <w:r w:rsidR="00D036E7">
          <w:rPr>
            <w:noProof/>
            <w:webHidden/>
          </w:rPr>
        </w:r>
        <w:r w:rsidR="00D036E7">
          <w:rPr>
            <w:noProof/>
            <w:webHidden/>
          </w:rPr>
          <w:fldChar w:fldCharType="separate"/>
        </w:r>
        <w:r w:rsidR="00D036E7">
          <w:rPr>
            <w:noProof/>
            <w:webHidden/>
          </w:rPr>
          <w:t>29</w:t>
        </w:r>
        <w:r w:rsidR="00D036E7">
          <w:rPr>
            <w:noProof/>
            <w:webHidden/>
          </w:rPr>
          <w:fldChar w:fldCharType="end"/>
        </w:r>
      </w:hyperlink>
    </w:p>
    <w:p w:rsidR="00D036E7" w:rsidRDefault="00C56213">
      <w:pPr>
        <w:pStyle w:val="TOC6"/>
        <w:tabs>
          <w:tab w:val="left" w:pos="2381"/>
        </w:tabs>
        <w:rPr>
          <w:rFonts w:eastAsiaTheme="minorEastAsia"/>
          <w:noProof/>
          <w:sz w:val="22"/>
          <w:szCs w:val="22"/>
          <w:lang w:eastAsia="ro-RO"/>
        </w:rPr>
      </w:pPr>
      <w:hyperlink w:anchor="_Toc238743291" w:history="1">
        <w:r w:rsidR="00D036E7" w:rsidRPr="00B74A04">
          <w:rPr>
            <w:rStyle w:val="Hyperlink"/>
            <w:noProof/>
            <w:lang w:bidi="en-US"/>
          </w:rPr>
          <w:t>(ii)</w:t>
        </w:r>
        <w:r w:rsidR="00D036E7">
          <w:rPr>
            <w:rFonts w:eastAsiaTheme="minorEastAsia"/>
            <w:noProof/>
            <w:sz w:val="22"/>
            <w:szCs w:val="22"/>
            <w:lang w:eastAsia="ro-RO"/>
          </w:rPr>
          <w:tab/>
        </w:r>
        <w:r w:rsidR="00D036E7" w:rsidRPr="00B74A04">
          <w:rPr>
            <w:rStyle w:val="Hyperlink"/>
            <w:noProof/>
            <w:lang w:bidi="en-US"/>
          </w:rPr>
          <w:t>Guvernul</w:t>
        </w:r>
        <w:r w:rsidR="00D036E7">
          <w:rPr>
            <w:noProof/>
            <w:webHidden/>
          </w:rPr>
          <w:tab/>
        </w:r>
        <w:r w:rsidR="00D036E7">
          <w:rPr>
            <w:noProof/>
            <w:webHidden/>
          </w:rPr>
          <w:fldChar w:fldCharType="begin"/>
        </w:r>
        <w:r w:rsidR="00D036E7">
          <w:rPr>
            <w:noProof/>
            <w:webHidden/>
          </w:rPr>
          <w:instrText xml:space="preserve"> PAGEREF _Toc238743291 \h </w:instrText>
        </w:r>
        <w:r w:rsidR="00D036E7">
          <w:rPr>
            <w:noProof/>
            <w:webHidden/>
          </w:rPr>
        </w:r>
        <w:r w:rsidR="00D036E7">
          <w:rPr>
            <w:noProof/>
            <w:webHidden/>
          </w:rPr>
          <w:fldChar w:fldCharType="separate"/>
        </w:r>
        <w:r w:rsidR="00D036E7">
          <w:rPr>
            <w:noProof/>
            <w:webHidden/>
          </w:rPr>
          <w:t>29</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292" w:history="1">
        <w:r w:rsidR="00D036E7" w:rsidRPr="00B74A04">
          <w:rPr>
            <w:rStyle w:val="Hyperlink"/>
            <w:noProof/>
          </w:rPr>
          <w:t>(b)</w:t>
        </w:r>
        <w:r w:rsidR="00D036E7">
          <w:rPr>
            <w:rFonts w:eastAsiaTheme="minorEastAsia"/>
            <w:noProof/>
            <w:sz w:val="22"/>
            <w:szCs w:val="22"/>
            <w:lang w:eastAsia="ro-RO"/>
          </w:rPr>
          <w:tab/>
        </w:r>
        <w:r w:rsidR="00D036E7" w:rsidRPr="00B74A04">
          <w:rPr>
            <w:rStyle w:val="Hyperlink"/>
            <w:noProof/>
          </w:rPr>
          <w:t>Motivarea Curții</w:t>
        </w:r>
        <w:r w:rsidR="00D036E7">
          <w:rPr>
            <w:noProof/>
            <w:webHidden/>
          </w:rPr>
          <w:tab/>
        </w:r>
        <w:r w:rsidR="00D036E7">
          <w:rPr>
            <w:noProof/>
            <w:webHidden/>
          </w:rPr>
          <w:fldChar w:fldCharType="begin"/>
        </w:r>
        <w:r w:rsidR="00D036E7">
          <w:rPr>
            <w:noProof/>
            <w:webHidden/>
          </w:rPr>
          <w:instrText xml:space="preserve"> PAGEREF _Toc238743292 \h </w:instrText>
        </w:r>
        <w:r w:rsidR="00D036E7">
          <w:rPr>
            <w:noProof/>
            <w:webHidden/>
          </w:rPr>
        </w:r>
        <w:r w:rsidR="00D036E7">
          <w:rPr>
            <w:noProof/>
            <w:webHidden/>
          </w:rPr>
          <w:fldChar w:fldCharType="separate"/>
        </w:r>
        <w:r w:rsidR="00D036E7">
          <w:rPr>
            <w:noProof/>
            <w:webHidden/>
          </w:rPr>
          <w:t>30</w:t>
        </w:r>
        <w:r w:rsidR="00D036E7">
          <w:rPr>
            <w:noProof/>
            <w:webHidden/>
          </w:rPr>
          <w:fldChar w:fldCharType="end"/>
        </w:r>
      </w:hyperlink>
    </w:p>
    <w:p w:rsidR="00D036E7" w:rsidRDefault="00C56213">
      <w:pPr>
        <w:pStyle w:val="TOC6"/>
        <w:tabs>
          <w:tab w:val="left" w:pos="2381"/>
        </w:tabs>
        <w:rPr>
          <w:rFonts w:eastAsiaTheme="minorEastAsia"/>
          <w:noProof/>
          <w:sz w:val="22"/>
          <w:szCs w:val="22"/>
          <w:lang w:eastAsia="ro-RO"/>
        </w:rPr>
      </w:pPr>
      <w:hyperlink w:anchor="_Toc238743293" w:history="1">
        <w:r w:rsidR="00D036E7" w:rsidRPr="00B74A04">
          <w:rPr>
            <w:rStyle w:val="Hyperlink"/>
            <w:noProof/>
            <w:lang w:bidi="en-US"/>
          </w:rPr>
          <w:t>(i)</w:t>
        </w:r>
        <w:r w:rsidR="00D036E7">
          <w:rPr>
            <w:rFonts w:eastAsiaTheme="minorEastAsia"/>
            <w:noProof/>
            <w:sz w:val="22"/>
            <w:szCs w:val="22"/>
            <w:lang w:eastAsia="ro-RO"/>
          </w:rPr>
          <w:tab/>
        </w:r>
        <w:r w:rsidR="00D036E7" w:rsidRPr="00B74A04">
          <w:rPr>
            <w:rStyle w:val="Hyperlink"/>
            <w:noProof/>
            <w:lang w:bidi="en-US"/>
          </w:rPr>
          <w:t>Ar putea activitatea unui „agent cu identitate atribuită” să constituie o ingerință în drepturile asociației reclamante garantate de art. 8 din Convenție?</w:t>
        </w:r>
        <w:r w:rsidR="00D036E7">
          <w:rPr>
            <w:noProof/>
            <w:webHidden/>
          </w:rPr>
          <w:tab/>
        </w:r>
        <w:r w:rsidR="00D036E7">
          <w:rPr>
            <w:noProof/>
            <w:webHidden/>
          </w:rPr>
          <w:fldChar w:fldCharType="begin"/>
        </w:r>
        <w:r w:rsidR="00D036E7">
          <w:rPr>
            <w:noProof/>
            <w:webHidden/>
          </w:rPr>
          <w:instrText xml:space="preserve"> PAGEREF _Toc238743293 \h </w:instrText>
        </w:r>
        <w:r w:rsidR="00D036E7">
          <w:rPr>
            <w:noProof/>
            <w:webHidden/>
          </w:rPr>
        </w:r>
        <w:r w:rsidR="00D036E7">
          <w:rPr>
            <w:noProof/>
            <w:webHidden/>
          </w:rPr>
          <w:fldChar w:fldCharType="separate"/>
        </w:r>
        <w:r w:rsidR="00D036E7">
          <w:rPr>
            <w:noProof/>
            <w:webHidden/>
          </w:rPr>
          <w:t>30</w:t>
        </w:r>
        <w:r w:rsidR="00D036E7">
          <w:rPr>
            <w:noProof/>
            <w:webHidden/>
          </w:rPr>
          <w:fldChar w:fldCharType="end"/>
        </w:r>
      </w:hyperlink>
    </w:p>
    <w:p w:rsidR="00D036E7" w:rsidRDefault="00C56213">
      <w:pPr>
        <w:pStyle w:val="TOC6"/>
        <w:tabs>
          <w:tab w:val="left" w:pos="2381"/>
        </w:tabs>
        <w:rPr>
          <w:rFonts w:eastAsiaTheme="minorEastAsia"/>
          <w:noProof/>
          <w:sz w:val="22"/>
          <w:szCs w:val="22"/>
          <w:lang w:eastAsia="ro-RO"/>
        </w:rPr>
      </w:pPr>
      <w:hyperlink w:anchor="_Toc238743294" w:history="1">
        <w:r w:rsidR="00D036E7" w:rsidRPr="00B74A04">
          <w:rPr>
            <w:rStyle w:val="Hyperlink"/>
            <w:noProof/>
            <w:lang w:bidi="en-US"/>
          </w:rPr>
          <w:t>(ii)</w:t>
        </w:r>
        <w:r w:rsidR="00D036E7">
          <w:rPr>
            <w:rFonts w:eastAsiaTheme="minorEastAsia"/>
            <w:noProof/>
            <w:sz w:val="22"/>
            <w:szCs w:val="22"/>
            <w:lang w:eastAsia="ro-RO"/>
          </w:rPr>
          <w:tab/>
        </w:r>
        <w:r w:rsidR="00D036E7" w:rsidRPr="00B74A04">
          <w:rPr>
            <w:rStyle w:val="Hyperlink"/>
            <w:noProof/>
            <w:lang w:bidi="en-US"/>
          </w:rPr>
          <w:t>Poate pretinde asociația reclamantă că este victima unei ingerințe în exercitarea acestor drepturi ca urmare a simplei existențe a regulamentului privind „agenții cu identitate atribuită”?</w:t>
        </w:r>
        <w:r w:rsidR="00D036E7">
          <w:rPr>
            <w:noProof/>
            <w:webHidden/>
          </w:rPr>
          <w:tab/>
        </w:r>
        <w:r w:rsidR="00D036E7">
          <w:rPr>
            <w:noProof/>
            <w:webHidden/>
          </w:rPr>
          <w:fldChar w:fldCharType="begin"/>
        </w:r>
        <w:r w:rsidR="00D036E7">
          <w:rPr>
            <w:noProof/>
            <w:webHidden/>
          </w:rPr>
          <w:instrText xml:space="preserve"> PAGEREF _Toc238743294 \h </w:instrText>
        </w:r>
        <w:r w:rsidR="00D036E7">
          <w:rPr>
            <w:noProof/>
            <w:webHidden/>
          </w:rPr>
        </w:r>
        <w:r w:rsidR="00D036E7">
          <w:rPr>
            <w:noProof/>
            <w:webHidden/>
          </w:rPr>
          <w:fldChar w:fldCharType="separate"/>
        </w:r>
        <w:r w:rsidR="00D036E7">
          <w:rPr>
            <w:noProof/>
            <w:webHidden/>
          </w:rPr>
          <w:t>32</w:t>
        </w:r>
        <w:r w:rsidR="00D036E7">
          <w:rPr>
            <w:noProof/>
            <w:webHidden/>
          </w:rPr>
          <w:fldChar w:fldCharType="end"/>
        </w:r>
      </w:hyperlink>
    </w:p>
    <w:p w:rsidR="00D036E7" w:rsidRDefault="00C56213">
      <w:pPr>
        <w:pStyle w:val="TOC7"/>
        <w:tabs>
          <w:tab w:val="left" w:pos="2721"/>
        </w:tabs>
        <w:rPr>
          <w:rFonts w:eastAsiaTheme="minorEastAsia"/>
          <w:noProof/>
          <w:sz w:val="22"/>
          <w:szCs w:val="22"/>
          <w:lang w:eastAsia="ro-RO"/>
        </w:rPr>
      </w:pPr>
      <w:hyperlink w:anchor="_Toc238743295" w:history="1">
        <w:r w:rsidR="00D036E7" w:rsidRPr="00B74A04">
          <w:rPr>
            <w:rStyle w:val="Hyperlink"/>
            <w:noProof/>
            <w:lang w:bidi="en-US"/>
          </w:rPr>
          <w:t>(α)</w:t>
        </w:r>
        <w:r w:rsidR="00D036E7">
          <w:rPr>
            <w:rFonts w:eastAsiaTheme="minorEastAsia"/>
            <w:noProof/>
            <w:sz w:val="22"/>
            <w:szCs w:val="22"/>
            <w:lang w:eastAsia="ro-RO"/>
          </w:rPr>
          <w:tab/>
        </w:r>
        <w:r w:rsidR="00D036E7" w:rsidRPr="00B74A04">
          <w:rPr>
            <w:rStyle w:val="Hyperlink"/>
            <w:noProof/>
            <w:lang w:bidi="en-US"/>
          </w:rPr>
          <w:t>Principii generale</w:t>
        </w:r>
        <w:r w:rsidR="00D036E7">
          <w:rPr>
            <w:noProof/>
            <w:webHidden/>
          </w:rPr>
          <w:tab/>
        </w:r>
        <w:r w:rsidR="00D036E7">
          <w:rPr>
            <w:noProof/>
            <w:webHidden/>
          </w:rPr>
          <w:fldChar w:fldCharType="begin"/>
        </w:r>
        <w:r w:rsidR="00D036E7">
          <w:rPr>
            <w:noProof/>
            <w:webHidden/>
          </w:rPr>
          <w:instrText xml:space="preserve"> PAGEREF _Toc238743295 \h </w:instrText>
        </w:r>
        <w:r w:rsidR="00D036E7">
          <w:rPr>
            <w:noProof/>
            <w:webHidden/>
          </w:rPr>
        </w:r>
        <w:r w:rsidR="00D036E7">
          <w:rPr>
            <w:noProof/>
            <w:webHidden/>
          </w:rPr>
          <w:fldChar w:fldCharType="separate"/>
        </w:r>
        <w:r w:rsidR="00D036E7">
          <w:rPr>
            <w:noProof/>
            <w:webHidden/>
          </w:rPr>
          <w:t>32</w:t>
        </w:r>
        <w:r w:rsidR="00D036E7">
          <w:rPr>
            <w:noProof/>
            <w:webHidden/>
          </w:rPr>
          <w:fldChar w:fldCharType="end"/>
        </w:r>
      </w:hyperlink>
    </w:p>
    <w:p w:rsidR="00D036E7" w:rsidRDefault="00C56213">
      <w:pPr>
        <w:pStyle w:val="TOC7"/>
        <w:tabs>
          <w:tab w:val="left" w:pos="2721"/>
        </w:tabs>
        <w:rPr>
          <w:rFonts w:eastAsiaTheme="minorEastAsia"/>
          <w:noProof/>
          <w:sz w:val="22"/>
          <w:szCs w:val="22"/>
          <w:lang w:eastAsia="ro-RO"/>
        </w:rPr>
      </w:pPr>
      <w:hyperlink w:anchor="_Toc238743296" w:history="1">
        <w:r w:rsidR="00D036E7" w:rsidRPr="00B74A04">
          <w:rPr>
            <w:rStyle w:val="Hyperlink"/>
            <w:noProof/>
            <w:lang w:bidi="en-US"/>
          </w:rPr>
          <w:t>(β)</w:t>
        </w:r>
        <w:r w:rsidR="00D036E7">
          <w:rPr>
            <w:rFonts w:eastAsiaTheme="minorEastAsia"/>
            <w:noProof/>
            <w:sz w:val="22"/>
            <w:szCs w:val="22"/>
            <w:lang w:eastAsia="ro-RO"/>
          </w:rPr>
          <w:tab/>
        </w:r>
        <w:r w:rsidR="00D036E7" w:rsidRPr="00B74A04">
          <w:rPr>
            <w:rStyle w:val="Hyperlink"/>
            <w:noProof/>
            <w:lang w:bidi="en-US"/>
          </w:rPr>
          <w:t>Aplicarea acestor principii</w:t>
        </w:r>
        <w:r w:rsidR="00D036E7">
          <w:rPr>
            <w:noProof/>
            <w:webHidden/>
          </w:rPr>
          <w:tab/>
        </w:r>
        <w:r w:rsidR="00D036E7">
          <w:rPr>
            <w:noProof/>
            <w:webHidden/>
          </w:rPr>
          <w:fldChar w:fldCharType="begin"/>
        </w:r>
        <w:r w:rsidR="00D036E7">
          <w:rPr>
            <w:noProof/>
            <w:webHidden/>
          </w:rPr>
          <w:instrText xml:space="preserve"> PAGEREF _Toc238743296 \h </w:instrText>
        </w:r>
        <w:r w:rsidR="00D036E7">
          <w:rPr>
            <w:noProof/>
            <w:webHidden/>
          </w:rPr>
        </w:r>
        <w:r w:rsidR="00D036E7">
          <w:rPr>
            <w:noProof/>
            <w:webHidden/>
          </w:rPr>
          <w:fldChar w:fldCharType="separate"/>
        </w:r>
        <w:r w:rsidR="00D036E7">
          <w:rPr>
            <w:noProof/>
            <w:webHidden/>
          </w:rPr>
          <w:t>33</w:t>
        </w:r>
        <w:r w:rsidR="00D036E7">
          <w:rPr>
            <w:noProof/>
            <w:webHidden/>
          </w:rPr>
          <w:fldChar w:fldCharType="end"/>
        </w:r>
      </w:hyperlink>
    </w:p>
    <w:p w:rsidR="00D036E7" w:rsidRDefault="00C56213">
      <w:pPr>
        <w:pStyle w:val="TOC8"/>
        <w:rPr>
          <w:rFonts w:asciiTheme="minorHAnsi" w:eastAsiaTheme="minorEastAsia" w:hAnsiTheme="minorHAnsi" w:cstheme="minorBidi"/>
          <w:sz w:val="22"/>
          <w:szCs w:val="22"/>
          <w:lang w:eastAsia="ro-RO" w:bidi="ar-SA"/>
        </w:rPr>
      </w:pPr>
      <w:hyperlink w:anchor="_Toc238743297" w:history="1">
        <w:r w:rsidR="00D036E7" w:rsidRPr="00B74A04">
          <w:rPr>
            <w:rStyle w:val="Hyperlink"/>
          </w:rPr>
          <w:t>‒</w:t>
        </w:r>
        <w:r w:rsidR="00D036E7">
          <w:rPr>
            <w:rFonts w:asciiTheme="minorHAnsi" w:eastAsiaTheme="minorEastAsia" w:hAnsiTheme="minorHAnsi" w:cstheme="minorBidi"/>
            <w:sz w:val="22"/>
            <w:szCs w:val="22"/>
            <w:lang w:eastAsia="ro-RO" w:bidi="ar-SA"/>
          </w:rPr>
          <w:tab/>
        </w:r>
        <w:r w:rsidR="00D036E7" w:rsidRPr="00B74A04">
          <w:rPr>
            <w:rStyle w:val="Hyperlink"/>
          </w:rPr>
          <w:t>Domeniul de aplicare al legislației relevante</w:t>
        </w:r>
        <w:r w:rsidR="00D036E7">
          <w:rPr>
            <w:webHidden/>
          </w:rPr>
          <w:tab/>
        </w:r>
        <w:r w:rsidR="00D036E7">
          <w:rPr>
            <w:webHidden/>
          </w:rPr>
          <w:fldChar w:fldCharType="begin"/>
        </w:r>
        <w:r w:rsidR="00D036E7">
          <w:rPr>
            <w:webHidden/>
          </w:rPr>
          <w:instrText xml:space="preserve"> PAGEREF _Toc238743297 \h </w:instrText>
        </w:r>
        <w:r w:rsidR="00D036E7">
          <w:rPr>
            <w:webHidden/>
          </w:rPr>
        </w:r>
        <w:r w:rsidR="00D036E7">
          <w:rPr>
            <w:webHidden/>
          </w:rPr>
          <w:fldChar w:fldCharType="separate"/>
        </w:r>
        <w:r w:rsidR="00D036E7">
          <w:rPr>
            <w:webHidden/>
          </w:rPr>
          <w:t>33</w:t>
        </w:r>
        <w:r w:rsidR="00D036E7">
          <w:rPr>
            <w:webHidden/>
          </w:rPr>
          <w:fldChar w:fldCharType="end"/>
        </w:r>
      </w:hyperlink>
    </w:p>
    <w:p w:rsidR="00D036E7" w:rsidRDefault="00C56213">
      <w:pPr>
        <w:pStyle w:val="TOC8"/>
        <w:rPr>
          <w:rFonts w:asciiTheme="minorHAnsi" w:eastAsiaTheme="minorEastAsia" w:hAnsiTheme="minorHAnsi" w:cstheme="minorBidi"/>
          <w:sz w:val="22"/>
          <w:szCs w:val="22"/>
          <w:lang w:eastAsia="ro-RO" w:bidi="ar-SA"/>
        </w:rPr>
      </w:pPr>
      <w:hyperlink w:anchor="_Toc238743298" w:history="1">
        <w:r w:rsidR="00D036E7" w:rsidRPr="00B74A04">
          <w:rPr>
            <w:rStyle w:val="Hyperlink"/>
          </w:rPr>
          <w:t>‒</w:t>
        </w:r>
        <w:r w:rsidR="00D036E7">
          <w:rPr>
            <w:rFonts w:asciiTheme="minorHAnsi" w:eastAsiaTheme="minorEastAsia" w:hAnsiTheme="minorHAnsi" w:cstheme="minorBidi"/>
            <w:sz w:val="22"/>
            <w:szCs w:val="22"/>
            <w:lang w:eastAsia="ro-RO" w:bidi="ar-SA"/>
          </w:rPr>
          <w:tab/>
        </w:r>
        <w:r w:rsidR="00D036E7" w:rsidRPr="00B74A04">
          <w:rPr>
            <w:rStyle w:val="Hyperlink"/>
          </w:rPr>
          <w:t>Disponibilitatea unei căi de atac efective</w:t>
        </w:r>
        <w:r w:rsidR="00D036E7">
          <w:rPr>
            <w:webHidden/>
          </w:rPr>
          <w:tab/>
        </w:r>
        <w:r w:rsidR="00D036E7">
          <w:rPr>
            <w:webHidden/>
          </w:rPr>
          <w:fldChar w:fldCharType="begin"/>
        </w:r>
        <w:r w:rsidR="00D036E7">
          <w:rPr>
            <w:webHidden/>
          </w:rPr>
          <w:instrText xml:space="preserve"> PAGEREF _Toc238743298 \h </w:instrText>
        </w:r>
        <w:r w:rsidR="00D036E7">
          <w:rPr>
            <w:webHidden/>
          </w:rPr>
        </w:r>
        <w:r w:rsidR="00D036E7">
          <w:rPr>
            <w:webHidden/>
          </w:rPr>
          <w:fldChar w:fldCharType="separate"/>
        </w:r>
        <w:r w:rsidR="00D036E7">
          <w:rPr>
            <w:webHidden/>
          </w:rPr>
          <w:t>33</w:t>
        </w:r>
        <w:r w:rsidR="00D036E7">
          <w:rPr>
            <w:webHidden/>
          </w:rPr>
          <w:fldChar w:fldCharType="end"/>
        </w:r>
      </w:hyperlink>
    </w:p>
    <w:p w:rsidR="00D036E7" w:rsidRDefault="00C56213">
      <w:pPr>
        <w:pStyle w:val="TOC8"/>
        <w:rPr>
          <w:rFonts w:asciiTheme="minorHAnsi" w:eastAsiaTheme="minorEastAsia" w:hAnsiTheme="minorHAnsi" w:cstheme="minorBidi"/>
          <w:sz w:val="22"/>
          <w:szCs w:val="22"/>
          <w:lang w:eastAsia="ro-RO" w:bidi="ar-SA"/>
        </w:rPr>
      </w:pPr>
      <w:hyperlink w:anchor="_Toc238743299" w:history="1">
        <w:r w:rsidR="00D036E7" w:rsidRPr="00B74A04">
          <w:rPr>
            <w:rStyle w:val="Hyperlink"/>
          </w:rPr>
          <w:t>‒</w:t>
        </w:r>
        <w:r w:rsidR="00D036E7">
          <w:rPr>
            <w:rFonts w:asciiTheme="minorHAnsi" w:eastAsiaTheme="minorEastAsia" w:hAnsiTheme="minorHAnsi" w:cstheme="minorBidi"/>
            <w:sz w:val="22"/>
            <w:szCs w:val="22"/>
            <w:lang w:eastAsia="ro-RO" w:bidi="ar-SA"/>
          </w:rPr>
          <w:tab/>
        </w:r>
        <w:r w:rsidR="00D036E7" w:rsidRPr="00B74A04">
          <w:rPr>
            <w:rStyle w:val="Hyperlink"/>
          </w:rPr>
          <w:t>Concluzie</w:t>
        </w:r>
        <w:r w:rsidR="00D036E7">
          <w:rPr>
            <w:webHidden/>
          </w:rPr>
          <w:tab/>
        </w:r>
        <w:r w:rsidR="00D036E7">
          <w:rPr>
            <w:webHidden/>
          </w:rPr>
          <w:fldChar w:fldCharType="begin"/>
        </w:r>
        <w:r w:rsidR="00D036E7">
          <w:rPr>
            <w:webHidden/>
          </w:rPr>
          <w:instrText xml:space="preserve"> PAGEREF _Toc238743299 \h </w:instrText>
        </w:r>
        <w:r w:rsidR="00D036E7">
          <w:rPr>
            <w:webHidden/>
          </w:rPr>
        </w:r>
        <w:r w:rsidR="00D036E7">
          <w:rPr>
            <w:webHidden/>
          </w:rPr>
          <w:fldChar w:fldCharType="separate"/>
        </w:r>
        <w:r w:rsidR="00D036E7">
          <w:rPr>
            <w:webHidden/>
          </w:rPr>
          <w:t>37</w:t>
        </w:r>
        <w:r w:rsidR="00D036E7">
          <w:rPr>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300" w:history="1">
        <w:r w:rsidR="00D036E7" w:rsidRPr="00B74A04">
          <w:rPr>
            <w:rStyle w:val="Hyperlink"/>
            <w:noProof/>
          </w:rPr>
          <w:t>2.</w:t>
        </w:r>
        <w:r w:rsidR="00D036E7">
          <w:rPr>
            <w:rFonts w:eastAsiaTheme="minorEastAsia"/>
            <w:noProof/>
            <w:sz w:val="22"/>
            <w:szCs w:val="22"/>
            <w:lang w:eastAsia="ro-RO"/>
          </w:rPr>
          <w:tab/>
        </w:r>
        <w:r w:rsidR="00D036E7" w:rsidRPr="00B74A04">
          <w:rPr>
            <w:rStyle w:val="Hyperlink"/>
            <w:noProof/>
          </w:rPr>
          <w:t>Justificarea ingerinței</w:t>
        </w:r>
        <w:r w:rsidR="00D036E7">
          <w:rPr>
            <w:noProof/>
            <w:webHidden/>
          </w:rPr>
          <w:tab/>
        </w:r>
        <w:r w:rsidR="00D036E7">
          <w:rPr>
            <w:noProof/>
            <w:webHidden/>
          </w:rPr>
          <w:fldChar w:fldCharType="begin"/>
        </w:r>
        <w:r w:rsidR="00D036E7">
          <w:rPr>
            <w:noProof/>
            <w:webHidden/>
          </w:rPr>
          <w:instrText xml:space="preserve"> PAGEREF _Toc238743300 \h </w:instrText>
        </w:r>
        <w:r w:rsidR="00D036E7">
          <w:rPr>
            <w:noProof/>
            <w:webHidden/>
          </w:rPr>
        </w:r>
        <w:r w:rsidR="00D036E7">
          <w:rPr>
            <w:noProof/>
            <w:webHidden/>
          </w:rPr>
          <w:fldChar w:fldCharType="separate"/>
        </w:r>
        <w:r w:rsidR="00D036E7">
          <w:rPr>
            <w:noProof/>
            <w:webHidden/>
          </w:rPr>
          <w:t>37</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301" w:history="1">
        <w:r w:rsidR="00D036E7" w:rsidRPr="00B74A04">
          <w:rPr>
            <w:rStyle w:val="Hyperlink"/>
            <w:noProof/>
          </w:rPr>
          <w:t>(a)</w:t>
        </w:r>
        <w:r w:rsidR="00D036E7">
          <w:rPr>
            <w:rFonts w:eastAsiaTheme="minorEastAsia"/>
            <w:noProof/>
            <w:sz w:val="22"/>
            <w:szCs w:val="22"/>
            <w:lang w:eastAsia="ro-RO"/>
          </w:rPr>
          <w:tab/>
        </w:r>
        <w:r w:rsidR="00D036E7" w:rsidRPr="00B74A04">
          <w:rPr>
            <w:rStyle w:val="Hyperlink"/>
            <w:noProof/>
          </w:rPr>
          <w:t>Argumentele părților</w:t>
        </w:r>
        <w:r w:rsidR="00D036E7">
          <w:rPr>
            <w:noProof/>
            <w:webHidden/>
          </w:rPr>
          <w:tab/>
        </w:r>
        <w:r w:rsidR="00D036E7">
          <w:rPr>
            <w:noProof/>
            <w:webHidden/>
          </w:rPr>
          <w:fldChar w:fldCharType="begin"/>
        </w:r>
        <w:r w:rsidR="00D036E7">
          <w:rPr>
            <w:noProof/>
            <w:webHidden/>
          </w:rPr>
          <w:instrText xml:space="preserve"> PAGEREF _Toc238743301 \h </w:instrText>
        </w:r>
        <w:r w:rsidR="00D036E7">
          <w:rPr>
            <w:noProof/>
            <w:webHidden/>
          </w:rPr>
        </w:r>
        <w:r w:rsidR="00D036E7">
          <w:rPr>
            <w:noProof/>
            <w:webHidden/>
          </w:rPr>
          <w:fldChar w:fldCharType="separate"/>
        </w:r>
        <w:r w:rsidR="00D036E7">
          <w:rPr>
            <w:noProof/>
            <w:webHidden/>
          </w:rPr>
          <w:t>37</w:t>
        </w:r>
        <w:r w:rsidR="00D036E7">
          <w:rPr>
            <w:noProof/>
            <w:webHidden/>
          </w:rPr>
          <w:fldChar w:fldCharType="end"/>
        </w:r>
      </w:hyperlink>
    </w:p>
    <w:p w:rsidR="00D036E7" w:rsidRDefault="00C56213">
      <w:pPr>
        <w:pStyle w:val="TOC6"/>
        <w:tabs>
          <w:tab w:val="left" w:pos="2381"/>
        </w:tabs>
        <w:rPr>
          <w:rFonts w:eastAsiaTheme="minorEastAsia"/>
          <w:noProof/>
          <w:sz w:val="22"/>
          <w:szCs w:val="22"/>
          <w:lang w:eastAsia="ro-RO"/>
        </w:rPr>
      </w:pPr>
      <w:hyperlink w:anchor="_Toc238743302" w:history="1">
        <w:r w:rsidR="00D036E7" w:rsidRPr="00B74A04">
          <w:rPr>
            <w:rStyle w:val="Hyperlink"/>
            <w:noProof/>
            <w:lang w:bidi="en-US"/>
          </w:rPr>
          <w:t>(i)</w:t>
        </w:r>
        <w:r w:rsidR="00D036E7">
          <w:rPr>
            <w:rFonts w:eastAsiaTheme="minorEastAsia"/>
            <w:noProof/>
            <w:sz w:val="22"/>
            <w:szCs w:val="22"/>
            <w:lang w:eastAsia="ro-RO"/>
          </w:rPr>
          <w:tab/>
        </w:r>
        <w:r w:rsidR="00D036E7" w:rsidRPr="00B74A04">
          <w:rPr>
            <w:rStyle w:val="Hyperlink"/>
            <w:noProof/>
            <w:lang w:bidi="en-US"/>
          </w:rPr>
          <w:t>Asociația reclamantă</w:t>
        </w:r>
        <w:r w:rsidR="00D036E7">
          <w:rPr>
            <w:noProof/>
            <w:webHidden/>
          </w:rPr>
          <w:tab/>
        </w:r>
        <w:r w:rsidR="00D036E7">
          <w:rPr>
            <w:noProof/>
            <w:webHidden/>
          </w:rPr>
          <w:fldChar w:fldCharType="begin"/>
        </w:r>
        <w:r w:rsidR="00D036E7">
          <w:rPr>
            <w:noProof/>
            <w:webHidden/>
          </w:rPr>
          <w:instrText xml:space="preserve"> PAGEREF _Toc238743302 \h </w:instrText>
        </w:r>
        <w:r w:rsidR="00D036E7">
          <w:rPr>
            <w:noProof/>
            <w:webHidden/>
          </w:rPr>
        </w:r>
        <w:r w:rsidR="00D036E7">
          <w:rPr>
            <w:noProof/>
            <w:webHidden/>
          </w:rPr>
          <w:fldChar w:fldCharType="separate"/>
        </w:r>
        <w:r w:rsidR="00D036E7">
          <w:rPr>
            <w:noProof/>
            <w:webHidden/>
          </w:rPr>
          <w:t>37</w:t>
        </w:r>
        <w:r w:rsidR="00D036E7">
          <w:rPr>
            <w:noProof/>
            <w:webHidden/>
          </w:rPr>
          <w:fldChar w:fldCharType="end"/>
        </w:r>
      </w:hyperlink>
    </w:p>
    <w:p w:rsidR="00D036E7" w:rsidRDefault="00C56213">
      <w:pPr>
        <w:pStyle w:val="TOC6"/>
        <w:tabs>
          <w:tab w:val="left" w:pos="2381"/>
        </w:tabs>
        <w:rPr>
          <w:rFonts w:eastAsiaTheme="minorEastAsia"/>
          <w:noProof/>
          <w:sz w:val="22"/>
          <w:szCs w:val="22"/>
          <w:lang w:eastAsia="ro-RO"/>
        </w:rPr>
      </w:pPr>
      <w:hyperlink w:anchor="_Toc238743303" w:history="1">
        <w:r w:rsidR="00D036E7" w:rsidRPr="00B74A04">
          <w:rPr>
            <w:rStyle w:val="Hyperlink"/>
            <w:noProof/>
            <w:lang w:bidi="en-US"/>
          </w:rPr>
          <w:t>(ii)</w:t>
        </w:r>
        <w:r w:rsidR="00D036E7">
          <w:rPr>
            <w:rFonts w:eastAsiaTheme="minorEastAsia"/>
            <w:noProof/>
            <w:sz w:val="22"/>
            <w:szCs w:val="22"/>
            <w:lang w:eastAsia="ro-RO"/>
          </w:rPr>
          <w:tab/>
        </w:r>
        <w:r w:rsidR="00D036E7" w:rsidRPr="00B74A04">
          <w:rPr>
            <w:rStyle w:val="Hyperlink"/>
            <w:noProof/>
            <w:lang w:bidi="en-US"/>
          </w:rPr>
          <w:t>Guvernul</w:t>
        </w:r>
        <w:r w:rsidR="00D036E7">
          <w:rPr>
            <w:noProof/>
            <w:webHidden/>
          </w:rPr>
          <w:tab/>
        </w:r>
        <w:r w:rsidR="00D036E7">
          <w:rPr>
            <w:noProof/>
            <w:webHidden/>
          </w:rPr>
          <w:fldChar w:fldCharType="begin"/>
        </w:r>
        <w:r w:rsidR="00D036E7">
          <w:rPr>
            <w:noProof/>
            <w:webHidden/>
          </w:rPr>
          <w:instrText xml:space="preserve"> PAGEREF _Toc238743303 \h </w:instrText>
        </w:r>
        <w:r w:rsidR="00D036E7">
          <w:rPr>
            <w:noProof/>
            <w:webHidden/>
          </w:rPr>
        </w:r>
        <w:r w:rsidR="00D036E7">
          <w:rPr>
            <w:noProof/>
            <w:webHidden/>
          </w:rPr>
          <w:fldChar w:fldCharType="separate"/>
        </w:r>
        <w:r w:rsidR="00D036E7">
          <w:rPr>
            <w:noProof/>
            <w:webHidden/>
          </w:rPr>
          <w:t>38</w:t>
        </w:r>
        <w:r w:rsidR="00D036E7">
          <w:rPr>
            <w:noProof/>
            <w:webHidden/>
          </w:rPr>
          <w:fldChar w:fldCharType="end"/>
        </w:r>
      </w:hyperlink>
    </w:p>
    <w:p w:rsidR="00D036E7" w:rsidRDefault="00C56213">
      <w:pPr>
        <w:pStyle w:val="TOC5"/>
        <w:tabs>
          <w:tab w:val="left" w:pos="2041"/>
        </w:tabs>
        <w:rPr>
          <w:rFonts w:eastAsiaTheme="minorEastAsia"/>
          <w:noProof/>
          <w:sz w:val="22"/>
          <w:szCs w:val="22"/>
          <w:lang w:eastAsia="ro-RO"/>
        </w:rPr>
      </w:pPr>
      <w:hyperlink w:anchor="_Toc238743304" w:history="1">
        <w:r w:rsidR="00D036E7" w:rsidRPr="00B74A04">
          <w:rPr>
            <w:rStyle w:val="Hyperlink"/>
            <w:noProof/>
          </w:rPr>
          <w:t>(b)</w:t>
        </w:r>
        <w:r w:rsidR="00D036E7">
          <w:rPr>
            <w:rFonts w:eastAsiaTheme="minorEastAsia"/>
            <w:noProof/>
            <w:sz w:val="22"/>
            <w:szCs w:val="22"/>
            <w:lang w:eastAsia="ro-RO"/>
          </w:rPr>
          <w:tab/>
        </w:r>
        <w:r w:rsidR="00D036E7" w:rsidRPr="00B74A04">
          <w:rPr>
            <w:rStyle w:val="Hyperlink"/>
            <w:noProof/>
          </w:rPr>
          <w:t>Motivarea Curții</w:t>
        </w:r>
        <w:r w:rsidR="00D036E7">
          <w:rPr>
            <w:noProof/>
            <w:webHidden/>
          </w:rPr>
          <w:tab/>
        </w:r>
        <w:r w:rsidR="00D036E7">
          <w:rPr>
            <w:noProof/>
            <w:webHidden/>
          </w:rPr>
          <w:fldChar w:fldCharType="begin"/>
        </w:r>
        <w:r w:rsidR="00D036E7">
          <w:rPr>
            <w:noProof/>
            <w:webHidden/>
          </w:rPr>
          <w:instrText xml:space="preserve"> PAGEREF _Toc238743304 \h </w:instrText>
        </w:r>
        <w:r w:rsidR="00D036E7">
          <w:rPr>
            <w:noProof/>
            <w:webHidden/>
          </w:rPr>
        </w:r>
        <w:r w:rsidR="00D036E7">
          <w:rPr>
            <w:noProof/>
            <w:webHidden/>
          </w:rPr>
          <w:fldChar w:fldCharType="separate"/>
        </w:r>
        <w:r w:rsidR="00D036E7">
          <w:rPr>
            <w:noProof/>
            <w:webHidden/>
          </w:rPr>
          <w:t>39</w:t>
        </w:r>
        <w:r w:rsidR="00D036E7">
          <w:rPr>
            <w:noProof/>
            <w:webHidden/>
          </w:rPr>
          <w:fldChar w:fldCharType="end"/>
        </w:r>
      </w:hyperlink>
    </w:p>
    <w:p w:rsidR="00D036E7" w:rsidRDefault="00C56213">
      <w:pPr>
        <w:pStyle w:val="TOC6"/>
        <w:tabs>
          <w:tab w:val="left" w:pos="2381"/>
        </w:tabs>
        <w:rPr>
          <w:rFonts w:eastAsiaTheme="minorEastAsia"/>
          <w:noProof/>
          <w:sz w:val="22"/>
          <w:szCs w:val="22"/>
          <w:lang w:eastAsia="ro-RO"/>
        </w:rPr>
      </w:pPr>
      <w:hyperlink w:anchor="_Toc238743305" w:history="1">
        <w:r w:rsidR="00D036E7" w:rsidRPr="00B74A04">
          <w:rPr>
            <w:rStyle w:val="Hyperlink"/>
            <w:noProof/>
            <w:lang w:bidi="en-US"/>
          </w:rPr>
          <w:t>(i)</w:t>
        </w:r>
        <w:r w:rsidR="00D036E7">
          <w:rPr>
            <w:rFonts w:eastAsiaTheme="minorEastAsia"/>
            <w:noProof/>
            <w:sz w:val="22"/>
            <w:szCs w:val="22"/>
            <w:lang w:eastAsia="ro-RO"/>
          </w:rPr>
          <w:tab/>
        </w:r>
        <w:r w:rsidR="00D036E7" w:rsidRPr="00B74A04">
          <w:rPr>
            <w:rStyle w:val="Hyperlink"/>
            <w:noProof/>
            <w:lang w:bidi="en-US"/>
          </w:rPr>
          <w:t>Principii generale</w:t>
        </w:r>
        <w:r w:rsidR="00D036E7">
          <w:rPr>
            <w:noProof/>
            <w:webHidden/>
          </w:rPr>
          <w:tab/>
        </w:r>
        <w:r w:rsidR="00D036E7">
          <w:rPr>
            <w:noProof/>
            <w:webHidden/>
          </w:rPr>
          <w:fldChar w:fldCharType="begin"/>
        </w:r>
        <w:r w:rsidR="00D036E7">
          <w:rPr>
            <w:noProof/>
            <w:webHidden/>
          </w:rPr>
          <w:instrText xml:space="preserve"> PAGEREF _Toc238743305 \h </w:instrText>
        </w:r>
        <w:r w:rsidR="00D036E7">
          <w:rPr>
            <w:noProof/>
            <w:webHidden/>
          </w:rPr>
        </w:r>
        <w:r w:rsidR="00D036E7">
          <w:rPr>
            <w:noProof/>
            <w:webHidden/>
          </w:rPr>
          <w:fldChar w:fldCharType="separate"/>
        </w:r>
        <w:r w:rsidR="00D036E7">
          <w:rPr>
            <w:noProof/>
            <w:webHidden/>
          </w:rPr>
          <w:t>39</w:t>
        </w:r>
        <w:r w:rsidR="00D036E7">
          <w:rPr>
            <w:noProof/>
            <w:webHidden/>
          </w:rPr>
          <w:fldChar w:fldCharType="end"/>
        </w:r>
      </w:hyperlink>
    </w:p>
    <w:p w:rsidR="00D036E7" w:rsidRDefault="00C56213">
      <w:pPr>
        <w:pStyle w:val="TOC7"/>
        <w:tabs>
          <w:tab w:val="left" w:pos="2721"/>
        </w:tabs>
        <w:rPr>
          <w:rFonts w:eastAsiaTheme="minorEastAsia"/>
          <w:noProof/>
          <w:sz w:val="22"/>
          <w:szCs w:val="22"/>
          <w:lang w:eastAsia="ro-RO"/>
        </w:rPr>
      </w:pPr>
      <w:hyperlink w:anchor="_Toc238743306" w:history="1">
        <w:r w:rsidR="00D036E7" w:rsidRPr="00B74A04">
          <w:rPr>
            <w:rStyle w:val="Hyperlink"/>
            <w:noProof/>
            <w:lang w:bidi="en-US"/>
          </w:rPr>
          <w:t>(α)</w:t>
        </w:r>
        <w:r w:rsidR="00D036E7">
          <w:rPr>
            <w:rFonts w:eastAsiaTheme="minorEastAsia"/>
            <w:noProof/>
            <w:sz w:val="22"/>
            <w:szCs w:val="22"/>
            <w:lang w:eastAsia="ro-RO"/>
          </w:rPr>
          <w:tab/>
        </w:r>
        <w:r w:rsidR="00D036E7" w:rsidRPr="00B74A04">
          <w:rPr>
            <w:rStyle w:val="Hyperlink"/>
            <w:noProof/>
            <w:lang w:bidi="en-US"/>
          </w:rPr>
          <w:t>Cu privire la nivelul garanțiilor</w:t>
        </w:r>
        <w:r w:rsidR="00D036E7">
          <w:rPr>
            <w:noProof/>
            <w:webHidden/>
          </w:rPr>
          <w:tab/>
        </w:r>
        <w:r w:rsidR="00D036E7">
          <w:rPr>
            <w:noProof/>
            <w:webHidden/>
          </w:rPr>
          <w:fldChar w:fldCharType="begin"/>
        </w:r>
        <w:r w:rsidR="00D036E7">
          <w:rPr>
            <w:noProof/>
            <w:webHidden/>
          </w:rPr>
          <w:instrText xml:space="preserve"> PAGEREF _Toc238743306 \h </w:instrText>
        </w:r>
        <w:r w:rsidR="00D036E7">
          <w:rPr>
            <w:noProof/>
            <w:webHidden/>
          </w:rPr>
        </w:r>
        <w:r w:rsidR="00D036E7">
          <w:rPr>
            <w:noProof/>
            <w:webHidden/>
          </w:rPr>
          <w:fldChar w:fldCharType="separate"/>
        </w:r>
        <w:r w:rsidR="00D036E7">
          <w:rPr>
            <w:noProof/>
            <w:webHidden/>
          </w:rPr>
          <w:t>39</w:t>
        </w:r>
        <w:r w:rsidR="00D036E7">
          <w:rPr>
            <w:noProof/>
            <w:webHidden/>
          </w:rPr>
          <w:fldChar w:fldCharType="end"/>
        </w:r>
      </w:hyperlink>
    </w:p>
    <w:p w:rsidR="00D036E7" w:rsidRDefault="00C56213">
      <w:pPr>
        <w:pStyle w:val="TOC7"/>
        <w:tabs>
          <w:tab w:val="left" w:pos="2721"/>
        </w:tabs>
        <w:rPr>
          <w:rFonts w:eastAsiaTheme="minorEastAsia"/>
          <w:noProof/>
          <w:sz w:val="22"/>
          <w:szCs w:val="22"/>
          <w:lang w:eastAsia="ro-RO"/>
        </w:rPr>
      </w:pPr>
      <w:hyperlink w:anchor="_Toc238743307" w:history="1">
        <w:r w:rsidR="00D036E7" w:rsidRPr="00B74A04">
          <w:rPr>
            <w:rStyle w:val="Hyperlink"/>
            <w:noProof/>
            <w:lang w:bidi="en-US"/>
          </w:rPr>
          <w:t>(β)</w:t>
        </w:r>
        <w:r w:rsidR="00D036E7">
          <w:rPr>
            <w:rFonts w:eastAsiaTheme="minorEastAsia"/>
            <w:noProof/>
            <w:sz w:val="22"/>
            <w:szCs w:val="22"/>
            <w:lang w:eastAsia="ro-RO"/>
          </w:rPr>
          <w:tab/>
        </w:r>
        <w:r w:rsidR="00D036E7" w:rsidRPr="00B74A04">
          <w:rPr>
            <w:rStyle w:val="Hyperlink"/>
            <w:noProof/>
            <w:lang w:bidi="en-US"/>
          </w:rPr>
          <w:t>Cu privire la modalitatea de examinare a acestor garanții</w:t>
        </w:r>
        <w:r w:rsidR="00D036E7">
          <w:rPr>
            <w:noProof/>
            <w:webHidden/>
          </w:rPr>
          <w:tab/>
        </w:r>
        <w:r w:rsidR="00D036E7">
          <w:rPr>
            <w:noProof/>
            <w:webHidden/>
          </w:rPr>
          <w:fldChar w:fldCharType="begin"/>
        </w:r>
        <w:r w:rsidR="00D036E7">
          <w:rPr>
            <w:noProof/>
            <w:webHidden/>
          </w:rPr>
          <w:instrText xml:space="preserve"> PAGEREF _Toc238743307 \h </w:instrText>
        </w:r>
        <w:r w:rsidR="00D036E7">
          <w:rPr>
            <w:noProof/>
            <w:webHidden/>
          </w:rPr>
        </w:r>
        <w:r w:rsidR="00D036E7">
          <w:rPr>
            <w:noProof/>
            <w:webHidden/>
          </w:rPr>
          <w:fldChar w:fldCharType="separate"/>
        </w:r>
        <w:r w:rsidR="00D036E7">
          <w:rPr>
            <w:noProof/>
            <w:webHidden/>
          </w:rPr>
          <w:t>40</w:t>
        </w:r>
        <w:r w:rsidR="00D036E7">
          <w:rPr>
            <w:noProof/>
            <w:webHidden/>
          </w:rPr>
          <w:fldChar w:fldCharType="end"/>
        </w:r>
      </w:hyperlink>
    </w:p>
    <w:p w:rsidR="00D036E7" w:rsidRDefault="00C56213">
      <w:pPr>
        <w:pStyle w:val="TOC6"/>
        <w:tabs>
          <w:tab w:val="left" w:pos="2381"/>
        </w:tabs>
        <w:rPr>
          <w:rFonts w:eastAsiaTheme="minorEastAsia"/>
          <w:noProof/>
          <w:sz w:val="22"/>
          <w:szCs w:val="22"/>
          <w:lang w:eastAsia="ro-RO"/>
        </w:rPr>
      </w:pPr>
      <w:hyperlink w:anchor="_Toc238743308" w:history="1">
        <w:r w:rsidR="00D036E7" w:rsidRPr="00B74A04">
          <w:rPr>
            <w:rStyle w:val="Hyperlink"/>
            <w:noProof/>
            <w:lang w:bidi="en-US"/>
          </w:rPr>
          <w:t>(ii)</w:t>
        </w:r>
        <w:r w:rsidR="00D036E7">
          <w:rPr>
            <w:rFonts w:eastAsiaTheme="minorEastAsia"/>
            <w:noProof/>
            <w:sz w:val="22"/>
            <w:szCs w:val="22"/>
            <w:lang w:eastAsia="ro-RO"/>
          </w:rPr>
          <w:tab/>
        </w:r>
        <w:r w:rsidR="00D036E7" w:rsidRPr="00B74A04">
          <w:rPr>
            <w:rStyle w:val="Hyperlink"/>
            <w:noProof/>
            <w:lang w:bidi="en-US"/>
          </w:rPr>
          <w:t>Aplicarea acestor principii</w:t>
        </w:r>
        <w:r w:rsidR="00D036E7">
          <w:rPr>
            <w:noProof/>
            <w:webHidden/>
          </w:rPr>
          <w:tab/>
        </w:r>
        <w:r w:rsidR="00D036E7">
          <w:rPr>
            <w:noProof/>
            <w:webHidden/>
          </w:rPr>
          <w:fldChar w:fldCharType="begin"/>
        </w:r>
        <w:r w:rsidR="00D036E7">
          <w:rPr>
            <w:noProof/>
            <w:webHidden/>
          </w:rPr>
          <w:instrText xml:space="preserve"> PAGEREF _Toc238743308 \h </w:instrText>
        </w:r>
        <w:r w:rsidR="00D036E7">
          <w:rPr>
            <w:noProof/>
            <w:webHidden/>
          </w:rPr>
        </w:r>
        <w:r w:rsidR="00D036E7">
          <w:rPr>
            <w:noProof/>
            <w:webHidden/>
          </w:rPr>
          <w:fldChar w:fldCharType="separate"/>
        </w:r>
        <w:r w:rsidR="00D036E7">
          <w:rPr>
            <w:noProof/>
            <w:webHidden/>
          </w:rPr>
          <w:t>40</w:t>
        </w:r>
        <w:r w:rsidR="00D036E7">
          <w:rPr>
            <w:noProof/>
            <w:webHidden/>
          </w:rPr>
          <w:fldChar w:fldCharType="end"/>
        </w:r>
      </w:hyperlink>
    </w:p>
    <w:p w:rsidR="00D036E7" w:rsidRDefault="00C56213">
      <w:pPr>
        <w:pStyle w:val="TOC7"/>
        <w:tabs>
          <w:tab w:val="left" w:pos="2721"/>
        </w:tabs>
        <w:rPr>
          <w:rFonts w:eastAsiaTheme="minorEastAsia"/>
          <w:noProof/>
          <w:sz w:val="22"/>
          <w:szCs w:val="22"/>
          <w:lang w:eastAsia="ro-RO"/>
        </w:rPr>
      </w:pPr>
      <w:hyperlink w:anchor="_Toc238743309" w:history="1">
        <w:r w:rsidR="00D036E7" w:rsidRPr="00B74A04">
          <w:rPr>
            <w:rStyle w:val="Hyperlink"/>
            <w:noProof/>
            <w:lang w:bidi="en-US"/>
          </w:rPr>
          <w:t>(α)</w:t>
        </w:r>
        <w:r w:rsidR="00D036E7">
          <w:rPr>
            <w:rFonts w:eastAsiaTheme="minorEastAsia"/>
            <w:noProof/>
            <w:sz w:val="22"/>
            <w:szCs w:val="22"/>
            <w:lang w:eastAsia="ro-RO"/>
          </w:rPr>
          <w:tab/>
        </w:r>
        <w:r w:rsidR="00D036E7" w:rsidRPr="00B74A04">
          <w:rPr>
            <w:rStyle w:val="Hyperlink"/>
            <w:noProof/>
            <w:lang w:bidi="en-US"/>
          </w:rPr>
          <w:t>Accesibilitatea legii</w:t>
        </w:r>
        <w:r w:rsidR="00D036E7">
          <w:rPr>
            <w:noProof/>
            <w:webHidden/>
          </w:rPr>
          <w:tab/>
        </w:r>
        <w:r w:rsidR="00D036E7">
          <w:rPr>
            <w:noProof/>
            <w:webHidden/>
          </w:rPr>
          <w:fldChar w:fldCharType="begin"/>
        </w:r>
        <w:r w:rsidR="00D036E7">
          <w:rPr>
            <w:noProof/>
            <w:webHidden/>
          </w:rPr>
          <w:instrText xml:space="preserve"> PAGEREF _Toc238743309 \h </w:instrText>
        </w:r>
        <w:r w:rsidR="00D036E7">
          <w:rPr>
            <w:noProof/>
            <w:webHidden/>
          </w:rPr>
        </w:r>
        <w:r w:rsidR="00D036E7">
          <w:rPr>
            <w:noProof/>
            <w:webHidden/>
          </w:rPr>
          <w:fldChar w:fldCharType="separate"/>
        </w:r>
        <w:r w:rsidR="00D036E7">
          <w:rPr>
            <w:noProof/>
            <w:webHidden/>
          </w:rPr>
          <w:t>40</w:t>
        </w:r>
        <w:r w:rsidR="00D036E7">
          <w:rPr>
            <w:noProof/>
            <w:webHidden/>
          </w:rPr>
          <w:fldChar w:fldCharType="end"/>
        </w:r>
      </w:hyperlink>
    </w:p>
    <w:p w:rsidR="00D036E7" w:rsidRDefault="00C56213">
      <w:pPr>
        <w:pStyle w:val="TOC7"/>
        <w:tabs>
          <w:tab w:val="left" w:pos="2721"/>
        </w:tabs>
        <w:rPr>
          <w:rFonts w:eastAsiaTheme="minorEastAsia"/>
          <w:noProof/>
          <w:sz w:val="22"/>
          <w:szCs w:val="22"/>
          <w:lang w:eastAsia="ro-RO"/>
        </w:rPr>
      </w:pPr>
      <w:hyperlink w:anchor="_Toc238743310" w:history="1">
        <w:r w:rsidR="00D036E7" w:rsidRPr="00B74A04">
          <w:rPr>
            <w:rStyle w:val="Hyperlink"/>
            <w:noProof/>
            <w:lang w:bidi="en-US"/>
          </w:rPr>
          <w:t>(β)</w:t>
        </w:r>
        <w:r w:rsidR="00D036E7">
          <w:rPr>
            <w:rFonts w:eastAsiaTheme="minorEastAsia"/>
            <w:noProof/>
            <w:sz w:val="22"/>
            <w:szCs w:val="22"/>
            <w:lang w:eastAsia="ro-RO"/>
          </w:rPr>
          <w:tab/>
        </w:r>
        <w:r w:rsidR="00D036E7" w:rsidRPr="00B74A04">
          <w:rPr>
            <w:rStyle w:val="Hyperlink"/>
            <w:noProof/>
            <w:lang w:bidi="en-US"/>
          </w:rPr>
          <w:t>Motivele pe baza cărora se poate recurge la „agenți cu identitate atribuită” și persoanele care pot fi supuse măsurii de supraveghere de către astfel de agenți</w:t>
        </w:r>
        <w:r w:rsidR="00D036E7">
          <w:rPr>
            <w:noProof/>
            <w:webHidden/>
          </w:rPr>
          <w:tab/>
        </w:r>
        <w:r w:rsidR="00D036E7">
          <w:rPr>
            <w:noProof/>
            <w:webHidden/>
          </w:rPr>
          <w:fldChar w:fldCharType="begin"/>
        </w:r>
        <w:r w:rsidR="00D036E7">
          <w:rPr>
            <w:noProof/>
            <w:webHidden/>
          </w:rPr>
          <w:instrText xml:space="preserve"> PAGEREF _Toc238743310 \h </w:instrText>
        </w:r>
        <w:r w:rsidR="00D036E7">
          <w:rPr>
            <w:noProof/>
            <w:webHidden/>
          </w:rPr>
        </w:r>
        <w:r w:rsidR="00D036E7">
          <w:rPr>
            <w:noProof/>
            <w:webHidden/>
          </w:rPr>
          <w:fldChar w:fldCharType="separate"/>
        </w:r>
        <w:r w:rsidR="00D036E7">
          <w:rPr>
            <w:noProof/>
            <w:webHidden/>
          </w:rPr>
          <w:t>40</w:t>
        </w:r>
        <w:r w:rsidR="00D036E7">
          <w:rPr>
            <w:noProof/>
            <w:webHidden/>
          </w:rPr>
          <w:fldChar w:fldCharType="end"/>
        </w:r>
      </w:hyperlink>
    </w:p>
    <w:p w:rsidR="00D036E7" w:rsidRDefault="00C56213">
      <w:pPr>
        <w:pStyle w:val="TOC7"/>
        <w:tabs>
          <w:tab w:val="left" w:pos="2721"/>
        </w:tabs>
        <w:rPr>
          <w:rFonts w:eastAsiaTheme="minorEastAsia"/>
          <w:noProof/>
          <w:sz w:val="22"/>
          <w:szCs w:val="22"/>
          <w:lang w:eastAsia="ro-RO"/>
        </w:rPr>
      </w:pPr>
      <w:hyperlink w:anchor="_Toc238743311" w:history="1">
        <w:r w:rsidR="00D036E7" w:rsidRPr="00B74A04">
          <w:rPr>
            <w:rStyle w:val="Hyperlink"/>
            <w:noProof/>
            <w:lang w:bidi="en-US"/>
          </w:rPr>
          <w:t>(γ)</w:t>
        </w:r>
        <w:r w:rsidR="00D036E7">
          <w:rPr>
            <w:rFonts w:eastAsiaTheme="minorEastAsia"/>
            <w:noProof/>
            <w:sz w:val="22"/>
            <w:szCs w:val="22"/>
            <w:lang w:eastAsia="ro-RO"/>
          </w:rPr>
          <w:tab/>
        </w:r>
        <w:r w:rsidR="00D036E7" w:rsidRPr="00B74A04">
          <w:rPr>
            <w:rStyle w:val="Hyperlink"/>
            <w:noProof/>
            <w:lang w:bidi="en-US"/>
          </w:rPr>
          <w:t>Durata misiunii „agenților cu identitate atribuită”</w:t>
        </w:r>
        <w:r w:rsidR="00D036E7">
          <w:rPr>
            <w:noProof/>
            <w:webHidden/>
          </w:rPr>
          <w:tab/>
        </w:r>
        <w:r w:rsidR="00D036E7">
          <w:rPr>
            <w:noProof/>
            <w:webHidden/>
          </w:rPr>
          <w:fldChar w:fldCharType="begin"/>
        </w:r>
        <w:r w:rsidR="00D036E7">
          <w:rPr>
            <w:noProof/>
            <w:webHidden/>
          </w:rPr>
          <w:instrText xml:space="preserve"> PAGEREF _Toc238743311 \h </w:instrText>
        </w:r>
        <w:r w:rsidR="00D036E7">
          <w:rPr>
            <w:noProof/>
            <w:webHidden/>
          </w:rPr>
        </w:r>
        <w:r w:rsidR="00D036E7">
          <w:rPr>
            <w:noProof/>
            <w:webHidden/>
          </w:rPr>
          <w:fldChar w:fldCharType="separate"/>
        </w:r>
        <w:r w:rsidR="00D036E7">
          <w:rPr>
            <w:noProof/>
            <w:webHidden/>
          </w:rPr>
          <w:t>41</w:t>
        </w:r>
        <w:r w:rsidR="00D036E7">
          <w:rPr>
            <w:noProof/>
            <w:webHidden/>
          </w:rPr>
          <w:fldChar w:fldCharType="end"/>
        </w:r>
      </w:hyperlink>
    </w:p>
    <w:p w:rsidR="00D036E7" w:rsidRDefault="00C56213">
      <w:pPr>
        <w:pStyle w:val="TOC7"/>
        <w:tabs>
          <w:tab w:val="left" w:pos="2721"/>
        </w:tabs>
        <w:rPr>
          <w:rFonts w:eastAsiaTheme="minorEastAsia"/>
          <w:noProof/>
          <w:sz w:val="22"/>
          <w:szCs w:val="22"/>
          <w:lang w:eastAsia="ro-RO"/>
        </w:rPr>
      </w:pPr>
      <w:hyperlink w:anchor="_Toc238743312" w:history="1">
        <w:r w:rsidR="00D036E7" w:rsidRPr="00B74A04">
          <w:rPr>
            <w:rStyle w:val="Hyperlink"/>
            <w:noProof/>
            <w:lang w:bidi="en-US"/>
          </w:rPr>
          <w:t>(δ)</w:t>
        </w:r>
        <w:r w:rsidR="00D036E7">
          <w:rPr>
            <w:rFonts w:eastAsiaTheme="minorEastAsia"/>
            <w:noProof/>
            <w:sz w:val="22"/>
            <w:szCs w:val="22"/>
            <w:lang w:eastAsia="ro-RO"/>
          </w:rPr>
          <w:tab/>
        </w:r>
        <w:r w:rsidR="00D036E7" w:rsidRPr="00B74A04">
          <w:rPr>
            <w:rStyle w:val="Hyperlink"/>
            <w:noProof/>
            <w:lang w:bidi="en-US"/>
          </w:rPr>
          <w:t>Procedura de desfășurare a misiunii</w:t>
        </w:r>
        <w:r w:rsidR="00D036E7">
          <w:rPr>
            <w:noProof/>
            <w:webHidden/>
          </w:rPr>
          <w:tab/>
        </w:r>
        <w:r w:rsidR="00D036E7">
          <w:rPr>
            <w:noProof/>
            <w:webHidden/>
          </w:rPr>
          <w:fldChar w:fldCharType="begin"/>
        </w:r>
        <w:r w:rsidR="00D036E7">
          <w:rPr>
            <w:noProof/>
            <w:webHidden/>
          </w:rPr>
          <w:instrText xml:space="preserve"> PAGEREF _Toc238743312 \h </w:instrText>
        </w:r>
        <w:r w:rsidR="00D036E7">
          <w:rPr>
            <w:noProof/>
            <w:webHidden/>
          </w:rPr>
        </w:r>
        <w:r w:rsidR="00D036E7">
          <w:rPr>
            <w:noProof/>
            <w:webHidden/>
          </w:rPr>
          <w:fldChar w:fldCharType="separate"/>
        </w:r>
        <w:r w:rsidR="00D036E7">
          <w:rPr>
            <w:noProof/>
            <w:webHidden/>
          </w:rPr>
          <w:t>42</w:t>
        </w:r>
        <w:r w:rsidR="00D036E7">
          <w:rPr>
            <w:noProof/>
            <w:webHidden/>
          </w:rPr>
          <w:fldChar w:fldCharType="end"/>
        </w:r>
      </w:hyperlink>
    </w:p>
    <w:p w:rsidR="00D036E7" w:rsidRDefault="00C56213">
      <w:pPr>
        <w:pStyle w:val="TOC7"/>
        <w:tabs>
          <w:tab w:val="left" w:pos="2721"/>
        </w:tabs>
        <w:rPr>
          <w:rFonts w:eastAsiaTheme="minorEastAsia"/>
          <w:noProof/>
          <w:sz w:val="22"/>
          <w:szCs w:val="22"/>
          <w:lang w:eastAsia="ro-RO"/>
        </w:rPr>
      </w:pPr>
      <w:hyperlink w:anchor="_Toc238743313" w:history="1">
        <w:r w:rsidR="00D036E7" w:rsidRPr="00B74A04">
          <w:rPr>
            <w:rStyle w:val="Hyperlink"/>
            <w:noProof/>
            <w:lang w:bidi="en-US"/>
          </w:rPr>
          <w:t>(ε)</w:t>
        </w:r>
        <w:r w:rsidR="00D036E7">
          <w:rPr>
            <w:rFonts w:eastAsiaTheme="minorEastAsia"/>
            <w:noProof/>
            <w:sz w:val="22"/>
            <w:szCs w:val="22"/>
            <w:lang w:eastAsia="ro-RO"/>
          </w:rPr>
          <w:tab/>
        </w:r>
        <w:r w:rsidR="00D036E7" w:rsidRPr="00B74A04">
          <w:rPr>
            <w:rStyle w:val="Hyperlink"/>
            <w:noProof/>
            <w:lang w:bidi="en-US"/>
          </w:rPr>
          <w:t>Proceduri pentru stocarea, accesarea, examinarea, utilizarea, comunicarea și distrugerea datelor obținute ca urmare a detașării de „agenți cu identitate atribuită”</w:t>
        </w:r>
        <w:r w:rsidR="00D036E7">
          <w:rPr>
            <w:noProof/>
            <w:webHidden/>
          </w:rPr>
          <w:tab/>
        </w:r>
        <w:r w:rsidR="00D036E7">
          <w:rPr>
            <w:noProof/>
            <w:webHidden/>
          </w:rPr>
          <w:fldChar w:fldCharType="begin"/>
        </w:r>
        <w:r w:rsidR="00D036E7">
          <w:rPr>
            <w:noProof/>
            <w:webHidden/>
          </w:rPr>
          <w:instrText xml:space="preserve"> PAGEREF _Toc238743313 \h </w:instrText>
        </w:r>
        <w:r w:rsidR="00D036E7">
          <w:rPr>
            <w:noProof/>
            <w:webHidden/>
          </w:rPr>
        </w:r>
        <w:r w:rsidR="00D036E7">
          <w:rPr>
            <w:noProof/>
            <w:webHidden/>
          </w:rPr>
          <w:fldChar w:fldCharType="separate"/>
        </w:r>
        <w:r w:rsidR="00D036E7">
          <w:rPr>
            <w:noProof/>
            <w:webHidden/>
          </w:rPr>
          <w:t>43</w:t>
        </w:r>
        <w:r w:rsidR="00D036E7">
          <w:rPr>
            <w:noProof/>
            <w:webHidden/>
          </w:rPr>
          <w:fldChar w:fldCharType="end"/>
        </w:r>
      </w:hyperlink>
    </w:p>
    <w:p w:rsidR="00D036E7" w:rsidRDefault="00C56213">
      <w:pPr>
        <w:pStyle w:val="TOC7"/>
        <w:tabs>
          <w:tab w:val="left" w:pos="2721"/>
        </w:tabs>
        <w:rPr>
          <w:rFonts w:eastAsiaTheme="minorEastAsia"/>
          <w:noProof/>
          <w:sz w:val="22"/>
          <w:szCs w:val="22"/>
          <w:lang w:eastAsia="ro-RO"/>
        </w:rPr>
      </w:pPr>
      <w:hyperlink w:anchor="_Toc238743314" w:history="1">
        <w:r w:rsidR="00D036E7" w:rsidRPr="00B74A04">
          <w:rPr>
            <w:rStyle w:val="Hyperlink"/>
            <w:noProof/>
            <w:lang w:bidi="en-US"/>
          </w:rPr>
          <w:t>(στ)</w:t>
        </w:r>
        <w:r w:rsidR="00D036E7">
          <w:rPr>
            <w:rFonts w:eastAsiaTheme="minorEastAsia"/>
            <w:noProof/>
            <w:sz w:val="22"/>
            <w:szCs w:val="22"/>
            <w:lang w:eastAsia="ro-RO"/>
          </w:rPr>
          <w:tab/>
        </w:r>
        <w:r w:rsidR="00D036E7" w:rsidRPr="00B74A04">
          <w:rPr>
            <w:rStyle w:val="Hyperlink"/>
            <w:noProof/>
            <w:lang w:bidi="en-US"/>
          </w:rPr>
          <w:t>Supravegherea</w:t>
        </w:r>
        <w:r w:rsidR="00D036E7">
          <w:rPr>
            <w:noProof/>
            <w:webHidden/>
          </w:rPr>
          <w:tab/>
        </w:r>
        <w:r w:rsidR="00D036E7">
          <w:rPr>
            <w:noProof/>
            <w:webHidden/>
          </w:rPr>
          <w:fldChar w:fldCharType="begin"/>
        </w:r>
        <w:r w:rsidR="00D036E7">
          <w:rPr>
            <w:noProof/>
            <w:webHidden/>
          </w:rPr>
          <w:instrText xml:space="preserve"> PAGEREF _Toc238743314 \h </w:instrText>
        </w:r>
        <w:r w:rsidR="00D036E7">
          <w:rPr>
            <w:noProof/>
            <w:webHidden/>
          </w:rPr>
        </w:r>
        <w:r w:rsidR="00D036E7">
          <w:rPr>
            <w:noProof/>
            <w:webHidden/>
          </w:rPr>
          <w:fldChar w:fldCharType="separate"/>
        </w:r>
        <w:r w:rsidR="00D036E7">
          <w:rPr>
            <w:noProof/>
            <w:webHidden/>
          </w:rPr>
          <w:t>43</w:t>
        </w:r>
        <w:r w:rsidR="00D036E7">
          <w:rPr>
            <w:noProof/>
            <w:webHidden/>
          </w:rPr>
          <w:fldChar w:fldCharType="end"/>
        </w:r>
      </w:hyperlink>
    </w:p>
    <w:p w:rsidR="00D036E7" w:rsidRDefault="00C56213">
      <w:pPr>
        <w:pStyle w:val="TOC7"/>
        <w:tabs>
          <w:tab w:val="left" w:pos="2721"/>
        </w:tabs>
        <w:rPr>
          <w:rFonts w:eastAsiaTheme="minorEastAsia"/>
          <w:noProof/>
          <w:sz w:val="22"/>
          <w:szCs w:val="22"/>
          <w:lang w:eastAsia="ro-RO"/>
        </w:rPr>
      </w:pPr>
      <w:hyperlink w:anchor="_Toc238743315" w:history="1">
        <w:r w:rsidR="00D036E7" w:rsidRPr="00B74A04">
          <w:rPr>
            <w:rStyle w:val="Hyperlink"/>
            <w:noProof/>
            <w:lang w:bidi="en-US"/>
          </w:rPr>
          <w:t>(ζ)</w:t>
        </w:r>
        <w:r w:rsidR="00D036E7">
          <w:rPr>
            <w:rFonts w:eastAsiaTheme="minorEastAsia"/>
            <w:noProof/>
            <w:sz w:val="22"/>
            <w:szCs w:val="22"/>
            <w:lang w:eastAsia="ro-RO"/>
          </w:rPr>
          <w:tab/>
        </w:r>
        <w:r w:rsidR="00D036E7" w:rsidRPr="00B74A04">
          <w:rPr>
            <w:rStyle w:val="Hyperlink"/>
            <w:noProof/>
            <w:lang w:bidi="en-US"/>
          </w:rPr>
          <w:t>Notificarea</w:t>
        </w:r>
        <w:r w:rsidR="00D036E7">
          <w:rPr>
            <w:noProof/>
            <w:webHidden/>
          </w:rPr>
          <w:tab/>
        </w:r>
        <w:r w:rsidR="00D036E7">
          <w:rPr>
            <w:noProof/>
            <w:webHidden/>
          </w:rPr>
          <w:fldChar w:fldCharType="begin"/>
        </w:r>
        <w:r w:rsidR="00D036E7">
          <w:rPr>
            <w:noProof/>
            <w:webHidden/>
          </w:rPr>
          <w:instrText xml:space="preserve"> PAGEREF _Toc238743315 \h </w:instrText>
        </w:r>
        <w:r w:rsidR="00D036E7">
          <w:rPr>
            <w:noProof/>
            <w:webHidden/>
          </w:rPr>
        </w:r>
        <w:r w:rsidR="00D036E7">
          <w:rPr>
            <w:noProof/>
            <w:webHidden/>
          </w:rPr>
          <w:fldChar w:fldCharType="separate"/>
        </w:r>
        <w:r w:rsidR="00D036E7">
          <w:rPr>
            <w:noProof/>
            <w:webHidden/>
          </w:rPr>
          <w:t>45</w:t>
        </w:r>
        <w:r w:rsidR="00D036E7">
          <w:rPr>
            <w:noProof/>
            <w:webHidden/>
          </w:rPr>
          <w:fldChar w:fldCharType="end"/>
        </w:r>
      </w:hyperlink>
    </w:p>
    <w:p w:rsidR="00D036E7" w:rsidRDefault="00C56213">
      <w:pPr>
        <w:pStyle w:val="TOC7"/>
        <w:tabs>
          <w:tab w:val="left" w:pos="2721"/>
        </w:tabs>
        <w:rPr>
          <w:rFonts w:eastAsiaTheme="minorEastAsia"/>
          <w:noProof/>
          <w:sz w:val="22"/>
          <w:szCs w:val="22"/>
          <w:lang w:eastAsia="ro-RO"/>
        </w:rPr>
      </w:pPr>
      <w:hyperlink w:anchor="_Toc238743316" w:history="1">
        <w:r w:rsidR="00D036E7" w:rsidRPr="00B74A04">
          <w:rPr>
            <w:rStyle w:val="Hyperlink"/>
            <w:noProof/>
            <w:lang w:bidi="en-US"/>
          </w:rPr>
          <w:t>(η)</w:t>
        </w:r>
        <w:r w:rsidR="00D036E7">
          <w:rPr>
            <w:rFonts w:eastAsiaTheme="minorEastAsia"/>
            <w:noProof/>
            <w:sz w:val="22"/>
            <w:szCs w:val="22"/>
            <w:lang w:eastAsia="ro-RO"/>
          </w:rPr>
          <w:tab/>
        </w:r>
        <w:r w:rsidR="00D036E7" w:rsidRPr="00B74A04">
          <w:rPr>
            <w:rStyle w:val="Hyperlink"/>
            <w:noProof/>
            <w:lang w:bidi="en-US"/>
          </w:rPr>
          <w:t>Căi de atac</w:t>
        </w:r>
        <w:r w:rsidR="00D036E7">
          <w:rPr>
            <w:noProof/>
            <w:webHidden/>
          </w:rPr>
          <w:tab/>
        </w:r>
        <w:r w:rsidR="00D036E7">
          <w:rPr>
            <w:noProof/>
            <w:webHidden/>
          </w:rPr>
          <w:fldChar w:fldCharType="begin"/>
        </w:r>
        <w:r w:rsidR="00D036E7">
          <w:rPr>
            <w:noProof/>
            <w:webHidden/>
          </w:rPr>
          <w:instrText xml:space="preserve"> PAGEREF _Toc238743316 \h </w:instrText>
        </w:r>
        <w:r w:rsidR="00D036E7">
          <w:rPr>
            <w:noProof/>
            <w:webHidden/>
          </w:rPr>
        </w:r>
        <w:r w:rsidR="00D036E7">
          <w:rPr>
            <w:noProof/>
            <w:webHidden/>
          </w:rPr>
          <w:fldChar w:fldCharType="separate"/>
        </w:r>
        <w:r w:rsidR="00D036E7">
          <w:rPr>
            <w:noProof/>
            <w:webHidden/>
          </w:rPr>
          <w:t>45</w:t>
        </w:r>
        <w:r w:rsidR="00D036E7">
          <w:rPr>
            <w:noProof/>
            <w:webHidden/>
          </w:rPr>
          <w:fldChar w:fldCharType="end"/>
        </w:r>
      </w:hyperlink>
    </w:p>
    <w:p w:rsidR="00D036E7" w:rsidRDefault="00C56213">
      <w:pPr>
        <w:pStyle w:val="TOC7"/>
        <w:tabs>
          <w:tab w:val="left" w:pos="2721"/>
        </w:tabs>
        <w:rPr>
          <w:rFonts w:eastAsiaTheme="minorEastAsia"/>
          <w:noProof/>
          <w:sz w:val="22"/>
          <w:szCs w:val="22"/>
          <w:lang w:eastAsia="ro-RO"/>
        </w:rPr>
      </w:pPr>
      <w:hyperlink w:anchor="_Toc238743317" w:history="1">
        <w:r w:rsidR="00D036E7" w:rsidRPr="00B74A04">
          <w:rPr>
            <w:rStyle w:val="Hyperlink"/>
            <w:noProof/>
            <w:lang w:bidi="en-US"/>
          </w:rPr>
          <w:t>(θ)</w:t>
        </w:r>
        <w:r w:rsidR="00D036E7">
          <w:rPr>
            <w:rFonts w:eastAsiaTheme="minorEastAsia"/>
            <w:noProof/>
            <w:sz w:val="22"/>
            <w:szCs w:val="22"/>
            <w:lang w:eastAsia="ro-RO"/>
          </w:rPr>
          <w:tab/>
        </w:r>
        <w:r w:rsidR="00D036E7" w:rsidRPr="00B74A04">
          <w:rPr>
            <w:rStyle w:val="Hyperlink"/>
            <w:noProof/>
            <w:lang w:bidi="en-US"/>
          </w:rPr>
          <w:t>Concluzie</w:t>
        </w:r>
        <w:r w:rsidR="00D036E7">
          <w:rPr>
            <w:noProof/>
            <w:webHidden/>
          </w:rPr>
          <w:tab/>
        </w:r>
        <w:r w:rsidR="00D036E7">
          <w:rPr>
            <w:noProof/>
            <w:webHidden/>
          </w:rPr>
          <w:fldChar w:fldCharType="begin"/>
        </w:r>
        <w:r w:rsidR="00D036E7">
          <w:rPr>
            <w:noProof/>
            <w:webHidden/>
          </w:rPr>
          <w:instrText xml:space="preserve"> PAGEREF _Toc238743317 \h </w:instrText>
        </w:r>
        <w:r w:rsidR="00D036E7">
          <w:rPr>
            <w:noProof/>
            <w:webHidden/>
          </w:rPr>
        </w:r>
        <w:r w:rsidR="00D036E7">
          <w:rPr>
            <w:noProof/>
            <w:webHidden/>
          </w:rPr>
          <w:fldChar w:fldCharType="separate"/>
        </w:r>
        <w:r w:rsidR="00D036E7">
          <w:rPr>
            <w:noProof/>
            <w:webHidden/>
          </w:rPr>
          <w:t>46</w:t>
        </w:r>
        <w:r w:rsidR="00D036E7">
          <w:rPr>
            <w:noProof/>
            <w:webHidden/>
          </w:rPr>
          <w:fldChar w:fldCharType="end"/>
        </w:r>
      </w:hyperlink>
    </w:p>
    <w:p w:rsidR="00D036E7" w:rsidRDefault="00C56213">
      <w:pPr>
        <w:pStyle w:val="TOC2"/>
        <w:tabs>
          <w:tab w:val="left" w:pos="1020"/>
        </w:tabs>
        <w:rPr>
          <w:rFonts w:eastAsiaTheme="minorEastAsia"/>
          <w:noProof/>
          <w:sz w:val="22"/>
          <w:szCs w:val="22"/>
          <w:lang w:eastAsia="ro-RO"/>
        </w:rPr>
      </w:pPr>
      <w:hyperlink w:anchor="_Toc238743318" w:history="1">
        <w:r w:rsidR="00D036E7" w:rsidRPr="00B74A04">
          <w:rPr>
            <w:rStyle w:val="Hyperlink"/>
            <w:noProof/>
          </w:rPr>
          <w:t>II.</w:t>
        </w:r>
        <w:r w:rsidR="00D036E7">
          <w:rPr>
            <w:rFonts w:eastAsiaTheme="minorEastAsia"/>
            <w:noProof/>
            <w:sz w:val="22"/>
            <w:szCs w:val="22"/>
            <w:lang w:eastAsia="ro-RO"/>
          </w:rPr>
          <w:tab/>
        </w:r>
        <w:r w:rsidR="00D036E7" w:rsidRPr="00B74A04">
          <w:rPr>
            <w:rStyle w:val="Hyperlink"/>
            <w:noProof/>
          </w:rPr>
          <w:t>CU PRIVIRE LA APLICAREA ART. 41 DIN CONVENȚIE</w:t>
        </w:r>
        <w:r w:rsidR="00D036E7">
          <w:rPr>
            <w:noProof/>
            <w:webHidden/>
          </w:rPr>
          <w:tab/>
        </w:r>
        <w:r w:rsidR="00D036E7">
          <w:rPr>
            <w:noProof/>
            <w:webHidden/>
          </w:rPr>
          <w:fldChar w:fldCharType="begin"/>
        </w:r>
        <w:r w:rsidR="00D036E7">
          <w:rPr>
            <w:noProof/>
            <w:webHidden/>
          </w:rPr>
          <w:instrText xml:space="preserve"> PAGEREF _Toc238743318 \h </w:instrText>
        </w:r>
        <w:r w:rsidR="00D036E7">
          <w:rPr>
            <w:noProof/>
            <w:webHidden/>
          </w:rPr>
        </w:r>
        <w:r w:rsidR="00D036E7">
          <w:rPr>
            <w:noProof/>
            <w:webHidden/>
          </w:rPr>
          <w:fldChar w:fldCharType="separate"/>
        </w:r>
        <w:r w:rsidR="00D036E7">
          <w:rPr>
            <w:noProof/>
            <w:webHidden/>
          </w:rPr>
          <w:t>47</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319" w:history="1">
        <w:r w:rsidR="00D036E7" w:rsidRPr="00B74A04">
          <w:rPr>
            <w:rStyle w:val="Hyperlink"/>
            <w:noProof/>
          </w:rPr>
          <w:t>A.</w:t>
        </w:r>
        <w:r w:rsidR="00D036E7">
          <w:rPr>
            <w:rFonts w:eastAsiaTheme="minorEastAsia"/>
            <w:noProof/>
            <w:sz w:val="22"/>
            <w:szCs w:val="22"/>
            <w:lang w:eastAsia="ro-RO"/>
          </w:rPr>
          <w:tab/>
        </w:r>
        <w:r w:rsidR="00D036E7" w:rsidRPr="00B74A04">
          <w:rPr>
            <w:rStyle w:val="Hyperlink"/>
            <w:noProof/>
          </w:rPr>
          <w:t>Prejudiciu</w:t>
        </w:r>
        <w:r w:rsidR="00D036E7">
          <w:rPr>
            <w:noProof/>
            <w:webHidden/>
          </w:rPr>
          <w:tab/>
        </w:r>
        <w:r w:rsidR="00D036E7">
          <w:rPr>
            <w:noProof/>
            <w:webHidden/>
          </w:rPr>
          <w:fldChar w:fldCharType="begin"/>
        </w:r>
        <w:r w:rsidR="00D036E7">
          <w:rPr>
            <w:noProof/>
            <w:webHidden/>
          </w:rPr>
          <w:instrText xml:space="preserve"> PAGEREF _Toc238743319 \h </w:instrText>
        </w:r>
        <w:r w:rsidR="00D036E7">
          <w:rPr>
            <w:noProof/>
            <w:webHidden/>
          </w:rPr>
        </w:r>
        <w:r w:rsidR="00D036E7">
          <w:rPr>
            <w:noProof/>
            <w:webHidden/>
          </w:rPr>
          <w:fldChar w:fldCharType="separate"/>
        </w:r>
        <w:r w:rsidR="00D036E7">
          <w:rPr>
            <w:noProof/>
            <w:webHidden/>
          </w:rPr>
          <w:t>47</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320" w:history="1">
        <w:r w:rsidR="00D036E7" w:rsidRPr="00B74A04">
          <w:rPr>
            <w:rStyle w:val="Hyperlink"/>
            <w:noProof/>
          </w:rPr>
          <w:t>1.</w:t>
        </w:r>
        <w:r w:rsidR="00D036E7">
          <w:rPr>
            <w:rFonts w:eastAsiaTheme="minorEastAsia"/>
            <w:noProof/>
            <w:sz w:val="22"/>
            <w:szCs w:val="22"/>
            <w:lang w:eastAsia="ro-RO"/>
          </w:rPr>
          <w:tab/>
        </w:r>
        <w:r w:rsidR="00D036E7" w:rsidRPr="00B74A04">
          <w:rPr>
            <w:rStyle w:val="Hyperlink"/>
            <w:noProof/>
          </w:rPr>
          <w:t>Cu privire la cererea asociației și la observațiile Guvernului cu privire la aceasta</w:t>
        </w:r>
        <w:r w:rsidR="00D036E7">
          <w:rPr>
            <w:noProof/>
            <w:webHidden/>
          </w:rPr>
          <w:tab/>
        </w:r>
        <w:r w:rsidR="00D036E7">
          <w:rPr>
            <w:noProof/>
            <w:webHidden/>
          </w:rPr>
          <w:fldChar w:fldCharType="begin"/>
        </w:r>
        <w:r w:rsidR="00D036E7">
          <w:rPr>
            <w:noProof/>
            <w:webHidden/>
          </w:rPr>
          <w:instrText xml:space="preserve"> PAGEREF _Toc238743320 \h </w:instrText>
        </w:r>
        <w:r w:rsidR="00D036E7">
          <w:rPr>
            <w:noProof/>
            <w:webHidden/>
          </w:rPr>
        </w:r>
        <w:r w:rsidR="00D036E7">
          <w:rPr>
            <w:noProof/>
            <w:webHidden/>
          </w:rPr>
          <w:fldChar w:fldCharType="separate"/>
        </w:r>
        <w:r w:rsidR="00D036E7">
          <w:rPr>
            <w:noProof/>
            <w:webHidden/>
          </w:rPr>
          <w:t>47</w:t>
        </w:r>
        <w:r w:rsidR="00D036E7">
          <w:rPr>
            <w:noProof/>
            <w:webHidden/>
          </w:rPr>
          <w:fldChar w:fldCharType="end"/>
        </w:r>
      </w:hyperlink>
    </w:p>
    <w:p w:rsidR="00D036E7" w:rsidRDefault="00C56213">
      <w:pPr>
        <w:pStyle w:val="TOC4"/>
        <w:tabs>
          <w:tab w:val="left" w:pos="1701"/>
        </w:tabs>
        <w:rPr>
          <w:rFonts w:eastAsiaTheme="minorEastAsia"/>
          <w:noProof/>
          <w:sz w:val="22"/>
          <w:szCs w:val="22"/>
          <w:lang w:eastAsia="ro-RO"/>
        </w:rPr>
      </w:pPr>
      <w:hyperlink w:anchor="_Toc238743321" w:history="1">
        <w:r w:rsidR="00D036E7" w:rsidRPr="00B74A04">
          <w:rPr>
            <w:rStyle w:val="Hyperlink"/>
            <w:noProof/>
          </w:rPr>
          <w:t>2.</w:t>
        </w:r>
        <w:r w:rsidR="00D036E7">
          <w:rPr>
            <w:rFonts w:eastAsiaTheme="minorEastAsia"/>
            <w:noProof/>
            <w:sz w:val="22"/>
            <w:szCs w:val="22"/>
            <w:lang w:eastAsia="ro-RO"/>
          </w:rPr>
          <w:tab/>
        </w:r>
        <w:r w:rsidR="00D036E7" w:rsidRPr="00B74A04">
          <w:rPr>
            <w:rStyle w:val="Hyperlink"/>
            <w:noProof/>
          </w:rPr>
          <w:t>Motivarea Curții</w:t>
        </w:r>
        <w:r w:rsidR="00D036E7">
          <w:rPr>
            <w:noProof/>
            <w:webHidden/>
          </w:rPr>
          <w:tab/>
        </w:r>
        <w:r w:rsidR="00D036E7">
          <w:rPr>
            <w:noProof/>
            <w:webHidden/>
          </w:rPr>
          <w:fldChar w:fldCharType="begin"/>
        </w:r>
        <w:r w:rsidR="00D036E7">
          <w:rPr>
            <w:noProof/>
            <w:webHidden/>
          </w:rPr>
          <w:instrText xml:space="preserve"> PAGEREF _Toc238743321 \h </w:instrText>
        </w:r>
        <w:r w:rsidR="00D036E7">
          <w:rPr>
            <w:noProof/>
            <w:webHidden/>
          </w:rPr>
        </w:r>
        <w:r w:rsidR="00D036E7">
          <w:rPr>
            <w:noProof/>
            <w:webHidden/>
          </w:rPr>
          <w:fldChar w:fldCharType="separate"/>
        </w:r>
        <w:r w:rsidR="00D036E7">
          <w:rPr>
            <w:noProof/>
            <w:webHidden/>
          </w:rPr>
          <w:t>47</w:t>
        </w:r>
        <w:r w:rsidR="00D036E7">
          <w:rPr>
            <w:noProof/>
            <w:webHidden/>
          </w:rPr>
          <w:fldChar w:fldCharType="end"/>
        </w:r>
      </w:hyperlink>
    </w:p>
    <w:p w:rsidR="00D036E7" w:rsidRDefault="00C56213">
      <w:pPr>
        <w:pStyle w:val="TOC3"/>
        <w:tabs>
          <w:tab w:val="left" w:pos="1361"/>
        </w:tabs>
        <w:rPr>
          <w:rFonts w:eastAsiaTheme="minorEastAsia"/>
          <w:noProof/>
          <w:sz w:val="22"/>
          <w:szCs w:val="22"/>
          <w:lang w:eastAsia="ro-RO"/>
        </w:rPr>
      </w:pPr>
      <w:hyperlink w:anchor="_Toc238743322" w:history="1">
        <w:r w:rsidR="00D036E7" w:rsidRPr="00B74A04">
          <w:rPr>
            <w:rStyle w:val="Hyperlink"/>
            <w:noProof/>
          </w:rPr>
          <w:t>B.</w:t>
        </w:r>
        <w:r w:rsidR="00D036E7">
          <w:rPr>
            <w:rFonts w:eastAsiaTheme="minorEastAsia"/>
            <w:noProof/>
            <w:sz w:val="22"/>
            <w:szCs w:val="22"/>
            <w:lang w:eastAsia="ro-RO"/>
          </w:rPr>
          <w:tab/>
        </w:r>
        <w:r w:rsidR="00D036E7" w:rsidRPr="00B74A04">
          <w:rPr>
            <w:rStyle w:val="Hyperlink"/>
            <w:noProof/>
          </w:rPr>
          <w:t>Cheltuieli de judecată</w:t>
        </w:r>
        <w:r w:rsidR="00D036E7">
          <w:rPr>
            <w:noProof/>
            <w:webHidden/>
          </w:rPr>
          <w:tab/>
        </w:r>
        <w:r w:rsidR="00D036E7">
          <w:rPr>
            <w:noProof/>
            <w:webHidden/>
          </w:rPr>
          <w:fldChar w:fldCharType="begin"/>
        </w:r>
        <w:r w:rsidR="00D036E7">
          <w:rPr>
            <w:noProof/>
            <w:webHidden/>
          </w:rPr>
          <w:instrText xml:space="preserve"> PAGEREF _Toc238743322 \h </w:instrText>
        </w:r>
        <w:r w:rsidR="00D036E7">
          <w:rPr>
            <w:noProof/>
            <w:webHidden/>
          </w:rPr>
        </w:r>
        <w:r w:rsidR="00D036E7">
          <w:rPr>
            <w:noProof/>
            <w:webHidden/>
          </w:rPr>
          <w:fldChar w:fldCharType="separate"/>
        </w:r>
        <w:r w:rsidR="00D036E7">
          <w:rPr>
            <w:noProof/>
            <w:webHidden/>
          </w:rPr>
          <w:t>48</w:t>
        </w:r>
        <w:r w:rsidR="00D036E7">
          <w:rPr>
            <w:noProof/>
            <w:webHidden/>
          </w:rPr>
          <w:fldChar w:fldCharType="end"/>
        </w:r>
      </w:hyperlink>
    </w:p>
    <w:p w:rsidR="00D036E7" w:rsidRDefault="00C56213">
      <w:pPr>
        <w:pStyle w:val="TOC1"/>
        <w:rPr>
          <w:rFonts w:eastAsiaTheme="minorEastAsia"/>
          <w:b w:val="0"/>
          <w:noProof/>
          <w:sz w:val="22"/>
          <w:szCs w:val="22"/>
          <w:lang w:eastAsia="ro-RO"/>
        </w:rPr>
      </w:pPr>
      <w:hyperlink w:anchor="_Toc238743323" w:history="1">
        <w:r w:rsidR="00D036E7" w:rsidRPr="00B74A04">
          <w:rPr>
            <w:rStyle w:val="Hyperlink"/>
            <w:noProof/>
          </w:rPr>
          <w:t>PENTRU ACESTE MOTIVE, CURTEA, ÎN UNANIMITATE,</w:t>
        </w:r>
        <w:r w:rsidR="00D036E7">
          <w:rPr>
            <w:noProof/>
            <w:webHidden/>
          </w:rPr>
          <w:tab/>
        </w:r>
        <w:r w:rsidR="00D036E7">
          <w:rPr>
            <w:noProof/>
            <w:webHidden/>
          </w:rPr>
          <w:fldChar w:fldCharType="begin"/>
        </w:r>
        <w:r w:rsidR="00D036E7">
          <w:rPr>
            <w:noProof/>
            <w:webHidden/>
          </w:rPr>
          <w:instrText xml:space="preserve"> PAGEREF _Toc238743323 \h </w:instrText>
        </w:r>
        <w:r w:rsidR="00D036E7">
          <w:rPr>
            <w:noProof/>
            <w:webHidden/>
          </w:rPr>
        </w:r>
        <w:r w:rsidR="00D036E7">
          <w:rPr>
            <w:noProof/>
            <w:webHidden/>
          </w:rPr>
          <w:fldChar w:fldCharType="separate"/>
        </w:r>
        <w:r w:rsidR="00D036E7">
          <w:rPr>
            <w:noProof/>
            <w:webHidden/>
          </w:rPr>
          <w:t>49</w:t>
        </w:r>
        <w:r w:rsidR="00D036E7">
          <w:rPr>
            <w:noProof/>
            <w:webHidden/>
          </w:rPr>
          <w:fldChar w:fldCharType="end"/>
        </w:r>
      </w:hyperlink>
    </w:p>
    <w:p w:rsidR="00314B21" w:rsidRPr="00314B21" w:rsidRDefault="00736C78" w:rsidP="00314B21">
      <w:pPr>
        <w:rPr>
          <w:sz w:val="22"/>
        </w:rPr>
      </w:pPr>
      <w:r>
        <w:rPr>
          <w:b/>
          <w:sz w:val="22"/>
        </w:rPr>
        <w:fldChar w:fldCharType="end"/>
      </w:r>
    </w:p>
    <w:p w:rsidR="0098410D" w:rsidRPr="00AC38DE" w:rsidRDefault="0098410D" w:rsidP="0098410D">
      <w:pPr>
        <w:sectPr w:rsidR="0098410D" w:rsidRPr="00AC38DE" w:rsidSect="00E45801">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type w:val="oddPage"/>
          <w:pgSz w:w="11906" w:h="16838" w:code="9"/>
          <w:pgMar w:top="2274" w:right="2274" w:bottom="2274" w:left="2274" w:header="1701" w:footer="720" w:gutter="0"/>
          <w:pgNumType w:fmt="lowerRoman" w:start="1"/>
          <w:cols w:space="720"/>
          <w:noEndnote/>
        </w:sectPr>
      </w:pPr>
    </w:p>
    <w:p w:rsidR="0098410D" w:rsidRPr="00AC38DE" w:rsidRDefault="00736C78" w:rsidP="002C5ADD">
      <w:pPr>
        <w:pStyle w:val="JuCase"/>
      </w:pPr>
      <w:r>
        <w:lastRenderedPageBreak/>
        <w:t>În cauza Green Alliance împotriva Bulgariei,</w:t>
      </w:r>
    </w:p>
    <w:p w:rsidR="009F4C8F" w:rsidRPr="00AC38DE" w:rsidRDefault="00736C78" w:rsidP="009F4C8F">
      <w:pPr>
        <w:pStyle w:val="JuPara"/>
      </w:pPr>
      <w:r>
        <w:t>Curtea Europeană a Drepturilor Omului (Secția a treia), reunită într-o cameră compusă din:</w:t>
      </w:r>
    </w:p>
    <w:p w:rsidR="00A92625" w:rsidRPr="00314B21" w:rsidRDefault="00736C78" w:rsidP="00314B21">
      <w:pPr>
        <w:pStyle w:val="JuJudges"/>
        <w:rPr>
          <w:iCs/>
        </w:rPr>
      </w:pPr>
      <w:r>
        <w:tab/>
        <w:t>Ioannis Ktistakis,</w:t>
      </w:r>
      <w:r>
        <w:rPr>
          <w:i/>
        </w:rPr>
        <w:t xml:space="preserve"> președinte</w:t>
      </w:r>
      <w:r>
        <w:t>,</w:t>
      </w:r>
      <w:r>
        <w:br/>
      </w:r>
      <w:r>
        <w:tab/>
        <w:t>Peeter Roosma,</w:t>
      </w:r>
      <w:r>
        <w:br/>
      </w:r>
      <w:r>
        <w:tab/>
        <w:t>Darian Pavli,</w:t>
      </w:r>
      <w:r>
        <w:br/>
      </w:r>
      <w:r>
        <w:tab/>
        <w:t>Úna Ní Raifeartaigh,</w:t>
      </w:r>
      <w:r>
        <w:br/>
      </w:r>
      <w:r>
        <w:tab/>
        <w:t xml:space="preserve">Mateja Đurović, </w:t>
      </w:r>
      <w:r>
        <w:br/>
      </w:r>
      <w:r>
        <w:tab/>
        <w:t>Vasilka Sancin,</w:t>
      </w:r>
      <w:r>
        <w:rPr>
          <w:i/>
        </w:rPr>
        <w:t xml:space="preserve"> judecători</w:t>
      </w:r>
      <w:r>
        <w:t>,</w:t>
      </w:r>
      <w:r>
        <w:br/>
      </w:r>
      <w:r>
        <w:tab/>
        <w:t xml:space="preserve">Mira Raycheva, </w:t>
      </w:r>
      <w:r>
        <w:rPr>
          <w:i/>
          <w:iCs/>
        </w:rPr>
        <w:t>judecător</w:t>
      </w:r>
      <w:r>
        <w:t xml:space="preserve"> ad hoc,</w:t>
      </w:r>
      <w:r>
        <w:br/>
        <w:t xml:space="preserve">și Milan Blaško, </w:t>
      </w:r>
      <w:r>
        <w:rPr>
          <w:i/>
          <w:iCs/>
        </w:rPr>
        <w:t>grefier de secție</w:t>
      </w:r>
      <w:r>
        <w:t>,</w:t>
      </w:r>
    </w:p>
    <w:p w:rsidR="00304BC9" w:rsidRPr="0040384C" w:rsidRDefault="00736C78" w:rsidP="00304BC9">
      <w:pPr>
        <w:pStyle w:val="JuPara"/>
      </w:pPr>
      <w:r>
        <w:t>având în vedere:</w:t>
      </w:r>
    </w:p>
    <w:p w:rsidR="00304BC9" w:rsidRPr="0040384C" w:rsidRDefault="00736C78" w:rsidP="00304BC9">
      <w:pPr>
        <w:pStyle w:val="JuPara"/>
      </w:pPr>
      <w:r>
        <w:t>cererea (nr. 6580/22) îndreptată împotriva Republicii Bulgaria, prin care o asociație cu sediul social în Bulgaria, Green Alliance („asociația reclamantă”), a sesizat Curtea la 19 ianuarie 2022, în temeiul art. 34 din Convenția pentru apărarea drepturilor omului și a libertăților fundamentale („Convenția”);</w:t>
      </w:r>
    </w:p>
    <w:p w:rsidR="00304BC9" w:rsidRDefault="00736C78" w:rsidP="00304BC9">
      <w:pPr>
        <w:pStyle w:val="JuPara"/>
      </w:pPr>
      <w:r>
        <w:t>decizia de a comunica această cerere Guvernului bulgar („Guvernul”);</w:t>
      </w:r>
    </w:p>
    <w:p w:rsidR="00304BC9" w:rsidRDefault="00736C78" w:rsidP="00304BC9">
      <w:pPr>
        <w:pStyle w:val="JuPara"/>
      </w:pPr>
      <w:r>
        <w:t>observațiile părților;</w:t>
      </w:r>
    </w:p>
    <w:p w:rsidR="00304BC9" w:rsidRDefault="00736C78" w:rsidP="00304BC9">
      <w:pPr>
        <w:pStyle w:val="JuPara"/>
      </w:pPr>
      <w:r>
        <w:t xml:space="preserve">decizia președintelui Secției de a o exonera pe Diana Kovatcheva, judecătoarea aleasă să reprezinte Bulgaria, de obligația de a examina această cauză și decizia ulterioară a acestuia de a o numi pe Mira Raycheva în calitate de judecătoare </w:t>
      </w:r>
      <w:r>
        <w:rPr>
          <w:i/>
        </w:rPr>
        <w:t>ad-hoc</w:t>
      </w:r>
      <w:r>
        <w:t xml:space="preserve"> în această cauză;</w:t>
      </w:r>
    </w:p>
    <w:p w:rsidR="009F4C8F" w:rsidRDefault="00736C78" w:rsidP="00304BC9">
      <w:pPr>
        <w:pStyle w:val="JuPara"/>
      </w:pPr>
      <w:r>
        <w:t>după ce a deliberat în camera de consiliu, la 27 ianuarie 2026,</w:t>
      </w:r>
    </w:p>
    <w:p w:rsidR="009F4C8F" w:rsidRPr="00AC38DE" w:rsidRDefault="00736C78" w:rsidP="009F4C8F">
      <w:pPr>
        <w:pStyle w:val="JuPara"/>
      </w:pPr>
      <w:r>
        <w:t>pronunță prezenta hotărâre, adoptată la aceeași dată:</w:t>
      </w:r>
    </w:p>
    <w:p w:rsidR="00304BC9" w:rsidRPr="0040384C" w:rsidRDefault="00736C78" w:rsidP="00304BC9">
      <w:pPr>
        <w:pStyle w:val="JuHHead"/>
        <w:numPr>
          <w:ilvl w:val="0"/>
          <w:numId w:val="0"/>
        </w:numPr>
      </w:pPr>
      <w:bookmarkStart w:id="1" w:name="_Toc238743225"/>
      <w:r>
        <w:t>INTRODUCERE</w:t>
      </w:r>
      <w:bookmarkEnd w:id="1"/>
    </w:p>
    <w:bookmarkStart w:id="2" w:name="I_1"/>
    <w:p w:rsidR="00304BC9" w:rsidRDefault="00736C78" w:rsidP="00304BC9">
      <w:pPr>
        <w:pStyle w:val="JuPara"/>
      </w:pPr>
      <w:r>
        <w:fldChar w:fldCharType="begin"/>
      </w:r>
      <w:r>
        <w:instrText xml:space="preserve"> SEQ level0 \*arabic \* MERGEFORMAT </w:instrText>
      </w:r>
      <w:r>
        <w:fldChar w:fldCharType="separate"/>
      </w:r>
      <w:r w:rsidR="00F21D3F">
        <w:t>1</w:t>
      </w:r>
      <w:r>
        <w:fldChar w:fldCharType="end"/>
      </w:r>
      <w:bookmarkEnd w:id="2"/>
      <w:r>
        <w:t xml:space="preserve">. </w:t>
      </w:r>
      <w:bookmarkStart w:id="3" w:name="_Hlk182760023"/>
      <w:r>
        <w:t xml:space="preserve">În temeiul unui regulament emis în 2008 și modificat în 2018, Agenția de Stat pentru Securitate Națională („Agenția”) a Bulgariei poate, în baza deciziei șefului său, să infiltreze „agenți cu identitate atribuită” (bg. „служители на прикритие”; engl.  „agents on cover”) în cadrul unei entități private sau în calitate de membri ai unei „profesii liberale”. Acești „agenți cu identitate atribuită” ascund doar faptul că lucrează pentru Agenție, dar nu li se permite să folosească tehnici sau echipamente de supraveghere secretă, și, în Bulgaria, se face distincție între acești agenți și „agenții sub acoperire” (engl. „agents under cover”). </w:t>
      </w:r>
      <w:bookmarkEnd w:id="3"/>
      <w:r>
        <w:t>Asociația reclamantă a solicitat controlul jurisdicțional al acestui regulament, susținând că, în lipsa unor garanții efective în ceea ce privește utilizarea unor astfel de agenți, acesta permitea ingerințe abuzive și disproporționate în drepturile protejate în temeiul art. 8 din Convenție. Instanțele administrative i-au respins cererea.</w:t>
      </w:r>
    </w:p>
    <w:bookmarkStart w:id="4" w:name="I_2"/>
    <w:p w:rsidR="00304BC9" w:rsidRPr="0040384C" w:rsidRDefault="00736C78" w:rsidP="00304BC9">
      <w:pPr>
        <w:pStyle w:val="JuPara"/>
      </w:pPr>
      <w:r>
        <w:fldChar w:fldCharType="begin"/>
      </w:r>
      <w:r>
        <w:instrText xml:space="preserve"> SEQ level0 \*arabic \* MERGEFORMAT </w:instrText>
      </w:r>
      <w:r>
        <w:fldChar w:fldCharType="separate"/>
      </w:r>
      <w:r w:rsidR="00F21D3F">
        <w:t>2</w:t>
      </w:r>
      <w:r>
        <w:fldChar w:fldCharType="end"/>
      </w:r>
      <w:bookmarkEnd w:id="4"/>
      <w:r>
        <w:t>. Principalele probleme ridicate de prezenta cauză sunt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xml:space="preserve">) dacă asociația poate pretinde că este victima unei ingerințe în drepturile sale garantate de art. 8 din Convenție, ca urmare a simplei existențe a unui regulament care </w:t>
      </w:r>
      <w:r>
        <w:lastRenderedPageBreak/>
        <w:t>permite recurgerea la „agenți cu identitate atribuită”, și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în caz afirmativ, dacă această concluzie este compatibilă cu articolul respectiv.</w:t>
      </w:r>
    </w:p>
    <w:p w:rsidR="00304BC9" w:rsidRPr="0040384C" w:rsidRDefault="00736C78" w:rsidP="00304BC9">
      <w:pPr>
        <w:pStyle w:val="JuHHead"/>
      </w:pPr>
      <w:bookmarkStart w:id="5" w:name="_Toc175214955"/>
      <w:bookmarkStart w:id="6" w:name="_Toc238743226"/>
      <w:r>
        <w:t>ÎN FAPT</w:t>
      </w:r>
      <w:bookmarkEnd w:id="5"/>
      <w:bookmarkEnd w:id="6"/>
    </w:p>
    <w:p w:rsidR="00304BC9" w:rsidRPr="0040384C" w:rsidRDefault="00300D22" w:rsidP="00304BC9">
      <w:pPr>
        <w:pStyle w:val="JuPara"/>
      </w:pPr>
      <w:fldSimple w:instr=" SEQ level0 \*arabic \* MERGEFORMAT ">
        <w:r w:rsidR="00F21D3F">
          <w:t>3</w:t>
        </w:r>
      </w:fldSimple>
      <w:r w:rsidR="00360FB4">
        <w:t>. Asociația reclamantă a fost înființată în anul 2006 și are sediul social în orașul Kosteneț din Regiunea Sofia. Aceasta a fost reprezentată de domnul</w:t>
      </w:r>
      <w:r>
        <w:t xml:space="preserve"> </w:t>
      </w:r>
      <w:r w:rsidR="00360FB4">
        <w:t>T. Trifonov, avocat în Sofia.</w:t>
      </w:r>
    </w:p>
    <w:p w:rsidR="00304BC9" w:rsidRDefault="00300D22" w:rsidP="00304BC9">
      <w:pPr>
        <w:pStyle w:val="JuPara"/>
      </w:pPr>
      <w:fldSimple w:instr=" SEQ level0 \*arabic \* MERGEFORMAT ">
        <w:r w:rsidR="00F21D3F">
          <w:t>4</w:t>
        </w:r>
      </w:fldSimple>
      <w:r w:rsidR="00360FB4">
        <w:t>. Guvernul a fost reprezentat de agentul guvernamental, doamna B. Simeonova, din cadrul Ministerului Justiției.</w:t>
      </w:r>
    </w:p>
    <w:p w:rsidR="00304BC9" w:rsidRDefault="00736C78" w:rsidP="00304BC9">
      <w:pPr>
        <w:pStyle w:val="JuHIRoman"/>
      </w:pPr>
      <w:bookmarkStart w:id="7" w:name="_Toc175214956"/>
      <w:bookmarkStart w:id="8" w:name="_Toc238743227"/>
      <w:r>
        <w:t>SOCIETATEA RECLAMANTĂ</w:t>
      </w:r>
      <w:bookmarkEnd w:id="7"/>
      <w:bookmarkEnd w:id="8"/>
    </w:p>
    <w:bookmarkStart w:id="9" w:name="F_applicant_association"/>
    <w:p w:rsidR="00304BC9" w:rsidRDefault="00736C78" w:rsidP="00304BC9">
      <w:pPr>
        <w:pStyle w:val="JuPara"/>
      </w:pPr>
      <w:r>
        <w:fldChar w:fldCharType="begin"/>
      </w:r>
      <w:r>
        <w:instrText xml:space="preserve"> SEQ level0 \*arabic \* MERGEFORMAT </w:instrText>
      </w:r>
      <w:r>
        <w:fldChar w:fldCharType="separate"/>
      </w:r>
      <w:r w:rsidR="00F21D3F">
        <w:t>5</w:t>
      </w:r>
      <w:r>
        <w:fldChar w:fldCharType="end"/>
      </w:r>
      <w:bookmarkEnd w:id="9"/>
      <w:r>
        <w:t>. Obiectivele asociației, astfel cum sunt prevăzute în statutul său, privesc aspecte legate de protecția mediului.</w:t>
      </w:r>
    </w:p>
    <w:p w:rsidR="00304BC9" w:rsidRDefault="00736C78" w:rsidP="00304BC9">
      <w:pPr>
        <w:pStyle w:val="JuHIRoman"/>
      </w:pPr>
      <w:bookmarkStart w:id="10" w:name="_Toc175214957"/>
      <w:bookmarkStart w:id="11" w:name="_Toc238743228"/>
      <w:r>
        <w:t>REGULAMENTUL PRIVIND AGENȚII CU IDENTITATE ATRIBUITĂ</w:t>
      </w:r>
      <w:bookmarkEnd w:id="10"/>
      <w:bookmarkEnd w:id="11"/>
    </w:p>
    <w:p w:rsidR="00304BC9" w:rsidRPr="00A16C98" w:rsidRDefault="00736C78" w:rsidP="00304BC9">
      <w:pPr>
        <w:pStyle w:val="JuHA"/>
      </w:pPr>
      <w:bookmarkStart w:id="12" w:name="_Toc175214958"/>
      <w:bookmarkStart w:id="13" w:name="_Toc238743229"/>
      <w:r>
        <w:t>Astfel cum a fost emis inițial, în 2008</w:t>
      </w:r>
      <w:bookmarkEnd w:id="12"/>
      <w:bookmarkEnd w:id="13"/>
    </w:p>
    <w:bookmarkStart w:id="14" w:name="F_Regs_made"/>
    <w:p w:rsidR="00304BC9" w:rsidRDefault="00736C78" w:rsidP="00304BC9">
      <w:pPr>
        <w:pStyle w:val="JuPara"/>
      </w:pPr>
      <w:r>
        <w:fldChar w:fldCharType="begin"/>
      </w:r>
      <w:r>
        <w:instrText xml:space="preserve"> SEQ level0 \*arabic \* MERGEFORMAT </w:instrText>
      </w:r>
      <w:r>
        <w:fldChar w:fldCharType="separate"/>
      </w:r>
      <w:r w:rsidR="00F21D3F">
        <w:t>6</w:t>
      </w:r>
      <w:r>
        <w:fldChar w:fldCharType="end"/>
      </w:r>
      <w:bookmarkEnd w:id="14"/>
      <w:r>
        <w:t>. În temeiul unei delegări generale conferite prin lege, prevăzută la punctul 43 din dispozițiile tranzitorii și finale ale Legii din 2007 privind Agenția de Stat pentru Securitate Națională („Legea din 2007”), care reglementează activitatea Agenției, Guvernul a adoptat, în februarie 2008, Regulamentul de aplicare a legii respective. Acesta a fost publicat în Monitorul Oficial al Bulgariei mai târziu în cursul aceleiași luni (</w:t>
      </w:r>
      <w:r>
        <w:rPr>
          <w:i/>
        </w:rPr>
        <w:t>ДВ, бр. 17 от 19.02.2008 г., стр. 7-17</w:t>
      </w:r>
      <w:r>
        <w:t>) și a intrat în vigoare la trei zile de la data publicării acestuia [în conformitate cu norma generală prevăzută la articolul 5 alineatul (5) din Constituția Bulgariei și la articolul 41 alineatele (3) și (4) din Legea din 1973 privind instrumentele normative].</w:t>
      </w:r>
    </w:p>
    <w:bookmarkStart w:id="15" w:name="F_Regs_gen_description"/>
    <w:p w:rsidR="00304BC9" w:rsidRPr="00FF364A" w:rsidRDefault="00736C78" w:rsidP="00304BC9">
      <w:pPr>
        <w:pStyle w:val="JuPara"/>
      </w:pPr>
      <w:r w:rsidRPr="00FF364A">
        <w:fldChar w:fldCharType="begin"/>
      </w:r>
      <w:r w:rsidRPr="00FF364A">
        <w:instrText xml:space="preserve"> SEQ level0 \*arabic \* MERGEFORMAT </w:instrText>
      </w:r>
      <w:r w:rsidRPr="00FF364A">
        <w:fldChar w:fldCharType="separate"/>
      </w:r>
      <w:r w:rsidR="00F21D3F">
        <w:t>7</w:t>
      </w:r>
      <w:r w:rsidRPr="00FF364A">
        <w:fldChar w:fldCharType="end"/>
      </w:r>
      <w:bookmarkEnd w:id="15"/>
      <w:r>
        <w:t>. Partea 1 a capitolului 5 din Regulamentul respectiv, care cuprinde articolele 49-62, stabilea regimul pentru așa-numiții „agenți cu identitate atribuită” (</w:t>
      </w:r>
      <w:r>
        <w:rPr>
          <w:i/>
        </w:rPr>
        <w:t>служители на прикритие</w:t>
      </w:r>
      <w:r>
        <w:t>), pe care Regulamentul îi diferenția de „agenții sub acoperire” (</w:t>
      </w:r>
      <w:r>
        <w:rPr>
          <w:i/>
        </w:rPr>
        <w:t>служители под прикритие</w:t>
      </w:r>
      <w:r>
        <w:t>), care fac obiectul reglementării prin alte dispoziții ale dreptului bulgar [a se vedea infra, pct. </w:t>
      </w:r>
      <w:r w:rsidRPr="00FF364A">
        <w:fldChar w:fldCharType="begin"/>
      </w:r>
      <w:r w:rsidRPr="00FF364A">
        <w:instrText xml:space="preserve"> REF  RLF_SSMA_s_2 \h  \* MERGEFORMAT </w:instrText>
      </w:r>
      <w:r w:rsidRPr="00FF364A">
        <w:fldChar w:fldCharType="separate"/>
      </w:r>
      <w:r w:rsidR="00F21D3F">
        <w:t>74</w:t>
      </w:r>
      <w:r w:rsidRPr="00FF364A">
        <w:fldChar w:fldCharType="end"/>
      </w:r>
      <w:r>
        <w:t xml:space="preserve"> lit. (</w:t>
      </w:r>
      <w:r w:rsidRPr="00FF364A">
        <w:fldChar w:fldCharType="begin"/>
      </w:r>
      <w:r w:rsidRPr="00FF364A">
        <w:instrText xml:space="preserve"> REF  RLF_SSMA_s_2_agents_under_cover \h  \* MERGEFORMAT </w:instrText>
      </w:r>
      <w:r w:rsidRPr="00FF364A">
        <w:fldChar w:fldCharType="separate"/>
      </w:r>
      <w:r w:rsidR="00F21D3F">
        <w:t>h</w:t>
      </w:r>
      <w:r w:rsidRPr="00FF364A">
        <w:fldChar w:fldCharType="end"/>
      </w:r>
      <w:r>
        <w:t>) și pct. </w:t>
      </w:r>
      <w:r w:rsidRPr="00FF364A">
        <w:fldChar w:fldCharType="begin"/>
      </w:r>
      <w:r w:rsidRPr="00FF364A">
        <w:instrText xml:space="preserve"> REF  RLF_SSMA_s_10c_1 \h  \* MERGEFORMAT </w:instrText>
      </w:r>
      <w:r w:rsidRPr="00FF364A">
        <w:fldChar w:fldCharType="separate"/>
      </w:r>
      <w:r w:rsidR="00F21D3F">
        <w:t>75</w:t>
      </w:r>
      <w:r w:rsidRPr="00FF364A">
        <w:fldChar w:fldCharType="end"/>
      </w:r>
      <w:r>
        <w:t>].</w:t>
      </w:r>
      <w:r>
        <w:rPr>
          <w:rStyle w:val="FootnoteReference"/>
        </w:rPr>
        <w:footnoteReference w:id="1"/>
      </w:r>
    </w:p>
    <w:bookmarkStart w:id="16" w:name="F_Regs_r_49"/>
    <w:p w:rsidR="00304BC9" w:rsidRDefault="00736C78" w:rsidP="00304BC9">
      <w:pPr>
        <w:pStyle w:val="JuPara"/>
      </w:pPr>
      <w:r>
        <w:fldChar w:fldCharType="begin"/>
      </w:r>
      <w:r>
        <w:instrText xml:space="preserve"> SEQ level0 \*arabic \* MERGEFORMAT </w:instrText>
      </w:r>
      <w:r>
        <w:fldChar w:fldCharType="separate"/>
      </w:r>
      <w:r w:rsidR="00F21D3F">
        <w:t>8</w:t>
      </w:r>
      <w:r>
        <w:fldChar w:fldCharType="end"/>
      </w:r>
      <w:bookmarkEnd w:id="16"/>
      <w:r>
        <w:t>. În temeiul articolului 49, utilizarea „agenților cu identitate atribuită” și activitatea lor trebuie să respecte principiile legalității și conspirativității.</w:t>
      </w:r>
    </w:p>
    <w:bookmarkStart w:id="17" w:name="F_Regs_r_50"/>
    <w:p w:rsidR="00304BC9" w:rsidRDefault="00736C78" w:rsidP="00304BC9">
      <w:pPr>
        <w:pStyle w:val="JuPara"/>
      </w:pPr>
      <w:r>
        <w:lastRenderedPageBreak/>
        <w:fldChar w:fldCharType="begin"/>
      </w:r>
      <w:r>
        <w:instrText xml:space="preserve"> SEQ level0 \*arabic \* MERGEFORMAT </w:instrText>
      </w:r>
      <w:r>
        <w:fldChar w:fldCharType="separate"/>
      </w:r>
      <w:r w:rsidR="00F21D3F">
        <w:t>9</w:t>
      </w:r>
      <w:r>
        <w:fldChar w:fldCharType="end"/>
      </w:r>
      <w:bookmarkEnd w:id="17"/>
      <w:r>
        <w:t>. Astfel cum a fost formulat inițial, articolul 50 permitea Agenției să infiltreze „agenți cu identitate atribuită” în cadrul autorităților de stat, al organizațiilor și al entităților juridice.</w:t>
      </w:r>
    </w:p>
    <w:bookmarkStart w:id="18" w:name="F_Regs_r_51"/>
    <w:p w:rsidR="00304BC9" w:rsidRDefault="00736C78" w:rsidP="00304BC9">
      <w:pPr>
        <w:pStyle w:val="JuPara"/>
      </w:pPr>
      <w:r>
        <w:fldChar w:fldCharType="begin"/>
      </w:r>
      <w:r>
        <w:instrText xml:space="preserve"> SEQ level0 \*arabic \* MERGEFORMAT </w:instrText>
      </w:r>
      <w:r>
        <w:fldChar w:fldCharType="separate"/>
      </w:r>
      <w:r w:rsidR="00F21D3F">
        <w:t>10</w:t>
      </w:r>
      <w:r>
        <w:fldChar w:fldCharType="end"/>
      </w:r>
      <w:bookmarkEnd w:id="18"/>
      <w:r>
        <w:t>. Articolul 51 precizează că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„agenții cu identitate atribuită” sunt ofițeri ai Agenției care au un statut special, precum și drepturile și obligațiile aferente funcției în care sunt infiltrați și că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pot deveni „agenți cu identitate atribuită” doar funcționarii publici care au urmat deja o formare inițială și au obținut un certificat de securitate care le permite accesul la informații clasificate.</w:t>
      </w:r>
    </w:p>
    <w:bookmarkStart w:id="19" w:name="F_Regs_r_52"/>
    <w:p w:rsidR="00304BC9" w:rsidRDefault="00736C78" w:rsidP="00304BC9">
      <w:pPr>
        <w:pStyle w:val="JuPara"/>
      </w:pPr>
      <w:r>
        <w:fldChar w:fldCharType="begin"/>
      </w:r>
      <w:r>
        <w:instrText xml:space="preserve"> SEQ level0 \*arabic \* MERGEFORMAT </w:instrText>
      </w:r>
      <w:r>
        <w:fldChar w:fldCharType="separate"/>
      </w:r>
      <w:r w:rsidR="00F21D3F">
        <w:t>11</w:t>
      </w:r>
      <w:r>
        <w:fldChar w:fldCharType="end"/>
      </w:r>
      <w:bookmarkEnd w:id="19"/>
      <w:r>
        <w:t>. Desfășurarea „activității sub o identitate atribuită” de către astfel de agenți este posibilă în cazul în care există o „necesitate operațională dovedită” [articolul 52 alineatul (1)]. O astfel de necesitate există în cazul în care atribuțiile conferite Agenției prin lege nu pot fi îndeplinite în alt mod [articolul 52 alineatul (2)]. Șeful diviziei sau unității respective a Agenției trebuie să dovedească șefului Agenției existența unei astfel de necesități operaționale [articolul 52 alineatul (3)]</w:t>
      </w:r>
    </w:p>
    <w:bookmarkStart w:id="20" w:name="F_Regs_r_53"/>
    <w:p w:rsidR="00304BC9" w:rsidRDefault="00736C78" w:rsidP="00304BC9">
      <w:pPr>
        <w:pStyle w:val="JuPara"/>
      </w:pPr>
      <w:r>
        <w:fldChar w:fldCharType="begin"/>
      </w:r>
      <w:r>
        <w:instrText xml:space="preserve"> SEQ level0 \*arabic \* MERGEFORMAT </w:instrText>
      </w:r>
      <w:r>
        <w:fldChar w:fldCharType="separate"/>
      </w:r>
      <w:r w:rsidR="00F21D3F">
        <w:t>12</w:t>
      </w:r>
      <w:r>
        <w:fldChar w:fldCharType="end"/>
      </w:r>
      <w:bookmarkEnd w:id="20"/>
      <w:r>
        <w:t>. „Agenții cu identitate atribuită” pot desfășura activități de informații și contrainformații pentru protejarea securității naționale [articolul 53 alineatul (1)]. Atribuțiile exacte ale acestora sunt stabilite de șeful Agenției în fiecare caz în parte [articolul 53 alineatul (2)]. Aceștia nu pot aresta, percheziționa sau interoga persoane și nici nu pot folosi arme de foc sau forța fizică [articolul 53 alineatul (3), coroborat cu dispozițiile relevante din Legea din 2007].</w:t>
      </w:r>
    </w:p>
    <w:bookmarkStart w:id="21" w:name="F_Regs_r_54"/>
    <w:p w:rsidR="00304BC9" w:rsidRDefault="00736C78" w:rsidP="00304BC9">
      <w:pPr>
        <w:pStyle w:val="JuPara"/>
      </w:pPr>
      <w:r>
        <w:fldChar w:fldCharType="begin"/>
      </w:r>
      <w:r>
        <w:instrText xml:space="preserve"> SEQ level0 \*arabic \* MERGEFORMAT </w:instrText>
      </w:r>
      <w:r>
        <w:fldChar w:fldCharType="separate"/>
      </w:r>
      <w:r w:rsidR="00F21D3F">
        <w:t>13</w:t>
      </w:r>
      <w:r>
        <w:fldChar w:fldCharType="end"/>
      </w:r>
      <w:bookmarkEnd w:id="21"/>
      <w:r>
        <w:t>. Aceștia trebuie să își desfășoare activitatea astfel încât să nu riște să își expună acoperirea (articolul 54).</w:t>
      </w:r>
    </w:p>
    <w:bookmarkStart w:id="22" w:name="F_Regs_r_55"/>
    <w:p w:rsidR="00304BC9" w:rsidRDefault="00736C78" w:rsidP="00304BC9">
      <w:pPr>
        <w:pStyle w:val="JuPara"/>
      </w:pPr>
      <w:r>
        <w:fldChar w:fldCharType="begin"/>
      </w:r>
      <w:r>
        <w:instrText xml:space="preserve"> SEQ level0 \*arabic \* MERGEFORMAT </w:instrText>
      </w:r>
      <w:r>
        <w:fldChar w:fldCharType="separate"/>
      </w:r>
      <w:r w:rsidR="00F21D3F">
        <w:t>14</w:t>
      </w:r>
      <w:r>
        <w:fldChar w:fldCharType="end"/>
      </w:r>
      <w:bookmarkEnd w:id="22"/>
      <w:r>
        <w:t>. Astfel cum era formulat inițial (înainte de modificările aduse Regulamentului în 2018 – a se vedea infra, pct. </w:t>
      </w:r>
      <w:r>
        <w:fldChar w:fldCharType="begin"/>
      </w:r>
      <w:r>
        <w:instrText xml:space="preserve"> REF  F_Regs_2018_amnd_SANS_proposal \h  \* MERGEFORMAT </w:instrText>
      </w:r>
      <w:r>
        <w:fldChar w:fldCharType="separate"/>
      </w:r>
      <w:r w:rsidR="00F21D3F">
        <w:t>18</w:t>
      </w:r>
      <w:r>
        <w:fldChar w:fldCharType="end"/>
      </w:r>
      <w:r>
        <w:t>-</w:t>
      </w:r>
      <w:r>
        <w:fldChar w:fldCharType="begin"/>
      </w:r>
      <w:r>
        <w:instrText xml:space="preserve"> REF  F_Regs_2018_amnd_r_55 \h  \* MERGEFORMAT </w:instrText>
      </w:r>
      <w:r>
        <w:fldChar w:fldCharType="separate"/>
      </w:r>
      <w:r w:rsidR="00F21D3F">
        <w:t>30</w:t>
      </w:r>
      <w:r>
        <w:fldChar w:fldCharType="end"/>
      </w:r>
      <w:r>
        <w:t>), articolul 55 alineatul (1) prevedea că ofițerii Agenției vor fi numiți „agenți cu identitate atribuită” de către șeful entității vizate, la cererea șefului Agenției. O persoană care lucra deja în cadrul entității vizate putea fi, de asemenea, desemnată „agent cu identitate atribuită” prin numirea sa ca ofițer al Agenției [articolul 55 alineatul (2)].</w:t>
      </w:r>
    </w:p>
    <w:bookmarkStart w:id="23" w:name="F_Regs_r_56"/>
    <w:p w:rsidR="00304BC9" w:rsidRDefault="00736C78" w:rsidP="00304BC9">
      <w:pPr>
        <w:pStyle w:val="JuPara"/>
      </w:pPr>
      <w:r>
        <w:fldChar w:fldCharType="begin"/>
      </w:r>
      <w:r>
        <w:instrText xml:space="preserve"> SEQ level0 \*arabic \* MERGEFORMAT </w:instrText>
      </w:r>
      <w:r>
        <w:fldChar w:fldCharType="separate"/>
      </w:r>
      <w:r w:rsidR="00F21D3F">
        <w:t>15</w:t>
      </w:r>
      <w:r>
        <w:fldChar w:fldCharType="end"/>
      </w:r>
      <w:bookmarkEnd w:id="23"/>
      <w:r>
        <w:t xml:space="preserve">. Procedura de numire înainte de modificările din 2018 era următoarea: Șeful Agenției trebuia să adreseze o solicitare entității vizate, să identifice funcțiile din cadrul entității vizate care puteau fi adecvate pentru infiltrarea unui „agent cu identitate atribuită” și să desemneze un ofițer din cadrul Agenției în calitate de persoană de contact [articolul 56 alineatul (1)]. În cazul în care entitatea vizată își exprima acordul, aceasta trebuia să informeze Agenția cu privire la competențele și calificările pe care trebuia să le dețină „agentul cu identitate atribuită”, precum și cu privire la procedura care trebuie urmată pentru numirea unei persoane în funcția vizată [articolul 56 alineatul (2)]. Entitatea vizată putea, de asemenea, să propună modificări ale normelor sau reglementărilor referitoare la activitatea sa, pentru a permite infiltrarea unui „agent cu identitate atribuită” [articolul 56 alineatul  3)]. Șeful </w:t>
      </w:r>
      <w:r>
        <w:lastRenderedPageBreak/>
        <w:t>Agenției și entitatea vizată trebuiau apoi să stabilească împreună modalitatea exactă în care urma să fie infiltrat „agentul cu identitate atribuită” [articolul 56 alineatul (4)]. Entitatea vizată avea obligația de a trata toate aceste aspecte organizatorice ca informații clasificate [articolul 56 alineatul (5)].</w:t>
      </w:r>
    </w:p>
    <w:bookmarkStart w:id="24" w:name="F_Regs_r_56_6_r_57_2_r_58_1"/>
    <w:p w:rsidR="00304BC9" w:rsidRPr="00136FB5" w:rsidRDefault="00736C78" w:rsidP="00304BC9">
      <w:pPr>
        <w:pStyle w:val="JuPara"/>
      </w:pPr>
      <w:r>
        <w:fldChar w:fldCharType="begin"/>
      </w:r>
      <w:r>
        <w:instrText xml:space="preserve"> SEQ level0 \*arabic \* MERGEFORMAT </w:instrText>
      </w:r>
      <w:r>
        <w:fldChar w:fldCharType="separate"/>
      </w:r>
      <w:r w:rsidR="00F21D3F">
        <w:t>16</w:t>
      </w:r>
      <w:r>
        <w:fldChar w:fldCharType="end"/>
      </w:r>
      <w:bookmarkEnd w:id="24"/>
      <w:r>
        <w:t>. Entitatea vizată avea apoi obligația de a asista „agentul cu identitate atribuită” în îndeplinirea sarcinilor sale [articolul 56 alineatul (6)]. Agenția trebuia să informeze entitatea vizată în cazul în care „activitatea desfășurată sub o identitate atribuită” urma să înceteze [articolul 57 alineatul (2)]. Entitatea vizată trebuia să ia măsurile necesare pentru a împiedica dezvăluirea „activității desfășurate sub o identitate atribuită”, chiar și după încheierea acesteia [articolul 58 alineatul (1)].</w:t>
      </w:r>
    </w:p>
    <w:bookmarkStart w:id="25" w:name="F_Regs_r_56_6_r_59_r_62"/>
    <w:p w:rsidR="00304BC9" w:rsidRDefault="00736C78" w:rsidP="00304BC9">
      <w:pPr>
        <w:pStyle w:val="JuPara"/>
      </w:pPr>
      <w:r>
        <w:fldChar w:fldCharType="begin"/>
      </w:r>
      <w:r>
        <w:instrText xml:space="preserve"> SEQ level0 \*arabic \* MERGEFORMAT </w:instrText>
      </w:r>
      <w:r>
        <w:fldChar w:fldCharType="separate"/>
      </w:r>
      <w:r w:rsidR="00F21D3F">
        <w:t>17</w:t>
      </w:r>
      <w:r>
        <w:fldChar w:fldCharType="end"/>
      </w:r>
      <w:bookmarkEnd w:id="25"/>
      <w:r>
        <w:t>. Articolele 59-62 reglementează drepturile aferente raportului de muncă ale „agenților cu identitate atribuită” în ceea ce privește remunerația, concediul anual și pensionarea.</w:t>
      </w:r>
    </w:p>
    <w:p w:rsidR="00304BC9" w:rsidRDefault="00736C78" w:rsidP="00304BC9">
      <w:pPr>
        <w:pStyle w:val="JuHA"/>
      </w:pPr>
      <w:bookmarkStart w:id="26" w:name="_Toc175214959"/>
      <w:bookmarkStart w:id="27" w:name="_Toc238743230"/>
      <w:r>
        <w:t>Modificările din 2018</w:t>
      </w:r>
      <w:bookmarkEnd w:id="26"/>
      <w:bookmarkEnd w:id="27"/>
    </w:p>
    <w:p w:rsidR="00304BC9" w:rsidRDefault="00736C78" w:rsidP="00304BC9">
      <w:pPr>
        <w:pStyle w:val="JuH1"/>
      </w:pPr>
      <w:bookmarkStart w:id="28" w:name="_Toc175214960"/>
      <w:bookmarkStart w:id="29" w:name="_Toc238743231"/>
      <w:r>
        <w:t>Propunerea Agenției cu privire la aceste modificări</w:t>
      </w:r>
      <w:bookmarkEnd w:id="28"/>
      <w:bookmarkEnd w:id="29"/>
    </w:p>
    <w:bookmarkStart w:id="30" w:name="F_Regs_2018_amnd_SANS_proposal"/>
    <w:p w:rsidR="00304BC9" w:rsidRDefault="00736C78" w:rsidP="00304BC9">
      <w:pPr>
        <w:pStyle w:val="JuPara"/>
      </w:pPr>
      <w:r>
        <w:fldChar w:fldCharType="begin"/>
      </w:r>
      <w:r>
        <w:instrText xml:space="preserve"> SEQ level0 \*arabic \* MERGEFORMAT </w:instrText>
      </w:r>
      <w:r>
        <w:fldChar w:fldCharType="separate"/>
      </w:r>
      <w:r w:rsidR="00F21D3F">
        <w:t>18</w:t>
      </w:r>
      <w:r>
        <w:fldChar w:fldCharType="end"/>
      </w:r>
      <w:bookmarkEnd w:id="30"/>
      <w:r>
        <w:t>. În aprilie 2018, Agenția a propus Guvernului reformularea articolelor 50, 51 și 55 și abrogarea articolelor 56-58 (a se vedea supra, pct. </w:t>
      </w:r>
      <w:r>
        <w:fldChar w:fldCharType="begin"/>
      </w:r>
      <w:r>
        <w:instrText xml:space="preserve"> REF  F_Regs_r_50 \h  \* MERGEFORMAT </w:instrText>
      </w:r>
      <w:r>
        <w:fldChar w:fldCharType="separate"/>
      </w:r>
      <w:r w:rsidR="00F21D3F">
        <w:t>9</w:t>
      </w:r>
      <w:r>
        <w:fldChar w:fldCharType="end"/>
      </w:r>
      <w:r>
        <w:t>-</w:t>
      </w:r>
      <w:r>
        <w:fldChar w:fldCharType="begin"/>
      </w:r>
      <w:r>
        <w:instrText xml:space="preserve"> REF  F_Regs_r_51 \h  \* MERGEFORMAT </w:instrText>
      </w:r>
      <w:r>
        <w:fldChar w:fldCharType="separate"/>
      </w:r>
      <w:r w:rsidR="00F21D3F">
        <w:t>10</w:t>
      </w:r>
      <w:r>
        <w:fldChar w:fldCharType="end"/>
      </w:r>
      <w:r>
        <w:t xml:space="preserve"> și </w:t>
      </w:r>
      <w:r>
        <w:fldChar w:fldCharType="begin"/>
      </w:r>
      <w:r>
        <w:instrText xml:space="preserve"> REF  F_Regs_r_55 \h  \* MERGEFORMAT </w:instrText>
      </w:r>
      <w:r>
        <w:fldChar w:fldCharType="separate"/>
      </w:r>
      <w:r w:rsidR="00F21D3F">
        <w:t>14</w:t>
      </w:r>
      <w:r>
        <w:fldChar w:fldCharType="end"/>
      </w:r>
      <w:r>
        <w:t>-</w:t>
      </w:r>
      <w:r>
        <w:fldChar w:fldCharType="begin"/>
      </w:r>
      <w:r>
        <w:instrText xml:space="preserve"> REF  F_Regs_r_56_6_r_57_2_r_58_1 \h  \* MERGEFORMAT </w:instrText>
      </w:r>
      <w:r>
        <w:fldChar w:fldCharType="separate"/>
      </w:r>
      <w:r w:rsidR="00F21D3F">
        <w:t>16</w:t>
      </w:r>
      <w:r>
        <w:fldChar w:fldCharType="end"/>
      </w:r>
      <w:r>
        <w:t>). În opinia sa, aceste modificări – al căror efect ar fi fost extinderea listei potențialelor entități vizate și eliminarea cerinței de a obține acordul entității vizate cu privire la infiltrare – erau necesare deoarece practica demonstrase că modul în care regulamentul structura infiltrarea „agenților cu identitate atribuită” împiedica utilizarea rapidă și eficientă a acestora într-un mediu de securitate în continuă schimbare, care impunea răspunsuri prompte și adecvate la amenințările la adresa securității naționale. Procedura existentă nu răspundea nevoii Agenției de a obține informațiile exacte necesare în acest scop. În special, cerința de a obține acordul entității vizate ridica probleme în ceea ce privește entitățile ale căror șefi nu erau dispuși să coopereze. În plus, categoriile de entități în care puteau fi infiltrați „agenți cu identitate atribuită” erau prea limitate și nu reflectau realitățile economiei moderne.</w:t>
      </w:r>
    </w:p>
    <w:p w:rsidR="00304BC9" w:rsidRDefault="00736C78" w:rsidP="00304BC9">
      <w:pPr>
        <w:pStyle w:val="JuH1"/>
      </w:pPr>
      <w:bookmarkStart w:id="31" w:name="_Toc175214961"/>
      <w:bookmarkStart w:id="32" w:name="_Toc238743232"/>
      <w:r>
        <w:t>Consultarea publică în ceea ce privește propunerea respectivă</w:t>
      </w:r>
      <w:bookmarkEnd w:id="31"/>
      <w:bookmarkEnd w:id="32"/>
    </w:p>
    <w:bookmarkStart w:id="33" w:name="F_Regs_2018_amnd_BHC_SBC_represenations"/>
    <w:p w:rsidR="00304BC9" w:rsidRDefault="00736C78" w:rsidP="00304BC9">
      <w:pPr>
        <w:pStyle w:val="JuPara"/>
      </w:pPr>
      <w:r>
        <w:fldChar w:fldCharType="begin"/>
      </w:r>
      <w:r>
        <w:instrText xml:space="preserve"> SEQ level0 \*arabic \* MERGEFORMAT </w:instrText>
      </w:r>
      <w:r>
        <w:fldChar w:fldCharType="separate"/>
      </w:r>
      <w:r w:rsidR="00F21D3F">
        <w:t>19</w:t>
      </w:r>
      <w:r>
        <w:fldChar w:fldCharType="end"/>
      </w:r>
      <w:bookmarkEnd w:id="33"/>
      <w:r>
        <w:t>. În cursul consultării publice care a urmat, inițiată în mai 2018 și încheiată în iunie 2018, au fost primite observații din partea unei asociații, Comitetul Helsinki din Bulgaria, și din partea Consiliului Suprem al Baroului (organul de conducere al Baroului Național din Bulgaria).</w:t>
      </w:r>
    </w:p>
    <w:p w:rsidR="00304BC9" w:rsidRDefault="00736C78" w:rsidP="0011320E">
      <w:pPr>
        <w:pStyle w:val="JuHa0"/>
      </w:pPr>
      <w:bookmarkStart w:id="34" w:name="_Toc175214962"/>
      <w:bookmarkStart w:id="35" w:name="_Toc238743233"/>
      <w:r>
        <w:lastRenderedPageBreak/>
        <w:t>Observațiile Comitetului Helsinki din Bulgaria</w:t>
      </w:r>
      <w:bookmarkEnd w:id="34"/>
      <w:bookmarkEnd w:id="35"/>
    </w:p>
    <w:bookmarkStart w:id="36" w:name="F_Regs_2018_amnd_BHC_opinion"/>
    <w:p w:rsidR="00304BC9" w:rsidRPr="001C2BFD" w:rsidRDefault="00736C78" w:rsidP="00304BC9">
      <w:pPr>
        <w:pStyle w:val="JuPara"/>
      </w:pPr>
      <w:r w:rsidRPr="001C2BFD">
        <w:fldChar w:fldCharType="begin"/>
      </w:r>
      <w:r w:rsidRPr="001C2BFD">
        <w:instrText xml:space="preserve"> SEQ level0 \*arabic \* MERGEFORMAT </w:instrText>
      </w:r>
      <w:r w:rsidRPr="001C2BFD">
        <w:fldChar w:fldCharType="separate"/>
      </w:r>
      <w:r w:rsidR="00F21D3F">
        <w:t>20</w:t>
      </w:r>
      <w:r w:rsidRPr="001C2BFD">
        <w:fldChar w:fldCharType="end"/>
      </w:r>
      <w:bookmarkEnd w:id="36"/>
      <w:r>
        <w:t xml:space="preserve">. Comitetul Helsinki din Bulgaria s-a opus modificărilor propuse în ansamblul lor. Acesta a subliniat că, astfel cum demonstra practica Agenției în materia expulzării străinilor, în mod normal nu erau menționate fapte concrete în sprijinul afirmațiilor sale potrivit cărora o persoană reprezenta un risc pentru securitatea națională și că această frază era utilizată în mod declarativ – orice situație putând fi inclusă în sfera acestei noțiuni. Prin urmare, se putea presupune că aceeași abordare urma să fie adoptată și în ceea ce privește infiltrarea „agenților cu identitate atribuită”, abordare care, potrivit modificărilor propuse, ar fi putut fi pusă în aplicare în privința oricărei organizații private sau a membrilor oricărei „profesii liberale” – contabili, auditori, jurnaliști, avocați – afectând astfel clienții acestor categorii de profesioniști. Acest lucru era deosebit de periculos având în vedere poziția bine documentată a Agenției – potrivit căreia aceasta era mai presus de legile țări – și ținând seama de caracterul secret al activității sale. Prin urmare, nu exista nicio garanție că nu vor exista ingerințe ilegale în exercitarea dreptului la respectarea vieții private. În special, nu era prevăzut niciun control judiciar în ceea ce privește utilizarea „agenților cu identitate atribuită” și nici nu erau stabilite termene pentru o astfel de utilizare. Era indispensabilă instituirea unui mecanism de control similar celui prevăzut de lege în ceea ce privește „mijloacele speciale de supraveghere” (pentru definiția acestui termen în dreptul bulgar, a se vedea </w:t>
      </w:r>
      <w:bookmarkStart w:id="37" w:name="_cl41284THEFACTS"/>
      <w:r>
        <w:t xml:space="preserve"> </w:t>
      </w:r>
      <w:r>
        <w:rPr>
          <w:i/>
        </w:rPr>
        <w:t>Ekimdjiev și alții împotriva Bulgariei</w:t>
      </w:r>
      <w:r>
        <w:t>, nr. 70078/12, pct. 11, 11 ianuarie 2022</w:t>
      </w:r>
      <w:bookmarkEnd w:id="37"/>
      <w:r>
        <w:t>; a se vedea și infra, pct. </w:t>
      </w:r>
      <w:r>
        <w:fldChar w:fldCharType="begin"/>
      </w:r>
      <w:r>
        <w:instrText xml:space="preserve"> REF  RLF_SSMA \h  \* MERGEFORMAT </w:instrText>
      </w:r>
      <w:r>
        <w:fldChar w:fldCharType="separate"/>
      </w:r>
      <w:r w:rsidR="00F21D3F">
        <w:t>73</w:t>
      </w:r>
      <w:r>
        <w:fldChar w:fldCharType="end"/>
      </w:r>
      <w:r>
        <w:t>-</w:t>
      </w:r>
      <w:r>
        <w:fldChar w:fldCharType="begin"/>
      </w:r>
      <w:r>
        <w:instrText xml:space="preserve"> REF  RLF_SSMA_s_2 \h  \* MERGEFORMAT </w:instrText>
      </w:r>
      <w:r>
        <w:fldChar w:fldCharType="separate"/>
      </w:r>
      <w:r w:rsidR="00F21D3F">
        <w:t>74</w:t>
      </w:r>
      <w:r>
        <w:fldChar w:fldCharType="end"/>
      </w:r>
      <w:r>
        <w:t>).</w:t>
      </w:r>
    </w:p>
    <w:p w:rsidR="00304BC9" w:rsidRDefault="00736C78" w:rsidP="00304BC9">
      <w:pPr>
        <w:pStyle w:val="JuHa0"/>
      </w:pPr>
      <w:bookmarkStart w:id="38" w:name="_Toc175214963"/>
      <w:bookmarkStart w:id="39" w:name="_Toc238743234"/>
      <w:r>
        <w:t>Observațiile Consiliului Superior al Baroului</w:t>
      </w:r>
      <w:bookmarkEnd w:id="38"/>
      <w:bookmarkEnd w:id="39"/>
    </w:p>
    <w:bookmarkStart w:id="40" w:name="F_Regs_2018_amnd_SBC_opinion"/>
    <w:p w:rsidR="00304BC9" w:rsidRDefault="00736C78" w:rsidP="00304BC9">
      <w:pPr>
        <w:pStyle w:val="JuPara"/>
      </w:pPr>
      <w:r>
        <w:fldChar w:fldCharType="begin"/>
      </w:r>
      <w:r>
        <w:instrText xml:space="preserve"> SEQ level0 \*arabic \* MERGEFORMAT </w:instrText>
      </w:r>
      <w:r>
        <w:fldChar w:fldCharType="separate"/>
      </w:r>
      <w:r w:rsidR="00F21D3F">
        <w:t>21</w:t>
      </w:r>
      <w:r>
        <w:fldChar w:fldCharType="end"/>
      </w:r>
      <w:bookmarkEnd w:id="40"/>
      <w:r>
        <w:t xml:space="preserve">. Consiliul Superior al Baroului a criticat în special posibilitatea, prevăzută de modificările propuse, ca „agenții cu identitate atribuită” să fie infiltrați ca avocați care își exercită profesia în mod independent. În opinia sa, acest lucru ar contraveni principiilor fundamentale ale Convenției, ale Constituției, ale Legii din 2004 privind baroul și ale Codului deontologic al avocaților, întrucât ar permite „agenților cu identitate atribuită” să se prezinte ca fiind avocați și – în loc să ofere consultanță și asistență juridică – să prejudicieze persoanele care i-au consultat în calitate de clienți. Chiar și simpla suspiciune a clienților că avocații lor ar putea fi „agenți cu identitate atribuită” ar putea să distrugă încrederea publicului în profesia de avocat. În plus, infiltrarea ofițerilor Agenției în calitate de avocați sau de membri ai oricărei „profesii liberale” depășea limitele mandatului conferit Agenției prin lege. Agenția își putea îndeplini atribuțiile și în absența unei astfel de posibilități. Aceasta nu a explicat exact motivele pentru care avea nevoie de această posibilitate. Nu a menționat nici scopul legitim pe care l-ar urmări această posibilitate, care oricum părea disproporționată în raport cu un astfel de scop. Prin urmare, era necesar ca în textul modificărilor să se introducă </w:t>
      </w:r>
      <w:r>
        <w:lastRenderedPageBreak/>
        <w:t>dispoziții care să precizeze clar faptul că „agenții cu identitate atribuită” nu puteau fi infiltrați ca avocați care își exercită profesia în mod independent.</w:t>
      </w:r>
    </w:p>
    <w:p w:rsidR="00304BC9" w:rsidRDefault="00736C78" w:rsidP="00304BC9">
      <w:pPr>
        <w:pStyle w:val="JuHa0"/>
      </w:pPr>
      <w:bookmarkStart w:id="41" w:name="_Toc175214964"/>
      <w:bookmarkStart w:id="42" w:name="_Toc238743235"/>
      <w:r>
        <w:t>Răspunsul Agenției</w:t>
      </w:r>
      <w:bookmarkEnd w:id="41"/>
      <w:bookmarkEnd w:id="42"/>
    </w:p>
    <w:bookmarkStart w:id="43" w:name="F_Regs_2018_amnd_SANS_response"/>
    <w:p w:rsidR="00304BC9" w:rsidRDefault="00736C78" w:rsidP="00304BC9">
      <w:pPr>
        <w:pStyle w:val="JuPara"/>
      </w:pPr>
      <w:r>
        <w:fldChar w:fldCharType="begin"/>
      </w:r>
      <w:r>
        <w:instrText xml:space="preserve"> SEQ level0 \*arabic \* MERGEFORMAT </w:instrText>
      </w:r>
      <w:r>
        <w:fldChar w:fldCharType="separate"/>
      </w:r>
      <w:r w:rsidR="00F21D3F">
        <w:t>22</w:t>
      </w:r>
      <w:r>
        <w:fldChar w:fldCharType="end"/>
      </w:r>
      <w:bookmarkEnd w:id="43"/>
      <w:r>
        <w:t>. În replică și după ce s-a întâlnit, în august 2018, cu reprezentanți ai Comitetului Helsinki din Bulgaria și ai Consiliului Superior al Baroului, pentru a asculta îndoielile acestora cu privire la modificările propuse și pentru a explica necesitatea acestora, la începutul lunii septembrie 2018, Agenția i-a scris ministrului Afacerilor Interne.</w:t>
      </w:r>
    </w:p>
    <w:bookmarkStart w:id="44" w:name="F_Regs_2018_amnd_SANS_response_BHC"/>
    <w:p w:rsidR="00304BC9" w:rsidRDefault="00736C78" w:rsidP="00304BC9">
      <w:pPr>
        <w:pStyle w:val="JuPara"/>
      </w:pPr>
      <w:r>
        <w:fldChar w:fldCharType="begin"/>
      </w:r>
      <w:r>
        <w:instrText xml:space="preserve"> SEQ level0 \*arabic \* MERGEFORMAT </w:instrText>
      </w:r>
      <w:r>
        <w:fldChar w:fldCharType="separate"/>
      </w:r>
      <w:r w:rsidR="00F21D3F">
        <w:t>23</w:t>
      </w:r>
      <w:r>
        <w:fldChar w:fldCharType="end"/>
      </w:r>
      <w:bookmarkEnd w:id="44"/>
      <w:r>
        <w:t>. În legătură cu preocupările exprimate de Comitetul Helsinki din Bulgaria (a se vedea supra, pct. </w:t>
      </w:r>
      <w:r>
        <w:fldChar w:fldCharType="begin"/>
      </w:r>
      <w:r>
        <w:instrText xml:space="preserve"> REF  F_Regs_2018_amnd_BHC_opinion \h  \* MERGEFORMAT </w:instrText>
      </w:r>
      <w:r>
        <w:fldChar w:fldCharType="separate"/>
      </w:r>
      <w:r w:rsidR="00F21D3F">
        <w:t>20</w:t>
      </w:r>
      <w:r>
        <w:fldChar w:fldCharType="end"/>
      </w:r>
      <w:r>
        <w:t>), Agenția a precizat că acestea proveneau dintr-o neînțelegere cu privire la sensul pe care autoritățile competente îl atribuiau expresiei „securitate națională” și, mai general, cu privire la modul în care funcționau aceste autorități. Era normal ca activitatea acesteia să fie secretă. Din punctul său de vedere, noțiunea de „securitate națională” era definită prin lege (a se vedea infra, pct. </w:t>
      </w:r>
      <w:r>
        <w:fldChar w:fldCharType="begin"/>
      </w:r>
      <w:r>
        <w:instrText xml:space="preserve"> REF  RLF_SPNSA_s_2 \h  \* MERGEFORMAT </w:instrText>
      </w:r>
      <w:r>
        <w:fldChar w:fldCharType="separate"/>
      </w:r>
      <w:r w:rsidR="00F21D3F">
        <w:t>77</w:t>
      </w:r>
      <w:r>
        <w:fldChar w:fldCharType="end"/>
      </w:r>
      <w:r>
        <w:t>) și nu se putea spune că era utilizată în mod generalizat în cadrul procedurii de expulzare a străinilor. În orice caz, nu se putea face o analogie adecvată între această situație și infiltrarea „agenților cu identitate atribuită”. Nu exista niciun motiv să se presupună că o astfel de infiltrare ar fi efectuată în mod ilegal; în temeiul Legii din 2007, Agenția avea obligația să acționeze, în toate situațiile, în mod legal și în limitele atribuțiilor conferite acesteia prin lege, inclusiv atunci când desfășura activități secrete. În plus, nu era evident nici modul în care o astfel de infiltrare putea să încalce drepturile oricărei persoane, cu atât mai mult cu cât „agenții cu identitate atribuită” rămâneau pe deplin responsabili pentru actele lor.</w:t>
      </w:r>
    </w:p>
    <w:bookmarkStart w:id="45" w:name="F_Regs_2018_amnd_SANS_response_BHC_bis"/>
    <w:p w:rsidR="00304BC9" w:rsidRDefault="00736C78" w:rsidP="00304BC9">
      <w:pPr>
        <w:pStyle w:val="JuPara"/>
      </w:pPr>
      <w:r>
        <w:fldChar w:fldCharType="begin"/>
      </w:r>
      <w:r>
        <w:instrText xml:space="preserve"> SEQ level0 \*arabic \* MERGEFORMAT </w:instrText>
      </w:r>
      <w:r>
        <w:fldChar w:fldCharType="separate"/>
      </w:r>
      <w:r w:rsidR="00F21D3F">
        <w:t>24</w:t>
      </w:r>
      <w:r>
        <w:fldChar w:fldCharType="end"/>
      </w:r>
      <w:bookmarkEnd w:id="45"/>
      <w:r>
        <w:t>. De asemenea, era important de subliniat faptul că „agenții cu identitate atribuită” erau diferiți de „agenții sub acoperire”. Aceștia din urmă intrau, într-un fel, sub incidența noțiunii de „mijloace speciale de supraveghere”, reglementate de Legea din 1997 privind mijloacele speciale de supraveghere („Legea din 1997” – a se vedea infra, pct. </w:t>
      </w:r>
      <w:r>
        <w:fldChar w:fldCharType="begin"/>
      </w:r>
      <w:r>
        <w:instrText xml:space="preserve"> REF  RLF_SSMA \h  \* MERGEFORMAT </w:instrText>
      </w:r>
      <w:r>
        <w:fldChar w:fldCharType="separate"/>
      </w:r>
      <w:r w:rsidR="00F21D3F">
        <w:t>73</w:t>
      </w:r>
      <w:r>
        <w:fldChar w:fldCharType="end"/>
      </w:r>
      <w:r>
        <w:t>-</w:t>
      </w:r>
      <w:r>
        <w:fldChar w:fldCharType="begin"/>
      </w:r>
      <w:r>
        <w:instrText xml:space="preserve"> REF  RLF_SSMA_s_10c_1 \h  \* MERGEFORMAT </w:instrText>
      </w:r>
      <w:r>
        <w:fldChar w:fldCharType="separate"/>
      </w:r>
      <w:r w:rsidR="00F21D3F">
        <w:t>75</w:t>
      </w:r>
      <w:r>
        <w:fldChar w:fldCharType="end"/>
      </w:r>
      <w:r>
        <w:t xml:space="preserve">). Aceștia își desfășurau activitatea sub o identitate falsă, puteau să folosească dispozitive tehnice pentru a documenta dovezi ale unor infracțiuni și nu erau pasibili de răspundere penală pentru actele săvârșite în cursul exercitării atribuțiilor lor. Agenția nu se număra printre autoritățile care puteau să recurgă la „agenți sub acoperire”. În schimb, „agenții cu identitate atribuită” nu intrau sub incidența noțiunii de „mijloc special de supraveghere”. Aceștia nu puteau utiliza dispozitive tehnice pentru a înregistra probe și puteau răspunde penal pentru faptele lor. Era adevărat că aceștia puteau colecta informații cu privire la amenințările existente la adresa securității naționale sau cu privire la persoane care intenționau să întreprindă acțiuni care să aducă atingere securității naționale. Dar acest lucru nu era ilegal sau de natură să aducă atingere drepturilor prevăzute de Convenție. De fapt, toți membrii publicului aveau obligația legală de a aduce în atenția autorităților informații cu privire la fapte </w:t>
      </w:r>
      <w:r>
        <w:lastRenderedPageBreak/>
        <w:t>de natură penală de care au luat cunoștință. Același lucru era valabil pentru orice ofițer al Agenției care lua cunoștință despre săvârșirea unei infracțiuni îndreptate împotriva securității naționale. Prin urmare, activitatea „agenților cu identitate atribuită” nu putea fi considerată o formă de supraveghere secretă care impunea un control judiciar. În orice caz, controlul putea fi exercitat de Parlament și de Guvern, într-o manieră generală, precum și de instanțele judecătorești, în cazurile de comportament ilegal în legătură cu utilizarea unor „agenți cu identitate atribuită”.</w:t>
      </w:r>
    </w:p>
    <w:bookmarkStart w:id="46" w:name="F_Regs_2018_amnd_SANS_response_SBC"/>
    <w:p w:rsidR="00304BC9" w:rsidRDefault="00736C78" w:rsidP="00304BC9">
      <w:pPr>
        <w:pStyle w:val="JuPara"/>
      </w:pPr>
      <w:r>
        <w:fldChar w:fldCharType="begin"/>
      </w:r>
      <w:r>
        <w:instrText xml:space="preserve"> SEQ level0 \*arabic \* MERGEFORMAT </w:instrText>
      </w:r>
      <w:r>
        <w:fldChar w:fldCharType="separate"/>
      </w:r>
      <w:r w:rsidR="00F21D3F">
        <w:t>25</w:t>
      </w:r>
      <w:r>
        <w:fldChar w:fldCharType="end"/>
      </w:r>
      <w:bookmarkEnd w:id="46"/>
      <w:r>
        <w:t>. În continuare, Agenția a afirmat că rezervele Consiliului Superior al Baroului (a se vedea supra, pct. </w:t>
      </w:r>
      <w:r>
        <w:fldChar w:fldCharType="begin"/>
      </w:r>
      <w:r>
        <w:instrText xml:space="preserve"> REF  F_Regs_2018_amnd_SBC_opinion \h  \* MERGEFORMAT </w:instrText>
      </w:r>
      <w:r>
        <w:fldChar w:fldCharType="separate"/>
      </w:r>
      <w:r w:rsidR="00F21D3F">
        <w:t>21</w:t>
      </w:r>
      <w:r>
        <w:fldChar w:fldCharType="end"/>
      </w:r>
      <w:r>
        <w:t>) erau parțial întemeiate. Deși posibilitatea ca Agenția să infiltreze „agenți cu identitate atribuită” ca membri ai „profesiilor liberale” nu depășea, în general, mandatul conferit acesteia prin lege, situația era diferită în ceea ce privește în mod specific profesia de avocat. Chiar și la momentul formulării inițiale a modificărilor propuse, s-a convenit că „agenții cu identitate atribuită” nu puteau fi infiltrați ca avocați care își exercitau profesia în mod independent. În orice caz, era preferabil să se evite speculațiile cu privire la acest aspect. Așadar, era necesar să fie acceptată sugestia Consiliului Superior al Baroului ca modificările propuse să fie realizate astfel încât să se clarifice faptul că „agenții cu identitate atribuită” nu puteau fi infiltrați ca avocați care își exercitau profesia în mod independent. Proiectul de modificări a fost revizuit în consecință.</w:t>
      </w:r>
    </w:p>
    <w:p w:rsidR="00304BC9" w:rsidRDefault="00736C78" w:rsidP="00304BC9">
      <w:pPr>
        <w:pStyle w:val="JuHa0"/>
      </w:pPr>
      <w:bookmarkStart w:id="47" w:name="_Toc175214965"/>
      <w:bookmarkStart w:id="48" w:name="_Toc238743236"/>
      <w:r>
        <w:t>Adoptarea modificărilor</w:t>
      </w:r>
      <w:bookmarkEnd w:id="47"/>
      <w:bookmarkEnd w:id="48"/>
    </w:p>
    <w:bookmarkStart w:id="49" w:name="F_Regs_2018_amnd_GOV_adoption"/>
    <w:p w:rsidR="00304BC9" w:rsidRDefault="00736C78" w:rsidP="00304BC9">
      <w:pPr>
        <w:pStyle w:val="JuPara"/>
      </w:pPr>
      <w:r>
        <w:fldChar w:fldCharType="begin"/>
      </w:r>
      <w:r>
        <w:instrText xml:space="preserve"> SEQ level0 \*arabic \* MERGEFORMAT </w:instrText>
      </w:r>
      <w:r>
        <w:fldChar w:fldCharType="separate"/>
      </w:r>
      <w:r w:rsidR="00F21D3F">
        <w:t>26</w:t>
      </w:r>
      <w:r>
        <w:fldChar w:fldCharType="end"/>
      </w:r>
      <w:bookmarkEnd w:id="49"/>
      <w:r>
        <w:t xml:space="preserve">. În septembrie 2018, Guvernul a adoptat modificările, astfel cum au fost revizuite de Agenție ca răspuns la observațiile Consiliului Superior al Baroului. Ulterior, acestea au fost publicate în Monitorul Oficial al Bulgariei, în cursul lunii respective (a se vedea </w:t>
      </w:r>
      <w:r>
        <w:rPr>
          <w:i/>
        </w:rPr>
        <w:t>Постановление № 206 на Министерския съвет от 20.09.2018 г. за изменение и допълнение на Правилника за прилагане на Закона за Държавна агенция „Национална сигурност“, обн., ДВ, бр. 79 от 25.09.2018 г., стр. 3-4</w:t>
      </w:r>
      <w:r>
        <w:t xml:space="preserve">) și au intrat în vigoare la trei zile de la data publicării acestora [în conformitate cu norma generală prevăzută la articolul 5 </w:t>
      </w:r>
      <w:bookmarkStart w:id="50" w:name="_Hlk182757191"/>
      <w:r>
        <w:t>alineatul</w:t>
      </w:r>
      <w:bookmarkEnd w:id="50"/>
      <w:r>
        <w:t> (5) din Constituția Bulgariei și cu articolul 41 alineatele (3) și (4) din Legea din 1973 privind instrumentele normative].</w:t>
      </w:r>
    </w:p>
    <w:p w:rsidR="00304BC9" w:rsidRDefault="00736C78" w:rsidP="00304BC9">
      <w:pPr>
        <w:pStyle w:val="JuH1"/>
      </w:pPr>
      <w:bookmarkStart w:id="51" w:name="_Toc175214966"/>
      <w:bookmarkStart w:id="52" w:name="_Toc238743237"/>
      <w:r>
        <w:t>Textul modificărilor</w:t>
      </w:r>
      <w:bookmarkEnd w:id="51"/>
      <w:bookmarkEnd w:id="52"/>
    </w:p>
    <w:bookmarkStart w:id="53" w:name="F_Regs_2018_amnd"/>
    <w:p w:rsidR="00304BC9" w:rsidRDefault="00736C78" w:rsidP="00304BC9">
      <w:pPr>
        <w:pStyle w:val="JuPara"/>
      </w:pPr>
      <w:r>
        <w:fldChar w:fldCharType="begin"/>
      </w:r>
      <w:r>
        <w:instrText xml:space="preserve"> SEQ level0 \*arabic \* MERGEFORMAT </w:instrText>
      </w:r>
      <w:r>
        <w:fldChar w:fldCharType="separate"/>
      </w:r>
      <w:r w:rsidR="00F21D3F">
        <w:t>27</w:t>
      </w:r>
      <w:r>
        <w:fldChar w:fldCharType="end"/>
      </w:r>
      <w:bookmarkEnd w:id="53"/>
      <w:r>
        <w:t>. Modificările au presupus reformularea articolelor 50, 51 și 55 și abrogarea articolelor 56-58 (a se vedea supra, pct. </w:t>
      </w:r>
      <w:r>
        <w:fldChar w:fldCharType="begin"/>
      </w:r>
      <w:r>
        <w:instrText xml:space="preserve"> REF  F_Regs_r_50 \h  \* MERGEFORMAT </w:instrText>
      </w:r>
      <w:r>
        <w:fldChar w:fldCharType="separate"/>
      </w:r>
      <w:r w:rsidR="00F21D3F">
        <w:t>9</w:t>
      </w:r>
      <w:r>
        <w:fldChar w:fldCharType="end"/>
      </w:r>
      <w:r>
        <w:t>-</w:t>
      </w:r>
      <w:r>
        <w:fldChar w:fldCharType="begin"/>
      </w:r>
      <w:r>
        <w:instrText xml:space="preserve"> REF  F_Regs_r_51 \h  \* MERGEFORMAT </w:instrText>
      </w:r>
      <w:r>
        <w:fldChar w:fldCharType="separate"/>
      </w:r>
      <w:r w:rsidR="00F21D3F">
        <w:t>10</w:t>
      </w:r>
      <w:r>
        <w:fldChar w:fldCharType="end"/>
      </w:r>
      <w:r>
        <w:t xml:space="preserve"> și </w:t>
      </w:r>
      <w:r>
        <w:fldChar w:fldCharType="begin"/>
      </w:r>
      <w:r>
        <w:instrText xml:space="preserve"> REF  F_Regs_r_55 \h  \* MERGEFORMAT </w:instrText>
      </w:r>
      <w:r>
        <w:fldChar w:fldCharType="separate"/>
      </w:r>
      <w:r w:rsidR="00F21D3F">
        <w:t>14</w:t>
      </w:r>
      <w:r>
        <w:fldChar w:fldCharType="end"/>
      </w:r>
      <w:r>
        <w:t>-</w:t>
      </w:r>
      <w:r>
        <w:fldChar w:fldCharType="begin"/>
      </w:r>
      <w:r>
        <w:instrText xml:space="preserve"> REF  F_Regs_r_56_6_r_57_2_r_58_1 \h  \* MERGEFORMAT </w:instrText>
      </w:r>
      <w:r>
        <w:fldChar w:fldCharType="separate"/>
      </w:r>
      <w:r w:rsidR="00F21D3F">
        <w:t>16</w:t>
      </w:r>
      <w:r>
        <w:fldChar w:fldCharType="end"/>
      </w:r>
      <w:r>
        <w:t>).</w:t>
      </w:r>
    </w:p>
    <w:bookmarkStart w:id="54" w:name="F_Regs_2018_amnd_r_50"/>
    <w:p w:rsidR="00304BC9" w:rsidRDefault="00736C78" w:rsidP="00304BC9">
      <w:pPr>
        <w:pStyle w:val="JuPara"/>
      </w:pPr>
      <w:r>
        <w:fldChar w:fldCharType="begin"/>
      </w:r>
      <w:r>
        <w:instrText xml:space="preserve"> SEQ level0 \*arabic \* MERGEFORMAT </w:instrText>
      </w:r>
      <w:r>
        <w:fldChar w:fldCharType="separate"/>
      </w:r>
      <w:r w:rsidR="00F21D3F">
        <w:t>28</w:t>
      </w:r>
      <w:r>
        <w:fldChar w:fldCharType="end"/>
      </w:r>
      <w:bookmarkEnd w:id="54"/>
      <w:r>
        <w:t>. În conformitate cu noua formulare a articolului 50 (a se vedea supra, pct. </w:t>
      </w:r>
      <w:r>
        <w:fldChar w:fldCharType="begin"/>
      </w:r>
      <w:r>
        <w:instrText xml:space="preserve"> REF  F_Regs_r_50 \h  \* MERGEFORMAT </w:instrText>
      </w:r>
      <w:r>
        <w:fldChar w:fldCharType="separate"/>
      </w:r>
      <w:r w:rsidR="00F21D3F">
        <w:t>9</w:t>
      </w:r>
      <w:r>
        <w:fldChar w:fldCharType="end"/>
      </w:r>
      <w:r>
        <w:t>), „agenții cu identitate atribuită” pot fi infiltrați în cadrul administrației de stat, al entităților juridice și al asociațiilor societății civile, precum și ca persoane care exercită o „profesie liberală” (cu excepția avocaților care își exercită profesia în mod independent).</w:t>
      </w:r>
    </w:p>
    <w:bookmarkStart w:id="55" w:name="F_Regs_2018_amnd_r_51"/>
    <w:p w:rsidR="00304BC9" w:rsidRDefault="00736C78" w:rsidP="00304BC9">
      <w:pPr>
        <w:pStyle w:val="JuPara"/>
      </w:pPr>
      <w:r>
        <w:lastRenderedPageBreak/>
        <w:fldChar w:fldCharType="begin"/>
      </w:r>
      <w:r>
        <w:instrText xml:space="preserve"> SEQ level0 \*arabic \* MERGEFORMAT </w:instrText>
      </w:r>
      <w:r>
        <w:fldChar w:fldCharType="separate"/>
      </w:r>
      <w:r w:rsidR="00F21D3F">
        <w:t>29</w:t>
      </w:r>
      <w:r>
        <w:fldChar w:fldCharType="end"/>
      </w:r>
      <w:bookmarkEnd w:id="55"/>
      <w:r>
        <w:t>. Formularea articolului 51 (a se vedea supra, pct. </w:t>
      </w:r>
      <w:r>
        <w:fldChar w:fldCharType="begin"/>
      </w:r>
      <w:r>
        <w:instrText xml:space="preserve"> REF  F_Regs_r_51 \h  \* MERGEFORMAT </w:instrText>
      </w:r>
      <w:r>
        <w:fldChar w:fldCharType="separate"/>
      </w:r>
      <w:r w:rsidR="00F21D3F">
        <w:t>10</w:t>
      </w:r>
      <w:r>
        <w:fldChar w:fldCharType="end"/>
      </w:r>
      <w:r>
        <w:t>) a fost modificată astfel încât să se clarifice faptul că funcțiile în care putea fi infiltrat un „agent cu identitate atribuită” nu se limitau la cele din cadrul entităților publice.</w:t>
      </w:r>
    </w:p>
    <w:bookmarkStart w:id="56" w:name="F_Regs_2018_amnd_r_55"/>
    <w:p w:rsidR="00304BC9" w:rsidRDefault="00736C78" w:rsidP="00304BC9">
      <w:pPr>
        <w:pStyle w:val="JuPara"/>
      </w:pPr>
      <w:r>
        <w:fldChar w:fldCharType="begin"/>
      </w:r>
      <w:r>
        <w:instrText xml:space="preserve"> SEQ level0 \*arabic \* MERGEFORMAT </w:instrText>
      </w:r>
      <w:r>
        <w:fldChar w:fldCharType="separate"/>
      </w:r>
      <w:r w:rsidR="00F21D3F">
        <w:t>30</w:t>
      </w:r>
      <w:r>
        <w:fldChar w:fldCharType="end"/>
      </w:r>
      <w:bookmarkEnd w:id="56"/>
      <w:r>
        <w:t>. Articolul 55 (a se vedea supra, pct. </w:t>
      </w:r>
      <w:r>
        <w:fldChar w:fldCharType="begin"/>
      </w:r>
      <w:r>
        <w:instrText xml:space="preserve"> REF  F_Regs_r_55 \h  \* MERGEFORMAT </w:instrText>
      </w:r>
      <w:r>
        <w:fldChar w:fldCharType="separate"/>
      </w:r>
      <w:r w:rsidR="00F21D3F">
        <w:t>14</w:t>
      </w:r>
      <w:r>
        <w:fldChar w:fldCharType="end"/>
      </w:r>
      <w:r>
        <w:t>) a fost modificat doar pentru a preciza că era necesar ca ofițerii Agenției să fie infiltrați ca „agenți cu identitate atribuită” într-un mod care să permită prevenirea riscului ca acoperirea lor să fie expusă.</w:t>
      </w:r>
    </w:p>
    <w:p w:rsidR="00304BC9" w:rsidRDefault="00736C78" w:rsidP="00304BC9">
      <w:pPr>
        <w:pStyle w:val="JuHIRoman"/>
      </w:pPr>
      <w:bookmarkStart w:id="57" w:name="_Toc175214967"/>
      <w:bookmarkStart w:id="58" w:name="_Toc238743238"/>
      <w:r>
        <w:t>CONTROLUL JURISDICȚIONAL AL ARTICOLELOR MODIFICATE</w:t>
      </w:r>
      <w:bookmarkEnd w:id="57"/>
      <w:bookmarkEnd w:id="58"/>
    </w:p>
    <w:p w:rsidR="00304BC9" w:rsidRDefault="00736C78" w:rsidP="00304BC9">
      <w:pPr>
        <w:pStyle w:val="JuHA"/>
      </w:pPr>
      <w:bookmarkStart w:id="59" w:name="_Toc175214968"/>
      <w:bookmarkStart w:id="60" w:name="_Toc238743239"/>
      <w:r>
        <w:t>În primă instanță</w:t>
      </w:r>
      <w:bookmarkEnd w:id="59"/>
      <w:bookmarkEnd w:id="60"/>
    </w:p>
    <w:p w:rsidR="00304BC9" w:rsidRPr="00D31977" w:rsidRDefault="00736C78" w:rsidP="00304BC9">
      <w:pPr>
        <w:pStyle w:val="JuH1"/>
      </w:pPr>
      <w:bookmarkStart w:id="61" w:name="_Toc175214969"/>
      <w:bookmarkStart w:id="62" w:name="_Toc238743240"/>
      <w:r>
        <w:t>Desfășurarea procedurii</w:t>
      </w:r>
      <w:bookmarkEnd w:id="61"/>
      <w:bookmarkEnd w:id="62"/>
    </w:p>
    <w:bookmarkStart w:id="63" w:name="F_jud_rev_FI_claim"/>
    <w:p w:rsidR="00304BC9" w:rsidRDefault="00736C78" w:rsidP="00304BC9">
      <w:pPr>
        <w:pStyle w:val="JuPara"/>
      </w:pPr>
      <w:r>
        <w:fldChar w:fldCharType="begin"/>
      </w:r>
      <w:r>
        <w:instrText xml:space="preserve"> SEQ level0 \*arabic \* MERGEFORMAT </w:instrText>
      </w:r>
      <w:r>
        <w:fldChar w:fldCharType="separate"/>
      </w:r>
      <w:r w:rsidR="00F21D3F">
        <w:t>31</w:t>
      </w:r>
      <w:r>
        <w:fldChar w:fldCharType="end"/>
      </w:r>
      <w:bookmarkEnd w:id="63"/>
      <w:r>
        <w:t>. În octombrie 2018, asociația reclamantă a solicitat controlul jurisdicțional al articolelor 49-62, astfel cum au fost modificate parțial în septembrie 2018 (a se vedea supra, pct. </w:t>
      </w:r>
      <w:r>
        <w:fldChar w:fldCharType="begin"/>
      </w:r>
      <w:r>
        <w:instrText xml:space="preserve"> REF  F_Regs_made \h  \* MERGEFORMAT </w:instrText>
      </w:r>
      <w:r>
        <w:fldChar w:fldCharType="separate"/>
      </w:r>
      <w:r w:rsidR="00F21D3F">
        <w:t>6</w:t>
      </w:r>
      <w:r>
        <w:fldChar w:fldCharType="end"/>
      </w:r>
      <w:r>
        <w:t>-</w:t>
      </w:r>
      <w:r>
        <w:fldChar w:fldCharType="begin"/>
      </w:r>
      <w:r>
        <w:instrText xml:space="preserve"> REF  F_Regs_2018_amnd_r_55 \h  \* MERGEFORMAT </w:instrText>
      </w:r>
      <w:r>
        <w:fldChar w:fldCharType="separate"/>
      </w:r>
      <w:r w:rsidR="00F21D3F">
        <w:t>30</w:t>
      </w:r>
      <w:r>
        <w:fldChar w:fldCharType="end"/>
      </w:r>
      <w:r>
        <w:t>). Aceasta a subliniat că sintagma „agenți sub acoperire” era folosită în mod tradițional în legislație (mai exact, Legea din 1997) cu referire la agenții secreți [a se vedea infra, pct. </w:t>
      </w:r>
      <w:r>
        <w:fldChar w:fldCharType="begin"/>
      </w:r>
      <w:r>
        <w:instrText xml:space="preserve"> REF  RLF_SSMA_s_2 \h  \* MERGEFORMAT </w:instrText>
      </w:r>
      <w:r>
        <w:fldChar w:fldCharType="separate"/>
      </w:r>
      <w:r w:rsidR="00F21D3F">
        <w:t>74</w:t>
      </w:r>
      <w:r>
        <w:fldChar w:fldCharType="end"/>
      </w:r>
      <w:r>
        <w:t xml:space="preserve"> (</w:t>
      </w:r>
      <w:r>
        <w:fldChar w:fldCharType="begin"/>
      </w:r>
      <w:r>
        <w:instrText xml:space="preserve"> REF  RLF_SSMA_s_2_agents_under_cover \h  \* MERGEFORMAT </w:instrText>
      </w:r>
      <w:r>
        <w:fldChar w:fldCharType="separate"/>
      </w:r>
      <w:r w:rsidR="00F21D3F">
        <w:t>h</w:t>
      </w:r>
      <w:r>
        <w:fldChar w:fldCharType="end"/>
      </w:r>
      <w:r>
        <w:t xml:space="preserve">) și </w:t>
      </w:r>
      <w:r>
        <w:fldChar w:fldCharType="begin"/>
      </w:r>
      <w:r>
        <w:instrText xml:space="preserve"> REF  RLF_SSMA_s_10c_1 \h  \* MERGEFORMAT </w:instrText>
      </w:r>
      <w:r>
        <w:fldChar w:fldCharType="separate"/>
      </w:r>
      <w:r w:rsidR="00F21D3F">
        <w:t>75</w:t>
      </w:r>
      <w:r>
        <w:fldChar w:fldCharType="end"/>
      </w:r>
      <w:r>
        <w:t>], în timp ce sintagma „agenți cu identitate atribuită” putea fi identificată în legislație doar în cadrul a două dispoziții ale Legii din 2007 – articolul 35a și articolul 110 alineatul (1) punctul 7 litera (e) (a se vedea infra, pct. </w:t>
      </w:r>
      <w:r>
        <w:fldChar w:fldCharType="begin"/>
      </w:r>
      <w:r>
        <w:instrText xml:space="preserve"> REF  RLF_SANSA_agents_in_cover \h  \* MERGEFORMAT </w:instrText>
      </w:r>
      <w:r>
        <w:fldChar w:fldCharType="separate"/>
      </w:r>
      <w:r w:rsidR="00F21D3F">
        <w:t>48</w:t>
      </w:r>
      <w:r>
        <w:fldChar w:fldCharType="end"/>
      </w:r>
      <w:r>
        <w:t>) – această noțiune nefiind însă definită sau clarificată în vreun fel în dispozițiile respective. Prin urmare, nu exista nicio delegare conferită în mod corespunzător prin lege, care să permită Guvernului să adopte regulamente referitoare în mod specific la „agenții cu identitate atribuită”. Activitatea unor astfel de agenți putea, fără îndoială, să afecteze drepturile garantate de art. 8 din Convenție, întrucât aceștia puteau avea acces în secret la informațiile sau comunicările interne ale oricărei organizații sau puteau să supravegheze în secret personalul acesteia. Absența unor norme prevăzute de lege care să reglementeze această activitate și, în consecință, lipsa unor garanții împotriva folosirii abuzive a „agenților cu identitate atribuită” însemna că recurgerea la aceștia nu era „prevăzută de lege”. Singura modalitate de a asigura respectarea acestei dispoziții – în special prin limitarea corespunzătoare a perioadei în care putea să aibă loc o astfel de ingerință în exercitarea unor drepturi – era aceea de a supune recurgerea la „agenți cu identitate atribuită” unui control judiciar. În plus, înainte de adoptarea regulamentului, Guvernul nu a explicat în mod corespunzător scopul și efectele preconizate ale acestuia – în special în ceea ce privește drepturile protejate de art. 8 din Convenție, astfel cum au fost interpretate de Curte.</w:t>
      </w:r>
    </w:p>
    <w:bookmarkStart w:id="64" w:name="F_jud_rev_FI_response_SANS"/>
    <w:p w:rsidR="00304BC9" w:rsidRDefault="00736C78" w:rsidP="00304BC9">
      <w:pPr>
        <w:pStyle w:val="JuPara"/>
      </w:pPr>
      <w:r>
        <w:fldChar w:fldCharType="begin"/>
      </w:r>
      <w:r>
        <w:instrText xml:space="preserve"> SEQ level0 \*arabic \* MERGEFORMAT </w:instrText>
      </w:r>
      <w:r>
        <w:fldChar w:fldCharType="separate"/>
      </w:r>
      <w:r w:rsidR="00F21D3F">
        <w:t>32</w:t>
      </w:r>
      <w:r>
        <w:fldChar w:fldCharType="end"/>
      </w:r>
      <w:bookmarkEnd w:id="64"/>
      <w:r>
        <w:t>. Agenția, care a intervenit în cadrul procedurii în calitate de parte interesată, a contestat cererea. Aceasta a susținut, în primul rând, că respectiva cerere era inadmisibilă, deoarece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xml:space="preserve">) regulamentul nu privea o chestiune care intra sub incidența obiectivelor asociației reclamante, astfel </w:t>
      </w:r>
      <w:r>
        <w:lastRenderedPageBreak/>
        <w:t>cum erau prevăzute în statutul său, (</w:t>
      </w:r>
      <w:r w:rsidR="00C56213">
        <w:fldChar w:fldCharType="begin"/>
      </w:r>
      <w:r w:rsidR="00C56213">
        <w:instrText xml:space="preserve"> SEQ level1 \*alphabetic \*</w:instrText>
      </w:r>
      <w:r w:rsidR="00C56213">
        <w:instrText xml:space="preserve"> MERGEFORMAT </w:instrText>
      </w:r>
      <w:r w:rsidR="00C56213">
        <w:fldChar w:fldCharType="separate"/>
      </w:r>
      <w:r w:rsidR="00F21D3F">
        <w:rPr>
          <w:noProof/>
        </w:rPr>
        <w:t>b</w:t>
      </w:r>
      <w:r w:rsidR="00C56213">
        <w:rPr>
          <w:noProof/>
        </w:rPr>
        <w:fldChar w:fldCharType="end"/>
      </w:r>
      <w:r>
        <w:t>) regulamentul permitea – dar nu impunea – infiltrarea de „agenți cu identitate atribuită” în cadrul tuturor entităților juridice și (</w:t>
      </w:r>
      <w:r w:rsidR="00C56213">
        <w:fldChar w:fldCharType="begin"/>
      </w:r>
      <w:r w:rsidR="00C56213">
        <w:instrText xml:space="preserve"> SEQ level1 \*alphabetic \* MERGEFORMAT </w:instrText>
      </w:r>
      <w:r w:rsidR="00C56213">
        <w:fldChar w:fldCharType="separate"/>
      </w:r>
      <w:r w:rsidR="00F21D3F">
        <w:rPr>
          <w:noProof/>
        </w:rPr>
        <w:t>c</w:t>
      </w:r>
      <w:r w:rsidR="00C56213">
        <w:rPr>
          <w:noProof/>
        </w:rPr>
        <w:fldChar w:fldCharType="end"/>
      </w:r>
      <w:r>
        <w:t>) spre deosebire de „agenții sub acoperire”, reglementați de Legea din 1997 (a se vedea infra, pct. </w:t>
      </w:r>
      <w:r>
        <w:fldChar w:fldCharType="begin"/>
      </w:r>
      <w:r>
        <w:instrText xml:space="preserve"> REF  RLF_SSMA_s_2 \h  \* MERGEFORMAT </w:instrText>
      </w:r>
      <w:r>
        <w:fldChar w:fldCharType="separate"/>
      </w:r>
      <w:r w:rsidR="00F21D3F">
        <w:t>74</w:t>
      </w:r>
      <w:r>
        <w:fldChar w:fldCharType="end"/>
      </w:r>
      <w:r>
        <w:t xml:space="preserve"> lit. (</w:t>
      </w:r>
      <w:r>
        <w:fldChar w:fldCharType="begin"/>
      </w:r>
      <w:r>
        <w:instrText xml:space="preserve"> REF  RLF_SSMA_s_2_agents_under_cover \h  \* MERGEFORMAT </w:instrText>
      </w:r>
      <w:r>
        <w:fldChar w:fldCharType="separate"/>
      </w:r>
      <w:r w:rsidR="00F21D3F">
        <w:t>h</w:t>
      </w:r>
      <w:r>
        <w:fldChar w:fldCharType="end"/>
      </w:r>
      <w:r>
        <w:t xml:space="preserve">) și </w:t>
      </w:r>
      <w:r>
        <w:fldChar w:fldCharType="begin"/>
      </w:r>
      <w:r>
        <w:instrText xml:space="preserve"> REF  RLF_SSMA_s_10c_1 \h  \* MERGEFORMAT </w:instrText>
      </w:r>
      <w:r>
        <w:fldChar w:fldCharType="separate"/>
      </w:r>
      <w:r w:rsidR="00F21D3F">
        <w:t>75</w:t>
      </w:r>
      <w:r>
        <w:fldChar w:fldCharType="end"/>
      </w:r>
      <w:r>
        <w:t>), „agenților cu identitate atribuită” nu li se permitea să realizeze o supraveghere vizuală sau auditivă. În subsidiar, cererea era nefondată, întrucât scopul regulamentului modificat a fost explicat în cursul consultării publice care a precedat adoptarea modificărilor. În cerere se făcea confuzie între „agenții sub acoperire” și „agenții cu identitate atribuită”. Regulamentul urmărea un scop legitim prevăzut de lege și se încadra în limitele delegării prevăzute de Legea din 2007 – care, la articolul 123 alineatul (2) punctul 6 (a se vedea infra, pct. </w:t>
      </w:r>
      <w:r>
        <w:fldChar w:fldCharType="begin"/>
      </w:r>
      <w:r>
        <w:instrText xml:space="preserve"> REF  RLF_SANSA_s_123_2_6 \h  \* MERGEFORMAT </w:instrText>
      </w:r>
      <w:r>
        <w:fldChar w:fldCharType="separate"/>
      </w:r>
      <w:r w:rsidR="00F21D3F">
        <w:t>49</w:t>
      </w:r>
      <w:r>
        <w:fldChar w:fldCharType="end"/>
      </w:r>
      <w:r>
        <w:t>), conferea Agenției competența de a asigura caracterul confidențial al identității ofițerilor săi și al activității desfășurate de aceștia, în modul stabilit în regulamentul de aplicare a legii. Nu se ridica nicio problemă din perspectiva art. 8 din Convenție, întrucât activitatea „agenților cu identitate atribuită” nu presupunea o ingerință ilegală în exercitarea dreptului la respectarea vieții private, a domiciliului sau a corespondenței. În orice caz, activitatea acestor agenți putea fi supusă unui control extern – exista fie posibilitatea ca această activitate să fie controlată de Parlament și de Guvern, în urma unor sesizări adresate direct Agenției de către membri ai publicului, fie posibilitatea de a solicita controlul jurisdicțional al oricăror decizii ale Agenției.</w:t>
      </w:r>
    </w:p>
    <w:bookmarkStart w:id="65" w:name="F_jud_rev_FI_response_GOV"/>
    <w:p w:rsidR="00304BC9" w:rsidRDefault="00736C78" w:rsidP="00304BC9">
      <w:pPr>
        <w:pStyle w:val="JuPara"/>
      </w:pPr>
      <w:r w:rsidRPr="00C462F6">
        <w:fldChar w:fldCharType="begin"/>
      </w:r>
      <w:r w:rsidRPr="00C462F6">
        <w:instrText xml:space="preserve"> SEQ level0 \*arabic \* MERGEFORMAT </w:instrText>
      </w:r>
      <w:r w:rsidRPr="00C462F6">
        <w:fldChar w:fldCharType="separate"/>
      </w:r>
      <w:r w:rsidR="00F21D3F">
        <w:t>33</w:t>
      </w:r>
      <w:r w:rsidRPr="00C462F6">
        <w:fldChar w:fldCharType="end"/>
      </w:r>
      <w:bookmarkEnd w:id="65"/>
      <w:r>
        <w:t xml:space="preserve">. </w:t>
      </w:r>
      <w:bookmarkStart w:id="66" w:name="_Hlk182835983"/>
      <w:r>
        <w:t>Guvernul, în calitate de pârât în cauză, a susținut de asemenea că cererea era inadmisibilă – și, în subsidiar, nefondată – invocând argumente similare, în esență, celor prezentate de Agenție.</w:t>
      </w:r>
      <w:bookmarkEnd w:id="66"/>
    </w:p>
    <w:bookmarkStart w:id="67" w:name="F_jud_rev_FI_dec_SAC_10_09_2019"/>
    <w:p w:rsidR="00304BC9" w:rsidRDefault="00736C78" w:rsidP="00304BC9">
      <w:pPr>
        <w:pStyle w:val="JuPara"/>
      </w:pPr>
      <w:r>
        <w:fldChar w:fldCharType="begin"/>
      </w:r>
      <w:r>
        <w:instrText xml:space="preserve"> SEQ level0 \*arabic \* MERGEFORMAT </w:instrText>
      </w:r>
      <w:r>
        <w:fldChar w:fldCharType="separate"/>
      </w:r>
      <w:r w:rsidR="00F21D3F">
        <w:t>34</w:t>
      </w:r>
      <w:r>
        <w:fldChar w:fldCharType="end"/>
      </w:r>
      <w:bookmarkEnd w:id="67"/>
      <w:r>
        <w:t xml:space="preserve">. În septembrie 2019, completul de trei judecători al Curții Administrative Supreme, căruia i-a fost atribuită cererea, a statuat că, având în vedere obiectivele sale declarate (astfel cum sunt prevăzute în statutul său), asociația nu avea calitate procesuală activă pentru a contesta regulamentul. Organizațiile neguvernamentale puteau contesta acte normative numai în cazul în care actele respective afectau în mod direct și automat obiectivele acestora. Nu acesta era cazul regulamentului în discuție, care permitea (dar nu avea ca efect în mod automat) recurgerea la „agenți cu identitate atribuită” în cadrul organizațiilor neguvernamentale (a se vedea </w:t>
      </w:r>
      <w:r>
        <w:rPr>
          <w:i/>
        </w:rPr>
        <w:t>опр. № 12167 от 10.09.2019 г. по адм. д. № 13588/2018 г., ВАС, II о.</w:t>
      </w:r>
      <w:r>
        <w:t>).</w:t>
      </w:r>
    </w:p>
    <w:bookmarkStart w:id="68" w:name="F_jud_rev_FI_dec_SAC_10_09_2019_appeal"/>
    <w:p w:rsidR="00304BC9" w:rsidRPr="00E32E68" w:rsidRDefault="00736C78" w:rsidP="00304BC9">
      <w:pPr>
        <w:pStyle w:val="JuPara"/>
      </w:pPr>
      <w:r>
        <w:fldChar w:fldCharType="begin"/>
      </w:r>
      <w:r>
        <w:instrText xml:space="preserve"> SEQ level0 \*arabic \* MERGEFORMAT </w:instrText>
      </w:r>
      <w:r>
        <w:fldChar w:fldCharType="separate"/>
      </w:r>
      <w:r w:rsidR="00F21D3F">
        <w:t>35</w:t>
      </w:r>
      <w:r>
        <w:fldChar w:fldCharType="end"/>
      </w:r>
      <w:bookmarkEnd w:id="68"/>
      <w:r>
        <w:t>. În urma unui apel formulat de Agenție, în decembrie 2019, un complet de cinci judecători al Curții Administrative Supreme a desființat hotărârea respectivă și a trimis cauza spre rejudecare completului de trei judecători, pentru examinarea fondului. Aceasta a considerat că, în măsura în care permitea folosirea de „agenți cu identitate atribuită” în cadrul organizațiilor neguvernamentale, regulamentul afecta în mod direct cadrul juridic al asociației. Obiectivele sale specifice nu erau relevante în această privință (a se vedea опр.</w:t>
      </w:r>
      <w:r>
        <w:rPr>
          <w:i/>
        </w:rPr>
        <w:t xml:space="preserve"> № 16975 от 11.12.2019 г. по адм. д. </w:t>
      </w:r>
      <w:r>
        <w:t>№ 12578/2019 г., ВАС, петчл. с-в).</w:t>
      </w:r>
    </w:p>
    <w:p w:rsidR="00304BC9" w:rsidRDefault="00736C78" w:rsidP="00304BC9">
      <w:pPr>
        <w:pStyle w:val="JuH1"/>
      </w:pPr>
      <w:bookmarkStart w:id="69" w:name="_Toc175214970"/>
      <w:bookmarkStart w:id="70" w:name="_Toc238743241"/>
      <w:r>
        <w:lastRenderedPageBreak/>
        <w:t>Hotărârea Curții Administrative Supreme</w:t>
      </w:r>
      <w:bookmarkEnd w:id="69"/>
      <w:bookmarkEnd w:id="70"/>
    </w:p>
    <w:bookmarkStart w:id="71" w:name="F_jud_rev_FI_hearing_SAC_09_06_2020"/>
    <w:p w:rsidR="00304BC9" w:rsidRPr="00E46BDA" w:rsidRDefault="00736C78" w:rsidP="00304BC9">
      <w:pPr>
        <w:pStyle w:val="JuPara"/>
      </w:pPr>
      <w:r>
        <w:fldChar w:fldCharType="begin"/>
      </w:r>
      <w:r>
        <w:instrText xml:space="preserve"> SEQ level0 \*arabic \* MERGEFORMAT </w:instrText>
      </w:r>
      <w:r>
        <w:fldChar w:fldCharType="separate"/>
      </w:r>
      <w:r w:rsidR="00F21D3F">
        <w:t>36</w:t>
      </w:r>
      <w:r>
        <w:fldChar w:fldCharType="end"/>
      </w:r>
      <w:bookmarkEnd w:id="71"/>
      <w:r>
        <w:t>. Completul de trei judecători a examinat apoi cererea pe fond. Asociația reclamantă, Agenția și Guvernul au făcut referire la observațiile lor anterioare cu privire la fondul cauzei (a se vedea supra, pct. </w:t>
      </w:r>
      <w:r>
        <w:fldChar w:fldCharType="begin"/>
      </w:r>
      <w:r>
        <w:instrText xml:space="preserve"> REF  F_jud_rev_FI_claim \h  \* MERGEFORMAT </w:instrText>
      </w:r>
      <w:r>
        <w:fldChar w:fldCharType="separate"/>
      </w:r>
      <w:r w:rsidR="00F21D3F">
        <w:t>31</w:t>
      </w:r>
      <w:r>
        <w:fldChar w:fldCharType="end"/>
      </w:r>
      <w:r>
        <w:t>-</w:t>
      </w:r>
      <w:r>
        <w:fldChar w:fldCharType="begin"/>
      </w:r>
      <w:r>
        <w:instrText xml:space="preserve"> REF  F_jud_rev_FI_response_GOV \h  \* MERGEFORMAT </w:instrText>
      </w:r>
      <w:r>
        <w:fldChar w:fldCharType="separate"/>
      </w:r>
      <w:r w:rsidR="00F21D3F">
        <w:t>33</w:t>
      </w:r>
      <w:r>
        <w:fldChar w:fldCharType="end"/>
      </w:r>
      <w:r>
        <w:t>).</w:t>
      </w:r>
    </w:p>
    <w:bookmarkStart w:id="72" w:name="F_jud_rev_FI_jud_SAC_21_12_2020"/>
    <w:p w:rsidR="00304BC9" w:rsidRDefault="00736C78" w:rsidP="00304BC9">
      <w:pPr>
        <w:pStyle w:val="JuPara"/>
      </w:pPr>
      <w:r>
        <w:fldChar w:fldCharType="begin"/>
      </w:r>
      <w:r>
        <w:instrText xml:space="preserve"> SEQ level0 \*arabic \* MERGEFORMAT </w:instrText>
      </w:r>
      <w:r>
        <w:fldChar w:fldCharType="separate"/>
      </w:r>
      <w:r w:rsidR="00F21D3F">
        <w:t>37</w:t>
      </w:r>
      <w:r>
        <w:fldChar w:fldCharType="end"/>
      </w:r>
      <w:bookmarkEnd w:id="72"/>
      <w:r>
        <w:t>. În decembrie 2020, completul de trei judecători a respins cererea. Acesta a luat act de faptul că Legea din 2007 a împuternicit Guvernul să adopte regulamente de aplicare a acesteia, ceea ce, în opinia completului, însemna că regulamentul contestat se întemeia pe o delegare conferită în mod corespunzător prin lege. Procedura de adoptare a regulamentului a fost respectată, iar acesta nu contravenea niciunei norme de rang superior. În special, articolele 49-62 erau pe deplin conforme cu articolul 123 alineatul (2) punctul 6 din Legea din 2007, care autoriza Agenția să își plaseze ofițerii sub acoperire și să organizeze activitatea lor secretă în maniera prevăzută de regulamentul (și anume, articolele 49-62) de aplicare a legii (a se vedea infra, pct. </w:t>
      </w:r>
      <w:r>
        <w:fldChar w:fldCharType="begin"/>
      </w:r>
      <w:r>
        <w:instrText xml:space="preserve"> REF  RLF_SANSA_s_123_2_6 \h  \* MERGEFORMAT </w:instrText>
      </w:r>
      <w:r>
        <w:fldChar w:fldCharType="separate"/>
      </w:r>
      <w:r w:rsidR="00F21D3F">
        <w:t>49</w:t>
      </w:r>
      <w:r>
        <w:fldChar w:fldCharType="end"/>
      </w:r>
      <w:r>
        <w:t>). Articolul 110 alineatul (1) punctul 7 litera (e) făcea referire, de asemenea, la „agenți cu identitate atribuită” [a se vedea infra, pct. </w:t>
      </w:r>
      <w:r>
        <w:fldChar w:fldCharType="begin"/>
      </w:r>
      <w:r>
        <w:instrText xml:space="preserve"> REF  RLF_SANSA_agents_in_cover \h  \* MERGEFORMAT </w:instrText>
      </w:r>
      <w:r>
        <w:fldChar w:fldCharType="separate"/>
      </w:r>
      <w:r w:rsidR="00F21D3F">
        <w:t>48</w:t>
      </w:r>
      <w:r>
        <w:fldChar w:fldCharType="end"/>
      </w:r>
      <w:r>
        <w:t xml:space="preserve"> lit. (</w:t>
      </w:r>
      <w:r>
        <w:fldChar w:fldCharType="begin"/>
      </w:r>
      <w:r>
        <w:instrText xml:space="preserve"> REF  RLF_SANSA_agents_in_cover_s_110_1_7_e \h  \* MERGEFORMAT </w:instrText>
      </w:r>
      <w:r>
        <w:fldChar w:fldCharType="separate"/>
      </w:r>
      <w:r w:rsidR="00F21D3F">
        <w:t>b</w:t>
      </w:r>
      <w:r>
        <w:fldChar w:fldCharType="end"/>
      </w:r>
      <w:r>
        <w:t>)]. Niciuna dintre aceste dispoziții nu era incompatibilă cu vreuna dintre aceste dispoziții (a se vedea реш.</w:t>
      </w:r>
      <w:r>
        <w:rPr>
          <w:i/>
        </w:rPr>
        <w:t xml:space="preserve"> № 15819 от 21.12.2020 г. по адм. д. </w:t>
      </w:r>
      <w:r>
        <w:t>№ 13588/2018 г., ВАС, II о.).</w:t>
      </w:r>
    </w:p>
    <w:p w:rsidR="00304BC9" w:rsidRDefault="00736C78" w:rsidP="00304BC9">
      <w:pPr>
        <w:pStyle w:val="JuHA"/>
      </w:pPr>
      <w:bookmarkStart w:id="73" w:name="_Toc175214971"/>
      <w:bookmarkStart w:id="74" w:name="_Toc238743242"/>
      <w:r>
        <w:t>În recurs</w:t>
      </w:r>
      <w:bookmarkEnd w:id="73"/>
      <w:bookmarkEnd w:id="74"/>
    </w:p>
    <w:p w:rsidR="00304BC9" w:rsidRPr="00EC73E4" w:rsidRDefault="00736C78" w:rsidP="00304BC9">
      <w:pPr>
        <w:pStyle w:val="JuH1"/>
      </w:pPr>
      <w:bookmarkStart w:id="75" w:name="_Toc175214972"/>
      <w:bookmarkStart w:id="76" w:name="_Toc238743243"/>
      <w:r>
        <w:t>Desfășurarea procedurii</w:t>
      </w:r>
      <w:bookmarkEnd w:id="75"/>
      <w:bookmarkEnd w:id="76"/>
    </w:p>
    <w:bookmarkStart w:id="77" w:name="F_jud_rev_APP_appeal"/>
    <w:p w:rsidR="00304BC9" w:rsidRDefault="00736C78" w:rsidP="00304BC9">
      <w:pPr>
        <w:pStyle w:val="JuPara"/>
      </w:pPr>
      <w:r>
        <w:fldChar w:fldCharType="begin"/>
      </w:r>
      <w:r>
        <w:instrText xml:space="preserve"> SEQ level0 \*arabic \* MERGEFORMAT </w:instrText>
      </w:r>
      <w:r>
        <w:fldChar w:fldCharType="separate"/>
      </w:r>
      <w:r w:rsidR="00F21D3F">
        <w:t>38</w:t>
      </w:r>
      <w:r>
        <w:fldChar w:fldCharType="end"/>
      </w:r>
      <w:bookmarkEnd w:id="77"/>
      <w:r>
        <w:t>. Asociația reclamantă a declarat recurs. Aceasta a susținut că respectivul complet de trei judecători nu a examinat în mod corespunzător argumentul său potrivit căruia regulamentul a fost adoptat fără o delegare conferită în mod corespunzător prin lege întrucât nici Legea din 2007 nu a definit „agenții cu identitate atribuită” și nici nu a stabilit rolul acestora. În plus, în temeiul art. 8 din Convenție și al jurisprudenței Curții, era necesar ca ingerințele de tipul celor rezultate din folosirea de „agenți cu identitate atribuită” să fie însoțite de garanții efective. Legea din 1997 a prevăzut numeroase garanții de acest tip – în special controlul judiciar – în privința „mijloacelor speciale de supraveghere”. Întrucât activitatea „agenților cu identitate atribuită” putea, de asemenea, să genereze ingerințe în exercitarea dreptului la respectarea „vieții private” și a „corespondenței” – în special de către persoanele care lucrau în cadrul entităților în care urmau să fie infiltrați astfel de agenți – era necesar să se prevadă garanții și în privința acestor agenți, ele nefiind incompatibile cu natura secretă a activității agenților respectivi. Nu exista niciun motiv întemeiat pentru a face distincție, în această privință, între „agenții sub acoperire”, reglementați de Legea din 1997, și „agenții cu identitate atribuită”, reglementați de regulament.</w:t>
      </w:r>
    </w:p>
    <w:bookmarkStart w:id="78" w:name="F_jud_rev_APP_responses_SANS_GOV"/>
    <w:p w:rsidR="00304BC9" w:rsidRDefault="00736C78" w:rsidP="00304BC9">
      <w:pPr>
        <w:pStyle w:val="JuPara"/>
      </w:pPr>
      <w:r>
        <w:lastRenderedPageBreak/>
        <w:fldChar w:fldCharType="begin"/>
      </w:r>
      <w:r>
        <w:instrText xml:space="preserve"> SEQ level0 \*arabic \* MERGEFORMAT </w:instrText>
      </w:r>
      <w:r>
        <w:fldChar w:fldCharType="separate"/>
      </w:r>
      <w:r w:rsidR="00F21D3F">
        <w:t>39</w:t>
      </w:r>
      <w:r>
        <w:fldChar w:fldCharType="end"/>
      </w:r>
      <w:bookmarkEnd w:id="78"/>
      <w:r>
        <w:t>. Agenția și Guvernul au contestat recursul, făcând referire la aceleași argumente pe care le-au prezentat în fața completului de trei judecători (a se vedea supra, pct. </w:t>
      </w:r>
      <w:r>
        <w:fldChar w:fldCharType="begin"/>
      </w:r>
      <w:r>
        <w:instrText xml:space="preserve"> REF  F_jud_rev_FI_response_SANS \h  \* MERGEFORMAT </w:instrText>
      </w:r>
      <w:r>
        <w:fldChar w:fldCharType="separate"/>
      </w:r>
      <w:r w:rsidR="00F21D3F">
        <w:t>32</w:t>
      </w:r>
      <w:r>
        <w:fldChar w:fldCharType="end"/>
      </w:r>
      <w:r>
        <w:t>-</w:t>
      </w:r>
      <w:r>
        <w:fldChar w:fldCharType="begin"/>
      </w:r>
      <w:r>
        <w:instrText xml:space="preserve"> REF  F_jud_rev_FI_response_GOV \h  \* MERGEFORMAT </w:instrText>
      </w:r>
      <w:r>
        <w:fldChar w:fldCharType="separate"/>
      </w:r>
      <w:r w:rsidR="00F21D3F">
        <w:t>33</w:t>
      </w:r>
      <w:r>
        <w:fldChar w:fldCharType="end"/>
      </w:r>
      <w:r>
        <w:t>).</w:t>
      </w:r>
    </w:p>
    <w:p w:rsidR="00304BC9" w:rsidRDefault="00736C78" w:rsidP="00304BC9">
      <w:pPr>
        <w:pStyle w:val="JuH1"/>
      </w:pPr>
      <w:bookmarkStart w:id="79" w:name="_Toc175214973"/>
      <w:bookmarkStart w:id="80" w:name="_Toc238743244"/>
      <w:r>
        <w:t>Hotărârea Curții Administrative Supreme</w:t>
      </w:r>
      <w:bookmarkEnd w:id="79"/>
      <w:bookmarkEnd w:id="80"/>
    </w:p>
    <w:bookmarkStart w:id="81" w:name="F_jud_rev_APP_jud_SAC_19_07_2021"/>
    <w:p w:rsidR="00304BC9" w:rsidRPr="00E32E68" w:rsidRDefault="00736C78" w:rsidP="00304BC9">
      <w:pPr>
        <w:pStyle w:val="JuPara"/>
      </w:pPr>
      <w:r>
        <w:fldChar w:fldCharType="begin"/>
      </w:r>
      <w:r>
        <w:instrText xml:space="preserve"> SEQ level0 \*arabic \* MERGEFORMAT </w:instrText>
      </w:r>
      <w:r>
        <w:fldChar w:fldCharType="separate"/>
      </w:r>
      <w:r w:rsidR="00F21D3F">
        <w:t>40</w:t>
      </w:r>
      <w:r>
        <w:fldChar w:fldCharType="end"/>
      </w:r>
      <w:bookmarkEnd w:id="81"/>
      <w:r>
        <w:t>. La 19 iulie 2021, un complet de cinci judecători al Curții Administrative Supreme a confirmat hotărârea completului de trei judecători.</w:t>
      </w:r>
      <w:bookmarkStart w:id="82" w:name="_Hlk131419171"/>
      <w:r>
        <w:t xml:space="preserve"> Acesta a fost de acord cu faptul că regulamentul contestat se întemeia pe o delegare conferită în mod corespunzător prin lege. În continuare, a precizat că legea făcea distincție între „agenții sub acoperire” și „agenții cu identitate atribuită”. În urma unei analize a dispozițiilor legale care reglementau utilizarea „mijloacelor speciale de supraveghere”, s-a constatat că, spre deosebire de „agenții sub acoperire”, „agenții cu identitate atribuită” nu puteau folosi astfel de mijloace. Rezulta că argumentul întemeiat pe Legea din 1997 (a se vedea infra, pct. </w:t>
      </w:r>
      <w:r>
        <w:fldChar w:fldCharType="begin"/>
      </w:r>
      <w:r>
        <w:instrText xml:space="preserve"> REF  RLF_SSMA \h  \* MERGEFORMAT </w:instrText>
      </w:r>
      <w:r>
        <w:fldChar w:fldCharType="separate"/>
      </w:r>
      <w:r w:rsidR="00F21D3F">
        <w:t>73</w:t>
      </w:r>
      <w:r>
        <w:fldChar w:fldCharType="end"/>
      </w:r>
      <w:r>
        <w:t>-</w:t>
      </w:r>
      <w:r>
        <w:fldChar w:fldCharType="begin"/>
      </w:r>
      <w:r>
        <w:instrText xml:space="preserve"> REF  RLF_SSMA_s_10c_1 \h  \* MERGEFORMAT </w:instrText>
      </w:r>
      <w:r>
        <w:fldChar w:fldCharType="separate"/>
      </w:r>
      <w:r w:rsidR="00F21D3F">
        <w:t>75</w:t>
      </w:r>
      <w:r>
        <w:fldChar w:fldCharType="end"/>
      </w:r>
      <w:r>
        <w:t>), potrivit căruia orice recurgere la „agenți cu identitate atribuită” trebuia să facă obiectul unei autorizări judiciare prealabile (astfel cum prevedea Legea din 1997 cu privire la „mijloacele speciale de supraveghere”), era nefondat. În plus, având în vedere formularea articolului 50 (a se vedea supra, pct. </w:t>
      </w:r>
      <w:r>
        <w:fldChar w:fldCharType="begin"/>
      </w:r>
      <w:r>
        <w:instrText xml:space="preserve"> REF  F_Regs_2018_amnd_r_50 \h  \* MERGEFORMAT </w:instrText>
      </w:r>
      <w:r>
        <w:fldChar w:fldCharType="separate"/>
      </w:r>
      <w:r w:rsidR="00F21D3F">
        <w:t>28</w:t>
      </w:r>
      <w:r>
        <w:fldChar w:fldCharType="end"/>
      </w:r>
      <w:r>
        <w:t>), activitatea unui „agent cu identitate atribuită” nu putea să aducă atingere dreptului unei persoane la respectarea vieții private, a domiciliului sau a corespondenței. Afirmația potrivit căreia regulamentul contravenea art. 8 din Convenție era așadar nefondată (a se vedea реш.</w:t>
      </w:r>
      <w:r>
        <w:rPr>
          <w:i/>
        </w:rPr>
        <w:t xml:space="preserve"> № 8672 от 19.07.2021 г. по адм. д. </w:t>
      </w:r>
      <w:bookmarkEnd w:id="82"/>
      <w:r>
        <w:t>№ 2863/2021 г., ВАС, петчл. с-в).</w:t>
      </w:r>
    </w:p>
    <w:p w:rsidR="00304BC9" w:rsidRDefault="00736C78" w:rsidP="00304BC9">
      <w:pPr>
        <w:pStyle w:val="JuHHead"/>
      </w:pPr>
      <w:bookmarkStart w:id="83" w:name="_Toc175214974"/>
      <w:bookmarkStart w:id="84" w:name="_Toc238743245"/>
      <w:r>
        <w:t>CADRUL JURIDIC RELEVANT</w:t>
      </w:r>
      <w:bookmarkEnd w:id="83"/>
      <w:bookmarkEnd w:id="84"/>
    </w:p>
    <w:p w:rsidR="00304BC9" w:rsidRDefault="00736C78" w:rsidP="0011320E">
      <w:pPr>
        <w:pStyle w:val="JuHIRoman"/>
      </w:pPr>
      <w:bookmarkStart w:id="85" w:name="_Toc175214975"/>
      <w:bookmarkStart w:id="86" w:name="_Toc238743246"/>
      <w:r>
        <w:t>LEGEA DIN 2007</w:t>
      </w:r>
      <w:bookmarkEnd w:id="85"/>
      <w:bookmarkEnd w:id="86"/>
    </w:p>
    <w:p w:rsidR="00304BC9" w:rsidRDefault="00736C78" w:rsidP="00304BC9">
      <w:pPr>
        <w:pStyle w:val="JuHA"/>
      </w:pPr>
      <w:bookmarkStart w:id="87" w:name="_Toc174910358"/>
      <w:bookmarkStart w:id="88" w:name="_Toc238743247"/>
      <w:r>
        <w:t>Agenția, atribuțiile și competențele sale</w:t>
      </w:r>
      <w:bookmarkEnd w:id="87"/>
      <w:bookmarkEnd w:id="88"/>
    </w:p>
    <w:bookmarkStart w:id="89" w:name="RLF_SANSA"/>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41</w:t>
      </w:r>
      <w:r w:rsidRPr="00625CAB">
        <w:fldChar w:fldCharType="end"/>
      </w:r>
      <w:bookmarkEnd w:id="89"/>
      <w:r>
        <w:t>. Legea din 2007 – care a înființat Agenția și a definit atribuțiile și competențele acesteia – a fost adoptată în decembrie 2007 și a intrat în vigoare în ianuarie 2008. În temeiul articolului 2 alineatele (2) și (3) din dispozițiile tranzitorii ale Legii, Agenția este succesoarea (</w:t>
      </w:r>
      <w:r w:rsidR="00C56213">
        <w:fldChar w:fldCharType="begin"/>
      </w:r>
      <w:r w:rsidR="00C56213">
        <w:instrText xml:space="preserve"> SEQ level1 \*alph</w:instrText>
      </w:r>
      <w:r w:rsidR="00C56213">
        <w:instrText xml:space="preserve">abetic \r1 \* MERGEFORMAT  \* MERGEFORMAT </w:instrText>
      </w:r>
      <w:r w:rsidR="00C56213">
        <w:fldChar w:fldCharType="separate"/>
      </w:r>
      <w:r w:rsidR="00F21D3F">
        <w:rPr>
          <w:noProof/>
        </w:rPr>
        <w:t>a</w:t>
      </w:r>
      <w:r w:rsidR="00C56213">
        <w:rPr>
          <w:noProof/>
        </w:rPr>
        <w:fldChar w:fldCharType="end"/>
      </w:r>
      <w:r>
        <w:t>) fostului Serviciu Național de Securitate (care făcea parte anterior din Ministerul Afacerilor Interne),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direcția acestui minister care este responsabilă cu protejarea infrastructurii naționale de comunicații, (</w:t>
      </w:r>
      <w:r w:rsidR="00C56213">
        <w:fldChar w:fldCharType="begin"/>
      </w:r>
      <w:r w:rsidR="00C56213">
        <w:instrText xml:space="preserve"> SEQ level1 \*alphabetic \* MERGEFORMAT </w:instrText>
      </w:r>
      <w:r w:rsidR="00C56213">
        <w:fldChar w:fldCharType="separate"/>
      </w:r>
      <w:r w:rsidR="00F21D3F">
        <w:rPr>
          <w:noProof/>
        </w:rPr>
        <w:t>c</w:t>
      </w:r>
      <w:r w:rsidR="00C56213">
        <w:rPr>
          <w:noProof/>
        </w:rPr>
        <w:fldChar w:fldCharType="end"/>
      </w:r>
      <w:r>
        <w:t>) Serviciului Militar de Contrainformații al Ministerului Apărării și (</w:t>
      </w:r>
      <w:r w:rsidR="00C56213">
        <w:fldChar w:fldCharType="begin"/>
      </w:r>
      <w:r w:rsidR="00C56213">
        <w:instrText xml:space="preserve"> SEQ level1 \*alphabetic \* MERGEFORMAT </w:instrText>
      </w:r>
      <w:r w:rsidR="00C56213">
        <w:fldChar w:fldCharType="separate"/>
      </w:r>
      <w:r w:rsidR="00F21D3F">
        <w:rPr>
          <w:noProof/>
        </w:rPr>
        <w:t>d</w:t>
      </w:r>
      <w:r w:rsidR="00C56213">
        <w:rPr>
          <w:noProof/>
        </w:rPr>
        <w:fldChar w:fldCharType="end"/>
      </w:r>
      <w:r>
        <w:t>) fostei Agenții de Informații Financiare.</w:t>
      </w:r>
    </w:p>
    <w:bookmarkStart w:id="90" w:name="RLF_SANSA_SANS_tasks"/>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42</w:t>
      </w:r>
      <w:r w:rsidRPr="00625CAB">
        <w:fldChar w:fldCharType="end"/>
      </w:r>
      <w:bookmarkEnd w:id="90"/>
      <w:r>
        <w:t xml:space="preserve">. Agenția se află sub controlul direct al Guvernului [articolul 2 alineatul (1)]. Șeful său este numit de Președintele Republicii, după ce acesta a fost nominalizat de Guvern, iar cei doi adjuncți ai acestuia sunt numiți de Guvern [articolul 8 alineatele (1) și (2)]. Principalele atribuții ale Agenției </w:t>
      </w:r>
      <w:r>
        <w:lastRenderedPageBreak/>
        <w:t>sunt: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protejarea securității naționale împotriva „încălcărilor îndreptate împotriva intereselor naționale, a independenței și a suveranității Republicii Bulgaria, a integrității [sale] teritoriale, a drepturilor și a libertăților fundamentale ale cetățenilor, a funcționării democratice a statului și a instituțiilor civice sau a ordinii constituționale stabilite” [articolul 4 alineatul (1)] și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desfășurarea de activități de contrainformații – în special pentru protecția instalațiilor strategice [articolul 4 alineatele (2) și (4)]. Alte atribuții îi pot fi încredințate numai prin lege (articolul 7).</w:t>
      </w:r>
    </w:p>
    <w:bookmarkStart w:id="91" w:name="RLF_SANSA_SANS_tasks_bis"/>
    <w:p w:rsidR="00304BC9" w:rsidRPr="00625CAB" w:rsidRDefault="00736C78" w:rsidP="0011320E">
      <w:pPr>
        <w:pStyle w:val="JuPara"/>
      </w:pPr>
      <w:r w:rsidRPr="00625CAB">
        <w:fldChar w:fldCharType="begin"/>
      </w:r>
      <w:r w:rsidRPr="00625CAB">
        <w:instrText xml:space="preserve"> SEQ level0 \*arabic \* MERGEFORMAT </w:instrText>
      </w:r>
      <w:r w:rsidRPr="00625CAB">
        <w:fldChar w:fldCharType="separate"/>
      </w:r>
      <w:r w:rsidR="00F21D3F">
        <w:t>43</w:t>
      </w:r>
      <w:r w:rsidRPr="00625CAB">
        <w:fldChar w:fldCharType="end"/>
      </w:r>
      <w:bookmarkEnd w:id="91"/>
      <w:r>
        <w:t>. De exemplu, i-au fost încredințate diverse atribuții în ceea ce privește:</w:t>
      </w:r>
    </w:p>
    <w:p w:rsidR="00304BC9" w:rsidRDefault="00736C78" w:rsidP="00304BC9">
      <w:pPr>
        <w:pStyle w:val="JuPara"/>
      </w:pPr>
      <w:r>
        <w:t>(</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spălarea banilor și finanțarea terorismului (articolele 4, 4a, 5, 5b, 9, 9a, 9b, 9v, 11, 11a, 13-14a și 15 din Legea din 2003 privind măsurile de combatere a finanțării terorismului și articolele 8, 9e, 36a, 68, 71-79, 81-85, 87-94, 103-104, 108-109 din Legea din 2018 privind măsurile de combatere a spălării banilor);</w:t>
      </w:r>
    </w:p>
    <w:p w:rsidR="00304BC9" w:rsidRDefault="00736C78" w:rsidP="00304BC9">
      <w:pPr>
        <w:pStyle w:val="JuPara"/>
      </w:pPr>
      <w:r>
        <w:t>(</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combaterea terorismului [articolul 8 alineatul (1) din Legea din 2016 privind măsurile de contracarare a terorismului];</w:t>
      </w:r>
    </w:p>
    <w:p w:rsidR="00304BC9" w:rsidRDefault="00736C78" w:rsidP="00304BC9">
      <w:pPr>
        <w:pStyle w:val="JuPara"/>
      </w:pPr>
      <w:r>
        <w:t>(</w:t>
      </w:r>
      <w:r w:rsidR="00C56213">
        <w:fldChar w:fldCharType="begin"/>
      </w:r>
      <w:r w:rsidR="00C56213">
        <w:instrText xml:space="preserve"> SEQ level1 \*alphabetic \* MERGEFORMAT </w:instrText>
      </w:r>
      <w:r w:rsidR="00C56213">
        <w:fldChar w:fldCharType="separate"/>
      </w:r>
      <w:r w:rsidR="00F21D3F">
        <w:rPr>
          <w:noProof/>
        </w:rPr>
        <w:t>c</w:t>
      </w:r>
      <w:r w:rsidR="00C56213">
        <w:rPr>
          <w:noProof/>
        </w:rPr>
        <w:fldChar w:fldCharType="end"/>
      </w:r>
      <w:r>
        <w:t>) dobândirea cetățeniei bulgare [articolele 33 și 35 din Legea din 1998 privind cetățenia bulgară și articolul 41 alineatul (1) punctul 3 din Legea din 2007];</w:t>
      </w:r>
    </w:p>
    <w:p w:rsidR="00304BC9" w:rsidRDefault="00736C78" w:rsidP="00304BC9">
      <w:pPr>
        <w:pStyle w:val="JuPara"/>
      </w:pPr>
      <w:r>
        <w:t>(</w:t>
      </w:r>
      <w:r w:rsidR="00C56213">
        <w:fldChar w:fldCharType="begin"/>
      </w:r>
      <w:r w:rsidR="00C56213">
        <w:instrText xml:space="preserve"> SEQ level1 \*alphabetic \* MERGEFORMAT </w:instrText>
      </w:r>
      <w:r w:rsidR="00C56213">
        <w:fldChar w:fldCharType="separate"/>
      </w:r>
      <w:r w:rsidR="00F21D3F">
        <w:rPr>
          <w:noProof/>
        </w:rPr>
        <w:t>d</w:t>
      </w:r>
      <w:r w:rsidR="00C56213">
        <w:rPr>
          <w:noProof/>
        </w:rPr>
        <w:fldChar w:fldCharType="end"/>
      </w:r>
      <w:r>
        <w:t>) efectuarea de verificări de securitate pentru autorizarea accesului la anumite tipuri de informații clasificate (articolele 11, 12, 14, 48-49 din Legea din 2002 privind protecția informațiilor clasificate);</w:t>
      </w:r>
    </w:p>
    <w:p w:rsidR="00304BC9" w:rsidRDefault="00736C78" w:rsidP="00304BC9">
      <w:pPr>
        <w:pStyle w:val="JuPara"/>
      </w:pPr>
      <w:r>
        <w:t>(</w:t>
      </w:r>
      <w:r w:rsidR="00C56213">
        <w:fldChar w:fldCharType="begin"/>
      </w:r>
      <w:r w:rsidR="00C56213">
        <w:instrText xml:space="preserve"> SEQ level1 \*alphabetic \* MERGEFORMAT </w:instrText>
      </w:r>
      <w:r w:rsidR="00C56213">
        <w:fldChar w:fldCharType="separate"/>
      </w:r>
      <w:r w:rsidR="00F21D3F">
        <w:rPr>
          <w:noProof/>
        </w:rPr>
        <w:t>e</w:t>
      </w:r>
      <w:r w:rsidR="00C56213">
        <w:rPr>
          <w:noProof/>
        </w:rPr>
        <w:fldChar w:fldCharType="end"/>
      </w:r>
      <w:r>
        <w:t>) controlul imigrației și expulzarea, precum și detenția străinilor legată de acestea [articolul 22 alineatul (4), articolul 24c alineatul (17), articolul 24i alineatul (11), articolul 24i alineatul (6), articolul 33h alineatul (1), articolul 33kk alineatul (8), articolul 33p alineatul (9), articolul 42g și articolul 44 din Legea din 1998 privind străinii și articolul 41 alineatul (1) punctul 2 și alineatele (2) și (3) din Legea din 2007];</w:t>
      </w:r>
    </w:p>
    <w:p w:rsidR="00304BC9" w:rsidRDefault="00736C78" w:rsidP="00304BC9">
      <w:pPr>
        <w:pStyle w:val="JuPara"/>
      </w:pPr>
      <w:r>
        <w:t>(</w:t>
      </w:r>
      <w:r w:rsidR="00C56213">
        <w:fldChar w:fldCharType="begin"/>
      </w:r>
      <w:r w:rsidR="00C56213">
        <w:instrText xml:space="preserve"> SEQ level1 \*alphabetic \* MERGEFORMAT </w:instrText>
      </w:r>
      <w:r w:rsidR="00C56213">
        <w:fldChar w:fldCharType="separate"/>
      </w:r>
      <w:r w:rsidR="00F21D3F">
        <w:rPr>
          <w:noProof/>
        </w:rPr>
        <w:t>f</w:t>
      </w:r>
      <w:r w:rsidR="00C56213">
        <w:rPr>
          <w:noProof/>
        </w:rPr>
        <w:fldChar w:fldCharType="end"/>
      </w:r>
      <w:r>
        <w:t>) acordarea de azil sau de protecție umanitară [articolul 58 alineatul (10) din Legea din 2002 privind refugiații și azilul și articolul 41 alineatul (1) punctul 1 din Legea din 2007];</w:t>
      </w:r>
    </w:p>
    <w:p w:rsidR="00304BC9" w:rsidRDefault="00736C78" w:rsidP="00304BC9">
      <w:pPr>
        <w:pStyle w:val="JuPara"/>
      </w:pPr>
      <w:r>
        <w:t>(</w:t>
      </w:r>
      <w:r w:rsidR="00C56213">
        <w:fldChar w:fldCharType="begin"/>
      </w:r>
      <w:r w:rsidR="00C56213">
        <w:instrText xml:space="preserve"> SEQ level1 \*alphabetic \* MERGEFORMAT </w:instrText>
      </w:r>
      <w:r w:rsidR="00C56213">
        <w:fldChar w:fldCharType="separate"/>
      </w:r>
      <w:r w:rsidR="00F21D3F">
        <w:rPr>
          <w:noProof/>
        </w:rPr>
        <w:t>g</w:t>
      </w:r>
      <w:r w:rsidR="00C56213">
        <w:rPr>
          <w:noProof/>
        </w:rPr>
        <w:fldChar w:fldCharType="end"/>
      </w:r>
      <w:r>
        <w:t>) protecția instalațiilor nucleare (articolele 112-114 din Legea din 2002 privind utilizarea în scopuri pașnice a energiei nucleare);</w:t>
      </w:r>
    </w:p>
    <w:p w:rsidR="00304BC9" w:rsidRPr="000F3D91" w:rsidRDefault="00736C78" w:rsidP="00304BC9">
      <w:pPr>
        <w:pStyle w:val="JuPara"/>
        <w:rPr>
          <w:rFonts w:eastAsia="Times New Roman" w:cstheme="minorHAnsi"/>
          <w:b/>
          <w:bCs/>
          <w:color w:val="565656"/>
        </w:rPr>
      </w:pPr>
      <w:r>
        <w:t>(</w:t>
      </w:r>
      <w:r w:rsidR="00C56213">
        <w:fldChar w:fldCharType="begin"/>
      </w:r>
      <w:r w:rsidR="00C56213">
        <w:instrText xml:space="preserve"> SEQ level1 \</w:instrText>
      </w:r>
      <w:r w:rsidR="00C56213">
        <w:instrText xml:space="preserve">*alphabetic \* MERGEFORMAT </w:instrText>
      </w:r>
      <w:r w:rsidR="00C56213">
        <w:fldChar w:fldCharType="separate"/>
      </w:r>
      <w:r w:rsidR="00F21D3F">
        <w:rPr>
          <w:noProof/>
        </w:rPr>
        <w:t>h</w:t>
      </w:r>
      <w:r w:rsidR="00C56213">
        <w:rPr>
          <w:noProof/>
        </w:rPr>
        <w:fldChar w:fldCharType="end"/>
      </w:r>
      <w:r>
        <w:t>) securitatea cibernetică (articolul 15 din Legea din 2018 privind securitatea cibernetică).</w:t>
      </w:r>
    </w:p>
    <w:bookmarkStart w:id="92" w:name="RLF_SANSA_SANS_tasks_ter"/>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44</w:t>
      </w:r>
      <w:r w:rsidRPr="00625CAB">
        <w:fldChar w:fldCharType="end"/>
      </w:r>
      <w:bookmarkEnd w:id="92"/>
      <w:r>
        <w:t>. În perioada 2013-2015, Agenția a avut, de asemenea, atribuția de a investiga infracțiunile legate de securitatea națională [articolul 4 alineatul (6) din Legea din 2007, adăugat în iunie 2013 și abrogat în februarie 2015].</w:t>
      </w:r>
    </w:p>
    <w:bookmarkStart w:id="93" w:name="RLF_SANSA_SANS_powers"/>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45</w:t>
      </w:r>
      <w:r w:rsidRPr="00625CAB">
        <w:fldChar w:fldCharType="end"/>
      </w:r>
      <w:bookmarkEnd w:id="93"/>
      <w:r>
        <w:t>. Principalele două domenii de activitate ale Agenției sunt colectarea și analiza de informații (articolele 18-20 și 28-29 din Legea din 2007). Aceasta poate desfășura, în special, activități de analiză, prognoză și control al informațiilor (</w:t>
      </w:r>
      <w:r>
        <w:rPr>
          <w:i/>
        </w:rPr>
        <w:t>прогностична [и] контролна дейност</w:t>
      </w:r>
      <w:r>
        <w:t>)</w:t>
      </w:r>
      <w:r>
        <w:rPr>
          <w:i/>
        </w:rPr>
        <w:t>,</w:t>
      </w:r>
      <w:r>
        <w:t xml:space="preserve"> utilizând informațiile proprii sau informațiile obținute de la alte autorități, care sunt </w:t>
      </w:r>
      <w:r>
        <w:lastRenderedPageBreak/>
        <w:t>relevante pentru securitatea națională [articolul 4 alineatul (3)]. Poate monitoriza persoane, obiecte și activități (articolul 5).</w:t>
      </w:r>
    </w:p>
    <w:bookmarkStart w:id="94" w:name="RLF_SANSA_SANS_powers_bis"/>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46</w:t>
      </w:r>
      <w:r w:rsidRPr="00625CAB">
        <w:fldChar w:fldCharType="end"/>
      </w:r>
      <w:bookmarkEnd w:id="94"/>
      <w:r>
        <w:t>. Agenția poate, printre altele, (</w:t>
      </w:r>
      <w:r w:rsidR="00C56213">
        <w:fldChar w:fldCharType="begin"/>
      </w:r>
      <w:r w:rsidR="00C56213">
        <w:instrText xml:space="preserve"> SEQ level1 \*alp</w:instrText>
      </w:r>
      <w:r w:rsidR="00C56213">
        <w:instrText xml:space="preserve">habetic \r1 \* MERGEFORMAT </w:instrText>
      </w:r>
      <w:r w:rsidR="00C56213">
        <w:fldChar w:fldCharType="separate"/>
      </w:r>
      <w:r w:rsidR="00F21D3F">
        <w:rPr>
          <w:noProof/>
        </w:rPr>
        <w:t>a</w:t>
      </w:r>
      <w:r w:rsidR="00C56213">
        <w:rPr>
          <w:noProof/>
        </w:rPr>
        <w:fldChar w:fldCharType="end"/>
      </w:r>
      <w:r>
        <w:t>) să desfășoare activități de supraveghere,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să infiltreze agenți în cursul operațiunilor sale și (</w:t>
      </w:r>
      <w:r w:rsidR="00C56213">
        <w:fldChar w:fldCharType="begin"/>
      </w:r>
      <w:r w:rsidR="00C56213">
        <w:instrText xml:space="preserve"> SEQ level1 \*alphabetic \* MERGEFORMAT </w:instrText>
      </w:r>
      <w:r w:rsidR="00C56213">
        <w:fldChar w:fldCharType="separate"/>
      </w:r>
      <w:r w:rsidR="00F21D3F">
        <w:rPr>
          <w:noProof/>
        </w:rPr>
        <w:t>c</w:t>
      </w:r>
      <w:r w:rsidR="00C56213">
        <w:rPr>
          <w:noProof/>
        </w:rPr>
        <w:fldChar w:fldCharType="end"/>
      </w:r>
      <w:r>
        <w:t>) să folosească entități juridice sau societăți comerciale fără scop lucrativ [articolul 20 alineatul (1) punctele 6, 12 și 20 din Legea din 2007]. Poate face toate acestea prin „metode și tehnici specifice” și „mijloace speciale de supraveghere”, precum și prin intermediul unor persoane cu care colaborează [articolul 20 alineatul (2)].</w:t>
      </w:r>
    </w:p>
    <w:bookmarkStart w:id="95" w:name="RLF_SANSA_SANS_powers_special_means_surv"/>
    <w:p w:rsidR="00304BC9" w:rsidRPr="00625CAB" w:rsidRDefault="00736C78" w:rsidP="00304BC9">
      <w:pPr>
        <w:pStyle w:val="JuPara"/>
        <w:rPr>
          <w:rFonts w:cstheme="minorHAnsi"/>
        </w:rPr>
      </w:pPr>
      <w:r w:rsidRPr="00625CAB">
        <w:fldChar w:fldCharType="begin"/>
      </w:r>
      <w:r w:rsidRPr="00625CAB">
        <w:instrText xml:space="preserve"> SEQ level0 \*arabic \* MERGEFORMAT </w:instrText>
      </w:r>
      <w:r w:rsidRPr="00625CAB">
        <w:fldChar w:fldCharType="separate"/>
      </w:r>
      <w:r w:rsidR="00F21D3F">
        <w:t>47</w:t>
      </w:r>
      <w:r w:rsidRPr="00625CAB">
        <w:fldChar w:fldCharType="end"/>
      </w:r>
      <w:bookmarkEnd w:id="95"/>
      <w:r>
        <w:t>. Articolul 21 din Legea din 2007 precizează că Agenția are la dispoziție și poate utiliza „mijloace speciale de supraveghere”, în condițiile prevăzute în Legea din 1997 (a se vedea infra, pct. </w:t>
      </w:r>
      <w:r>
        <w:rPr>
          <w:rFonts w:cstheme="minorHAnsi"/>
        </w:rPr>
        <w:fldChar w:fldCharType="begin"/>
      </w:r>
      <w:r>
        <w:rPr>
          <w:rFonts w:cstheme="minorHAnsi"/>
        </w:rPr>
        <w:instrText xml:space="preserve"> REF  RLF_SSMA \h  \* MERGEFORMAT </w:instrText>
      </w:r>
      <w:r>
        <w:rPr>
          <w:rFonts w:cstheme="minorHAnsi"/>
        </w:rPr>
      </w:r>
      <w:r>
        <w:rPr>
          <w:rFonts w:cstheme="minorHAnsi"/>
        </w:rPr>
        <w:fldChar w:fldCharType="separate"/>
      </w:r>
      <w:r w:rsidR="00F21D3F">
        <w:t>73</w:t>
      </w:r>
      <w:r>
        <w:rPr>
          <w:rFonts w:cstheme="minorHAnsi"/>
        </w:rPr>
        <w:fldChar w:fldCharType="end"/>
      </w:r>
      <w:r>
        <w:t>).</w:t>
      </w:r>
    </w:p>
    <w:p w:rsidR="00304BC9" w:rsidRDefault="00736C78" w:rsidP="00304BC9">
      <w:pPr>
        <w:pStyle w:val="JuHA"/>
      </w:pPr>
      <w:bookmarkStart w:id="96" w:name="_Toc238743248"/>
      <w:r>
        <w:t>„Agenții cu identitate atribuită” folosiți de Agenție</w:t>
      </w:r>
      <w:bookmarkEnd w:id="96"/>
    </w:p>
    <w:bookmarkStart w:id="97" w:name="RLF_SANSA_agents_in_cover"/>
    <w:p w:rsidR="00304BC9" w:rsidRDefault="00736C78" w:rsidP="00A005DE">
      <w:pPr>
        <w:pStyle w:val="JuPara"/>
        <w:keepNext/>
      </w:pPr>
      <w:r>
        <w:fldChar w:fldCharType="begin"/>
      </w:r>
      <w:r>
        <w:instrText xml:space="preserve"> SEQ level0 \*arabic \* MERGEFORMAT </w:instrText>
      </w:r>
      <w:r>
        <w:fldChar w:fldCharType="separate"/>
      </w:r>
      <w:r w:rsidR="00F21D3F">
        <w:t>48</w:t>
      </w:r>
      <w:r>
        <w:fldChar w:fldCharType="end"/>
      </w:r>
      <w:bookmarkEnd w:id="97"/>
      <w:r>
        <w:t>. Legea din 2007 menționează în mod specific expresia „agenți cu identitate atribuită” (</w:t>
      </w:r>
      <w:r>
        <w:rPr>
          <w:i/>
        </w:rPr>
        <w:t>служители на прикритие</w:t>
      </w:r>
      <w:r>
        <w:t>) în două dispoziții:</w:t>
      </w:r>
    </w:p>
    <w:p w:rsidR="00304BC9" w:rsidRDefault="00736C78" w:rsidP="00304BC9">
      <w:pPr>
        <w:pStyle w:val="JuPara"/>
      </w:pPr>
      <w:r>
        <w:t>(</w:t>
      </w:r>
      <w:bookmarkStart w:id="98" w:name="RLF_SANSA_agents_in_cover_s_35a"/>
      <w:r>
        <w:fldChar w:fldCharType="begin"/>
      </w:r>
      <w:r>
        <w:instrText xml:space="preserve"> SEQ level1 \*alphabetic \r1 \* MERGEFORMAT </w:instrText>
      </w:r>
      <w:r>
        <w:fldChar w:fldCharType="separate"/>
      </w:r>
      <w:r w:rsidR="00F21D3F">
        <w:t>a</w:t>
      </w:r>
      <w:r>
        <w:fldChar w:fldCharType="end"/>
      </w:r>
      <w:bookmarkEnd w:id="98"/>
      <w:r>
        <w:t>) articolul 35a, adăugat în iulie 2018, care prevede că Agenția poate refuza – pentru a-și proteja metodele sau tehnicile de colectare de informații – să divulge date cu privire la „agenții cu identitate atribuită” sau la informatori; și</w:t>
      </w:r>
    </w:p>
    <w:p w:rsidR="00304BC9" w:rsidRPr="00767A14" w:rsidRDefault="00736C78" w:rsidP="00304BC9">
      <w:pPr>
        <w:pStyle w:val="JuPara"/>
      </w:pPr>
      <w:r>
        <w:t>(</w:t>
      </w:r>
      <w:bookmarkStart w:id="99" w:name="RLF_SANSA_agents_in_cover_s_110_1_7_e"/>
      <w:r>
        <w:fldChar w:fldCharType="begin"/>
      </w:r>
      <w:r>
        <w:instrText xml:space="preserve"> SEQ level1 \*alphabetic \* MERGEFORMAT </w:instrText>
      </w:r>
      <w:r>
        <w:fldChar w:fldCharType="separate"/>
      </w:r>
      <w:r w:rsidR="00F21D3F">
        <w:t>b</w:t>
      </w:r>
      <w:r>
        <w:fldChar w:fldCharType="end"/>
      </w:r>
      <w:bookmarkEnd w:id="99"/>
      <w:r>
        <w:t>) articolul 110 alineatul (1) punctul 7 litera (e), care figurează în Lege de la adoptarea acesteia în forma sa originală și potrivit căruia ofițerii Agenției care sunt „agenți cu identitate atribuită” pot fi concediați dacă nu își îndeplinesc atribuțiile în mod eficient.</w:t>
      </w:r>
    </w:p>
    <w:bookmarkStart w:id="100" w:name="RLF_SANSA_s_123_2_6"/>
    <w:p w:rsidR="00304BC9" w:rsidRDefault="00736C78" w:rsidP="00304BC9">
      <w:pPr>
        <w:pStyle w:val="JuPara"/>
      </w:pPr>
      <w:r>
        <w:fldChar w:fldCharType="begin"/>
      </w:r>
      <w:r>
        <w:instrText xml:space="preserve"> SEQ level0 \*arabic \* MERGEFORMAT </w:instrText>
      </w:r>
      <w:r>
        <w:fldChar w:fldCharType="separate"/>
      </w:r>
      <w:r w:rsidR="00F21D3F">
        <w:t>49</w:t>
      </w:r>
      <w:r>
        <w:fldChar w:fldCharType="end"/>
      </w:r>
      <w:bookmarkEnd w:id="100"/>
      <w:r>
        <w:t>. În plus, articolul 123 alineatul (2) punctul 6 din Legea din 2007 – care figurează de asemenea în Lege de la adoptarea acesteia în forma sa inițială – prevede că printre competențele Agenției se numără „organizarea plasării sub acoperire a ofițerilor Agenției (</w:t>
      </w:r>
      <w:r>
        <w:rPr>
          <w:i/>
        </w:rPr>
        <w:t>прикриването на служители на агенцията</w:t>
      </w:r>
      <w:r>
        <w:t>) și a activității acestora, în condițiile și potrivit procedurii prevăzute de regulamentul de aplicare a Legii”.</w:t>
      </w:r>
    </w:p>
    <w:p w:rsidR="00304BC9" w:rsidRDefault="00736C78" w:rsidP="00304BC9">
      <w:pPr>
        <w:pStyle w:val="JuHA"/>
      </w:pPr>
      <w:bookmarkStart w:id="101" w:name="_Toc175233040"/>
      <w:bookmarkStart w:id="102" w:name="_Toc238743249"/>
      <w:r>
        <w:t>Informatorii recrutați de Agenție</w:t>
      </w:r>
      <w:bookmarkEnd w:id="101"/>
      <w:bookmarkEnd w:id="102"/>
    </w:p>
    <w:bookmarkStart w:id="103" w:name="RLF_SANSA_SANS_collaborators"/>
    <w:bookmarkStart w:id="104" w:name="_Toc175565264"/>
    <w:p w:rsidR="00304BC9"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50</w:t>
      </w:r>
      <w:r w:rsidRPr="00625CAB">
        <w:fldChar w:fldCharType="end"/>
      </w:r>
      <w:bookmarkEnd w:id="103"/>
      <w:r>
        <w:t>. Agenția poate utiliza informatori (</w:t>
      </w:r>
      <w:r>
        <w:rPr>
          <w:i/>
        </w:rPr>
        <w:t>сътрудници</w:t>
      </w:r>
      <w:r>
        <w:t xml:space="preserve">), care trebuie protejați în perioada colaborării lor sau în legătură cu aceasta [articolul 23 alineatul (1) și alineatul (3) punctul 2 din Legea din 2007]. Identitatea lor, datele cu caracter personal și munca acestora trebuie să fie păstrate secrete [articolul 23 alineatul (3) punctul 3]. Date cu privire la aceștia pot fi transmise doar instanțelor sau organelor de urmărire penală în legătură cu o anumită cauză penală, în conformitate cu cerințele Legii din 2002 privind protecția informațiilor clasificate – și numai după ce informatorii în cauză și-au exprimat acordul cu privire la acest lucru [articolul 23 alineatul (4)]. Agenția poate, de asemenea, să refuze să comunice date cu privire la informatori </w:t>
      </w:r>
      <w:r>
        <w:lastRenderedPageBreak/>
        <w:t>pentru a-și proteja metodele sau tehnicile de colectare de informații  (articolul 35a).</w:t>
      </w:r>
    </w:p>
    <w:p w:rsidR="00304BC9" w:rsidRDefault="00736C78" w:rsidP="00304BC9">
      <w:pPr>
        <w:pStyle w:val="JuHA"/>
      </w:pPr>
      <w:bookmarkStart w:id="105" w:name="_Toc238743250"/>
      <w:r>
        <w:t>Prelucrarea datelor de către Agenție</w:t>
      </w:r>
      <w:bookmarkEnd w:id="104"/>
      <w:bookmarkEnd w:id="105"/>
    </w:p>
    <w:bookmarkStart w:id="106" w:name="RLF_SANSA_s_28_1_29_1_2"/>
    <w:p w:rsidR="00304BC9" w:rsidRPr="00CB0B73" w:rsidRDefault="00736C78" w:rsidP="00304BC9">
      <w:pPr>
        <w:pStyle w:val="JuPara"/>
        <w:rPr>
          <w:rFonts w:cstheme="minorHAnsi"/>
        </w:rPr>
      </w:pPr>
      <w:r>
        <w:rPr>
          <w:rFonts w:cstheme="minorHAnsi"/>
        </w:rPr>
        <w:fldChar w:fldCharType="begin"/>
      </w:r>
      <w:r>
        <w:rPr>
          <w:rFonts w:cstheme="minorHAnsi"/>
        </w:rPr>
        <w:instrText xml:space="preserve"> SEQ level0 \*arabic \* MERGEFORMAT </w:instrText>
      </w:r>
      <w:r>
        <w:rPr>
          <w:rFonts w:cstheme="minorHAnsi"/>
        </w:rPr>
        <w:fldChar w:fldCharType="separate"/>
      </w:r>
      <w:r w:rsidR="00F21D3F">
        <w:rPr>
          <w:rFonts w:cstheme="minorHAnsi"/>
        </w:rPr>
        <w:t>51</w:t>
      </w:r>
      <w:r>
        <w:rPr>
          <w:rFonts w:cstheme="minorHAnsi"/>
        </w:rPr>
        <w:fldChar w:fldCharType="end"/>
      </w:r>
      <w:bookmarkEnd w:id="106"/>
      <w:r>
        <w:t>. Agenția poate păstra și utiliza baze de date [articolul 28 alineatul (1) din Legea din 2007] și poate prelucra date – inclusiv date cu caracter personal [articolul 29 alineatele (1) și (2)].</w:t>
      </w:r>
    </w:p>
    <w:bookmarkStart w:id="107" w:name="RLF_SANSA_s_36_1"/>
    <w:bookmarkStart w:id="108" w:name="RLF_SANSA_s_34_1_2_9_36_2"/>
    <w:p w:rsidR="00304BC9" w:rsidRDefault="00736C78" w:rsidP="00304BC9">
      <w:pPr>
        <w:pStyle w:val="JuPara"/>
      </w:pPr>
      <w:r>
        <w:fldChar w:fldCharType="begin"/>
      </w:r>
      <w:r>
        <w:instrText xml:space="preserve"> SEQ level0 \*arabic \* MERGEFORMAT </w:instrText>
      </w:r>
      <w:r>
        <w:fldChar w:fldCharType="separate"/>
      </w:r>
      <w:r w:rsidR="00F21D3F">
        <w:t>52</w:t>
      </w:r>
      <w:r>
        <w:fldChar w:fldCharType="end"/>
      </w:r>
      <w:bookmarkEnd w:id="107"/>
      <w:bookmarkEnd w:id="108"/>
      <w:r>
        <w:t>. Bazele de date ale Agenției pot fi automatizate [articolul 34 alineatul (1) și articolul 36 alineatul (2) din Legea din 2007]. Acestea pot fi utilizate pentru prelucrarea datelor cu caracter personal [articolul 34 alineatul (2)]. Operatorul de date este șeful Agenției, care poate încredința prelucrarea de date personale unor funcționari desemnați în acest scop [articolul 34 alineatul (9)].</w:t>
      </w:r>
    </w:p>
    <w:bookmarkStart w:id="109" w:name="RLF_SANSA_s_34_2"/>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53</w:t>
      </w:r>
      <w:r w:rsidRPr="00625CAB">
        <w:fldChar w:fldCharType="end"/>
      </w:r>
      <w:bookmarkEnd w:id="109"/>
      <w:r>
        <w:t>. Atunci când prelucrează date cu caracter personal referitoare la orice activități legate de protejarea securității naționale, Agenția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nu solicită consimțământul persoanelor în cauză;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nu le informează înaintea sau în timpul prelucrării datelor; sau (</w:t>
      </w:r>
      <w:r w:rsidR="00C56213">
        <w:fldChar w:fldCharType="begin"/>
      </w:r>
      <w:r w:rsidR="00C56213">
        <w:instrText xml:space="preserve"> SEQ level1 \*alphabetic \* MERGEFORMAT </w:instrText>
      </w:r>
      <w:r w:rsidR="00C56213">
        <w:fldChar w:fldCharType="separate"/>
      </w:r>
      <w:r w:rsidR="00F21D3F">
        <w:rPr>
          <w:noProof/>
        </w:rPr>
        <w:t>c</w:t>
      </w:r>
      <w:r w:rsidR="00C56213">
        <w:rPr>
          <w:noProof/>
        </w:rPr>
        <w:fldChar w:fldCharType="end"/>
      </w:r>
      <w:r>
        <w:t>) nu pune la dispoziție datele cu caracter personal ale altor persoane [articolul 34 alineatul (2)]. Aceste date cu caracter personal trebuie șterse în cazul în care nu mai există niciun motiv legal pentru păstrarea lor sau în cazul în care se dispune astfel de către o instanță [articolul 34 alineatul (5)]. Printre factorii care trebuie luați în considerare în cadrul evaluării privind datele se numără: vârsta persoanei vizate, natura datelor prelucrate, necesitatea prelucrării acestora până la încheierea unei proceduri judiciare sau a unei investigații și împlinirea oricărui termen legal de prescripție [articolul 34 alineatul (6)]. Datele cu caracter personal din bazele de date ale Agenției pot fi furnizate doar autorităților care protejează securitatea națională sau autorităților judiciare pentru a răspunde necesităților unei anumite cauze penale [articolul 34 alineatul (7)]. Aceste date pot fi furnizate, de asemenea, autorităților străine în temeiul unui tratat internațional la care Bulgaria este parte [articolul 34 alineatul (8)].</w:t>
      </w:r>
    </w:p>
    <w:bookmarkStart w:id="110" w:name="RLF_SANSA_personal_data_regs_1"/>
    <w:p w:rsidR="00304BC9"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54</w:t>
      </w:r>
      <w:r w:rsidRPr="00625CAB">
        <w:fldChar w:fldCharType="end"/>
      </w:r>
      <w:bookmarkEnd w:id="110"/>
      <w:r>
        <w:t xml:space="preserve"> </w:t>
      </w:r>
      <w:bookmarkStart w:id="111" w:name="_Hlk182300159"/>
      <w:r>
        <w:t>Regulamentul emis de șeful Agenției în octombrie 2019, în temeiul unei delegări conferite prin lege, prevăzută la articolul 34 alineatul (10) din Legea din 2007 (</w:t>
      </w:r>
      <w:r>
        <w:rPr>
          <w:i/>
        </w:rPr>
        <w:t>Наредба № I-4 от</w:t>
      </w:r>
      <w:r>
        <w:t xml:space="preserve"> </w:t>
      </w:r>
      <w:r>
        <w:rPr>
          <w:i/>
        </w:rPr>
        <w:t>22.10.2019 г. за реда за обработване на лични данни в Държавна агенция „Национална сигурност“</w:t>
      </w:r>
      <w:r>
        <w:t>), stabilește norme mai detaliate privind prelucrarea datelor cu caracter personal de către Agenție.</w:t>
      </w:r>
      <w:bookmarkEnd w:id="111"/>
      <w:r>
        <w:t xml:space="preserve"> Potrivit articolului 2, această prelucrare trebuie să fie conformă cu principiile legalității, integrității, relevanței și proporționalității, precum și al securității datelor. În temeiul articolului 4, șeful Agenției: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stabilește modul în care Agenția creează, gestionează și controlează baze de date care conțin date cu caracter personal; (</w:t>
      </w:r>
      <w:r w:rsidR="00C56213">
        <w:fldChar w:fldCharType="begin"/>
      </w:r>
      <w:r w:rsidR="00C56213">
        <w:instrText xml:space="preserve"> SEQ level1 \*alphabetic \* MER</w:instrText>
      </w:r>
      <w:r w:rsidR="00C56213">
        <w:instrText xml:space="preserve">GEFORMAT </w:instrText>
      </w:r>
      <w:r w:rsidR="00C56213">
        <w:fldChar w:fldCharType="separate"/>
      </w:r>
      <w:r w:rsidR="00F21D3F">
        <w:rPr>
          <w:noProof/>
        </w:rPr>
        <w:t>b</w:t>
      </w:r>
      <w:r w:rsidR="00C56213">
        <w:rPr>
          <w:noProof/>
        </w:rPr>
        <w:fldChar w:fldCharType="end"/>
      </w:r>
      <w:r>
        <w:t>) verifică dacă prelucrarea unor astfel de date îndeplinește cerințele de protecție a acestora; (</w:t>
      </w:r>
      <w:r w:rsidR="00C56213">
        <w:fldChar w:fldCharType="begin"/>
      </w:r>
      <w:r w:rsidR="00C56213">
        <w:instrText xml:space="preserve"> SEQ level1 \*alphabetic \* MERGEFORMAT </w:instrText>
      </w:r>
      <w:r w:rsidR="00C56213">
        <w:fldChar w:fldCharType="separate"/>
      </w:r>
      <w:r w:rsidR="00F21D3F">
        <w:rPr>
          <w:noProof/>
        </w:rPr>
        <w:t>c</w:t>
      </w:r>
      <w:r w:rsidR="00C56213">
        <w:rPr>
          <w:noProof/>
        </w:rPr>
        <w:fldChar w:fldCharType="end"/>
      </w:r>
      <w:r>
        <w:t>) ia măsuri pentru remedierea neregulilor; și (</w:t>
      </w:r>
      <w:r w:rsidR="00C56213">
        <w:fldChar w:fldCharType="begin"/>
      </w:r>
      <w:r w:rsidR="00C56213">
        <w:instrText xml:space="preserve"> SEQ level1 \*alphabetic \* MERGEFORMAT </w:instrText>
      </w:r>
      <w:r w:rsidR="00C56213">
        <w:fldChar w:fldCharType="separate"/>
      </w:r>
      <w:r w:rsidR="00F21D3F">
        <w:rPr>
          <w:noProof/>
        </w:rPr>
        <w:t>d</w:t>
      </w:r>
      <w:r w:rsidR="00C56213">
        <w:rPr>
          <w:noProof/>
        </w:rPr>
        <w:fldChar w:fldCharType="end"/>
      </w:r>
      <w:r>
        <w:t>) asistă Comisia pentru protecția datelor cu caracter personal (a se vedea infra, pct. </w:t>
      </w:r>
      <w:r>
        <w:fldChar w:fldCharType="begin"/>
      </w:r>
      <w:r>
        <w:instrText xml:space="preserve"> REF  RLF_PPDA_CPPD \h  \* MERGEFORMAT </w:instrText>
      </w:r>
      <w:r>
        <w:fldChar w:fldCharType="separate"/>
      </w:r>
      <w:r w:rsidR="00F21D3F">
        <w:t>91</w:t>
      </w:r>
      <w:r>
        <w:fldChar w:fldCharType="end"/>
      </w:r>
      <w:r>
        <w:t>-</w:t>
      </w:r>
      <w:r>
        <w:fldChar w:fldCharType="begin"/>
      </w:r>
      <w:r>
        <w:instrText xml:space="preserve"> REF  RLF_PPDA_CPPD_quinquies \h  \* MERGEFORMAT </w:instrText>
      </w:r>
      <w:r>
        <w:fldChar w:fldCharType="separate"/>
      </w:r>
      <w:r w:rsidR="00F21D3F">
        <w:t>95</w:t>
      </w:r>
      <w:r>
        <w:fldChar w:fldCharType="end"/>
      </w:r>
      <w:r>
        <w:t xml:space="preserve">) în exercitarea funcțiilor sale de supraveghere în </w:t>
      </w:r>
      <w:r>
        <w:lastRenderedPageBreak/>
        <w:t>temeiul Legii privind protecția datelor cu caracter personal din 2002 (a se vedea infra, pct. </w:t>
      </w:r>
      <w:r>
        <w:fldChar w:fldCharType="begin"/>
      </w:r>
      <w:r>
        <w:instrText xml:space="preserve"> REF  RLF_PPDA \h  \* MERGEFORMAT </w:instrText>
      </w:r>
      <w:r>
        <w:fldChar w:fldCharType="separate"/>
      </w:r>
      <w:r w:rsidR="00F21D3F">
        <w:t>78</w:t>
      </w:r>
      <w:r>
        <w:fldChar w:fldCharType="end"/>
      </w:r>
      <w:r>
        <w:t>-</w:t>
      </w:r>
      <w:r>
        <w:fldChar w:fldCharType="begin"/>
      </w:r>
      <w:r>
        <w:instrText xml:space="preserve"> REF  RLF_PPDA_remedies_LED \h  \* MERGEFORMAT </w:instrText>
      </w:r>
      <w:r>
        <w:fldChar w:fldCharType="separate"/>
      </w:r>
      <w:r w:rsidR="00F21D3F">
        <w:t>99</w:t>
      </w:r>
      <w:r>
        <w:fldChar w:fldCharType="end"/>
      </w:r>
      <w:r>
        <w:t>). Șeful Agenției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stabilește ofițerii Agenției care pot prelucra date cu caracter personal [articolul 6 alineatul (1)] și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decide, în fiecare caz în parte, dacă aceste date prelucrate de Agenție trebuie să fie șterse, pe baza unei recomandări din partea șefului de unitate respectiv (articolul 17).</w:t>
      </w:r>
    </w:p>
    <w:p w:rsidR="00304BC9" w:rsidRPr="00C462F6" w:rsidRDefault="00736C78" w:rsidP="00304BC9">
      <w:pPr>
        <w:pStyle w:val="JuHA"/>
      </w:pPr>
      <w:bookmarkStart w:id="112" w:name="_Toc238743251"/>
      <w:r>
        <w:t>Supravegherea generală a activității Agenției</w:t>
      </w:r>
      <w:bookmarkEnd w:id="112"/>
    </w:p>
    <w:p w:rsidR="00304BC9" w:rsidRPr="00625CAB" w:rsidRDefault="00736C78" w:rsidP="00304BC9">
      <w:pPr>
        <w:pStyle w:val="JuH1"/>
      </w:pPr>
      <w:bookmarkStart w:id="113" w:name="_Toc238743252"/>
      <w:bookmarkStart w:id="114" w:name="_Toc175214983"/>
      <w:r>
        <w:t>Supravegherea de către Parlament</w:t>
      </w:r>
      <w:bookmarkEnd w:id="113"/>
    </w:p>
    <w:bookmarkStart w:id="115" w:name="RLF_SANSA_s_132_1_etc"/>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55</w:t>
      </w:r>
      <w:r w:rsidRPr="00625CAB">
        <w:fldChar w:fldCharType="end"/>
      </w:r>
      <w:bookmarkEnd w:id="115"/>
      <w:r>
        <w:t xml:space="preserve">. Parlamentul Bulgariei (Adunarea Națională) are o comisie permanentă specială – </w:t>
      </w:r>
      <w:bookmarkStart w:id="116" w:name="_Hlk182296154"/>
      <w:r>
        <w:t xml:space="preserve">Comisia pentru supravegherea serviciilor de securitate, a aplicării și utilizării mijloacelor speciale de supraveghere și a accesului la date în temeiul Legii privind comunicațiile electronice </w:t>
      </w:r>
      <w:bookmarkEnd w:id="116"/>
      <w:r>
        <w:t>– care, printre altele, are atribuția de a supraveghea activitatea Agenției în temeiul articolului 132 alineatul (1) din Legea din 2007 și al articolului 22 alineatul (1) din Legea din 2015 privind gestionarea și funcționarea sistemului de apărare a securității naționale („Legea din 2015”), în temeiul articolului 16 alineatul (1) punctul 11 din Regulamentul Adunării Naționale pentru perioadele 2021-2022, 2022-2023 și 2023-2024 [care a fost înlocuit de articolul 16 alineatul (1) punctul 10 din Regulamentul Adunării Naționale din 2024], și în temeiul articolului 4 din cele mai recente (și aproape identice) revizuiri ale Regulamentului de procedură al Comisiei, care au fost adoptate în ianuarie 2022, noiembrie 2022, mai 2023 și iulie 2024). În perioada 2021-2023, Comisia a avut 14 membri și, din mai 2023, are 12 membri. Comisia este reconstituită de fiecare Parlament nou-ales. În conformitate cu toate deciziile succesive privind alegerea Comisiei (cele mai recente au fost luate în decembrie 2021, octombrie 2022, mai 2023 și iulie 2024), aceasta trebuie să aibă în componență deputați din fiecare grup parlamentar. Aceasta trebuie să verifice, în special, dacă, în exercitarea activității lor, serviciile de securitate respectă dispozițiile legale care garantează drepturile fundamentale ale omului [articolul 15 alineatul (1) punctul 6 din Regulamentul de procedură al Comisiei]. Aceasta poate solicita serviciilor de securitate să elaboreze rapoarte tematice [articolul 15 alineatul (1) punctul 4 din Regulamentul de procedură al Comisiei]. De asemenea, aceasta poate examina rapoartele persoanelor fizice sau ale organizațiilor cu privire la abaterile comise de ofițerii serviciilor de securitate [articolul 15 alineatul (1) punctul 9 din Regulamentul de procedură al Comisiei] și poate sesiza organele de urmărire penală sau alte autorități competente cu privire la comportamentele ilegale ale serviciilor respective, pe care le-a identificat în cursul propriilor inspecții (sau care au fost reclamate de persoane fizice) [articolul 15 alineatul (1) punctul 10 din Regulamentul de procedură al Comisiei].</w:t>
      </w:r>
    </w:p>
    <w:bookmarkStart w:id="117" w:name="RLF_SANSA_s_132_2_etc"/>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56</w:t>
      </w:r>
      <w:r w:rsidRPr="00625CAB">
        <w:fldChar w:fldCharType="end"/>
      </w:r>
      <w:bookmarkEnd w:id="117"/>
      <w:r>
        <w:t xml:space="preserve">.  Șeful Agenției, șefii adjuncți și ofițerii trebuie să se prezinte în fața Parlamentului sau a Comisiei, în cazul în care sunt invitați să facă acest lucru, </w:t>
      </w:r>
      <w:r>
        <w:lastRenderedPageBreak/>
        <w:t xml:space="preserve">și să le pună la dispoziție orice informații a căror divulgare li se solicită [articolul 132 alineatul (2) din Legea din 2007, articolul 22 alineatul (2) din Legea din 2015 și articolul 15 alineatul (1) punctul 5 din Regulamentul de procedură al Comisiei]. Articolul 22 alineatul (2) </w:t>
      </w:r>
      <w:r>
        <w:rPr>
          <w:i/>
        </w:rPr>
        <w:t>in fine</w:t>
      </w:r>
      <w:r>
        <w:t xml:space="preserve"> din Legea din 2015 prevede, de asemenea, că acest lucru trebuie realizat în conformitate cu cerințele Legii din 2002 privind </w:t>
      </w:r>
      <w:bookmarkStart w:id="118" w:name="_Toc175565283"/>
      <w:r>
        <w:t>protecția informațiilor clasificate</w:t>
      </w:r>
      <w:bookmarkEnd w:id="118"/>
      <w:r>
        <w:t>.</w:t>
      </w:r>
    </w:p>
    <w:p w:rsidR="00304BC9" w:rsidRPr="00625CAB" w:rsidRDefault="00736C78" w:rsidP="00304BC9">
      <w:pPr>
        <w:pStyle w:val="JuH1"/>
      </w:pPr>
      <w:bookmarkStart w:id="119" w:name="_Toc238743253"/>
      <w:r>
        <w:t>Supravegherea de către Guvern</w:t>
      </w:r>
      <w:bookmarkEnd w:id="119"/>
    </w:p>
    <w:bookmarkStart w:id="120" w:name="RLF_SANSA_s_132_3_etc"/>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57</w:t>
      </w:r>
      <w:r w:rsidRPr="00625CAB">
        <w:fldChar w:fldCharType="end"/>
      </w:r>
      <w:bookmarkEnd w:id="120"/>
      <w:r>
        <w:t>. Șeful Agenției prezintă Guvernului un raport anual cu privire la activitatea Agenției, iar apoi Guvernul prezintă acest raport Parlamentului, care îl aprobă [articolul 132 alineatul (3) din Legea din 2007 și articolul 22 alineatul (3) din Legea din 2015].</w:t>
      </w:r>
    </w:p>
    <w:p w:rsidR="00304BC9" w:rsidRPr="00625CAB" w:rsidRDefault="00736C78" w:rsidP="00304BC9">
      <w:pPr>
        <w:pStyle w:val="JuH1"/>
      </w:pPr>
      <w:bookmarkStart w:id="121" w:name="_Toc238743254"/>
      <w:r>
        <w:t>Supravegherea de către Președintele Republicii</w:t>
      </w:r>
      <w:bookmarkEnd w:id="121"/>
    </w:p>
    <w:bookmarkStart w:id="122" w:name="RLF_SANSA_s_132a"/>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58</w:t>
      </w:r>
      <w:r w:rsidRPr="00625CAB">
        <w:fldChar w:fldCharType="end"/>
      </w:r>
      <w:bookmarkEnd w:id="122"/>
      <w:r>
        <w:t>. Președintele Republicii poate solicita șefului Agenției să efectueze analize ale unor chestiuni legate de securitatea națională (articolul 132a din Legea din 2007).</w:t>
      </w:r>
    </w:p>
    <w:p w:rsidR="00304BC9" w:rsidRPr="00625CAB" w:rsidRDefault="00736C78" w:rsidP="00304BC9">
      <w:pPr>
        <w:pStyle w:val="JuHA"/>
      </w:pPr>
      <w:bookmarkStart w:id="123" w:name="_Toc175214977"/>
      <w:bookmarkStart w:id="124" w:name="_Toc238743255"/>
      <w:r>
        <w:t>Accesul la datele cu caracter personal prelucrate de Agenție</w:t>
      </w:r>
      <w:bookmarkEnd w:id="123"/>
      <w:bookmarkEnd w:id="124"/>
    </w:p>
    <w:p w:rsidR="00304BC9" w:rsidRPr="00625CAB" w:rsidRDefault="00736C78" w:rsidP="00304BC9">
      <w:pPr>
        <w:pStyle w:val="JuH1"/>
      </w:pPr>
      <w:bookmarkStart w:id="125" w:name="_Toc175214978"/>
      <w:bookmarkStart w:id="126" w:name="_Toc238743256"/>
      <w:r>
        <w:t>Dispoziții și reglementări legale relevante</w:t>
      </w:r>
      <w:bookmarkEnd w:id="125"/>
      <w:bookmarkEnd w:id="126"/>
    </w:p>
    <w:bookmarkStart w:id="127" w:name="RLF_SANSA_s_35_3"/>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59</w:t>
      </w:r>
      <w:r w:rsidRPr="00625CAB">
        <w:fldChar w:fldCharType="end"/>
      </w:r>
      <w:bookmarkEnd w:id="127"/>
      <w:r>
        <w:t>. Ofițerii Agenției nu pot divulga informațiile deținute de Agenție altor autorități ale statului, organizații, persoane juridice sau persoane fizice, cu excepția cazurilor prevăzute de lege [articolul 35 alineatul (3) din Legea din 2007].</w:t>
      </w:r>
    </w:p>
    <w:bookmarkStart w:id="128" w:name="RLF_SANSA_s_36_4_5_6"/>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60</w:t>
      </w:r>
      <w:r w:rsidRPr="00625CAB">
        <w:fldChar w:fldCharType="end"/>
      </w:r>
      <w:bookmarkEnd w:id="128"/>
      <w:r>
        <w:t>. Orice persoană are dreptul de a solicita accesul la datele cu caracter personal care o privesc și care sunt prelucrate în bazele de date ale Agenției fără cunoștința sa [articolul 36 alineatul (4)]. Șeful Agenției sau un adjunct autorizat în mod corespunzător trebuie să răspundă unei astfel de cereri în termen de 14 zile de la formularea acesteia [articolul 36 alineatul (5)]. În cazul în care o persoană solicită acest lucru, aceasta trebuie să primească o copie pe suport de hârtie a oricăror date cu caracter personal care o privesc și care sunt prelucrate de Agenție [articolul 36 alineatul (6)].</w:t>
      </w:r>
    </w:p>
    <w:bookmarkStart w:id="129" w:name="RLF_SANSA_s_35_2"/>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61</w:t>
      </w:r>
      <w:r w:rsidRPr="00625CAB">
        <w:fldChar w:fldCharType="end"/>
      </w:r>
      <w:bookmarkEnd w:id="129"/>
      <w:r>
        <w:t>. În cazul în care exercitarea dreptului de acces ar putea dezvălui datele cu caracter personal ale unei alte persoane, operatorul de date trebuie să acorde acces doar la datele care privesc persoana care solicită accesul [articolul 35 alineatul (2)].</w:t>
      </w:r>
    </w:p>
    <w:bookmarkStart w:id="130" w:name="RLF_SANSA_s_36_10"/>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62</w:t>
      </w:r>
      <w:r w:rsidRPr="00625CAB">
        <w:fldChar w:fldCharType="end"/>
      </w:r>
      <w:bookmarkEnd w:id="130"/>
      <w:r>
        <w:t>. Modul exact de accesare a bazelor de date ale Agenției este prevăzut în regulamentul adoptat de șeful acesteia [articolul 36 alineatul (10)]. Acest regulament (</w:t>
      </w:r>
      <w:r>
        <w:rPr>
          <w:i/>
        </w:rPr>
        <w:t>Наредба № I-7 от 13.07.2009 г. за реда за достъп до информационните фондове на Държавна агенция „Национална сигурност“</w:t>
      </w:r>
      <w:r>
        <w:t>) a fost adoptat în 2009.</w:t>
      </w:r>
    </w:p>
    <w:bookmarkStart w:id="131" w:name="RLF_SANSA_s_36_7"/>
    <w:p w:rsidR="00304BC9" w:rsidRPr="00625CAB" w:rsidRDefault="00736C78" w:rsidP="00304BC9">
      <w:pPr>
        <w:pStyle w:val="JuPara"/>
      </w:pPr>
      <w:r w:rsidRPr="00625CAB">
        <w:lastRenderedPageBreak/>
        <w:fldChar w:fldCharType="begin"/>
      </w:r>
      <w:r w:rsidRPr="00625CAB">
        <w:instrText xml:space="preserve"> SEQ level0 \*arabic \* MERGEFORMAT </w:instrText>
      </w:r>
      <w:r w:rsidRPr="00625CAB">
        <w:fldChar w:fldCharType="separate"/>
      </w:r>
      <w:r w:rsidR="00F21D3F">
        <w:t>63</w:t>
      </w:r>
      <w:r w:rsidRPr="00625CAB">
        <w:fldChar w:fldCharType="end"/>
      </w:r>
      <w:bookmarkEnd w:id="131"/>
      <w:r>
        <w:t>. Agenția poate să refuze, integral sau parțial, să divulge date în cazul în care acest lucru ar pune în pericol securitatea națională, protecția informațiilor clasificate ca fiind „secrete de stat” sau „secrete de serviciu”, sau confidențialitatea surselor sale de informații ori a metodelor și tehnicilor secrete pe care le utilizează pentru a colecta informațiile respective, sau în cazul în care divulgarea ar împiedica în alt mod îndeplinirea atribuțiilor conferite Agenției prin lege [articolul 36 alineatul (7) și articolul 11 alineatul (1)].</w:t>
      </w:r>
    </w:p>
    <w:bookmarkStart w:id="132" w:name="RLF_SANSA_s_36_8"/>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64</w:t>
      </w:r>
      <w:r w:rsidRPr="00625CAB">
        <w:fldChar w:fldCharType="end"/>
      </w:r>
      <w:bookmarkEnd w:id="132"/>
      <w:r>
        <w:t xml:space="preserve">. O persoană a cărei cerere a fost refuzată trebuie să fie informată în scris cu privire la acest lucru, dar este necesar să fie furnizate doar motivele de drept pentru refuz [articolul 36 alineatul (8) și articolul 11 alineatul (2)]. Absența unui răspuns în termenul stabilit trebuie considerată un refuz [articolul 36 alineatul (8) </w:t>
      </w:r>
      <w:r>
        <w:rPr>
          <w:i/>
        </w:rPr>
        <w:t>in fine</w:t>
      </w:r>
      <w:r>
        <w:t>].</w:t>
      </w:r>
    </w:p>
    <w:bookmarkStart w:id="133" w:name="RLF_SANSA_s_36_9"/>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65</w:t>
      </w:r>
      <w:r w:rsidRPr="00625CAB">
        <w:fldChar w:fldCharType="end"/>
      </w:r>
      <w:bookmarkEnd w:id="133"/>
      <w:r>
        <w:t>. Orice astfel de refuz poate fi contestat în justiție în temeiul dispozițiilor relevante din Codul de procedură administrativă [articolul 36 alineatul (9)] – în special pe calea controlului jurisdicțional.</w:t>
      </w:r>
    </w:p>
    <w:p w:rsidR="00304BC9" w:rsidRPr="00625CAB" w:rsidRDefault="00736C78" w:rsidP="00304BC9">
      <w:pPr>
        <w:pStyle w:val="JuH1"/>
      </w:pPr>
      <w:bookmarkStart w:id="134" w:name="_Toc175214979"/>
      <w:bookmarkStart w:id="135" w:name="_Toc238743257"/>
      <w:r>
        <w:t>Jurisprudența instanțelor bulgare în temeiul acestor dispoziții</w:t>
      </w:r>
      <w:bookmarkEnd w:id="134"/>
      <w:bookmarkEnd w:id="135"/>
    </w:p>
    <w:p w:rsidR="00304BC9" w:rsidRPr="00625CAB" w:rsidRDefault="00736C78" w:rsidP="00304BC9">
      <w:pPr>
        <w:pStyle w:val="JuHa0"/>
      </w:pPr>
      <w:bookmarkStart w:id="136" w:name="_Toc175214980"/>
      <w:bookmarkStart w:id="137" w:name="_Toc238743258"/>
      <w:r>
        <w:t>Cauza din 2012</w:t>
      </w:r>
      <w:bookmarkEnd w:id="136"/>
      <w:bookmarkEnd w:id="137"/>
    </w:p>
    <w:bookmarkStart w:id="138" w:name="RLF_SANSA_s_36_7_case_law_NGOs"/>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66</w:t>
      </w:r>
      <w:r w:rsidRPr="00625CAB">
        <w:fldChar w:fldCharType="end"/>
      </w:r>
      <w:bookmarkEnd w:id="138"/>
      <w:r>
        <w:t>. Într-o hotărâre din 2012 (</w:t>
      </w:r>
      <w:r>
        <w:rPr>
          <w:i/>
        </w:rPr>
        <w:t>реш. № 593 от 08.02.2012 г. по адм. д. № 6653/2011 г., АдмС-София-град</w:t>
      </w:r>
      <w:r>
        <w:t>) – care se pare că nu a făcut obiectul unui apel – Tribunalul Administrativ al Orașului Sofia a respins o cerere de control jurisdicțional, formulată de o organizație neguvernamentală, cu privire la refuzul Agenției de a divulga numărul de organizații neguvernamentale pe care le-a investigat în perioada ianuarie 2008-iulie 2011 și rezultatele unor astfel de investigații. Instanța a constatat, printre altele, că informațiile privind operațiunile serviciilor de securitate și rezultatele acestora constituiau „secrete de stat” și, pe această bază, a statuat că informațiile solicitate de organizație erau clasificate. În continuare, aceasta a afirmat că divulgarea unor astfel de informații era, de asemenea, interzisă de articolul 36 alineatul (7) din Legea din 2007 (a se vedea supra, pct. </w:t>
      </w:r>
      <w:r>
        <w:fldChar w:fldCharType="begin"/>
      </w:r>
      <w:r>
        <w:instrText xml:space="preserve"> REF  RLF_SANSA_s_36_7 \h  \* MERGEFORMAT </w:instrText>
      </w:r>
      <w:r>
        <w:fldChar w:fldCharType="separate"/>
      </w:r>
      <w:r w:rsidR="00F21D3F">
        <w:t>63</w:t>
      </w:r>
      <w:r>
        <w:fldChar w:fldCharType="end"/>
      </w:r>
      <w:r>
        <w:t>).</w:t>
      </w:r>
    </w:p>
    <w:p w:rsidR="00304BC9" w:rsidRPr="00625CAB" w:rsidRDefault="00736C78" w:rsidP="00304BC9">
      <w:pPr>
        <w:pStyle w:val="JuHa0"/>
      </w:pPr>
      <w:bookmarkStart w:id="139" w:name="_Toc175214981"/>
      <w:bookmarkStart w:id="140" w:name="_Toc238743259"/>
      <w:r>
        <w:t>Cauza din 2014-2018</w:t>
      </w:r>
      <w:bookmarkEnd w:id="139"/>
      <w:bookmarkEnd w:id="140"/>
    </w:p>
    <w:bookmarkStart w:id="141" w:name="RLF_SANSA_s_36_7_case_law_pers_dat_1"/>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67</w:t>
      </w:r>
      <w:r w:rsidRPr="00625CAB">
        <w:fldChar w:fldCharType="end"/>
      </w:r>
      <w:bookmarkEnd w:id="141"/>
      <w:r>
        <w:t>. Într-o hotărâre din 2014 (</w:t>
      </w:r>
      <w:r>
        <w:rPr>
          <w:i/>
        </w:rPr>
        <w:t>реш. № 13080 от 04.11.2014 г. по адм. д. № 6237/2014 г., ВАС, V о.</w:t>
      </w:r>
      <w:r>
        <w:t xml:space="preserve">), Curtea Administrativă Supremă a anulat refuzul tacit a Agenției de a refuza să dezvăluie dacă prelucra sau nu datele unei anumite persoane și, în caz afirmativ, de a-i acorda persoanei respective acces la orice date care o priveau și pe care le prelucra. Instanța a statuat că, în absența unei decizii exprese luate de Agenție, nu exista niciun element care să indice că refuzul de a divulga informațiile referitoare la datele persoanei în cauză a fost justificat. În toate cazurile de acest tip, era necesar să se verifice că Agenția, în calitate de operator de date, a apreciat în mod corespunzător, </w:t>
      </w:r>
      <w:r>
        <w:lastRenderedPageBreak/>
        <w:t>în raport cu normele relevante [inclusiv articolul 36 alineatul (7) – a se vedea supra, pct. </w:t>
      </w:r>
      <w:r>
        <w:fldChar w:fldCharType="begin"/>
      </w:r>
      <w:r>
        <w:instrText xml:space="preserve"> REF  RLF_SANSA_s_36_7 \h  \* MERGEFORMAT </w:instrText>
      </w:r>
      <w:r>
        <w:fldChar w:fldCharType="separate"/>
      </w:r>
      <w:r w:rsidR="00F21D3F">
        <w:t>63</w:t>
      </w:r>
      <w:r>
        <w:fldChar w:fldCharType="end"/>
      </w:r>
      <w:r>
        <w:t>], că informațiile în cauză nu trebuiau divulgate.</w:t>
      </w:r>
    </w:p>
    <w:bookmarkStart w:id="142" w:name="RLF_SANSA_s_36_7_case_law_pers_dat_1_bis"/>
    <w:p w:rsidR="00304BC9" w:rsidRPr="00625CAB"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68</w:t>
      </w:r>
      <w:r w:rsidRPr="00625CAB">
        <w:fldChar w:fldCharType="end"/>
      </w:r>
      <w:bookmarkEnd w:id="142"/>
      <w:r>
        <w:t>. În urma acestei hotărâri, Agenția și-a exprimat în mod expres refuzul de a divulga astfel de informații, precizând că acest lucru ar expune sursele și metodele sale. Tribunalul Administrativ din Varna a respins cererea de control jurisdicțional al acestei decizii, iar în 2018 Curtea Administrativă Supremă a confirmat hotărârea acestuia. Aceasta a citat articolul 36 alineatul (7) (a se vedea supra, pct. </w:t>
      </w:r>
      <w:r>
        <w:fldChar w:fldCharType="begin"/>
      </w:r>
      <w:r>
        <w:instrText xml:space="preserve"> REF  RLF_SANSA_s_36_7 \h  \* MERGEFORMAT </w:instrText>
      </w:r>
      <w:r>
        <w:fldChar w:fldCharType="separate"/>
      </w:r>
      <w:r w:rsidR="00F21D3F">
        <w:t>63</w:t>
      </w:r>
      <w:r>
        <w:fldChar w:fldCharType="end"/>
      </w:r>
      <w:r>
        <w:t xml:space="preserve">) și a menționat pe scurt că, potrivit articolului 3 alineatul (1) din Legea din 2002 privind protecția informațiilor clasificate, doar persoanele care dețineau un certificat de securitate și care aveau nevoie de astfel de informații clasificate pentru îndeplinirea sarcinilor lor specifice puteau avea acces la informațiile respective (a se vedea </w:t>
      </w:r>
      <w:r>
        <w:rPr>
          <w:i/>
        </w:rPr>
        <w:t>реш. № 94 от 04.01.2018 г. по адм. д. № 5244/2016 г., ВАС, V о.</w:t>
      </w:r>
      <w:r>
        <w:t>).</w:t>
      </w:r>
    </w:p>
    <w:p w:rsidR="00304BC9" w:rsidRPr="00625CAB" w:rsidRDefault="00736C78" w:rsidP="00304BC9">
      <w:pPr>
        <w:pStyle w:val="JuHa0"/>
      </w:pPr>
      <w:bookmarkStart w:id="143" w:name="_Toc175214982"/>
      <w:bookmarkStart w:id="144" w:name="_Toc238743260"/>
      <w:r>
        <w:t>Prima cauză din perioada 2021-2022</w:t>
      </w:r>
      <w:bookmarkEnd w:id="143"/>
      <w:bookmarkEnd w:id="144"/>
    </w:p>
    <w:bookmarkStart w:id="145" w:name="RLF_SANSA_s_36_7_case_law_pers_dat_2"/>
    <w:p w:rsidR="00304BC9" w:rsidRDefault="00736C78" w:rsidP="00304BC9">
      <w:pPr>
        <w:pStyle w:val="JuPara"/>
      </w:pPr>
      <w:r w:rsidRPr="00625CAB">
        <w:fldChar w:fldCharType="begin"/>
      </w:r>
      <w:r w:rsidRPr="00625CAB">
        <w:instrText xml:space="preserve"> SEQ level0 \*arabic \* MERGEFORMAT </w:instrText>
      </w:r>
      <w:r w:rsidRPr="00625CAB">
        <w:fldChar w:fldCharType="separate"/>
      </w:r>
      <w:r w:rsidR="00F21D3F">
        <w:t>69</w:t>
      </w:r>
      <w:r w:rsidRPr="00625CAB">
        <w:fldChar w:fldCharType="end"/>
      </w:r>
      <w:bookmarkEnd w:id="145"/>
      <w:r>
        <w:t>. Într-o hotărâre din iulie 2021, Tribunalul Administrativ al Orașului Sofia a respins o cerere de control jurisdicțional al refuzului Agenției de a dezvălui dacă prelucra sau nu datele unei persoane și, în caz afirmativ, de a permite accesul acesteia la oricare dintre datele sale cu caracter personal, pe care era posibil să le prelucreze Agenția. Instanța a observat că articolul 36 alineatul (7) din Legea din 2007 (a se vedea supra, pct. </w:t>
      </w:r>
      <w:r w:rsidRPr="00625CAB">
        <w:fldChar w:fldCharType="begin"/>
      </w:r>
      <w:r w:rsidRPr="00625CAB">
        <w:instrText xml:space="preserve"> REF  RLF_SANSA_s_36_7 \h  \* MERGEFORMAT </w:instrText>
      </w:r>
      <w:r w:rsidRPr="00625CAB">
        <w:fldChar w:fldCharType="separate"/>
      </w:r>
      <w:r w:rsidR="00F21D3F">
        <w:t>63</w:t>
      </w:r>
      <w:r w:rsidRPr="00625CAB">
        <w:fldChar w:fldCharType="end"/>
      </w:r>
      <w:r>
        <w:t>) enumera cinci motive pentru care Agenția putea refuza să divulge informații, printre care se număra protecția „secretelor de stat” și a „secretelor de serviciu”, a surselor informațiilor și a metodelor sau mijloacelor secrete pe care le utiliza pentru colectarea informațiilor respective. Informațiile solicitate de reclamant puteau fi considerate ca reprezentând „secrete de serviciu”. Agenția dispunea de puterea discreționară de a aprecia dacă divulgarea acestor informații putea să compromită informațiile clasificate sau activitatea acesteia. Acesta era motivul pentru care articolul 36 alineatul (8) din Legea din 2007 (a se vedea infra, pct. </w:t>
      </w:r>
      <w:r w:rsidRPr="00625CAB">
        <w:fldChar w:fldCharType="begin"/>
      </w:r>
      <w:r w:rsidRPr="00625CAB">
        <w:instrText xml:space="preserve"> REF  RLF_SANSA_s_36_8 \h  \* MERGEFORMAT </w:instrText>
      </w:r>
      <w:r w:rsidRPr="00625CAB">
        <w:fldChar w:fldCharType="separate"/>
      </w:r>
      <w:r w:rsidR="00F21D3F">
        <w:t>64</w:t>
      </w:r>
      <w:r w:rsidRPr="00625CAB">
        <w:fldChar w:fldCharType="end"/>
      </w:r>
      <w:r>
        <w:t xml:space="preserve">) impunea ca Agenția să prezinte doar motivele de drept pentru refuzul său de a divulga astfel de informații (a se vedea </w:t>
      </w:r>
      <w:r>
        <w:rPr>
          <w:i/>
        </w:rPr>
        <w:t>реш. № 4760 от 16.07.2021 г. по адм. д. №</w:t>
      </w:r>
      <w:r>
        <w:t xml:space="preserve"> </w:t>
      </w:r>
      <w:r>
        <w:rPr>
          <w:i/>
        </w:rPr>
        <w:t>3553/2021 г., АдмС-София-град</w:t>
      </w:r>
      <w:r>
        <w:t xml:space="preserve">). Apelul declarat împotriva hotărârii tribunalului a fost respins din motive procedurale, fără să se facă referire la fond, întrucât acesta era viciat, iar reclamantul nu a făcut rectificările necesare în termenul dispus de instanță (a se vedea </w:t>
      </w:r>
      <w:r>
        <w:rPr>
          <w:i/>
        </w:rPr>
        <w:t>опр. № 3358 от 08.04.2022 г. по адм. д. № 798/2022 г., ВАС, V о.</w:t>
      </w:r>
      <w:r>
        <w:t>).</w:t>
      </w:r>
    </w:p>
    <w:p w:rsidR="00304BC9" w:rsidRPr="00FB3F96" w:rsidRDefault="00736C78" w:rsidP="00304BC9">
      <w:pPr>
        <w:pStyle w:val="JuHa0"/>
      </w:pPr>
      <w:bookmarkStart w:id="146" w:name="_Toc238743261"/>
      <w:r>
        <w:t>A doua cauză din perioada 2021-2022</w:t>
      </w:r>
      <w:bookmarkEnd w:id="114"/>
      <w:bookmarkEnd w:id="146"/>
    </w:p>
    <w:bookmarkStart w:id="147" w:name="RLF_SANSA_s_36_7_case_law_inteligence"/>
    <w:p w:rsidR="00304BC9" w:rsidRDefault="00736C78" w:rsidP="00304BC9">
      <w:pPr>
        <w:pStyle w:val="JuPara"/>
      </w:pPr>
      <w:r>
        <w:fldChar w:fldCharType="begin"/>
      </w:r>
      <w:r>
        <w:instrText xml:space="preserve"> SEQ level0 \*arabic \* MERGEFORMAT </w:instrText>
      </w:r>
      <w:r>
        <w:fldChar w:fldCharType="separate"/>
      </w:r>
      <w:r w:rsidR="00F21D3F">
        <w:t>70</w:t>
      </w:r>
      <w:r>
        <w:fldChar w:fldCharType="end"/>
      </w:r>
      <w:bookmarkEnd w:id="147"/>
      <w:r>
        <w:t xml:space="preserve">. Într-o hotărâre din noiembrie 2021, Tribunalul Administrativ al Orașului Sofia a respins o acțiune împotriva refuzului Agenției de a divulga dacă a colectat sau nu informații cu privire la o asociație sau la președintele acesteia și dacă a recrutat sau nu persoane din rândul membrilor sau al personalului asociației, în calitate de informatori. Instanța a invocat aproape </w:t>
      </w:r>
      <w:r>
        <w:lastRenderedPageBreak/>
        <w:t>aceleași motive pe care le prezentase în hotărârea sa din iulie 2021 (a se vedea supra, pct. </w:t>
      </w:r>
      <w:r>
        <w:fldChar w:fldCharType="begin"/>
      </w:r>
      <w:r>
        <w:instrText xml:space="preserve"> REF  RLF_SANSA_s_36_7_case_law_pers_dat_2 \h  \* MERGEFORMAT </w:instrText>
      </w:r>
      <w:r>
        <w:fldChar w:fldCharType="separate"/>
      </w:r>
      <w:r w:rsidR="00F21D3F">
        <w:t>69</w:t>
      </w:r>
      <w:r>
        <w:fldChar w:fldCharType="end"/>
      </w:r>
      <w:r>
        <w:t xml:space="preserve">) (a se vedea </w:t>
      </w:r>
      <w:r>
        <w:rPr>
          <w:i/>
        </w:rPr>
        <w:t>реш. № 6820 от 19.11.2021 г. по адм. д. № 8299/2021 г., АС-София-град</w:t>
      </w:r>
      <w:r>
        <w:t>). În iulie 2022, Curtea Administrativă Supremă a confirmat această hotărâre. A statuat că respectiva cerere de informații se referea, de fapt, mai degrabă la metodele de lucru ale Agenției decât la orice date cu caracter personal colectate de aceasta și a precizat, în continuare, că decizia Agenției de a nu dezvălui identitatea persoanelor recrutate de aceasta în calitate de informatori a fost justificată, întrucât, în temeiul articolului 23 alineatul (3) punctul 3 din Legea din 2007 (a se vedea supra, pct. </w:t>
      </w:r>
      <w:r>
        <w:fldChar w:fldCharType="begin"/>
      </w:r>
      <w:r>
        <w:instrText xml:space="preserve"> REF  RLF_SANSA_SANS_collaborators \h  \* MERGEFORMAT </w:instrText>
      </w:r>
      <w:r>
        <w:fldChar w:fldCharType="separate"/>
      </w:r>
      <w:r w:rsidR="00F21D3F">
        <w:t>50</w:t>
      </w:r>
      <w:r>
        <w:fldChar w:fldCharType="end"/>
      </w:r>
      <w:r>
        <w:t xml:space="preserve"> </w:t>
      </w:r>
      <w:r>
        <w:rPr>
          <w:i/>
        </w:rPr>
        <w:t>in fine</w:t>
      </w:r>
      <w:r>
        <w:t xml:space="preserve">), identitățile și datele persoanelor care au colaborat cu Agenția trebuiau să rămână secrete (a se vedea </w:t>
      </w:r>
      <w:r>
        <w:rPr>
          <w:i/>
        </w:rPr>
        <w:t>реш. № 6724 от 06.07.2022 г. по адм. д. № 2157/2022 г., ВАС, V о.</w:t>
      </w:r>
      <w:r>
        <w:t>).</w:t>
      </w:r>
    </w:p>
    <w:p w:rsidR="00304BC9" w:rsidRDefault="00736C78" w:rsidP="00304BC9">
      <w:pPr>
        <w:pStyle w:val="JuHa0"/>
      </w:pPr>
      <w:bookmarkStart w:id="148" w:name="_Toc175214984"/>
      <w:bookmarkStart w:id="149" w:name="_Toc238743262"/>
      <w:r>
        <w:t>Cauza din 2024</w:t>
      </w:r>
      <w:bookmarkEnd w:id="148"/>
      <w:bookmarkEnd w:id="149"/>
    </w:p>
    <w:bookmarkStart w:id="150" w:name="RLF_SANSA_s_36_7_case_law_inteligence_2"/>
    <w:p w:rsidR="00304BC9" w:rsidRDefault="00736C78" w:rsidP="00304BC9">
      <w:pPr>
        <w:pStyle w:val="JuPara"/>
      </w:pPr>
      <w:r>
        <w:fldChar w:fldCharType="begin"/>
      </w:r>
      <w:r>
        <w:instrText xml:space="preserve"> SEQ level0 \*arabic \* MERGEFORMAT </w:instrText>
      </w:r>
      <w:r>
        <w:fldChar w:fldCharType="separate"/>
      </w:r>
      <w:r w:rsidR="00F21D3F">
        <w:t>71</w:t>
      </w:r>
      <w:r>
        <w:fldChar w:fldCharType="end"/>
      </w:r>
      <w:bookmarkEnd w:id="150"/>
      <w:r>
        <w:t xml:space="preserve">. Într-o hotărâre din ianuarie 2024, Tribunalul Administrativ al Orașului Sofia a anulat un al doilea refuz al Agenției de a divulga dacă a colectat sau nu informații cu privire la aceeași asociație sau la președintele acesteia și dacă a recrutat sau nu persoane din rândul membrilor sau al personalului asociației, în calitate de informatori. Instanța a subliniat în special că, în măsura în care cererea de informații privea alte persoane decât cele care au formulat-o, aceasta a fost nelegală, întrucât o persoană putea solicita doar accesul la propriile date cu caracter personal, și că, prin urmare, Agenția nu ar fi trebuit să o examineze pe fond (a se vedea </w:t>
      </w:r>
      <w:r>
        <w:rPr>
          <w:i/>
        </w:rPr>
        <w:t>реш. № 136 от 05.01.2024 г. по адм. д. № 7471/2023 г., АдмС-София-град</w:t>
      </w:r>
      <w:r>
        <w:t>). În iulie 2024, această hotărâre a fost confirmată de Curtea Administrativă Supremă, care a fost de acord cu motivarea instanței inferioare cu privire la situațiile în care o persoană solicita date referitoare la o altă persoană, dar a adăugat că, în temeiul articolului 36 alineatul (8) din Legea din 2007 (supra, pct. </w:t>
      </w:r>
      <w:r>
        <w:fldChar w:fldCharType="begin"/>
      </w:r>
      <w:r>
        <w:instrText xml:space="preserve"> REF  RLF_SANSA_s_36_8 \h  \* MERGEFORMAT </w:instrText>
      </w:r>
      <w:r>
        <w:fldChar w:fldCharType="separate"/>
      </w:r>
      <w:r w:rsidR="00F21D3F">
        <w:t>64</w:t>
      </w:r>
      <w:r>
        <w:fldChar w:fldCharType="end"/>
      </w:r>
      <w:r>
        <w:t xml:space="preserve">), Agenția nu avea obligația de a prezenta circumstanțele de fapt care justificau refuzul său de a divulga informații (a se vedea </w:t>
      </w:r>
      <w:r>
        <w:rPr>
          <w:i/>
        </w:rPr>
        <w:t>реш. № 8858 от 16.07.2024 г. по адм. д. № 2605/2024 г., ВАС, V о.</w:t>
      </w:r>
      <w:r>
        <w:t>). După ce, ulterior, chestiunea a fost trimisă înapoi Agenției, aceasta și-a reiterat, în august 2024, refuzul anterior, prezentând aceleași motive, aproape cuvânt cu cuvânt, pe care le-a invocat pentru a justifica refuzul său anterior; în special, aceasta a subliniat că, în conformitate cu dispozițiile relevante ale Legii din 2002 privind protecția informațiilor clasificate, informațiile care puteau conduce la identificarea informatorilor serviciilor de securitate constituiau „secrete de stat”.</w:t>
      </w:r>
    </w:p>
    <w:p w:rsidR="00304BC9" w:rsidRPr="00C462F6" w:rsidRDefault="00736C78" w:rsidP="00304BC9">
      <w:pPr>
        <w:pStyle w:val="JuHA"/>
      </w:pPr>
      <w:bookmarkStart w:id="151" w:name="_Toc175304745"/>
      <w:bookmarkStart w:id="152" w:name="_Toc238743263"/>
      <w:r>
        <w:t>Supravegherea prelucrării datelor cu caracter personal de către Agenție</w:t>
      </w:r>
      <w:bookmarkEnd w:id="151"/>
      <w:bookmarkEnd w:id="152"/>
    </w:p>
    <w:bookmarkStart w:id="153" w:name="RLF_SANSA_s_37"/>
    <w:bookmarkStart w:id="154" w:name="_Toc175214976"/>
    <w:p w:rsidR="00304BC9" w:rsidRDefault="00736C78" w:rsidP="00304BC9">
      <w:pPr>
        <w:pStyle w:val="JuPara"/>
      </w:pPr>
      <w:r w:rsidRPr="002D491C">
        <w:fldChar w:fldCharType="begin"/>
      </w:r>
      <w:r w:rsidRPr="002D491C">
        <w:instrText xml:space="preserve"> SEQ level0 \*arabic \* MERGEFORMAT </w:instrText>
      </w:r>
      <w:r w:rsidRPr="002D491C">
        <w:fldChar w:fldCharType="separate"/>
      </w:r>
      <w:r w:rsidR="00F21D3F">
        <w:t>72</w:t>
      </w:r>
      <w:r w:rsidRPr="002D491C">
        <w:fldChar w:fldCharType="end"/>
      </w:r>
      <w:bookmarkEnd w:id="153"/>
      <w:r>
        <w:t xml:space="preserve">. Articolul 37 din Legea din 2007, astfel cum a fost adoptată inițial (nemodificată ulterior), prevede că supravegherea protecției drepturilor persoanelor în cursul prelucrării datelor lor cu caracter personal de către </w:t>
      </w:r>
      <w:r>
        <w:lastRenderedPageBreak/>
        <w:t>Agenție, precum și a accesului la aceste date, ar trebui să fie efectuată de Comisia pentru protecția datelor cu caracter personal, în condițiile și potrivit modalităților prevăzute de Legea din 2002 privind protecția datelor cu caracter personal (a se vedea infra, pct. </w:t>
      </w:r>
      <w:r w:rsidRPr="003A2A92">
        <w:fldChar w:fldCharType="begin"/>
      </w:r>
      <w:r w:rsidRPr="003A2A92">
        <w:instrText xml:space="preserve"> REF  RLF_PPDA \h  \* MERGEFORMAT </w:instrText>
      </w:r>
      <w:r w:rsidRPr="003A2A92">
        <w:fldChar w:fldCharType="separate"/>
      </w:r>
      <w:r w:rsidR="00F21D3F">
        <w:t>78</w:t>
      </w:r>
      <w:r w:rsidRPr="003A2A92">
        <w:fldChar w:fldCharType="end"/>
      </w:r>
      <w:r>
        <w:t>-</w:t>
      </w:r>
      <w:r>
        <w:fldChar w:fldCharType="begin"/>
      </w:r>
      <w:r>
        <w:instrText xml:space="preserve"> REF  RLF_PPDA_CPPD_quinquies \h  \* MERGEFORMAT </w:instrText>
      </w:r>
      <w:r>
        <w:fldChar w:fldCharType="separate"/>
      </w:r>
      <w:r w:rsidR="00F21D3F">
        <w:t>95</w:t>
      </w:r>
      <w:r>
        <w:fldChar w:fldCharType="end"/>
      </w:r>
      <w:r>
        <w:t>).</w:t>
      </w:r>
    </w:p>
    <w:p w:rsidR="00304BC9" w:rsidRPr="00C462F6" w:rsidRDefault="00736C78" w:rsidP="00304BC9">
      <w:pPr>
        <w:pStyle w:val="JuHIRoman"/>
      </w:pPr>
      <w:bookmarkStart w:id="155" w:name="_Toc238743264"/>
      <w:r>
        <w:t>LEGEA DIN 1997 PRIVIND MIJLOACELE SPECIALE DE SUPRAVEGHERE</w:t>
      </w:r>
      <w:bookmarkEnd w:id="154"/>
      <w:bookmarkEnd w:id="155"/>
    </w:p>
    <w:bookmarkStart w:id="156" w:name="RLF_SSMA"/>
    <w:p w:rsidR="00304BC9" w:rsidRPr="00C462F6" w:rsidRDefault="00736C78" w:rsidP="00304BC9">
      <w:pPr>
        <w:pStyle w:val="JuPara"/>
      </w:pPr>
      <w:r w:rsidRPr="00C462F6">
        <w:fldChar w:fldCharType="begin"/>
      </w:r>
      <w:r w:rsidRPr="00C462F6">
        <w:instrText xml:space="preserve"> SEQ level0 \*arabic \* MERGEFORMAT </w:instrText>
      </w:r>
      <w:r w:rsidRPr="00C462F6">
        <w:fldChar w:fldCharType="separate"/>
      </w:r>
      <w:r w:rsidR="00F21D3F">
        <w:t>73</w:t>
      </w:r>
      <w:r w:rsidRPr="00C462F6">
        <w:fldChar w:fldCharType="end"/>
      </w:r>
      <w:bookmarkEnd w:id="156"/>
      <w:r>
        <w:t xml:space="preserve">. O prezentare cuprinzătoare a Legii din 1997 privind mijloacele speciale de supraveghere („Legea din 1997”), astfel cum a fost modificată, și a legislației conexe – precum și a aplicării acestora de către autoritățile și instanțele bulgare până în decembrie 2021 – poate fi găsită în cauza </w:t>
      </w:r>
      <w:r>
        <w:rPr>
          <w:i/>
          <w:iCs/>
        </w:rPr>
        <w:t>Ekimdjiev și alții împotriva Bulgariei</w:t>
      </w:r>
      <w:r>
        <w:t xml:space="preserve"> (citată anterior, pct. 11-145). Legea respectivă reglementează în detaliu (</w:t>
      </w:r>
      <w:r w:rsidR="00C56213">
        <w:fldChar w:fldCharType="begin"/>
      </w:r>
      <w:r w:rsidR="00C56213">
        <w:instrText xml:space="preserve"> SEQ</w:instrText>
      </w:r>
      <w:r w:rsidR="00C56213">
        <w:instrText xml:space="preserve"> level1 \*alphabetic \r1 \* MERGEFORMAT </w:instrText>
      </w:r>
      <w:r w:rsidR="00C56213">
        <w:fldChar w:fldCharType="separate"/>
      </w:r>
      <w:r w:rsidR="00F21D3F">
        <w:rPr>
          <w:noProof/>
        </w:rPr>
        <w:t>a</w:t>
      </w:r>
      <w:r w:rsidR="00C56213">
        <w:rPr>
          <w:noProof/>
        </w:rPr>
        <w:fldChar w:fldCharType="end"/>
      </w:r>
      <w:r>
        <w:t>) situațiile care pot să determine utilizarea „mijloacelor speciale de supraveghere”,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persoanele sau obiectele care pot fi supuse unei astfel de supravegheri, (</w:t>
      </w:r>
      <w:r w:rsidR="00C56213">
        <w:fldChar w:fldCharType="begin"/>
      </w:r>
      <w:r w:rsidR="00C56213">
        <w:instrText xml:space="preserve"> SEQ </w:instrText>
      </w:r>
      <w:r w:rsidR="00C56213">
        <w:instrText xml:space="preserve">level1 \*alphabetic \* MERGEFORMAT </w:instrText>
      </w:r>
      <w:r w:rsidR="00C56213">
        <w:fldChar w:fldCharType="separate"/>
      </w:r>
      <w:r w:rsidR="00F21D3F">
        <w:rPr>
          <w:noProof/>
        </w:rPr>
        <w:t>c</w:t>
      </w:r>
      <w:r w:rsidR="00C56213">
        <w:rPr>
          <w:noProof/>
        </w:rPr>
        <w:fldChar w:fldCharType="end"/>
      </w:r>
      <w:r>
        <w:t>) procedurile de autorizare a unei asemenea supravegheri (autoritățile care o pot solicita, modul în care acestea trebuie să își formuleze cererile, autoritățile competente să emită mandate de supraveghere și modul în care acestea trebuie să examineze cererile de emitere a acestor mandate), (</w:t>
      </w:r>
      <w:r w:rsidR="00C56213">
        <w:fldChar w:fldCharType="begin"/>
      </w:r>
      <w:r w:rsidR="00C56213">
        <w:instrText xml:space="preserve"> SEQ level1 \*alphabetic \* MERGEFORMAT </w:instrText>
      </w:r>
      <w:r w:rsidR="00C56213">
        <w:fldChar w:fldCharType="separate"/>
      </w:r>
      <w:r w:rsidR="00F21D3F">
        <w:rPr>
          <w:noProof/>
        </w:rPr>
        <w:t>d</w:t>
      </w:r>
      <w:r w:rsidR="00C56213">
        <w:rPr>
          <w:noProof/>
        </w:rPr>
        <w:fldChar w:fldCharType="end"/>
      </w:r>
      <w:r>
        <w:t>) durata maximă a unei astfel de supravegheri, (</w:t>
      </w:r>
      <w:r w:rsidR="00C56213">
        <w:fldChar w:fldCharType="begin"/>
      </w:r>
      <w:r w:rsidR="00C56213">
        <w:instrText xml:space="preserve"> SEQ level1 \*alphabetic \* MERGEFORMAT </w:instrText>
      </w:r>
      <w:r w:rsidR="00C56213">
        <w:fldChar w:fldCharType="separate"/>
      </w:r>
      <w:r w:rsidR="00F21D3F">
        <w:rPr>
          <w:noProof/>
        </w:rPr>
        <w:t>e</w:t>
      </w:r>
      <w:r w:rsidR="00C56213">
        <w:rPr>
          <w:noProof/>
        </w:rPr>
        <w:fldChar w:fldCharType="end"/>
      </w:r>
      <w:r>
        <w:t>) situațiile în care o astfel de supraveghere trebuie să înceteze, (</w:t>
      </w:r>
      <w:r w:rsidR="00C56213">
        <w:fldChar w:fldCharType="begin"/>
      </w:r>
      <w:r w:rsidR="00C56213">
        <w:instrText xml:space="preserve"> SEQ level1 \*alphabetic \* MERGEFORMAT </w:instrText>
      </w:r>
      <w:r w:rsidR="00C56213">
        <w:fldChar w:fldCharType="separate"/>
      </w:r>
      <w:r w:rsidR="00F21D3F">
        <w:rPr>
          <w:noProof/>
        </w:rPr>
        <w:t>f</w:t>
      </w:r>
      <w:r w:rsidR="00C56213">
        <w:rPr>
          <w:noProof/>
        </w:rPr>
        <w:fldChar w:fldCharType="end"/>
      </w:r>
      <w:r>
        <w:t>) modul în care trebuie prelucrate informațiile obținute prin intermediul unei asemenea supravegheri și (</w:t>
      </w:r>
      <w:r w:rsidR="00C56213">
        <w:fldChar w:fldCharType="begin"/>
      </w:r>
      <w:r w:rsidR="00C56213">
        <w:instrText xml:space="preserve"> SEQ level1 \*alphabetic \* MERGEFORMAT </w:instrText>
      </w:r>
      <w:r w:rsidR="00C56213">
        <w:fldChar w:fldCharType="separate"/>
      </w:r>
      <w:r w:rsidR="00F21D3F">
        <w:rPr>
          <w:noProof/>
        </w:rPr>
        <w:t>g</w:t>
      </w:r>
      <w:r w:rsidR="00C56213">
        <w:rPr>
          <w:noProof/>
        </w:rPr>
        <w:fldChar w:fldCharType="end"/>
      </w:r>
      <w:r>
        <w:t>) autoritățile însărcinate cu controlul utilizării „mijloacelor speciale de supraveghere”.</w:t>
      </w:r>
    </w:p>
    <w:bookmarkStart w:id="157" w:name="RLF_SSMA_s_2"/>
    <w:p w:rsidR="00304BC9" w:rsidRPr="00C462F6" w:rsidRDefault="00736C78" w:rsidP="00304BC9">
      <w:pPr>
        <w:pStyle w:val="JuPara"/>
      </w:pPr>
      <w:r w:rsidRPr="00C462F6">
        <w:fldChar w:fldCharType="begin"/>
      </w:r>
      <w:r w:rsidRPr="00C462F6">
        <w:instrText xml:space="preserve"> SEQ level0 \*arabic \* MERGEFORMAT </w:instrText>
      </w:r>
      <w:r w:rsidRPr="00C462F6">
        <w:fldChar w:fldCharType="separate"/>
      </w:r>
      <w:r w:rsidR="00F21D3F">
        <w:t>74</w:t>
      </w:r>
      <w:r w:rsidRPr="00C462F6">
        <w:fldChar w:fldCharType="end"/>
      </w:r>
      <w:bookmarkEnd w:id="157"/>
      <w:r>
        <w:t>. În temeiul articolului 2 alineatele (1) și (2) din Legea din 1997 [și al articolului 172 alineatul (1) din Codul de procedură penală], termenul generic „mijloace speciale de supraveghere” include dispozitivele electronice sau mecanice care permit constituirea materialului probatoriu (înregistrări audio și video, fotografii și obiecte marcate) și tehnicile secrete aplicate pentru utilizarea acestor dispozitive. În temeiul articolului 2 alineatul (3) din Legea din 1997 [și al articolului 172 alineatul (1) din Cod], aceste tehnici sunt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supravegherea vizuală,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ascultarea și interceptarea comunicațiilor, (</w:t>
      </w:r>
      <w:r w:rsidR="00C56213">
        <w:fldChar w:fldCharType="begin"/>
      </w:r>
      <w:r w:rsidR="00C56213">
        <w:instrText xml:space="preserve"> SEQ level1 \*alphabetic \* MERGEFORMAT </w:instrText>
      </w:r>
      <w:r w:rsidR="00C56213">
        <w:fldChar w:fldCharType="separate"/>
      </w:r>
      <w:r w:rsidR="00F21D3F">
        <w:rPr>
          <w:noProof/>
        </w:rPr>
        <w:t>c</w:t>
      </w:r>
      <w:r w:rsidR="00C56213">
        <w:rPr>
          <w:noProof/>
        </w:rPr>
        <w:fldChar w:fldCharType="end"/>
      </w:r>
      <w:r>
        <w:t>) urmărirea (</w:t>
      </w:r>
      <w:r>
        <w:rPr>
          <w:i/>
          <w:iCs/>
        </w:rPr>
        <w:t>tracking</w:t>
      </w:r>
      <w:r>
        <w:t>), (</w:t>
      </w:r>
      <w:r w:rsidR="00C56213">
        <w:fldChar w:fldCharType="begin"/>
      </w:r>
      <w:r w:rsidR="00C56213">
        <w:instrText xml:space="preserve"> SEQ level1 \*alphabetic \* MERGEFORMAT </w:instrText>
      </w:r>
      <w:r w:rsidR="00C56213">
        <w:fldChar w:fldCharType="separate"/>
      </w:r>
      <w:r w:rsidR="00F21D3F">
        <w:rPr>
          <w:noProof/>
        </w:rPr>
        <w:t>d</w:t>
      </w:r>
      <w:r w:rsidR="00C56213">
        <w:rPr>
          <w:noProof/>
        </w:rPr>
        <w:fldChar w:fldCharType="end"/>
      </w:r>
      <w:r>
        <w:t>) pătrunderea secretă (în vehicule sau incinte), (</w:t>
      </w:r>
      <w:r w:rsidR="00C56213">
        <w:fldChar w:fldCharType="begin"/>
      </w:r>
      <w:r w:rsidR="00C56213">
        <w:instrText xml:space="preserve"> SEQ level1 \*alphabetic \* MERGEFORMAT </w:instrText>
      </w:r>
      <w:r w:rsidR="00C56213">
        <w:fldChar w:fldCharType="separate"/>
      </w:r>
      <w:r w:rsidR="00F21D3F">
        <w:rPr>
          <w:noProof/>
        </w:rPr>
        <w:t>e</w:t>
      </w:r>
      <w:r w:rsidR="00C56213">
        <w:rPr>
          <w:noProof/>
        </w:rPr>
        <w:fldChar w:fldCharType="end"/>
      </w:r>
      <w:r>
        <w:t>) marcarea și verificarea corespondenței sau a informațiilor (stocate) în format electronic, (</w:t>
      </w:r>
      <w:r w:rsidR="00C56213">
        <w:fldChar w:fldCharType="begin"/>
      </w:r>
      <w:r w:rsidR="00C56213">
        <w:instrText xml:space="preserve"> SEQ level1 \*alphabetic \* MERGEFORMAT </w:instrText>
      </w:r>
      <w:r w:rsidR="00C56213">
        <w:fldChar w:fldCharType="separate"/>
      </w:r>
      <w:r w:rsidR="00F21D3F">
        <w:rPr>
          <w:noProof/>
        </w:rPr>
        <w:t>f</w:t>
      </w:r>
      <w:r w:rsidR="00C56213">
        <w:rPr>
          <w:noProof/>
        </w:rPr>
        <w:fldChar w:fldCharType="end"/>
      </w:r>
      <w:r>
        <w:t>) livrarea supravegheată, (</w:t>
      </w:r>
      <w:r w:rsidR="00C56213">
        <w:fldChar w:fldCharType="begin"/>
      </w:r>
      <w:r w:rsidR="00C56213">
        <w:instrText xml:space="preserve"> SEQ level1 \*alphabetic \* MERGEFORMAT </w:instrText>
      </w:r>
      <w:r w:rsidR="00C56213">
        <w:fldChar w:fldCharType="separate"/>
      </w:r>
      <w:r w:rsidR="00F21D3F">
        <w:rPr>
          <w:noProof/>
        </w:rPr>
        <w:t>g</w:t>
      </w:r>
      <w:r w:rsidR="00C56213">
        <w:rPr>
          <w:noProof/>
        </w:rPr>
        <w:fldChar w:fldCharType="end"/>
      </w:r>
      <w:r>
        <w:t>) tranzacțiile simulate</w:t>
      </w:r>
      <w:r>
        <w:rPr>
          <w:rStyle w:val="FootnoteReference"/>
        </w:rPr>
        <w:footnoteReference w:id="2"/>
      </w:r>
      <w:r>
        <w:t xml:space="preserve"> și (</w:t>
      </w:r>
      <w:bookmarkStart w:id="158" w:name="RLF_SSMA_s_2_agents_under_cover"/>
      <w:r w:rsidRPr="00C462F6">
        <w:fldChar w:fldCharType="begin"/>
      </w:r>
      <w:r w:rsidRPr="00C462F6">
        <w:instrText xml:space="preserve"> SEQ level1 \*alphabetic \* MERGEFORMAT </w:instrText>
      </w:r>
      <w:r w:rsidRPr="00C462F6">
        <w:fldChar w:fldCharType="separate"/>
      </w:r>
      <w:r w:rsidR="00F21D3F">
        <w:t>h</w:t>
      </w:r>
      <w:r w:rsidRPr="00C462F6">
        <w:fldChar w:fldCharType="end"/>
      </w:r>
      <w:bookmarkEnd w:id="158"/>
      <w:r>
        <w:t>) folosirea „agenților sub acoperire” (</w:t>
      </w:r>
      <w:r>
        <w:rPr>
          <w:i/>
        </w:rPr>
        <w:t>служители под прикритие</w:t>
      </w:r>
      <w:r>
        <w:t>).</w:t>
      </w:r>
    </w:p>
    <w:bookmarkStart w:id="159" w:name="RLF_SSMA_s_10c_1"/>
    <w:p w:rsidR="00304BC9" w:rsidRPr="00C462F6" w:rsidRDefault="00736C78" w:rsidP="00304BC9">
      <w:pPr>
        <w:pStyle w:val="JuPara"/>
      </w:pPr>
      <w:r w:rsidRPr="00C462F6">
        <w:fldChar w:fldCharType="begin"/>
      </w:r>
      <w:r w:rsidRPr="00C462F6">
        <w:instrText xml:space="preserve"> SEQ level0 \*arabic \* MERGEFORMAT </w:instrText>
      </w:r>
      <w:r w:rsidRPr="00C462F6">
        <w:fldChar w:fldCharType="separate"/>
      </w:r>
      <w:r w:rsidR="00F21D3F">
        <w:t>75</w:t>
      </w:r>
      <w:r w:rsidRPr="00C462F6">
        <w:fldChar w:fldCharType="end"/>
      </w:r>
      <w:bookmarkEnd w:id="159"/>
      <w:r>
        <w:t xml:space="preserve">. Articolele 5-10c din Legea din 1997 definesc fiecare dintre aceste tehnici. În temeiul articolului 10c alineatul (1), un „agent sub acoperire” este un funcționar public care își desfășoară activitatea în cadrul uneia dintre autoritățile de aplicare a legii specificate și care este împuternicit să stabilească sau să mențină legătura cu o „persoană controlată” pentru a obține </w:t>
      </w:r>
      <w:r>
        <w:lastRenderedPageBreak/>
        <w:t>sau a expune informații cu privire la săvârșirea cu intenție a unor infracțiuni grave sau la organizarea unei activități infracționale. Potrivit articolului 12b din Codul penal (care a fost adăugat în 2010), nu constituie infracțiune fapta săvârșită de un „agent sub acoperire” în limitele competențelor care îi sunt conferite prin lege.</w:t>
      </w:r>
    </w:p>
    <w:bookmarkStart w:id="160" w:name="RLF_SSMA_s_10c_2_s_4"/>
    <w:p w:rsidR="00304BC9" w:rsidRPr="00C462F6" w:rsidRDefault="00736C78" w:rsidP="00304BC9">
      <w:pPr>
        <w:pStyle w:val="JuPara"/>
      </w:pPr>
      <w:r w:rsidRPr="00C462F6">
        <w:fldChar w:fldCharType="begin"/>
      </w:r>
      <w:r w:rsidRPr="00C462F6">
        <w:instrText xml:space="preserve"> SEQ level0 \*arabic \* MERGEFORMAT </w:instrText>
      </w:r>
      <w:r w:rsidRPr="00C462F6">
        <w:fldChar w:fldCharType="separate"/>
      </w:r>
      <w:r w:rsidR="00F21D3F">
        <w:t>76</w:t>
      </w:r>
      <w:r w:rsidRPr="00C462F6">
        <w:fldChar w:fldCharType="end"/>
      </w:r>
      <w:bookmarkEnd w:id="160"/>
      <w:r>
        <w:t>. În temeiul articolului 10c alineatul (2), Agenția poate solicita Ministerului Afacerilor Interne să detașeze un „agent sub acoperire”. Articolul 4 din Legea din 1997 prevede, într-un mod mai general, că „mijloacele speciale de supraveghere” pot fi utilizate în privința activităților legate de securitatea națională.</w:t>
      </w:r>
    </w:p>
    <w:p w:rsidR="00304BC9" w:rsidRPr="00C462F6" w:rsidRDefault="00736C78" w:rsidP="00304BC9">
      <w:pPr>
        <w:pStyle w:val="JuHIRoman"/>
      </w:pPr>
      <w:bookmarkStart w:id="161" w:name="_Toc238743265"/>
      <w:r>
        <w:rPr>
          <w:caps w:val="0"/>
        </w:rPr>
        <w:t>GESTIONAREA ȘI FUNCȚIONAREA SISTEMULUI DE PROTECȚIE A SECURITĂȚII NAȚIONALE</w:t>
      </w:r>
      <w:bookmarkEnd w:id="161"/>
    </w:p>
    <w:bookmarkStart w:id="162" w:name="RLF_SPNSA_s_2"/>
    <w:bookmarkStart w:id="163" w:name="_Toc175304747"/>
    <w:p w:rsidR="00304BC9" w:rsidRPr="00412434" w:rsidRDefault="00736C78" w:rsidP="00304BC9">
      <w:pPr>
        <w:pStyle w:val="JuPara"/>
      </w:pPr>
      <w:r w:rsidRPr="00412434">
        <w:fldChar w:fldCharType="begin"/>
      </w:r>
      <w:r w:rsidRPr="00412434">
        <w:instrText xml:space="preserve"> SEQ level0 \*arabic \* MERGEFORMAT </w:instrText>
      </w:r>
      <w:r w:rsidRPr="00412434">
        <w:fldChar w:fldCharType="separate"/>
      </w:r>
      <w:r w:rsidR="00F21D3F">
        <w:t>77</w:t>
      </w:r>
      <w:r w:rsidRPr="00412434">
        <w:fldChar w:fldCharType="end"/>
      </w:r>
      <w:bookmarkEnd w:id="162"/>
      <w:r>
        <w:t>. Articolul 2 din Legea din 2015 privind gestionarea și funcționarea sistemului de protecție a securității naționale definește „securitatea națională” ca fiind „o stare dinamică a societății și a statului, în care integritatea teritorială, suveranitatea și ordinea constituțională sunt protejate și funcționarea democratică a instituțiilor și drepturile și libertățile fundamentale ale cetățenilor sunt garantate, stare care permite menținerea și creșterea bunăstării națiunii, precum și dezvoltarea acesteia, și protejarea cu succes de către stat a intereselor sale naționale, precum și realizarea priorităților sale naționale”.</w:t>
      </w:r>
    </w:p>
    <w:p w:rsidR="00304BC9" w:rsidRPr="00C462F6" w:rsidRDefault="00736C78" w:rsidP="00304BC9">
      <w:pPr>
        <w:pStyle w:val="JuHIRoman"/>
      </w:pPr>
      <w:bookmarkStart w:id="164" w:name="_Toc238743266"/>
      <w:r>
        <w:rPr>
          <w:caps w:val="0"/>
        </w:rPr>
        <w:t>LEGEA DIN 2002 PRIVIND PROTECȚIA DATELOR CU CARACTER PERSONAL</w:t>
      </w:r>
      <w:bookmarkEnd w:id="163"/>
      <w:bookmarkEnd w:id="164"/>
    </w:p>
    <w:bookmarkStart w:id="165" w:name="RLF_PPDA"/>
    <w:p w:rsidR="00304BC9" w:rsidRPr="00FE3CEB" w:rsidRDefault="00736C78" w:rsidP="00304BC9">
      <w:pPr>
        <w:pStyle w:val="JuPara"/>
      </w:pPr>
      <w:r w:rsidRPr="00F63C2C">
        <w:fldChar w:fldCharType="begin"/>
      </w:r>
      <w:r w:rsidRPr="00F63C2C">
        <w:instrText xml:space="preserve"> SEQ level0 \*arabic \* MERGEFORMAT </w:instrText>
      </w:r>
      <w:r w:rsidRPr="00F63C2C">
        <w:fldChar w:fldCharType="separate"/>
      </w:r>
      <w:r w:rsidR="00F21D3F">
        <w:t>78</w:t>
      </w:r>
      <w:r w:rsidRPr="00F63C2C">
        <w:fldChar w:fldCharType="end"/>
      </w:r>
      <w:bookmarkEnd w:id="165"/>
      <w:r>
        <w:t>. Legea din 2002 privind protecția datelor cu caracter personal („Legea din 2002”) a fost adoptată, printre altele, pentru a se garanta că Bulgaria își va respecta obligația, care îi revine în temeiul Convenției din 1981 pentru protejarea persoanelor față de prelucrarea automatizată a datelor cu caracter personal, pe care a semnat-o în 1998 și a ratificat-o în 2002, de a adopta în dreptul său intern măsurile necesare pentru a pune în aplicare principiile fundamentale privind protecția datelor.</w:t>
      </w:r>
    </w:p>
    <w:bookmarkStart w:id="166" w:name="RLF_PPDA_Mar_2019_amendments"/>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79</w:t>
      </w:r>
      <w:r w:rsidRPr="00FE3CEB">
        <w:fldChar w:fldCharType="end"/>
      </w:r>
      <w:bookmarkEnd w:id="166"/>
      <w:r>
        <w:t>. Astfel cum a fost modificată, cu efect din martie 2019, în vederea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alinierii la dispozițiile Regulamentul (UE) 2016/679 privind protecția persoanelor fizice în ceea ce privește prelucrarea datelor cu caracter personal și privind libera circulație a acestor date („Regulamentul general privind protecția datelor” – „RGPD”) și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xml:space="preserve">) transpunerii Directivei (UE) 2016/680 privind protecția persoanelor fizice referitor la prelucrarea datelor cu caracter personal de către autoritățile competente în scopul prevenirii, depistării, investigării sau urmăririi penale a infracțiunilor sau al executării pedepselor și privind libera circulație a acestor date [„Directiva privind protecția datelor în materie de asigurare a respectării legii” – „LED” (Law Enforcement </w:t>
      </w:r>
      <w:r>
        <w:lastRenderedPageBreak/>
        <w:t>Directive)], Legea din 2002 reglementează toate aspectele legate de protecția datelor cu caracter personal care nu sunt prevăzute în textul RGPD [articolul 1 alineatul (1)].</w:t>
      </w:r>
    </w:p>
    <w:bookmarkStart w:id="167" w:name="RLF_PPDA_definition_personal_data"/>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80</w:t>
      </w:r>
      <w:r w:rsidRPr="00FE3CEB">
        <w:fldChar w:fldCharType="end"/>
      </w:r>
      <w:bookmarkEnd w:id="167"/>
      <w:r>
        <w:t>. La articolul 1 alineatul (1) din dispozițiile suplimentare ale Legii din 2002 (astfel cum a fost modificată cu efect din martie 2019) se folosește expresia „date cu caracter personal”, în sensul legii, aceasta având aceeași semnificație ca și sintagma (date cu caracter personal) folosită la articolul 4 alineatul (1) din RGPD.</w:t>
      </w:r>
      <w:bookmarkStart w:id="168" w:name="_Ref185407638"/>
      <w:r>
        <w:rPr>
          <w:rStyle w:val="FootnoteReference"/>
        </w:rPr>
        <w:footnoteReference w:id="3"/>
      </w:r>
      <w:bookmarkEnd w:id="168"/>
    </w:p>
    <w:p w:rsidR="00304BC9" w:rsidRPr="00FE3CEB" w:rsidRDefault="00736C78" w:rsidP="00304BC9">
      <w:pPr>
        <w:pStyle w:val="JuHA"/>
      </w:pPr>
      <w:bookmarkStart w:id="169" w:name="_Toc175304748"/>
      <w:bookmarkStart w:id="170" w:name="_Toc238743267"/>
      <w:r>
        <w:t>Domeniu de aplicare</w:t>
      </w:r>
      <w:bookmarkEnd w:id="169"/>
      <w:bookmarkEnd w:id="170"/>
    </w:p>
    <w:p w:rsidR="00304BC9" w:rsidRPr="00AD5BE8" w:rsidRDefault="00736C78" w:rsidP="00304BC9">
      <w:pPr>
        <w:pStyle w:val="JuH1"/>
      </w:pPr>
      <w:bookmarkStart w:id="171" w:name="_Toc175304749"/>
      <w:bookmarkStart w:id="172" w:name="_Toc238743268"/>
      <w:r>
        <w:rPr>
          <w:i w:val="0"/>
        </w:rPr>
        <w:t>Ratione personae</w:t>
      </w:r>
      <w:bookmarkEnd w:id="171"/>
      <w:bookmarkEnd w:id="172"/>
    </w:p>
    <w:bookmarkStart w:id="173" w:name="RLF_PPDA_scope_ratione_personae"/>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81</w:t>
      </w:r>
      <w:r w:rsidRPr="00FE3CEB">
        <w:fldChar w:fldCharType="end"/>
      </w:r>
      <w:bookmarkEnd w:id="173"/>
      <w:r>
        <w:t>. Dispozițiile Legii din 2002, indiferent dacă se referă la prelucrarea datelor cu caracter personal care intră în domeniul de aplicare al RGPD sau la prelucrarea acestor date de către autorități în scopul asigurării respectării legii, se aplică doar datelor referitoare la indivizi (adică persoane fizice) [articolul 1 alineatele (1) și (2)].</w:t>
      </w:r>
    </w:p>
    <w:p w:rsidR="00304BC9" w:rsidRPr="00FE3CEB" w:rsidRDefault="00736C78" w:rsidP="00304BC9">
      <w:pPr>
        <w:pStyle w:val="JuH1"/>
      </w:pPr>
      <w:bookmarkStart w:id="174" w:name="_Toc175304750"/>
      <w:bookmarkStart w:id="175" w:name="_Toc238743269"/>
      <w:r>
        <w:t>Aplicarea acestor dispoziții în cazul prelucrării în scopuri legate de securitatea națională</w:t>
      </w:r>
      <w:bookmarkEnd w:id="174"/>
      <w:bookmarkEnd w:id="175"/>
    </w:p>
    <w:bookmarkStart w:id="176" w:name="RLF_PPDA_scope_ratione_materiae"/>
    <w:bookmarkStart w:id="177" w:name="RLF_PPDA_scope_ratione_materiae_history"/>
    <w:p w:rsidR="00304BC9" w:rsidRPr="00FE3CEB" w:rsidRDefault="00736C78" w:rsidP="009F0CAE">
      <w:pPr>
        <w:pStyle w:val="JuPara"/>
      </w:pPr>
      <w:r w:rsidRPr="00FE3CEB">
        <w:fldChar w:fldCharType="begin"/>
      </w:r>
      <w:r w:rsidRPr="00FE3CEB">
        <w:instrText xml:space="preserve"> SEQ level0 \*arabic \* MERGEFORMAT </w:instrText>
      </w:r>
      <w:r w:rsidRPr="00FE3CEB">
        <w:fldChar w:fldCharType="separate"/>
      </w:r>
      <w:r w:rsidR="00F21D3F">
        <w:t>82</w:t>
      </w:r>
      <w:r w:rsidRPr="00FE3CEB">
        <w:fldChar w:fldCharType="end"/>
      </w:r>
      <w:bookmarkEnd w:id="176"/>
      <w:bookmarkEnd w:id="177"/>
      <w:r>
        <w:t>. Legea din 2002, astfel cum a fost formulată începând din martie 2019, nu se aplică prelucrării datelor cu caracter personal în scopuri legate de securitatea națională, cu excepția cazului în care acest lucru este prevăzut în mod expres în altă parte [articolul 1 alineatul (5)]. În notele explicative la proiectul de lege al Guvernului (nr. 802-01-27) care a condus la modificarea Legii din martie 2019 (a se vedea supra, pct. </w:t>
      </w:r>
      <w:r>
        <w:fldChar w:fldCharType="begin"/>
      </w:r>
      <w:r>
        <w:instrText xml:space="preserve"> REF  RLF_PPDA \h  \* MERGEFORMAT </w:instrText>
      </w:r>
      <w:r>
        <w:fldChar w:fldCharType="separate"/>
      </w:r>
      <w:r w:rsidR="00F21D3F">
        <w:t>78</w:t>
      </w:r>
      <w:r>
        <w:fldChar w:fldCharType="end"/>
      </w:r>
      <w:r>
        <w:t>) s-a afirmat că articolul 1 alineatul (5) a fost introdus pentru a reflecta poziția potrivit căreia RGPD și LED nu se aplicau prelucrării datelor cu caracter personal în privința activităților care nu intrau în domeniul de aplicare al dreptului Uniunii Europene (UE). Într-o hotărâre din noiembrie 2023 (</w:t>
      </w:r>
      <w:r>
        <w:rPr>
          <w:i/>
        </w:rPr>
        <w:t>реш. № 10522 от 02.11.2023 г. по адм. д. № 140/2023 г., ВАС, V о.</w:t>
      </w:r>
      <w:r>
        <w:t>), Curtea Administrativă Supremă a subliniat că era necesar să se facă distincție între scopurile legate de securitatea națională, în sensul articolului 1 alineatul (5), și scopurile legate de asigurarea respectării legii.</w:t>
      </w:r>
    </w:p>
    <w:bookmarkStart w:id="178" w:name="RLF_PPDA_scope_ratione_materiae_history1"/>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83</w:t>
      </w:r>
      <w:r w:rsidRPr="00FE3CEB">
        <w:fldChar w:fldCharType="end"/>
      </w:r>
      <w:bookmarkEnd w:id="178"/>
      <w:r>
        <w:t xml:space="preserve">. Atunci când a fost adoptată inițial, Legea din 2002 prevedea că prelucrarea datelor cu caracter personal în scopuri legate de securitatea </w:t>
      </w:r>
      <w:r>
        <w:lastRenderedPageBreak/>
        <w:t>națională putea fi reglementată de o lege specială [articolul 1 alineatul (4), astfel cum a fost formulat în perioada 2002-2005]. În 2005, acest alineat a fost modificat pentru a prevedea că o astfel de prelucrare urma să fie reglementată de o lege specială [articolul 1 alineatul (4), astfel cum a fost formulat în perioada 2005-2006]. La sfârșitul anului 2006, articolul 1 alineatul (4), care a devenit articolul 1 alineatul (5), a fost modificat din nou – de această dată pentru a preciza că Legea nu se aplica prelucrării datelor cu caracter personal în scopuri legate de securitatea națională, cu excepția cazului în care o lege specială prevedea altfel [articolul 1 alineatul (5), astfel cum a fost formulat în perioada 2006-2019].</w:t>
      </w:r>
    </w:p>
    <w:bookmarkStart w:id="179" w:name="RLF_PPDA_scope_ratione_materiae_history2"/>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84</w:t>
      </w:r>
      <w:r w:rsidRPr="00FE3CEB">
        <w:fldChar w:fldCharType="end"/>
      </w:r>
      <w:bookmarkEnd w:id="179"/>
      <w:r>
        <w:t>. În această perioadă, în 2014, autoritatea responsabilă cu supravegherea aplicării Legii din 2002, Comisia pentru protecția datelor cu caracter personal (a se vedea infra, pct. </w:t>
      </w:r>
      <w:r w:rsidRPr="00FE3CEB">
        <w:fldChar w:fldCharType="begin"/>
      </w:r>
      <w:r w:rsidRPr="00FE3CEB">
        <w:instrText xml:space="preserve"> REF  RLF_PPDA_CPPD \h  \* MERGEFORMAT </w:instrText>
      </w:r>
      <w:r w:rsidRPr="00FE3CEB">
        <w:fldChar w:fldCharType="separate"/>
      </w:r>
      <w:r w:rsidR="00F21D3F">
        <w:t>91</w:t>
      </w:r>
      <w:r w:rsidRPr="00FE3CEB">
        <w:fldChar w:fldCharType="end"/>
      </w:r>
      <w:r>
        <w:t xml:space="preserve">), a primit o plângere din partea unei persoane care suspecta că Agenția interceptase în secret comunicațiile sale telefonice. Aceasta a solicitat Agenției informații cu privire la acest aspect în temeiul Legii din 2002, iar Agenția a refuzat să i le furnizeze, declarând că informațiile respective nu intrau în domeniul de aplicare al Legii în cauză. În continuare, persoana în cauză s-a plâns cu privire la acest refuz în fața Comisiei, care i-a respins plângerea, fiind de acord că informațiile pe care le solicitase Agenției nu intrau în domeniul de aplicare al Legii din 2002 întrucât nu priveau date cu caracter personal. Potrivit Comisiei, informațiile privind utilizarea „mijloacelor speciale de supraveghere” puteau fi solicitate numai de la organismul care supraveghea utilizarea acestor mijloace – </w:t>
      </w:r>
      <w:bookmarkStart w:id="180" w:name="_Hlk171076848"/>
      <w:r>
        <w:t>Biroul Național pentru Controlul Mijloacelor Speciale de Supraveghere</w:t>
      </w:r>
      <w:bookmarkEnd w:id="180"/>
      <w:r>
        <w:t xml:space="preserve"> (a se vedea </w:t>
      </w:r>
      <w:r>
        <w:rPr>
          <w:i/>
        </w:rPr>
        <w:t>реш. № Ж-780 от 08.10.2014 г., КЗЛД</w:t>
      </w:r>
      <w:r>
        <w:t>).</w:t>
      </w:r>
    </w:p>
    <w:p w:rsidR="00304BC9" w:rsidRPr="00FE3CEB" w:rsidRDefault="00736C78" w:rsidP="00304BC9">
      <w:pPr>
        <w:pStyle w:val="JuHA"/>
      </w:pPr>
      <w:bookmarkStart w:id="181" w:name="_Toc175304751"/>
      <w:bookmarkStart w:id="182" w:name="_Toc238743270"/>
      <w:r>
        <w:t>Dreptul de acces la datele cu caracter personal și restrângerea acestui drept</w:t>
      </w:r>
      <w:bookmarkEnd w:id="181"/>
      <w:bookmarkEnd w:id="182"/>
    </w:p>
    <w:p w:rsidR="00304BC9" w:rsidRPr="00FE3CEB" w:rsidRDefault="00736C78" w:rsidP="00304BC9">
      <w:pPr>
        <w:pStyle w:val="JuH1"/>
      </w:pPr>
      <w:bookmarkStart w:id="183" w:name="_Toc175304752"/>
      <w:bookmarkStart w:id="184" w:name="_Toc238743271"/>
      <w:r>
        <w:t>Cu privire la prelucrarea care intră sub incidența RGPD</w:t>
      </w:r>
      <w:bookmarkEnd w:id="183"/>
      <w:bookmarkEnd w:id="184"/>
    </w:p>
    <w:bookmarkStart w:id="185" w:name="RLF_PPDA_right_access_GDPR"/>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85</w:t>
      </w:r>
      <w:r w:rsidRPr="00FE3CEB">
        <w:fldChar w:fldCharType="end"/>
      </w:r>
      <w:bookmarkEnd w:id="185"/>
      <w:r>
        <w:t>. Dreptul de acces la informațiile a căror prelucrare intră în domeniul de aplicare al RGPD este reglementat de articolul 15 alineatul (1) litera (a) din acesta, potrivit căruia „persoana vizată are dreptul de a obține din partea operatorului o confirmare că se prelucrează sau nu date cu caracter personal care o privesc și, în caz afirmativ, acces la datele respective și informații [cu privire la] scopurile prelucrării [acestora]”.</w:t>
      </w:r>
    </w:p>
    <w:bookmarkStart w:id="186" w:name="RLF_PPDA_right_access_GDPR_lim"/>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86</w:t>
      </w:r>
      <w:r w:rsidRPr="00FE3CEB">
        <w:fldChar w:fldCharType="end"/>
      </w:r>
      <w:bookmarkEnd w:id="186"/>
      <w:r>
        <w:t>. Un operator de date sau o persoană împuternicită de operator poate restricționa, integral sau parțial, accesul persoanei vizate sau alte drepturi prevăzute la articolele 12-22 din RGPD în cazul în care exercitarea acestora ar crea un risc la adresa securității naționale [articolul 37a alineatul (1) punctul 1 din Legea din 2002, care reflectă articolul 23 alineatul (1) litera (a) din RGPD]. Articolul 37a alineatul (2) precizează că modul în care poate fi realizat acest lucru trebuie să fie prevăzut de lege și în conformitate cu articolul 23 alineatul (2) din RGPD.</w:t>
      </w:r>
    </w:p>
    <w:p w:rsidR="00304BC9" w:rsidRPr="00FE3CEB" w:rsidRDefault="00736C78" w:rsidP="00304BC9">
      <w:pPr>
        <w:pStyle w:val="JuH1"/>
      </w:pPr>
      <w:bookmarkStart w:id="187" w:name="_Toc175304753"/>
      <w:bookmarkStart w:id="188" w:name="_Toc238743272"/>
      <w:r>
        <w:lastRenderedPageBreak/>
        <w:t>Cu privire la prelucrarea datelor de către autorități în scopul asigurării respectării legii</w:t>
      </w:r>
      <w:bookmarkEnd w:id="187"/>
      <w:bookmarkEnd w:id="188"/>
    </w:p>
    <w:bookmarkStart w:id="189" w:name="RLF_PPDA_right_access_LED"/>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87</w:t>
      </w:r>
      <w:r w:rsidRPr="00FE3CEB">
        <w:fldChar w:fldCharType="end"/>
      </w:r>
      <w:bookmarkEnd w:id="189"/>
      <w:r>
        <w:t>. Persoana vizată are dreptul de a obține din partea operatorului confirmarea aspectului dacă sunt sau nu prelucrate date cu caracter personal care o privesc și (în caz afirmativ) acces la datele respective și la informații cu privire la scopurile prelucrării acestora [articolul 55 alineatul (1) punctul 1, coroborat cu articolul 54 alineatul (1) punctul 5 și alineatul (2) punctul 1 din Legea din 2002, care a transpus articolul 14 litera (a) din LED].</w:t>
      </w:r>
    </w:p>
    <w:bookmarkStart w:id="190" w:name="RLF_PPDA_right_access_LED_lim"/>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88</w:t>
      </w:r>
      <w:r w:rsidRPr="00FE3CEB">
        <w:fldChar w:fldCharType="end"/>
      </w:r>
      <w:bookmarkEnd w:id="190"/>
      <w:r>
        <w:t xml:space="preserve">. Aceste drepturi pot fi restrânse, integral sau parțial, în cazul în care acest lucru este necesar, printre altele, pentru protejarea securității naționale – atât timp cât se ține seama în mod corespunzător de drepturile fundamentale și de interesele legitime ale persoanelor în cauză [articolul 55 alineatul (3), coroborat cu articolul 54 alineatul (3) punctul 4 din Legea din 2002, care a pus în aplicare derogarea permisă la articolul 15 alineatul (1) litera (d) din LED]. Atunci când nu mai există obstacolul în cauză, operatorul de date trebuie, în mod normal, să furnizeze informațiile respective în termen de două luni de la data la care persoana vizată le-a solicitat [articolul 55 alineatul (3) </w:t>
      </w:r>
      <w:r>
        <w:rPr>
          <w:i/>
        </w:rPr>
        <w:t>in fine,</w:t>
      </w:r>
      <w:r>
        <w:t xml:space="preserve"> coroborat cu articolul 54 alineatul (4) și cu articolul 53 alineatul (3)].</w:t>
      </w:r>
    </w:p>
    <w:bookmarkStart w:id="191" w:name="RLF_PPDA_right_access_LED_lim_reasons"/>
    <w:p w:rsidR="00304BC9"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89</w:t>
      </w:r>
      <w:r w:rsidRPr="00FE3CEB">
        <w:fldChar w:fldCharType="end"/>
      </w:r>
      <w:bookmarkEnd w:id="191"/>
      <w:r>
        <w:t>. În cazul în care accesul la datele cu caracter personal este refuzat sau limitat în temeiul dispozițiilor sus-menționate, operatorul de date trebuie să informeze persoana vizată cu privire la refuzarea sau limitarea accesului (și la motivele refuzului sau ale limitării) în termen de două luni, dar poate omite să furnizeze aceste informații în cazul în care acest lucru ar contraveni scopului măsurilor respective [articolul 55 alineatul (4), coroborat cu articolul 53 alineatul (3) din Legea din 2002, care a transpus articolul 15 alineatul (3) din LED]. În acest caz, operatorul de date trebuie totuși să consemneze motivele de fapt și de drept pe care se întemeiază această decizie și să le pună la dispoziția autorității de supraveghere competente – care este, în majoritatea cazurilor, Comisia pentru protecția datelor cu caracter personal, ale cărei atribuții și competențe sunt menționate la punctele </w:t>
      </w:r>
      <w:r>
        <w:fldChar w:fldCharType="begin"/>
      </w:r>
      <w:r>
        <w:instrText xml:space="preserve"> REF  RLF_PPDA_CPPD \h  \* MERGEFORMAT </w:instrText>
      </w:r>
      <w:r>
        <w:fldChar w:fldCharType="separate"/>
      </w:r>
      <w:r w:rsidR="00F21D3F">
        <w:t>91</w:t>
      </w:r>
      <w:r>
        <w:fldChar w:fldCharType="end"/>
      </w:r>
      <w:r>
        <w:t>-</w:t>
      </w:r>
      <w:r>
        <w:fldChar w:fldCharType="begin"/>
      </w:r>
      <w:r>
        <w:instrText xml:space="preserve"> REF  RLF_PPDA_CPPD_quinquies \h  \* MERGEFORMAT </w:instrText>
      </w:r>
      <w:r>
        <w:fldChar w:fldCharType="separate"/>
      </w:r>
      <w:r w:rsidR="00F21D3F">
        <w:t>95</w:t>
      </w:r>
      <w:r>
        <w:fldChar w:fldCharType="end"/>
      </w:r>
      <w:r>
        <w:t xml:space="preserve"> de mai jos [articolul 55 alineatul (5) din Legea din 2002, care a transpus articolul 15 alineatul (4) din LED].</w:t>
      </w:r>
    </w:p>
    <w:bookmarkStart w:id="192" w:name="RLF_PPDA_right_access_LED_indirect"/>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90</w:t>
      </w:r>
      <w:r w:rsidRPr="00FE3CEB">
        <w:fldChar w:fldCharType="end"/>
      </w:r>
      <w:bookmarkEnd w:id="192"/>
      <w:r>
        <w:t>. În cazul în care astfel de restricții au fost instituite de un operator de date care nu este o instanță sau un organ de anchetă sau de urmărire penală</w:t>
      </w:r>
      <w:r>
        <w:rPr>
          <w:rStyle w:val="FootnoteReference"/>
        </w:rPr>
        <w:footnoteReference w:id="4"/>
      </w:r>
      <w:r>
        <w:t xml:space="preserve">, persoana vizată își poate exercita dreptul de acces în temeiul articolului 55 alineatul (1) din Legea din 2002 în mod indirect, prin intermediul Comisiei pentru protecția datelor cu caracter personal. În cazul în care persoana își exercită acest drept, Comisia trebuie să verifice legalitatea restricției </w:t>
      </w:r>
      <w:r>
        <w:lastRenderedPageBreak/>
        <w:t>[articolul 57 alineatul (1) din Legea din 2002, care a transpus articolul 17 alineatul (1) din LED] și să informeze persoana vizată cel puțin că au fost realizate toate verificările necesare sau o revizuire [articolul 57 alineatul (2) din Legea din 2002, care a transpus articolul 17 alineatul (3) din LED].</w:t>
      </w:r>
    </w:p>
    <w:p w:rsidR="00304BC9" w:rsidRPr="00FE3CEB" w:rsidRDefault="00736C78" w:rsidP="00304BC9">
      <w:pPr>
        <w:pStyle w:val="JuHA"/>
      </w:pPr>
      <w:bookmarkStart w:id="193" w:name="_Toc175304754"/>
      <w:bookmarkStart w:id="194" w:name="_Toc238743273"/>
      <w:r>
        <w:t>Autoritatea de supraveghere</w:t>
      </w:r>
      <w:bookmarkEnd w:id="193"/>
      <w:bookmarkEnd w:id="194"/>
    </w:p>
    <w:bookmarkStart w:id="195" w:name="RLF_PPDA_CPPD"/>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91</w:t>
      </w:r>
      <w:r w:rsidRPr="00FE3CEB">
        <w:fldChar w:fldCharType="end"/>
      </w:r>
      <w:bookmarkEnd w:id="195"/>
      <w:r>
        <w:t>. Comisia pentru protecția datelor cu caracter personal supraveghează prelucrarea datelor cu caracter personal care intră în domeniul de aplicare al RGPD, precum și o astfel de prelucrare în scopul asigurării respectării legii de către toate autoritățile, cu excepția instanțelor și a organelor de anchetă și de urmărire penală [articolul 6 alineatul (1), articolul 10 alineatul (1), articolul 10a alineatul (1) și articolul 78 din Legea din 2002]</w:t>
      </w:r>
      <w:r>
        <w:rPr>
          <w:rStyle w:val="FootnoteReference"/>
        </w:rPr>
        <w:footnoteReference w:id="5"/>
      </w:r>
      <w:r>
        <w:t>.</w:t>
      </w:r>
    </w:p>
    <w:bookmarkStart w:id="196" w:name="RLF_PPDA_CPPD_bis"/>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92</w:t>
      </w:r>
      <w:r w:rsidRPr="00FE3CEB">
        <w:fldChar w:fldCharType="end"/>
      </w:r>
      <w:bookmarkEnd w:id="196"/>
      <w:r>
        <w:t>. În cadrul acestei supravegheri, Comisia respectivă trebuie, printre altele,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să trateze plângerile depuse de persoane vizate,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să verifice legalitatea prelucrării în cazurile în care a fost restricționat dreptul de acces al persoanei vizate (a se vedea supra, pct. </w:t>
      </w:r>
      <w:r w:rsidRPr="002A6221">
        <w:fldChar w:fldCharType="begin"/>
      </w:r>
      <w:r w:rsidRPr="002A6221">
        <w:instrText xml:space="preserve"> REF  RLF_PPDA_right_access_LED_lim \h  \* MERGEFORMAT </w:instrText>
      </w:r>
      <w:r w:rsidRPr="002A6221">
        <w:fldChar w:fldCharType="separate"/>
      </w:r>
      <w:r w:rsidR="00F21D3F">
        <w:t>88</w:t>
      </w:r>
      <w:r w:rsidRPr="002A6221">
        <w:fldChar w:fldCharType="end"/>
      </w:r>
      <w:r>
        <w:t xml:space="preserve"> și </w:t>
      </w:r>
      <w:r>
        <w:fldChar w:fldCharType="begin"/>
      </w:r>
      <w:r>
        <w:instrText xml:space="preserve"> REF  RLF_PPDA_right_access_LED_indirect \h  \* MERGEFORMAT </w:instrText>
      </w:r>
      <w:r>
        <w:fldChar w:fldCharType="separate"/>
      </w:r>
      <w:r w:rsidR="00F21D3F">
        <w:t>90</w:t>
      </w:r>
      <w:r>
        <w:fldChar w:fldCharType="end"/>
      </w:r>
      <w:r>
        <w:t>) și (</w:t>
      </w:r>
      <w:r w:rsidR="00C56213">
        <w:fldChar w:fldCharType="begin"/>
      </w:r>
      <w:r w:rsidR="00C56213">
        <w:instrText xml:space="preserve"> SEQ level1 \*alphabetic \* MERGEFORMAT </w:instrText>
      </w:r>
      <w:r w:rsidR="00C56213">
        <w:fldChar w:fldCharType="separate"/>
      </w:r>
      <w:r w:rsidR="00F21D3F">
        <w:rPr>
          <w:noProof/>
        </w:rPr>
        <w:t>c</w:t>
      </w:r>
      <w:r w:rsidR="00C56213">
        <w:rPr>
          <w:noProof/>
        </w:rPr>
        <w:fldChar w:fldCharType="end"/>
      </w:r>
      <w:r>
        <w:t>) să informeze persoana vizată în termen de trei luni cu privire la rezultatul acestei verificări sau la motivele pentru care nu a avut loc verificarea [articolul 57 alineatul (1) litera (f) din RGPD și articolul 79 alineatul (1) punctele 5 și 6 din Legea din 2002, care a transpus articolul 46 alineatul (1) literele (f) și (g) din LED].</w:t>
      </w:r>
    </w:p>
    <w:bookmarkStart w:id="197" w:name="RLF_PPDA_CPPD_ter"/>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93</w:t>
      </w:r>
      <w:r w:rsidRPr="00FE3CEB">
        <w:fldChar w:fldCharType="end"/>
      </w:r>
      <w:bookmarkEnd w:id="197"/>
      <w:r>
        <w:t>. Atunci când supraveghează prelucrarea datelor în scopul asigurării respectării legii, Comisia respectivă poate obține, din partea operatorului sau a persoanei împuternicite de operator, accesul la (</w:t>
      </w:r>
      <w:r w:rsidR="00C56213">
        <w:fldChar w:fldCharType="begin"/>
      </w:r>
      <w:r w:rsidR="00C56213">
        <w:instrText xml:space="preserve"> SEQ level1 \*alphabetic \r1 \* MERGEFORMAT</w:instrText>
      </w:r>
      <w:r w:rsidR="00C56213">
        <w:instrText xml:space="preserve"> </w:instrText>
      </w:r>
      <w:r w:rsidR="00C56213">
        <w:fldChar w:fldCharType="separate"/>
      </w:r>
      <w:r w:rsidR="00F21D3F">
        <w:rPr>
          <w:noProof/>
        </w:rPr>
        <w:t>a</w:t>
      </w:r>
      <w:r w:rsidR="00C56213">
        <w:rPr>
          <w:noProof/>
        </w:rPr>
        <w:fldChar w:fldCharType="end"/>
      </w:r>
      <w:r>
        <w:t>) toate datele cu caracter personal care sunt prelucrate și la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toate informațiile necesare pentru îndeplinirea sarcinilor sale [articolul 80 alineatul (1) punctele 1 și 2 din Legea din 2002, care a transpus articolul 47 alineatul (1) din LED].</w:t>
      </w:r>
    </w:p>
    <w:bookmarkStart w:id="198" w:name="RLF_PPDA_CPPD_quater"/>
    <w:p w:rsidR="00304BC9" w:rsidRPr="000B48EB" w:rsidRDefault="00736C78" w:rsidP="00A91E18">
      <w:pPr>
        <w:pStyle w:val="JuPara"/>
      </w:pPr>
      <w:r w:rsidRPr="00FE3CEB">
        <w:fldChar w:fldCharType="begin"/>
      </w:r>
      <w:r w:rsidRPr="00FE3CEB">
        <w:instrText xml:space="preserve"> SEQ level0 \*arabic \* MERGEFORMAT </w:instrText>
      </w:r>
      <w:r w:rsidRPr="00FE3CEB">
        <w:fldChar w:fldCharType="separate"/>
      </w:r>
      <w:r w:rsidR="00F21D3F">
        <w:t>94</w:t>
      </w:r>
      <w:r w:rsidRPr="00FE3CEB">
        <w:fldChar w:fldCharType="end"/>
      </w:r>
      <w:bookmarkEnd w:id="198"/>
      <w:r>
        <w:t>. Atunci când supraveghează prelucrarea datelor în scopul asigurării respectării legii, Comisia respectivă poate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să dea dispoziții operatorului sau persoanei împuternicite de operator să asigure conformitatea operațiunilor de prelucrare cu partea relevantă din Legea din 2002 – în special dispunând rectificarea sau ștergerea datelor cu caracter personal sau restricționarea prelucrării acestora, în temeiul articolului 56 din Lege, și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xml:space="preserve">) să impună o limitare temporară sau definitivă, inclusiv o interdicție, în ceea ce privește prelucrarea [articolul 80 alineatul (1) punctele 3 și 4 din Legea din 2002, care a transpus articolul 47 alineatul (2) literele (b) și (c) din LED]. Comisia și-a exercitat aceste competențe cel puțin în trei rânduri în raport cu Ministerul Afacerilor Interne (a se vedea </w:t>
      </w:r>
      <w:r>
        <w:rPr>
          <w:i/>
        </w:rPr>
        <w:t>реш. № ППН-01-482/2020 от 10.05.2021 г., КЗЛД</w:t>
      </w:r>
      <w:r>
        <w:t xml:space="preserve">; </w:t>
      </w:r>
      <w:r>
        <w:rPr>
          <w:i/>
        </w:rPr>
        <w:t>реш. № ППН-01-361/2021 от 18.01.2022 г., КЗЛД</w:t>
      </w:r>
      <w:r>
        <w:t xml:space="preserve">; și </w:t>
      </w:r>
      <w:r>
        <w:rPr>
          <w:i/>
        </w:rPr>
        <w:t>реш. № ППН 01-350/2021 от 17.03.2022 г., КЗЛД</w:t>
      </w:r>
      <w:r>
        <w:t>).</w:t>
      </w:r>
    </w:p>
    <w:bookmarkStart w:id="199" w:name="RLF_PPDA_CPPD_quinquies"/>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95</w:t>
      </w:r>
      <w:r w:rsidRPr="00FE3CEB">
        <w:fldChar w:fldCharType="end"/>
      </w:r>
      <w:bookmarkEnd w:id="199"/>
      <w:r>
        <w:t xml:space="preserve">. Comisia în cauză poate, de asemenea, să aducă în atenția instanțelor cazurile de încălcare a dispozițiilor din partea relevantă din Legea din 2002 </w:t>
      </w:r>
      <w:r>
        <w:lastRenderedPageBreak/>
        <w:t>[articolul 80 alineatul (3) din Legea din 2002, care a transpus articolul 47 alineatul (5) din LED].</w:t>
      </w:r>
    </w:p>
    <w:bookmarkStart w:id="200" w:name="RLF_PPDA_CPPD_sexies_annual_reports"/>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96</w:t>
      </w:r>
      <w:r w:rsidRPr="00FE3CEB">
        <w:fldChar w:fldCharType="end"/>
      </w:r>
      <w:bookmarkEnd w:id="200"/>
      <w:r>
        <w:t xml:space="preserve">. În raportul său anual pentru 2009, Comisia a consemnat, la pagina 28, faptul că a încheiat un acord de cooperare cu Agenția în scopul realizării unei colaborări mai strânse între cele două părți în domeniul protecției datelor cu caracter personal (în spiritul respectării reciproce a independenței lor și a domeniilor lor de responsabilitate respective); această cooperare includea coordonarea, schimbul, deținerea și utilizarea de date și informații, precum și crearea unor grupuri de lucru comune și furnizarea de asistență tehnică sau de specialitate. De asemenea, Comisia a subliniat, la pagina 35 </w:t>
      </w:r>
      <w:r>
        <w:rPr>
          <w:i/>
        </w:rPr>
        <w:t>in fine</w:t>
      </w:r>
      <w:r>
        <w:t>, că era pe cale să finalizeze un audit al Agenției în legătură cu pregătirile pentru procesul viitor de punere în aplicare a Sistemului de Informații Schengen. În raportul său anual pentru 2010, Comisia a menționat, la pagina 38, că a continuat cooperarea sa cu Agenția în temeiul acordului încheiat în 2009. În raportul său anual pentru 2015, Comisia a făcut referire, la paginile 42-43, la o verificare a unei fundații private, pe care a efectuat-o împreună cu alte autorități, inclusiv cu Agenția. În raportul său anual pentru 2016, Comisia a făcut referire, la paginile 98-99, la cooperarea sa cu Agenția în ceea ce privește transpunerea noii legislații (de exemplu, în ceea ce privește crearea unei noi unități de informații financiare în cadrul Agenției) și cooperarea internațională. În niciunul dintre rapoartele sale anuale pentru perioada 2009-2023, Comisia nu a menționat inspecțiile pe care le-a efectuat în cadrul Agenției, cu excepția auditului din 2009 sus-menționat, referitor la procesul viitor de punere în aplicare a Sistemului de Informații Schengen.</w:t>
      </w:r>
    </w:p>
    <w:p w:rsidR="00304BC9" w:rsidRPr="00FE3CEB" w:rsidRDefault="00736C78" w:rsidP="00304BC9">
      <w:pPr>
        <w:pStyle w:val="JuHA"/>
      </w:pPr>
      <w:bookmarkStart w:id="201" w:name="_Toc175304755"/>
      <w:bookmarkStart w:id="202" w:name="_Toc238743274"/>
      <w:r>
        <w:t>Căi de atac</w:t>
      </w:r>
      <w:bookmarkEnd w:id="201"/>
      <w:bookmarkEnd w:id="202"/>
    </w:p>
    <w:p w:rsidR="00304BC9" w:rsidRPr="00FE3CEB" w:rsidRDefault="00736C78" w:rsidP="00304BC9">
      <w:pPr>
        <w:pStyle w:val="JuH1"/>
      </w:pPr>
      <w:bookmarkStart w:id="203" w:name="_Toc175304756"/>
      <w:bookmarkStart w:id="204" w:name="_Toc238743275"/>
      <w:r>
        <w:t>În ceea ce privește prelucrarea care intră în domeniul de aplicare al RGPD</w:t>
      </w:r>
      <w:bookmarkEnd w:id="203"/>
      <w:bookmarkEnd w:id="204"/>
    </w:p>
    <w:bookmarkStart w:id="205" w:name="RLF_PPDA_remedies_GDPR_1"/>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97</w:t>
      </w:r>
      <w:r w:rsidRPr="00FE3CEB">
        <w:fldChar w:fldCharType="end"/>
      </w:r>
      <w:bookmarkEnd w:id="205"/>
      <w:r>
        <w:t>. Persoanele vizate care consideră că le-au fost încălcate drepturile în temeiul RGPD sau al Legii din 2002 pot depune o plângere la Comisia pentru protecția datelor cu caracter personal și pot solicita controlul jurisdicțional al deciziei acesteia [articolul 38 alineatele (1) și (7) [începând din mai 2023, alineatul (8)] din Legea din 2002, care reflectă articolul 77 alineatul (1) și articolul 78 alineatele (1) și (2) din RGPD].</w:t>
      </w:r>
    </w:p>
    <w:bookmarkStart w:id="206" w:name="RLF_PPDA_remedies_GDPR_2"/>
    <w:p w:rsidR="00304BC9" w:rsidRPr="00FE3CEB"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98</w:t>
      </w:r>
      <w:r w:rsidRPr="00FE3CEB">
        <w:fldChar w:fldCharType="end"/>
      </w:r>
      <w:bookmarkEnd w:id="206"/>
      <w:r>
        <w:t>. Persoanele vizate pot, de asemenea, să solicite în mod direct controlul jurisdicțional al acțiunilor întreprinse sau al deciziilor adoptate de operatorul de date sau de persoana împuternicită de operator ori să solicite despăgubiri din partea acestora pentru prejudiciul suferit, în cazul în care operatorul de date sau persoana împuternicită de operator a prelucrat în mod ilegal datele cu caracter personal ale acestora [articolul 39 alineatele (1) și (2) din Legea din 2002, care reflectă articolul 79 alineatul (1) și articolul 82 alineatul (1) din RGPD].</w:t>
      </w:r>
    </w:p>
    <w:p w:rsidR="00304BC9" w:rsidRPr="00FE3CEB" w:rsidRDefault="00736C78" w:rsidP="00304BC9">
      <w:pPr>
        <w:pStyle w:val="JuH1"/>
      </w:pPr>
      <w:bookmarkStart w:id="207" w:name="_Toc175304757"/>
      <w:bookmarkStart w:id="208" w:name="_Toc238743276"/>
      <w:r>
        <w:lastRenderedPageBreak/>
        <w:t>În ceea ce privește prelucrarea efectuată de autorități în scopul asigurării respectării legii</w:t>
      </w:r>
      <w:bookmarkEnd w:id="207"/>
      <w:bookmarkEnd w:id="208"/>
    </w:p>
    <w:bookmarkStart w:id="209" w:name="RLF_PPDA_remedies_LED"/>
    <w:p w:rsidR="00304BC9" w:rsidRDefault="00736C78" w:rsidP="00304BC9">
      <w:pPr>
        <w:pStyle w:val="JuPara"/>
      </w:pPr>
      <w:r w:rsidRPr="00FE3CEB">
        <w:fldChar w:fldCharType="begin"/>
      </w:r>
      <w:r w:rsidRPr="00FE3CEB">
        <w:instrText xml:space="preserve"> SEQ level0 \*arabic \* MERGEFORMAT </w:instrText>
      </w:r>
      <w:r w:rsidRPr="00FE3CEB">
        <w:fldChar w:fldCharType="separate"/>
      </w:r>
      <w:r w:rsidR="00F21D3F">
        <w:t>99</w:t>
      </w:r>
      <w:r w:rsidRPr="00FE3CEB">
        <w:fldChar w:fldCharType="end"/>
      </w:r>
      <w:bookmarkEnd w:id="209"/>
      <w:r>
        <w:t>. Căile de atac privind pretinsele încălcări ale drepturilor persoanelor vizate, care au loc în cursul prelucrării datelor cu caracter personal de către autorități în scopul asigurării respectării legii, sunt aceleași ca și cele referitoare la pretinsele încălcări care au loc în cursul prelucrării datelor care intră în domeniul de aplicare al RGPD [articolul 82 alineatul (1) din Legea din 2002, care a transpus articolul 52 alineatul (1) și articolele 53 și 54 din LED].</w:t>
      </w:r>
    </w:p>
    <w:p w:rsidR="00304BC9" w:rsidRPr="00C462F6" w:rsidRDefault="00736C78" w:rsidP="00304BC9">
      <w:pPr>
        <w:pStyle w:val="JuHIRoman"/>
      </w:pPr>
      <w:bookmarkStart w:id="210" w:name="_Toc238743277"/>
      <w:r>
        <w:t>CODUL DE PROCEDURĂ ADMINISTRATIVĂ</w:t>
      </w:r>
      <w:bookmarkEnd w:id="210"/>
    </w:p>
    <w:bookmarkStart w:id="211" w:name="RLF_CAP_A_150_1_5"/>
    <w:p w:rsidR="00304BC9" w:rsidRPr="00C462F6" w:rsidRDefault="00736C78" w:rsidP="00304BC9">
      <w:pPr>
        <w:pStyle w:val="JuPara"/>
      </w:pPr>
      <w:r w:rsidRPr="00C462F6">
        <w:fldChar w:fldCharType="begin"/>
      </w:r>
      <w:r w:rsidRPr="00C462F6">
        <w:instrText xml:space="preserve"> SEQ level0 \*arabic \* MERGEFORMAT </w:instrText>
      </w:r>
      <w:r w:rsidRPr="00C462F6">
        <w:fldChar w:fldCharType="separate"/>
      </w:r>
      <w:r w:rsidR="00F21D3F">
        <w:t>100</w:t>
      </w:r>
      <w:r w:rsidRPr="00C462F6">
        <w:fldChar w:fldCharType="end"/>
      </w:r>
      <w:bookmarkEnd w:id="211"/>
      <w:r>
        <w:t>. În conformitate cu articolul 150 alineatul 1 punctul 5 din Codul de procedură administrativă din 2006, o cerere de control jurisdicțional trebuie să menționeze decizia administrativă împotriva căreia este îndreptată.</w:t>
      </w:r>
    </w:p>
    <w:p w:rsidR="00304BC9" w:rsidRPr="00C462F6" w:rsidRDefault="00736C78" w:rsidP="00304BC9">
      <w:pPr>
        <w:pStyle w:val="JuHHead"/>
        <w:numPr>
          <w:ilvl w:val="0"/>
          <w:numId w:val="22"/>
        </w:numPr>
        <w:tabs>
          <w:tab w:val="num" w:pos="340"/>
        </w:tabs>
        <w:ind w:left="340" w:hanging="340"/>
      </w:pPr>
      <w:bookmarkStart w:id="212" w:name="_Toc175214985"/>
      <w:bookmarkStart w:id="213" w:name="_Toc238743278"/>
      <w:r>
        <w:t>ÎN DREPT</w:t>
      </w:r>
      <w:bookmarkEnd w:id="212"/>
      <w:bookmarkEnd w:id="213"/>
    </w:p>
    <w:p w:rsidR="00304BC9" w:rsidRPr="00C462F6" w:rsidRDefault="00736C78" w:rsidP="00304BC9">
      <w:pPr>
        <w:pStyle w:val="JuHIRoman"/>
        <w:numPr>
          <w:ilvl w:val="1"/>
          <w:numId w:val="23"/>
        </w:numPr>
        <w:tabs>
          <w:tab w:val="left" w:pos="567"/>
          <w:tab w:val="left" w:pos="680"/>
        </w:tabs>
      </w:pPr>
      <w:bookmarkStart w:id="214" w:name="_Toc175214986"/>
      <w:bookmarkStart w:id="215" w:name="_Toc238743279"/>
      <w:r>
        <w:t>CU PRIVIRE LA PRETINSA ÎNCĂLCARE A ART. 8 DIN CONVENȚIE</w:t>
      </w:r>
      <w:bookmarkEnd w:id="214"/>
      <w:bookmarkEnd w:id="215"/>
    </w:p>
    <w:bookmarkStart w:id="216" w:name="L_C_A_8"/>
    <w:p w:rsidR="00304BC9" w:rsidRDefault="00736C78" w:rsidP="00304BC9">
      <w:pPr>
        <w:pStyle w:val="JuPara"/>
      </w:pPr>
      <w:r w:rsidRPr="00C462F6">
        <w:fldChar w:fldCharType="begin"/>
      </w:r>
      <w:r w:rsidRPr="00C462F6">
        <w:instrText xml:space="preserve"> SEQ level0 \*arabic \* MERGEFORMAT </w:instrText>
      </w:r>
      <w:r w:rsidRPr="00C462F6">
        <w:fldChar w:fldCharType="separate"/>
      </w:r>
      <w:r w:rsidR="00F21D3F">
        <w:t>101</w:t>
      </w:r>
      <w:r w:rsidRPr="00C462F6">
        <w:fldChar w:fldCharType="end"/>
      </w:r>
      <w:bookmarkEnd w:id="216"/>
      <w:r>
        <w:t>. Asociația reclamantă s-a plâns de faptul că regulamentul din 2008, care permitea folosirea „agenților cu identitate atribuită”, astfel cum a fost modificat în 2018, nu respecta cerințele art. 8 din Convenție în diferite privințe, în special în ceea ce privește garanțiile, și, astfel, acesta permitea Agenției să detașeze astfel de agenți în mod arbitrar și abuziv – în special având în vedere că regulamentul respectiv, care nu prevedea notificarea persoanelor în cauză cu privire la decizia Agenției de a folosi astfel de agenți, nu permitea contestarea acestei decizii. În ceea ce privește acest ultim aspect, asociația a invocat, de asemenea, art. 6 § 1 și art. 13  din Convenție.</w:t>
      </w:r>
    </w:p>
    <w:bookmarkStart w:id="217" w:name="L_C_A_8_bis"/>
    <w:p w:rsidR="00304BC9" w:rsidRPr="00E13447" w:rsidRDefault="00736C78" w:rsidP="00600C83">
      <w:pPr>
        <w:pStyle w:val="JuPara"/>
        <w:keepNext/>
        <w:keepLines/>
      </w:pPr>
      <w:r>
        <w:fldChar w:fldCharType="begin"/>
      </w:r>
      <w:r>
        <w:instrText xml:space="preserve"> SEQ level0 \*arabic \* MERGEFORMAT </w:instrText>
      </w:r>
      <w:r>
        <w:fldChar w:fldCharType="separate"/>
      </w:r>
      <w:r w:rsidR="00F21D3F">
        <w:t>102</w:t>
      </w:r>
      <w:r>
        <w:fldChar w:fldCharType="end"/>
      </w:r>
      <w:bookmarkEnd w:id="217"/>
      <w:r>
        <w:t xml:space="preserve">. În lumina jurisprudenței Curții referitoare la chestiuni de tipul celor în discuție în prezenta cauză [a se vedea </w:t>
      </w:r>
      <w:r>
        <w:rPr>
          <w:i/>
        </w:rPr>
        <w:t>Roman Zaharov împotriva Rusiei</w:t>
      </w:r>
      <w:r>
        <w:t xml:space="preserve"> (MC), nr. 47143/06, pct. 307, CEDO 2015;</w:t>
      </w:r>
      <w:bookmarkStart w:id="218" w:name="_cl40702THELAW"/>
      <w:bookmarkStart w:id="219" w:name="_cl41284THELAW"/>
      <w:r>
        <w:t xml:space="preserve"> </w:t>
      </w:r>
      <w:r>
        <w:rPr>
          <w:i/>
        </w:rPr>
        <w:t>Centrum för rättvisa împotriva Suediei</w:t>
      </w:r>
      <w:bookmarkEnd w:id="218"/>
      <w:r>
        <w:t xml:space="preserve"> (MC), nr. 35252/08, pct. 377, 25 mai 2021; </w:t>
      </w:r>
      <w:r>
        <w:rPr>
          <w:i/>
        </w:rPr>
        <w:t>Ekimdjiev și alții împotriva Bulgariei</w:t>
      </w:r>
      <w:bookmarkEnd w:id="219"/>
      <w:r>
        <w:t>, nr. 70078/12, pct. 247, 11 ianuarie 2022; și</w:t>
      </w:r>
      <w:bookmarkStart w:id="220" w:name="_cl44212THELAW"/>
      <w:r>
        <w:t xml:space="preserve"> </w:t>
      </w:r>
      <w:r>
        <w:rPr>
          <w:i/>
        </w:rPr>
        <w:t>Pietrzak și Bychawska-Siniarska și alții împotriva Poloniei</w:t>
      </w:r>
      <w:r>
        <w:t>, nr. 72038/17 și 25237/18, pct. 127, 28 mai 2024</w:t>
      </w:r>
      <w:bookmarkEnd w:id="220"/>
      <w:r>
        <w:t xml:space="preserve">; a se vedea, de asemenea, </w:t>
      </w:r>
      <w:r>
        <w:rPr>
          <w:i/>
        </w:rPr>
        <w:t>mutatis mutandis</w:t>
      </w:r>
      <w:r>
        <w:t>,</w:t>
      </w:r>
      <w:bookmarkStart w:id="221" w:name="_cl22632THELAW"/>
      <w:r>
        <w:t xml:space="preserve"> </w:t>
      </w:r>
      <w:r>
        <w:rPr>
          <w:i/>
        </w:rPr>
        <w:t>Brito Ferrinho Bexiga Villa-Nova împotriva Portugaliei</w:t>
      </w:r>
      <w:bookmarkEnd w:id="221"/>
      <w:r>
        <w:t>, nr. 69436/10, pct. 33-35, 1 decembrie 2015] și având în vedere modul în care asociația și-a formulat plângerea, aceasta trebuie să fie examinată doar din perspectiva art. 8 din Convenție. În măsura în care este relevant, articolul respectiv prevede următoarele:</w:t>
      </w:r>
    </w:p>
    <w:p w:rsidR="00304BC9" w:rsidRPr="00282EA7" w:rsidRDefault="00736C78" w:rsidP="00304BC9">
      <w:pPr>
        <w:pStyle w:val="JuQuot"/>
        <w:keepLines/>
      </w:pPr>
      <w:r>
        <w:t>„1. Orice persoană are dreptul la respectarea vieții sale private [...], a domiciliului său și a corespondenței sale.</w:t>
      </w:r>
    </w:p>
    <w:p w:rsidR="00304BC9" w:rsidRDefault="00736C78" w:rsidP="00304BC9">
      <w:pPr>
        <w:pStyle w:val="JuQuot"/>
        <w:keepLines/>
      </w:pPr>
      <w:r>
        <w:lastRenderedPageBreak/>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rsidR="00304BC9" w:rsidRDefault="00736C78" w:rsidP="00304BC9">
      <w:pPr>
        <w:pStyle w:val="JuHA"/>
      </w:pPr>
      <w:bookmarkStart w:id="222" w:name="_Toc175214987"/>
      <w:bookmarkStart w:id="223" w:name="_Toc238743280"/>
      <w:r>
        <w:t>Cu privire la admisibilitate</w:t>
      </w:r>
      <w:bookmarkEnd w:id="222"/>
      <w:bookmarkEnd w:id="223"/>
    </w:p>
    <w:p w:rsidR="00304BC9" w:rsidRPr="004304AD" w:rsidRDefault="00736C78" w:rsidP="00304BC9">
      <w:pPr>
        <w:pStyle w:val="JuH1"/>
      </w:pPr>
      <w:bookmarkStart w:id="224" w:name="_Toc175214988"/>
      <w:bookmarkStart w:id="225" w:name="_Toc238743281"/>
      <w:r>
        <w:t>Argumentele părților</w:t>
      </w:r>
      <w:bookmarkEnd w:id="224"/>
      <w:bookmarkEnd w:id="225"/>
    </w:p>
    <w:p w:rsidR="00304BC9" w:rsidRDefault="00736C78" w:rsidP="00304BC9">
      <w:pPr>
        <w:pStyle w:val="JuHa0"/>
      </w:pPr>
      <w:bookmarkStart w:id="226" w:name="_Toc175214989"/>
      <w:bookmarkStart w:id="227" w:name="_Toc238743282"/>
      <w:r>
        <w:t>Calitatea de victimă</w:t>
      </w:r>
      <w:bookmarkEnd w:id="226"/>
      <w:bookmarkEnd w:id="227"/>
    </w:p>
    <w:bookmarkStart w:id="228" w:name="L_C_A_8_adm_rm_G"/>
    <w:p w:rsidR="00304BC9" w:rsidRPr="007C6978" w:rsidRDefault="00736C78" w:rsidP="00304BC9">
      <w:pPr>
        <w:pStyle w:val="JuPara"/>
      </w:pPr>
      <w:r>
        <w:fldChar w:fldCharType="begin"/>
      </w:r>
      <w:r>
        <w:instrText xml:space="preserve"> SEQ level0 \*arabic \* MERGEFORMAT </w:instrText>
      </w:r>
      <w:r>
        <w:fldChar w:fldCharType="separate"/>
      </w:r>
      <w:r w:rsidR="00F21D3F">
        <w:t>103</w:t>
      </w:r>
      <w:r>
        <w:fldChar w:fldCharType="end"/>
      </w:r>
      <w:bookmarkEnd w:id="228"/>
      <w:r>
        <w:t xml:space="preserve">. Argumentele Guvernului cu privire la acest aspect, care se referă la existența unei ingerințe în exercitarea de către asociație a drepturilor garantate de art. 8 din Convenție, sunt prezentate la punctele </w:t>
      </w:r>
      <w:r>
        <w:fldChar w:fldCharType="begin"/>
      </w:r>
      <w:r>
        <w:instrText xml:space="preserve"> REF  L_C_A_8_m_int_G_1 \h  \* MERGEFORMAT </w:instrText>
      </w:r>
      <w:r>
        <w:fldChar w:fldCharType="separate"/>
      </w:r>
      <w:r w:rsidR="00F21D3F">
        <w:t>110</w:t>
      </w:r>
      <w:r>
        <w:fldChar w:fldCharType="end"/>
      </w:r>
      <w:r>
        <w:t>-</w:t>
      </w:r>
      <w:r>
        <w:fldChar w:fldCharType="begin"/>
      </w:r>
      <w:r>
        <w:instrText xml:space="preserve"> REF  L_C_A_8_m_int_G_2 \h  \* MERGEFORMAT </w:instrText>
      </w:r>
      <w:r>
        <w:fldChar w:fldCharType="separate"/>
      </w:r>
      <w:r w:rsidR="00F21D3F">
        <w:t>111</w:t>
      </w:r>
      <w:r>
        <w:fldChar w:fldCharType="end"/>
      </w:r>
      <w:r>
        <w:t xml:space="preserve"> de mai jos [pentru o abordare similară, a se vedea </w:t>
      </w:r>
      <w:bookmarkStart w:id="229" w:name="_cl42547THELAW"/>
      <w:r>
        <w:rPr>
          <w:i/>
        </w:rPr>
        <w:t>Fu Quan, s.r.o. împotriva Republicii Cehe</w:t>
      </w:r>
      <w:bookmarkEnd w:id="229"/>
      <w:r>
        <w:t xml:space="preserve"> (MC), nr. 24827/14, pct. 88 </w:t>
      </w:r>
      <w:r>
        <w:rPr>
          <w:i/>
        </w:rPr>
        <w:t>in fine</w:t>
      </w:r>
      <w:r>
        <w:t>, 1 iunie 2023].</w:t>
      </w:r>
    </w:p>
    <w:bookmarkStart w:id="230" w:name="L_C_A_8_adm_rm_A"/>
    <w:p w:rsidR="00304BC9" w:rsidRDefault="00736C78" w:rsidP="00304BC9">
      <w:pPr>
        <w:pStyle w:val="JuPara"/>
      </w:pPr>
      <w:r>
        <w:fldChar w:fldCharType="begin"/>
      </w:r>
      <w:r>
        <w:instrText xml:space="preserve"> SEQ level0 \*arabic \* MERGEFORMAT </w:instrText>
      </w:r>
      <w:r>
        <w:fldChar w:fldCharType="separate"/>
      </w:r>
      <w:r w:rsidR="00F21D3F">
        <w:t>104</w:t>
      </w:r>
      <w:r>
        <w:fldChar w:fldCharType="end"/>
      </w:r>
      <w:bookmarkEnd w:id="230"/>
      <w:r>
        <w:t>. Asociația reclamantă a susținut că suspecta că Agenția a infiltrat „agenți cu identitate atribuită” în cadrul asociației, întrucât acest lucru era pe deplin posibil în temeiul regulamentului în litigiu. Agenția nu avea obligația de a notifica asociația în acest sens și nu exista nicio modalitate legală prin care asociația să afle dacă acest lucru s-a întâmplat; Guvernul nu a negat acest lucru în observațiile sale.</w:t>
      </w:r>
    </w:p>
    <w:p w:rsidR="00304BC9" w:rsidRPr="00D143CC" w:rsidRDefault="00736C78" w:rsidP="00304BC9">
      <w:pPr>
        <w:pStyle w:val="JuHa0"/>
      </w:pPr>
      <w:bookmarkStart w:id="231" w:name="_Toc175214990"/>
      <w:bookmarkStart w:id="232" w:name="_Toc238743283"/>
      <w:r>
        <w:t>Epuizarea căilor de atac interne</w:t>
      </w:r>
      <w:bookmarkEnd w:id="231"/>
      <w:bookmarkEnd w:id="232"/>
    </w:p>
    <w:bookmarkStart w:id="233" w:name="L_C_A_8_adm_exh_G"/>
    <w:p w:rsidR="00304BC9" w:rsidRPr="007C6978" w:rsidRDefault="00736C78" w:rsidP="00304BC9">
      <w:pPr>
        <w:pStyle w:val="JuPara"/>
      </w:pPr>
      <w:r>
        <w:fldChar w:fldCharType="begin"/>
      </w:r>
      <w:r>
        <w:instrText xml:space="preserve"> SEQ level0 \*arabic \* MERGEFORMAT </w:instrText>
      </w:r>
      <w:r>
        <w:fldChar w:fldCharType="separate"/>
      </w:r>
      <w:r w:rsidR="00F21D3F">
        <w:t>105</w:t>
      </w:r>
      <w:r>
        <w:fldChar w:fldCharType="end"/>
      </w:r>
      <w:bookmarkEnd w:id="233"/>
      <w:r>
        <w:t>. Guvernul a susținut că nu au fost epuizate căile de atac interne, invocând faptul că membrii asociației ar fi putut solicita accesul la datele cu caracter personal referitoare la aceștia și care au fost prelucrate în bazele de date ale Agenției în temeiul articolului 36 alineatul (4) din Legea din 2007 (a se vedea supra, pct. </w:t>
      </w:r>
      <w:r>
        <w:fldChar w:fldCharType="begin"/>
      </w:r>
      <w:r>
        <w:instrText xml:space="preserve"> REF  RLF_SANSA_s_36_4_5_6 \h  \* MERGEFORMAT </w:instrText>
      </w:r>
      <w:r>
        <w:fldChar w:fldCharType="separate"/>
      </w:r>
      <w:r w:rsidR="00F21D3F">
        <w:t>60</w:t>
      </w:r>
      <w:r>
        <w:fldChar w:fldCharType="end"/>
      </w:r>
      <w:r>
        <w:t>) și ar fi putut să conteste, în fața instanțelor administrative, orice refuz al Agenției de a acorda un astfel de acces în temeiul articolului 36 alineatul (9) din aceeași Lege. Această cale de atac încă era disponibilă și ar fi permis asociației să verifice dacă Agenția a colectat într-adevăr informații cu privire la asociație sau la membrii acesteia.</w:t>
      </w:r>
    </w:p>
    <w:bookmarkStart w:id="234" w:name="L_C_A_8_adm_exh_A"/>
    <w:p w:rsidR="00304BC9" w:rsidRDefault="00736C78" w:rsidP="00304BC9">
      <w:pPr>
        <w:pStyle w:val="JuPara"/>
      </w:pPr>
      <w:r>
        <w:fldChar w:fldCharType="begin"/>
      </w:r>
      <w:r>
        <w:instrText xml:space="preserve"> SEQ level0 \*arabic \* MERGEFORMAT </w:instrText>
      </w:r>
      <w:r>
        <w:fldChar w:fldCharType="separate"/>
      </w:r>
      <w:r w:rsidR="00F21D3F">
        <w:t>106</w:t>
      </w:r>
      <w:r>
        <w:fldChar w:fldCharType="end"/>
      </w:r>
      <w:bookmarkEnd w:id="234"/>
      <w:r>
        <w:t>. Asociația reclamantă a răspuns că a epuizat căile de atac interne, întrucât a parcurs toate etapele procedurii de control jurisdicțional al regulamentului contestat.</w:t>
      </w:r>
    </w:p>
    <w:p w:rsidR="00304BC9" w:rsidRDefault="00736C78" w:rsidP="00304BC9">
      <w:pPr>
        <w:pStyle w:val="JuH1"/>
      </w:pPr>
      <w:bookmarkStart w:id="235" w:name="_Toc175214991"/>
      <w:bookmarkStart w:id="236" w:name="_Toc238743284"/>
      <w:r>
        <w:t>Motivarea Curții</w:t>
      </w:r>
      <w:bookmarkEnd w:id="235"/>
      <w:bookmarkEnd w:id="236"/>
    </w:p>
    <w:p w:rsidR="00304BC9" w:rsidRPr="004304AD" w:rsidRDefault="00736C78" w:rsidP="00304BC9">
      <w:pPr>
        <w:pStyle w:val="JuHa0"/>
      </w:pPr>
      <w:bookmarkStart w:id="237" w:name="_Toc175214992"/>
      <w:bookmarkStart w:id="238" w:name="_Toc238743285"/>
      <w:r>
        <w:t>Calitatea de victimă și epuizarea căilor de atac interne</w:t>
      </w:r>
      <w:bookmarkEnd w:id="237"/>
      <w:bookmarkEnd w:id="238"/>
    </w:p>
    <w:bookmarkStart w:id="239" w:name="L_C_A_8_adm_exh_C"/>
    <w:p w:rsidR="00304BC9" w:rsidRDefault="00736C78" w:rsidP="00304BC9">
      <w:pPr>
        <w:pStyle w:val="JuPara"/>
      </w:pPr>
      <w:r>
        <w:fldChar w:fldCharType="begin"/>
      </w:r>
      <w:r>
        <w:instrText xml:space="preserve"> SEQ level0 \*arabic \* MERGEFORMAT </w:instrText>
      </w:r>
      <w:r>
        <w:fldChar w:fldCharType="separate"/>
      </w:r>
      <w:r w:rsidR="00F21D3F">
        <w:t>107</w:t>
      </w:r>
      <w:r>
        <w:fldChar w:fldCharType="end"/>
      </w:r>
      <w:bookmarkEnd w:id="239"/>
      <w:r>
        <w:t xml:space="preserve">. Problema dacă asociația reclamantă poate pretinde că este victima unei ingerințe în exercitarea drepturilor sale garantate de art. 8 din Convenție, ca urmare a simplei existențe a regulamentului în litigiu, precum și problema dacă aceasta a epuizat căile de atac interne, sunt strâns legate de fondul capătului de cerere. Excepția ridicată de Guvern cu privire la neepuizarea </w:t>
      </w:r>
      <w:r>
        <w:lastRenderedPageBreak/>
        <w:t xml:space="preserve">căilor de atac interne și excepția sa potrivit căreia asociația nu se poate pretinde victimă trebuie așadar să fie unite cu fondul (a se vedea, </w:t>
      </w:r>
      <w:r>
        <w:rPr>
          <w:i/>
        </w:rPr>
        <w:t>mutatis mutandis</w:t>
      </w:r>
      <w:r>
        <w:t xml:space="preserve">, </w:t>
      </w:r>
      <w:r>
        <w:rPr>
          <w:i/>
        </w:rPr>
        <w:t>Roman Zaharov</w:t>
      </w:r>
      <w:r>
        <w:t xml:space="preserve">, pct. 150; </w:t>
      </w:r>
      <w:r>
        <w:rPr>
          <w:i/>
        </w:rPr>
        <w:t>Ekimdjiev și alții</w:t>
      </w:r>
      <w:r>
        <w:t xml:space="preserve">, pct. 259; și </w:t>
      </w:r>
      <w:r>
        <w:rPr>
          <w:i/>
        </w:rPr>
        <w:t xml:space="preserve">Pietrzak și Bychawska-Siniarska </w:t>
      </w:r>
      <w:r>
        <w:rPr>
          <w:i/>
          <w:iCs/>
        </w:rPr>
        <w:t>și alții</w:t>
      </w:r>
      <w:r>
        <w:t>, pct. 129, toate citate anterior).</w:t>
      </w:r>
    </w:p>
    <w:p w:rsidR="00304BC9" w:rsidRPr="004304AD" w:rsidRDefault="00736C78" w:rsidP="00304BC9">
      <w:pPr>
        <w:pStyle w:val="JuHa0"/>
      </w:pPr>
      <w:bookmarkStart w:id="240" w:name="_Toc175214993"/>
      <w:bookmarkStart w:id="241" w:name="_Toc238743286"/>
      <w:r>
        <w:t>Concluzie cu privire la admisibilitatea capătului de cerere</w:t>
      </w:r>
      <w:bookmarkEnd w:id="240"/>
      <w:bookmarkEnd w:id="241"/>
    </w:p>
    <w:p w:rsidR="00304BC9" w:rsidRDefault="00300D22" w:rsidP="00304BC9">
      <w:pPr>
        <w:pStyle w:val="JuPara"/>
      </w:pPr>
      <w:fldSimple w:instr=" SEQ level0 \*arabic \* MERGEFORMAT ">
        <w:r w:rsidR="00F21D3F">
          <w:t>108</w:t>
        </w:r>
      </w:fldSimple>
      <w:r w:rsidR="00360FB4">
        <w:t>. În plus, capătul de cerere nu este nici vădit nefondat, nici inadmisibil pentru alte motive. Prin urmare, trebuie declarat admisibil.</w:t>
      </w:r>
    </w:p>
    <w:p w:rsidR="00304BC9" w:rsidRDefault="00736C78" w:rsidP="00304BC9">
      <w:pPr>
        <w:pStyle w:val="JuHA"/>
      </w:pPr>
      <w:bookmarkStart w:id="242" w:name="_Toc175214994"/>
      <w:bookmarkStart w:id="243" w:name="_Toc238743287"/>
      <w:r>
        <w:t>Cu privire la fond</w:t>
      </w:r>
      <w:bookmarkEnd w:id="242"/>
      <w:bookmarkEnd w:id="243"/>
    </w:p>
    <w:p w:rsidR="00304BC9" w:rsidRDefault="00736C78" w:rsidP="00304BC9">
      <w:pPr>
        <w:pStyle w:val="JuH1"/>
      </w:pPr>
      <w:bookmarkStart w:id="244" w:name="_Toc175214995"/>
      <w:bookmarkStart w:id="245" w:name="_Toc238743288"/>
      <w:r>
        <w:t>Calitatea de victimă și existența unei ingerințe</w:t>
      </w:r>
      <w:bookmarkEnd w:id="244"/>
      <w:r>
        <w:t xml:space="preserve"> în exercitarea drepturilor protejate în temeiul art. 8 din Convenție</w:t>
      </w:r>
      <w:bookmarkEnd w:id="245"/>
    </w:p>
    <w:p w:rsidR="00304BC9" w:rsidRDefault="00736C78" w:rsidP="00304BC9">
      <w:pPr>
        <w:pStyle w:val="JuHa0"/>
      </w:pPr>
      <w:bookmarkStart w:id="246" w:name="_Toc175214996"/>
      <w:bookmarkStart w:id="247" w:name="_Toc238743289"/>
      <w:r>
        <w:t>Argumentele părților</w:t>
      </w:r>
      <w:bookmarkEnd w:id="246"/>
      <w:bookmarkEnd w:id="247"/>
    </w:p>
    <w:p w:rsidR="00304BC9" w:rsidRPr="00061FE4" w:rsidRDefault="00736C78" w:rsidP="00304BC9">
      <w:pPr>
        <w:pStyle w:val="JuHi"/>
        <w:spacing w:line="240" w:lineRule="auto"/>
      </w:pPr>
      <w:bookmarkStart w:id="248" w:name="_Toc175214997"/>
      <w:bookmarkStart w:id="249" w:name="_Toc238743290"/>
      <w:r>
        <w:t>Asociația reclamantă</w:t>
      </w:r>
      <w:bookmarkEnd w:id="248"/>
      <w:bookmarkEnd w:id="249"/>
    </w:p>
    <w:bookmarkStart w:id="250" w:name="L_C_A_8_m_int_A"/>
    <w:p w:rsidR="00304BC9" w:rsidRDefault="00736C78" w:rsidP="00304BC9">
      <w:pPr>
        <w:pStyle w:val="JuPara"/>
      </w:pPr>
      <w:r>
        <w:fldChar w:fldCharType="begin"/>
      </w:r>
      <w:r>
        <w:instrText xml:space="preserve"> SEQ level0 \*arabic \* MERGEFORMAT </w:instrText>
      </w:r>
      <w:r>
        <w:fldChar w:fldCharType="separate"/>
      </w:r>
      <w:r w:rsidR="00F21D3F">
        <w:t>109</w:t>
      </w:r>
      <w:r>
        <w:fldChar w:fldCharType="end"/>
      </w:r>
      <w:bookmarkEnd w:id="250"/>
      <w:r>
        <w:t>. Asociația reclamantă a susținut că simpla existență a regulamentului în discuție, care îi permitea Agenției să infiltreze „agenți cu identitate atribuită” în cadrul organizațiilor private, a constituit o ingerință în exercitarea drepturilor sale garantate de art. 8 din Convenție. În opinia sa, distincția dintre „agenții acoperiți” și „agenții cu identitate atribuită” era „doar una de formă” și nu reflecta nicio diferență de fond, întrucât „agenții cu identitate atribuită” puteau, de asemenea, să aducă atingere dreptului organizațiilor - în cadrul cărora aceștia puteau fi infiltrați - la respectarea domiciliului lor sau a corespondenței acestora – chiar dacă agenții respectivi nu foloseau niciun mijloc tehnic în acest scop.</w:t>
      </w:r>
    </w:p>
    <w:p w:rsidR="00304BC9" w:rsidRDefault="00736C78" w:rsidP="00304BC9">
      <w:pPr>
        <w:pStyle w:val="JuHi"/>
        <w:spacing w:line="240" w:lineRule="auto"/>
      </w:pPr>
      <w:bookmarkStart w:id="251" w:name="_Toc175214998"/>
      <w:bookmarkStart w:id="252" w:name="_Toc238743291"/>
      <w:r>
        <w:t>Guvernul</w:t>
      </w:r>
      <w:bookmarkEnd w:id="251"/>
      <w:bookmarkEnd w:id="252"/>
    </w:p>
    <w:bookmarkStart w:id="253" w:name="L_C_A_8_m_int_G_1"/>
    <w:p w:rsidR="00304BC9" w:rsidRDefault="00736C78" w:rsidP="00304BC9">
      <w:pPr>
        <w:pStyle w:val="JuPara"/>
      </w:pPr>
      <w:r>
        <w:fldChar w:fldCharType="begin"/>
      </w:r>
      <w:r>
        <w:instrText xml:space="preserve"> SEQ level0 \*arabic \* MERGEFORMAT </w:instrText>
      </w:r>
      <w:r>
        <w:fldChar w:fldCharType="separate"/>
      </w:r>
      <w:r w:rsidR="00F21D3F">
        <w:t>110</w:t>
      </w:r>
      <w:r>
        <w:fldChar w:fldCharType="end"/>
      </w:r>
      <w:bookmarkEnd w:id="253"/>
      <w:r>
        <w:t>. Guvernul a susținut că din hotărârea în cauza</w:t>
      </w:r>
      <w:r>
        <w:rPr>
          <w:i/>
        </w:rPr>
        <w:t xml:space="preserve"> </w:t>
      </w:r>
      <w:bookmarkStart w:id="254" w:name="_cl30694THELAW"/>
      <w:r>
        <w:rPr>
          <w:i/>
        </w:rPr>
        <w:t>Lüdi împotriva Elveției</w:t>
      </w:r>
      <w:bookmarkEnd w:id="254"/>
      <w:r>
        <w:rPr>
          <w:i/>
        </w:rPr>
        <w:t xml:space="preserve"> </w:t>
      </w:r>
      <w:r>
        <w:t>(15 iunie 1992, pct. 40, seria A nr. 238) rezulta că folosirea de agenți secreți nu afecta în mod necesar „viața privată” sau „corespondența”. Acesta a susținut, de asemenea, că activitatea „agenților cu identitate atribuită” nu conducea la o ingerință în sfera vieții private - în ceea ce privește amploarea și probabilitatea producerii acesteia - similară celei pe care o implicau măsurile de supraveghere secretă, precum interceptarea comunicațiilor. Rolul „agenților cu identitate atribuită” era doar acela de a stabili existența unor conduite infracționale, care ar fi avut loc oricum.</w:t>
      </w:r>
    </w:p>
    <w:bookmarkStart w:id="255" w:name="L_C_A_8_m_int_G_2"/>
    <w:p w:rsidR="00304BC9" w:rsidRDefault="00736C78" w:rsidP="00304BC9">
      <w:pPr>
        <w:pStyle w:val="JuPara"/>
      </w:pPr>
      <w:r>
        <w:fldChar w:fldCharType="begin"/>
      </w:r>
      <w:r>
        <w:instrText xml:space="preserve"> SEQ level0 \*arabic \* MERGEFORMAT </w:instrText>
      </w:r>
      <w:r>
        <w:fldChar w:fldCharType="separate"/>
      </w:r>
      <w:r w:rsidR="00F21D3F">
        <w:t>111</w:t>
      </w:r>
      <w:r>
        <w:fldChar w:fldCharType="end"/>
      </w:r>
      <w:bookmarkEnd w:id="255"/>
      <w:r>
        <w:t xml:space="preserve">. Guvernul a susținut, de asemenea, că plângerea asociației avea un caracter pur abstract, întrucât nu susținea că „agenți cu identitate atribuită” s-ar fi infiltrat în cadrul asociației. În opinia sa, având în vedere natura specifică a „agenților cu identitate atribuită” abordarea Curții cu privire la posibilitatea ca o persoană să se pretindă victimă a unei ingerințe în drepturile garantate de art. 8 din Convenție doar pe baza existenței unei legi care permitea măsuri de supraveghere secretă nu putea fi aplicată, în mod automat, și în cazul </w:t>
      </w:r>
      <w:r>
        <w:lastRenderedPageBreak/>
        <w:t>„agenților cu identitate atribuită”. În acest sens, era esențial să se evidențieze diferența dintre „agenții sub acoperire” și „agenții cu identitate atribuită”. În Bulgaria, primii intrau sub incidența noțiunii de „mijloace speciale de supraveghere”, care făceau obiectul dispozițiilor Legii din 1997 (a se vedea supra, pct. </w:t>
      </w:r>
      <w:r>
        <w:fldChar w:fldCharType="begin"/>
      </w:r>
      <w:r>
        <w:instrText xml:space="preserve"> REF  RLF_SSMA \h  \* MERGEFORMAT </w:instrText>
      </w:r>
      <w:r>
        <w:fldChar w:fldCharType="separate"/>
      </w:r>
      <w:r w:rsidR="00F21D3F">
        <w:t>73</w:t>
      </w:r>
      <w:r>
        <w:fldChar w:fldCharType="end"/>
      </w:r>
      <w:r>
        <w:t>-</w:t>
      </w:r>
      <w:r>
        <w:fldChar w:fldCharType="begin"/>
      </w:r>
      <w:r>
        <w:instrText xml:space="preserve"> REF  RLF_SSMA_s_10c_1 \h  \* MERGEFORMAT </w:instrText>
      </w:r>
      <w:r>
        <w:fldChar w:fldCharType="separate"/>
      </w:r>
      <w:r w:rsidR="00F21D3F">
        <w:t>75</w:t>
      </w:r>
      <w:r>
        <w:fldChar w:fldCharType="end"/>
      </w:r>
      <w:r>
        <w:t>), în timp ce ultimii nu erau reglementați de dispozițiile Legii din 1997. Aceștia nu puteau depune mărturie în cadrul proceselor penale și nu puteau folosi mijloace tehnice pentru a înregistra sau pentru a crea materiale destinate utilizării în cadrul unor astfel de procese. Activitatea lor avea un caracter pasiv și nu implica desfășurarea unor activități de investigare. Aceștia își desfășurau activitatea sub numele lor real și nu erau exonerați de răspundere penală sau civilă. O raportare făcută de un „agent cu identitate atribuită” către autoritatea competentă cu privire la săvârșirea unei infracțiuni nu era diferită de o sesizare, pe care orice persoană avea obligația legală să o formuleze. Prin urmare, activitatea „agenților cu identitate atribuită” nu putea fi considerată o ingerință în „viața privată” sau în „corespondența” asociației.</w:t>
      </w:r>
    </w:p>
    <w:p w:rsidR="00304BC9" w:rsidRDefault="00736C78" w:rsidP="00304BC9">
      <w:pPr>
        <w:pStyle w:val="JuHa0"/>
      </w:pPr>
      <w:bookmarkStart w:id="256" w:name="_Toc175214999"/>
      <w:bookmarkStart w:id="257" w:name="_Toc238743292"/>
      <w:r>
        <w:t>Motivarea Curții</w:t>
      </w:r>
      <w:bookmarkEnd w:id="256"/>
      <w:bookmarkEnd w:id="257"/>
    </w:p>
    <w:bookmarkStart w:id="258" w:name="L_C_A_8_m_int_C_1_questions_one_two"/>
    <w:p w:rsidR="00304BC9" w:rsidRPr="002102E1" w:rsidRDefault="00736C78" w:rsidP="00304BC9">
      <w:pPr>
        <w:pStyle w:val="JuPara"/>
      </w:pPr>
      <w:r>
        <w:fldChar w:fldCharType="begin"/>
      </w:r>
      <w:r>
        <w:instrText xml:space="preserve"> SEQ level0 \*arabic \* MERGEFORMAT </w:instrText>
      </w:r>
      <w:r>
        <w:fldChar w:fldCharType="separate"/>
      </w:r>
      <w:r w:rsidR="00F21D3F">
        <w:t>112</w:t>
      </w:r>
      <w:r>
        <w:fldChar w:fldCharType="end"/>
      </w:r>
      <w:bookmarkEnd w:id="258"/>
      <w:r>
        <w:t xml:space="preserve">. </w:t>
      </w:r>
      <w:bookmarkStart w:id="259" w:name="_Hlk175236047"/>
      <w:r>
        <w:t xml:space="preserve">Pentru a se stabili dacă existența regulamentului în litigiu – care îi permitea Agenției să detașeze „agenți cu identitate atribuită” în cadrul organizațiilor private – a adus atingere drepturilor asociației reclamante garantate de art. 8 din Convenție, este necesar să se răspundă la două întrebări. Prima este dacă activitatea unui „agent cu identitate atribuită” poate, având în vedere caracteristicile sale, să constituie, în principiu, o ingerință în exercitarea acestor drepturi. În cazul unui răspuns afirmativ </w:t>
      </w:r>
      <w:bookmarkStart w:id="260" w:name="_Hlk183016912"/>
      <w:r>
        <w:t xml:space="preserve">la această primă întrebare, a doua întrebare </w:t>
      </w:r>
      <w:bookmarkEnd w:id="260"/>
      <w:r>
        <w:t>este dacă asociația se poate pretinde victima unei astfel de ingerințe ca urmare a simplei existențe a regulamentului în cauză</w:t>
      </w:r>
      <w:bookmarkEnd w:id="259"/>
      <w:r>
        <w:t>.</w:t>
      </w:r>
    </w:p>
    <w:p w:rsidR="00304BC9" w:rsidRPr="0013735B" w:rsidRDefault="00736C78" w:rsidP="00304BC9">
      <w:pPr>
        <w:pStyle w:val="JuHi"/>
        <w:spacing w:line="240" w:lineRule="auto"/>
      </w:pPr>
      <w:bookmarkStart w:id="261" w:name="_Toc175215000"/>
      <w:bookmarkStart w:id="262" w:name="_Toc238743293"/>
      <w:r>
        <w:t>Ar putea activitatea unui „agent cu identitate atribuită” să constituie o ingerință în drepturile asociației reclamante garantate de art. 8 din Convenție?</w:t>
      </w:r>
      <w:bookmarkEnd w:id="261"/>
      <w:bookmarkEnd w:id="262"/>
    </w:p>
    <w:bookmarkStart w:id="263" w:name="L_C_A_8_m_int_C_possibility_1"/>
    <w:p w:rsidR="00304BC9" w:rsidRDefault="00736C78" w:rsidP="00304BC9">
      <w:pPr>
        <w:pStyle w:val="JuPara"/>
      </w:pPr>
      <w:r w:rsidRPr="00B032BF">
        <w:fldChar w:fldCharType="begin"/>
      </w:r>
      <w:r w:rsidRPr="00B032BF">
        <w:instrText xml:space="preserve"> SEQ level0 \*arabic \* MERGEFORMAT </w:instrText>
      </w:r>
      <w:r w:rsidRPr="00B032BF">
        <w:fldChar w:fldCharType="separate"/>
      </w:r>
      <w:r w:rsidR="00F21D3F">
        <w:t>113</w:t>
      </w:r>
      <w:r w:rsidRPr="00B032BF">
        <w:fldChar w:fldCharType="end"/>
      </w:r>
      <w:bookmarkEnd w:id="263"/>
      <w:r>
        <w:t xml:space="preserve">. Un „agent cu identitate atribuită” infiltrat într-o asociație ar putea, fără îndoială, să obțină date cu privire la „corespondența” asociației în sensul art. 8 § 1 din Convenție (a se vedea </w:t>
      </w:r>
      <w:r>
        <w:rPr>
          <w:i/>
        </w:rPr>
        <w:t>mutatis mutandis</w:t>
      </w:r>
      <w:r>
        <w:t xml:space="preserve">, </w:t>
      </w:r>
      <w:r>
        <w:rPr>
          <w:i/>
          <w:iCs/>
        </w:rPr>
        <w:t>Asociația pentru Integrare Europeană și Drepturile Omului și</w:t>
      </w:r>
      <w:r>
        <w:t xml:space="preserve"> </w:t>
      </w:r>
      <w:r>
        <w:rPr>
          <w:i/>
        </w:rPr>
        <w:t>Ekimdjiev împotriva Bulgariei</w:t>
      </w:r>
      <w:r>
        <w:t xml:space="preserve">, nr. 62540/00, pct. 60, 28 iunie 2007, și </w:t>
      </w:r>
      <w:r>
        <w:rPr>
          <w:i/>
        </w:rPr>
        <w:t>Ekimdjiev și alții</w:t>
      </w:r>
      <w:r>
        <w:t xml:space="preserve">, citată anterior, pct. 263). Astfel cum a fost interpretată în jurisprudența Curții, această noțiune include toate tipurile de comunicări private, indiferent de conținutul sau de forma acestora – comunicări orale, scrisori, convorbiri telefonice sau comunicări electronice (a se vedea </w:t>
      </w:r>
      <w:r>
        <w:rPr>
          <w:i/>
        </w:rPr>
        <w:t>Michaud împotriva Franței</w:t>
      </w:r>
      <w:r>
        <w:t xml:space="preserve">, nr. 12323/11, pct. 90, CEDO 2012; </w:t>
      </w:r>
      <w:r>
        <w:rPr>
          <w:i/>
        </w:rPr>
        <w:t>M.N. și alții împotriva San Marino</w:t>
      </w:r>
      <w:r>
        <w:t xml:space="preserve">, nr. 28005/12, pct. 52, 7 iulie 2015; și </w:t>
      </w:r>
      <w:r>
        <w:rPr>
          <w:i/>
        </w:rPr>
        <w:t>Klaus Müller împotriva Germaniei</w:t>
      </w:r>
      <w:r>
        <w:t xml:space="preserve">, nr. 24173/18, pct. 37, 19 noiembrie 2020). În special, aceasta include apelurile efectuate sau primite prin intermediul telefoanelor de serviciu [a se vedea </w:t>
      </w:r>
      <w:r>
        <w:rPr>
          <w:i/>
        </w:rPr>
        <w:t>Halford împotriva Regatului Unit</w:t>
      </w:r>
      <w:r>
        <w:t xml:space="preserve">, 25 iunie 1997, pct. 44, </w:t>
      </w:r>
      <w:r>
        <w:rPr>
          <w:i/>
        </w:rPr>
        <w:t xml:space="preserve">Culegere de hotărâri și </w:t>
      </w:r>
      <w:r>
        <w:rPr>
          <w:i/>
        </w:rPr>
        <w:lastRenderedPageBreak/>
        <w:t>decizii</w:t>
      </w:r>
      <w:r>
        <w:t xml:space="preserve"> 1997‑III</w:t>
      </w:r>
      <w:bookmarkStart w:id="264" w:name="_cl41736THELAW"/>
      <w:r>
        <w:t>;</w:t>
      </w:r>
      <w:bookmarkStart w:id="265" w:name="_cl29524THELAW"/>
      <w:r>
        <w:t xml:space="preserve"> </w:t>
      </w:r>
      <w:r>
        <w:rPr>
          <w:i/>
        </w:rPr>
        <w:t>Kopp împotriva Elveției</w:t>
      </w:r>
      <w:bookmarkEnd w:id="265"/>
      <w:r>
        <w:t xml:space="preserve">, 25 martie 1998, pct. 50, </w:t>
      </w:r>
      <w:r>
        <w:rPr>
          <w:i/>
          <w:iCs/>
        </w:rPr>
        <w:t>Culegere</w:t>
      </w:r>
      <w:r>
        <w:t xml:space="preserve"> 1998-II;</w:t>
      </w:r>
      <w:bookmarkStart w:id="266" w:name="_cl20795THELAW"/>
      <w:r>
        <w:t xml:space="preserve"> </w:t>
      </w:r>
      <w:r>
        <w:rPr>
          <w:i/>
        </w:rPr>
        <w:t>Amann împotriva Elveției</w:t>
      </w:r>
      <w:bookmarkEnd w:id="266"/>
      <w:r>
        <w:t xml:space="preserve"> (MC), nr. 27798/95, pct. 44, CEDO 2000-II; </w:t>
      </w:r>
      <w:bookmarkStart w:id="267" w:name="_cl30478THELAW"/>
      <w:r>
        <w:rPr>
          <w:i/>
        </w:rPr>
        <w:t>Liblik și alții împotriva Estoniei</w:t>
      </w:r>
      <w:bookmarkEnd w:id="267"/>
      <w:r>
        <w:t xml:space="preserve">, nr. 173/15 și alte 5, pct. 110, 28 mai 2019; și </w:t>
      </w:r>
      <w:r>
        <w:rPr>
          <w:i/>
        </w:rPr>
        <w:t>Algirdas Butkevičius împotriva Lituaniei</w:t>
      </w:r>
      <w:bookmarkEnd w:id="264"/>
      <w:r>
        <w:t xml:space="preserve">, nr. 70489/17, pct. 63, 14 iunie 2022), precum și e-mailurile de serviciu (a se vedea </w:t>
      </w:r>
      <w:bookmarkStart w:id="268" w:name="_cl23793THELAW"/>
      <w:r>
        <w:rPr>
          <w:i/>
        </w:rPr>
        <w:t>Copland împotriva Regatului Unit</w:t>
      </w:r>
      <w:bookmarkEnd w:id="268"/>
      <w:r>
        <w:t xml:space="preserve">, nr. 62617/00, pct. 41, CEDO 2007-I]. Noțiunea de „corespondență” se extinde, de asemenea, la comunicările efectuate de persoane juridice [a se vedea </w:t>
      </w:r>
      <w:r>
        <w:rPr>
          <w:i/>
        </w:rPr>
        <w:t>Ships Waste Oil Collector B.V. și altele împotriva Țărilor de Jos</w:t>
      </w:r>
      <w:r>
        <w:t xml:space="preserve"> (MC), nr. 2799/16 și alte 3, pct. 146, 1 aprilie 2025].</w:t>
      </w:r>
    </w:p>
    <w:bookmarkStart w:id="269" w:name="L_C_A_8_m_int_C_possibility_2"/>
    <w:p w:rsidR="00304BC9" w:rsidRDefault="00736C78" w:rsidP="00304BC9">
      <w:pPr>
        <w:pStyle w:val="JuPara"/>
      </w:pPr>
      <w:r>
        <w:fldChar w:fldCharType="begin"/>
      </w:r>
      <w:r>
        <w:instrText xml:space="preserve"> SEQ level0 \*arabic \* MERGEFORMAT </w:instrText>
      </w:r>
      <w:r>
        <w:fldChar w:fldCharType="separate"/>
      </w:r>
      <w:r w:rsidR="00F21D3F">
        <w:t>114</w:t>
      </w:r>
      <w:r>
        <w:fldChar w:fldCharType="end"/>
      </w:r>
      <w:bookmarkEnd w:id="269"/>
      <w:r>
        <w:t xml:space="preserve">. În această privință, trebuie să se observe că, astfel cum o confirmă și faptele din numeroase cauze examinate de Curte, este posibil să existe o ingerință în dreptul la respectarea „corespondenței” nu doar în momentul în care aceasta este trimisă sau primită, ci și ulterior, prin accesarea suportului – fizic sau electronic – pe care aceasta a fost stocată (a se vedea </w:t>
      </w:r>
      <w:bookmarkStart w:id="270" w:name="_cl32866THELAW"/>
      <w:r>
        <w:rPr>
          <w:i/>
        </w:rPr>
        <w:t>Niemietz împotriva Germaniei</w:t>
      </w:r>
      <w:bookmarkEnd w:id="270"/>
      <w:r>
        <w:t>, 16 decembrie 1992, pct. 32, seria A nr. 251-B;</w:t>
      </w:r>
      <w:bookmarkStart w:id="271" w:name="_cl38924THELAW"/>
      <w:r>
        <w:t xml:space="preserve"> </w:t>
      </w:r>
      <w:bookmarkStart w:id="272" w:name="_cl39254THELAW"/>
      <w:bookmarkEnd w:id="271"/>
      <w:r>
        <w:rPr>
          <w:i/>
        </w:rPr>
        <w:t>Wieser și Bicos Beteiligungen GmbH împotriva Austriei</w:t>
      </w:r>
      <w:bookmarkEnd w:id="272"/>
      <w:r>
        <w:t xml:space="preserve">, nr. 74336/01, pct. 45, CEDO 2007-IV; </w:t>
      </w:r>
      <w:r>
        <w:rPr>
          <w:i/>
        </w:rPr>
        <w:t>Bernh Larsen Holding AS și altele împotriva Norvegiei</w:t>
      </w:r>
      <w:r>
        <w:t xml:space="preserve">, nr. 24117/08, pct. 106, 14 martie 2013; </w:t>
      </w:r>
      <w:r>
        <w:rPr>
          <w:i/>
        </w:rPr>
        <w:t>Vinci Construction și GTM Génie Civil et Services împotriva Franței</w:t>
      </w:r>
      <w:r>
        <w:t>, nr. 63629/10 și 60567/10, pct. 63, 2 aprilie 2015;</w:t>
      </w:r>
      <w:bookmarkStart w:id="273" w:name="_cl36237THELAW"/>
      <w:r>
        <w:t xml:space="preserve"> </w:t>
      </w:r>
      <w:bookmarkStart w:id="274" w:name="_Hlk179674809"/>
      <w:r>
        <w:rPr>
          <w:i/>
        </w:rPr>
        <w:t>M.N. și alții împotriva San Marino</w:t>
      </w:r>
      <w:r>
        <w:t>, citată anterior, pct. 54-55;</w:t>
      </w:r>
      <w:bookmarkEnd w:id="274"/>
      <w:r>
        <w:t xml:space="preserve"> </w:t>
      </w:r>
      <w:r>
        <w:rPr>
          <w:i/>
        </w:rPr>
        <w:t>Sérvulo &amp; Associados – Sociedade de Advogados, RL și alții împotriva Portugaliei</w:t>
      </w:r>
      <w:bookmarkEnd w:id="273"/>
      <w:r>
        <w:t>, nr. 27013/10, pct. 76, 3 septembrie 2015;</w:t>
      </w:r>
      <w:bookmarkStart w:id="275" w:name="_cl40231THELAW"/>
      <w:r>
        <w:t xml:space="preserve"> </w:t>
      </w:r>
      <w:r>
        <w:rPr>
          <w:i/>
        </w:rPr>
        <w:t>Saber împotriva Norvegiei</w:t>
      </w:r>
      <w:bookmarkEnd w:id="275"/>
      <w:r>
        <w:t xml:space="preserve">, nr. 459/18, pct. 48, 17 decembrie 2020; </w:t>
      </w:r>
      <w:bookmarkStart w:id="276" w:name="_cl41133THELAW"/>
      <w:r>
        <w:rPr>
          <w:i/>
        </w:rPr>
        <w:t>Särgava împotriva Estoniei</w:t>
      </w:r>
      <w:bookmarkEnd w:id="276"/>
      <w:r>
        <w:t xml:space="preserve">, nr. 698/19, pct. 85, 16 noiembrie 2021; și </w:t>
      </w:r>
      <w:r>
        <w:rPr>
          <w:i/>
        </w:rPr>
        <w:t>Naumenko și SIA Rix Shipping împotriva Letoniei</w:t>
      </w:r>
      <w:r>
        <w:t>, nr. 50805/14, pct. 45, 23 iunie 2022).</w:t>
      </w:r>
    </w:p>
    <w:bookmarkStart w:id="277" w:name="L_C_A_8_m_int_C_possibility_3"/>
    <w:p w:rsidR="00304BC9" w:rsidRDefault="00736C78" w:rsidP="00304BC9">
      <w:pPr>
        <w:pStyle w:val="JuPara"/>
      </w:pPr>
      <w:r>
        <w:fldChar w:fldCharType="begin"/>
      </w:r>
      <w:r>
        <w:instrText xml:space="preserve"> SEQ level0 \*arabic \* MERGEFORMAT </w:instrText>
      </w:r>
      <w:r>
        <w:fldChar w:fldCharType="separate"/>
      </w:r>
      <w:r w:rsidR="00F21D3F">
        <w:t>115</w:t>
      </w:r>
      <w:r>
        <w:fldChar w:fldCharType="end"/>
      </w:r>
      <w:bookmarkEnd w:id="277"/>
      <w:r>
        <w:t>. Nu este exagerat să se presupună că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un agent secret infiltrat într-o organizație s-ar putea folosi de funcția sa pentru a obține un astfel de acces într-un mod care nu ar fi posibil pentru un străin și că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un astfel de agent, în calitate de ofițer al Agenției, ar raporta constatările sale Agenției mult mai ușor și într-un mod mai susținut și mai sistematic decât o persoană obișnuită sau un avertizor de integritate motivat de sentimentul datoriei civice sau chiar de o obligație legală.</w:t>
      </w:r>
    </w:p>
    <w:bookmarkStart w:id="278" w:name="L_C_A_8_m_int_C_possibility_4"/>
    <w:p w:rsidR="00304BC9" w:rsidRDefault="00736C78" w:rsidP="00304BC9">
      <w:pPr>
        <w:pStyle w:val="JuPara"/>
      </w:pPr>
      <w:r>
        <w:fldChar w:fldCharType="begin"/>
      </w:r>
      <w:r>
        <w:instrText xml:space="preserve"> SEQ level0 \*arabic \* MERGEFORMAT </w:instrText>
      </w:r>
      <w:r>
        <w:fldChar w:fldCharType="separate"/>
      </w:r>
      <w:r w:rsidR="00F21D3F">
        <w:t>116</w:t>
      </w:r>
      <w:r>
        <w:fldChar w:fldCharType="end"/>
      </w:r>
      <w:bookmarkEnd w:id="278"/>
      <w:r>
        <w:t>. Prin urmare, infiltrarea unui „agent cu identitate atribuită” în cadrul asociației ar constitui o ingerință în exercitarea de către aceasta a dreptului la respectarea „corespondenței” sale, în sensul art. 8 § 1 din Convenție.</w:t>
      </w:r>
    </w:p>
    <w:bookmarkStart w:id="279" w:name="L_C_A_8_m_int_C_possibility_5"/>
    <w:p w:rsidR="00304BC9" w:rsidRDefault="00736C78" w:rsidP="00304BC9">
      <w:pPr>
        <w:pStyle w:val="JuPara"/>
      </w:pPr>
      <w:r>
        <w:fldChar w:fldCharType="begin"/>
      </w:r>
      <w:r>
        <w:instrText xml:space="preserve"> SEQ level0 \*arabic \* MERGEFORMAT </w:instrText>
      </w:r>
      <w:r>
        <w:fldChar w:fldCharType="separate"/>
      </w:r>
      <w:r w:rsidR="00F21D3F">
        <w:t>117</w:t>
      </w:r>
      <w:r>
        <w:fldChar w:fldCharType="end"/>
      </w:r>
      <w:bookmarkEnd w:id="279"/>
      <w:r>
        <w:t xml:space="preserve">. De asemenea, este probabil ca un „agent cu identitate atribuită” care s-a infiltrat în cadrul asociației să aibă acces pe termen lung la sediul său ori la alte spații ale acesteia. Potrivit jurisprudenței Curții, sediul social, sucursalele și alte spații comerciale ale unei persoane juridice pot fi considerate „domiciliul” respectivei persoane juridice, în sensul art. 8 § 1 din Convenție (a se vedea </w:t>
      </w:r>
      <w:r>
        <w:rPr>
          <w:i/>
        </w:rPr>
        <w:t>Société Colas Est și altele împotriva Franței</w:t>
      </w:r>
      <w:r>
        <w:t xml:space="preserve">, nr. 37971/97, pct. 41, CEDO 2002-III; </w:t>
      </w:r>
      <w:r>
        <w:rPr>
          <w:i/>
        </w:rPr>
        <w:t>Buck împotriva Germaniei</w:t>
      </w:r>
      <w:r>
        <w:t>, nr. 41604/98, pct. 31, CEDO 2005-I;</w:t>
      </w:r>
      <w:bookmarkStart w:id="280" w:name="_cl35636THELAW"/>
      <w:bookmarkStart w:id="281" w:name="_cl35572THELAW"/>
      <w:r>
        <w:t xml:space="preserve"> </w:t>
      </w:r>
      <w:r>
        <w:rPr>
          <w:i/>
        </w:rPr>
        <w:t>Sallinen și alții împotriva Finlandei</w:t>
      </w:r>
      <w:bookmarkEnd w:id="280"/>
      <w:r>
        <w:t>, nr. 50882/99, pct. 70, 27 septembrie 2005;</w:t>
      </w:r>
      <w:bookmarkStart w:id="282" w:name="_cl27453THELAW"/>
      <w:r>
        <w:t xml:space="preserve"> </w:t>
      </w:r>
      <w:r>
        <w:rPr>
          <w:i/>
        </w:rPr>
        <w:t>Heino împotriva Finlandei</w:t>
      </w:r>
      <w:bookmarkEnd w:id="282"/>
      <w:r>
        <w:t xml:space="preserve">, </w:t>
      </w:r>
      <w:r>
        <w:lastRenderedPageBreak/>
        <w:t>nr. 56720/09, pct. 33, 15 februarie 2011;</w:t>
      </w:r>
      <w:bookmarkStart w:id="283" w:name="_cl22100THELAW"/>
      <w:r>
        <w:t xml:space="preserve"> </w:t>
      </w:r>
      <w:r>
        <w:rPr>
          <w:i/>
        </w:rPr>
        <w:t xml:space="preserve">Bernh Larsen Holding AS </w:t>
      </w:r>
      <w:r>
        <w:rPr>
          <w:i/>
          <w:iCs/>
        </w:rPr>
        <w:t>și altele</w:t>
      </w:r>
      <w:bookmarkEnd w:id="283"/>
      <w:r>
        <w:t xml:space="preserve">, citată anterior, pct. 104; </w:t>
      </w:r>
      <w:r>
        <w:rPr>
          <w:i/>
        </w:rPr>
        <w:t>Saint-Paul Luxembourg S.A. împotriva Luxemburgului</w:t>
      </w:r>
      <w:bookmarkEnd w:id="281"/>
      <w:r>
        <w:t>, nr. 26419/10, pct. 37, 18 aprilie 2013;</w:t>
      </w:r>
      <w:bookmarkStart w:id="284" w:name="_cl24326THELAW"/>
      <w:bookmarkStart w:id="285" w:name="_cl30512THELAW"/>
      <w:r>
        <w:t xml:space="preserve"> </w:t>
      </w:r>
      <w:r>
        <w:rPr>
          <w:i/>
        </w:rPr>
        <w:t>DELTA PEKÁRNY a.s. împotriva Republicii Cehe</w:t>
      </w:r>
      <w:bookmarkEnd w:id="284"/>
      <w:r>
        <w:t xml:space="preserve">, nr. 97/11, pct. 77, 2 octombrie 2014; </w:t>
      </w:r>
      <w:r>
        <w:rPr>
          <w:i/>
        </w:rPr>
        <w:t>Lindstrand Partners Advokatbyrå AB împotriva Suediei</w:t>
      </w:r>
      <w:bookmarkEnd w:id="285"/>
      <w:r>
        <w:t xml:space="preserve">, nr. 18700/09, pct. 83, 20 decembrie 2016; și </w:t>
      </w:r>
      <w:r>
        <w:rPr>
          <w:i/>
        </w:rPr>
        <w:t>Ships Waste Oil Collector B.V. și altele</w:t>
      </w:r>
      <w:r>
        <w:t>, citată anterior, pct. 146; a se vedea și</w:t>
      </w:r>
      <w:bookmarkStart w:id="286" w:name="_cl42401THELAW"/>
      <w:r>
        <w:t xml:space="preserve"> </w:t>
      </w:r>
      <w:r>
        <w:rPr>
          <w:i/>
        </w:rPr>
        <w:t>Naumenko și SIA Rix Shipping</w:t>
      </w:r>
      <w:r>
        <w:t xml:space="preserve">, citată anterior, pct. 46, și </w:t>
      </w:r>
      <w:r>
        <w:rPr>
          <w:i/>
        </w:rPr>
        <w:t>UAB Kesko Senukai Lithuania împotriva Lituaniei</w:t>
      </w:r>
      <w:bookmarkEnd w:id="286"/>
      <w:r>
        <w:t>, nr. 19162/19, pct. 109, 4 aprilie 2023).</w:t>
      </w:r>
    </w:p>
    <w:bookmarkStart w:id="287" w:name="L_C_A_8_m_int_C_possibility_6"/>
    <w:p w:rsidR="00304BC9" w:rsidRDefault="00736C78" w:rsidP="00304BC9">
      <w:pPr>
        <w:pStyle w:val="JuPara"/>
      </w:pPr>
      <w:r>
        <w:fldChar w:fldCharType="begin"/>
      </w:r>
      <w:r>
        <w:instrText xml:space="preserve"> SEQ level0 \*arabic \* MERGEFORMAT </w:instrText>
      </w:r>
      <w:r>
        <w:fldChar w:fldCharType="separate"/>
      </w:r>
      <w:r w:rsidR="00F21D3F">
        <w:t>118</w:t>
      </w:r>
      <w:r>
        <w:fldChar w:fldCharType="end"/>
      </w:r>
      <w:bookmarkEnd w:id="287"/>
      <w:r>
        <w:t>. Prin urmare, infiltrarea unui „agent cu identitate atribuită” în cadrul asociației ar constitui, de asemenea, o ingerință în exercitarea de către aceasta a dreptului la respectarea „domiciliului” său, în sensul art. 8 § 1 din Convenție.</w:t>
      </w:r>
    </w:p>
    <w:bookmarkStart w:id="288" w:name="L_C_A_8_m_int_C_possibility_7"/>
    <w:p w:rsidR="00304BC9" w:rsidRPr="00FF5C6C" w:rsidRDefault="00736C78" w:rsidP="00304BC9">
      <w:pPr>
        <w:pStyle w:val="JuPara"/>
      </w:pPr>
      <w:r>
        <w:fldChar w:fldCharType="begin"/>
      </w:r>
      <w:r>
        <w:instrText xml:space="preserve"> SEQ level0 \*arabic \* MERGEFORMAT </w:instrText>
      </w:r>
      <w:r>
        <w:fldChar w:fldCharType="separate"/>
      </w:r>
      <w:r w:rsidR="00F21D3F">
        <w:t>119</w:t>
      </w:r>
      <w:r>
        <w:fldChar w:fldCharType="end"/>
      </w:r>
      <w:bookmarkEnd w:id="288"/>
      <w:r>
        <w:t xml:space="preserve">. Având în vedere concluziile prezentate la punctele </w:t>
      </w:r>
      <w:r>
        <w:fldChar w:fldCharType="begin"/>
      </w:r>
      <w:r>
        <w:instrText xml:space="preserve"> REF  L_C_A_8_m_int_C_possibility_4 \h  \* MERGEFORMAT </w:instrText>
      </w:r>
      <w:r>
        <w:fldChar w:fldCharType="separate"/>
      </w:r>
      <w:r w:rsidR="00F21D3F">
        <w:t>116</w:t>
      </w:r>
      <w:r>
        <w:fldChar w:fldCharType="end"/>
      </w:r>
      <w:r>
        <w:t xml:space="preserve"> și </w:t>
      </w:r>
      <w:r>
        <w:fldChar w:fldCharType="begin"/>
      </w:r>
      <w:r>
        <w:instrText xml:space="preserve"> REF  L_C_A_8_m_int_C_possibility_6 \h  \* MERGEFORMAT </w:instrText>
      </w:r>
      <w:r>
        <w:fldChar w:fldCharType="separate"/>
      </w:r>
      <w:r w:rsidR="00F21D3F">
        <w:t>118</w:t>
      </w:r>
      <w:r>
        <w:fldChar w:fldCharType="end"/>
      </w:r>
      <w:r>
        <w:t xml:space="preserve"> de mai sus, ar fi inutil să se verifice dacă folosirea unui „agent cu identitate atribuită” în privința asociației ar constitui, de asemenea, o ingerință în dreptul asociației la respectarea „vieții private” a acesteia, în măsura în care se poate vorbi despre un asemenea drept [în ceea ce privește persoanele fizice, a se vedea, pe de o parte, </w:t>
      </w:r>
      <w:r>
        <w:rPr>
          <w:i/>
        </w:rPr>
        <w:t>Lüdi</w:t>
      </w:r>
      <w:r>
        <w:t xml:space="preserve">, citată anterior, pct. 40, și, pe de altă parte, </w:t>
      </w:r>
      <w:r>
        <w:rPr>
          <w:i/>
        </w:rPr>
        <w:t>Verliere împotriva Elveției</w:t>
      </w:r>
      <w:r>
        <w:t xml:space="preserve"> (dec.), nr. 41953/98, CEDO 2001-VII, și </w:t>
      </w:r>
      <w:r>
        <w:rPr>
          <w:i/>
        </w:rPr>
        <w:t>Vukota-Bojić împotriva Elveției</w:t>
      </w:r>
      <w:r>
        <w:t xml:space="preserve">, nr. 61838/10, pct. 59, 18 octombrie 2016; în ceea ce privește persoanele juridice, a se vedea </w:t>
      </w:r>
      <w:r>
        <w:rPr>
          <w:i/>
        </w:rPr>
        <w:t>Bernh Larsen Holding AS</w:t>
      </w:r>
      <w:r>
        <w:t>, citată anterior, pct. 107].</w:t>
      </w:r>
      <w:bookmarkStart w:id="289" w:name="_Hlk175232150"/>
    </w:p>
    <w:p w:rsidR="00304BC9" w:rsidRDefault="00736C78" w:rsidP="00304BC9">
      <w:pPr>
        <w:pStyle w:val="JuHi"/>
        <w:spacing w:line="240" w:lineRule="auto"/>
      </w:pPr>
      <w:bookmarkStart w:id="290" w:name="_Toc175215001"/>
      <w:bookmarkStart w:id="291" w:name="_Toc238743294"/>
      <w:bookmarkEnd w:id="289"/>
      <w:r>
        <w:t>Poate pretinde asociația reclamantă că este victima unei ingerințe în exercitarea acestor drepturi ca urmare a simplei existențe a regulamentului privind „agenții cu identitate atribuită”?</w:t>
      </w:r>
      <w:bookmarkEnd w:id="290"/>
      <w:bookmarkEnd w:id="291"/>
    </w:p>
    <w:p w:rsidR="00304BC9" w:rsidRPr="00B6751D" w:rsidRDefault="00736C78" w:rsidP="00304BC9">
      <w:pPr>
        <w:pStyle w:val="JuHalpha"/>
      </w:pPr>
      <w:bookmarkStart w:id="292" w:name="_Toc175215002"/>
      <w:bookmarkStart w:id="293" w:name="_Toc238743295"/>
      <w:r>
        <w:t>Principii generale</w:t>
      </w:r>
      <w:bookmarkEnd w:id="292"/>
      <w:bookmarkEnd w:id="293"/>
    </w:p>
    <w:bookmarkStart w:id="294" w:name="L_C_A_8_m_int_C_victim_gen_pr"/>
    <w:p w:rsidR="00304BC9" w:rsidRDefault="00736C78" w:rsidP="00304BC9">
      <w:pPr>
        <w:pStyle w:val="JuPara"/>
      </w:pPr>
      <w:r>
        <w:fldChar w:fldCharType="begin"/>
      </w:r>
      <w:r>
        <w:instrText xml:space="preserve"> SEQ level0 \*arabic \* MERGEFORMAT </w:instrText>
      </w:r>
      <w:r>
        <w:fldChar w:fldCharType="separate"/>
      </w:r>
      <w:r w:rsidR="00F21D3F">
        <w:t>120</w:t>
      </w:r>
      <w:r>
        <w:fldChar w:fldCharType="end"/>
      </w:r>
      <w:bookmarkEnd w:id="294"/>
      <w:r>
        <w:t>. Liniile jurisprudențiale care anterior erau divergente – referitoare la situațiile în care reclamanții se puteau pretinde victime ale unei ingerințe în exercitarea drepturilor lor garantate de art. 8 din Convenție, ca urmare a simplei existențe a unor legi sau practici interne care permiteau supravegherea secretă – au fost armonizate, iar principiile generale aplicabile în această privință au fost clarificate în hotărârea în cauza</w:t>
      </w:r>
      <w:r>
        <w:rPr>
          <w:i/>
        </w:rPr>
        <w:t xml:space="preserve"> Roman Zaharov</w:t>
      </w:r>
      <w:r>
        <w:t xml:space="preserve"> (citată anterior, pct. 171). Acestea au fost reiterate, mai recent, în hotărârea</w:t>
      </w:r>
      <w:r>
        <w:rPr>
          <w:i/>
        </w:rPr>
        <w:t xml:space="preserve"> Centrum för rättvisa</w:t>
      </w:r>
      <w:r>
        <w:t xml:space="preserve"> (citată anterior, pct. 167).</w:t>
      </w:r>
    </w:p>
    <w:bookmarkStart w:id="295" w:name="L_C_A_8_m_int_C_victim_gen_pr_bis"/>
    <w:p w:rsidR="00304BC9" w:rsidRDefault="00736C78" w:rsidP="00304BC9">
      <w:pPr>
        <w:pStyle w:val="JuPara"/>
      </w:pPr>
      <w:r>
        <w:fldChar w:fldCharType="begin"/>
      </w:r>
      <w:r>
        <w:instrText xml:space="preserve"> SEQ level0 \*arabic \* MERGEFORMAT </w:instrText>
      </w:r>
      <w:r>
        <w:fldChar w:fldCharType="separate"/>
      </w:r>
      <w:r w:rsidR="00F21D3F">
        <w:t>121</w:t>
      </w:r>
      <w:r>
        <w:fldChar w:fldCharType="end"/>
      </w:r>
      <w:bookmarkEnd w:id="295"/>
      <w:r>
        <w:t xml:space="preserve">. Aceste principii sunt deopotrivă relevante în situații, precum cea în discuție, în care caracterul secret al supravegherii în cauză nu este asigurat prin ascunderea completă, față de persoana vizată, a faptului că aceasta este supusă supravegherii – astfel cum se întâmplă, de exemplu, în cazul interceptării secrete a comunicațiilor sau al utilizării unor echipamente de supraveghere secretă, cum ar fi camere video sau dispozitive de înregistrare ascunse –, ci prin folosirea sistematică a unui ansamblu de măsuri menite să ascundă doar faptul că interlocutorul persoanei vizate (o cunoștință, un </w:t>
      </w:r>
      <w:r>
        <w:lastRenderedPageBreak/>
        <w:t>partener de afaceri, un angajat, un coleg, un prestator de servicii, un client, un coleg de profesie etc.), care, aparent, este o persoană obișnuită, în realitate, este un agent care se folosește în mod sistematic de funcția sa ori de relațiile sale, sau le instrumentalizează pentru a obține informații destinate utilizării de către autorități. În astfel de situații, persoanele vizate sau afectate de acest tip de supraveghere nu sunt conștiente că fac obiectul unei supravegheri.</w:t>
      </w:r>
    </w:p>
    <w:p w:rsidR="00304BC9" w:rsidRDefault="00736C78" w:rsidP="00304BC9">
      <w:pPr>
        <w:pStyle w:val="JuHalpha"/>
      </w:pPr>
      <w:bookmarkStart w:id="296" w:name="_Toc175215003"/>
      <w:bookmarkStart w:id="297" w:name="_Toc238743296"/>
      <w:r>
        <w:t>Aplicarea acestor principii</w:t>
      </w:r>
      <w:bookmarkEnd w:id="296"/>
      <w:bookmarkEnd w:id="297"/>
    </w:p>
    <w:p w:rsidR="00304BC9" w:rsidRDefault="00736C78" w:rsidP="00304BC9">
      <w:pPr>
        <w:pStyle w:val="JuH"/>
      </w:pPr>
      <w:bookmarkStart w:id="298" w:name="_Toc238743297"/>
      <w:r>
        <w:t>Domeniul de aplicare al legislației relevante</w:t>
      </w:r>
      <w:bookmarkEnd w:id="298"/>
    </w:p>
    <w:bookmarkStart w:id="299" w:name="L_C_A_8_m_int_C_victim_scope"/>
    <w:p w:rsidR="00304BC9" w:rsidRDefault="00736C78" w:rsidP="00304BC9">
      <w:pPr>
        <w:pStyle w:val="JuPara"/>
      </w:pPr>
      <w:r>
        <w:fldChar w:fldCharType="begin"/>
      </w:r>
      <w:r>
        <w:instrText xml:space="preserve"> SEQ level0 \*arabic \* MERGEFORMAT </w:instrText>
      </w:r>
      <w:r>
        <w:fldChar w:fldCharType="separate"/>
      </w:r>
      <w:r w:rsidR="00F21D3F">
        <w:t>122</w:t>
      </w:r>
      <w:r>
        <w:fldChar w:fldCharType="end"/>
      </w:r>
      <w:bookmarkEnd w:id="299"/>
      <w:r>
        <w:t>. În conformitate cu articolul 52 alineatul (1) din Regulamentul din 2008, se poate recurge la „agenți cu identitate atribuită” în cazul în care există o „necesitate operațională dovedită” și, în temeiul articolului 53 alineatele (1) și (2), acești agenți pot desfășura activități de informații și de contrainformații care au ca scop protejarea securității naționale, iar atribuțiile lor specifice trebuie să fie stabilite de șeful Agenției în fiecare caz în parte (a se vedea supra, pct. </w:t>
      </w:r>
      <w:r>
        <w:fldChar w:fldCharType="begin"/>
      </w:r>
      <w:r>
        <w:instrText xml:space="preserve"> REF  F_Regs_r_52 \h  \* MERGEFORMAT </w:instrText>
      </w:r>
      <w:r>
        <w:fldChar w:fldCharType="separate"/>
      </w:r>
      <w:r w:rsidR="00F21D3F">
        <w:t>11</w:t>
      </w:r>
      <w:r>
        <w:fldChar w:fldCharType="end"/>
      </w:r>
      <w:r>
        <w:t>-</w:t>
      </w:r>
      <w:r>
        <w:fldChar w:fldCharType="begin"/>
      </w:r>
      <w:r>
        <w:instrText xml:space="preserve"> REF  F_Regs_r_53 \h  \* MERGEFORMAT </w:instrText>
      </w:r>
      <w:r>
        <w:fldChar w:fldCharType="separate"/>
      </w:r>
      <w:r w:rsidR="00F21D3F">
        <w:t>12</w:t>
      </w:r>
      <w:r>
        <w:fldChar w:fldCharType="end"/>
      </w:r>
      <w:r>
        <w:t>). În temeiul articolului 50, astfel cum a fost modificat în septembrie 2018, „agenții cu identitate atribuită” pot fi infiltrați în orice organizație privată (a se vedea supra, pct. </w:t>
      </w:r>
      <w:r>
        <w:fldChar w:fldCharType="begin"/>
      </w:r>
      <w:r>
        <w:instrText xml:space="preserve"> REF  F_Regs_2018_amnd_r_50 \h  \* MERGEFORMAT </w:instrText>
      </w:r>
      <w:r>
        <w:fldChar w:fldCharType="separate"/>
      </w:r>
      <w:r w:rsidR="00F21D3F">
        <w:t>28</w:t>
      </w:r>
      <w:r>
        <w:fldChar w:fldCharType="end"/>
      </w:r>
      <w:r>
        <w:t>-</w:t>
      </w:r>
      <w:r>
        <w:fldChar w:fldCharType="begin"/>
      </w:r>
      <w:r>
        <w:instrText xml:space="preserve"> REF  F_Regs_2018_amnd_r_51 \h  \* MERGEFORMAT </w:instrText>
      </w:r>
      <w:r>
        <w:fldChar w:fldCharType="separate"/>
      </w:r>
      <w:r w:rsidR="00F21D3F">
        <w:t>29</w:t>
      </w:r>
      <w:r>
        <w:fldChar w:fldCharType="end"/>
      </w:r>
      <w:r>
        <w:t>). Rezultă că, teoretic, orice organizație neguvernamentală din Bulgaria poate să devină ținta unor astfel de măsuri și, astfel, să fie afectată de regulamentul în cauză.</w:t>
      </w:r>
    </w:p>
    <w:p w:rsidR="00304BC9" w:rsidRDefault="00736C78" w:rsidP="00304BC9">
      <w:pPr>
        <w:pStyle w:val="JuH"/>
      </w:pPr>
      <w:bookmarkStart w:id="300" w:name="_Toc238743298"/>
      <w:r>
        <w:t>Disponibilitatea unei căi de atac efective</w:t>
      </w:r>
      <w:bookmarkEnd w:id="300"/>
    </w:p>
    <w:bookmarkStart w:id="301" w:name="L_C_A_8_m_int_C_victim_rem_1"/>
    <w:p w:rsidR="00304BC9" w:rsidRDefault="00736C78" w:rsidP="00304BC9">
      <w:pPr>
        <w:pStyle w:val="JuPara"/>
      </w:pPr>
      <w:r>
        <w:fldChar w:fldCharType="begin"/>
      </w:r>
      <w:r>
        <w:instrText xml:space="preserve"> SEQ level0 \*arabic \* MERGEFORMAT </w:instrText>
      </w:r>
      <w:r>
        <w:fldChar w:fldCharType="separate"/>
      </w:r>
      <w:r w:rsidR="00F21D3F">
        <w:t>123</w:t>
      </w:r>
      <w:r>
        <w:fldChar w:fldCharType="end"/>
      </w:r>
      <w:bookmarkEnd w:id="301"/>
      <w:r>
        <w:t>. Următoarea întrebare care se pune este dacă, în Bulgaria, există o cale de atac efectivă care permite înlăturarea suspiciunilor existente în rândul publicului larg potrivit cărora era posibil ca Agenția să abuzeze de capacitatea sa de a detașa „agenți cu identitate atribuită”.</w:t>
      </w:r>
    </w:p>
    <w:bookmarkStart w:id="302" w:name="L_C_A_8_m_int_C_victim_rem_2"/>
    <w:p w:rsidR="00304BC9" w:rsidRDefault="00736C78" w:rsidP="00304BC9">
      <w:pPr>
        <w:pStyle w:val="JuPara"/>
      </w:pPr>
      <w:r>
        <w:fldChar w:fldCharType="begin"/>
      </w:r>
      <w:r>
        <w:instrText xml:space="preserve"> SEQ level0 \*arabic \* MERGEFORMAT </w:instrText>
      </w:r>
      <w:r>
        <w:fldChar w:fldCharType="separate"/>
      </w:r>
      <w:r w:rsidR="00F21D3F">
        <w:t>124</w:t>
      </w:r>
      <w:r>
        <w:fldChar w:fldCharType="end"/>
      </w:r>
      <w:bookmarkEnd w:id="302"/>
      <w:r>
        <w:t>. Astfel cum s-a susținut în mod repetat la nivel național și de către Guvern în observațiile sale prezentate Curții (a se vedea supra, pct. </w:t>
      </w:r>
      <w:r>
        <w:fldChar w:fldCharType="begin"/>
      </w:r>
      <w:r>
        <w:instrText xml:space="preserve"> REF  F_Regs_2018_amnd_SANS_response_BHC_bis \h  \* MERGEFORMAT </w:instrText>
      </w:r>
      <w:r>
        <w:fldChar w:fldCharType="separate"/>
      </w:r>
      <w:r w:rsidR="00F21D3F">
        <w:t>24</w:t>
      </w:r>
      <w:r>
        <w:fldChar w:fldCharType="end"/>
      </w:r>
      <w:r>
        <w:t xml:space="preserve">, </w:t>
      </w:r>
      <w:r>
        <w:fldChar w:fldCharType="begin"/>
      </w:r>
      <w:r>
        <w:instrText xml:space="preserve"> REF  F_jud_rev_FI_response_SANS \h  \* MERGEFORMAT </w:instrText>
      </w:r>
      <w:r>
        <w:fldChar w:fldCharType="separate"/>
      </w:r>
      <w:r w:rsidR="00F21D3F">
        <w:t>32</w:t>
      </w:r>
      <w:r>
        <w:fldChar w:fldCharType="end"/>
      </w:r>
      <w:r>
        <w:t>-</w:t>
      </w:r>
      <w:r>
        <w:fldChar w:fldCharType="begin"/>
      </w:r>
      <w:r>
        <w:instrText xml:space="preserve"> REF  F_jud_rev_FI_response_GOV \h  \* MERGEFORMAT </w:instrText>
      </w:r>
      <w:r>
        <w:fldChar w:fldCharType="separate"/>
      </w:r>
      <w:r w:rsidR="00F21D3F">
        <w:t>33</w:t>
      </w:r>
      <w:r>
        <w:fldChar w:fldCharType="end"/>
      </w:r>
      <w:r>
        <w:t xml:space="preserve">, </w:t>
      </w:r>
      <w:r>
        <w:fldChar w:fldCharType="begin"/>
      </w:r>
      <w:r>
        <w:instrText xml:space="preserve"> REF  F_jud_rev_FI_hearing_SAC_09_06_2020 \h  \* MERGEFORMAT </w:instrText>
      </w:r>
      <w:r>
        <w:fldChar w:fldCharType="separate"/>
      </w:r>
      <w:r w:rsidR="00F21D3F">
        <w:t>36</w:t>
      </w:r>
      <w:r>
        <w:fldChar w:fldCharType="end"/>
      </w:r>
      <w:r>
        <w:t xml:space="preserve">, </w:t>
      </w:r>
      <w:r>
        <w:fldChar w:fldCharType="begin"/>
      </w:r>
      <w:r>
        <w:instrText xml:space="preserve"> REF  F_jud_rev_APP_responses_SANS_GOV \h  \* MERGEFORMAT </w:instrText>
      </w:r>
      <w:r>
        <w:fldChar w:fldCharType="separate"/>
      </w:r>
      <w:r w:rsidR="00F21D3F">
        <w:t>39</w:t>
      </w:r>
      <w:r>
        <w:fldChar w:fldCharType="end"/>
      </w:r>
      <w:r>
        <w:t>-</w:t>
      </w:r>
      <w:r>
        <w:fldChar w:fldCharType="begin"/>
      </w:r>
      <w:r>
        <w:instrText xml:space="preserve"> REF  F_jud_rev_APP_jud_SAC_19_07_2021 \h  \* MERGEFORMAT </w:instrText>
      </w:r>
      <w:r>
        <w:fldChar w:fldCharType="separate"/>
      </w:r>
      <w:r w:rsidR="00F21D3F">
        <w:t>40</w:t>
      </w:r>
      <w:r>
        <w:fldChar w:fldCharType="end"/>
      </w:r>
      <w:r>
        <w:t xml:space="preserve"> și </w:t>
      </w:r>
      <w:r>
        <w:fldChar w:fldCharType="begin"/>
      </w:r>
      <w:r>
        <w:instrText xml:space="preserve"> REF  L_C_A_8_m_int_G_2 \h  \* MERGEFORMAT </w:instrText>
      </w:r>
      <w:r>
        <w:fldChar w:fldCharType="separate"/>
      </w:r>
      <w:r w:rsidR="00F21D3F">
        <w:t>111</w:t>
      </w:r>
      <w:r>
        <w:fldChar w:fldCharType="end"/>
      </w:r>
      <w:r>
        <w:t>), „agenții cu identitate atribuită” nu intră sub incidența noțiunii de „mijloace speciale de supraveghere”, în sensul Legii din 1997 și al legislației conexe (a se vedea supra, pct. </w:t>
      </w:r>
      <w:r>
        <w:fldChar w:fldCharType="begin"/>
      </w:r>
      <w:r>
        <w:instrText xml:space="preserve"> REF  RLF_SSMA_s_2 \h  \* MERGEFORMAT </w:instrText>
      </w:r>
      <w:r>
        <w:fldChar w:fldCharType="separate"/>
      </w:r>
      <w:r w:rsidR="00F21D3F">
        <w:t>74</w:t>
      </w:r>
      <w:r>
        <w:fldChar w:fldCharType="end"/>
      </w:r>
      <w:r>
        <w:t xml:space="preserve">). Rezultă că organismul însărcinat cu supravegherea utilizării „mijloacelor speciale de supraveghere” în Bulgaria – Biroul Național pentru Controlul Mijloacelor Speciale de Supraveghere – nu are obligația de a supraveghea detașarea unor astfel de agenți și nici de a informa persoanele în cauză că s-a recurs la astfel de agenți în privința lor (a se vedea </w:t>
      </w:r>
      <w:r>
        <w:rPr>
          <w:i/>
        </w:rPr>
        <w:t>Ekimdjiev și alții</w:t>
      </w:r>
      <w:r>
        <w:t xml:space="preserve">, citată anterior, pct. 130-135). Rezultă, de asemenea, că respectiva cale de atac specială instituită în 2009 în ceea ce privește „mijloacele speciale de supraveghere” – o cerere de despăgubire pentru utilizarea ilegală a acestora (ibid., pct. 136-144 și 265-272) – nu poate fi exercitată în cazul „agenților cu identitate atribuită”. În orice caz, această cale de atac nu este disponibilă persoanelor juridice precum asociația reclamantă (ibidem, pct. 273). Într-adevăr, Guvernul nu a încercat </w:t>
      </w:r>
      <w:r>
        <w:lastRenderedPageBreak/>
        <w:t>să susțină că această cale legală ar putea oferi vreo reparație în ceea ce privește folosirea „agenților cu identitate atribuită”.</w:t>
      </w:r>
    </w:p>
    <w:bookmarkStart w:id="303" w:name="L_C_A_8_m_int_C_victim_rem_3"/>
    <w:p w:rsidR="00304BC9" w:rsidRDefault="00736C78" w:rsidP="00304BC9">
      <w:pPr>
        <w:pStyle w:val="JuPara"/>
      </w:pPr>
      <w:r>
        <w:fldChar w:fldCharType="begin"/>
      </w:r>
      <w:r>
        <w:instrText xml:space="preserve"> SEQ level0 \*arabic \* MERGEFORMAT </w:instrText>
      </w:r>
      <w:r>
        <w:fldChar w:fldCharType="separate"/>
      </w:r>
      <w:r w:rsidR="00F21D3F">
        <w:t>125</w:t>
      </w:r>
      <w:r>
        <w:fldChar w:fldCharType="end"/>
      </w:r>
      <w:bookmarkEnd w:id="303"/>
      <w:r>
        <w:t>. Guvernul a sugerat că membrii asociației reclamante ar fi putut solicita accesul la datele lor cu caracter personal prelucrate în bazele de date ale Agenției, prin intermediul unei cereri depuse în temeiul articolului 36 alineatul (4) din Legea din 2007 (a se vedea supra, pct. </w:t>
      </w:r>
      <w:r>
        <w:fldChar w:fldCharType="begin"/>
      </w:r>
      <w:r>
        <w:instrText xml:space="preserve"> REF  RLF_SANSA_s_36_4_5_6 \h  \* MERGEFORMAT </w:instrText>
      </w:r>
      <w:r>
        <w:fldChar w:fldCharType="separate"/>
      </w:r>
      <w:r w:rsidR="00F21D3F">
        <w:t>60</w:t>
      </w:r>
      <w:r>
        <w:fldChar w:fldCharType="end"/>
      </w:r>
      <w:r>
        <w:t>), și, ulterior, ar fi putut să conteste în fața instanțelor administrative, în temeiul articolului 36 alineatul (9), orice refuz al Agenției de a permite accesul la astfel de date (a se vedea supra, pct. </w:t>
      </w:r>
      <w:r>
        <w:fldChar w:fldCharType="begin"/>
      </w:r>
      <w:r>
        <w:instrText xml:space="preserve"> REF  L_C_A_8_adm_exh_G \h  \* MERGEFORMAT </w:instrText>
      </w:r>
      <w:r>
        <w:fldChar w:fldCharType="separate"/>
      </w:r>
      <w:r w:rsidR="00F21D3F">
        <w:t>105</w:t>
      </w:r>
      <w:r>
        <w:fldChar w:fldCharType="end"/>
      </w:r>
      <w:r>
        <w:t>) – și, astfel, ar fi putut să afle informații cu privire la orice „agenți cu identitate atribuită” care au fost folosiți în legătură cu asociația.</w:t>
      </w:r>
    </w:p>
    <w:bookmarkStart w:id="304" w:name="L_C_A_8_m_int_C_victim_rem_4"/>
    <w:p w:rsidR="00304BC9" w:rsidRDefault="00736C78" w:rsidP="00304BC9">
      <w:pPr>
        <w:pStyle w:val="JuPara"/>
      </w:pPr>
      <w:r>
        <w:fldChar w:fldCharType="begin"/>
      </w:r>
      <w:r>
        <w:instrText xml:space="preserve"> SEQ level0 \*arabic \* MERGEFORMAT </w:instrText>
      </w:r>
      <w:r>
        <w:fldChar w:fldCharType="separate"/>
      </w:r>
      <w:r w:rsidR="00F21D3F">
        <w:t>126</w:t>
      </w:r>
      <w:r>
        <w:fldChar w:fldCharType="end"/>
      </w:r>
      <w:bookmarkEnd w:id="304"/>
      <w:r>
        <w:t>. Lăsând la o parte faptul că această cale nu era disponibilă asociației în sine (având în vedere că este persoană juridică), nu reiese că această modalitate de acțiune permitea, în practică, obținerea de informații cu privire la folosirea unor „agenți cu identitate atribuită” de către Agenție. În conformitate cu articolul 36 alineatul (7) din Legea din 2007, Agenția poate să refuze, integral sau parțial, să divulge datele solicitate în temeiul articolului 36 alineatul (4) în cazul în care acest lucru ar pune în pericol securitatea națională, protecția informațiilor clasificate ca fiind „secrete de stat” sau „secrete de serviciu”, sau confidențialitatea surselor sale de informații ori a metodelor și tehnicilor secrete pe care le utilizează pentru a colecta informațiile respective, sau în cazul în care divulgarea ar împiedica în alt mod îndeplinirea atribuțiilor conferite Agenției prin lege (a se vedea supra, pct. </w:t>
      </w:r>
      <w:r>
        <w:fldChar w:fldCharType="begin"/>
      </w:r>
      <w:r>
        <w:instrText xml:space="preserve"> REF  RLF_SANSA_s_36_7 \h  \* MERGEFORMAT </w:instrText>
      </w:r>
      <w:r>
        <w:fldChar w:fldCharType="separate"/>
      </w:r>
      <w:r w:rsidR="00F21D3F">
        <w:t>63</w:t>
      </w:r>
      <w:r>
        <w:fldChar w:fldCharType="end"/>
      </w:r>
      <w:r>
        <w:t>). În plus, în temeiul articolului 35a din Legea din 2007, Agenția poate refuza să divulge informații cu privire la „agenții cu identitate atribuită” pentru a proteja metodele sau tehnicile pe care le folosește în scopul colectării de informații [a se vedea supra, pct. </w:t>
      </w:r>
      <w:r>
        <w:fldChar w:fldCharType="begin"/>
      </w:r>
      <w:r>
        <w:instrText xml:space="preserve"> REF  RLF_SANSA_agents_in_cover \h  \* MERGEFORMAT </w:instrText>
      </w:r>
      <w:r>
        <w:fldChar w:fldCharType="separate"/>
      </w:r>
      <w:r w:rsidR="00F21D3F">
        <w:t>48</w:t>
      </w:r>
      <w:r>
        <w:fldChar w:fldCharType="end"/>
      </w:r>
      <w:r>
        <w:t xml:space="preserve"> (</w:t>
      </w:r>
      <w:r>
        <w:fldChar w:fldCharType="begin"/>
      </w:r>
      <w:r>
        <w:instrText xml:space="preserve"> REF RLF_SANSA_agents_in_cover_s_35a \h  \* MERGEFORMAT </w:instrText>
      </w:r>
      <w:r>
        <w:fldChar w:fldCharType="separate"/>
      </w:r>
      <w:r w:rsidR="00F21D3F">
        <w:t>a</w:t>
      </w:r>
      <w:r>
        <w:fldChar w:fldCharType="end"/>
      </w:r>
      <w:r>
        <w:t>)]. Toate exemplele de cereri care au fost depuse în temeiul articolului 36 alineatul (4) și căile de atac exercitate ulterior, prin care s-a solicitat un control jurisdicțional în temeiul articolului 36 alineatul (9), pe parcursul perioadei 2012-2024, de care are cunoștință Curtea, arată că Agenția s-a prevalat în mod sistematic de posibilitatea de a refuza divulgarea de informații cu privire la orice aspect al operațiunilor sale și că instanțele administrative bulgare au confirmat în mod constant aceste refuzuri (a se vedea supra, pct. </w:t>
      </w:r>
      <w:r>
        <w:fldChar w:fldCharType="begin"/>
      </w:r>
      <w:r>
        <w:instrText xml:space="preserve"> REF  RLF_SANSA_s_36_7_case_law_NGOs \h  \* MERGEFORMAT </w:instrText>
      </w:r>
      <w:r>
        <w:fldChar w:fldCharType="separate"/>
      </w:r>
      <w:r w:rsidR="00F21D3F">
        <w:t>66</w:t>
      </w:r>
      <w:r>
        <w:fldChar w:fldCharType="end"/>
      </w:r>
      <w:r>
        <w:t>-</w:t>
      </w:r>
      <w:r>
        <w:fldChar w:fldCharType="begin"/>
      </w:r>
      <w:r>
        <w:instrText xml:space="preserve"> REF  RLF_SANSA_s_36_7_case_law_inteligence_2 \h  \* MERGEFORMAT </w:instrText>
      </w:r>
      <w:r>
        <w:fldChar w:fldCharType="separate"/>
      </w:r>
      <w:r w:rsidR="00F21D3F">
        <w:t>71</w:t>
      </w:r>
      <w:r>
        <w:fldChar w:fldCharType="end"/>
      </w:r>
      <w:r>
        <w:t xml:space="preserve">; a se compara, </w:t>
      </w:r>
      <w:r>
        <w:rPr>
          <w:i/>
        </w:rPr>
        <w:t>mutatis mutandis</w:t>
      </w:r>
      <w:r>
        <w:t xml:space="preserve">, cu </w:t>
      </w:r>
      <w:r>
        <w:rPr>
          <w:i/>
        </w:rPr>
        <w:t>Pietrzak și Bychawska-Siniarska și alții</w:t>
      </w:r>
      <w:r>
        <w:t>, citată anterior, pct. 241). Guvernul nu a oferit niciun exemplu contrar.</w:t>
      </w:r>
    </w:p>
    <w:bookmarkStart w:id="305" w:name="L_C_A_8_m_int_C_victim_rem_5"/>
    <w:p w:rsidR="00304BC9" w:rsidRDefault="00736C78" w:rsidP="00304BC9">
      <w:pPr>
        <w:pStyle w:val="JuPara"/>
      </w:pPr>
      <w:r>
        <w:fldChar w:fldCharType="begin"/>
      </w:r>
      <w:r>
        <w:instrText xml:space="preserve"> SEQ level0 \*arabic \* MERGEFORMAT </w:instrText>
      </w:r>
      <w:r>
        <w:fldChar w:fldCharType="separate"/>
      </w:r>
      <w:r w:rsidR="00F21D3F">
        <w:t>127</w:t>
      </w:r>
      <w:r>
        <w:fldChar w:fldCharType="end"/>
      </w:r>
      <w:bookmarkEnd w:id="305"/>
      <w:r>
        <w:t>. Rezultă că respectiva cale de atac prevăzută la articolul 36 alineatele (4) și (9) din Legea din 2007 nu poate contribui suficient la înlăturarea îndoielilor publicului cu privire la pericolul reprezentat de recurgerea abuzivă de către Agenție la „agenți cu identitate atribuită”. Rezultă de asemenea că excepția ridicată de Guvern în temeiul acestor dispoziții, cu privire la neepuizarea căilor de atac interne (care a fost unită cu fondul – a se vedea supra, pct. </w:t>
      </w:r>
      <w:r>
        <w:fldChar w:fldCharType="begin"/>
      </w:r>
      <w:r>
        <w:instrText xml:space="preserve"> REF  L_C_A_8_adm_exh_G \h  \* MERGEFORMAT </w:instrText>
      </w:r>
      <w:r>
        <w:fldChar w:fldCharType="separate"/>
      </w:r>
      <w:r w:rsidR="00F21D3F">
        <w:t>105</w:t>
      </w:r>
      <w:r>
        <w:fldChar w:fldCharType="end"/>
      </w:r>
      <w:r>
        <w:t xml:space="preserve"> și </w:t>
      </w:r>
      <w:r>
        <w:fldChar w:fldCharType="begin"/>
      </w:r>
      <w:r>
        <w:instrText xml:space="preserve"> REF  L_C_A_8_adm_exh_C \h  \* MERGEFORMAT </w:instrText>
      </w:r>
      <w:r>
        <w:fldChar w:fldCharType="separate"/>
      </w:r>
      <w:r w:rsidR="00F21D3F">
        <w:t>107</w:t>
      </w:r>
      <w:r>
        <w:fldChar w:fldCharType="end"/>
      </w:r>
      <w:r>
        <w:t>) trebuie să fie respinsă.</w:t>
      </w:r>
    </w:p>
    <w:bookmarkStart w:id="306" w:name="L_C_A_8_m_int_C_victim_rem_6"/>
    <w:p w:rsidR="00304BC9" w:rsidRDefault="00736C78" w:rsidP="00304BC9">
      <w:pPr>
        <w:pStyle w:val="JuPara"/>
      </w:pPr>
      <w:r>
        <w:lastRenderedPageBreak/>
        <w:fldChar w:fldCharType="begin"/>
      </w:r>
      <w:r>
        <w:instrText xml:space="preserve"> SEQ level0 \*arabic \* MERGEFORMAT </w:instrText>
      </w:r>
      <w:r>
        <w:fldChar w:fldCharType="separate"/>
      </w:r>
      <w:r w:rsidR="00F21D3F">
        <w:t>128</w:t>
      </w:r>
      <w:r>
        <w:fldChar w:fldCharType="end"/>
      </w:r>
      <w:bookmarkEnd w:id="306"/>
      <w:r>
        <w:t>. Aceste îndoieli nu pot fi înlăturate nici prin exercitarea altor posibile căi de atac.</w:t>
      </w:r>
    </w:p>
    <w:bookmarkStart w:id="307" w:name="L_C_A_8_m_int_C_victim_rem_7"/>
    <w:p w:rsidR="00304BC9" w:rsidRDefault="00736C78" w:rsidP="00304BC9">
      <w:pPr>
        <w:pStyle w:val="JuPara"/>
      </w:pPr>
      <w:r>
        <w:fldChar w:fldCharType="begin"/>
      </w:r>
      <w:r>
        <w:instrText xml:space="preserve"> SEQ level0 \*arabic \* MERGEFORMAT </w:instrText>
      </w:r>
      <w:r>
        <w:fldChar w:fldCharType="separate"/>
      </w:r>
      <w:r w:rsidR="00F21D3F">
        <w:t>129</w:t>
      </w:r>
      <w:r>
        <w:fldChar w:fldCharType="end"/>
      </w:r>
      <w:bookmarkEnd w:id="307"/>
      <w:r>
        <w:t>. Guvernul nu a susținut – și nu există niciun indiciu – că, până în prezent, a existat vreo situație în care o persoană a putut să obțină informații sau reparații în ceea ce privește folosirea unui „agent cu identitate atribuită” prin depunerea unei plângeri la Comisia pentru protecția datelor cu caracter personal. Este adevărat că articolul 37 din Legea din 2007 abilitează această Comisie să supravegheze prelucrarea datelor cu caracter personal de către Agenție astfel cum se prevede în Legea din 2002 (a se vedea supra, pct. </w:t>
      </w:r>
      <w:r>
        <w:fldChar w:fldCharType="begin"/>
      </w:r>
      <w:r>
        <w:instrText xml:space="preserve"> REF  RLF_SANSA_s_37 \h  \* MERGEFORMAT </w:instrText>
      </w:r>
      <w:r>
        <w:fldChar w:fldCharType="separate"/>
      </w:r>
      <w:r w:rsidR="00F21D3F">
        <w:t>72</w:t>
      </w:r>
      <w:r>
        <w:fldChar w:fldCharType="end"/>
      </w:r>
      <w:r>
        <w:t>). În același timp, chiar articolul 1 alineatul (5) din Legea din 2002 (astfel cum a fost modificat în martie 2019) prevede că această Lege nu se aplică prelucrării datelor cu caracter personal în scopuri legate de securitatea națională, cu excepția cazului în care această prelucrare este prevăzut în mod expres în altă parte – raționamentul menționat fiind că regimul complex de protecție a datelor instituit de dreptul UE, în special după adoptarea RGPD și a LED, și reflectat în Legea din 2002, nu acoperă prelucrarea datelor cu caracter personal în privința activităților legate de protecția securității naționale (a se vedea supra, pct. </w:t>
      </w:r>
      <w:r>
        <w:fldChar w:fldCharType="begin"/>
      </w:r>
      <w:r>
        <w:instrText xml:space="preserve"> REF RLF_PPDA_scope_ratione_materiae_history \h  \* MERGEFORMAT </w:instrText>
      </w:r>
      <w:r>
        <w:fldChar w:fldCharType="separate"/>
      </w:r>
      <w:r w:rsidR="00F21D3F">
        <w:t>82</w:t>
      </w:r>
      <w:r>
        <w:fldChar w:fldCharType="end"/>
      </w:r>
      <w:r>
        <w:t xml:space="preserve">). </w:t>
      </w:r>
      <w:bookmarkStart w:id="308" w:name="_Hlk176442308"/>
      <w:r>
        <w:t>Prin urmare, nu este clar dacă articolul 37 din Legea din 2007 poate fi interpretat în sensul că restricțiile Legii din 2002 se aplică prelucrării unor astfel de date de către Agenție în scopuri operaționale (sau că Legea din 2002 se aplică doar prelucrării datelor de către Agenție în alte scopuri – cum ar fi, de exemplu, administrarea personalului și achizițiile publice) și că această Comisie poate exercita competențele de investigare și de remediere de care dispune în temeiul Legii din 2002</w:t>
      </w:r>
      <w:bookmarkEnd w:id="308"/>
      <w:r>
        <w:t xml:space="preserve"> în ceea ce privește datele obținute de Agenție în cadrul operațiunilor sale de colectare de informații.</w:t>
      </w:r>
    </w:p>
    <w:bookmarkStart w:id="309" w:name="L_C_A_8_m_int_C_victim_rem_8"/>
    <w:p w:rsidR="00304BC9" w:rsidRPr="002E2A2A" w:rsidRDefault="00736C78" w:rsidP="00304BC9">
      <w:pPr>
        <w:pStyle w:val="JuPara"/>
      </w:pPr>
      <w:r>
        <w:fldChar w:fldCharType="begin"/>
      </w:r>
      <w:r>
        <w:instrText xml:space="preserve"> SEQ level0 \*arabic \* MERGEFORMAT </w:instrText>
      </w:r>
      <w:r>
        <w:fldChar w:fldCharType="separate"/>
      </w:r>
      <w:r w:rsidR="00F21D3F">
        <w:t>130</w:t>
      </w:r>
      <w:r>
        <w:fldChar w:fldCharType="end"/>
      </w:r>
      <w:bookmarkEnd w:id="309"/>
      <w:r>
        <w:t>. De asemenea, nu există niciun indiciu – poate cu excepția unui audit efectuat în 2009 de Agenție în legătură cu pregătirile pentru procesul viitor de punere în aplicare a Sistemului de Informații Schengen – că respectiva Comisie a verificat vreodată modul în care Agenția prelucrează datele operaționale – și, în special, dacă respectă în mod corespunzător dispozițiile legale și reglementările aplicabile în materie [a se vedea supra, pct. </w:t>
      </w:r>
      <w:r>
        <w:fldChar w:fldCharType="begin"/>
      </w:r>
      <w:r>
        <w:instrText xml:space="preserve"> REF  RLF_SANSA_s_34_1_2_9_36_2 \h  \* MERGEFORMAT </w:instrText>
      </w:r>
      <w:r>
        <w:fldChar w:fldCharType="separate"/>
      </w:r>
      <w:r w:rsidR="00F21D3F">
        <w:t>52</w:t>
      </w:r>
      <w:r>
        <w:fldChar w:fldCharType="end"/>
      </w:r>
      <w:r>
        <w:t>-</w:t>
      </w:r>
      <w:r>
        <w:fldChar w:fldCharType="begin"/>
      </w:r>
      <w:r>
        <w:instrText xml:space="preserve"> REF  RLF_SANSA_personal_data_regs_1 \h  \* MERGEFORMAT </w:instrText>
      </w:r>
      <w:r>
        <w:fldChar w:fldCharType="separate"/>
      </w:r>
      <w:r w:rsidR="00F21D3F">
        <w:t>54</w:t>
      </w:r>
      <w:r>
        <w:fldChar w:fldCharType="end"/>
      </w:r>
      <w:r>
        <w:t xml:space="preserve"> și </w:t>
      </w:r>
      <w:r w:rsidRPr="005822CF">
        <w:fldChar w:fldCharType="begin"/>
      </w:r>
      <w:r w:rsidRPr="005822CF">
        <w:instrText xml:space="preserve"> REF  RLF_PPDA_CPPD_sexies_annual_reports \h  \* MERGEFORMAT </w:instrText>
      </w:r>
      <w:r w:rsidRPr="005822CF">
        <w:fldChar w:fldCharType="separate"/>
      </w:r>
      <w:r w:rsidR="00F21D3F">
        <w:t>96</w:t>
      </w:r>
      <w:r w:rsidRPr="005822CF">
        <w:fldChar w:fldCharType="end"/>
      </w:r>
      <w:r>
        <w:t xml:space="preserve">; de asemenea, a se compara cu </w:t>
      </w:r>
      <w:r>
        <w:rPr>
          <w:i/>
          <w:iCs/>
        </w:rPr>
        <w:t>Ekimdjiev</w:t>
      </w:r>
      <w:r>
        <w:rPr>
          <w:i/>
        </w:rPr>
        <w:t xml:space="preserve"> și alții</w:t>
      </w:r>
      <w:r>
        <w:t xml:space="preserve">, citată anterior, pct. 346 și 412; de asemenea, a se face deosebirea, </w:t>
      </w:r>
      <w:r>
        <w:rPr>
          <w:i/>
        </w:rPr>
        <w:t>mutatis mutandis</w:t>
      </w:r>
      <w:r>
        <w:t xml:space="preserve">, față de </w:t>
      </w:r>
      <w:r>
        <w:rPr>
          <w:i/>
        </w:rPr>
        <w:t>Centrum för rättvisa</w:t>
      </w:r>
      <w:r>
        <w:t xml:space="preserve">, citată anterior, pct. 351, și </w:t>
      </w:r>
      <w:r>
        <w:rPr>
          <w:i/>
        </w:rPr>
        <w:t>Big Brother Watch și alții</w:t>
      </w:r>
      <w:r>
        <w:t xml:space="preserve"> </w:t>
      </w:r>
      <w:r>
        <w:rPr>
          <w:i/>
          <w:iCs/>
        </w:rPr>
        <w:t>împotriva Regatului Unit</w:t>
      </w:r>
      <w:r>
        <w:t xml:space="preserve"> (MC), nr. 58170/13 și alte 2, pct. 409-410, 25 mai 2021]. Dimpotrivă, singurul caz – cel puțin aparent – în care această Comisie a fost chemată să examineze chestiunea în discuție indică faptul că aceasta a considerat că datele rezultate din activitățile de supraveghere desfășurate de Agenție nu constituiau date cu caracter personal și că astfel de operațiuni desfășurate de Agenție nu intrau în sfera competenței de supraveghere a Comisiei (a se vedea supra, pct. </w:t>
      </w:r>
      <w:r>
        <w:fldChar w:fldCharType="begin"/>
      </w:r>
      <w:r>
        <w:instrText xml:space="preserve"> REF  RLF_PPDA_scope_ratione_materiae_history2 \h  \* MERGEFORMAT </w:instrText>
      </w:r>
      <w:r>
        <w:fldChar w:fldCharType="separate"/>
      </w:r>
      <w:r w:rsidR="00F21D3F">
        <w:t>84</w:t>
      </w:r>
      <w:r>
        <w:fldChar w:fldCharType="end"/>
      </w:r>
      <w:r>
        <w:t>).</w:t>
      </w:r>
    </w:p>
    <w:bookmarkStart w:id="310" w:name="L_C_A_8_m_int_C_victim_rem_9"/>
    <w:p w:rsidR="00304BC9" w:rsidRDefault="00736C78" w:rsidP="00304BC9">
      <w:pPr>
        <w:pStyle w:val="JuPara"/>
      </w:pPr>
      <w:r>
        <w:fldChar w:fldCharType="begin"/>
      </w:r>
      <w:r>
        <w:instrText xml:space="preserve"> SEQ level0 \*arabic \* MERGEFORMAT </w:instrText>
      </w:r>
      <w:r>
        <w:fldChar w:fldCharType="separate"/>
      </w:r>
      <w:r w:rsidR="00F21D3F">
        <w:t>131</w:t>
      </w:r>
      <w:r>
        <w:fldChar w:fldCharType="end"/>
      </w:r>
      <w:bookmarkEnd w:id="310"/>
      <w:r>
        <w:t xml:space="preserve">. Prin urmare, posibilitatea de a adresa o plângere acestei Comisii nu poate fi considerată o cale de atac efectivă în ceea ce privește detașarea de </w:t>
      </w:r>
      <w:r>
        <w:lastRenderedPageBreak/>
        <w:t xml:space="preserve">„agenți cu identitate atribuită” (a se compara, </w:t>
      </w:r>
      <w:r>
        <w:rPr>
          <w:i/>
        </w:rPr>
        <w:t>mutatis mutandis</w:t>
      </w:r>
      <w:r>
        <w:t xml:space="preserve">, cu </w:t>
      </w:r>
      <w:r>
        <w:rPr>
          <w:i/>
        </w:rPr>
        <w:t>Ekimdjiev și alții</w:t>
      </w:r>
      <w:r>
        <w:t xml:space="preserve">, citată anterior, pct. 346, și </w:t>
      </w:r>
      <w:r>
        <w:rPr>
          <w:i/>
        </w:rPr>
        <w:t>Hüttl împotriva Ungariei</w:t>
      </w:r>
      <w:r>
        <w:t xml:space="preserve"> [Comitet], nr. 58032/16, pct. 15-18, 29 septembrie 2022; de asemenea, a se vedea, </w:t>
      </w:r>
      <w:r>
        <w:rPr>
          <w:i/>
          <w:iCs/>
        </w:rPr>
        <w:t>a contrario,</w:t>
      </w:r>
      <w:r>
        <w:t xml:space="preserve"> </w:t>
      </w:r>
      <w:bookmarkStart w:id="311" w:name="_cl22616THELAW"/>
      <w:r>
        <w:rPr>
          <w:i/>
        </w:rPr>
        <w:t>Breyer împotriva Germaniei</w:t>
      </w:r>
      <w:bookmarkEnd w:id="311"/>
      <w:r>
        <w:t xml:space="preserve">, nr. 50001/12, pct. 105 și 107, 30 ianuarie 2020, și </w:t>
      </w:r>
      <w:r>
        <w:rPr>
          <w:i/>
        </w:rPr>
        <w:t>Ringler împotriva Austriei</w:t>
      </w:r>
      <w:r>
        <w:t xml:space="preserve"> (dec.) [Comitet], nr. 2309/10, pct. 72-79, 15 mai 2020).</w:t>
      </w:r>
    </w:p>
    <w:bookmarkStart w:id="312" w:name="L_C_A_8_m_int_C_victim_rem_10"/>
    <w:p w:rsidR="00304BC9" w:rsidRDefault="00736C78" w:rsidP="00304BC9">
      <w:pPr>
        <w:pStyle w:val="JuPara"/>
      </w:pPr>
      <w:r w:rsidRPr="009B728A">
        <w:fldChar w:fldCharType="begin"/>
      </w:r>
      <w:r w:rsidRPr="009B728A">
        <w:instrText xml:space="preserve"> SEQ level0 \*arabic \* MERGEFORMAT </w:instrText>
      </w:r>
      <w:r w:rsidRPr="009B728A">
        <w:fldChar w:fldCharType="separate"/>
      </w:r>
      <w:r w:rsidR="00F21D3F">
        <w:t>132</w:t>
      </w:r>
      <w:r w:rsidRPr="009B728A">
        <w:fldChar w:fldCharType="end"/>
      </w:r>
      <w:bookmarkEnd w:id="312"/>
      <w:r>
        <w:t>. Aceleași considerente se aplică și în cazul celorlalte căi de atac generale în materie de protecție a datelor, prevăzute de Legea din 2002 (a se vedea supra, pct. </w:t>
      </w:r>
      <w:r w:rsidRPr="009B728A">
        <w:fldChar w:fldCharType="begin"/>
      </w:r>
      <w:r w:rsidRPr="009B728A">
        <w:instrText xml:space="preserve"> REF  RLF_PPDA_remedies_GDPR_1 \h  \* MERGEFORMAT </w:instrText>
      </w:r>
      <w:r w:rsidRPr="009B728A">
        <w:fldChar w:fldCharType="separate"/>
      </w:r>
      <w:r w:rsidR="00F21D3F">
        <w:t>97</w:t>
      </w:r>
      <w:r w:rsidRPr="009B728A">
        <w:fldChar w:fldCharType="end"/>
      </w:r>
      <w:r>
        <w:t>-</w:t>
      </w:r>
      <w:r w:rsidRPr="009B728A">
        <w:fldChar w:fldCharType="begin"/>
      </w:r>
      <w:r w:rsidRPr="009B728A">
        <w:instrText xml:space="preserve"> REF  RLF_PPDA_remedies_LED \h  \* MERGEFORMAT </w:instrText>
      </w:r>
      <w:r w:rsidRPr="009B728A">
        <w:fldChar w:fldCharType="separate"/>
      </w:r>
      <w:r w:rsidR="00F21D3F">
        <w:t>99</w:t>
      </w:r>
      <w:r w:rsidRPr="009B728A">
        <w:fldChar w:fldCharType="end"/>
      </w:r>
      <w:r>
        <w:t>).</w:t>
      </w:r>
    </w:p>
    <w:bookmarkStart w:id="313" w:name="L_C_A_8_m_int_C_victim_rem_11"/>
    <w:p w:rsidR="00304BC9" w:rsidRDefault="00736C78" w:rsidP="00304BC9">
      <w:pPr>
        <w:pStyle w:val="JuPara"/>
      </w:pPr>
      <w:r>
        <w:fldChar w:fldCharType="begin"/>
      </w:r>
      <w:r>
        <w:instrText xml:space="preserve"> SEQ level0 \*arabic \* MERGEFORMAT </w:instrText>
      </w:r>
      <w:r>
        <w:fldChar w:fldCharType="separate"/>
      </w:r>
      <w:r w:rsidR="00F21D3F">
        <w:t>133</w:t>
      </w:r>
      <w:r>
        <w:fldChar w:fldCharType="end"/>
      </w:r>
      <w:bookmarkEnd w:id="313"/>
      <w:r>
        <w:t>. Nici posibilitatea generală de a solicita controlul jurisdicțional al deciziilor șefului Agenției – la care Guvernul a făcut referire în observațiile sale cu privire la fond [a se vedea infra, pct. </w:t>
      </w:r>
      <w:r>
        <w:fldChar w:fldCharType="begin"/>
      </w:r>
      <w:r>
        <w:instrText xml:space="preserve"> REF  L_C_A_8_m_just_G_1 \h  \* MERGEFORMAT </w:instrText>
      </w:r>
      <w:r>
        <w:fldChar w:fldCharType="separate"/>
      </w:r>
      <w:r w:rsidR="00F21D3F">
        <w:t>137</w:t>
      </w:r>
      <w:r>
        <w:fldChar w:fldCharType="end"/>
      </w:r>
      <w:r>
        <w:t xml:space="preserve"> lit. (</w:t>
      </w:r>
      <w:r>
        <w:fldChar w:fldCharType="begin"/>
      </w:r>
      <w:r>
        <w:instrText xml:space="preserve"> REF  L_C_A_8_m_just_G_1_suprvsn_jud_rev \h  \* MERGEFORMAT </w:instrText>
      </w:r>
      <w:r>
        <w:fldChar w:fldCharType="separate"/>
      </w:r>
      <w:r w:rsidR="00F21D3F">
        <w:t>b</w:t>
      </w:r>
      <w:r>
        <w:fldChar w:fldCharType="end"/>
      </w:r>
      <w:r>
        <w:t xml:space="preserve">)] – nu poate fi considerată o cale de atac efectivă în ceea ce privește detașarea „agenților cu identitate atribuită”. Persoanele vizate sau afectate (în mod direct sau colateral) de detașarea unor astfel de agenți nu au cunoștință, prin definiție, de faptul că a avut loc o astfel de detașare. Astfel cum a subliniat în mod constant Curtea, există posibilități limitate de a sesiza instanțele, cu excepția cazului în care persoanele în cauză sunt informate cu privire la luarea unei măsuri fără știrea lor și, astfel, acestea sunt în măsură să o conteste [a se vedea </w:t>
      </w:r>
      <w:bookmarkStart w:id="314" w:name="_cl29288THELAW"/>
      <w:r>
        <w:rPr>
          <w:i/>
        </w:rPr>
        <w:t>Klass și alții împotriva Germaniei</w:t>
      </w:r>
      <w:bookmarkEnd w:id="314"/>
      <w:r>
        <w:t>, 6 septembrie 1978, pct. 57, seria A nr. 28;</w:t>
      </w:r>
      <w:bookmarkStart w:id="315" w:name="_cl39200THELAW"/>
      <w:r>
        <w:t xml:space="preserve"> </w:t>
      </w:r>
      <w:r>
        <w:rPr>
          <w:i/>
        </w:rPr>
        <w:t>Weber și Saravia împotriva Germaniei</w:t>
      </w:r>
      <w:bookmarkEnd w:id="315"/>
      <w:r>
        <w:t xml:space="preserve"> (dec.), nr. 54934/00, pct. 135, CEDO 2006-XI; </w:t>
      </w:r>
      <w:r>
        <w:rPr>
          <w:i/>
        </w:rPr>
        <w:t>Roman Zaharov</w:t>
      </w:r>
      <w:r>
        <w:t>, citată anterior, pct. 234;</w:t>
      </w:r>
      <w:bookmarkStart w:id="316" w:name="_cl36849THELAW"/>
      <w:r>
        <w:t xml:space="preserve"> </w:t>
      </w:r>
      <w:r>
        <w:rPr>
          <w:i/>
        </w:rPr>
        <w:t>Sommer împotriva Germaniei</w:t>
      </w:r>
      <w:bookmarkEnd w:id="316"/>
      <w:r>
        <w:t xml:space="preserve">, nr. 73607/13, pct. 62, 27 aprilie 2017; </w:t>
      </w:r>
      <w:r>
        <w:rPr>
          <w:i/>
        </w:rPr>
        <w:t>Centrum för rättvisa</w:t>
      </w:r>
      <w:r>
        <w:t xml:space="preserve">, citată anterior, pct. 251; și </w:t>
      </w:r>
      <w:r>
        <w:rPr>
          <w:i/>
        </w:rPr>
        <w:t xml:space="preserve">Big Brother Watch </w:t>
      </w:r>
      <w:r>
        <w:rPr>
          <w:i/>
          <w:iCs/>
        </w:rPr>
        <w:t>și alții</w:t>
      </w:r>
      <w:r>
        <w:t>, citată anterior, pct. 337]. Guvernul nu a pretins că o astfel de cerere de control jurisdicțional poate fi introdusă fără ca reclamantul să cunoască exact decizia șefului Agenției care este contestată – aceasta fiind o cerință generală pentru introducerea unei cereri de control jurisdicțional în Bulgaria (a se vedea supra, pct. </w:t>
      </w:r>
      <w:r>
        <w:fldChar w:fldCharType="begin"/>
      </w:r>
      <w:r>
        <w:instrText xml:space="preserve"> REF  RLF_CAP_A_150_1_5 \h  \* MERGEFORMAT </w:instrText>
      </w:r>
      <w:r>
        <w:fldChar w:fldCharType="separate"/>
      </w:r>
      <w:r w:rsidR="00F21D3F">
        <w:t>100</w:t>
      </w:r>
      <w:r>
        <w:fldChar w:fldCharType="end"/>
      </w:r>
      <w:r>
        <w:t xml:space="preserve">; de asemenea, a se vedea, </w:t>
      </w:r>
      <w:r>
        <w:rPr>
          <w:i/>
          <w:iCs/>
        </w:rPr>
        <w:t>a contrario</w:t>
      </w:r>
      <w:r>
        <w:t xml:space="preserve"> și </w:t>
      </w:r>
      <w:r>
        <w:rPr>
          <w:i/>
        </w:rPr>
        <w:t>mutatis mutandis</w:t>
      </w:r>
      <w:r>
        <w:t xml:space="preserve">, </w:t>
      </w:r>
      <w:r>
        <w:rPr>
          <w:i/>
        </w:rPr>
        <w:t xml:space="preserve">Big Brother Watch </w:t>
      </w:r>
      <w:r>
        <w:rPr>
          <w:i/>
          <w:iCs/>
        </w:rPr>
        <w:t>și alții</w:t>
      </w:r>
      <w:r>
        <w:t>, citată anterior, pct. 413).</w:t>
      </w:r>
    </w:p>
    <w:bookmarkStart w:id="317" w:name="L_C_A_8_m_int_C_victim_rem_12"/>
    <w:p w:rsidR="00304BC9" w:rsidRPr="007830ED" w:rsidRDefault="00736C78" w:rsidP="00304BC9">
      <w:pPr>
        <w:pStyle w:val="JuPara"/>
      </w:pPr>
      <w:r>
        <w:fldChar w:fldCharType="begin"/>
      </w:r>
      <w:r>
        <w:instrText xml:space="preserve"> SEQ level0 \*arabic \* MERGEFORMAT </w:instrText>
      </w:r>
      <w:r>
        <w:fldChar w:fldCharType="separate"/>
      </w:r>
      <w:r w:rsidR="00F21D3F">
        <w:t>134</w:t>
      </w:r>
      <w:r>
        <w:fldChar w:fldCharType="end"/>
      </w:r>
      <w:bookmarkEnd w:id="317"/>
      <w:r>
        <w:t>. Nici încercarea de a angaja răspunderea personală a „agenților cu identitate atribuită” pentru actele săvârșite în cursul activității lor – o posibilă cale de atac la care Guvernul a făcut referire și în observațiile sale cu privire la fond [a se vedea infra, pct. </w:t>
      </w:r>
      <w:r>
        <w:fldChar w:fldCharType="begin"/>
      </w:r>
      <w:r>
        <w:instrText xml:space="preserve"> REF  L_C_A_8_m_just_G_1 \h  \* MERGEFORMAT </w:instrText>
      </w:r>
      <w:r>
        <w:fldChar w:fldCharType="separate"/>
      </w:r>
      <w:r w:rsidR="00F21D3F">
        <w:t>137</w:t>
      </w:r>
      <w:r>
        <w:fldChar w:fldCharType="end"/>
      </w:r>
      <w:r>
        <w:t xml:space="preserve"> lit. (</w:t>
      </w:r>
      <w:r>
        <w:fldChar w:fldCharType="begin"/>
      </w:r>
      <w:r>
        <w:instrText xml:space="preserve"> REF  L_C_A_8_m_just_G_1_suprvsn_liability \h  \* MERGEFORMAT </w:instrText>
      </w:r>
      <w:r>
        <w:fldChar w:fldCharType="separate"/>
      </w:r>
      <w:r w:rsidR="00F21D3F">
        <w:t>c</w:t>
      </w:r>
      <w:r>
        <w:fldChar w:fldCharType="end"/>
      </w:r>
      <w:r>
        <w:t xml:space="preserve">)] – nu poate fi considerată o cale de atac efectivă în ceea ce privește detașarea unor astfel de agenți. Sugestia că este posibil să fie angajată răspunderea personală a unor astfel de agenți pentru ingerințe ilegale în exercitarea drepturilor garantate de art. 8 din Convenție, săvârșite în cursul activității acestora, pare desprinsă de realitate, în absența oricărei posibilități legale ca persoanele afectate de detașarea lor să afle despre aceasta. În plus, potrivit jurisprudenței Curții, inițierea unei acțiuni în justiție împotriva unei persoane particulare nu constituie o cale de atac în privința unor acte ale statului [a se vedea </w:t>
      </w:r>
      <w:r>
        <w:rPr>
          <w:i/>
        </w:rPr>
        <w:t>Pine Valley Developments Ltd și alții împotriva Irlandei</w:t>
      </w:r>
      <w:r>
        <w:t xml:space="preserve">, 29 noiembrie 1991, pct. 48, seria A nr. 222; </w:t>
      </w:r>
      <w:r>
        <w:rPr>
          <w:i/>
        </w:rPr>
        <w:t>Iatridis împotriva Greciei</w:t>
      </w:r>
      <w:r>
        <w:t xml:space="preserve"> (MC), nr. 31107/96, pct. 47 </w:t>
      </w:r>
      <w:r>
        <w:rPr>
          <w:i/>
        </w:rPr>
        <w:t>in fine</w:t>
      </w:r>
      <w:r>
        <w:t>, CEDO 1999-</w:t>
      </w:r>
      <w:r>
        <w:lastRenderedPageBreak/>
        <w:t>II;</w:t>
      </w:r>
      <w:bookmarkStart w:id="318" w:name="_cl39964THELAW"/>
      <w:r>
        <w:t xml:space="preserve"> și </w:t>
      </w:r>
      <w:r>
        <w:rPr>
          <w:i/>
        </w:rPr>
        <w:t>Zlínsat, spol. s r.o., împotriva Bulgariei</w:t>
      </w:r>
      <w:bookmarkEnd w:id="318"/>
      <w:r>
        <w:t xml:space="preserve">, nr. 57785/00, pct. 55 </w:t>
      </w:r>
      <w:r>
        <w:rPr>
          <w:i/>
        </w:rPr>
        <w:t>in fine</w:t>
      </w:r>
      <w:r>
        <w:t>, 15 iunie 2006].</w:t>
      </w:r>
    </w:p>
    <w:p w:rsidR="00304BC9" w:rsidRDefault="00736C78" w:rsidP="00304BC9">
      <w:pPr>
        <w:pStyle w:val="JuH"/>
      </w:pPr>
      <w:bookmarkStart w:id="319" w:name="_Toc238743299"/>
      <w:r>
        <w:t>Concluzie</w:t>
      </w:r>
      <w:bookmarkEnd w:id="319"/>
    </w:p>
    <w:bookmarkStart w:id="320" w:name="L_C_A_8_m_int_C_victim_conc"/>
    <w:p w:rsidR="00304BC9" w:rsidRDefault="00736C78" w:rsidP="00304BC9">
      <w:pPr>
        <w:pStyle w:val="JuPara"/>
      </w:pPr>
      <w:r>
        <w:fldChar w:fldCharType="begin"/>
      </w:r>
      <w:r>
        <w:instrText xml:space="preserve"> SEQ level0 \*arabic \* MERGEFORMAT </w:instrText>
      </w:r>
      <w:r>
        <w:fldChar w:fldCharType="separate"/>
      </w:r>
      <w:r w:rsidR="00F21D3F">
        <w:t>135</w:t>
      </w:r>
      <w:r>
        <w:fldChar w:fldCharType="end"/>
      </w:r>
      <w:bookmarkEnd w:id="320"/>
      <w:r>
        <w:t xml:space="preserve">. Pentru motivele expuse mai sus, simpla existență a regulamentului în litigiu – care, începând din septembrie 2018, permite infiltrarea unor „agenți cu identitate atribuită” în cadrul organizațiilor private – poate fi considerată o ingerință în exercitarea de către asociația reclamantă a drepturilor garantate de art. 8 din Convenție, fără a fi necesar să se verifice dacă, având în vedere situația sa specifică, asociația este expusă riscului ca astfel de agenți să se infiltreze în cadrul acesteia. Prin urmare, este justificată examinarea </w:t>
      </w:r>
      <w:r>
        <w:rPr>
          <w:i/>
          <w:iCs/>
        </w:rPr>
        <w:t>in abstracto</w:t>
      </w:r>
      <w:r>
        <w:t xml:space="preserve"> a acestui regulament (împreună cu orice legi și practici conexe) (a se vedea, </w:t>
      </w:r>
      <w:r>
        <w:rPr>
          <w:i/>
        </w:rPr>
        <w:t>mutatis mutandis,</w:t>
      </w:r>
      <w:r>
        <w:t xml:space="preserve"> </w:t>
      </w:r>
      <w:r>
        <w:rPr>
          <w:i/>
        </w:rPr>
        <w:t>Centrum för rättvisa,</w:t>
      </w:r>
      <w:r>
        <w:t xml:space="preserve"> citată anterior, pct. 175-176). Astfel, întrucât cererea sa de control jurisdicțional al acestui regulament a fost soluționată definitiv (a se vedea supra, pct. </w:t>
      </w:r>
      <w:r>
        <w:fldChar w:fldCharType="begin"/>
      </w:r>
      <w:r>
        <w:instrText xml:space="preserve"> REF  F_jud_rev_FI_claim \h  \* MERGEFORMAT </w:instrText>
      </w:r>
      <w:r>
        <w:fldChar w:fldCharType="separate"/>
      </w:r>
      <w:r w:rsidR="00F21D3F">
        <w:t>31</w:t>
      </w:r>
      <w:r>
        <w:fldChar w:fldCharType="end"/>
      </w:r>
      <w:r>
        <w:t>-</w:t>
      </w:r>
      <w:r>
        <w:fldChar w:fldCharType="begin"/>
      </w:r>
      <w:r>
        <w:instrText xml:space="preserve"> REF  F_jud_rev_APP_jud_SAC_19_07_2021 \h  \* MERGEFORMAT </w:instrText>
      </w:r>
      <w:r>
        <w:fldChar w:fldCharType="separate"/>
      </w:r>
      <w:r w:rsidR="00F21D3F">
        <w:t>40</w:t>
      </w:r>
      <w:r>
        <w:fldChar w:fldCharType="end"/>
      </w:r>
      <w:r>
        <w:t>), asociația a epuizat căile de atac interne disponibile în privința capătului său de cerere cu privire la acest aspect. Rezultă că excepția Guvernului, potrivit căreia asociația nu poate pretinde că este victima unei ingerințe în drepturile sale garantate de art. 8, care – la fel ca și excepția ridicată de Guvern cu privire la neepuizarea căilor de atac – a fost unită cu fondul (a se vedea supra, pct. </w:t>
      </w:r>
      <w:r>
        <w:fldChar w:fldCharType="begin"/>
      </w:r>
      <w:r>
        <w:instrText xml:space="preserve"> REF L_C_A_8_adm_rm_G \h </w:instrText>
      </w:r>
      <w:r>
        <w:fldChar w:fldCharType="separate"/>
      </w:r>
      <w:r w:rsidR="00F21D3F">
        <w:t>103</w:t>
      </w:r>
      <w:r>
        <w:fldChar w:fldCharType="end"/>
      </w:r>
      <w:r>
        <w:t xml:space="preserve"> și </w:t>
      </w:r>
      <w:r>
        <w:fldChar w:fldCharType="begin"/>
      </w:r>
      <w:r>
        <w:instrText xml:space="preserve"> REF  L_C_A_8_adm_exh_C \h  \* MERGEFORMAT </w:instrText>
      </w:r>
      <w:r>
        <w:fldChar w:fldCharType="separate"/>
      </w:r>
      <w:r w:rsidR="00F21D3F">
        <w:t>107</w:t>
      </w:r>
      <w:r>
        <w:fldChar w:fldCharType="end"/>
      </w:r>
      <w:r>
        <w:t>), trebuie să fie respinsă.</w:t>
      </w:r>
    </w:p>
    <w:p w:rsidR="00304BC9" w:rsidRDefault="00736C78" w:rsidP="00304BC9">
      <w:pPr>
        <w:pStyle w:val="JuH1"/>
      </w:pPr>
      <w:bookmarkStart w:id="321" w:name="_Toc175215004"/>
      <w:bookmarkStart w:id="322" w:name="_Toc238743300"/>
      <w:r>
        <w:t>Justificarea ingerinței</w:t>
      </w:r>
      <w:bookmarkEnd w:id="321"/>
      <w:bookmarkEnd w:id="322"/>
    </w:p>
    <w:p w:rsidR="00304BC9" w:rsidRDefault="00736C78" w:rsidP="00304BC9">
      <w:pPr>
        <w:pStyle w:val="JuHa0"/>
      </w:pPr>
      <w:bookmarkStart w:id="323" w:name="_Toc175215005"/>
      <w:bookmarkStart w:id="324" w:name="_Toc238743301"/>
      <w:r>
        <w:t>Argumentele părților</w:t>
      </w:r>
      <w:bookmarkEnd w:id="323"/>
      <w:bookmarkEnd w:id="324"/>
    </w:p>
    <w:p w:rsidR="00304BC9" w:rsidRPr="00EB6B07" w:rsidRDefault="00736C78" w:rsidP="00304BC9">
      <w:pPr>
        <w:pStyle w:val="JuHi"/>
        <w:spacing w:line="240" w:lineRule="auto"/>
      </w:pPr>
      <w:bookmarkStart w:id="325" w:name="_Toc175215006"/>
      <w:bookmarkStart w:id="326" w:name="_Toc238743302"/>
      <w:r>
        <w:t>Asociația reclamantă</w:t>
      </w:r>
      <w:bookmarkEnd w:id="325"/>
      <w:bookmarkEnd w:id="326"/>
    </w:p>
    <w:bookmarkStart w:id="327" w:name="L_C_A_8_m_just_A_1"/>
    <w:p w:rsidR="00304BC9" w:rsidRDefault="00736C78" w:rsidP="00304BC9">
      <w:pPr>
        <w:pStyle w:val="JuPara"/>
      </w:pPr>
      <w:r>
        <w:fldChar w:fldCharType="begin"/>
      </w:r>
      <w:r>
        <w:instrText xml:space="preserve"> SEQ level0 \*arabic \* MERGEFORMAT </w:instrText>
      </w:r>
      <w:r>
        <w:fldChar w:fldCharType="separate"/>
      </w:r>
      <w:r w:rsidR="00F21D3F">
        <w:t>136</w:t>
      </w:r>
      <w:r>
        <w:fldChar w:fldCharType="end"/>
      </w:r>
      <w:bookmarkEnd w:id="327"/>
      <w:r>
        <w:t>. Asociația reclamantă a susținut că ingerința nu a fost nici „prevăzută de lege”, nici „necesară într-o societate democratică”, deoarece regulamentul în litigiu, care nu conținea detalii și era neclar, nu prevedea nicio garanție împotriva detașării abuzive a „agenților cu identitate atribuită”. Nu era prevăzută nicio condiție care să limiteze detașarea acestor agenți și Agenția putea să recurgă la ei ori de câte ori considera că exista o necesitate operațională în acest sens. De asemenea, detașarea acestora nu făcea obiectul unei autorizări prealabile sau al unui control ulterior efectuat de către un judecător. Acest lucru a creat posibilitatea detașării arbitrare a acestor agenți. În plus, nicio normă nu stabilea detalii privind activitatea lor și nu era prevăzută nicio limită de timp sau procedură privind detașarea acestora. Însăși noțiunea de „agenți cu identitate atribuită” părea să fi fost concepută pentru a eluda limitările prevăzute de lege privind recurgerea la „agenții cu identitate atribuită”. În practică, era imposibil să fie angajată răspunderea unor astfel de „agenți cu identitate atribuită” pentru săvârșirea unei fapte ilegale, întrucât identitatea lor rămânea confidențială.</w:t>
      </w:r>
    </w:p>
    <w:p w:rsidR="00304BC9" w:rsidRDefault="00736C78" w:rsidP="00304BC9">
      <w:pPr>
        <w:pStyle w:val="JuHi"/>
        <w:spacing w:line="240" w:lineRule="auto"/>
      </w:pPr>
      <w:bookmarkStart w:id="328" w:name="_Toc175215007"/>
      <w:bookmarkStart w:id="329" w:name="_Toc238743303"/>
      <w:r>
        <w:lastRenderedPageBreak/>
        <w:t>Guvernul</w:t>
      </w:r>
      <w:bookmarkEnd w:id="328"/>
      <w:bookmarkEnd w:id="329"/>
    </w:p>
    <w:bookmarkStart w:id="330" w:name="L_C_A_8_m_just_G_1"/>
    <w:p w:rsidR="00304BC9" w:rsidRDefault="00736C78" w:rsidP="00304BC9">
      <w:pPr>
        <w:pStyle w:val="JuPara"/>
      </w:pPr>
      <w:r>
        <w:fldChar w:fldCharType="begin"/>
      </w:r>
      <w:r>
        <w:instrText xml:space="preserve"> SEQ level0 \*arabic \* MERGEFORMAT </w:instrText>
      </w:r>
      <w:r>
        <w:fldChar w:fldCharType="separate"/>
      </w:r>
      <w:r w:rsidR="00F21D3F">
        <w:t>137</w:t>
      </w:r>
      <w:r>
        <w:fldChar w:fldCharType="end"/>
      </w:r>
      <w:bookmarkEnd w:id="330"/>
      <w:r>
        <w:t>. Guvernul a susținut că în condițiile prealabile pentru utilizarea  „agenților cu identitate atribuită”, prevăzute de regulamentul în litigiu, se preciza faptul că acești agenți trebuiau detașați în mod excepțional și ca măsură de ultimă instanță, și, în acest sens, a evidențiat necesitatea ca statele să își protejeze securitatea națională. Acesta a subliniat, de asemenea, că atribuțiile „agenților cu identitate atribuită” erau stabilite în mod specific în fiecare caz în parte și a susținut că detașarea acestora era supusă unor mecanisme de supraveghere (</w:t>
      </w:r>
      <w:bookmarkStart w:id="331" w:name="L_C_A_8_m_just_G_1_suprvsn_Parl_Prsd_Gvt"/>
      <w:r w:rsidRPr="00C462F6">
        <w:fldChar w:fldCharType="begin"/>
      </w:r>
      <w:r w:rsidRPr="00C462F6">
        <w:instrText xml:space="preserve"> SEQ level1 \*alphabetic \r1 \* MERGEFORMAT </w:instrText>
      </w:r>
      <w:r w:rsidRPr="00C462F6">
        <w:fldChar w:fldCharType="separate"/>
      </w:r>
      <w:r w:rsidR="00F21D3F">
        <w:t>a</w:t>
      </w:r>
      <w:r w:rsidRPr="00C462F6">
        <w:fldChar w:fldCharType="end"/>
      </w:r>
      <w:bookmarkEnd w:id="331"/>
      <w:r>
        <w:t>), întrucât activitatea Agenției era controlată de Parlament, de Președintele Republicii și de Guvern, (</w:t>
      </w:r>
      <w:bookmarkStart w:id="332" w:name="L_C_A_8_m_just_G_1_suprvsn_jud_rev"/>
      <w:r>
        <w:fldChar w:fldCharType="begin"/>
      </w:r>
      <w:r>
        <w:instrText xml:space="preserve"> SEQ level1 \*alphabetic \* MERGEFORMAT </w:instrText>
      </w:r>
      <w:r>
        <w:fldChar w:fldCharType="separate"/>
      </w:r>
      <w:r w:rsidR="00F21D3F">
        <w:t>b</w:t>
      </w:r>
      <w:r>
        <w:fldChar w:fldCharType="end"/>
      </w:r>
      <w:bookmarkEnd w:id="332"/>
      <w:r>
        <w:t>) toate deciziile șefului Agenției puteau face obiectul unui control jurisdicțional și (</w:t>
      </w:r>
      <w:bookmarkStart w:id="333" w:name="L_C_A_8_m_just_G_1_suprvsn_liability"/>
      <w:r>
        <w:fldChar w:fldCharType="begin"/>
      </w:r>
      <w:r>
        <w:instrText xml:space="preserve"> SEQ level1 \*alphabetic \* MERGEFORMAT </w:instrText>
      </w:r>
      <w:r>
        <w:fldChar w:fldCharType="separate"/>
      </w:r>
      <w:r w:rsidR="00F21D3F">
        <w:t>c</w:t>
      </w:r>
      <w:r>
        <w:fldChar w:fldCharType="end"/>
      </w:r>
      <w:bookmarkEnd w:id="333"/>
      <w:r>
        <w:t>) „agenții cu identitate atribuită” erau pasibili de răspundere civilă și penală pentru orice fapte ilegale săvârșite în cursul activității lor. În plus, acești agenți trebuiau să candideze pentru funcțiile în care urmau să fie infiltrați, la fel ca orice altă persoană, și era necesar ca aceștia să aibă calificările necesare pentru a ocupa orice astfel de funcție, ceea ce însemna că Agenția nu putea să dispună infiltrarea necontrolată a unor astfel de agenți în nicio entitate juridică. În plus, acești agenți nu puteau folosi mijloace tehnice pentru a înregistra vreun material. Activitatea lor avea un caracter pur informativ și nu implica desfășurarea unor activități de investigare.</w:t>
      </w:r>
    </w:p>
    <w:bookmarkStart w:id="334" w:name="L_C_A_8_m_just_G_2"/>
    <w:p w:rsidR="00304BC9" w:rsidRDefault="00736C78" w:rsidP="00304BC9">
      <w:pPr>
        <w:pStyle w:val="JuPara"/>
      </w:pPr>
      <w:r>
        <w:fldChar w:fldCharType="begin"/>
      </w:r>
      <w:r>
        <w:instrText xml:space="preserve"> SEQ level0 \*arabic \* MERGEFORMAT </w:instrText>
      </w:r>
      <w:r>
        <w:fldChar w:fldCharType="separate"/>
      </w:r>
      <w:r w:rsidR="00F21D3F">
        <w:t>138</w:t>
      </w:r>
      <w:r>
        <w:fldChar w:fldCharType="end"/>
      </w:r>
      <w:bookmarkEnd w:id="334"/>
      <w:r>
        <w:t>. În continuare, Guvernul a susținut că legislația relevantă era pe deplin accesibilă, întrucât Legea din 2007 și regulamentul contestat au fost publicate în Monitorul Oficial. În plus, condițiile prealabile pentru infiltrarea unui „agent cu identitate atribuită”, prevăzute de acest regulament – în special faptul că folosirea unor astfel de agenți era o măsură de ultimă instanță și că aceștia puteau fi detașați numai în cazul în care exista o „necesitate operațională dovedită” – și modul în care aceștia urmau să fie infiltrați garantau faptul că utilizarea lor era proporțională cu obiectivele specifice care o impuneau. În ceea ce privește în mod specific termenul „securitate națională”, acesta era definit prin lege (a se vedea supra, pct. </w:t>
      </w:r>
      <w:r w:rsidRPr="00C9324F">
        <w:fldChar w:fldCharType="begin"/>
      </w:r>
      <w:r w:rsidRPr="00C9324F">
        <w:instrText xml:space="preserve"> REF  RLF_SPNSA_s_2 \h  \* MERGEFORMAT </w:instrText>
      </w:r>
      <w:r w:rsidRPr="00C9324F">
        <w:fldChar w:fldCharType="separate"/>
      </w:r>
      <w:r w:rsidR="00F21D3F">
        <w:t>77</w:t>
      </w:r>
      <w:r w:rsidRPr="00C9324F">
        <w:fldChar w:fldCharType="end"/>
      </w:r>
      <w:r>
        <w:t>). În lumina tuturor acestor elemente, se putea admite, de asemenea, că pretinsa ingerință urmărea să protejeze securitatea națională, să apere ordinea și să prevină faptele penale, că „agenții cu identitate atribuită” urmau să fie folosiți numai dacă acest lucru era „necesar într-o societate democratică” și că proporționalitatea recurgerii la aceștia era verificată în fiecare caz în parte.</w:t>
      </w:r>
    </w:p>
    <w:bookmarkStart w:id="335" w:name="L_C_A_8_m_just_G_3"/>
    <w:p w:rsidR="00304BC9" w:rsidRDefault="00736C78" w:rsidP="00304BC9">
      <w:pPr>
        <w:pStyle w:val="JuPara"/>
      </w:pPr>
      <w:r>
        <w:fldChar w:fldCharType="begin"/>
      </w:r>
      <w:r>
        <w:instrText xml:space="preserve"> SEQ level0 \*arabic \* MERGEFORMAT </w:instrText>
      </w:r>
      <w:r>
        <w:fldChar w:fldCharType="separate"/>
      </w:r>
      <w:r w:rsidR="00F21D3F">
        <w:t>139</w:t>
      </w:r>
      <w:r>
        <w:fldChar w:fldCharType="end"/>
      </w:r>
      <w:bookmarkEnd w:id="335"/>
      <w:r>
        <w:t>. Faptul că nu erau prevăzute termene în ceea ce privește recurgerea la „agenți cu identitate atribuită” nu constituia o problemă, întrucât acestea erau dificil de stabilit în prealabil. De asemenea, autorităților nu li se putea impune să informeze o persoană sau o entitate vizată cu privire la faptul că un „agent cu identitate atribuită” a fost infiltrat pentru obținerea de informații în privința sa, întrucât acest lucru ar fi putut submina scopul utilizării unui astfel de agent. Persoanele vizate de o asemenea măsură puteau solicita informații cu privire la folosirea unor astfel de agenți în temeiul articolului 36 alineatul (4) din Legea din 2007 (a se vedea supra, pct. </w:t>
      </w:r>
      <w:r>
        <w:fldChar w:fldCharType="begin"/>
      </w:r>
      <w:r>
        <w:instrText xml:space="preserve"> REF  RLF_SANSA_s_36_4_5_6 \h  \* MERGEFORMAT </w:instrText>
      </w:r>
      <w:r>
        <w:fldChar w:fldCharType="separate"/>
      </w:r>
      <w:r w:rsidR="00F21D3F">
        <w:t>60</w:t>
      </w:r>
      <w:r>
        <w:fldChar w:fldCharType="end"/>
      </w:r>
      <w:r>
        <w:t xml:space="preserve">) și, într-o astfel de situație, </w:t>
      </w:r>
      <w:r>
        <w:lastRenderedPageBreak/>
        <w:t>Agenția urma să decidă, pe baza criteriilor de la articolul 35a [a se vedea supra, pct. </w:t>
      </w:r>
      <w:r>
        <w:fldChar w:fldCharType="begin"/>
      </w:r>
      <w:r>
        <w:instrText xml:space="preserve"> REF  RLF_SANSA_agents_in_cover \h  \* MERGEFORMAT </w:instrText>
      </w:r>
      <w:r>
        <w:fldChar w:fldCharType="separate"/>
      </w:r>
      <w:r w:rsidR="00F21D3F">
        <w:t>48</w:t>
      </w:r>
      <w:r>
        <w:fldChar w:fldCharType="end"/>
      </w:r>
      <w:r>
        <w:t xml:space="preserve"> lit. (</w:t>
      </w:r>
      <w:r>
        <w:fldChar w:fldCharType="begin"/>
      </w:r>
      <w:r>
        <w:instrText xml:space="preserve"> REF  RLF_SANSA_agents_in_cover_s_35a \h  \* MERGEFORMAT </w:instrText>
      </w:r>
      <w:r>
        <w:fldChar w:fldCharType="separate"/>
      </w:r>
      <w:r w:rsidR="00F21D3F">
        <w:t>a</w:t>
      </w:r>
      <w:r>
        <w:fldChar w:fldCharType="end"/>
      </w:r>
      <w:r>
        <w:t>)], să furnizeze sau nu astfel de informații.</w:t>
      </w:r>
    </w:p>
    <w:p w:rsidR="00304BC9" w:rsidRDefault="00736C78" w:rsidP="00304BC9">
      <w:pPr>
        <w:pStyle w:val="JuHa0"/>
      </w:pPr>
      <w:bookmarkStart w:id="336" w:name="_Toc175215008"/>
      <w:bookmarkStart w:id="337" w:name="_Toc238743304"/>
      <w:r>
        <w:t>Motivarea Curții</w:t>
      </w:r>
      <w:bookmarkEnd w:id="336"/>
      <w:bookmarkEnd w:id="337"/>
    </w:p>
    <w:bookmarkStart w:id="338" w:name="L_C_A_8_m_just_C_gen_pr_intro"/>
    <w:p w:rsidR="00304BC9" w:rsidRDefault="00736C78" w:rsidP="00304BC9">
      <w:pPr>
        <w:pStyle w:val="JuPara"/>
      </w:pPr>
      <w:r>
        <w:fldChar w:fldCharType="begin"/>
      </w:r>
      <w:r>
        <w:instrText xml:space="preserve"> SEQ level0 \*arabic \* MERGEFORMAT </w:instrText>
      </w:r>
      <w:r>
        <w:fldChar w:fldCharType="separate"/>
      </w:r>
      <w:r w:rsidR="00F21D3F">
        <w:t>140</w:t>
      </w:r>
      <w:r>
        <w:fldChar w:fldCharType="end"/>
      </w:r>
      <w:bookmarkEnd w:id="338"/>
      <w:r>
        <w:t>. În temeiul celui de al doilea paragraf al art. 8 din Convenție, o ingerință în exercitarea drepturilor protejate de articolul respectiv poate fi justificată numai dacă este „prevăzută de lege” și „necesară într-o societate democratică” pentru a atinge unul sau mai multe dintre scopurile legitime prevăzute la paragraful respectiv. În caz contrar, această ingerință implică o încălcare a articolului în cauză.</w:t>
      </w:r>
    </w:p>
    <w:p w:rsidR="00304BC9" w:rsidRPr="004E7067" w:rsidRDefault="00736C78" w:rsidP="00304BC9">
      <w:pPr>
        <w:pStyle w:val="JuHi"/>
        <w:spacing w:line="240" w:lineRule="auto"/>
      </w:pPr>
      <w:bookmarkStart w:id="339" w:name="_Toc175215009"/>
      <w:bookmarkStart w:id="340" w:name="_Toc238743305"/>
      <w:r>
        <w:t>Principii generale</w:t>
      </w:r>
      <w:bookmarkEnd w:id="339"/>
      <w:bookmarkEnd w:id="340"/>
    </w:p>
    <w:p w:rsidR="00304BC9" w:rsidRPr="00AF0340" w:rsidRDefault="00736C78" w:rsidP="00304BC9">
      <w:pPr>
        <w:pStyle w:val="JuHalpha"/>
      </w:pPr>
      <w:bookmarkStart w:id="341" w:name="_Toc238743306"/>
      <w:r>
        <w:t>Cu privire la nivelul garanțiilor</w:t>
      </w:r>
      <w:bookmarkEnd w:id="341"/>
    </w:p>
    <w:bookmarkStart w:id="342" w:name="L_C_A_8_m_just_C_gen_pr_1"/>
    <w:p w:rsidR="00304BC9" w:rsidRDefault="00736C78" w:rsidP="00304BC9">
      <w:pPr>
        <w:pStyle w:val="JuPara"/>
      </w:pPr>
      <w:r>
        <w:fldChar w:fldCharType="begin"/>
      </w:r>
      <w:r>
        <w:instrText xml:space="preserve"> SEQ level0 \*arabic \* MERGEFORMAT </w:instrText>
      </w:r>
      <w:r>
        <w:fldChar w:fldCharType="separate"/>
      </w:r>
      <w:r w:rsidR="00F21D3F">
        <w:t>141</w:t>
      </w:r>
      <w:r>
        <w:fldChar w:fldCharType="end"/>
      </w:r>
      <w:bookmarkEnd w:id="342"/>
      <w:r>
        <w:t xml:space="preserve">. Principiile generale referitoare la situațiile în care supravegherea secretă poate fi justificată în temeiul art. 8 § 2 din Convenție au fost prezentate în detaliu în hotărârea </w:t>
      </w:r>
      <w:r>
        <w:rPr>
          <w:i/>
        </w:rPr>
        <w:t>Roman Zaharov</w:t>
      </w:r>
      <w:r>
        <w:t xml:space="preserve"> (citată anterior, pct. 227-234, 236, 243, 247, 250, 257-258, 275, 278 și 287-288). Multe dintre aceste principii au fost reiterate mai recent, deși în legătură cu un context oarecum diferit – interceptarea în masă a comunicațiilor – în</w:t>
      </w:r>
      <w:r>
        <w:rPr>
          <w:i/>
        </w:rPr>
        <w:t xml:space="preserve"> </w:t>
      </w:r>
      <w:r>
        <w:t>hotărârile</w:t>
      </w:r>
      <w:r>
        <w:rPr>
          <w:i/>
        </w:rPr>
        <w:t xml:space="preserve"> Centrum för rättvisa</w:t>
      </w:r>
      <w:r>
        <w:t xml:space="preserve"> (citată anterior, pct. 246-253) și </w:t>
      </w:r>
      <w:r>
        <w:rPr>
          <w:i/>
        </w:rPr>
        <w:t>Big Brother Watch și alții</w:t>
      </w:r>
      <w:r>
        <w:t xml:space="preserve"> (citată anterior, pct. 332-339).</w:t>
      </w:r>
    </w:p>
    <w:bookmarkStart w:id="343" w:name="L_C_A_8_m_just_C_gen_pr_2"/>
    <w:p w:rsidR="00304BC9" w:rsidRDefault="00736C78" w:rsidP="00304BC9">
      <w:pPr>
        <w:pStyle w:val="JuPara"/>
      </w:pPr>
      <w:r>
        <w:fldChar w:fldCharType="begin"/>
      </w:r>
      <w:r>
        <w:instrText xml:space="preserve"> SEQ level0 \*arabic \* MERGEFORMAT </w:instrText>
      </w:r>
      <w:r>
        <w:fldChar w:fldCharType="separate"/>
      </w:r>
      <w:r w:rsidR="00F21D3F">
        <w:t>142</w:t>
      </w:r>
      <w:r>
        <w:fldChar w:fldCharType="end"/>
      </w:r>
      <w:bookmarkEnd w:id="343"/>
      <w:r>
        <w:t>. Nu este necesar ca aceste principii să fie reiterate integral aici, fiind suficient să se sublinieze faptul că cerința esențială care decurge din acestea este ca orice sistem de supraveghere secretă să includă garanții efective – în special mecanisme de control și de supraveghere – care să ofere protecție împotriva riscului inerent de arbitrariu și abuz și care să poată limita ingerința pe care o implică un astfel de sistem în exercitarea drepturilor garantate de art. 8 din Convenție la ceea ce este „necesar într-o societate democratică”.</w:t>
      </w:r>
    </w:p>
    <w:bookmarkStart w:id="344" w:name="L_C_A_8_m_just_C_gen_pr_3"/>
    <w:p w:rsidR="00304BC9" w:rsidRDefault="00736C78" w:rsidP="00304BC9">
      <w:pPr>
        <w:pStyle w:val="JuPara"/>
      </w:pPr>
      <w:r w:rsidRPr="0060630E">
        <w:fldChar w:fldCharType="begin"/>
      </w:r>
      <w:r w:rsidRPr="0060630E">
        <w:instrText xml:space="preserve"> SEQ level0 \*arabic \* MERGEFORMAT </w:instrText>
      </w:r>
      <w:r w:rsidRPr="0060630E">
        <w:fldChar w:fldCharType="separate"/>
      </w:r>
      <w:r w:rsidR="00F21D3F">
        <w:t>143</w:t>
      </w:r>
      <w:r w:rsidRPr="0060630E">
        <w:fldChar w:fldCharType="end"/>
      </w:r>
      <w:bookmarkEnd w:id="344"/>
      <w:r>
        <w:t xml:space="preserve">. Aceste principii sunt la fel de relevante pentru situații precum cea în discuție – în care, astfel cum s-a arătat la punctul </w:t>
      </w:r>
      <w:r>
        <w:fldChar w:fldCharType="begin"/>
      </w:r>
      <w:r>
        <w:instrText xml:space="preserve"> REF  L_C_A_8_m_int_C_victim_gen_pr_bis \h  \* MERGEFORMAT </w:instrText>
      </w:r>
      <w:r>
        <w:fldChar w:fldCharType="separate"/>
      </w:r>
      <w:r w:rsidR="00F21D3F">
        <w:t>121</w:t>
      </w:r>
      <w:r>
        <w:fldChar w:fldCharType="end"/>
      </w:r>
      <w:r>
        <w:t xml:space="preserve"> de mai sus, caracterul secret al supravegherii este asigurat printr-un ansamblu de măsuri menite să ascundă faptul că interlocutorul persoanei vizate, deși pare o persoană obișnuită, în realitate este un agent care se folosește de funcția sa ori de relațiile sale, sau le instrumentalizează pentru a obține informații destinate utilizării de către autorități. Amploarea ingerinței care rezultă din utilizarea acestei tehnici de supraveghere nu este în mod necesar mai mică într-un anumit caz decât cea pe care o implică interceptarea comunicațiilor – cu atât mai mult cu cât astfel de agenți pot obține, de asemenea, acces la conținutul comunicațiilor persoanei vizate. Potrivit jurisprudenței Curții, factorul decisiv pentru a aprecia nivelul garanțiilor necesare în ceea ce privește o anumită tehnică de supraveghere este amploarea ingerinței pe care o implică aceasta în exercitarea drepturilor prevăzute la art. 8 din Convenție, și nu definiția sa tehnică [a se vedea </w:t>
      </w:r>
      <w:bookmarkStart w:id="345" w:name="_cl34669THELAW"/>
      <w:r>
        <w:t xml:space="preserve"> </w:t>
      </w:r>
      <w:r>
        <w:rPr>
          <w:i/>
        </w:rPr>
        <w:t>R.E. împotriva Regatului Unit</w:t>
      </w:r>
      <w:bookmarkEnd w:id="345"/>
      <w:r>
        <w:t xml:space="preserve">, nr. 62498/11, </w:t>
      </w:r>
      <w:r>
        <w:lastRenderedPageBreak/>
        <w:t>pct. 126-130, 27 octombrie 2015, cu referire la</w:t>
      </w:r>
      <w:bookmarkStart w:id="346" w:name="_cl22845THELAW"/>
      <w:r>
        <w:t xml:space="preserve"> </w:t>
      </w:r>
      <w:r>
        <w:rPr>
          <w:i/>
        </w:rPr>
        <w:t>Bikov împotriva Rusiei</w:t>
      </w:r>
      <w:bookmarkEnd w:id="346"/>
      <w:r>
        <w:t xml:space="preserve"> (MC), nr. 4378/02, pct. 78, 10 martie 2009, și </w:t>
      </w:r>
      <w:bookmarkStart w:id="347" w:name="_cl38449THELAW"/>
      <w:r>
        <w:rPr>
          <w:i/>
        </w:rPr>
        <w:t>Uzun împotriva Germaniei</w:t>
      </w:r>
      <w:bookmarkEnd w:id="347"/>
      <w:r>
        <w:t>, nr. 35623/05, pct. 66, CEDO 2010]. Acestea fiind spuse, este posibil să fie necesar ca cerințele specifice care decurg din aceste principii să fie adaptate pentru a se ține seama de diferențele dintre amploarea ingerinței pe care o implică utilizarea unui „agent cu identitate atribuită” și amploarea celei implicate de alte tehnici de supraveghere secretă, cum ar fi interceptarea comunicațiilor.</w:t>
      </w:r>
    </w:p>
    <w:p w:rsidR="00304BC9" w:rsidRPr="002D4401" w:rsidRDefault="00736C78" w:rsidP="00304BC9">
      <w:pPr>
        <w:pStyle w:val="JuHalpha"/>
      </w:pPr>
      <w:bookmarkStart w:id="348" w:name="_Toc238743307"/>
      <w:r>
        <w:t>Cu privire la modalitatea de examinare a acestor garanții</w:t>
      </w:r>
      <w:bookmarkEnd w:id="348"/>
    </w:p>
    <w:bookmarkStart w:id="349" w:name="L_C_A_8_m_just_C_gen_pr_4"/>
    <w:p w:rsidR="00304BC9" w:rsidRDefault="00736C78" w:rsidP="00304BC9">
      <w:pPr>
        <w:pStyle w:val="JuPara"/>
      </w:pPr>
      <w:r>
        <w:fldChar w:fldCharType="begin"/>
      </w:r>
      <w:r>
        <w:instrText xml:space="preserve"> SEQ level0 \*arabic \* MERGEFORMAT </w:instrText>
      </w:r>
      <w:r>
        <w:fldChar w:fldCharType="separate"/>
      </w:r>
      <w:r w:rsidR="00F21D3F">
        <w:t>144</w:t>
      </w:r>
      <w:r>
        <w:fldChar w:fldCharType="end"/>
      </w:r>
      <w:bookmarkEnd w:id="349"/>
      <w:r>
        <w:t xml:space="preserve">. În cazuri precum cel din speță – în care reclamantul se plânge </w:t>
      </w:r>
      <w:r>
        <w:rPr>
          <w:i/>
          <w:iCs/>
        </w:rPr>
        <w:t>in abstracto</w:t>
      </w:r>
      <w:r>
        <w:t xml:space="preserve"> de un sistem care permite supravegherea secretă, și nu de cazuri concrete în care a avut loc o astfel de supraveghere – dispozițiile relevante ale dreptului intern trebuie să fie analizate în forma care este în vigoare la momentul examinării cererii de către Curte, și nu în varianta în vigoare la data introducerii cererii (a se vedea</w:t>
      </w:r>
      <w:r>
        <w:rPr>
          <w:i/>
        </w:rPr>
        <w:t xml:space="preserve"> Centrum för rättvisa,</w:t>
      </w:r>
      <w:r>
        <w:t xml:space="preserve"> pct. 151, și </w:t>
      </w:r>
      <w:r>
        <w:rPr>
          <w:i/>
        </w:rPr>
        <w:t>Big Brother Watch și alții</w:t>
      </w:r>
      <w:r>
        <w:t>, pct. 270, ambele citate anterior). Celălalt aspect relevant în prezenta cauză este că aprecierea chestiunii dacă legile în cauză oferă garanții efective împotriva abuzurilor trebuie să se bazeze nu doar pe dispozițiile acestor legi ca atare ci și pe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funcționarea efectivă a regimului de supraveghere în cauză și pe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xml:space="preserve">) existența sau lipsa unor dovezi privind folosirea abuzivă a acestui regim (a se vedea </w:t>
      </w:r>
      <w:r>
        <w:rPr>
          <w:i/>
        </w:rPr>
        <w:t>Centrum för rättvisa</w:t>
      </w:r>
      <w:r>
        <w:t xml:space="preserve">, pct. 274, și </w:t>
      </w:r>
      <w:r>
        <w:rPr>
          <w:i/>
        </w:rPr>
        <w:t xml:space="preserve">Big Brother Watch și alții, </w:t>
      </w:r>
      <w:r>
        <w:t>pct. 360, ambele citate anterior).</w:t>
      </w:r>
    </w:p>
    <w:p w:rsidR="00304BC9" w:rsidRDefault="00736C78" w:rsidP="00304BC9">
      <w:pPr>
        <w:pStyle w:val="JuHi"/>
        <w:spacing w:line="240" w:lineRule="auto"/>
      </w:pPr>
      <w:bookmarkStart w:id="350" w:name="_Toc175215010"/>
      <w:bookmarkStart w:id="351" w:name="_Toc238743308"/>
      <w:r>
        <w:t>Aplicarea acestor principii</w:t>
      </w:r>
      <w:bookmarkEnd w:id="350"/>
      <w:bookmarkEnd w:id="351"/>
    </w:p>
    <w:p w:rsidR="00304BC9" w:rsidRDefault="00736C78" w:rsidP="00304BC9">
      <w:pPr>
        <w:pStyle w:val="JuHalpha"/>
        <w:tabs>
          <w:tab w:val="clear" w:pos="1361"/>
        </w:tabs>
      </w:pPr>
      <w:bookmarkStart w:id="352" w:name="_Toc238743309"/>
      <w:r>
        <w:t>Accesibilitatea legii</w:t>
      </w:r>
      <w:bookmarkEnd w:id="352"/>
    </w:p>
    <w:bookmarkStart w:id="353" w:name="L_C_A_8_m_just_C_apl_pr_accessiblty_law"/>
    <w:p w:rsidR="00304BC9" w:rsidRDefault="00736C78" w:rsidP="00304BC9">
      <w:pPr>
        <w:pStyle w:val="JuPara"/>
      </w:pPr>
      <w:r>
        <w:fldChar w:fldCharType="begin"/>
      </w:r>
      <w:r>
        <w:instrText xml:space="preserve"> SEQ level0 \*arabic \* MERGEFORMAT </w:instrText>
      </w:r>
      <w:r>
        <w:fldChar w:fldCharType="separate"/>
      </w:r>
      <w:r w:rsidR="00F21D3F">
        <w:t>145</w:t>
      </w:r>
      <w:r>
        <w:fldChar w:fldCharType="end"/>
      </w:r>
      <w:bookmarkEnd w:id="353"/>
      <w:r>
        <w:t>. Regulamentul din 2008 privind „agenții cu identitate atribuită” și modificările aduse acestuia în septembrie 2018 au fost publicate oficial și, prin urmare, sunt accesibile (a se vedea supra, pct. </w:t>
      </w:r>
      <w:r>
        <w:fldChar w:fldCharType="begin"/>
      </w:r>
      <w:r>
        <w:instrText xml:space="preserve"> REF  F_Regs_made \h  \* MERGEFORMAT </w:instrText>
      </w:r>
      <w:r>
        <w:fldChar w:fldCharType="separate"/>
      </w:r>
      <w:r w:rsidR="00F21D3F">
        <w:t>6</w:t>
      </w:r>
      <w:r>
        <w:fldChar w:fldCharType="end"/>
      </w:r>
      <w:r>
        <w:t xml:space="preserve"> și </w:t>
      </w:r>
      <w:r>
        <w:fldChar w:fldCharType="begin"/>
      </w:r>
      <w:r>
        <w:instrText xml:space="preserve"> REF  F_Regs_2018_amnd_GOV_adoption \h  \* MERGEFORMAT </w:instrText>
      </w:r>
      <w:r>
        <w:fldChar w:fldCharType="separate"/>
      </w:r>
      <w:r w:rsidR="00F21D3F">
        <w:t>26</w:t>
      </w:r>
      <w:r>
        <w:fldChar w:fldCharType="end"/>
      </w:r>
      <w:r>
        <w:t>).</w:t>
      </w:r>
    </w:p>
    <w:p w:rsidR="00304BC9" w:rsidRDefault="00736C78" w:rsidP="00304BC9">
      <w:pPr>
        <w:pStyle w:val="JuHalpha"/>
      </w:pPr>
      <w:bookmarkStart w:id="354" w:name="_Toc238743310"/>
      <w:r>
        <w:t>Motivele pe baza cărora se poate recurge la „agenți cu identitate atribuită” și persoanele care pot fi supuse măsurii de supraveghere de către astfel de agenți</w:t>
      </w:r>
      <w:bookmarkEnd w:id="354"/>
    </w:p>
    <w:bookmarkStart w:id="355" w:name="L_C_A_8_m_just_C_apl_pr_grounds_etc_1"/>
    <w:p w:rsidR="00304BC9" w:rsidRDefault="00736C78" w:rsidP="00304BC9">
      <w:pPr>
        <w:pStyle w:val="JuPara"/>
      </w:pPr>
      <w:r>
        <w:fldChar w:fldCharType="begin"/>
      </w:r>
      <w:r>
        <w:instrText xml:space="preserve"> SEQ level0 \*arabic \* MERGEFORMAT </w:instrText>
      </w:r>
      <w:r>
        <w:fldChar w:fldCharType="separate"/>
      </w:r>
      <w:r w:rsidR="00F21D3F">
        <w:t>146</w:t>
      </w:r>
      <w:r>
        <w:fldChar w:fldCharType="end"/>
      </w:r>
      <w:bookmarkEnd w:id="355"/>
      <w:r>
        <w:t>. Problema relevantă care se ridică în ceea ce privește motivele pe baza cărora se poate recurge la supravegherea secretă și persoanele care pot fi supuse unei astfel de supravegheri este dacă legea care autorizează o astfel de supraveghere definește suficient de clar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natura infracțiunilor sau alte motive care pot duce la supraveghere și (</w:t>
      </w:r>
      <w:r w:rsidR="00C56213">
        <w:fldChar w:fldCharType="begin"/>
      </w:r>
      <w:r w:rsidR="00C56213">
        <w:instrText xml:space="preserve"> SEQ level1 \*alphabetic \* MERGE</w:instrText>
      </w:r>
      <w:r w:rsidR="00C56213">
        <w:instrText xml:space="preserve">FORMAT </w:instrText>
      </w:r>
      <w:r w:rsidR="00C56213">
        <w:fldChar w:fldCharType="separate"/>
      </w:r>
      <w:r w:rsidR="00F21D3F">
        <w:rPr>
          <w:noProof/>
        </w:rPr>
        <w:t>b</w:t>
      </w:r>
      <w:r w:rsidR="00C56213">
        <w:rPr>
          <w:noProof/>
        </w:rPr>
        <w:fldChar w:fldCharType="end"/>
      </w:r>
      <w:r>
        <w:t xml:space="preserve">) categoriile de persoane care pot fi supuse supravegherii (a se vedea </w:t>
      </w:r>
      <w:r>
        <w:rPr>
          <w:i/>
          <w:iCs/>
        </w:rPr>
        <w:t>Ekimdjiev și alții</w:t>
      </w:r>
      <w:r>
        <w:t>, citată anterior, pct. 298).</w:t>
      </w:r>
    </w:p>
    <w:bookmarkStart w:id="356" w:name="L_C_A_8_m_just_C_apl_pr_grounds_etc_2"/>
    <w:p w:rsidR="00304BC9" w:rsidRDefault="00736C78" w:rsidP="00304BC9">
      <w:pPr>
        <w:pStyle w:val="JuPara"/>
      </w:pPr>
      <w:r>
        <w:fldChar w:fldCharType="begin"/>
      </w:r>
      <w:r>
        <w:instrText xml:space="preserve"> SEQ level0 \*arabic \* MERGEFORMAT </w:instrText>
      </w:r>
      <w:r>
        <w:fldChar w:fldCharType="separate"/>
      </w:r>
      <w:r w:rsidR="00F21D3F">
        <w:t>147</w:t>
      </w:r>
      <w:r>
        <w:fldChar w:fldCharType="end"/>
      </w:r>
      <w:bookmarkEnd w:id="356"/>
      <w:r>
        <w:t xml:space="preserve">. </w:t>
      </w:r>
      <w:bookmarkStart w:id="357" w:name="_Hlk216737196"/>
      <w:r>
        <w:t>În temeiul articolului 52 alineatul (1), un „agent cu identitate atribuită” poate fi detașat în cazul în care există o „necesitate operațională dovedită”, iar articolul 52 alineatul (2) precizează că o astfel de necesitate există în cazul în care atribuțiile conferite Agenției prin lege nu pot fi îndeplinite în alt mod (a se vedea supra, pct. </w:t>
      </w:r>
      <w:r>
        <w:fldChar w:fldCharType="begin"/>
      </w:r>
      <w:r>
        <w:instrText xml:space="preserve"> REF  F_Regs_r_52 \h  \* MERGEFORMAT </w:instrText>
      </w:r>
      <w:r>
        <w:fldChar w:fldCharType="separate"/>
      </w:r>
      <w:r w:rsidR="00F21D3F">
        <w:t>11</w:t>
      </w:r>
      <w:r>
        <w:fldChar w:fldCharType="end"/>
      </w:r>
      <w:r>
        <w:t>)</w:t>
      </w:r>
      <w:bookmarkEnd w:id="357"/>
      <w:r>
        <w:t xml:space="preserve">. Dacă sunt interpretate în </w:t>
      </w:r>
      <w:r>
        <w:lastRenderedPageBreak/>
        <w:t>coroborare cu dispozițiile legale care definesc principalele atribuții ale Agenției – și anume, protejarea securității naționale și desfășurarea de activități de contrainformații (a se vedea supra, pct. </w:t>
      </w:r>
      <w:r>
        <w:fldChar w:fldCharType="begin"/>
      </w:r>
      <w:r>
        <w:instrText xml:space="preserve"> REF  RLF_SANSA_SANS_tasks \h  \* MERGEFORMAT </w:instrText>
      </w:r>
      <w:r>
        <w:fldChar w:fldCharType="separate"/>
      </w:r>
      <w:r w:rsidR="00F21D3F">
        <w:t>42</w:t>
      </w:r>
      <w:r>
        <w:fldChar w:fldCharType="end"/>
      </w:r>
      <w:r>
        <w:t xml:space="preserve">) – aceste dispoziții conduc la concluzia că „agenții cu identitate atribuită” pot fi detașați doar în situațiile în care acest lucru este necesar pentru îndeplinirea atribuțiilor respective. Simpla invocare a „securității naționale” ca scop al recurgerii la astfel de agenți nu contravine în mod necesar art. 8 din Convenție; mai degrabă, aspectul important este dacă orice potențial act arbitrar sau abuz, care decurge din sensul și sfera inerent vagi și nedeterminate ale noțiunii de „securitate națională” (a se vedea </w:t>
      </w:r>
      <w:r>
        <w:rPr>
          <w:i/>
        </w:rPr>
        <w:t>Ekimdjiev și alții</w:t>
      </w:r>
      <w:r>
        <w:t>, citată anterior, pct. 301), poate face obiectul unui control. În absența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unui control independent efectiv al deciziei Agenției de a detașa un „agent cu identitate atribuită” (Curtea va reveni asupra acestei chestiuni mai detaliat la punctele </w:t>
      </w:r>
      <w:r>
        <w:fldChar w:fldCharType="begin"/>
      </w:r>
      <w:r>
        <w:instrText xml:space="preserve"> REF  L_C_A_8_m_just_C_apl_pr_auth_pr_2 \h  \* MERGEFORMAT </w:instrText>
      </w:r>
      <w:r>
        <w:fldChar w:fldCharType="separate"/>
      </w:r>
      <w:r w:rsidR="00F21D3F">
        <w:t>151</w:t>
      </w:r>
      <w:r>
        <w:fldChar w:fldCharType="end"/>
      </w:r>
      <w:r>
        <w:t>-</w:t>
      </w:r>
      <w:r>
        <w:fldChar w:fldCharType="begin"/>
      </w:r>
      <w:r>
        <w:instrText xml:space="preserve"> REF  L_C_A_8_m_just_C_apl_pr_auth_pr_3 \h  \* MERGEFORMAT </w:instrText>
      </w:r>
      <w:r>
        <w:fldChar w:fldCharType="separate"/>
      </w:r>
      <w:r w:rsidR="00F21D3F">
        <w:t>152</w:t>
      </w:r>
      <w:r>
        <w:fldChar w:fldCharType="end"/>
      </w:r>
      <w:r>
        <w:t xml:space="preserve">, </w:t>
      </w:r>
      <w:r>
        <w:fldChar w:fldCharType="begin"/>
      </w:r>
      <w:r>
        <w:instrText xml:space="preserve"> REF  L_C_A_8_m_just_C_apl_pr_oversight_2 \h  \* MERGEFORMAT </w:instrText>
      </w:r>
      <w:r>
        <w:fldChar w:fldCharType="separate"/>
      </w:r>
      <w:r w:rsidR="00F21D3F">
        <w:t>156</w:t>
      </w:r>
      <w:r>
        <w:fldChar w:fldCharType="end"/>
      </w:r>
      <w:r>
        <w:t>-</w:t>
      </w:r>
      <w:r>
        <w:fldChar w:fldCharType="begin"/>
      </w:r>
      <w:r>
        <w:instrText xml:space="preserve"> REF  L_C_A_8_m_just_C_apl_pr_oversight_5 \h  \* MERGEFORMAT </w:instrText>
      </w:r>
      <w:r>
        <w:fldChar w:fldCharType="separate"/>
      </w:r>
      <w:r w:rsidR="00F21D3F">
        <w:t>159</w:t>
      </w:r>
      <w:r>
        <w:fldChar w:fldCharType="end"/>
      </w:r>
      <w:r>
        <w:t xml:space="preserve"> și </w:t>
      </w:r>
      <w:r>
        <w:fldChar w:fldCharType="begin"/>
      </w:r>
      <w:r>
        <w:instrText xml:space="preserve"> REF  L_C_A_8_m_just_C_apl_pr_remedies_1 \h  \* MERGEFORMAT </w:instrText>
      </w:r>
      <w:r>
        <w:fldChar w:fldCharType="separate"/>
      </w:r>
      <w:r w:rsidR="00F21D3F">
        <w:t>163</w:t>
      </w:r>
      <w:r>
        <w:fldChar w:fldCharType="end"/>
      </w:r>
      <w:r>
        <w:t>-</w:t>
      </w:r>
      <w:r w:rsidRPr="00261A6E">
        <w:fldChar w:fldCharType="begin"/>
      </w:r>
      <w:r w:rsidRPr="00261A6E">
        <w:instrText xml:space="preserve"> REF  L_C_A_8_m_just_C_apl_pr_remedies_2 \h  \* MERGEFORMAT </w:instrText>
      </w:r>
      <w:r w:rsidRPr="00261A6E">
        <w:fldChar w:fldCharType="separate"/>
      </w:r>
      <w:r w:rsidR="00F21D3F" w:rsidRPr="00F21D3F">
        <w:t>164</w:t>
      </w:r>
      <w:r w:rsidRPr="00261A6E">
        <w:fldChar w:fldCharType="end"/>
      </w:r>
      <w:r>
        <w:t xml:space="preserve"> de mai jos) și a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xml:space="preserve">) unei cerințe de a furniza motive clare și concrete care să demonstreze necesitatea recurgerii la un astfel de agent într-o anumită situație, apare o problemă gravă în această privință (a se vedea, </w:t>
      </w:r>
      <w:r>
        <w:rPr>
          <w:i/>
          <w:iCs/>
        </w:rPr>
        <w:t>a contrario</w:t>
      </w:r>
      <w:r>
        <w:t xml:space="preserve">, </w:t>
      </w:r>
      <w:r>
        <w:rPr>
          <w:i/>
        </w:rPr>
        <w:t>Ekimdjiev și alții</w:t>
      </w:r>
      <w:r>
        <w:t xml:space="preserve">, citată anterior, pct. 301 </w:t>
      </w:r>
      <w:r>
        <w:rPr>
          <w:i/>
        </w:rPr>
        <w:t>in fine</w:t>
      </w:r>
      <w:r>
        <w:t>). În plus, în acest sens trebuie să se sublinieze că atribuțiile Agenției, astfel cum sunt prevăzute într-o serie de legi, se extind asupra unor domenii foarte variate, iar unele dintre aceste domenii nu privesc, prin natura lor, comportamentul ilicit al potențialelor persoane vizate (a se vedea supra, pct. </w:t>
      </w:r>
      <w:r w:rsidRPr="00F22465">
        <w:fldChar w:fldCharType="begin"/>
      </w:r>
      <w:r w:rsidRPr="00F22465">
        <w:instrText xml:space="preserve"> REF RLF_SANSA_SANS_tasks_bis \h \* MERGEFORMAT </w:instrText>
      </w:r>
      <w:r w:rsidRPr="00F22465">
        <w:fldChar w:fldCharType="separate"/>
      </w:r>
      <w:r w:rsidR="00F21D3F">
        <w:t>43</w:t>
      </w:r>
      <w:r w:rsidRPr="00F22465">
        <w:fldChar w:fldCharType="end"/>
      </w:r>
      <w:r>
        <w:t>), ceea ce lărgește semnificativ sfera situațiilor în care se poate recurge la „agenți cu identitate atribuită” și sporește, în mod corespunzător, riscul de arbitrar sau de abuz.</w:t>
      </w:r>
    </w:p>
    <w:bookmarkStart w:id="358" w:name="L_C_A_8_m_just_C_apl_pr_grounds_etc_3"/>
    <w:p w:rsidR="00304BC9" w:rsidRDefault="00736C78" w:rsidP="00E45801">
      <w:pPr>
        <w:pStyle w:val="JuPara"/>
      </w:pPr>
      <w:r>
        <w:fldChar w:fldCharType="begin"/>
      </w:r>
      <w:r>
        <w:instrText xml:space="preserve"> SEQ level0 \*arabic \* MERGEFORMAT </w:instrText>
      </w:r>
      <w:r>
        <w:fldChar w:fldCharType="separate"/>
      </w:r>
      <w:r w:rsidR="00F21D3F">
        <w:t>148</w:t>
      </w:r>
      <w:r>
        <w:fldChar w:fldCharType="end"/>
      </w:r>
      <w:bookmarkEnd w:id="358"/>
      <w:r>
        <w:t>. În temeiul articolului 50, astfel cum a fost modificat în septembrie 2018, „agenții cu identitate atribuită” pot fi infiltrați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în cadrul administrației de stat, al entităților juridice și al asociațiilor societății civile, precum și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ca persoane care exercită o „profesie liberală” (cu excepția avocaților care își exercită profesia în mod independent); în plus, din modul în care este formulat articolul 51 (astfel cum a fost modificat în septembrie 2018) reiese clar că funcțiile în care pot fi infiltrați „agenții cu identitate atribuită” nu trebuie să fie în mod necesar în cadrul unei entități publice (a se vedea supra, pct. </w:t>
      </w:r>
      <w:r w:rsidRPr="00C462F6">
        <w:fldChar w:fldCharType="begin"/>
      </w:r>
      <w:r w:rsidRPr="00C462F6">
        <w:instrText xml:space="preserve"> REF  F_Regs_2018_amnd_r_50 \h  \* MERGEFORMAT </w:instrText>
      </w:r>
      <w:r w:rsidRPr="00C462F6">
        <w:fldChar w:fldCharType="separate"/>
      </w:r>
      <w:r w:rsidR="00F21D3F">
        <w:t>28</w:t>
      </w:r>
      <w:r w:rsidRPr="00C462F6">
        <w:fldChar w:fldCharType="end"/>
      </w:r>
      <w:r>
        <w:t>-</w:t>
      </w:r>
      <w:r w:rsidRPr="00C462F6">
        <w:fldChar w:fldCharType="begin"/>
      </w:r>
      <w:r w:rsidRPr="00C462F6">
        <w:instrText xml:space="preserve"> REF  F_Regs_2018_amnd_r_51 \h  \* MERGEFORMAT </w:instrText>
      </w:r>
      <w:r w:rsidRPr="00C462F6">
        <w:fldChar w:fldCharType="separate"/>
      </w:r>
      <w:r w:rsidR="00F21D3F">
        <w:t>29</w:t>
      </w:r>
      <w:r w:rsidRPr="00C462F6">
        <w:fldChar w:fldCharType="end"/>
      </w:r>
      <w:r>
        <w:t>). Din cele de mai sus se poate deduce că, cel puțin teoretic, orice persoană sau organizație privată din Bulgaria ar putea fi supravegheată prin intermediul unor astfel de agenți, situație care constituie o ingerință semnificativă în exercitarea dreptului persoanelor la respectarea vieții private și care poate avea ca efect inclusiv descurajarea participării civice. Aceleași considerente sunt valabile și în prezenta cauză: problema nu rezidă în amploarea domeniilor în care ar putea fi folosiți astfel de agenți, ci mai degrabă în absența unui mecanism de control independent și efectiv al eventualelor practici arbitrare sau abuzive.</w:t>
      </w:r>
    </w:p>
    <w:p w:rsidR="00304BC9" w:rsidRDefault="00736C78" w:rsidP="00304BC9">
      <w:pPr>
        <w:pStyle w:val="JuHalpha"/>
      </w:pPr>
      <w:bookmarkStart w:id="359" w:name="_Toc238743311"/>
      <w:r>
        <w:t>Durata misiunii „agenților cu identitate atribuită”</w:t>
      </w:r>
      <w:bookmarkEnd w:id="359"/>
    </w:p>
    <w:bookmarkStart w:id="360" w:name="L_C_A_8_m_just_C_apl_pr_duration"/>
    <w:p w:rsidR="00304BC9" w:rsidRDefault="00736C78" w:rsidP="00304BC9">
      <w:pPr>
        <w:pStyle w:val="JuPara"/>
      </w:pPr>
      <w:r>
        <w:fldChar w:fldCharType="begin"/>
      </w:r>
      <w:r>
        <w:instrText xml:space="preserve"> SEQ level0 \*arabic \* MERGEFORMAT </w:instrText>
      </w:r>
      <w:r>
        <w:fldChar w:fldCharType="separate"/>
      </w:r>
      <w:r w:rsidR="00F21D3F">
        <w:t>149</w:t>
      </w:r>
      <w:r>
        <w:fldChar w:fldCharType="end"/>
      </w:r>
      <w:bookmarkEnd w:id="360"/>
      <w:r>
        <w:t xml:space="preserve">. Regulamentul în cauză nu prevede niciun termen limită pentru misiunea „agenților cu identitate atribuită”. Se poate recurge la astfel de </w:t>
      </w:r>
      <w:r>
        <w:lastRenderedPageBreak/>
        <w:t xml:space="preserve">agenți, cel puțin teoretic, pe o perioadă nedeterminată – atât timp cât Agenția apreciază că există o „necesitate operativă dovedită” pentru utilizarea acestora. Acest regim contrastează în mod evident cu cel aplicabil în ceea ce privește utilizarea „mijloacelor speciale de supraveghere”, care este supusă unor termene – chiar și atunci când aceste mijloace sunt folosite în scopuri legate de securitatea națională (a se vedea </w:t>
      </w:r>
      <w:r>
        <w:rPr>
          <w:i/>
          <w:iCs/>
        </w:rPr>
        <w:t>Ekimdjiev și alții</w:t>
      </w:r>
      <w:r>
        <w:t>, citată anterior, pct. 305).</w:t>
      </w:r>
    </w:p>
    <w:p w:rsidR="00304BC9" w:rsidRDefault="00736C78" w:rsidP="00304BC9">
      <w:pPr>
        <w:pStyle w:val="JuHalpha"/>
      </w:pPr>
      <w:bookmarkStart w:id="361" w:name="_Toc238743312"/>
      <w:r>
        <w:t>Procedura de desfășurare a misiunii</w:t>
      </w:r>
      <w:bookmarkEnd w:id="361"/>
    </w:p>
    <w:bookmarkStart w:id="362" w:name="L_C_A_8_m_just_C_apl_pr_auth_pr_1"/>
    <w:p w:rsidR="00304BC9" w:rsidRDefault="00736C78" w:rsidP="00304BC9">
      <w:pPr>
        <w:pStyle w:val="JuPara"/>
      </w:pPr>
      <w:r>
        <w:fldChar w:fldCharType="begin"/>
      </w:r>
      <w:r>
        <w:instrText xml:space="preserve"> SEQ level0 \*arabic \* MERGEFORMAT </w:instrText>
      </w:r>
      <w:r>
        <w:fldChar w:fldCharType="separate"/>
      </w:r>
      <w:r w:rsidR="00F21D3F">
        <w:t>150</w:t>
      </w:r>
      <w:r>
        <w:fldChar w:fldCharType="end"/>
      </w:r>
      <w:bookmarkEnd w:id="362"/>
      <w:r>
        <w:t>. Aspectele relevante care țin de această procedură sunt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statutul autorității care poate autoriza supravegherea secretă și, după caz,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xml:space="preserve">) modul în care autoritatea respectivă examinează cererile de supraveghere și autorizează supravegherea (a se vedea </w:t>
      </w:r>
      <w:r>
        <w:rPr>
          <w:i/>
          <w:iCs/>
        </w:rPr>
        <w:t>Ekimdjiev și alții</w:t>
      </w:r>
      <w:r>
        <w:t>, citată anterior, pct. 306).</w:t>
      </w:r>
    </w:p>
    <w:bookmarkStart w:id="363" w:name="L_C_A_8_m_just_C_apl_pr_auth_pr_2"/>
    <w:p w:rsidR="00304BC9" w:rsidRDefault="00736C78" w:rsidP="00304BC9">
      <w:pPr>
        <w:pStyle w:val="JuPara"/>
      </w:pPr>
      <w:r>
        <w:fldChar w:fldCharType="begin"/>
      </w:r>
      <w:r>
        <w:instrText xml:space="preserve"> SEQ level0 \*arabic \* MERGEFORMAT </w:instrText>
      </w:r>
      <w:r>
        <w:fldChar w:fldCharType="separate"/>
      </w:r>
      <w:r w:rsidR="00F21D3F">
        <w:t>151</w:t>
      </w:r>
      <w:r>
        <w:fldChar w:fldCharType="end"/>
      </w:r>
      <w:bookmarkEnd w:id="363"/>
      <w:r>
        <w:t>. Din interpretarea dispozițiilor articolului 52 alineatul (3), coroborat cu articolul 53 alineatul (2) (a se vedea supra, pct. </w:t>
      </w:r>
      <w:r>
        <w:fldChar w:fldCharType="begin"/>
      </w:r>
      <w:r>
        <w:instrText xml:space="preserve"> REF  F_Regs_r_52 \h  \* MERGEFORMAT </w:instrText>
      </w:r>
      <w:r>
        <w:fldChar w:fldCharType="separate"/>
      </w:r>
      <w:r w:rsidR="00F21D3F">
        <w:t>11</w:t>
      </w:r>
      <w:r>
        <w:fldChar w:fldCharType="end"/>
      </w:r>
      <w:r>
        <w:t xml:space="preserve"> </w:t>
      </w:r>
      <w:r>
        <w:rPr>
          <w:i/>
        </w:rPr>
        <w:t>in fine</w:t>
      </w:r>
      <w:r>
        <w:t xml:space="preserve"> și </w:t>
      </w:r>
      <w:r>
        <w:fldChar w:fldCharType="begin"/>
      </w:r>
      <w:r>
        <w:instrText xml:space="preserve"> REF  F_Regs_r_53 \h  \* MERGEFORMAT </w:instrText>
      </w:r>
      <w:r>
        <w:fldChar w:fldCharType="separate"/>
      </w:r>
      <w:r w:rsidR="00F21D3F">
        <w:t>12</w:t>
      </w:r>
      <w:r>
        <w:fldChar w:fldCharType="end"/>
      </w:r>
      <w:r>
        <w:t xml:space="preserve">), rezultă că procedura desfășurării misiunii unui „agent cu identitate atribuită” începe cu o propunere făcută de șeful diviziei sau unității respective a Agenției care dorește să recurgă la un astfel de agent. Această propunere – care trebuie să furnizeze o justificare cu privire la existența unei „necesități operaționale dovedite” de a se recurge la un astfel de agent – este înaintată șefului Agenției, care decide cu privire la utilizarea agentului și stabilește sarcinile specifice ale acestuia. Regulamentul nu prevede aprobarea acestei misiuni de către o persoană independentă din afara structurii respective și nici, cel puțin, notificarea unei astfel de persoane cu privire la misiunea în cauză (a se compara, </w:t>
      </w:r>
      <w:r>
        <w:rPr>
          <w:i/>
        </w:rPr>
        <w:t>mutatis mutandis</w:t>
      </w:r>
      <w:r>
        <w:t xml:space="preserve">, cu </w:t>
      </w:r>
      <w:r>
        <w:rPr>
          <w:i/>
        </w:rPr>
        <w:t>Pietrzak și Bychawska-Siniarska și alții</w:t>
      </w:r>
      <w:r>
        <w:t>, citată anterior, pct. 274).</w:t>
      </w:r>
    </w:p>
    <w:bookmarkStart w:id="364" w:name="L_C_A_8_m_just_C_apl_pr_auth_pr_3"/>
    <w:p w:rsidR="00304BC9" w:rsidRPr="00E9555E" w:rsidRDefault="00736C78" w:rsidP="00304BC9">
      <w:pPr>
        <w:pStyle w:val="JuPara"/>
      </w:pPr>
      <w:r>
        <w:fldChar w:fldCharType="begin"/>
      </w:r>
      <w:r>
        <w:instrText xml:space="preserve"> SEQ level0 \*arabic \* MERGEFORMAT </w:instrText>
      </w:r>
      <w:r>
        <w:fldChar w:fldCharType="separate"/>
      </w:r>
      <w:r w:rsidR="00F21D3F">
        <w:t>152</w:t>
      </w:r>
      <w:r>
        <w:fldChar w:fldCharType="end"/>
      </w:r>
      <w:bookmarkEnd w:id="364"/>
      <w:r>
        <w:t>. Este adevărat că, în temeiul articolului 52 alineatul (1), se poate recurge la un „agent cu identitate atribuită” în cazul în care există o „necesitate operațională dovedită”, iar articolul 52 alineatul (2) precizează că o astfel de necesitate există în cazul în care atribuțiile conferite Agenției prin lege nu pot fi îndeplinite în alt mod (a se vedea supra, pct. </w:t>
      </w:r>
      <w:r w:rsidRPr="00C00901">
        <w:fldChar w:fldCharType="begin"/>
      </w:r>
      <w:r w:rsidRPr="00C00901">
        <w:instrText xml:space="preserve"> REF  F_Regs_r_52 \h  \* MERGEFORMAT </w:instrText>
      </w:r>
      <w:r w:rsidRPr="00C00901">
        <w:fldChar w:fldCharType="separate"/>
      </w:r>
      <w:r w:rsidR="00F21D3F">
        <w:t>11</w:t>
      </w:r>
      <w:r w:rsidRPr="00C00901">
        <w:fldChar w:fldCharType="end"/>
      </w:r>
      <w:r>
        <w:t xml:space="preserve">). </w:t>
      </w:r>
      <w:bookmarkStart w:id="365" w:name="_Hlk216737759"/>
      <w:r>
        <w:t>Astfel, modul în care sunt formulate aceste dispoziții asigură un anumit nivel de proporționalitate în ceea ce privește recurgerea la „agenți cu identitate atribuită”. Cu toate acestea</w:t>
      </w:r>
      <w:bookmarkEnd w:id="365"/>
      <w:r>
        <w:t xml:space="preserve">, regulamentul în cauză nu include nicio indicație cu privire la factorii de care trebuie să țină seama șeful Agenției atunci când apreciază aspectele sus-menționate. În special, regulamentul nu impune ca șeful Agenției să ia o decizie ținând seama de considerente legate de drepturile prevăzute la art. 8 ale persoanelor care ar putea fi afectate de misiunea agentului sau să aibă în vedere măsura în care sarcinile încredințate agentului pot aduce atingere drepturilor garantate la art. 8 ale persoanei vizate sau ale altor persoane (care ar putea fi afectate indirect de activitatea agentului), în special în cazul în care misiunea agentului este susceptibilă să permită accesul la materiale sau comunicări medicale, jurnalistice sau care </w:t>
      </w:r>
      <w:r>
        <w:lastRenderedPageBreak/>
        <w:t xml:space="preserve">fac obiectul secretului profesional al avocatului, care beneficiază de o protecție sporită în temeiul art. 8, sau în alte situații în care persoanele în cauză se pot aștepta în mod rezonabil la un grad sporit de confidențialitate. De asemenea, regulamentul nu impune ca șeful Agenției să realizeze, în această privință, un exercițiu adecvat de punere în balanță a intereselor concurente. Prin urmare, nu există nicio garanție că se va recurge la „agenți cu identitate atribuită” doar atunci când acest lucru este cu adevărat necesar și proporțional în fiecare caz în parte (a se vedea, </w:t>
      </w:r>
      <w:r>
        <w:rPr>
          <w:i/>
          <w:iCs/>
        </w:rPr>
        <w:t>mutatis mutandis, Ekimdjiev și alții</w:t>
      </w:r>
      <w:r>
        <w:t>, citată anterior, pct. 321).</w:t>
      </w:r>
    </w:p>
    <w:bookmarkStart w:id="366" w:name="L_C_A_8_m_just_C_apl_pr_auth_pr_4"/>
    <w:p w:rsidR="00304BC9" w:rsidRDefault="00736C78" w:rsidP="00304BC9">
      <w:pPr>
        <w:pStyle w:val="JuPara"/>
      </w:pPr>
      <w:r>
        <w:fldChar w:fldCharType="begin"/>
      </w:r>
      <w:r>
        <w:instrText xml:space="preserve"> SEQ level0 \*arabic \* MERGEFORMAT </w:instrText>
      </w:r>
      <w:r>
        <w:fldChar w:fldCharType="separate"/>
      </w:r>
      <w:r w:rsidR="00F21D3F">
        <w:t>153</w:t>
      </w:r>
      <w:r>
        <w:fldChar w:fldCharType="end"/>
      </w:r>
      <w:bookmarkEnd w:id="366"/>
      <w:r>
        <w:t>. În plus, nu există nicio cerință explicită ca aprecierea unor astfel de aspecte să fie consemnată în mod corespunzător de către Agenție, astfel încât decizia de a se recurge la un „agent cu identitate atribuită” să poată fi analizată în mod corespunzător ulterior.</w:t>
      </w:r>
    </w:p>
    <w:p w:rsidR="00304BC9" w:rsidRDefault="00736C78" w:rsidP="00304BC9">
      <w:pPr>
        <w:pStyle w:val="JuHalpha"/>
      </w:pPr>
      <w:bookmarkStart w:id="367" w:name="_Toc238743313"/>
      <w:r>
        <w:t>Proceduri pentru stocarea, accesarea, examinarea, utilizarea, comunicarea și distrugerea datelor obținute ca urmare a detașării de „agenți cu identitate atribuită”</w:t>
      </w:r>
      <w:bookmarkEnd w:id="367"/>
    </w:p>
    <w:bookmarkStart w:id="368" w:name="L_C_A_8_m_just_C_apl_pr_storing_etc_1"/>
    <w:p w:rsidR="00304BC9" w:rsidRDefault="00736C78" w:rsidP="00304BC9">
      <w:pPr>
        <w:pStyle w:val="JuPara"/>
      </w:pPr>
      <w:r>
        <w:fldChar w:fldCharType="begin"/>
      </w:r>
      <w:r>
        <w:instrText xml:space="preserve"> SEQ level0 \*arabic \* MERGEFORMAT </w:instrText>
      </w:r>
      <w:r>
        <w:fldChar w:fldCharType="separate"/>
      </w:r>
      <w:r w:rsidR="00F21D3F">
        <w:t>154</w:t>
      </w:r>
      <w:r>
        <w:fldChar w:fldCharType="end"/>
      </w:r>
      <w:bookmarkEnd w:id="368"/>
      <w:r>
        <w:t>. Regulamentul în cauză nu conține dispoziții cu privire la stocarea, accesarea, examinarea, utilizarea, comunicarea și distrugerea datelor obținute ca urmare a recurgerii la „agenți cu identitate atribuită”. Prin urmare, toate aceste aspecte par să fie reglementate de normele generale referitoare la modul în care Agenția își prelucrează datele operaționale (a se vedea supra, pct. </w:t>
      </w:r>
      <w:r>
        <w:fldChar w:fldCharType="begin"/>
      </w:r>
      <w:r>
        <w:instrText xml:space="preserve"> REF  RLF_SANSA_s_28_1_29_1_2 \h  \* MERGEFORMAT </w:instrText>
      </w:r>
      <w:r>
        <w:fldChar w:fldCharType="separate"/>
      </w:r>
      <w:r w:rsidR="00F21D3F">
        <w:rPr>
          <w:rFonts w:cstheme="minorHAnsi"/>
        </w:rPr>
        <w:t>51</w:t>
      </w:r>
      <w:r>
        <w:fldChar w:fldCharType="end"/>
      </w:r>
      <w:r>
        <w:t>-</w:t>
      </w:r>
      <w:r>
        <w:fldChar w:fldCharType="begin"/>
      </w:r>
      <w:r>
        <w:instrText xml:space="preserve"> REF  RLF_SANSA_personal_data_regs_1 \h  \* MERGEFORMAT </w:instrText>
      </w:r>
      <w:r>
        <w:fldChar w:fldCharType="separate"/>
      </w:r>
      <w:r w:rsidR="00F21D3F">
        <w:t>54</w:t>
      </w:r>
      <w:r>
        <w:fldChar w:fldCharType="end"/>
      </w:r>
      <w:r>
        <w:t xml:space="preserve">). Având în vedere că părțile nu au formulat observații cu privire la acest aspect al cauzei (a se vedea </w:t>
      </w:r>
      <w:r>
        <w:fldChar w:fldCharType="begin"/>
      </w:r>
      <w:r>
        <w:instrText xml:space="preserve"> REF  L_C_A_8_m_just_A_1 \h  \* MERGEFORMAT </w:instrText>
      </w:r>
      <w:r>
        <w:fldChar w:fldCharType="separate"/>
      </w:r>
      <w:r w:rsidR="00F21D3F">
        <w:t>136</w:t>
      </w:r>
      <w:r>
        <w:fldChar w:fldCharType="end"/>
      </w:r>
      <w:r>
        <w:t>-</w:t>
      </w:r>
      <w:r>
        <w:fldChar w:fldCharType="begin"/>
      </w:r>
      <w:r>
        <w:instrText xml:space="preserve"> REF  L_C_A_8_m_just_G_3 \h  \* MERGEFORMAT </w:instrText>
      </w:r>
      <w:r>
        <w:fldChar w:fldCharType="separate"/>
      </w:r>
      <w:r w:rsidR="00F21D3F">
        <w:t>139</w:t>
      </w:r>
      <w:r>
        <w:fldChar w:fldCharType="end"/>
      </w:r>
      <w:r>
        <w:t xml:space="preserve">), Curtea nu îl poate aprofunda, limitându-se să constate că, în schimb, toate aceste aspecte sunt reglementate de dispoziții relativ detaliate în ceea ce privește datele obținute prin utilizarea unor „mijloace speciale de supraveghere” – dar că, totuși, în aceste dispoziții există lacune care au determinat-o să concluzioneze că este posibil ca astfel de date să fie utilizate în mod abuziv, în scopuri care au prea puțin de a face cu scopul legitim pentru care sunt colectate (a se vedea </w:t>
      </w:r>
      <w:r>
        <w:rPr>
          <w:i/>
          <w:iCs/>
        </w:rPr>
        <w:t>Ekimdjiev și alții</w:t>
      </w:r>
      <w:r>
        <w:t>, citată anterior, pct. 325-332).</w:t>
      </w:r>
    </w:p>
    <w:p w:rsidR="00304BC9" w:rsidRDefault="00736C78" w:rsidP="00304BC9">
      <w:pPr>
        <w:pStyle w:val="JuHalpha"/>
      </w:pPr>
      <w:bookmarkStart w:id="369" w:name="_Toc238743314"/>
      <w:r>
        <w:t>Supravegherea</w:t>
      </w:r>
      <w:bookmarkEnd w:id="369"/>
    </w:p>
    <w:bookmarkStart w:id="370" w:name="L_C_A_8_m_just_C_apl_pr_oversight_1"/>
    <w:p w:rsidR="00304BC9" w:rsidRDefault="00736C78" w:rsidP="00304BC9">
      <w:pPr>
        <w:pStyle w:val="JuPara"/>
      </w:pPr>
      <w:r>
        <w:fldChar w:fldCharType="begin"/>
      </w:r>
      <w:r>
        <w:instrText xml:space="preserve"> SEQ level0 \*arabic \* MERGEFORMAT </w:instrText>
      </w:r>
      <w:r>
        <w:fldChar w:fldCharType="separate"/>
      </w:r>
      <w:r w:rsidR="00F21D3F">
        <w:t>155</w:t>
      </w:r>
      <w:r>
        <w:fldChar w:fldCharType="end"/>
      </w:r>
      <w:bookmarkEnd w:id="370"/>
      <w:r>
        <w:t>. Pentru a decide dacă supravegherea este adecvată, trebuie să se țină seama de următorii factori: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independența autorităților de supraveghere, atribuțiile și competențele acestora (de acces la materialele de supraveghere și de remediere a încălcărilor – în special prin dispunerea distrugerii materialelor de supraveghere) și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xml:space="preserve">) posibilitățile de a supune activitatea acestor autorități unui control public efectiv (a se vedea </w:t>
      </w:r>
      <w:r>
        <w:rPr>
          <w:i/>
          <w:iCs/>
        </w:rPr>
        <w:t>Ekimdjiev și alții</w:t>
      </w:r>
      <w:r>
        <w:t>, citată anterior, pct. 334).</w:t>
      </w:r>
    </w:p>
    <w:bookmarkStart w:id="371" w:name="L_C_A_8_m_just_C_apl_pr_oversight_2"/>
    <w:p w:rsidR="00304BC9" w:rsidRDefault="00736C78" w:rsidP="00304BC9">
      <w:pPr>
        <w:pStyle w:val="JuPara"/>
      </w:pPr>
      <w:r>
        <w:fldChar w:fldCharType="begin"/>
      </w:r>
      <w:r>
        <w:instrText xml:space="preserve"> SEQ level0 \*arabic \* MERGEFORMAT </w:instrText>
      </w:r>
      <w:r>
        <w:fldChar w:fldCharType="separate"/>
      </w:r>
      <w:r w:rsidR="00F21D3F">
        <w:t>156</w:t>
      </w:r>
      <w:r>
        <w:fldChar w:fldCharType="end"/>
      </w:r>
      <w:bookmarkEnd w:id="371"/>
      <w:r>
        <w:t xml:space="preserve">. Regulamentul în sine nu prevede niciun fel de supraveghere a recurgerii la „agenți cu identitate atribuită” sau a activității acestora (a se compara, </w:t>
      </w:r>
      <w:r>
        <w:rPr>
          <w:i/>
        </w:rPr>
        <w:t>mutatis mutandis</w:t>
      </w:r>
      <w:r>
        <w:t xml:space="preserve">, cu </w:t>
      </w:r>
      <w:bookmarkStart w:id="372" w:name="_cl21016THELAW"/>
      <w:r>
        <w:rPr>
          <w:i/>
        </w:rPr>
        <w:t>Antunes Rocha împotriva Portugaliei</w:t>
      </w:r>
      <w:bookmarkEnd w:id="372"/>
      <w:r>
        <w:t xml:space="preserve">, nr. 64330/01, pct. 77, 31 mai 2005); în plus, astfel cum s-a menționat la </w:t>
      </w:r>
      <w:r>
        <w:lastRenderedPageBreak/>
        <w:t xml:space="preserve">punctul </w:t>
      </w:r>
      <w:r>
        <w:fldChar w:fldCharType="begin"/>
      </w:r>
      <w:r>
        <w:instrText xml:space="preserve"> REF  L_C_A_8_m_int_C_victim_rem_2 \h  \* MERGEFORMAT </w:instrText>
      </w:r>
      <w:r>
        <w:fldChar w:fldCharType="separate"/>
      </w:r>
      <w:r w:rsidR="00F21D3F">
        <w:t>124</w:t>
      </w:r>
      <w:r>
        <w:fldChar w:fldCharType="end"/>
      </w:r>
      <w:r>
        <w:t xml:space="preserve"> de mai sus, activitatea acestor agenți nu intră în sfera de competență a Biroului Național pentru Controlul Mijloacelor Speciale de Supraveghere.</w:t>
      </w:r>
    </w:p>
    <w:bookmarkStart w:id="373" w:name="L_C_A_8_m_just_C_apl_pr_oversight_3"/>
    <w:p w:rsidR="00304BC9" w:rsidRDefault="00736C78" w:rsidP="00304BC9">
      <w:pPr>
        <w:pStyle w:val="JuPara"/>
      </w:pPr>
      <w:r>
        <w:fldChar w:fldCharType="begin"/>
      </w:r>
      <w:r>
        <w:instrText xml:space="preserve"> SEQ level0 \*arabic \* MERGEFORMAT </w:instrText>
      </w:r>
      <w:r>
        <w:fldChar w:fldCharType="separate"/>
      </w:r>
      <w:r w:rsidR="00F21D3F">
        <w:t>157</w:t>
      </w:r>
      <w:r>
        <w:fldChar w:fldCharType="end"/>
      </w:r>
      <w:bookmarkEnd w:id="373"/>
      <w:r>
        <w:t xml:space="preserve">. Comisia parlamentară specială însărcinată cu supravegherea activității Agenției – aceeași comisie care a fost în discuție în cauza </w:t>
      </w:r>
      <w:r>
        <w:rPr>
          <w:i/>
          <w:iCs/>
        </w:rPr>
        <w:t>Ekimdjiev</w:t>
      </w:r>
      <w:r>
        <w:t xml:space="preserve"> </w:t>
      </w:r>
      <w:r>
        <w:rPr>
          <w:i/>
        </w:rPr>
        <w:t>și alții</w:t>
      </w:r>
      <w:r>
        <w:t xml:space="preserve"> (citată anterior, pct. 125) – este abilitată să examineze cazuri individuale, dar nu poate dispune măsuri de remediere; în cazul în care identifică nereguli, aceasta poate doar să le aducă în atenția organelor de urmărire penală sau a altor autorități relevante (a se vedea supra, pct. </w:t>
      </w:r>
      <w:r w:rsidRPr="00A900C3">
        <w:fldChar w:fldCharType="begin"/>
      </w:r>
      <w:r w:rsidRPr="00A900C3">
        <w:instrText xml:space="preserve"> REF  RLF_SANSA_s_132_1_etc \h  \* MERGEFORMAT </w:instrText>
      </w:r>
      <w:r w:rsidRPr="00A900C3">
        <w:fldChar w:fldCharType="separate"/>
      </w:r>
      <w:r w:rsidR="00F21D3F">
        <w:t>55</w:t>
      </w:r>
      <w:r w:rsidRPr="00A900C3">
        <w:fldChar w:fldCharType="end"/>
      </w:r>
      <w:r>
        <w:t xml:space="preserve">). În plus, membrii acestei comisii nu sunt obligați să aibă vreo pregătire sau experiență juridică (a se vedea </w:t>
      </w:r>
      <w:r>
        <w:rPr>
          <w:i/>
          <w:iCs/>
        </w:rPr>
        <w:t>Ekimdjiev</w:t>
      </w:r>
      <w:r>
        <w:t xml:space="preserve"> </w:t>
      </w:r>
      <w:r>
        <w:rPr>
          <w:i/>
          <w:iCs/>
        </w:rPr>
        <w:t>și alții</w:t>
      </w:r>
      <w:r>
        <w:t xml:space="preserve">, citată anterior, pct. 414). De asemenea, se pare că această comisie nu a exercitat în practică un control detaliat și regulat asupra operațiunilor desfășurate de Agenție în general – și cu atât mai puțin un control având ca obiect în mod specific utilizarea „agenților cu identitate atribuită” – și nici nu s-a implicat în activitatea de zi cu zi a Agenției (a se compara cu </w:t>
      </w:r>
      <w:r>
        <w:rPr>
          <w:i/>
          <w:iCs/>
        </w:rPr>
        <w:t>Ekimdjiev</w:t>
      </w:r>
      <w:r>
        <w:rPr>
          <w:i/>
        </w:rPr>
        <w:t xml:space="preserve"> și alții,</w:t>
      </w:r>
      <w:r>
        <w:t xml:space="preserve"> citată anterior, pct. 345, și, </w:t>
      </w:r>
      <w:r>
        <w:rPr>
          <w:i/>
        </w:rPr>
        <w:t>mutatis mutandis</w:t>
      </w:r>
      <w:r>
        <w:t xml:space="preserve">, cu </w:t>
      </w:r>
      <w:r>
        <w:rPr>
          <w:i/>
        </w:rPr>
        <w:t xml:space="preserve">Szabó </w:t>
      </w:r>
      <w:r>
        <w:t xml:space="preserve">și </w:t>
      </w:r>
      <w:r>
        <w:rPr>
          <w:i/>
        </w:rPr>
        <w:t>Vissy împotriva Ungariei</w:t>
      </w:r>
      <w:r>
        <w:t xml:space="preserve">, nr. 37138/14, pct. 82, 12 ianuarie 2016; de asemenea, a se face deosebirea față de </w:t>
      </w:r>
      <w:r>
        <w:rPr>
          <w:i/>
        </w:rPr>
        <w:t>Leander</w:t>
      </w:r>
      <w:r>
        <w:t>, citată anterior, pct. 40 și 65).</w:t>
      </w:r>
    </w:p>
    <w:bookmarkStart w:id="374" w:name="L_C_A_8_m_just_C_apl_pr_oversight_4"/>
    <w:p w:rsidR="00304BC9" w:rsidRDefault="00736C78" w:rsidP="00304BC9">
      <w:pPr>
        <w:pStyle w:val="JuPara"/>
      </w:pPr>
      <w:r>
        <w:fldChar w:fldCharType="begin"/>
      </w:r>
      <w:r>
        <w:instrText xml:space="preserve"> SEQ level0 \*arabic \* MERGEFORMAT </w:instrText>
      </w:r>
      <w:r>
        <w:fldChar w:fldCharType="separate"/>
      </w:r>
      <w:r w:rsidR="00F21D3F">
        <w:t>158</w:t>
      </w:r>
      <w:r>
        <w:fldChar w:fldCharType="end"/>
      </w:r>
      <w:bookmarkEnd w:id="374"/>
      <w:r>
        <w:t>. Nu există niciun indiciu că șeful, șefii adjuncți sau ofițerii Agenției au fost chemați vreodată să se prezinte la Parlamentul bulgar pentru a raporta utilizarea de către Agenție a unor „agenți cu identitate atribuită” (a se vedea supra, pct. </w:t>
      </w:r>
      <w:r>
        <w:fldChar w:fldCharType="begin"/>
      </w:r>
      <w:r>
        <w:instrText xml:space="preserve"> REF  RLF_SANSA_s_132_2_etc \h  \* MERGEFORMAT </w:instrText>
      </w:r>
      <w:r>
        <w:fldChar w:fldCharType="separate"/>
      </w:r>
      <w:r w:rsidR="00F21D3F">
        <w:t>56</w:t>
      </w:r>
      <w:r>
        <w:fldChar w:fldCharType="end"/>
      </w:r>
      <w:r>
        <w:t>). De asemenea, nu există niciun indiciu că acest aspect a fost menționat în rapoartele Agenției adresate Guvernului sau Președintelui Republicii (a se vedea supra, pct. </w:t>
      </w:r>
      <w:r>
        <w:fldChar w:fldCharType="begin"/>
      </w:r>
      <w:r>
        <w:instrText xml:space="preserve"> REF  RLF_SANSA_s_132_3_etc \h  \* MERGEFORMAT </w:instrText>
      </w:r>
      <w:r>
        <w:fldChar w:fldCharType="separate"/>
      </w:r>
      <w:r w:rsidR="00F21D3F">
        <w:t>57</w:t>
      </w:r>
      <w:r>
        <w:fldChar w:fldCharType="end"/>
      </w:r>
      <w:r>
        <w:t>-</w:t>
      </w:r>
      <w:r>
        <w:fldChar w:fldCharType="begin"/>
      </w:r>
      <w:r>
        <w:instrText xml:space="preserve"> REF  RLF_SANSA_s_132a \h  \* MERGEFORMAT </w:instrText>
      </w:r>
      <w:r>
        <w:fldChar w:fldCharType="separate"/>
      </w:r>
      <w:r w:rsidR="00F21D3F">
        <w:t>58</w:t>
      </w:r>
      <w:r>
        <w:fldChar w:fldCharType="end"/>
      </w:r>
      <w:r>
        <w:t xml:space="preserve">) În orice caz, o astfel de supraveghere politică generală nu poate fi considerată independentă (a se vedea, </w:t>
      </w:r>
      <w:r>
        <w:rPr>
          <w:i/>
        </w:rPr>
        <w:t>mutatis mutandis</w:t>
      </w:r>
      <w:r>
        <w:t xml:space="preserve">, </w:t>
      </w:r>
      <w:r>
        <w:rPr>
          <w:i/>
          <w:iCs/>
        </w:rPr>
        <w:t>Asociația pentru Integrare Europeană și Drepturile Omului</w:t>
      </w:r>
      <w:r>
        <w:t xml:space="preserve"> </w:t>
      </w:r>
      <w:r>
        <w:rPr>
          <w:i/>
        </w:rPr>
        <w:t xml:space="preserve">și </w:t>
      </w:r>
      <w:r>
        <w:rPr>
          <w:i/>
          <w:iCs/>
        </w:rPr>
        <w:t>Ekimdjiev</w:t>
      </w:r>
      <w:r>
        <w:t>, pct. 87, și</w:t>
      </w:r>
      <w:bookmarkStart w:id="375" w:name="_cl37389THELAW"/>
      <w:r>
        <w:t xml:space="preserve"> </w:t>
      </w:r>
      <w:r>
        <w:rPr>
          <w:i/>
        </w:rPr>
        <w:t>Szabó și Vissy</w:t>
      </w:r>
      <w:bookmarkEnd w:id="375"/>
      <w:r>
        <w:t>, pct. 75, ambele citate anterior), sau suficientă pentru a preveni abuzurile individuale.</w:t>
      </w:r>
    </w:p>
    <w:bookmarkStart w:id="376" w:name="L_C_A_8_m_just_C_apl_pr_oversight_5"/>
    <w:p w:rsidR="00304BC9" w:rsidRDefault="00736C78" w:rsidP="00304BC9">
      <w:pPr>
        <w:pStyle w:val="JuPara"/>
      </w:pPr>
      <w:r>
        <w:fldChar w:fldCharType="begin"/>
      </w:r>
      <w:r>
        <w:instrText xml:space="preserve"> SEQ level0 \*arabic \* MERGEFORMAT </w:instrText>
      </w:r>
      <w:r>
        <w:fldChar w:fldCharType="separate"/>
      </w:r>
      <w:r w:rsidR="00F21D3F">
        <w:t>159</w:t>
      </w:r>
      <w:r>
        <w:fldChar w:fldCharType="end"/>
      </w:r>
      <w:bookmarkEnd w:id="376"/>
      <w:r>
        <w:t>. De asemenea, se pare că operațiunile Agenției care au implicat utilizarea de „agenți cu identitate atribuită” nu au fost verificate niciodată de Comisia pentru protecția datelor cu caracter personal – care, în temeiul articolului 37 din Legea din 2007, supraveghează prelucrarea datelor cu caracter personal de către Agenție (a se vedea supra, pct. </w:t>
      </w:r>
      <w:r>
        <w:fldChar w:fldCharType="begin"/>
      </w:r>
      <w:r>
        <w:instrText xml:space="preserve"> REF  RLF_SANSA_s_37 \h  \* MERGEFORMAT </w:instrText>
      </w:r>
      <w:r>
        <w:fldChar w:fldCharType="separate"/>
      </w:r>
      <w:r w:rsidR="00F21D3F">
        <w:t>72</w:t>
      </w:r>
      <w:r>
        <w:fldChar w:fldCharType="end"/>
      </w:r>
      <w:r>
        <w:t xml:space="preserve">). Astfel, după cum s-a evidențiat la punctul </w:t>
      </w:r>
      <w:r>
        <w:fldChar w:fldCharType="begin"/>
      </w:r>
      <w:r>
        <w:instrText xml:space="preserve"> REF  L_C_A_8_m_int_C_victim_rem_6 \h  \* MERGEFORMAT </w:instrText>
      </w:r>
      <w:r>
        <w:fldChar w:fldCharType="separate"/>
      </w:r>
      <w:r w:rsidR="00F21D3F">
        <w:t>128</w:t>
      </w:r>
      <w:r>
        <w:fldChar w:fldCharType="end"/>
      </w:r>
      <w:r>
        <w:t xml:space="preserve"> de mai sus, nu este clar dacă respectiva competență pe care articolul 37 o conferă acestei Comisii privește datele operaționale colectate de Agenție.</w:t>
      </w:r>
    </w:p>
    <w:bookmarkStart w:id="377" w:name="L_C_A_8_m_just_C_apl_pr_oversight_6"/>
    <w:p w:rsidR="00304BC9" w:rsidRPr="004A68B3" w:rsidRDefault="00736C78" w:rsidP="00304BC9">
      <w:pPr>
        <w:pStyle w:val="JuPara"/>
      </w:pPr>
      <w:r>
        <w:fldChar w:fldCharType="begin"/>
      </w:r>
      <w:r>
        <w:instrText xml:space="preserve"> SEQ level0 \*arabic \* MERGEFORMAT </w:instrText>
      </w:r>
      <w:r>
        <w:fldChar w:fldCharType="separate"/>
      </w:r>
      <w:r w:rsidR="00F21D3F">
        <w:t>160</w:t>
      </w:r>
      <w:r>
        <w:fldChar w:fldCharType="end"/>
      </w:r>
      <w:bookmarkEnd w:id="377"/>
      <w:r>
        <w:t xml:space="preserve">. Având în vedere considerentele de mai sus, sistemul de supraveghere a utilizării „agenților cu identitate atribuită” nu pare de natură să ofere garanții efective împotriva recurgerii la aceștia de către Agenție în mod arbitrar sau abuziv (a se vedea, </w:t>
      </w:r>
      <w:r>
        <w:rPr>
          <w:i/>
          <w:iCs/>
        </w:rPr>
        <w:t>mutatis mutandis, Ekimdjiev și alții</w:t>
      </w:r>
      <w:r>
        <w:t xml:space="preserve">, citată anterior, pct. 347) sau împotriva riscului unui abuz de putere chiar din partea „agenților cu identitate atribuită” – care, în lipsa unei supravegheri adecvate, poate fi considerat real, astfel cum o demonstrează practica altor state (a se </w:t>
      </w:r>
      <w:r>
        <w:lastRenderedPageBreak/>
        <w:t xml:space="preserve">vedea informațiile de drept comparat la care se face referire în </w:t>
      </w:r>
      <w:bookmarkStart w:id="378" w:name="_cl38841THELAW"/>
      <w:r>
        <w:rPr>
          <w:i/>
        </w:rPr>
        <w:t>Veselov și alții împotriva Rusiei</w:t>
      </w:r>
      <w:bookmarkEnd w:id="378"/>
      <w:r>
        <w:t>, nr. 23200/10 și alte 2, pct. 50 și 62, 2 octombrie 2012).</w:t>
      </w:r>
    </w:p>
    <w:p w:rsidR="00304BC9" w:rsidRDefault="00736C78" w:rsidP="00304BC9">
      <w:pPr>
        <w:pStyle w:val="JuHalpha"/>
      </w:pPr>
      <w:bookmarkStart w:id="379" w:name="_Toc238743315"/>
      <w:r>
        <w:t>Notificarea</w:t>
      </w:r>
      <w:bookmarkEnd w:id="379"/>
    </w:p>
    <w:bookmarkStart w:id="380" w:name="L_C_A_8_m_just_C_apl_pr_notif_1"/>
    <w:p w:rsidR="00304BC9" w:rsidRDefault="00736C78" w:rsidP="00304BC9">
      <w:pPr>
        <w:pStyle w:val="JuPara"/>
      </w:pPr>
      <w:r>
        <w:fldChar w:fldCharType="begin"/>
      </w:r>
      <w:r>
        <w:instrText xml:space="preserve"> SEQ level0 \*arabic \* MERGEFORMAT </w:instrText>
      </w:r>
      <w:r>
        <w:fldChar w:fldCharType="separate"/>
      </w:r>
      <w:r w:rsidR="00F21D3F">
        <w:t>161</w:t>
      </w:r>
      <w:r>
        <w:fldChar w:fldCharType="end"/>
      </w:r>
      <w:bookmarkEnd w:id="380"/>
      <w:r>
        <w:t>. Problemele relevante legate de notificare sunt: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dacă este posibil ca autoritățile să notifice o persoană sau o entitate vizată cu privire la faptul că s-a recurs la un „agent cu identitate atribuită” pentru obținerea de informații în privința sa și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xml:space="preserve">) dacă o astfel de notificare constituie o condiție prealabilă pentru exercitarea oricărei căi de atac disponibile (a se vedea </w:t>
      </w:r>
      <w:r>
        <w:rPr>
          <w:i/>
          <w:iCs/>
        </w:rPr>
        <w:t>Ekimdjiev și alții</w:t>
      </w:r>
      <w:r>
        <w:t>, citată anterior, pct. 348).</w:t>
      </w:r>
    </w:p>
    <w:bookmarkStart w:id="381" w:name="L_C_A_8_m_just_C_apl_pr_notif_2"/>
    <w:p w:rsidR="00304BC9" w:rsidRDefault="00736C78" w:rsidP="00304BC9">
      <w:pPr>
        <w:pStyle w:val="JuPara"/>
      </w:pPr>
      <w:r w:rsidRPr="005527BD">
        <w:fldChar w:fldCharType="begin"/>
      </w:r>
      <w:r w:rsidRPr="005527BD">
        <w:instrText xml:space="preserve"> SEQ level0 \*arabic \* MERGEFORMAT </w:instrText>
      </w:r>
      <w:r w:rsidRPr="005527BD">
        <w:fldChar w:fldCharType="separate"/>
      </w:r>
      <w:r w:rsidR="00F21D3F">
        <w:t>162</w:t>
      </w:r>
      <w:r w:rsidRPr="005527BD">
        <w:fldChar w:fldCharType="end"/>
      </w:r>
      <w:bookmarkEnd w:id="381"/>
      <w:r>
        <w:t>. Regulamentul în cauză, astfel cum a fost modificat în septembrie 2018, nu prevede notificarea niciunei persoane – în niciun caz și în niciun moment – cu privire la folosirea unui „agent cu identitate atribuită”. Nici Biroul Național pentru Controlul Mijloacelor Speciale de Supraveghere (a se vedea supra, pct. </w:t>
      </w:r>
      <w:r>
        <w:fldChar w:fldCharType="begin"/>
      </w:r>
      <w:r>
        <w:instrText xml:space="preserve"> REF  L_C_A_8_m_int_C_victim_rem_2 \h  \* MERGEFORMAT </w:instrText>
      </w:r>
      <w:r>
        <w:fldChar w:fldCharType="separate"/>
      </w:r>
      <w:r w:rsidR="00F21D3F">
        <w:t>124</w:t>
      </w:r>
      <w:r>
        <w:fldChar w:fldCharType="end"/>
      </w:r>
      <w:r>
        <w:t>) nu poate efectua o astfel de notificare. Aparent, nici alte dispoziții din legislația bulgară nu prevăd o astfel de notificare. De asemenea, se pare că dispozițiile care reglementează accesul la datele cu caracter personal prelucrate de Agenție (a se vedea supra, pct. </w:t>
      </w:r>
      <w:r w:rsidRPr="00B032BF">
        <w:fldChar w:fldCharType="begin"/>
      </w:r>
      <w:r w:rsidRPr="00B032BF">
        <w:instrText xml:space="preserve"> REF  L_C_A_8_m_int_C_victim_rem_3 \h  \* MERGEFORMAT </w:instrText>
      </w:r>
      <w:r w:rsidRPr="00B032BF">
        <w:fldChar w:fldCharType="separate"/>
      </w:r>
      <w:r w:rsidR="00F21D3F">
        <w:t>125</w:t>
      </w:r>
      <w:r w:rsidRPr="00B032BF">
        <w:fldChar w:fldCharType="end"/>
      </w:r>
      <w:r>
        <w:t>-</w:t>
      </w:r>
      <w:r w:rsidRPr="00B032BF">
        <w:fldChar w:fldCharType="begin"/>
      </w:r>
      <w:r w:rsidRPr="00B032BF">
        <w:instrText xml:space="preserve"> REF  L_C_A_8_m_int_C_victim_rem_5 \h  \* MERGEFORMAT </w:instrText>
      </w:r>
      <w:r w:rsidRPr="00B032BF">
        <w:fldChar w:fldCharType="separate"/>
      </w:r>
      <w:r w:rsidR="00F21D3F">
        <w:t>127</w:t>
      </w:r>
      <w:r w:rsidRPr="00B032BF">
        <w:fldChar w:fldCharType="end"/>
      </w:r>
      <w:r>
        <w:t>) sau legislația generală privind protecția datelor (a se vedea supra, pct. </w:t>
      </w:r>
      <w:r w:rsidRPr="00B032BF">
        <w:fldChar w:fldCharType="begin"/>
      </w:r>
      <w:r w:rsidRPr="00B032BF">
        <w:instrText xml:space="preserve"> REF  L_C_A_8_m_int_C_victim_rem_6 \h  \* MERGEFORMAT </w:instrText>
      </w:r>
      <w:r w:rsidRPr="00B032BF">
        <w:fldChar w:fldCharType="separate"/>
      </w:r>
      <w:r w:rsidR="00F21D3F">
        <w:t>128</w:t>
      </w:r>
      <w:r w:rsidRPr="00B032BF">
        <w:fldChar w:fldCharType="end"/>
      </w:r>
      <w:r>
        <w:t>) nu prevăd posibilitatea ca persoanele care ar putea fi afectate de recurgerea la astfel de agenți să obțină informații cu privire la utilizarea acestor agenți. Această inexistență a notificării sau informării, deși nu este în mod necesar problematică în sine (întrucât divulgarea faptului că în cadrul unei anumite organizații s-a recurs la un „agent cu identitate atribuită” ar furniza în multe cazuri, în mod inevitabil, indicii cu privire la identitatea agentului respectiv sau chiar ar echivala, în fapt, cu dezvăluirea identității sale), afectează, la rândul său, posibilitățile acestor persoane de a introduce o cale de atac (a se vedea supra, pct. </w:t>
      </w:r>
      <w:r>
        <w:fldChar w:fldCharType="begin"/>
      </w:r>
      <w:r>
        <w:instrText xml:space="preserve"> REF  L_C_A_8_m_int_C_victim_rem_11 \h  \* MERGEFORMAT </w:instrText>
      </w:r>
      <w:r>
        <w:fldChar w:fldCharType="separate"/>
      </w:r>
      <w:r w:rsidR="00F21D3F">
        <w:t>133</w:t>
      </w:r>
      <w:r>
        <w:fldChar w:fldCharType="end"/>
      </w:r>
      <w:r>
        <w:t>-</w:t>
      </w:r>
      <w:r>
        <w:fldChar w:fldCharType="begin"/>
      </w:r>
      <w:r>
        <w:instrText xml:space="preserve"> REF  L_C_A_8_m_int_C_victim_rem_12 \h  \* MERGEFORMAT </w:instrText>
      </w:r>
      <w:r>
        <w:fldChar w:fldCharType="separate"/>
      </w:r>
      <w:r w:rsidR="00F21D3F">
        <w:t>134</w:t>
      </w:r>
      <w:r>
        <w:fldChar w:fldCharType="end"/>
      </w:r>
      <w:r>
        <w:t>).</w:t>
      </w:r>
    </w:p>
    <w:p w:rsidR="00304BC9" w:rsidRDefault="00736C78" w:rsidP="00304BC9">
      <w:pPr>
        <w:pStyle w:val="JuHalpha"/>
      </w:pPr>
      <w:bookmarkStart w:id="382" w:name="_Toc238743316"/>
      <w:r>
        <w:t>Căi de atac</w:t>
      </w:r>
      <w:bookmarkEnd w:id="382"/>
    </w:p>
    <w:bookmarkStart w:id="383" w:name="L_C_A_8_m_just_C_apl_pr_remedies_1"/>
    <w:p w:rsidR="00304BC9" w:rsidRDefault="00736C78" w:rsidP="00304BC9">
      <w:pPr>
        <w:pStyle w:val="JuPara"/>
      </w:pPr>
      <w:r>
        <w:fldChar w:fldCharType="begin"/>
      </w:r>
      <w:r>
        <w:instrText xml:space="preserve"> SEQ level0 \*arabic \* MERGEFORMAT </w:instrText>
      </w:r>
      <w:r>
        <w:fldChar w:fldCharType="separate"/>
      </w:r>
      <w:r w:rsidR="00F21D3F">
        <w:t>163</w:t>
      </w:r>
      <w:r>
        <w:fldChar w:fldCharType="end"/>
      </w:r>
      <w:bookmarkEnd w:id="383"/>
      <w:r>
        <w:t xml:space="preserve">. Astfel cum s-a menționat la punctul </w:t>
      </w:r>
      <w:r>
        <w:fldChar w:fldCharType="begin"/>
      </w:r>
      <w:r>
        <w:instrText xml:space="preserve"> REF  L_C_A_8_m_int_C_victim_rem_2 \h  \* MERGEFORMAT </w:instrText>
      </w:r>
      <w:r>
        <w:fldChar w:fldCharType="separate"/>
      </w:r>
      <w:r w:rsidR="00F21D3F">
        <w:t>124</w:t>
      </w:r>
      <w:r>
        <w:fldChar w:fldCharType="end"/>
      </w:r>
      <w:r>
        <w:t xml:space="preserve"> de mai sus, calea de atac specială care a fost instituită în 2009 în ceea ce privește „mijloacele speciale de supraveghere” – o cerere de despăgubire pentru utilizarea ilegală a acestora (a se vedea </w:t>
      </w:r>
      <w:r>
        <w:rPr>
          <w:i/>
          <w:iCs/>
        </w:rPr>
        <w:t>Ekimdjiev și alții</w:t>
      </w:r>
      <w:r>
        <w:t>, citată anterior, pct. 136-144 și 265-272) – nu poate fi exercitată în cazul „agenților cu identitate atribuită”. Nici calea de atac în materie de protecție a datelor prevăzută la articolul 36 alineatele (4) și (9) din Legea din 2007 nu pare să fie efectivă în privința acestora. Același lucru este valabil și pentru posibilitățile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de a depune o plângere la Comisia pentru protecția datelor cu caracter personal,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de a recurge la celelalte căi de atac generale în materie de protecție a datelor, prevăzute de Legea din 2002, (</w:t>
      </w:r>
      <w:r w:rsidR="00C56213">
        <w:fldChar w:fldCharType="begin"/>
      </w:r>
      <w:r w:rsidR="00C56213">
        <w:instrText xml:space="preserve"> SEQ level1 \*alphabetic \* MERGEFORMAT </w:instrText>
      </w:r>
      <w:r w:rsidR="00C56213">
        <w:fldChar w:fldCharType="separate"/>
      </w:r>
      <w:r w:rsidR="00F21D3F">
        <w:rPr>
          <w:noProof/>
        </w:rPr>
        <w:t>c</w:t>
      </w:r>
      <w:r w:rsidR="00C56213">
        <w:rPr>
          <w:noProof/>
        </w:rPr>
        <w:fldChar w:fldCharType="end"/>
      </w:r>
      <w:r>
        <w:t>) de a solicita controlul jurisdicțional al deciziilor șefului Agenției și (</w:t>
      </w:r>
      <w:r w:rsidR="00C56213">
        <w:fldChar w:fldCharType="begin"/>
      </w:r>
      <w:r w:rsidR="00C56213">
        <w:instrText xml:space="preserve"> SEQ level1 \*alphabetic \* MERGEFORMAT </w:instrText>
      </w:r>
      <w:r w:rsidR="00C56213">
        <w:fldChar w:fldCharType="separate"/>
      </w:r>
      <w:r w:rsidR="00F21D3F">
        <w:rPr>
          <w:noProof/>
        </w:rPr>
        <w:t>d</w:t>
      </w:r>
      <w:r w:rsidR="00C56213">
        <w:rPr>
          <w:noProof/>
        </w:rPr>
        <w:fldChar w:fldCharType="end"/>
      </w:r>
      <w:r>
        <w:t xml:space="preserve">) de a angaja răspunderea personală a „agenților cu identitate atribuită” </w:t>
      </w:r>
      <w:r>
        <w:lastRenderedPageBreak/>
        <w:t>(pentru actele săvârșite în cursul activității lor) (a se vedea supra, pct. </w:t>
      </w:r>
      <w:r>
        <w:fldChar w:fldCharType="begin"/>
      </w:r>
      <w:r>
        <w:instrText xml:space="preserve"> REF  L_C_A_8_m_int_C_victim_rem_3 \h  \* MERGEFORMAT </w:instrText>
      </w:r>
      <w:r>
        <w:fldChar w:fldCharType="separate"/>
      </w:r>
      <w:r w:rsidR="00F21D3F">
        <w:t>125</w:t>
      </w:r>
      <w:r>
        <w:fldChar w:fldCharType="end"/>
      </w:r>
      <w:r>
        <w:t>-</w:t>
      </w:r>
      <w:r>
        <w:fldChar w:fldCharType="begin"/>
      </w:r>
      <w:r>
        <w:instrText xml:space="preserve"> REF  L_C_A_8_m_int_C_victim_rem_12 \h  \* MERGEFORMAT </w:instrText>
      </w:r>
      <w:r>
        <w:fldChar w:fldCharType="separate"/>
      </w:r>
      <w:r w:rsidR="00F21D3F">
        <w:t>134</w:t>
      </w:r>
      <w:r>
        <w:fldChar w:fldCharType="end"/>
      </w:r>
      <w:r>
        <w:t>).</w:t>
      </w:r>
    </w:p>
    <w:bookmarkStart w:id="384" w:name="L_C_A_8_m_just_C_apl_pr_remedies_2"/>
    <w:p w:rsidR="00304BC9" w:rsidRPr="00887691" w:rsidRDefault="00736C78" w:rsidP="00304BC9">
      <w:pPr>
        <w:pStyle w:val="JuPara"/>
      </w:pPr>
      <w:r>
        <w:rPr>
          <w:rFonts w:ascii="TimesNewRomanPSMT" w:hAnsi="TimesNewRomanPSMT" w:cs="TimesNewRomanPSMT"/>
        </w:rPr>
        <w:fldChar w:fldCharType="begin"/>
      </w:r>
      <w:r>
        <w:rPr>
          <w:rFonts w:ascii="TimesNewRomanPSMT" w:hAnsi="TimesNewRomanPSMT" w:cs="TimesNewRomanPSMT"/>
        </w:rPr>
        <w:instrText xml:space="preserve"> SEQ level0 \*arabic \* MERGEFORMAT </w:instrText>
      </w:r>
      <w:r>
        <w:rPr>
          <w:rFonts w:ascii="TimesNewRomanPSMT" w:hAnsi="TimesNewRomanPSMT" w:cs="TimesNewRomanPSMT"/>
        </w:rPr>
        <w:fldChar w:fldCharType="separate"/>
      </w:r>
      <w:r w:rsidR="00F21D3F">
        <w:rPr>
          <w:rFonts w:ascii="TimesNewRomanPSMT" w:hAnsi="TimesNewRomanPSMT" w:cs="TimesNewRomanPSMT"/>
        </w:rPr>
        <w:t>164</w:t>
      </w:r>
      <w:r>
        <w:rPr>
          <w:rFonts w:ascii="TimesNewRomanPSMT" w:hAnsi="TimesNewRomanPSMT" w:cs="TimesNewRomanPSMT"/>
        </w:rPr>
        <w:fldChar w:fldCharType="end"/>
      </w:r>
      <w:bookmarkEnd w:id="384"/>
      <w:r>
        <w:rPr>
          <w:rFonts w:ascii="TimesNewRomanPSMT" w:hAnsi="TimesNewRomanPSMT"/>
        </w:rPr>
        <w:t>. Rezultă că dreptul bulgar nu prevede o cale de atac efectivă în ceea ce privește utilizarea de „agenți cu identitate atribuită”.</w:t>
      </w:r>
    </w:p>
    <w:p w:rsidR="00304BC9" w:rsidRDefault="00736C78" w:rsidP="00304BC9">
      <w:pPr>
        <w:pStyle w:val="JuHalpha"/>
      </w:pPr>
      <w:bookmarkStart w:id="385" w:name="_Toc238743317"/>
      <w:r>
        <w:t>Concluzie</w:t>
      </w:r>
      <w:bookmarkEnd w:id="385"/>
    </w:p>
    <w:bookmarkStart w:id="386" w:name="L_C_A_8_m_just_C_conclusion"/>
    <w:p w:rsidR="00304BC9" w:rsidRDefault="00736C78" w:rsidP="00304BC9">
      <w:pPr>
        <w:pStyle w:val="JuPara"/>
      </w:pPr>
      <w:r>
        <w:fldChar w:fldCharType="begin"/>
      </w:r>
      <w:r>
        <w:instrText xml:space="preserve"> SEQ level0 \*arabic \* MERGEFORMAT </w:instrText>
      </w:r>
      <w:r>
        <w:fldChar w:fldCharType="separate"/>
      </w:r>
      <w:r w:rsidR="00F21D3F">
        <w:t>165</w:t>
      </w:r>
      <w:r>
        <w:fldChar w:fldCharType="end"/>
      </w:r>
      <w:bookmarkEnd w:id="386"/>
      <w:r>
        <w:t>. Rezumând, regulamentul care reglementează utilizarea de „agenți cu identitate atribuită” nu asigură garanțiile minime împotriva arbitrariului și a abuzurilor în conformitate cu art. 8 din Convenție, în următoarele privințe:</w:t>
      </w:r>
    </w:p>
    <w:p w:rsidR="00304BC9" w:rsidRDefault="00736C78" w:rsidP="00304BC9">
      <w:pPr>
        <w:pStyle w:val="JuPara"/>
      </w:pPr>
      <w:r>
        <w:t>(</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motivele formulate într-o manieră generală, care justifică recurgerea la astfel de agenți, și amploarea domeniilor în care pot fi infiltrați aceștia, coroborate cu modul în care se decide recurgerea la aceștia, sunt de natură să conducă la acte arbitrare și abuzuri (a se vedea supra, pct. </w:t>
      </w:r>
      <w:r>
        <w:fldChar w:fldCharType="begin"/>
      </w:r>
      <w:r>
        <w:instrText xml:space="preserve"> REF  L_C_A_8_m_just_C_apl_pr_grounds_etc_1 \h  \* MERGEFORMAT </w:instrText>
      </w:r>
      <w:r>
        <w:fldChar w:fldCharType="separate"/>
      </w:r>
      <w:r w:rsidR="00F21D3F">
        <w:t>146</w:t>
      </w:r>
      <w:r>
        <w:fldChar w:fldCharType="end"/>
      </w:r>
      <w:r>
        <w:t>-</w:t>
      </w:r>
      <w:r>
        <w:fldChar w:fldCharType="begin"/>
      </w:r>
      <w:r>
        <w:instrText xml:space="preserve"> REF  L_C_A_8_m_just_C_apl_pr_grounds_etc_3 \h  \* MERGEFORMAT </w:instrText>
      </w:r>
      <w:r>
        <w:fldChar w:fldCharType="separate"/>
      </w:r>
      <w:r w:rsidR="00F21D3F">
        <w:t>148</w:t>
      </w:r>
      <w:r>
        <w:fldChar w:fldCharType="end"/>
      </w:r>
      <w:r>
        <w:t>);</w:t>
      </w:r>
    </w:p>
    <w:p w:rsidR="00304BC9" w:rsidRDefault="00736C78" w:rsidP="00304BC9">
      <w:pPr>
        <w:pStyle w:val="JuPara"/>
      </w:pPr>
      <w:r>
        <w:t>(</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folosirea unor astfel de agenți nu este supusă niciunui termen (a se vedea supra, pct. </w:t>
      </w:r>
      <w:r>
        <w:fldChar w:fldCharType="begin"/>
      </w:r>
      <w:r>
        <w:instrText xml:space="preserve"> REF  L_C_A_8_m_just_C_apl_pr_duration \h  \* MERGEFORMAT </w:instrText>
      </w:r>
      <w:r>
        <w:fldChar w:fldCharType="separate"/>
      </w:r>
      <w:r w:rsidR="00F21D3F">
        <w:t>149</w:t>
      </w:r>
      <w:r>
        <w:fldChar w:fldCharType="end"/>
      </w:r>
      <w:r>
        <w:t>);</w:t>
      </w:r>
    </w:p>
    <w:p w:rsidR="00304BC9" w:rsidRDefault="00736C78" w:rsidP="00304BC9">
      <w:pPr>
        <w:pStyle w:val="JuPara"/>
      </w:pPr>
      <w:r>
        <w:t>(</w:t>
      </w:r>
      <w:r w:rsidR="00C56213">
        <w:fldChar w:fldCharType="begin"/>
      </w:r>
      <w:r w:rsidR="00C56213">
        <w:instrText xml:space="preserve"> SEQ level1 \*alphabetic \* MERGEFORMAT </w:instrText>
      </w:r>
      <w:r w:rsidR="00C56213">
        <w:fldChar w:fldCharType="separate"/>
      </w:r>
      <w:r w:rsidR="00F21D3F">
        <w:rPr>
          <w:noProof/>
        </w:rPr>
        <w:t>c</w:t>
      </w:r>
      <w:r w:rsidR="00C56213">
        <w:rPr>
          <w:noProof/>
        </w:rPr>
        <w:fldChar w:fldCharType="end"/>
      </w:r>
      <w:r>
        <w:t>) procedura de desfășurare a misiunii unor astfel de agenți nu pare să fie de natură să garanteze că vor fi utilizați doar atunci când acest lucru este „necesar într-o societate democratică” (a se vedea supra, pct. </w:t>
      </w:r>
      <w:r>
        <w:fldChar w:fldCharType="begin"/>
      </w:r>
      <w:r>
        <w:instrText xml:space="preserve"> REF  L_C_A_8_m_just_C_apl_pr_auth_pr_2 \h  \* MERGEFORMAT </w:instrText>
      </w:r>
      <w:r>
        <w:fldChar w:fldCharType="separate"/>
      </w:r>
      <w:r w:rsidR="00F21D3F">
        <w:t>151</w:t>
      </w:r>
      <w:r>
        <w:fldChar w:fldCharType="end"/>
      </w:r>
      <w:r>
        <w:t>-</w:t>
      </w:r>
      <w:r>
        <w:fldChar w:fldCharType="begin"/>
      </w:r>
      <w:r>
        <w:instrText xml:space="preserve"> REF  L_C_A_8_m_just_C_apl_pr_auth_pr_4 \h  \* MERGEFORMAT </w:instrText>
      </w:r>
      <w:r>
        <w:fldChar w:fldCharType="separate"/>
      </w:r>
      <w:r w:rsidR="00F21D3F">
        <w:t>153</w:t>
      </w:r>
      <w:r>
        <w:fldChar w:fldCharType="end"/>
      </w:r>
      <w:r>
        <w:t>)</w:t>
      </w:r>
    </w:p>
    <w:p w:rsidR="00304BC9" w:rsidRDefault="00736C78" w:rsidP="00304BC9">
      <w:pPr>
        <w:pStyle w:val="JuPara"/>
      </w:pPr>
      <w:r>
        <w:t>(</w:t>
      </w:r>
      <w:r w:rsidR="00C56213">
        <w:fldChar w:fldCharType="begin"/>
      </w:r>
      <w:r w:rsidR="00C56213">
        <w:instrText xml:space="preserve"> SEQ level1 \*alphabetic \* MERGEFORMAT </w:instrText>
      </w:r>
      <w:r w:rsidR="00C56213">
        <w:fldChar w:fldCharType="separate"/>
      </w:r>
      <w:r w:rsidR="00F21D3F">
        <w:rPr>
          <w:noProof/>
        </w:rPr>
        <w:t>d</w:t>
      </w:r>
      <w:r w:rsidR="00C56213">
        <w:rPr>
          <w:noProof/>
        </w:rPr>
        <w:fldChar w:fldCharType="end"/>
      </w:r>
      <w:r>
        <w:t>) nu există mecanisme de supraveghere efectivă a utilizării unor astfel de agenți, ceea ce poate conduce la acte arbitrare și abuzuri, precum și la corupție sau la abuzuri de putere chiar din partea „agenților cu identitate atribuită” (a se vedea supra, pct. </w:t>
      </w:r>
      <w:r>
        <w:fldChar w:fldCharType="begin"/>
      </w:r>
      <w:r>
        <w:instrText xml:space="preserve"> REF  L_C_A_8_m_just_C_apl_pr_oversight_2 \h  \* MERGEFORMAT </w:instrText>
      </w:r>
      <w:r>
        <w:fldChar w:fldCharType="separate"/>
      </w:r>
      <w:r w:rsidR="00F21D3F">
        <w:t>156</w:t>
      </w:r>
      <w:r>
        <w:fldChar w:fldCharType="end"/>
      </w:r>
      <w:r>
        <w:t>-</w:t>
      </w:r>
      <w:r>
        <w:fldChar w:fldCharType="begin"/>
      </w:r>
      <w:r>
        <w:instrText xml:space="preserve"> REF  L_C_A_8_m_just_C_apl_pr_oversight_6 \h  \* MERGEFORMAT </w:instrText>
      </w:r>
      <w:r>
        <w:fldChar w:fldCharType="separate"/>
      </w:r>
      <w:r w:rsidR="00F21D3F">
        <w:t>160</w:t>
      </w:r>
      <w:r>
        <w:fldChar w:fldCharType="end"/>
      </w:r>
      <w:r>
        <w:t>);</w:t>
      </w:r>
    </w:p>
    <w:p w:rsidR="00304BC9" w:rsidRDefault="00736C78" w:rsidP="00304BC9">
      <w:pPr>
        <w:pStyle w:val="JuPara"/>
      </w:pPr>
      <w:r>
        <w:t>(</w:t>
      </w:r>
      <w:r w:rsidR="00C56213">
        <w:fldChar w:fldCharType="begin"/>
      </w:r>
      <w:r w:rsidR="00C56213">
        <w:instrText xml:space="preserve"> SEQ level1 \*alphabetic \* MERGEFORMAT </w:instrText>
      </w:r>
      <w:r w:rsidR="00C56213">
        <w:fldChar w:fldCharType="separate"/>
      </w:r>
      <w:r w:rsidR="00F21D3F">
        <w:rPr>
          <w:noProof/>
        </w:rPr>
        <w:t>e</w:t>
      </w:r>
      <w:r w:rsidR="00C56213">
        <w:rPr>
          <w:noProof/>
        </w:rPr>
        <w:fldChar w:fldCharType="end"/>
      </w:r>
      <w:r>
        <w:t>) nu există nicio cale de atac în ceea ce privește utilizarea ilegală sau nejustificată a unor astfel de agenți (a se vedea supra, pct. </w:t>
      </w:r>
      <w:r>
        <w:fldChar w:fldCharType="begin"/>
      </w:r>
      <w:r>
        <w:instrText xml:space="preserve"> REF  L_C_A_8_m_just_C_apl_pr_remedies_1 \h  \* MERGEFORMAT </w:instrText>
      </w:r>
      <w:r>
        <w:fldChar w:fldCharType="separate"/>
      </w:r>
      <w:r w:rsidR="00F21D3F">
        <w:t>163</w:t>
      </w:r>
      <w:r>
        <w:fldChar w:fldCharType="end"/>
      </w:r>
      <w:r>
        <w:t>-</w:t>
      </w:r>
      <w:r>
        <w:fldChar w:fldCharType="begin"/>
      </w:r>
      <w:r>
        <w:instrText xml:space="preserve"> REF  L_C_A_8_m_just_C_apl_pr_remedies_2 \h  \* MERGEFORMAT </w:instrText>
      </w:r>
      <w:r>
        <w:fldChar w:fldCharType="separate"/>
      </w:r>
      <w:r w:rsidR="00F21D3F">
        <w:rPr>
          <w:rFonts w:ascii="TimesNewRomanPSMT" w:hAnsi="TimesNewRomanPSMT" w:cs="TimesNewRomanPSMT"/>
        </w:rPr>
        <w:t>164</w:t>
      </w:r>
      <w:r>
        <w:fldChar w:fldCharType="end"/>
      </w:r>
      <w:r>
        <w:t>).</w:t>
      </w:r>
    </w:p>
    <w:p w:rsidR="00304BC9" w:rsidRDefault="00300D22" w:rsidP="00304BC9">
      <w:pPr>
        <w:pStyle w:val="JuPara"/>
      </w:pPr>
      <w:fldSimple w:instr=" SEQ level0 \*arabic \* MERGEFORMAT ">
        <w:r w:rsidR="00F21D3F">
          <w:t>166</w:t>
        </w:r>
      </w:fldSimple>
      <w:r w:rsidR="00360FB4">
        <w:t>. Este adevărat că nu există nicio dovadă că aceste deficiențe ale regimului juridic au avut un impact real asupra utilizării „agenților cu identitate atribuită” în Bulgaria. Dar, având în vedere că utilizarea acestor agenți este secretă prin definiție și că nu sunt disponibile informații în domeniul public cu privire la aceasta, nu se poate acorda o importanță decisivă acestei lipse de dovezi privind existența unor acte arbitrare sau abuzuri. În plus, regulamentul a fost modificat relativ recent (în septembrie 2018) pentru a face posibilă infiltrarea de „agenți cu identitate atribuită” în organizațiile private și în „profesiile liberale”.</w:t>
      </w:r>
    </w:p>
    <w:p w:rsidR="00304BC9" w:rsidRDefault="00300D22" w:rsidP="00304BC9">
      <w:pPr>
        <w:pStyle w:val="JuPara"/>
      </w:pPr>
      <w:fldSimple w:instr=" SEQ level0 \*arabic \* MERGEFORMAT ">
        <w:r w:rsidR="00F21D3F">
          <w:t>167</w:t>
        </w:r>
      </w:fldSimple>
      <w:r w:rsidR="00360FB4">
        <w:t>. Rezultă că dispozițiile dreptului bulgar privind „agenții cu identitate atribuită” nu îndeplinesc cerința privind calitatea legii și nu sunt în măsură să mențină ingerința în exercitarea drepturilor garantate de art. 8 din Convenție, pe care o implică recurgerea la astfel de agenți, în limitele a ceea ce este „necesar într-o societate democratică”.</w:t>
      </w:r>
    </w:p>
    <w:p w:rsidR="00304BC9" w:rsidRDefault="00300D22" w:rsidP="00304BC9">
      <w:pPr>
        <w:pStyle w:val="JuPara"/>
      </w:pPr>
      <w:fldSimple w:instr=" SEQ level0 \*arabic \* MERGEFORMAT ">
        <w:r w:rsidR="00F21D3F">
          <w:t>168</w:t>
        </w:r>
      </w:fldSimple>
      <w:r w:rsidR="00360FB4">
        <w:t>. Prin urmare, a fost încălcat art. 8 din Convenție.</w:t>
      </w:r>
    </w:p>
    <w:p w:rsidR="00304BC9" w:rsidRPr="007C6978" w:rsidRDefault="00736C78" w:rsidP="00304BC9">
      <w:pPr>
        <w:pStyle w:val="JuHIRoman"/>
        <w:tabs>
          <w:tab w:val="left" w:pos="567"/>
          <w:tab w:val="left" w:pos="680"/>
        </w:tabs>
        <w:ind w:left="397" w:hanging="397"/>
      </w:pPr>
      <w:bookmarkStart w:id="387" w:name="_Toc175215011"/>
      <w:bookmarkStart w:id="388" w:name="_Toc238743318"/>
      <w:r>
        <w:lastRenderedPageBreak/>
        <w:t>CU PRIVIRE LA APLICAREA ART. 41 DIN CONVENȚIE</w:t>
      </w:r>
      <w:bookmarkEnd w:id="387"/>
      <w:bookmarkEnd w:id="388"/>
    </w:p>
    <w:p w:rsidR="00304BC9" w:rsidRPr="007C6978" w:rsidRDefault="00300D22" w:rsidP="00304BC9">
      <w:pPr>
        <w:pStyle w:val="JuPara"/>
        <w:keepNext/>
      </w:pPr>
      <w:fldSimple w:instr=" SEQ level0 \*arabic \* MERGEFORMAT ">
        <w:r w:rsidR="00F21D3F">
          <w:t>169</w:t>
        </w:r>
      </w:fldSimple>
      <w:r w:rsidR="00360FB4">
        <w:t>. Art. 41 din Convenție prevede:</w:t>
      </w:r>
    </w:p>
    <w:p w:rsidR="00304BC9" w:rsidRPr="007C6978" w:rsidRDefault="00736C78" w:rsidP="00304BC9">
      <w:pPr>
        <w:pStyle w:val="JuQuot"/>
        <w:keepLines/>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304BC9" w:rsidRDefault="00736C78" w:rsidP="00304BC9">
      <w:pPr>
        <w:pStyle w:val="JuHA"/>
        <w:numPr>
          <w:ilvl w:val="2"/>
          <w:numId w:val="21"/>
        </w:numPr>
        <w:ind w:left="510" w:hanging="340"/>
      </w:pPr>
      <w:bookmarkStart w:id="389" w:name="_Toc175215012"/>
      <w:bookmarkStart w:id="390" w:name="_Toc238743319"/>
      <w:r>
        <w:t>Prejudiciu</w:t>
      </w:r>
      <w:bookmarkEnd w:id="389"/>
      <w:bookmarkEnd w:id="390"/>
    </w:p>
    <w:p w:rsidR="00304BC9" w:rsidRPr="002E7271" w:rsidRDefault="00736C78" w:rsidP="00304BC9">
      <w:pPr>
        <w:pStyle w:val="JuH1"/>
      </w:pPr>
      <w:bookmarkStart w:id="391" w:name="_Toc238743320"/>
      <w:r>
        <w:t>Cu privire la cererea asociației și la observațiile Guvernului cu privire la aceasta</w:t>
      </w:r>
      <w:bookmarkEnd w:id="391"/>
    </w:p>
    <w:p w:rsidR="00304BC9" w:rsidRPr="0040384C" w:rsidRDefault="00300D22" w:rsidP="00304BC9">
      <w:pPr>
        <w:pStyle w:val="JuPara"/>
      </w:pPr>
      <w:fldSimple w:instr=" SEQ level0 \*arabic \* MERGEFORMAT ">
        <w:r w:rsidR="00F21D3F">
          <w:t>170</w:t>
        </w:r>
      </w:fldSimple>
      <w:r w:rsidR="00360FB4">
        <w:t>. Asociația reclamantă a solicitat 4 000 de euro (EUR) cu titlu de despăgubire pentru prejudiciul moral pe care l-ar fi suferit ca urmare a regulamentului contestat.</w:t>
      </w:r>
    </w:p>
    <w:p w:rsidR="00304BC9" w:rsidRDefault="00300D22" w:rsidP="00304BC9">
      <w:pPr>
        <w:pStyle w:val="JuPara"/>
      </w:pPr>
      <w:fldSimple w:instr=" SEQ level0 \*arabic \* MERGEFORMAT ">
        <w:r w:rsidR="00F21D3F">
          <w:t>171</w:t>
        </w:r>
      </w:fldSimple>
      <w:r w:rsidR="00360FB4">
        <w:t>. Guvernul a contestat integral această pretenție, menționând că, în cauze anterioare similare, nu s-a acordat nicio despăgubire pentru prejudiciul moral. În subsidiar, acesta a susținut că suma solicitată era exorbitantă întrucât nu exista nicio dovadă că regulamentul în cauză a condus la o ingerință efectivă în exercitarea de către asociație a drepturilor în temeiul art. 8 din Convenție.</w:t>
      </w:r>
    </w:p>
    <w:p w:rsidR="00304BC9" w:rsidRDefault="00736C78" w:rsidP="00304BC9">
      <w:pPr>
        <w:pStyle w:val="JuH1"/>
      </w:pPr>
      <w:bookmarkStart w:id="392" w:name="_Toc238743321"/>
      <w:r>
        <w:t>Motivarea Curții</w:t>
      </w:r>
      <w:bookmarkEnd w:id="392"/>
    </w:p>
    <w:bookmarkStart w:id="393" w:name="L_A41_damage_C"/>
    <w:p w:rsidR="00304BC9" w:rsidRDefault="00736C78" w:rsidP="00304BC9">
      <w:pPr>
        <w:pStyle w:val="JuPara"/>
      </w:pPr>
      <w:r>
        <w:fldChar w:fldCharType="begin"/>
      </w:r>
      <w:r>
        <w:instrText xml:space="preserve"> SEQ level0 \*arabic \* MERGEFORMAT </w:instrText>
      </w:r>
      <w:r>
        <w:fldChar w:fldCharType="separate"/>
      </w:r>
      <w:r w:rsidR="00F21D3F">
        <w:t>172</w:t>
      </w:r>
      <w:r>
        <w:fldChar w:fldCharType="end"/>
      </w:r>
      <w:bookmarkEnd w:id="393"/>
      <w:r>
        <w:t>. Astfel cum confirmă adjectivul „echitabilă” și expresia „dacă este cazul” folosite la art. 41 din Convenție, Curtea dispune de o marjă de apreciere în exercitarea competenței sale de a acorda o astfel de reparație părții lezate [a se vedea hotărârea recentă</w:t>
      </w:r>
      <w:r>
        <w:rPr>
          <w:i/>
        </w:rPr>
        <w:t xml:space="preserve"> </w:t>
      </w:r>
      <w:r>
        <w:t>în cauza</w:t>
      </w:r>
      <w:r>
        <w:rPr>
          <w:i/>
        </w:rPr>
        <w:t xml:space="preserve"> Molla Sali împotriva Greciei </w:t>
      </w:r>
      <w:r>
        <w:t>(reparație echitabilă) (MC), nr. 20452/14, pct. 32, 18 iunie 2020]. În unele cazuri, recunoașterea publică a prejudiciului suferit de partea respectivă, printr-o hotărâre cu caracter obligatoriu pentru statul pârât, poate constitui în sine o reparație suficientă. Acest lucru este valabil cu atât mai mult atunci când, precum în speță, (</w:t>
      </w:r>
      <w:r w:rsidR="00C56213">
        <w:fldChar w:fldCharType="begin"/>
      </w:r>
      <w:r w:rsidR="00C56213">
        <w:instrText xml:space="preserve"> SEQ level1 \*alphabetic \r1 \* MERGEFORMAT </w:instrText>
      </w:r>
      <w:r w:rsidR="00C56213">
        <w:fldChar w:fldCharType="separate"/>
      </w:r>
      <w:r w:rsidR="00F21D3F">
        <w:rPr>
          <w:noProof/>
        </w:rPr>
        <w:t>a</w:t>
      </w:r>
      <w:r w:rsidR="00C56213">
        <w:rPr>
          <w:noProof/>
        </w:rPr>
        <w:fldChar w:fldCharType="end"/>
      </w:r>
      <w:r>
        <w:t>) constatarea încălcării se bazează exclusiv pe concluzia potrivit căreia o lege, o procedură sau o practică nu a respectat normele prevăzute de Convenție [ibid., pct. 33, cu referire la</w:t>
      </w:r>
      <w:r>
        <w:rPr>
          <w:i/>
        </w:rPr>
        <w:t>Varnava și alții împotriva Turciei</w:t>
      </w:r>
      <w:r>
        <w:t xml:space="preserve"> (MC), nr. 16064/90 și alte 8, pct. 224, CEDO 2009], fără să se mai constate că deficiența în cauză l-a afectat pe reclamant în mod real, și (</w:t>
      </w:r>
      <w:r w:rsidR="00C56213">
        <w:fldChar w:fldCharType="begin"/>
      </w:r>
      <w:r w:rsidR="00C56213">
        <w:instrText xml:space="preserve"> SEQ level1 \*alphabetic \* MERGEFORMAT </w:instrText>
      </w:r>
      <w:r w:rsidR="00C56213">
        <w:fldChar w:fldCharType="separate"/>
      </w:r>
      <w:r w:rsidR="00F21D3F">
        <w:rPr>
          <w:noProof/>
        </w:rPr>
        <w:t>b</w:t>
      </w:r>
      <w:r w:rsidR="00C56213">
        <w:rPr>
          <w:noProof/>
        </w:rPr>
        <w:fldChar w:fldCharType="end"/>
      </w:r>
      <w:r>
        <w:t>) cea mai adecvată formă de reparație ar fi dispunerea unor măsuri generale [a se vedea punctul 4 din documentul „Instrucțiuni practice privind cererile de acordare a unei reparații echitabile” (</w:t>
      </w:r>
      <w:r>
        <w:rPr>
          <w:i/>
          <w:iCs/>
        </w:rPr>
        <w:t>Practice Direction on Just Satisfaction Claims</w:t>
      </w:r>
      <w:r>
        <w:t>), astfel cum a fost modificat în iunie 2022].</w:t>
      </w:r>
    </w:p>
    <w:bookmarkStart w:id="394" w:name="L_A41_damage_C_bis"/>
    <w:p w:rsidR="00304BC9" w:rsidRDefault="00736C78" w:rsidP="00304BC9">
      <w:pPr>
        <w:pStyle w:val="JuPara"/>
      </w:pPr>
      <w:r>
        <w:fldChar w:fldCharType="begin"/>
      </w:r>
      <w:r>
        <w:instrText xml:space="preserve"> SEQ level0 \*arabic \* MERGEFORMAT </w:instrText>
      </w:r>
      <w:r>
        <w:fldChar w:fldCharType="separate"/>
      </w:r>
      <w:r w:rsidR="00F21D3F">
        <w:t>173</w:t>
      </w:r>
      <w:r>
        <w:fldChar w:fldCharType="end"/>
      </w:r>
      <w:bookmarkEnd w:id="394"/>
      <w:r>
        <w:t xml:space="preserve">. În speță, nu a fost prezentată nicio probă care să demonstreze că existența regulamentului privind „agenții cu identitate atribuită”, astfel cum </w:t>
      </w:r>
      <w:r>
        <w:lastRenderedPageBreak/>
        <w:t xml:space="preserve">a fost modificat în septembrie 2018, a cauzat asociației reclamante un prejudiciu concret. Asociația nici măcar nu a specificat natura prejudiciului moral pe care pretinde că l-a suferit din cauza regulamentului respectiv. Chiar dacă se admite că, într‐adevăr, aceasta a suferit un anumit prejudiciu ca urmare a simplei existențe a acestui regulament, </w:t>
      </w:r>
      <w:bookmarkStart w:id="395" w:name="_Hlk171080886"/>
      <w:r>
        <w:t>prin constatarea unei încălcări a art. 8 din Convenție i se oferă o reparație echitabilă suficientă</w:t>
      </w:r>
      <w:bookmarkEnd w:id="395"/>
      <w:r>
        <w:t xml:space="preserve"> în această privință (a se vedea </w:t>
      </w:r>
      <w:r>
        <w:rPr>
          <w:i/>
        </w:rPr>
        <w:t>Ekimdjiev și alții,</w:t>
      </w:r>
      <w:r>
        <w:t xml:space="preserve"> citată anterior, pct. 426, cu trimiterile suplimentare). Prin urmare, nu este necesar să se acorde despăgubiri pecuniare pentru un astfel de prejudiciu.</w:t>
      </w:r>
    </w:p>
    <w:bookmarkStart w:id="396" w:name="L_A41_damage_C_ter"/>
    <w:p w:rsidR="00304BC9" w:rsidRPr="0040384C" w:rsidRDefault="00736C78" w:rsidP="00304BC9">
      <w:pPr>
        <w:pStyle w:val="JuPara"/>
      </w:pPr>
      <w:r>
        <w:fldChar w:fldCharType="begin"/>
      </w:r>
      <w:r>
        <w:instrText xml:space="preserve"> SEQ level0 \*arabic \* MERGEFORMAT </w:instrText>
      </w:r>
      <w:r>
        <w:fldChar w:fldCharType="separate"/>
      </w:r>
      <w:r w:rsidR="00F21D3F">
        <w:t>174</w:t>
      </w:r>
      <w:r>
        <w:fldChar w:fldCharType="end"/>
      </w:r>
      <w:bookmarkEnd w:id="396"/>
      <w:r>
        <w:t xml:space="preserve">. În același timp, trebuie subliniat faptul că, în temeiul art. 46 din Convenție, o hotărâre, prin care Curtea constată o încălcare a Convenției sau a protocoalelor la aceasta, impune statului pârât obligația de a alege sub supravegherea Comitetului de Miniștri măsurile generale și/sau, după caz, individuale care trebuie să fie adoptate în ordinea sa juridică internă pentru a pune capăt încălcării și pentru a remedia, pe cât posibil, toate consecințele acesteia, astfel încât să se restabilească, în măsura posibilului, situația care ar fi existat dacă nu ar fi avut loc încălcarea. În plus, din Convenție și, în special, din art. 1 al acesteia rezultă că, prin ratificarea Convenției, statele contractante s‐au angajat să asigure compatibilitatea dreptului lor intern cu dispozițiile acesteia (a se vedea </w:t>
      </w:r>
      <w:r>
        <w:rPr>
          <w:i/>
          <w:iCs/>
        </w:rPr>
        <w:t>Ekimdjiev</w:t>
      </w:r>
      <w:r>
        <w:t xml:space="preserve"> </w:t>
      </w:r>
      <w:r>
        <w:rPr>
          <w:i/>
          <w:iCs/>
        </w:rPr>
        <w:t>și alții</w:t>
      </w:r>
      <w:r>
        <w:t>, citată anterior, pct. 427).</w:t>
      </w:r>
    </w:p>
    <w:p w:rsidR="00304BC9" w:rsidRPr="0040384C" w:rsidRDefault="00736C78" w:rsidP="00304BC9">
      <w:pPr>
        <w:pStyle w:val="JuHA"/>
        <w:numPr>
          <w:ilvl w:val="2"/>
          <w:numId w:val="21"/>
        </w:numPr>
        <w:ind w:left="510" w:hanging="340"/>
      </w:pPr>
      <w:bookmarkStart w:id="397" w:name="_Toc175215013"/>
      <w:bookmarkStart w:id="398" w:name="_Toc238743322"/>
      <w:r>
        <w:t>Cheltuieli de judecată</w:t>
      </w:r>
      <w:bookmarkEnd w:id="397"/>
      <w:bookmarkEnd w:id="398"/>
    </w:p>
    <w:p w:rsidR="00304BC9" w:rsidRPr="0040384C" w:rsidRDefault="00300D22" w:rsidP="00304BC9">
      <w:pPr>
        <w:pStyle w:val="JuPara"/>
      </w:pPr>
      <w:fldSimple w:instr=" SEQ level0 \*arabic \* MERGEFORMAT ">
        <w:r w:rsidR="00F21D3F">
          <w:t>175</w:t>
        </w:r>
      </w:fldSimple>
      <w:r w:rsidR="00360FB4">
        <w:t>. Asociația reclamantă a solicitat rambursarea sumei de 3 500 EUR, despre care susține că a fost cheltuită în cursul procedurii de control jurisdicțional al regulamentului contestat, și a sumei de 3 000 EUR, despre care susține că a fost cheltuită pentru plata serviciilor avocatului care a reprezentat-o în fața Curții. Aceasta nu a prezentat niciun document justificativ care să susțină aceste pretenții.</w:t>
      </w:r>
    </w:p>
    <w:p w:rsidR="00304BC9" w:rsidRDefault="00300D22" w:rsidP="00304BC9">
      <w:pPr>
        <w:pStyle w:val="JuPara"/>
      </w:pPr>
      <w:fldSimple w:instr=" SEQ level0 \*arabic \* MERGEFORMAT ">
        <w:r w:rsidR="00F21D3F">
          <w:t>176</w:t>
        </w:r>
      </w:fldSimple>
      <w:r w:rsidR="00360FB4">
        <w:t>. Guvernul a subliniat că pretențiile nu erau nici detaliate, nici susținute de probe și a solicitat Curții să le respingă. În subsidiar, acesta a susținut că suma solicitată în privința procedurii desfășurate în fața Curții era exorbitantă, întrucât volumul observațiilor prezentate în numele asociației și al dosarului cauzei nu justifica un nivel atât de ridicat al cheltuielilor de judecată.</w:t>
      </w:r>
    </w:p>
    <w:bookmarkStart w:id="399" w:name="L_A41_costs_C"/>
    <w:p w:rsidR="00304BC9" w:rsidRPr="0040384C" w:rsidRDefault="00736C78" w:rsidP="00304BC9">
      <w:pPr>
        <w:pStyle w:val="JuPara"/>
      </w:pPr>
      <w:r>
        <w:fldChar w:fldCharType="begin"/>
      </w:r>
      <w:r>
        <w:instrText xml:space="preserve"> SEQ level0 \*arabic \* MERGEFORMAT </w:instrText>
      </w:r>
      <w:r>
        <w:fldChar w:fldCharType="separate"/>
      </w:r>
      <w:r w:rsidR="00F21D3F">
        <w:t>177</w:t>
      </w:r>
      <w:r>
        <w:fldChar w:fldCharType="end"/>
      </w:r>
      <w:bookmarkEnd w:id="399"/>
      <w:r>
        <w:t>. Potrivit jurisprudenței Curții, un reclamant are dreptul la rambursarea cheltuielilor de judecată numai în măsura în care se stabilește caracterul real, necesar și rezonabil al acestora. Întrucât asociația nu a prezentat niciun document în susținerea pretențiilor sale, nu există niciun temei pentru a considera că aceasta a suportat efectiv cheltuielile de judecată a căror rambursare o solicită [a se vedea, de asemenea, pct. 18 și 21 din documentul „Instrucțiuni practice privind cererile de acordare a unei reparații echitabile” (</w:t>
      </w:r>
      <w:r>
        <w:rPr>
          <w:i/>
          <w:iCs/>
        </w:rPr>
        <w:t>Practice Direction on Just Satisfaction Claims</w:t>
      </w:r>
      <w:r>
        <w:t xml:space="preserve">), astfel cum a fost modificat în iunie 2022]. În aceste condiții, și având în vedere, de asemenea, dispozițiile </w:t>
      </w:r>
      <w:r>
        <w:lastRenderedPageBreak/>
        <w:t>art. 60 § 2 și § 3 din Regulamentul Curții, Curtea nu acordă nicio sumă cu acest titlu.</w:t>
      </w:r>
    </w:p>
    <w:p w:rsidR="00304BC9" w:rsidRPr="0040384C" w:rsidRDefault="00736C78" w:rsidP="00304BC9">
      <w:pPr>
        <w:pStyle w:val="JuHHead"/>
        <w:numPr>
          <w:ilvl w:val="0"/>
          <w:numId w:val="21"/>
        </w:numPr>
      </w:pPr>
      <w:bookmarkStart w:id="400" w:name="_Toc238743323"/>
      <w:r>
        <w:t>PENTRU ACESTE MOTIVE, CURTEA, ÎN UNANIMITATE,</w:t>
      </w:r>
      <w:bookmarkEnd w:id="400"/>
    </w:p>
    <w:p w:rsidR="00304BC9" w:rsidRPr="009A53E0" w:rsidRDefault="00736C78" w:rsidP="00304BC9">
      <w:pPr>
        <w:pStyle w:val="JuList"/>
        <w:keepLines/>
      </w:pPr>
      <w:r>
        <w:rPr>
          <w:i/>
        </w:rPr>
        <w:t xml:space="preserve">unește </w:t>
      </w:r>
      <w:r>
        <w:t xml:space="preserve">cu fondul excepțiile ridicate de Guvern cu privire la faptul că asociația reclamantă nu a epuizat căile de atac interne disponibile și că aceasta nu poate pretinde că este victima unei ingerințe în exercitarea drepturilor sale garantate de art. 8 din Convenție, și le </w:t>
      </w:r>
      <w:r>
        <w:rPr>
          <w:i/>
        </w:rPr>
        <w:t>respinge;</w:t>
      </w:r>
    </w:p>
    <w:p w:rsidR="00304BC9" w:rsidRPr="0040384C" w:rsidRDefault="00736C78" w:rsidP="00304BC9">
      <w:pPr>
        <w:pStyle w:val="JuList"/>
        <w:keepLines/>
      </w:pPr>
      <w:r>
        <w:rPr>
          <w:i/>
        </w:rPr>
        <w:t>declară</w:t>
      </w:r>
      <w:r>
        <w:t xml:space="preserve"> cererea admisibilă;</w:t>
      </w:r>
    </w:p>
    <w:p w:rsidR="00304BC9" w:rsidRPr="007C6978" w:rsidRDefault="00736C78" w:rsidP="00304BC9">
      <w:pPr>
        <w:pStyle w:val="JuList"/>
        <w:keepLines/>
      </w:pPr>
      <w:r>
        <w:rPr>
          <w:i/>
          <w:iCs/>
        </w:rPr>
        <w:t>hotărăște</w:t>
      </w:r>
      <w:r>
        <w:t xml:space="preserve"> că a fost încălcat art. 8 din Convenție;</w:t>
      </w:r>
    </w:p>
    <w:p w:rsidR="00304BC9" w:rsidRPr="007C6978" w:rsidRDefault="00736C78" w:rsidP="00304BC9">
      <w:pPr>
        <w:pStyle w:val="JuList"/>
        <w:keepLines/>
      </w:pPr>
      <w:r>
        <w:rPr>
          <w:i/>
        </w:rPr>
        <w:t>hotărăște</w:t>
      </w:r>
      <w:r>
        <w:t xml:space="preserve"> că o constatare a încălcării art. 8 din Convenție constituie în sine o reparație echitabilă suficientă în ceea ce privește orice prejudiciu moral suferit de asociația reclamantă;</w:t>
      </w:r>
    </w:p>
    <w:p w:rsidR="004D0EC7" w:rsidRPr="00AC38DE" w:rsidRDefault="00736C78" w:rsidP="00304BC9">
      <w:pPr>
        <w:pStyle w:val="JuList"/>
      </w:pPr>
      <w:r>
        <w:rPr>
          <w:i/>
        </w:rPr>
        <w:t>respinge</w:t>
      </w:r>
      <w:r>
        <w:t xml:space="preserve"> cererea asociației reclamante de acordare a unei reparații echitabile pentru celelalte capete de cerere.</w:t>
      </w:r>
    </w:p>
    <w:p w:rsidR="008E3A08" w:rsidRPr="00AC38DE" w:rsidRDefault="00736C78" w:rsidP="007E2C8C">
      <w:pPr>
        <w:pStyle w:val="JuParaLast"/>
      </w:pPr>
      <w:r>
        <w:t>Redactată în limba engleză, apoi comunicată în scris, la 17 februarie 2026, în temeiul art. 77 § 2 și § 3 din Regulamentul Curții.</w:t>
      </w:r>
    </w:p>
    <w:p w:rsidR="007E79A4" w:rsidRPr="00314B21" w:rsidRDefault="00736C78" w:rsidP="007E79A4">
      <w:pPr>
        <w:pStyle w:val="JuSigned"/>
      </w:pPr>
      <w:r>
        <w:tab/>
      </w:r>
      <w:bookmarkStart w:id="401" w:name="_Hlk132712498"/>
      <w:r>
        <w:t>Milan Blaško</w:t>
      </w:r>
      <w:r>
        <w:tab/>
        <w:t>Ioannis Ktistakis</w:t>
      </w:r>
      <w:r>
        <w:br/>
      </w:r>
      <w:r>
        <w:tab/>
        <w:t>Grefier</w:t>
      </w:r>
      <w:r>
        <w:tab/>
        <w:t>Președinte</w:t>
      </w:r>
      <w:bookmarkEnd w:id="401"/>
    </w:p>
    <w:sectPr w:rsidR="007E79A4" w:rsidRPr="00314B21" w:rsidSect="00314B21">
      <w:headerReference w:type="even" r:id="rId18"/>
      <w:headerReference w:type="default" r:id="rId19"/>
      <w:footerReference w:type="even" r:id="rId20"/>
      <w:footerReference w:type="default" r:id="rId21"/>
      <w:footnotePr>
        <w:numRestart w:val="eachSect"/>
      </w:footnotePr>
      <w:type w:val="oddPage"/>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507" w:rsidRDefault="00A14507">
      <w:r>
        <w:separator/>
      </w:r>
    </w:p>
  </w:endnote>
  <w:endnote w:type="continuationSeparator" w:id="0">
    <w:p w:rsidR="00A14507" w:rsidRDefault="00A1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BC9" w:rsidRPr="00150BFA" w:rsidRDefault="00736C78" w:rsidP="0020718E">
    <w:pPr>
      <w:jc w:val="center"/>
    </w:pPr>
    <w:r>
      <w:rPr>
        <w:noProof/>
        <w:lang w:eastAsia="ro-RO"/>
      </w:rPr>
      <w:drawing>
        <wp:inline distT="0" distB="0" distL="0" distR="0">
          <wp:extent cx="771525" cy="619125"/>
          <wp:effectExtent l="0" t="0" r="9525" b="9525"/>
          <wp:docPr id="521886087" name="Picture 521886087"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886087"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8410D" w:rsidRPr="00E67565"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BC9" w:rsidRPr="00150BFA" w:rsidRDefault="00736C78" w:rsidP="0020718E">
    <w:pPr>
      <w:jc w:val="center"/>
    </w:pPr>
    <w:r>
      <w:rPr>
        <w:noProof/>
        <w:lang w:eastAsia="ro-RO"/>
      </w:rPr>
      <w:drawing>
        <wp:inline distT="0" distB="0" distL="0" distR="0">
          <wp:extent cx="771525" cy="619125"/>
          <wp:effectExtent l="0" t="0" r="9525" b="9525"/>
          <wp:docPr id="1003941962" name="Picture 100394196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41962"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E7A6F" w:rsidRPr="00E67565"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21" w:rsidRPr="00314B21" w:rsidRDefault="00736C78" w:rsidP="00314B21">
    <w:pPr>
      <w:pStyle w:val="JuHeader"/>
    </w:pPr>
    <w:r w:rsidRPr="00314B21">
      <w:fldChar w:fldCharType="begin"/>
    </w:r>
    <w:r w:rsidRPr="00314B21">
      <w:instrText xml:space="preserve"> PAGE  \* MERGEFORMAT </w:instrText>
    </w:r>
    <w:r w:rsidRPr="00314B21">
      <w:fldChar w:fldCharType="separate"/>
    </w:r>
    <w:r w:rsidR="00C56213">
      <w:rPr>
        <w:noProof/>
      </w:rPr>
      <w:t>ii</w:t>
    </w:r>
    <w:r w:rsidRPr="00314B21">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21" w:rsidRPr="00314B21" w:rsidRDefault="00736C78" w:rsidP="00314B21">
    <w:pPr>
      <w:pStyle w:val="JuHeader"/>
    </w:pPr>
    <w:r w:rsidRPr="00314B21">
      <w:fldChar w:fldCharType="begin"/>
    </w:r>
    <w:r w:rsidRPr="00314B21">
      <w:instrText xml:space="preserve"> PAGE  \* MERGEFORMAT </w:instrText>
    </w:r>
    <w:r w:rsidRPr="00314B21">
      <w:fldChar w:fldCharType="separate"/>
    </w:r>
    <w:r w:rsidR="00C56213">
      <w:rPr>
        <w:noProof/>
      </w:rPr>
      <w:t>iii</w:t>
    </w:r>
    <w:r w:rsidRPr="00314B21">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21" w:rsidRPr="00E67565" w:rsidRDefault="00736C78" w:rsidP="00314B21">
    <w:pPr>
      <w:pStyle w:val="JuHeader"/>
      <w:rPr>
        <w:sz w:val="4"/>
        <w:szCs w:val="4"/>
      </w:rPr>
    </w:pPr>
    <w:r w:rsidRPr="00314B21">
      <w:fldChar w:fldCharType="begin"/>
    </w:r>
    <w:r w:rsidRPr="00314B21">
      <w:instrText xml:space="preserve"> PAGE  \* MERGEFORMAT </w:instrText>
    </w:r>
    <w:r w:rsidRPr="00314B21">
      <w:fldChar w:fldCharType="separate"/>
    </w:r>
    <w:r w:rsidRPr="00314B21">
      <w:t>1</w:t>
    </w:r>
    <w:r w:rsidRPr="00314B21">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Default="00736C78" w:rsidP="009A115C">
    <w:pPr>
      <w:pStyle w:val="JuHeader"/>
    </w:pPr>
    <w:r>
      <w:fldChar w:fldCharType="begin"/>
    </w:r>
    <w:r>
      <w:instrText xml:space="preserve"> PAGE  \* MERGEFORMAT </w:instrText>
    </w:r>
    <w:r>
      <w:fldChar w:fldCharType="separate"/>
    </w:r>
    <w:r w:rsidR="00C56213">
      <w:rPr>
        <w:noProof/>
      </w:rPr>
      <w:t>14</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0B7195" w:rsidRDefault="00736C78" w:rsidP="007D3701">
    <w:pPr>
      <w:pStyle w:val="JuHeader"/>
    </w:pPr>
    <w:r>
      <w:fldChar w:fldCharType="begin"/>
    </w:r>
    <w:r>
      <w:instrText xml:space="preserve"> PAGE  \* MERGEFORMAT </w:instrText>
    </w:r>
    <w:r>
      <w:fldChar w:fldCharType="separate"/>
    </w:r>
    <w:r w:rsidR="00C56213">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507" w:rsidRPr="00E67565" w:rsidRDefault="00A14507" w:rsidP="0098410D">
      <w:r w:rsidRPr="00E67565">
        <w:separator/>
      </w:r>
    </w:p>
  </w:footnote>
  <w:footnote w:type="continuationSeparator" w:id="0">
    <w:p w:rsidR="00A14507" w:rsidRPr="00E67565" w:rsidRDefault="00A14507" w:rsidP="0098410D">
      <w:r w:rsidRPr="00E67565">
        <w:continuationSeparator/>
      </w:r>
    </w:p>
  </w:footnote>
  <w:footnote w:id="1">
    <w:p w:rsidR="00304BC9" w:rsidRPr="00AD7A73" w:rsidRDefault="00736C78" w:rsidP="00304BC9">
      <w:pPr>
        <w:pStyle w:val="FootnoteText"/>
      </w:pPr>
      <w:r>
        <w:rPr>
          <w:rStyle w:val="FootnoteReference"/>
        </w:rPr>
        <w:footnoteRef/>
      </w:r>
      <w:r>
        <w:t>În perioada 2013-2015, când Agenția a avut – pe lângă atribuția sa principală de protejare a securității naționale – și atribuția de a investiga infracțiunile legate de securitatea națională (a se vedea infra, pct. </w:t>
      </w:r>
      <w:r w:rsidRPr="00304BC9">
        <w:fldChar w:fldCharType="begin"/>
      </w:r>
      <w:r w:rsidRPr="00304BC9">
        <w:instrText xml:space="preserve"> REF  RLF_SANSA_SANS_tasks \h  \* MERGEFORMAT </w:instrText>
      </w:r>
      <w:r w:rsidRPr="00304BC9">
        <w:fldChar w:fldCharType="separate"/>
      </w:r>
      <w:r w:rsidR="00F21D3F">
        <w:t>42</w:t>
      </w:r>
      <w:r w:rsidRPr="00304BC9">
        <w:fldChar w:fldCharType="end"/>
      </w:r>
      <w:r>
        <w:t xml:space="preserve"> </w:t>
      </w:r>
      <w:r>
        <w:rPr>
          <w:i/>
        </w:rPr>
        <w:t>in fine</w:t>
      </w:r>
      <w:r>
        <w:t>), aceasta a avut, de asemenea, posibilitatea să recurgă la „agenți cu identitate atribuită”. Folosirea lor era reglementată de articolele 62a-62l, adăugate în decembrie 2013 și abrogate în iunie 2015.</w:t>
      </w:r>
    </w:p>
  </w:footnote>
  <w:footnote w:id="2">
    <w:p w:rsidR="00304BC9" w:rsidRDefault="00736C78" w:rsidP="00304BC9">
      <w:pPr>
        <w:pStyle w:val="FootnoteText"/>
      </w:pPr>
      <w:r>
        <w:rPr>
          <w:rStyle w:val="FootnoteReference"/>
        </w:rPr>
        <w:footnoteRef/>
      </w:r>
      <w:r>
        <w:t>  De asemenea, aceste tranzacții sunt prezentate uneori drept „achiziții simulate” sau „achiziții-test”.</w:t>
      </w:r>
    </w:p>
  </w:footnote>
  <w:footnote w:id="3">
    <w:p w:rsidR="00304BC9" w:rsidRDefault="00736C78" w:rsidP="00304BC9">
      <w:pPr>
        <w:pStyle w:val="FootnoteText"/>
      </w:pPr>
      <w:r>
        <w:rPr>
          <w:rStyle w:val="FootnoteReference"/>
        </w:rPr>
        <w:footnoteRef/>
      </w:r>
      <w:r>
        <w:t xml:space="preserve"> Articolul 4 alineatul (1) din RGPD definește „datele cu caracter personal” ca fiind „orice informații privind o persoană fizică identificată sau identificabilă („persoana vizată”);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identității sale fizice, fiziologice, genetice, psihice, economice, culturale sau sociale”.</w:t>
      </w:r>
    </w:p>
  </w:footnote>
  <w:footnote w:id="4">
    <w:p w:rsidR="00304BC9" w:rsidRDefault="00736C78" w:rsidP="00304BC9">
      <w:pPr>
        <w:pStyle w:val="FootnoteText"/>
      </w:pPr>
      <w:r>
        <w:rPr>
          <w:rStyle w:val="FootnoteReference"/>
        </w:rPr>
        <w:footnoteRef/>
      </w:r>
      <w:r>
        <w:t>  Prelucrarea datelor cu caracter personal în scopul asigurării respectării legii de către instanțe și de către organele de anchetă și de urmărire penală (care, în temeiul articolului 117 alineatul (2) din Constituția Bulgariei din 1991, fac parte, de asemenea, din sistemul judiciar) este supravegheată de Inspectoratul Consiliului Superior al Magistraturii [articolul 78 alineatul (2) din Legea din 2002].</w:t>
      </w:r>
    </w:p>
  </w:footnote>
  <w:footnote w:id="5">
    <w:p w:rsidR="00304BC9" w:rsidRDefault="00736C78" w:rsidP="00304BC9">
      <w:pPr>
        <w:pStyle w:val="FootnoteText"/>
      </w:pPr>
      <w:r>
        <w:rPr>
          <w:rStyle w:val="FootnoteReference"/>
        </w:rPr>
        <w:footnoteRef/>
      </w:r>
      <w:r>
        <w:t xml:space="preserve">  A se vedea supra, nota de subsol </w:t>
      </w:r>
      <w:r w:rsidRPr="00304BC9">
        <w:fldChar w:fldCharType="begin"/>
      </w:r>
      <w:r w:rsidRPr="00304BC9">
        <w:instrText xml:space="preserve"> NOTEREF  _Ref185407638 \h  \* MERGEFORMAT </w:instrText>
      </w:r>
      <w:r w:rsidRPr="00304BC9">
        <w:fldChar w:fldCharType="separate"/>
      </w:r>
      <w:r w:rsidR="00F21D3F">
        <w:t>3</w:t>
      </w:r>
      <w:r w:rsidRPr="00304BC9">
        <w:fldChar w:fldCharType="end"/>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BC9" w:rsidRPr="00A45145" w:rsidRDefault="00736C78" w:rsidP="00A45145">
    <w:pPr>
      <w:jc w:val="center"/>
    </w:pPr>
    <w:r>
      <w:rPr>
        <w:noProof/>
        <w:lang w:eastAsia="ro-RO"/>
      </w:rPr>
      <w:drawing>
        <wp:inline distT="0" distB="0" distL="0" distR="0">
          <wp:extent cx="2962275" cy="1219200"/>
          <wp:effectExtent l="0" t="0" r="9525" b="0"/>
          <wp:docPr id="790450178" name="Picture 790450178"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450178"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E67565"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6E7" w:rsidRPr="00C226D1" w:rsidRDefault="00D036E7" w:rsidP="00D036E7">
    <w:pPr>
      <w:jc w:val="right"/>
      <w:rPr>
        <w:i/>
        <w:noProof/>
      </w:rPr>
    </w:pPr>
    <w:r>
      <w:rPr>
        <w:i/>
      </w:rPr>
      <w:t>Tradus și revizuit de IER (https://ier.gov.ro/)</w:t>
    </w:r>
  </w:p>
  <w:p w:rsidR="00D036E7" w:rsidRDefault="00D036E7" w:rsidP="00314B21">
    <w:pPr>
      <w:jc w:val="center"/>
      <w:rPr>
        <w:noProof/>
        <w:lang w:eastAsia="ro-RO"/>
      </w:rPr>
    </w:pPr>
  </w:p>
  <w:p w:rsidR="0098410D" w:rsidRPr="00E67565" w:rsidRDefault="00736C78" w:rsidP="00314B21">
    <w:pPr>
      <w:jc w:val="center"/>
    </w:pPr>
    <w:r>
      <w:rPr>
        <w:noProof/>
        <w:lang w:eastAsia="ro-RO"/>
      </w:rPr>
      <w:drawing>
        <wp:inline distT="0" distB="0" distL="0" distR="0">
          <wp:extent cx="2962275" cy="1219200"/>
          <wp:effectExtent l="0" t="0" r="9525" b="0"/>
          <wp:docPr id="553265748" name="Picture 553265748"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65748"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21" w:rsidRPr="00314B21" w:rsidRDefault="00736C78" w:rsidP="00314B21">
    <w:pPr>
      <w:pStyle w:val="JuHeader"/>
    </w:pPr>
    <w:r>
      <w:t>HOTĂRÂREA GREEN ALLIANCE ÎMPOTRIVA BULGARIEI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21" w:rsidRPr="00A45145" w:rsidRDefault="00736C78" w:rsidP="00314B21">
    <w:pPr>
      <w:pStyle w:val="JuHeader"/>
    </w:pPr>
    <w:r>
      <w:t>HOTĂRÂREA GREEN ALLIANCE ÎMPOTRIVA BULGARIEI</w:t>
    </w:r>
  </w:p>
  <w:p w:rsidR="00314B21" w:rsidRPr="00E67565" w:rsidRDefault="00314B21" w:rsidP="00B14793">
    <w:pPr>
      <w:jc w:val="center"/>
      <w:rPr>
        <w:sz w:val="4"/>
        <w:szCs w:val="4"/>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21" w:rsidRPr="00E67565" w:rsidRDefault="00736C78" w:rsidP="00314B21">
    <w:pPr>
      <w:pStyle w:val="JuHeader"/>
    </w:pPr>
    <w:r>
      <w:t>HOTĂRÂREA GREEN ALLIANCE ÎMPOTRIVA BULGARIEI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4D0EC7" w:rsidRDefault="00736C78" w:rsidP="00E45801">
    <w:pPr>
      <w:pStyle w:val="JuHeader"/>
    </w:pPr>
    <w:r>
      <w:t>HOTĂRÂREA GREEN ALLIANCE ÎMPOTRIVA BULGARIEI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882CD5" w:rsidRDefault="00736C78" w:rsidP="007D3701">
    <w:pPr>
      <w:pStyle w:val="JuHeader"/>
    </w:pPr>
    <w:r>
      <w:t>HOTĂRÂREA GREEN ALLIANCE ÎMPOTRIVA BULGARIEI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14F7F31"/>
    <w:multiLevelType w:val="hybridMultilevel"/>
    <w:tmpl w:val="AD8AF510"/>
    <w:lvl w:ilvl="0" w:tplc="1F8802EA">
      <w:start w:val="1"/>
      <mc:AlternateContent>
        <mc:Choice Requires="w14">
          <w:numFmt w:val="custom" w:format="α, β, γ, ..."/>
        </mc:Choice>
        <mc:Fallback>
          <w:numFmt w:val="decimal"/>
        </mc:Fallback>
      </mc:AlternateContent>
      <w:lvlText w:val="(%1)"/>
      <w:lvlJc w:val="left"/>
      <w:pPr>
        <w:ind w:left="1571" w:hanging="360"/>
      </w:pPr>
      <w:rPr>
        <w:rFonts w:hint="default"/>
      </w:rPr>
    </w:lvl>
    <w:lvl w:ilvl="1" w:tplc="1A3A8548" w:tentative="1">
      <w:start w:val="1"/>
      <w:numFmt w:val="lowerLetter"/>
      <w:lvlText w:val="%2."/>
      <w:lvlJc w:val="left"/>
      <w:pPr>
        <w:ind w:left="2291" w:hanging="360"/>
      </w:pPr>
    </w:lvl>
    <w:lvl w:ilvl="2" w:tplc="A178FC14" w:tentative="1">
      <w:start w:val="1"/>
      <w:numFmt w:val="lowerRoman"/>
      <w:lvlText w:val="%3."/>
      <w:lvlJc w:val="right"/>
      <w:pPr>
        <w:ind w:left="3011" w:hanging="180"/>
      </w:pPr>
    </w:lvl>
    <w:lvl w:ilvl="3" w:tplc="3F3C70DE" w:tentative="1">
      <w:start w:val="1"/>
      <w:numFmt w:val="decimal"/>
      <w:lvlText w:val="%4."/>
      <w:lvlJc w:val="left"/>
      <w:pPr>
        <w:ind w:left="3731" w:hanging="360"/>
      </w:pPr>
    </w:lvl>
    <w:lvl w:ilvl="4" w:tplc="572486E4" w:tentative="1">
      <w:start w:val="1"/>
      <w:numFmt w:val="lowerLetter"/>
      <w:lvlText w:val="%5."/>
      <w:lvlJc w:val="left"/>
      <w:pPr>
        <w:ind w:left="4451" w:hanging="360"/>
      </w:pPr>
    </w:lvl>
    <w:lvl w:ilvl="5" w:tplc="73F280E6" w:tentative="1">
      <w:start w:val="1"/>
      <w:numFmt w:val="lowerRoman"/>
      <w:lvlText w:val="%6."/>
      <w:lvlJc w:val="right"/>
      <w:pPr>
        <w:ind w:left="5171" w:hanging="180"/>
      </w:pPr>
    </w:lvl>
    <w:lvl w:ilvl="6" w:tplc="9B7441B4">
      <w:start w:val="1"/>
      <w:numFmt w:val="decimal"/>
      <w:lvlText w:val="%7."/>
      <w:lvlJc w:val="left"/>
      <w:pPr>
        <w:ind w:left="5891" w:hanging="360"/>
      </w:pPr>
    </w:lvl>
    <w:lvl w:ilvl="7" w:tplc="F7CE49D0" w:tentative="1">
      <w:start w:val="1"/>
      <w:numFmt w:val="lowerLetter"/>
      <w:lvlText w:val="%8."/>
      <w:lvlJc w:val="left"/>
      <w:pPr>
        <w:ind w:left="6611" w:hanging="360"/>
      </w:pPr>
    </w:lvl>
    <w:lvl w:ilvl="8" w:tplc="2632B4AA" w:tentative="1">
      <w:start w:val="1"/>
      <w:numFmt w:val="lowerRoman"/>
      <w:lvlText w:val="%9."/>
      <w:lvlJc w:val="right"/>
      <w:pPr>
        <w:ind w:left="7331" w:hanging="180"/>
      </w:pPr>
    </w:lvl>
  </w:abstractNum>
  <w:abstractNum w:abstractNumId="14"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7"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8"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9" w15:restartNumberingAfterBreak="0">
    <w:nsid w:val="67FD1241"/>
    <w:multiLevelType w:val="hybridMultilevel"/>
    <w:tmpl w:val="F6D86CC2"/>
    <w:lvl w:ilvl="0" w:tplc="24F2B9EA">
      <w:start w:val="1"/>
      <w:numFmt w:val="bullet"/>
      <w:pStyle w:val="ListBullet"/>
      <w:lvlText w:val=""/>
      <w:lvlJc w:val="left"/>
      <w:pPr>
        <w:tabs>
          <w:tab w:val="num" w:pos="851"/>
        </w:tabs>
        <w:ind w:left="568" w:firstLine="0"/>
      </w:pPr>
      <w:rPr>
        <w:rFonts w:ascii="Wingdings" w:hAnsi="Wingdings" w:hint="default"/>
        <w:color w:val="808080"/>
        <w:sz w:val="16"/>
      </w:rPr>
    </w:lvl>
    <w:lvl w:ilvl="1" w:tplc="BE1002B0" w:tentative="1">
      <w:start w:val="1"/>
      <w:numFmt w:val="bullet"/>
      <w:lvlText w:val="o"/>
      <w:lvlJc w:val="left"/>
      <w:pPr>
        <w:tabs>
          <w:tab w:val="num" w:pos="1724"/>
        </w:tabs>
        <w:ind w:left="1724" w:hanging="360"/>
      </w:pPr>
      <w:rPr>
        <w:rFonts w:ascii="Courier New" w:hAnsi="Courier New" w:cs="Courier New" w:hint="default"/>
      </w:rPr>
    </w:lvl>
    <w:lvl w:ilvl="2" w:tplc="8662CC30" w:tentative="1">
      <w:start w:val="1"/>
      <w:numFmt w:val="bullet"/>
      <w:lvlText w:val=""/>
      <w:lvlJc w:val="left"/>
      <w:pPr>
        <w:tabs>
          <w:tab w:val="num" w:pos="2444"/>
        </w:tabs>
        <w:ind w:left="2444" w:hanging="360"/>
      </w:pPr>
      <w:rPr>
        <w:rFonts w:ascii="Wingdings" w:hAnsi="Wingdings" w:hint="default"/>
      </w:rPr>
    </w:lvl>
    <w:lvl w:ilvl="3" w:tplc="DF1CE9F6" w:tentative="1">
      <w:start w:val="1"/>
      <w:numFmt w:val="bullet"/>
      <w:lvlText w:val=""/>
      <w:lvlJc w:val="left"/>
      <w:pPr>
        <w:tabs>
          <w:tab w:val="num" w:pos="3164"/>
        </w:tabs>
        <w:ind w:left="3164" w:hanging="360"/>
      </w:pPr>
      <w:rPr>
        <w:rFonts w:ascii="Symbol" w:hAnsi="Symbol" w:hint="default"/>
      </w:rPr>
    </w:lvl>
    <w:lvl w:ilvl="4" w:tplc="4810FED6" w:tentative="1">
      <w:start w:val="1"/>
      <w:numFmt w:val="bullet"/>
      <w:lvlText w:val="o"/>
      <w:lvlJc w:val="left"/>
      <w:pPr>
        <w:tabs>
          <w:tab w:val="num" w:pos="3884"/>
        </w:tabs>
        <w:ind w:left="3884" w:hanging="360"/>
      </w:pPr>
      <w:rPr>
        <w:rFonts w:ascii="Courier New" w:hAnsi="Courier New" w:cs="Courier New" w:hint="default"/>
      </w:rPr>
    </w:lvl>
    <w:lvl w:ilvl="5" w:tplc="007004CC" w:tentative="1">
      <w:start w:val="1"/>
      <w:numFmt w:val="bullet"/>
      <w:lvlText w:val=""/>
      <w:lvlJc w:val="left"/>
      <w:pPr>
        <w:tabs>
          <w:tab w:val="num" w:pos="4604"/>
        </w:tabs>
        <w:ind w:left="4604" w:hanging="360"/>
      </w:pPr>
      <w:rPr>
        <w:rFonts w:ascii="Wingdings" w:hAnsi="Wingdings" w:hint="default"/>
      </w:rPr>
    </w:lvl>
    <w:lvl w:ilvl="6" w:tplc="72360CB2" w:tentative="1">
      <w:start w:val="1"/>
      <w:numFmt w:val="bullet"/>
      <w:lvlText w:val=""/>
      <w:lvlJc w:val="left"/>
      <w:pPr>
        <w:tabs>
          <w:tab w:val="num" w:pos="5324"/>
        </w:tabs>
        <w:ind w:left="5324" w:hanging="360"/>
      </w:pPr>
      <w:rPr>
        <w:rFonts w:ascii="Symbol" w:hAnsi="Symbol" w:hint="default"/>
      </w:rPr>
    </w:lvl>
    <w:lvl w:ilvl="7" w:tplc="55FE6022" w:tentative="1">
      <w:start w:val="1"/>
      <w:numFmt w:val="bullet"/>
      <w:lvlText w:val="o"/>
      <w:lvlJc w:val="left"/>
      <w:pPr>
        <w:tabs>
          <w:tab w:val="num" w:pos="6044"/>
        </w:tabs>
        <w:ind w:left="6044" w:hanging="360"/>
      </w:pPr>
      <w:rPr>
        <w:rFonts w:ascii="Courier New" w:hAnsi="Courier New" w:cs="Courier New" w:hint="default"/>
      </w:rPr>
    </w:lvl>
    <w:lvl w:ilvl="8" w:tplc="8AA8D644"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5"/>
  </w:num>
  <w:num w:numId="2">
    <w:abstractNumId w:val="12"/>
  </w:num>
  <w:num w:numId="3">
    <w:abstractNumId w:val="11"/>
  </w:num>
  <w:num w:numId="4">
    <w:abstractNumId w:val="16"/>
  </w:num>
  <w:num w:numId="5">
    <w:abstractNumId w:val="14"/>
  </w:num>
  <w:num w:numId="6">
    <w:abstractNumId w:val="17"/>
  </w:num>
  <w:num w:numId="7">
    <w:abstractNumId w:val="16"/>
  </w:num>
  <w:num w:numId="8">
    <w:abstractNumId w:val="17"/>
  </w:num>
  <w:num w:numId="9">
    <w:abstractNumId w:val="10"/>
  </w:num>
  <w:num w:numId="10">
    <w:abstractNumId w:val="9"/>
  </w:num>
  <w:num w:numId="11">
    <w:abstractNumId w:val="1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0"/>
  </w:num>
  <w:num w:numId="22">
    <w:abstractNumId w:val="18"/>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304BC9"/>
    <w:rsid w:val="00002208"/>
    <w:rsid w:val="000041F8"/>
    <w:rsid w:val="000042A8"/>
    <w:rsid w:val="00004308"/>
    <w:rsid w:val="00005BF0"/>
    <w:rsid w:val="0000617D"/>
    <w:rsid w:val="00007154"/>
    <w:rsid w:val="000103AE"/>
    <w:rsid w:val="00011D69"/>
    <w:rsid w:val="00012AD3"/>
    <w:rsid w:val="00015C2D"/>
    <w:rsid w:val="00015F00"/>
    <w:rsid w:val="0001732E"/>
    <w:rsid w:val="0001768D"/>
    <w:rsid w:val="00022C1D"/>
    <w:rsid w:val="0002592F"/>
    <w:rsid w:val="00025DDD"/>
    <w:rsid w:val="00031428"/>
    <w:rsid w:val="00034987"/>
    <w:rsid w:val="00041560"/>
    <w:rsid w:val="00057055"/>
    <w:rsid w:val="000602DF"/>
    <w:rsid w:val="00061B05"/>
    <w:rsid w:val="00061FE4"/>
    <w:rsid w:val="000632D5"/>
    <w:rsid w:val="000644EE"/>
    <w:rsid w:val="000712E3"/>
    <w:rsid w:val="00074274"/>
    <w:rsid w:val="0007780A"/>
    <w:rsid w:val="00081F59"/>
    <w:rsid w:val="00082554"/>
    <w:rsid w:val="00085457"/>
    <w:rsid w:val="000925AD"/>
    <w:rsid w:val="0009647C"/>
    <w:rsid w:val="00096FE1"/>
    <w:rsid w:val="00097A62"/>
    <w:rsid w:val="000A24EB"/>
    <w:rsid w:val="000B0140"/>
    <w:rsid w:val="000B0233"/>
    <w:rsid w:val="000B48EB"/>
    <w:rsid w:val="000B686A"/>
    <w:rsid w:val="000B6923"/>
    <w:rsid w:val="000B7195"/>
    <w:rsid w:val="000C25D7"/>
    <w:rsid w:val="000C5F3C"/>
    <w:rsid w:val="000C6DCC"/>
    <w:rsid w:val="000D47AA"/>
    <w:rsid w:val="000D5157"/>
    <w:rsid w:val="000D5AAC"/>
    <w:rsid w:val="000D721F"/>
    <w:rsid w:val="000E069B"/>
    <w:rsid w:val="000E0E82"/>
    <w:rsid w:val="000E1DC5"/>
    <w:rsid w:val="000E223F"/>
    <w:rsid w:val="000E46B8"/>
    <w:rsid w:val="000E7A3C"/>
    <w:rsid w:val="000E7D45"/>
    <w:rsid w:val="000F3D91"/>
    <w:rsid w:val="000F52F4"/>
    <w:rsid w:val="000F6B9D"/>
    <w:rsid w:val="000F7851"/>
    <w:rsid w:val="00101505"/>
    <w:rsid w:val="00104E23"/>
    <w:rsid w:val="00110DA8"/>
    <w:rsid w:val="001116B7"/>
    <w:rsid w:val="00111B0C"/>
    <w:rsid w:val="0011320E"/>
    <w:rsid w:val="00114C54"/>
    <w:rsid w:val="00120D6C"/>
    <w:rsid w:val="001257EC"/>
    <w:rsid w:val="00133D33"/>
    <w:rsid w:val="00134B6A"/>
    <w:rsid w:val="00134D64"/>
    <w:rsid w:val="00135A30"/>
    <w:rsid w:val="0013612C"/>
    <w:rsid w:val="00136FB5"/>
    <w:rsid w:val="0013735B"/>
    <w:rsid w:val="00137FF6"/>
    <w:rsid w:val="00141650"/>
    <w:rsid w:val="00144FDD"/>
    <w:rsid w:val="0014773C"/>
    <w:rsid w:val="00150BFA"/>
    <w:rsid w:val="00155C45"/>
    <w:rsid w:val="001561B6"/>
    <w:rsid w:val="00160468"/>
    <w:rsid w:val="00162A12"/>
    <w:rsid w:val="00166530"/>
    <w:rsid w:val="00170027"/>
    <w:rsid w:val="00175DDD"/>
    <w:rsid w:val="00176C38"/>
    <w:rsid w:val="00182EBA"/>
    <w:rsid w:val="001832BD"/>
    <w:rsid w:val="00186680"/>
    <w:rsid w:val="00191A37"/>
    <w:rsid w:val="0019232D"/>
    <w:rsid w:val="00194119"/>
    <w:rsid w:val="001943B5"/>
    <w:rsid w:val="00194872"/>
    <w:rsid w:val="00195134"/>
    <w:rsid w:val="001A020C"/>
    <w:rsid w:val="001A145B"/>
    <w:rsid w:val="001A2838"/>
    <w:rsid w:val="001A3C23"/>
    <w:rsid w:val="001A3E09"/>
    <w:rsid w:val="001A674C"/>
    <w:rsid w:val="001B3B24"/>
    <w:rsid w:val="001C055B"/>
    <w:rsid w:val="001C0F98"/>
    <w:rsid w:val="001C2A42"/>
    <w:rsid w:val="001C2BFD"/>
    <w:rsid w:val="001D0C32"/>
    <w:rsid w:val="001D636E"/>
    <w:rsid w:val="001D63ED"/>
    <w:rsid w:val="001D6F3D"/>
    <w:rsid w:val="001D7348"/>
    <w:rsid w:val="001E035B"/>
    <w:rsid w:val="001E0961"/>
    <w:rsid w:val="001E2998"/>
    <w:rsid w:val="001E3EAE"/>
    <w:rsid w:val="001E6857"/>
    <w:rsid w:val="001E6F32"/>
    <w:rsid w:val="001F2145"/>
    <w:rsid w:val="001F6262"/>
    <w:rsid w:val="001F67B0"/>
    <w:rsid w:val="001F7B3D"/>
    <w:rsid w:val="00202752"/>
    <w:rsid w:val="0020335A"/>
    <w:rsid w:val="002052BC"/>
    <w:rsid w:val="00205F9F"/>
    <w:rsid w:val="0020718E"/>
    <w:rsid w:val="002102E1"/>
    <w:rsid w:val="00210338"/>
    <w:rsid w:val="002115FC"/>
    <w:rsid w:val="0021423C"/>
    <w:rsid w:val="00226C89"/>
    <w:rsid w:val="00230D00"/>
    <w:rsid w:val="00231DF7"/>
    <w:rsid w:val="00231FD1"/>
    <w:rsid w:val="002339E0"/>
    <w:rsid w:val="00233CF8"/>
    <w:rsid w:val="0023575D"/>
    <w:rsid w:val="00237148"/>
    <w:rsid w:val="0024222D"/>
    <w:rsid w:val="002422B6"/>
    <w:rsid w:val="0024335B"/>
    <w:rsid w:val="00244B0E"/>
    <w:rsid w:val="00244F6C"/>
    <w:rsid w:val="00245F7C"/>
    <w:rsid w:val="00246B89"/>
    <w:rsid w:val="002500FA"/>
    <w:rsid w:val="00252C4E"/>
    <w:rsid w:val="002532C5"/>
    <w:rsid w:val="00254DF2"/>
    <w:rsid w:val="00255AF3"/>
    <w:rsid w:val="00260C03"/>
    <w:rsid w:val="00261A6E"/>
    <w:rsid w:val="0026439A"/>
    <w:rsid w:val="0026540E"/>
    <w:rsid w:val="002654E3"/>
    <w:rsid w:val="0027114A"/>
    <w:rsid w:val="002728A1"/>
    <w:rsid w:val="00275123"/>
    <w:rsid w:val="00281B7C"/>
    <w:rsid w:val="00282240"/>
    <w:rsid w:val="00282BD8"/>
    <w:rsid w:val="00282EA7"/>
    <w:rsid w:val="00287AD5"/>
    <w:rsid w:val="00291093"/>
    <w:rsid w:val="002930E1"/>
    <w:rsid w:val="002934D0"/>
    <w:rsid w:val="00293676"/>
    <w:rsid w:val="00293BD9"/>
    <w:rsid w:val="002948AD"/>
    <w:rsid w:val="00297CBF"/>
    <w:rsid w:val="002A01CC"/>
    <w:rsid w:val="002A613A"/>
    <w:rsid w:val="002A61B1"/>
    <w:rsid w:val="002A6221"/>
    <w:rsid w:val="002A663C"/>
    <w:rsid w:val="002A6B46"/>
    <w:rsid w:val="002B444B"/>
    <w:rsid w:val="002B5887"/>
    <w:rsid w:val="002B5B43"/>
    <w:rsid w:val="002B6EE6"/>
    <w:rsid w:val="002C0E27"/>
    <w:rsid w:val="002C3040"/>
    <w:rsid w:val="002C4433"/>
    <w:rsid w:val="002C5ADD"/>
    <w:rsid w:val="002C7826"/>
    <w:rsid w:val="002D022D"/>
    <w:rsid w:val="002D24BB"/>
    <w:rsid w:val="002D2FA7"/>
    <w:rsid w:val="002D4401"/>
    <w:rsid w:val="002D47BA"/>
    <w:rsid w:val="002D491C"/>
    <w:rsid w:val="002D77B9"/>
    <w:rsid w:val="002E2A2A"/>
    <w:rsid w:val="002E46DA"/>
    <w:rsid w:val="002E7271"/>
    <w:rsid w:val="002E7764"/>
    <w:rsid w:val="002F2AF7"/>
    <w:rsid w:val="002F3B87"/>
    <w:rsid w:val="002F69C4"/>
    <w:rsid w:val="002F7D9E"/>
    <w:rsid w:val="002F7E1C"/>
    <w:rsid w:val="00300AE0"/>
    <w:rsid w:val="00300D22"/>
    <w:rsid w:val="00301A75"/>
    <w:rsid w:val="00302F70"/>
    <w:rsid w:val="0030336F"/>
    <w:rsid w:val="0030375E"/>
    <w:rsid w:val="00304BC9"/>
    <w:rsid w:val="0030773D"/>
    <w:rsid w:val="00312A30"/>
    <w:rsid w:val="003137AC"/>
    <w:rsid w:val="00314B21"/>
    <w:rsid w:val="003201D8"/>
    <w:rsid w:val="00320F72"/>
    <w:rsid w:val="0032463E"/>
    <w:rsid w:val="00326224"/>
    <w:rsid w:val="003265B6"/>
    <w:rsid w:val="00337EE4"/>
    <w:rsid w:val="00340FFD"/>
    <w:rsid w:val="00345C41"/>
    <w:rsid w:val="00347B2F"/>
    <w:rsid w:val="003506B1"/>
    <w:rsid w:val="00355877"/>
    <w:rsid w:val="00356AC7"/>
    <w:rsid w:val="00356C7E"/>
    <w:rsid w:val="003609FA"/>
    <w:rsid w:val="00360FB4"/>
    <w:rsid w:val="00364421"/>
    <w:rsid w:val="00366185"/>
    <w:rsid w:val="003710C8"/>
    <w:rsid w:val="003750BE"/>
    <w:rsid w:val="00381E5B"/>
    <w:rsid w:val="0038400F"/>
    <w:rsid w:val="00385A36"/>
    <w:rsid w:val="00385F3D"/>
    <w:rsid w:val="0038740C"/>
    <w:rsid w:val="00387B9D"/>
    <w:rsid w:val="00387C70"/>
    <w:rsid w:val="00390294"/>
    <w:rsid w:val="0039364F"/>
    <w:rsid w:val="00396686"/>
    <w:rsid w:val="003972FF"/>
    <w:rsid w:val="0039778E"/>
    <w:rsid w:val="003A25A2"/>
    <w:rsid w:val="003A2A92"/>
    <w:rsid w:val="003A3174"/>
    <w:rsid w:val="003A6C5F"/>
    <w:rsid w:val="003A776C"/>
    <w:rsid w:val="003B01C7"/>
    <w:rsid w:val="003B4941"/>
    <w:rsid w:val="003B6F6B"/>
    <w:rsid w:val="003C2ED2"/>
    <w:rsid w:val="003C5714"/>
    <w:rsid w:val="003C6B9F"/>
    <w:rsid w:val="003C6E2A"/>
    <w:rsid w:val="003D0299"/>
    <w:rsid w:val="003D18DC"/>
    <w:rsid w:val="003E55C5"/>
    <w:rsid w:val="003E6D80"/>
    <w:rsid w:val="003E7BCC"/>
    <w:rsid w:val="003F05FA"/>
    <w:rsid w:val="003F16E9"/>
    <w:rsid w:val="003F244A"/>
    <w:rsid w:val="003F2517"/>
    <w:rsid w:val="003F30B8"/>
    <w:rsid w:val="003F4C45"/>
    <w:rsid w:val="003F5F7B"/>
    <w:rsid w:val="003F7D64"/>
    <w:rsid w:val="00401722"/>
    <w:rsid w:val="0040384C"/>
    <w:rsid w:val="0040433A"/>
    <w:rsid w:val="00412434"/>
    <w:rsid w:val="00414300"/>
    <w:rsid w:val="00414F27"/>
    <w:rsid w:val="00420703"/>
    <w:rsid w:val="00421E19"/>
    <w:rsid w:val="00425C67"/>
    <w:rsid w:val="00425CCE"/>
    <w:rsid w:val="00427E7A"/>
    <w:rsid w:val="004304AD"/>
    <w:rsid w:val="004309CE"/>
    <w:rsid w:val="004355AC"/>
    <w:rsid w:val="00436C49"/>
    <w:rsid w:val="00443D98"/>
    <w:rsid w:val="00445366"/>
    <w:rsid w:val="00447F5B"/>
    <w:rsid w:val="00455DBC"/>
    <w:rsid w:val="00457474"/>
    <w:rsid w:val="00461DB0"/>
    <w:rsid w:val="00463926"/>
    <w:rsid w:val="00464AB7"/>
    <w:rsid w:val="00464C9A"/>
    <w:rsid w:val="00474F3D"/>
    <w:rsid w:val="00477E3A"/>
    <w:rsid w:val="004825FF"/>
    <w:rsid w:val="00483E5F"/>
    <w:rsid w:val="00485FF9"/>
    <w:rsid w:val="0049049B"/>
    <w:rsid w:val="004907F0"/>
    <w:rsid w:val="004910AF"/>
    <w:rsid w:val="0049140B"/>
    <w:rsid w:val="004923A5"/>
    <w:rsid w:val="0049310E"/>
    <w:rsid w:val="004950E2"/>
    <w:rsid w:val="00496BFB"/>
    <w:rsid w:val="004A15C7"/>
    <w:rsid w:val="004A3201"/>
    <w:rsid w:val="004A68B3"/>
    <w:rsid w:val="004A7044"/>
    <w:rsid w:val="004B013B"/>
    <w:rsid w:val="004B112B"/>
    <w:rsid w:val="004B444E"/>
    <w:rsid w:val="004C01E4"/>
    <w:rsid w:val="004C086C"/>
    <w:rsid w:val="004C1F56"/>
    <w:rsid w:val="004C27BC"/>
    <w:rsid w:val="004C6621"/>
    <w:rsid w:val="004D0EC7"/>
    <w:rsid w:val="004D15F3"/>
    <w:rsid w:val="004D1AFA"/>
    <w:rsid w:val="004D3B3D"/>
    <w:rsid w:val="004D4EF1"/>
    <w:rsid w:val="004D5311"/>
    <w:rsid w:val="004D5DCC"/>
    <w:rsid w:val="004D7E45"/>
    <w:rsid w:val="004E6B73"/>
    <w:rsid w:val="004E7067"/>
    <w:rsid w:val="004F10AF"/>
    <w:rsid w:val="004F11A4"/>
    <w:rsid w:val="004F2389"/>
    <w:rsid w:val="004F304D"/>
    <w:rsid w:val="004F4290"/>
    <w:rsid w:val="004F61BE"/>
    <w:rsid w:val="004F66B1"/>
    <w:rsid w:val="00505F69"/>
    <w:rsid w:val="00507DF0"/>
    <w:rsid w:val="00511C07"/>
    <w:rsid w:val="005125CB"/>
    <w:rsid w:val="00512EC4"/>
    <w:rsid w:val="00514D3C"/>
    <w:rsid w:val="0051725A"/>
    <w:rsid w:val="005173A6"/>
    <w:rsid w:val="00517BB8"/>
    <w:rsid w:val="00520354"/>
    <w:rsid w:val="00520BAA"/>
    <w:rsid w:val="005217D8"/>
    <w:rsid w:val="00525208"/>
    <w:rsid w:val="005257A5"/>
    <w:rsid w:val="005264C0"/>
    <w:rsid w:val="00526A8A"/>
    <w:rsid w:val="00527FB1"/>
    <w:rsid w:val="0053039C"/>
    <w:rsid w:val="00530FE6"/>
    <w:rsid w:val="00531DF2"/>
    <w:rsid w:val="0053256D"/>
    <w:rsid w:val="0053315C"/>
    <w:rsid w:val="00537032"/>
    <w:rsid w:val="00537476"/>
    <w:rsid w:val="00541C44"/>
    <w:rsid w:val="005442EE"/>
    <w:rsid w:val="00545DA6"/>
    <w:rsid w:val="0054716E"/>
    <w:rsid w:val="00547353"/>
    <w:rsid w:val="005474E7"/>
    <w:rsid w:val="005512A3"/>
    <w:rsid w:val="00552050"/>
    <w:rsid w:val="005527BD"/>
    <w:rsid w:val="00553AD1"/>
    <w:rsid w:val="005578CE"/>
    <w:rsid w:val="00562781"/>
    <w:rsid w:val="005628E4"/>
    <w:rsid w:val="00562B6C"/>
    <w:rsid w:val="00563C69"/>
    <w:rsid w:val="0057271C"/>
    <w:rsid w:val="00572845"/>
    <w:rsid w:val="005822CF"/>
    <w:rsid w:val="00586EAE"/>
    <w:rsid w:val="005879A2"/>
    <w:rsid w:val="005910F9"/>
    <w:rsid w:val="00591F97"/>
    <w:rsid w:val="00592772"/>
    <w:rsid w:val="0059571A"/>
    <w:rsid w:val="0059574A"/>
    <w:rsid w:val="005A1B9B"/>
    <w:rsid w:val="005A2221"/>
    <w:rsid w:val="005A2E79"/>
    <w:rsid w:val="005A3AAF"/>
    <w:rsid w:val="005A6751"/>
    <w:rsid w:val="005B092E"/>
    <w:rsid w:val="005B152C"/>
    <w:rsid w:val="005B1760"/>
    <w:rsid w:val="005B1EE0"/>
    <w:rsid w:val="005B2B24"/>
    <w:rsid w:val="005B4425"/>
    <w:rsid w:val="005B4B94"/>
    <w:rsid w:val="005C2C62"/>
    <w:rsid w:val="005C3EE8"/>
    <w:rsid w:val="005D2F2A"/>
    <w:rsid w:val="005D34F9"/>
    <w:rsid w:val="005D4190"/>
    <w:rsid w:val="005D67A3"/>
    <w:rsid w:val="005D77D8"/>
    <w:rsid w:val="005E223E"/>
    <w:rsid w:val="005E2988"/>
    <w:rsid w:val="005E3085"/>
    <w:rsid w:val="005F0EB3"/>
    <w:rsid w:val="005F39DD"/>
    <w:rsid w:val="005F4AC8"/>
    <w:rsid w:val="005F51E1"/>
    <w:rsid w:val="00600C83"/>
    <w:rsid w:val="0060630E"/>
    <w:rsid w:val="00611C80"/>
    <w:rsid w:val="00620692"/>
    <w:rsid w:val="006206E7"/>
    <w:rsid w:val="00623885"/>
    <w:rsid w:val="006242CA"/>
    <w:rsid w:val="00625CAB"/>
    <w:rsid w:val="00627507"/>
    <w:rsid w:val="00633717"/>
    <w:rsid w:val="006344E1"/>
    <w:rsid w:val="00636C0D"/>
    <w:rsid w:val="0064012B"/>
    <w:rsid w:val="00643524"/>
    <w:rsid w:val="0064393B"/>
    <w:rsid w:val="00644898"/>
    <w:rsid w:val="00645CF2"/>
    <w:rsid w:val="006513A2"/>
    <w:rsid w:val="00653BED"/>
    <w:rsid w:val="006545C4"/>
    <w:rsid w:val="00655894"/>
    <w:rsid w:val="00661971"/>
    <w:rsid w:val="00661CE8"/>
    <w:rsid w:val="006623D9"/>
    <w:rsid w:val="006642A5"/>
    <w:rsid w:val="0066550C"/>
    <w:rsid w:val="00665BD2"/>
    <w:rsid w:val="00666DBB"/>
    <w:rsid w:val="0067034E"/>
    <w:rsid w:val="006716F2"/>
    <w:rsid w:val="00675AF2"/>
    <w:rsid w:val="00676F01"/>
    <w:rsid w:val="00682BF2"/>
    <w:rsid w:val="0068573E"/>
    <w:rsid w:val="006859CE"/>
    <w:rsid w:val="006872AA"/>
    <w:rsid w:val="00691270"/>
    <w:rsid w:val="00693339"/>
    <w:rsid w:val="00694BA8"/>
    <w:rsid w:val="006A037C"/>
    <w:rsid w:val="006A0C84"/>
    <w:rsid w:val="006A1B92"/>
    <w:rsid w:val="006A36F4"/>
    <w:rsid w:val="006A406F"/>
    <w:rsid w:val="006A4E97"/>
    <w:rsid w:val="006A5D3A"/>
    <w:rsid w:val="006B07F3"/>
    <w:rsid w:val="006B1942"/>
    <w:rsid w:val="006C09B8"/>
    <w:rsid w:val="006C23D4"/>
    <w:rsid w:val="006C7BB0"/>
    <w:rsid w:val="006D3237"/>
    <w:rsid w:val="006E1B45"/>
    <w:rsid w:val="006E2E37"/>
    <w:rsid w:val="006E3CF1"/>
    <w:rsid w:val="006E68A3"/>
    <w:rsid w:val="006E7E80"/>
    <w:rsid w:val="006F1C2D"/>
    <w:rsid w:val="006F48CA"/>
    <w:rsid w:val="006F64DD"/>
    <w:rsid w:val="006F712D"/>
    <w:rsid w:val="00704844"/>
    <w:rsid w:val="00713A4D"/>
    <w:rsid w:val="00715127"/>
    <w:rsid w:val="00715E8E"/>
    <w:rsid w:val="00723580"/>
    <w:rsid w:val="00723755"/>
    <w:rsid w:val="0073136C"/>
    <w:rsid w:val="00731F0F"/>
    <w:rsid w:val="00733250"/>
    <w:rsid w:val="0073429B"/>
    <w:rsid w:val="00736C78"/>
    <w:rsid w:val="00741404"/>
    <w:rsid w:val="00743A63"/>
    <w:rsid w:val="007449E5"/>
    <w:rsid w:val="0074750E"/>
    <w:rsid w:val="00747FF0"/>
    <w:rsid w:val="00751066"/>
    <w:rsid w:val="007543B6"/>
    <w:rsid w:val="0075566E"/>
    <w:rsid w:val="00761FE1"/>
    <w:rsid w:val="00763602"/>
    <w:rsid w:val="00764D4E"/>
    <w:rsid w:val="00765A1F"/>
    <w:rsid w:val="00767A14"/>
    <w:rsid w:val="00773F54"/>
    <w:rsid w:val="00775B6D"/>
    <w:rsid w:val="00776D68"/>
    <w:rsid w:val="00781140"/>
    <w:rsid w:val="007830ED"/>
    <w:rsid w:val="0078323E"/>
    <w:rsid w:val="007849C2"/>
    <w:rsid w:val="007850EE"/>
    <w:rsid w:val="00785B95"/>
    <w:rsid w:val="00790E96"/>
    <w:rsid w:val="007926FD"/>
    <w:rsid w:val="00793366"/>
    <w:rsid w:val="0079666C"/>
    <w:rsid w:val="00797535"/>
    <w:rsid w:val="007A716F"/>
    <w:rsid w:val="007B270A"/>
    <w:rsid w:val="007B4182"/>
    <w:rsid w:val="007C014C"/>
    <w:rsid w:val="007C0695"/>
    <w:rsid w:val="007C419A"/>
    <w:rsid w:val="007C4CC8"/>
    <w:rsid w:val="007C5426"/>
    <w:rsid w:val="007C548C"/>
    <w:rsid w:val="007C5798"/>
    <w:rsid w:val="007C6978"/>
    <w:rsid w:val="007D1ECD"/>
    <w:rsid w:val="007D3701"/>
    <w:rsid w:val="007D410D"/>
    <w:rsid w:val="007D4832"/>
    <w:rsid w:val="007E21B2"/>
    <w:rsid w:val="007E2C4E"/>
    <w:rsid w:val="007E2C8C"/>
    <w:rsid w:val="007E51BA"/>
    <w:rsid w:val="007E73D7"/>
    <w:rsid w:val="007E79A4"/>
    <w:rsid w:val="007F1905"/>
    <w:rsid w:val="007F27E4"/>
    <w:rsid w:val="007F3437"/>
    <w:rsid w:val="00800B9E"/>
    <w:rsid w:val="00802C64"/>
    <w:rsid w:val="00805E52"/>
    <w:rsid w:val="008061D0"/>
    <w:rsid w:val="00810B38"/>
    <w:rsid w:val="008204C7"/>
    <w:rsid w:val="00820992"/>
    <w:rsid w:val="00823602"/>
    <w:rsid w:val="00825117"/>
    <w:rsid w:val="008255F5"/>
    <w:rsid w:val="00826890"/>
    <w:rsid w:val="0083014E"/>
    <w:rsid w:val="0083214A"/>
    <w:rsid w:val="00834220"/>
    <w:rsid w:val="00845723"/>
    <w:rsid w:val="00847727"/>
    <w:rsid w:val="008519E7"/>
    <w:rsid w:val="00851EF9"/>
    <w:rsid w:val="008577FD"/>
    <w:rsid w:val="00860B03"/>
    <w:rsid w:val="00863D73"/>
    <w:rsid w:val="0086497A"/>
    <w:rsid w:val="0086538E"/>
    <w:rsid w:val="00866C7F"/>
    <w:rsid w:val="00867066"/>
    <w:rsid w:val="008713A1"/>
    <w:rsid w:val="00872584"/>
    <w:rsid w:val="008754AB"/>
    <w:rsid w:val="0088060C"/>
    <w:rsid w:val="00882CD5"/>
    <w:rsid w:val="00883151"/>
    <w:rsid w:val="00887691"/>
    <w:rsid w:val="00892790"/>
    <w:rsid w:val="00893576"/>
    <w:rsid w:val="00893E73"/>
    <w:rsid w:val="008A5BCD"/>
    <w:rsid w:val="008B02DC"/>
    <w:rsid w:val="008B0655"/>
    <w:rsid w:val="008B092C"/>
    <w:rsid w:val="008B57CE"/>
    <w:rsid w:val="008C26DE"/>
    <w:rsid w:val="008D1668"/>
    <w:rsid w:val="008D2225"/>
    <w:rsid w:val="008D4752"/>
    <w:rsid w:val="008D5A13"/>
    <w:rsid w:val="008E271C"/>
    <w:rsid w:val="008E3A08"/>
    <w:rsid w:val="008E418E"/>
    <w:rsid w:val="008E5BC6"/>
    <w:rsid w:val="008E6217"/>
    <w:rsid w:val="008E6A25"/>
    <w:rsid w:val="008F2465"/>
    <w:rsid w:val="008F2554"/>
    <w:rsid w:val="008F3AEC"/>
    <w:rsid w:val="008F4D80"/>
    <w:rsid w:val="008F5193"/>
    <w:rsid w:val="008F6B36"/>
    <w:rsid w:val="008F738B"/>
    <w:rsid w:val="00900804"/>
    <w:rsid w:val="009013A7"/>
    <w:rsid w:val="009017FB"/>
    <w:rsid w:val="009017FC"/>
    <w:rsid w:val="00901AAC"/>
    <w:rsid w:val="0090506B"/>
    <w:rsid w:val="009050C9"/>
    <w:rsid w:val="009066FC"/>
    <w:rsid w:val="009140A3"/>
    <w:rsid w:val="009144A2"/>
    <w:rsid w:val="0091510C"/>
    <w:rsid w:val="009259AC"/>
    <w:rsid w:val="00926B47"/>
    <w:rsid w:val="00926F38"/>
    <w:rsid w:val="00927BEB"/>
    <w:rsid w:val="0093285F"/>
    <w:rsid w:val="009333DC"/>
    <w:rsid w:val="00934301"/>
    <w:rsid w:val="00936CD1"/>
    <w:rsid w:val="0094131C"/>
    <w:rsid w:val="00941747"/>
    <w:rsid w:val="00941EFB"/>
    <w:rsid w:val="00947AFB"/>
    <w:rsid w:val="00950796"/>
    <w:rsid w:val="00951AA3"/>
    <w:rsid w:val="00951D7D"/>
    <w:rsid w:val="00956D0C"/>
    <w:rsid w:val="0096267E"/>
    <w:rsid w:val="009630C7"/>
    <w:rsid w:val="00963717"/>
    <w:rsid w:val="00965D0C"/>
    <w:rsid w:val="00971A20"/>
    <w:rsid w:val="00972B55"/>
    <w:rsid w:val="00972C01"/>
    <w:rsid w:val="009743B7"/>
    <w:rsid w:val="0098228B"/>
    <w:rsid w:val="009828DA"/>
    <w:rsid w:val="0098410D"/>
    <w:rsid w:val="00985BAB"/>
    <w:rsid w:val="00986B3C"/>
    <w:rsid w:val="00986D79"/>
    <w:rsid w:val="009A115C"/>
    <w:rsid w:val="009A4EB6"/>
    <w:rsid w:val="009A51E6"/>
    <w:rsid w:val="009A53E0"/>
    <w:rsid w:val="009A7FC1"/>
    <w:rsid w:val="009B1606"/>
    <w:rsid w:val="009B1B5F"/>
    <w:rsid w:val="009B294F"/>
    <w:rsid w:val="009B3C8C"/>
    <w:rsid w:val="009B6673"/>
    <w:rsid w:val="009B728A"/>
    <w:rsid w:val="009C191B"/>
    <w:rsid w:val="009C2BD6"/>
    <w:rsid w:val="009C41EF"/>
    <w:rsid w:val="009D57AA"/>
    <w:rsid w:val="009D79BC"/>
    <w:rsid w:val="009E1F32"/>
    <w:rsid w:val="009E2CC2"/>
    <w:rsid w:val="009E47A2"/>
    <w:rsid w:val="009E776C"/>
    <w:rsid w:val="009E7A6F"/>
    <w:rsid w:val="009F0CAE"/>
    <w:rsid w:val="009F2908"/>
    <w:rsid w:val="009F4C8F"/>
    <w:rsid w:val="00A005DE"/>
    <w:rsid w:val="00A02972"/>
    <w:rsid w:val="00A032B6"/>
    <w:rsid w:val="00A05588"/>
    <w:rsid w:val="00A060A3"/>
    <w:rsid w:val="00A06D94"/>
    <w:rsid w:val="00A11A5F"/>
    <w:rsid w:val="00A14507"/>
    <w:rsid w:val="00A15601"/>
    <w:rsid w:val="00A16C98"/>
    <w:rsid w:val="00A1726E"/>
    <w:rsid w:val="00A204CF"/>
    <w:rsid w:val="00A21D2B"/>
    <w:rsid w:val="00A22745"/>
    <w:rsid w:val="00A23D49"/>
    <w:rsid w:val="00A26782"/>
    <w:rsid w:val="00A27004"/>
    <w:rsid w:val="00A308CE"/>
    <w:rsid w:val="00A30C29"/>
    <w:rsid w:val="00A34DD6"/>
    <w:rsid w:val="00A35683"/>
    <w:rsid w:val="00A36819"/>
    <w:rsid w:val="00A36989"/>
    <w:rsid w:val="00A41D86"/>
    <w:rsid w:val="00A43628"/>
    <w:rsid w:val="00A43825"/>
    <w:rsid w:val="00A43C6D"/>
    <w:rsid w:val="00A45145"/>
    <w:rsid w:val="00A46CC7"/>
    <w:rsid w:val="00A51D0F"/>
    <w:rsid w:val="00A54192"/>
    <w:rsid w:val="00A56A00"/>
    <w:rsid w:val="00A57147"/>
    <w:rsid w:val="00A6035E"/>
    <w:rsid w:val="00A6144C"/>
    <w:rsid w:val="00A646F3"/>
    <w:rsid w:val="00A66617"/>
    <w:rsid w:val="00A671F8"/>
    <w:rsid w:val="00A673A4"/>
    <w:rsid w:val="00A724AE"/>
    <w:rsid w:val="00A73329"/>
    <w:rsid w:val="00A77667"/>
    <w:rsid w:val="00A82359"/>
    <w:rsid w:val="00A82E67"/>
    <w:rsid w:val="00A83F1C"/>
    <w:rsid w:val="00A85647"/>
    <w:rsid w:val="00A865D2"/>
    <w:rsid w:val="00A87C10"/>
    <w:rsid w:val="00A900C3"/>
    <w:rsid w:val="00A90BCD"/>
    <w:rsid w:val="00A91E18"/>
    <w:rsid w:val="00A92625"/>
    <w:rsid w:val="00A93A39"/>
    <w:rsid w:val="00A94C20"/>
    <w:rsid w:val="00A95D81"/>
    <w:rsid w:val="00AA1B09"/>
    <w:rsid w:val="00AA227F"/>
    <w:rsid w:val="00AA3BC7"/>
    <w:rsid w:val="00AA6854"/>
    <w:rsid w:val="00AA754A"/>
    <w:rsid w:val="00AB099E"/>
    <w:rsid w:val="00AB4328"/>
    <w:rsid w:val="00AB4883"/>
    <w:rsid w:val="00AC38DE"/>
    <w:rsid w:val="00AC4CD4"/>
    <w:rsid w:val="00AD1DCF"/>
    <w:rsid w:val="00AD2365"/>
    <w:rsid w:val="00AD2371"/>
    <w:rsid w:val="00AD5BE8"/>
    <w:rsid w:val="00AD7A73"/>
    <w:rsid w:val="00AE0A2E"/>
    <w:rsid w:val="00AE354C"/>
    <w:rsid w:val="00AF0340"/>
    <w:rsid w:val="00AF12C5"/>
    <w:rsid w:val="00AF4B07"/>
    <w:rsid w:val="00AF6186"/>
    <w:rsid w:val="00AF7A3A"/>
    <w:rsid w:val="00B02587"/>
    <w:rsid w:val="00B032BF"/>
    <w:rsid w:val="00B049D1"/>
    <w:rsid w:val="00B1032E"/>
    <w:rsid w:val="00B14793"/>
    <w:rsid w:val="00B153A0"/>
    <w:rsid w:val="00B160DB"/>
    <w:rsid w:val="00B20836"/>
    <w:rsid w:val="00B235BB"/>
    <w:rsid w:val="00B24170"/>
    <w:rsid w:val="00B24B47"/>
    <w:rsid w:val="00B27A44"/>
    <w:rsid w:val="00B30BBF"/>
    <w:rsid w:val="00B33C03"/>
    <w:rsid w:val="00B4073A"/>
    <w:rsid w:val="00B421B2"/>
    <w:rsid w:val="00B4421F"/>
    <w:rsid w:val="00B44E56"/>
    <w:rsid w:val="00B45917"/>
    <w:rsid w:val="00B46543"/>
    <w:rsid w:val="00B47D33"/>
    <w:rsid w:val="00B52BE0"/>
    <w:rsid w:val="00B54133"/>
    <w:rsid w:val="00B55A8D"/>
    <w:rsid w:val="00B6751D"/>
    <w:rsid w:val="00B701ED"/>
    <w:rsid w:val="00B738FC"/>
    <w:rsid w:val="00B748F7"/>
    <w:rsid w:val="00B77A54"/>
    <w:rsid w:val="00B8086C"/>
    <w:rsid w:val="00B808B2"/>
    <w:rsid w:val="00B81C58"/>
    <w:rsid w:val="00B822F5"/>
    <w:rsid w:val="00B82454"/>
    <w:rsid w:val="00B861B4"/>
    <w:rsid w:val="00B86DFE"/>
    <w:rsid w:val="00B90990"/>
    <w:rsid w:val="00B922FF"/>
    <w:rsid w:val="00B9281E"/>
    <w:rsid w:val="00B93925"/>
    <w:rsid w:val="00B93E9D"/>
    <w:rsid w:val="00B95187"/>
    <w:rsid w:val="00BA2D55"/>
    <w:rsid w:val="00BA417C"/>
    <w:rsid w:val="00BA57F3"/>
    <w:rsid w:val="00BA71B1"/>
    <w:rsid w:val="00BB0637"/>
    <w:rsid w:val="00BB345F"/>
    <w:rsid w:val="00BB68EA"/>
    <w:rsid w:val="00BC0B99"/>
    <w:rsid w:val="00BC135B"/>
    <w:rsid w:val="00BC1C27"/>
    <w:rsid w:val="00BC4483"/>
    <w:rsid w:val="00BC56A7"/>
    <w:rsid w:val="00BC6BBF"/>
    <w:rsid w:val="00BD1572"/>
    <w:rsid w:val="00BD28E3"/>
    <w:rsid w:val="00BE14E3"/>
    <w:rsid w:val="00BE3658"/>
    <w:rsid w:val="00BE3774"/>
    <w:rsid w:val="00BE41E5"/>
    <w:rsid w:val="00BE4CE2"/>
    <w:rsid w:val="00BE7658"/>
    <w:rsid w:val="00BF118F"/>
    <w:rsid w:val="00BF39C8"/>
    <w:rsid w:val="00BF4109"/>
    <w:rsid w:val="00BF4CC3"/>
    <w:rsid w:val="00C00901"/>
    <w:rsid w:val="00C043E6"/>
    <w:rsid w:val="00C054C7"/>
    <w:rsid w:val="00C057B5"/>
    <w:rsid w:val="00C07067"/>
    <w:rsid w:val="00C07377"/>
    <w:rsid w:val="00C07D0E"/>
    <w:rsid w:val="00C115C3"/>
    <w:rsid w:val="00C118E6"/>
    <w:rsid w:val="00C12135"/>
    <w:rsid w:val="00C15547"/>
    <w:rsid w:val="00C1672D"/>
    <w:rsid w:val="00C22687"/>
    <w:rsid w:val="00C26A92"/>
    <w:rsid w:val="00C26B1C"/>
    <w:rsid w:val="00C32E4D"/>
    <w:rsid w:val="00C333A0"/>
    <w:rsid w:val="00C36A81"/>
    <w:rsid w:val="00C36D5D"/>
    <w:rsid w:val="00C37E13"/>
    <w:rsid w:val="00C41974"/>
    <w:rsid w:val="00C44A2C"/>
    <w:rsid w:val="00C44F09"/>
    <w:rsid w:val="00C45619"/>
    <w:rsid w:val="00C462F6"/>
    <w:rsid w:val="00C467B1"/>
    <w:rsid w:val="00C477F7"/>
    <w:rsid w:val="00C509A6"/>
    <w:rsid w:val="00C53F4A"/>
    <w:rsid w:val="00C54125"/>
    <w:rsid w:val="00C55B54"/>
    <w:rsid w:val="00C56213"/>
    <w:rsid w:val="00C56300"/>
    <w:rsid w:val="00C60235"/>
    <w:rsid w:val="00C6098E"/>
    <w:rsid w:val="00C6152C"/>
    <w:rsid w:val="00C71424"/>
    <w:rsid w:val="00C74512"/>
    <w:rsid w:val="00C74810"/>
    <w:rsid w:val="00C75089"/>
    <w:rsid w:val="00C8120B"/>
    <w:rsid w:val="00C90D68"/>
    <w:rsid w:val="00C9247A"/>
    <w:rsid w:val="00C9324F"/>
    <w:rsid w:val="00C939FE"/>
    <w:rsid w:val="00C94D48"/>
    <w:rsid w:val="00CA4BDA"/>
    <w:rsid w:val="00CB0B73"/>
    <w:rsid w:val="00CB13E3"/>
    <w:rsid w:val="00CB1F66"/>
    <w:rsid w:val="00CB232C"/>
    <w:rsid w:val="00CB2951"/>
    <w:rsid w:val="00CB4277"/>
    <w:rsid w:val="00CB76C8"/>
    <w:rsid w:val="00CC26A4"/>
    <w:rsid w:val="00CC35A8"/>
    <w:rsid w:val="00CC5067"/>
    <w:rsid w:val="00CC5503"/>
    <w:rsid w:val="00CD11D3"/>
    <w:rsid w:val="00CD282B"/>
    <w:rsid w:val="00CD41A0"/>
    <w:rsid w:val="00CD447B"/>
    <w:rsid w:val="00CD4C35"/>
    <w:rsid w:val="00CD5BC6"/>
    <w:rsid w:val="00CD7369"/>
    <w:rsid w:val="00CE0B0E"/>
    <w:rsid w:val="00CE3831"/>
    <w:rsid w:val="00CE6611"/>
    <w:rsid w:val="00CF2397"/>
    <w:rsid w:val="00CF33FF"/>
    <w:rsid w:val="00D00ABB"/>
    <w:rsid w:val="00D02EEC"/>
    <w:rsid w:val="00D03551"/>
    <w:rsid w:val="00D036E7"/>
    <w:rsid w:val="00D04315"/>
    <w:rsid w:val="00D06A63"/>
    <w:rsid w:val="00D07E0E"/>
    <w:rsid w:val="00D10CD6"/>
    <w:rsid w:val="00D11478"/>
    <w:rsid w:val="00D143CC"/>
    <w:rsid w:val="00D15ED0"/>
    <w:rsid w:val="00D1620D"/>
    <w:rsid w:val="00D164BF"/>
    <w:rsid w:val="00D21B3E"/>
    <w:rsid w:val="00D21FED"/>
    <w:rsid w:val="00D23048"/>
    <w:rsid w:val="00D24251"/>
    <w:rsid w:val="00D26E72"/>
    <w:rsid w:val="00D31977"/>
    <w:rsid w:val="00D343E2"/>
    <w:rsid w:val="00D361A2"/>
    <w:rsid w:val="00D3714D"/>
    <w:rsid w:val="00D37272"/>
    <w:rsid w:val="00D37D05"/>
    <w:rsid w:val="00D40FEA"/>
    <w:rsid w:val="00D44C2E"/>
    <w:rsid w:val="00D45414"/>
    <w:rsid w:val="00D50A0A"/>
    <w:rsid w:val="00D5215F"/>
    <w:rsid w:val="00D53548"/>
    <w:rsid w:val="00D55434"/>
    <w:rsid w:val="00D5576B"/>
    <w:rsid w:val="00D566BD"/>
    <w:rsid w:val="00D57A4D"/>
    <w:rsid w:val="00D60AA7"/>
    <w:rsid w:val="00D6435F"/>
    <w:rsid w:val="00D66471"/>
    <w:rsid w:val="00D669D4"/>
    <w:rsid w:val="00D70641"/>
    <w:rsid w:val="00D734B3"/>
    <w:rsid w:val="00D74888"/>
    <w:rsid w:val="00D7488B"/>
    <w:rsid w:val="00D75E28"/>
    <w:rsid w:val="00D75E6F"/>
    <w:rsid w:val="00D772C2"/>
    <w:rsid w:val="00D772EC"/>
    <w:rsid w:val="00D8008E"/>
    <w:rsid w:val="00D82C45"/>
    <w:rsid w:val="00D908A8"/>
    <w:rsid w:val="00D941C9"/>
    <w:rsid w:val="00D977B6"/>
    <w:rsid w:val="00DA1223"/>
    <w:rsid w:val="00DA2062"/>
    <w:rsid w:val="00DA4A31"/>
    <w:rsid w:val="00DA7B04"/>
    <w:rsid w:val="00DB36C2"/>
    <w:rsid w:val="00DC00A8"/>
    <w:rsid w:val="00DC169B"/>
    <w:rsid w:val="00DC2AB9"/>
    <w:rsid w:val="00DC63F0"/>
    <w:rsid w:val="00DC75BE"/>
    <w:rsid w:val="00DD37EA"/>
    <w:rsid w:val="00DD441B"/>
    <w:rsid w:val="00DD6EE5"/>
    <w:rsid w:val="00DE386C"/>
    <w:rsid w:val="00DE4021"/>
    <w:rsid w:val="00DE44CC"/>
    <w:rsid w:val="00DE4D35"/>
    <w:rsid w:val="00DF098B"/>
    <w:rsid w:val="00DF11C4"/>
    <w:rsid w:val="00DF210C"/>
    <w:rsid w:val="00DF4B6A"/>
    <w:rsid w:val="00E004C0"/>
    <w:rsid w:val="00E02C09"/>
    <w:rsid w:val="00E04D59"/>
    <w:rsid w:val="00E07DA1"/>
    <w:rsid w:val="00E07E41"/>
    <w:rsid w:val="00E123CB"/>
    <w:rsid w:val="00E13447"/>
    <w:rsid w:val="00E13B09"/>
    <w:rsid w:val="00E162DB"/>
    <w:rsid w:val="00E20E13"/>
    <w:rsid w:val="00E21DBC"/>
    <w:rsid w:val="00E23226"/>
    <w:rsid w:val="00E275D7"/>
    <w:rsid w:val="00E27DBE"/>
    <w:rsid w:val="00E32AB1"/>
    <w:rsid w:val="00E32E68"/>
    <w:rsid w:val="00E340F6"/>
    <w:rsid w:val="00E36C71"/>
    <w:rsid w:val="00E40404"/>
    <w:rsid w:val="00E4126A"/>
    <w:rsid w:val="00E42007"/>
    <w:rsid w:val="00E42A06"/>
    <w:rsid w:val="00E45801"/>
    <w:rsid w:val="00E459C6"/>
    <w:rsid w:val="00E46BDA"/>
    <w:rsid w:val="00E47589"/>
    <w:rsid w:val="00E557AA"/>
    <w:rsid w:val="00E63EC7"/>
    <w:rsid w:val="00E64915"/>
    <w:rsid w:val="00E64D3A"/>
    <w:rsid w:val="00E661D4"/>
    <w:rsid w:val="00E66E88"/>
    <w:rsid w:val="00E67565"/>
    <w:rsid w:val="00E70091"/>
    <w:rsid w:val="00E70D2E"/>
    <w:rsid w:val="00E720F5"/>
    <w:rsid w:val="00E744E0"/>
    <w:rsid w:val="00E76D47"/>
    <w:rsid w:val="00E827BC"/>
    <w:rsid w:val="00E838A6"/>
    <w:rsid w:val="00E849F7"/>
    <w:rsid w:val="00E90302"/>
    <w:rsid w:val="00E91D05"/>
    <w:rsid w:val="00E9262D"/>
    <w:rsid w:val="00E94245"/>
    <w:rsid w:val="00E9555E"/>
    <w:rsid w:val="00E95C1E"/>
    <w:rsid w:val="00E97396"/>
    <w:rsid w:val="00EA185E"/>
    <w:rsid w:val="00EA31F6"/>
    <w:rsid w:val="00EA592A"/>
    <w:rsid w:val="00EB14E4"/>
    <w:rsid w:val="00EB2ED0"/>
    <w:rsid w:val="00EB32A5"/>
    <w:rsid w:val="00EB34ED"/>
    <w:rsid w:val="00EB447C"/>
    <w:rsid w:val="00EB6B07"/>
    <w:rsid w:val="00EB7BE0"/>
    <w:rsid w:val="00EC315E"/>
    <w:rsid w:val="00EC73E4"/>
    <w:rsid w:val="00ED077C"/>
    <w:rsid w:val="00ED10A9"/>
    <w:rsid w:val="00ED1190"/>
    <w:rsid w:val="00ED34AC"/>
    <w:rsid w:val="00ED6544"/>
    <w:rsid w:val="00EE0277"/>
    <w:rsid w:val="00EE1000"/>
    <w:rsid w:val="00EE2899"/>
    <w:rsid w:val="00EE3E00"/>
    <w:rsid w:val="00EE565B"/>
    <w:rsid w:val="00EE5897"/>
    <w:rsid w:val="00EE5DD2"/>
    <w:rsid w:val="00EF36C5"/>
    <w:rsid w:val="00EF3DB4"/>
    <w:rsid w:val="00EF51CB"/>
    <w:rsid w:val="00F00A79"/>
    <w:rsid w:val="00F00D13"/>
    <w:rsid w:val="00F00E86"/>
    <w:rsid w:val="00F07C1E"/>
    <w:rsid w:val="00F105DB"/>
    <w:rsid w:val="00F132BC"/>
    <w:rsid w:val="00F13471"/>
    <w:rsid w:val="00F13D80"/>
    <w:rsid w:val="00F15B4D"/>
    <w:rsid w:val="00F16339"/>
    <w:rsid w:val="00F16A7C"/>
    <w:rsid w:val="00F16AAA"/>
    <w:rsid w:val="00F1709C"/>
    <w:rsid w:val="00F21067"/>
    <w:rsid w:val="00F21161"/>
    <w:rsid w:val="00F21746"/>
    <w:rsid w:val="00F218EF"/>
    <w:rsid w:val="00F21BC7"/>
    <w:rsid w:val="00F21D3F"/>
    <w:rsid w:val="00F22465"/>
    <w:rsid w:val="00F25368"/>
    <w:rsid w:val="00F266A2"/>
    <w:rsid w:val="00F30BCD"/>
    <w:rsid w:val="00F32269"/>
    <w:rsid w:val="00F33118"/>
    <w:rsid w:val="00F332FC"/>
    <w:rsid w:val="00F35B7A"/>
    <w:rsid w:val="00F4076B"/>
    <w:rsid w:val="00F42D2C"/>
    <w:rsid w:val="00F56A6F"/>
    <w:rsid w:val="00F5709C"/>
    <w:rsid w:val="00F60B85"/>
    <w:rsid w:val="00F63C2C"/>
    <w:rsid w:val="00F64EF1"/>
    <w:rsid w:val="00F65782"/>
    <w:rsid w:val="00F72498"/>
    <w:rsid w:val="00F72B14"/>
    <w:rsid w:val="00F7349B"/>
    <w:rsid w:val="00F75337"/>
    <w:rsid w:val="00F8765F"/>
    <w:rsid w:val="00F90767"/>
    <w:rsid w:val="00F9263C"/>
    <w:rsid w:val="00FA1637"/>
    <w:rsid w:val="00FA685B"/>
    <w:rsid w:val="00FB0C01"/>
    <w:rsid w:val="00FB0FCB"/>
    <w:rsid w:val="00FB1059"/>
    <w:rsid w:val="00FB3F96"/>
    <w:rsid w:val="00FB5934"/>
    <w:rsid w:val="00FB63D5"/>
    <w:rsid w:val="00FC18F2"/>
    <w:rsid w:val="00FC2A17"/>
    <w:rsid w:val="00FC38CF"/>
    <w:rsid w:val="00FC39E5"/>
    <w:rsid w:val="00FC3A78"/>
    <w:rsid w:val="00FD1005"/>
    <w:rsid w:val="00FD1F7F"/>
    <w:rsid w:val="00FD6C75"/>
    <w:rsid w:val="00FD7972"/>
    <w:rsid w:val="00FE0401"/>
    <w:rsid w:val="00FE3CEB"/>
    <w:rsid w:val="00FE71B3"/>
    <w:rsid w:val="00FF03F8"/>
    <w:rsid w:val="00FF364A"/>
    <w:rsid w:val="00FF3683"/>
    <w:rsid w:val="00FF3B02"/>
    <w:rsid w:val="00FF42C5"/>
    <w:rsid w:val="00FF5C6C"/>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2E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1320E"/>
    <w:rPr>
      <w:sz w:val="24"/>
      <w:szCs w:val="24"/>
    </w:rPr>
  </w:style>
  <w:style w:type="paragraph" w:styleId="Heading1">
    <w:name w:val="heading 1"/>
    <w:basedOn w:val="Normal"/>
    <w:next w:val="Normal"/>
    <w:link w:val="Heading1Char"/>
    <w:uiPriority w:val="98"/>
    <w:rsid w:val="002B5B4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2B5B4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2B5B43"/>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2B5B43"/>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2B5B43"/>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2B5B43"/>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2B5B43"/>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2B5B4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2B5B4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2B5B43"/>
    <w:rPr>
      <w:rFonts w:ascii="Tahoma" w:hAnsi="Tahoma" w:cs="Tahoma"/>
      <w:sz w:val="16"/>
      <w:szCs w:val="16"/>
    </w:rPr>
  </w:style>
  <w:style w:type="character" w:customStyle="1" w:styleId="BalloonTextChar">
    <w:name w:val="Balloon Text Char"/>
    <w:basedOn w:val="DefaultParagraphFont"/>
    <w:link w:val="BalloonText"/>
    <w:uiPriority w:val="98"/>
    <w:semiHidden/>
    <w:rsid w:val="002B5B43"/>
    <w:rPr>
      <w:rFonts w:ascii="Tahoma" w:hAnsi="Tahoma" w:cs="Tahoma"/>
      <w:sz w:val="16"/>
      <w:szCs w:val="16"/>
      <w:lang w:val="ro-RO"/>
    </w:rPr>
  </w:style>
  <w:style w:type="character" w:styleId="BookTitle">
    <w:name w:val="Book Title"/>
    <w:uiPriority w:val="98"/>
    <w:qFormat/>
    <w:rsid w:val="002B5B43"/>
    <w:rPr>
      <w:i/>
      <w:iCs/>
      <w:smallCaps/>
      <w:spacing w:val="5"/>
    </w:rPr>
  </w:style>
  <w:style w:type="paragraph" w:customStyle="1" w:styleId="JuHeader">
    <w:name w:val="Ju_Header"/>
    <w:aliases w:val="_Header"/>
    <w:basedOn w:val="Header"/>
    <w:uiPriority w:val="29"/>
    <w:qFormat/>
    <w:rsid w:val="002B5B43"/>
    <w:pPr>
      <w:tabs>
        <w:tab w:val="clear" w:pos="4536"/>
        <w:tab w:val="clear" w:pos="9072"/>
      </w:tabs>
      <w:jc w:val="center"/>
    </w:pPr>
    <w:rPr>
      <w:sz w:val="18"/>
    </w:rPr>
  </w:style>
  <w:style w:type="paragraph" w:customStyle="1" w:styleId="NormalJustified">
    <w:name w:val="Normal_Justified"/>
    <w:basedOn w:val="Normal"/>
    <w:semiHidden/>
    <w:rsid w:val="002B5B43"/>
    <w:pPr>
      <w:jc w:val="both"/>
    </w:pPr>
  </w:style>
  <w:style w:type="character" w:styleId="Strong">
    <w:name w:val="Strong"/>
    <w:uiPriority w:val="98"/>
    <w:qFormat/>
    <w:rsid w:val="002B5B43"/>
    <w:rPr>
      <w:b/>
      <w:bCs/>
    </w:rPr>
  </w:style>
  <w:style w:type="paragraph" w:styleId="NoSpacing">
    <w:name w:val="No Spacing"/>
    <w:basedOn w:val="Normal"/>
    <w:link w:val="NoSpacingChar"/>
    <w:uiPriority w:val="98"/>
    <w:qFormat/>
    <w:rsid w:val="002B5B43"/>
  </w:style>
  <w:style w:type="character" w:customStyle="1" w:styleId="NoSpacingChar">
    <w:name w:val="No Spacing Char"/>
    <w:basedOn w:val="DefaultParagraphFont"/>
    <w:link w:val="NoSpacing"/>
    <w:uiPriority w:val="98"/>
    <w:rsid w:val="002B5B43"/>
    <w:rPr>
      <w:sz w:val="24"/>
      <w:szCs w:val="24"/>
      <w:lang w:val="ro-RO"/>
    </w:rPr>
  </w:style>
  <w:style w:type="paragraph" w:customStyle="1" w:styleId="JuQuot">
    <w:name w:val="Ju_Quot"/>
    <w:aliases w:val="_Quote"/>
    <w:basedOn w:val="NormalJustified"/>
    <w:qFormat/>
    <w:rsid w:val="002B5B43"/>
    <w:pPr>
      <w:spacing w:before="120" w:after="120"/>
      <w:ind w:left="425" w:firstLine="142"/>
    </w:pPr>
    <w:rPr>
      <w:sz w:val="20"/>
    </w:rPr>
  </w:style>
  <w:style w:type="paragraph" w:customStyle="1" w:styleId="DummyStyle">
    <w:name w:val="Dummy_Style"/>
    <w:aliases w:val="_Dummy"/>
    <w:basedOn w:val="Normal"/>
    <w:semiHidden/>
    <w:qFormat/>
    <w:rsid w:val="002B5B43"/>
    <w:rPr>
      <w:color w:val="00B050"/>
      <w:sz w:val="22"/>
    </w:rPr>
  </w:style>
  <w:style w:type="paragraph" w:customStyle="1" w:styleId="JuList">
    <w:name w:val="Ju_List"/>
    <w:aliases w:val="_List_1"/>
    <w:basedOn w:val="NormalJustified"/>
    <w:uiPriority w:val="23"/>
    <w:qFormat/>
    <w:rsid w:val="002B5B43"/>
    <w:pPr>
      <w:numPr>
        <w:numId w:val="10"/>
      </w:numPr>
      <w:spacing w:before="280" w:after="60"/>
    </w:pPr>
  </w:style>
  <w:style w:type="paragraph" w:customStyle="1" w:styleId="JuLista">
    <w:name w:val="Ju_List_a"/>
    <w:aliases w:val="_List_2"/>
    <w:basedOn w:val="NormalJustified"/>
    <w:uiPriority w:val="23"/>
    <w:rsid w:val="002B5B43"/>
    <w:pPr>
      <w:numPr>
        <w:ilvl w:val="1"/>
        <w:numId w:val="10"/>
      </w:numPr>
    </w:pPr>
  </w:style>
  <w:style w:type="paragraph" w:customStyle="1" w:styleId="JuListi">
    <w:name w:val="Ju_List_i"/>
    <w:aliases w:val="_List_3"/>
    <w:basedOn w:val="NormalJustified"/>
    <w:uiPriority w:val="23"/>
    <w:rsid w:val="002B5B43"/>
    <w:pPr>
      <w:numPr>
        <w:ilvl w:val="2"/>
        <w:numId w:val="10"/>
      </w:numPr>
    </w:pPr>
  </w:style>
  <w:style w:type="paragraph" w:customStyle="1" w:styleId="JuHArticle">
    <w:name w:val="Ju_H_Article"/>
    <w:aliases w:val="_Title_Quote"/>
    <w:basedOn w:val="Normal"/>
    <w:next w:val="JuQuot"/>
    <w:uiPriority w:val="19"/>
    <w:qFormat/>
    <w:rsid w:val="002B5B43"/>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E45801"/>
    <w:pPr>
      <w:keepNext/>
      <w:keepLines/>
      <w:spacing w:after="240"/>
      <w:ind w:firstLine="0"/>
      <w:jc w:val="center"/>
    </w:pPr>
    <w:rPr>
      <w:rFonts w:asciiTheme="majorHAnsi" w:hAnsiTheme="majorHAnsi"/>
      <w:sz w:val="28"/>
    </w:rPr>
  </w:style>
  <w:style w:type="paragraph" w:customStyle="1" w:styleId="ECHRCoverTitle4">
    <w:name w:val="ECHR_Cover_Title_4"/>
    <w:aliases w:val="_Title_4"/>
    <w:basedOn w:val="JuPara"/>
    <w:next w:val="JuPara"/>
    <w:uiPriority w:val="38"/>
    <w:qFormat/>
    <w:rsid w:val="002B5B43"/>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2B5B43"/>
    <w:pPr>
      <w:keepNext/>
      <w:keepLines/>
      <w:numPr>
        <w:numId w:val="9"/>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2B5B43"/>
    <w:pPr>
      <w:numPr>
        <w:numId w:val="4"/>
      </w:numPr>
    </w:pPr>
  </w:style>
  <w:style w:type="paragraph" w:customStyle="1" w:styleId="JuSigned">
    <w:name w:val="Ju_Signed"/>
    <w:aliases w:val="_Signature"/>
    <w:basedOn w:val="Normal"/>
    <w:next w:val="JuPara"/>
    <w:uiPriority w:val="31"/>
    <w:qFormat/>
    <w:rsid w:val="002B5B43"/>
    <w:pPr>
      <w:tabs>
        <w:tab w:val="center" w:pos="1418"/>
        <w:tab w:val="center" w:pos="5954"/>
      </w:tabs>
      <w:spacing w:before="720"/>
    </w:pPr>
  </w:style>
  <w:style w:type="paragraph" w:styleId="Title">
    <w:name w:val="Title"/>
    <w:basedOn w:val="Normal"/>
    <w:next w:val="Normal"/>
    <w:link w:val="TitleChar"/>
    <w:uiPriority w:val="98"/>
    <w:qFormat/>
    <w:rsid w:val="002B5B4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2B5B43"/>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2B5B43"/>
    <w:pPr>
      <w:numPr>
        <w:numId w:val="5"/>
      </w:numPr>
    </w:pPr>
  </w:style>
  <w:style w:type="numbering" w:customStyle="1" w:styleId="ECHRA1StyleNumberedList">
    <w:name w:val="ECHR_A1_Style_Numbered_List"/>
    <w:basedOn w:val="NoList"/>
    <w:rsid w:val="002B5B43"/>
    <w:pPr>
      <w:numPr>
        <w:numId w:val="6"/>
      </w:numPr>
    </w:pPr>
  </w:style>
  <w:style w:type="table" w:customStyle="1" w:styleId="ECHRTable2019">
    <w:name w:val="ECHR_Table_2019"/>
    <w:basedOn w:val="TableNormal"/>
    <w:uiPriority w:val="99"/>
    <w:rsid w:val="002B5B4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2B5B43"/>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2B5B43"/>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2B5B43"/>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2B5B43"/>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2B5B43"/>
    <w:pPr>
      <w:tabs>
        <w:tab w:val="center" w:pos="4536"/>
        <w:tab w:val="right" w:pos="9072"/>
      </w:tabs>
    </w:pPr>
  </w:style>
  <w:style w:type="character" w:customStyle="1" w:styleId="HeaderChar">
    <w:name w:val="Header Char"/>
    <w:basedOn w:val="DefaultParagraphFont"/>
    <w:link w:val="Header"/>
    <w:uiPriority w:val="98"/>
    <w:semiHidden/>
    <w:rsid w:val="002B5B43"/>
    <w:rPr>
      <w:sz w:val="24"/>
      <w:szCs w:val="24"/>
      <w:lang w:val="ro-RO"/>
    </w:rPr>
  </w:style>
  <w:style w:type="character" w:customStyle="1" w:styleId="Heading1Char">
    <w:name w:val="Heading 1 Char"/>
    <w:basedOn w:val="DefaultParagraphFont"/>
    <w:link w:val="Heading1"/>
    <w:uiPriority w:val="98"/>
    <w:rsid w:val="002B5B43"/>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2B5B43"/>
    <w:pPr>
      <w:keepNext/>
      <w:keepLines/>
      <w:numPr>
        <w:ilvl w:val="4"/>
        <w:numId w:val="9"/>
      </w:numPr>
      <w:spacing w:before="100" w:beforeAutospacing="1" w:after="120"/>
      <w:jc w:val="both"/>
    </w:pPr>
    <w:rPr>
      <w:color w:val="auto"/>
      <w:sz w:val="20"/>
    </w:rPr>
  </w:style>
  <w:style w:type="paragraph" w:customStyle="1" w:styleId="JuHi">
    <w:name w:val="Ju_H_i"/>
    <w:aliases w:val="_Head_6"/>
    <w:basedOn w:val="Heading6"/>
    <w:next w:val="JuPara"/>
    <w:uiPriority w:val="17"/>
    <w:rsid w:val="002B5B43"/>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2B5B43"/>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2B5B43"/>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2B5B43"/>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2B5B43"/>
    <w:rPr>
      <w:rFonts w:asciiTheme="majorHAnsi" w:eastAsiaTheme="majorEastAsia" w:hAnsiTheme="majorHAnsi" w:cstheme="majorBidi"/>
      <w:b/>
      <w:bCs/>
      <w:color w:val="5F5F5F"/>
      <w:lang w:val="ro-RO"/>
    </w:rPr>
  </w:style>
  <w:style w:type="paragraph" w:customStyle="1" w:styleId="JuParaLast">
    <w:name w:val="Ju_Para_Last"/>
    <w:aliases w:val="ECHR_Para_Spaced,_Para_Spaced"/>
    <w:basedOn w:val="NormalJustified"/>
    <w:uiPriority w:val="5"/>
    <w:qFormat/>
    <w:rsid w:val="002B5B43"/>
    <w:pPr>
      <w:keepNext/>
      <w:keepLines/>
      <w:spacing w:before="240" w:after="240"/>
      <w:ind w:firstLine="284"/>
    </w:pPr>
  </w:style>
  <w:style w:type="paragraph" w:customStyle="1" w:styleId="JuJudges">
    <w:name w:val="Ju_Judges"/>
    <w:aliases w:val="_Judges"/>
    <w:basedOn w:val="Normal"/>
    <w:uiPriority w:val="32"/>
    <w:qFormat/>
    <w:rsid w:val="002B5B43"/>
    <w:pPr>
      <w:tabs>
        <w:tab w:val="left" w:pos="567"/>
        <w:tab w:val="left" w:pos="1134"/>
      </w:tabs>
    </w:pPr>
  </w:style>
  <w:style w:type="character" w:customStyle="1" w:styleId="Heading4Char">
    <w:name w:val="Heading 4 Char"/>
    <w:basedOn w:val="DefaultParagraphFont"/>
    <w:link w:val="Heading4"/>
    <w:uiPriority w:val="98"/>
    <w:semiHidden/>
    <w:rsid w:val="002B5B43"/>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2B5B43"/>
    <w:pPr>
      <w:tabs>
        <w:tab w:val="center" w:pos="6407"/>
      </w:tabs>
      <w:spacing w:before="720"/>
      <w:jc w:val="right"/>
    </w:pPr>
  </w:style>
  <w:style w:type="character" w:customStyle="1" w:styleId="Heading5Char">
    <w:name w:val="Heading 5 Char"/>
    <w:basedOn w:val="DefaultParagraphFont"/>
    <w:link w:val="Heading5"/>
    <w:uiPriority w:val="98"/>
    <w:semiHidden/>
    <w:rsid w:val="002B5B43"/>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2B5B43"/>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2B5B43"/>
    <w:rPr>
      <w:caps w:val="0"/>
      <w:smallCaps/>
    </w:rPr>
  </w:style>
  <w:style w:type="character" w:styleId="SubtleEmphasis">
    <w:name w:val="Subtle Emphasis"/>
    <w:uiPriority w:val="98"/>
    <w:qFormat/>
    <w:rsid w:val="002B5B43"/>
    <w:rPr>
      <w:i/>
      <w:iCs/>
    </w:rPr>
  </w:style>
  <w:style w:type="table" w:customStyle="1" w:styleId="ECHRTable">
    <w:name w:val="ECHR_Table"/>
    <w:basedOn w:val="TableNormal"/>
    <w:rsid w:val="002B5B4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2B5B43"/>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qFormat/>
    <w:rsid w:val="002B5B43"/>
    <w:rPr>
      <w:b/>
      <w:bCs/>
      <w:i/>
      <w:iCs/>
      <w:spacing w:val="10"/>
      <w:bdr w:val="none" w:sz="0" w:space="0" w:color="auto"/>
      <w:shd w:val="clear" w:color="auto" w:fill="auto"/>
    </w:rPr>
  </w:style>
  <w:style w:type="paragraph" w:styleId="Footer0">
    <w:name w:val="footer"/>
    <w:basedOn w:val="Normal"/>
    <w:link w:val="FooterChar"/>
    <w:uiPriority w:val="98"/>
    <w:semiHidden/>
    <w:rsid w:val="002B5B43"/>
    <w:pPr>
      <w:tabs>
        <w:tab w:val="center" w:pos="3686"/>
        <w:tab w:val="right" w:pos="7371"/>
      </w:tabs>
    </w:pPr>
  </w:style>
  <w:style w:type="character" w:customStyle="1" w:styleId="FooterChar">
    <w:name w:val="Footer Char"/>
    <w:basedOn w:val="DefaultParagraphFont"/>
    <w:link w:val="Footer0"/>
    <w:uiPriority w:val="98"/>
    <w:semiHidden/>
    <w:rsid w:val="002B5B43"/>
    <w:rPr>
      <w:sz w:val="24"/>
      <w:szCs w:val="24"/>
      <w:lang w:val="ro-RO"/>
    </w:rPr>
  </w:style>
  <w:style w:type="character" w:styleId="FootnoteReference">
    <w:name w:val="footnote reference"/>
    <w:basedOn w:val="DefaultParagraphFont"/>
    <w:uiPriority w:val="98"/>
    <w:semiHidden/>
    <w:rsid w:val="002B5B43"/>
    <w:rPr>
      <w:vertAlign w:val="superscript"/>
    </w:rPr>
  </w:style>
  <w:style w:type="paragraph" w:styleId="FootnoteText">
    <w:name w:val="footnote text"/>
    <w:basedOn w:val="NormalJustified"/>
    <w:link w:val="FootnoteTextChar"/>
    <w:uiPriority w:val="98"/>
    <w:semiHidden/>
    <w:rsid w:val="002B5B43"/>
    <w:rPr>
      <w:sz w:val="20"/>
      <w:szCs w:val="20"/>
    </w:rPr>
  </w:style>
  <w:style w:type="character" w:customStyle="1" w:styleId="FootnoteTextChar">
    <w:name w:val="Footnote Text Char"/>
    <w:basedOn w:val="DefaultParagraphFont"/>
    <w:link w:val="FootnoteText"/>
    <w:uiPriority w:val="98"/>
    <w:semiHidden/>
    <w:rsid w:val="002B5B43"/>
    <w:rPr>
      <w:sz w:val="20"/>
      <w:szCs w:val="20"/>
      <w:lang w:val="ro-RO"/>
    </w:rPr>
  </w:style>
  <w:style w:type="character" w:customStyle="1" w:styleId="Heading6Char">
    <w:name w:val="Heading 6 Char"/>
    <w:basedOn w:val="DefaultParagraphFont"/>
    <w:link w:val="Heading6"/>
    <w:uiPriority w:val="98"/>
    <w:semiHidden/>
    <w:rsid w:val="002B5B43"/>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2B5B43"/>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2B5B43"/>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2B5B43"/>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2B5B43"/>
    <w:rPr>
      <w:color w:val="0072BC" w:themeColor="hyperlink"/>
      <w:u w:val="single"/>
    </w:rPr>
  </w:style>
  <w:style w:type="character" w:styleId="IntenseEmphasis">
    <w:name w:val="Intense Emphasis"/>
    <w:uiPriority w:val="98"/>
    <w:qFormat/>
    <w:rsid w:val="002B5B43"/>
    <w:rPr>
      <w:b/>
      <w:bCs/>
    </w:rPr>
  </w:style>
  <w:style w:type="paragraph" w:styleId="IntenseQuote">
    <w:name w:val="Intense Quote"/>
    <w:basedOn w:val="Normal"/>
    <w:next w:val="Normal"/>
    <w:link w:val="IntenseQuoteChar"/>
    <w:uiPriority w:val="98"/>
    <w:qFormat/>
    <w:rsid w:val="002B5B43"/>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2B5B43"/>
    <w:rPr>
      <w:b/>
      <w:bCs/>
      <w:i/>
      <w:iCs/>
      <w:sz w:val="24"/>
      <w:szCs w:val="24"/>
      <w:lang w:val="ro-RO" w:bidi="en-US"/>
    </w:rPr>
  </w:style>
  <w:style w:type="character" w:styleId="IntenseReference">
    <w:name w:val="Intense Reference"/>
    <w:uiPriority w:val="98"/>
    <w:qFormat/>
    <w:rsid w:val="002B5B43"/>
    <w:rPr>
      <w:smallCaps/>
      <w:spacing w:val="5"/>
      <w:u w:val="single"/>
    </w:rPr>
  </w:style>
  <w:style w:type="paragraph" w:styleId="ListParagraph">
    <w:name w:val="List Paragraph"/>
    <w:basedOn w:val="Normal"/>
    <w:uiPriority w:val="98"/>
    <w:qFormat/>
    <w:rsid w:val="002B5B43"/>
    <w:pPr>
      <w:ind w:left="720"/>
      <w:contextualSpacing/>
    </w:pPr>
  </w:style>
  <w:style w:type="table" w:customStyle="1" w:styleId="LtrTableAddress">
    <w:name w:val="Ltr_Table_Address"/>
    <w:aliases w:val="ECHR_Ltr_Table_Address"/>
    <w:basedOn w:val="TableNormal"/>
    <w:uiPriority w:val="99"/>
    <w:rsid w:val="002B5B43"/>
    <w:rPr>
      <w:sz w:val="24"/>
      <w:szCs w:val="24"/>
    </w:rPr>
    <w:tblPr>
      <w:tblInd w:w="5103" w:type="dxa"/>
    </w:tblPr>
  </w:style>
  <w:style w:type="paragraph" w:styleId="Quote">
    <w:name w:val="Quote"/>
    <w:basedOn w:val="Normal"/>
    <w:next w:val="Normal"/>
    <w:link w:val="QuoteChar"/>
    <w:uiPriority w:val="98"/>
    <w:qFormat/>
    <w:rsid w:val="002B5B43"/>
    <w:pPr>
      <w:spacing w:before="200"/>
      <w:ind w:left="360" w:right="360"/>
    </w:pPr>
    <w:rPr>
      <w:i/>
      <w:iCs/>
      <w:lang w:bidi="en-US"/>
    </w:rPr>
  </w:style>
  <w:style w:type="character" w:customStyle="1" w:styleId="QuoteChar">
    <w:name w:val="Quote Char"/>
    <w:basedOn w:val="DefaultParagraphFont"/>
    <w:link w:val="Quote"/>
    <w:uiPriority w:val="98"/>
    <w:rsid w:val="002B5B43"/>
    <w:rPr>
      <w:i/>
      <w:iCs/>
      <w:sz w:val="24"/>
      <w:szCs w:val="24"/>
      <w:lang w:val="ro-RO" w:bidi="en-US"/>
    </w:rPr>
  </w:style>
  <w:style w:type="character" w:styleId="SubtleReference">
    <w:name w:val="Subtle Reference"/>
    <w:uiPriority w:val="98"/>
    <w:qFormat/>
    <w:rsid w:val="002B5B43"/>
    <w:rPr>
      <w:smallCaps/>
    </w:rPr>
  </w:style>
  <w:style w:type="table" w:styleId="TableGrid">
    <w:name w:val="Table Grid"/>
    <w:basedOn w:val="TableNormal"/>
    <w:uiPriority w:val="59"/>
    <w:rsid w:val="002B5B43"/>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314B21"/>
    <w:pPr>
      <w:keepNext/>
      <w:tabs>
        <w:tab w:val="right" w:leader="dot" w:pos="7371"/>
      </w:tabs>
      <w:spacing w:before="160" w:after="60" w:line="240" w:lineRule="exact"/>
      <w:ind w:left="340" w:hanging="340"/>
    </w:pPr>
    <w:rPr>
      <w:b/>
      <w:sz w:val="20"/>
    </w:rPr>
  </w:style>
  <w:style w:type="paragraph" w:styleId="TOC2">
    <w:name w:val="toc 2"/>
    <w:basedOn w:val="Normal"/>
    <w:next w:val="Normal"/>
    <w:uiPriority w:val="39"/>
    <w:rsid w:val="00314B21"/>
    <w:pPr>
      <w:keepNext/>
      <w:tabs>
        <w:tab w:val="right" w:leader="dot" w:pos="7371"/>
      </w:tabs>
      <w:spacing w:after="60" w:line="240" w:lineRule="exact"/>
      <w:ind w:left="680" w:hanging="340"/>
    </w:pPr>
    <w:rPr>
      <w:sz w:val="20"/>
    </w:rPr>
  </w:style>
  <w:style w:type="paragraph" w:styleId="TOC3">
    <w:name w:val="toc 3"/>
    <w:basedOn w:val="Normal"/>
    <w:next w:val="Normal"/>
    <w:uiPriority w:val="39"/>
    <w:rsid w:val="00314B21"/>
    <w:pPr>
      <w:keepNext/>
      <w:tabs>
        <w:tab w:val="right" w:leader="dot" w:pos="7371"/>
      </w:tabs>
      <w:spacing w:after="60" w:line="240" w:lineRule="exact"/>
      <w:ind w:left="1020" w:hanging="340"/>
    </w:pPr>
    <w:rPr>
      <w:sz w:val="20"/>
    </w:rPr>
  </w:style>
  <w:style w:type="paragraph" w:styleId="TOC4">
    <w:name w:val="toc 4"/>
    <w:basedOn w:val="Normal"/>
    <w:next w:val="Normal"/>
    <w:uiPriority w:val="39"/>
    <w:rsid w:val="00314B21"/>
    <w:pPr>
      <w:keepNext/>
      <w:tabs>
        <w:tab w:val="right" w:leader="dot" w:pos="7371"/>
      </w:tabs>
      <w:spacing w:after="60" w:line="240" w:lineRule="exact"/>
      <w:ind w:left="1361" w:hanging="340"/>
    </w:pPr>
    <w:rPr>
      <w:sz w:val="20"/>
    </w:rPr>
  </w:style>
  <w:style w:type="paragraph" w:styleId="TOC5">
    <w:name w:val="toc 5"/>
    <w:basedOn w:val="Normal"/>
    <w:next w:val="Normal"/>
    <w:uiPriority w:val="39"/>
    <w:rsid w:val="00314B21"/>
    <w:pPr>
      <w:tabs>
        <w:tab w:val="right" w:leader="dot" w:pos="7371"/>
      </w:tabs>
      <w:spacing w:after="60" w:line="240" w:lineRule="exact"/>
      <w:ind w:left="1701" w:hanging="340"/>
    </w:pPr>
    <w:rPr>
      <w:sz w:val="20"/>
    </w:rPr>
  </w:style>
  <w:style w:type="paragraph" w:styleId="TOCHeading">
    <w:name w:val="TOC Heading"/>
    <w:basedOn w:val="Normal"/>
    <w:next w:val="Normal"/>
    <w:uiPriority w:val="98"/>
    <w:semiHidden/>
    <w:qFormat/>
    <w:rsid w:val="00314B21"/>
    <w:pPr>
      <w:keepNext/>
      <w:keepLines/>
      <w:spacing w:after="240"/>
      <w:contextualSpacing/>
      <w:jc w:val="center"/>
    </w:pPr>
    <w:rPr>
      <w:rFonts w:asciiTheme="majorHAnsi" w:hAnsiTheme="majorHAnsi"/>
      <w:b/>
      <w:color w:val="474747" w:themeColor="accent3" w:themeShade="BF"/>
      <w:sz w:val="20"/>
    </w:rPr>
  </w:style>
  <w:style w:type="table" w:customStyle="1" w:styleId="UGTable">
    <w:name w:val="UG_Table"/>
    <w:aliases w:val="ECHR_UG_Table"/>
    <w:basedOn w:val="TableNormal"/>
    <w:uiPriority w:val="99"/>
    <w:rsid w:val="002B5B43"/>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2B5B43"/>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2B5B43"/>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2B5B43"/>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B5B43"/>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2B5B43"/>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2B5B43"/>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qFormat/>
    <w:rsid w:val="002B5B43"/>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2B5B43"/>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2B5B43"/>
    <w:pPr>
      <w:numPr>
        <w:numId w:val="1"/>
      </w:numPr>
    </w:pPr>
  </w:style>
  <w:style w:type="paragraph" w:customStyle="1" w:styleId="JuPara">
    <w:name w:val="Ju_Para"/>
    <w:aliases w:val="_Para"/>
    <w:basedOn w:val="NormalJustified"/>
    <w:link w:val="JuParaChar"/>
    <w:uiPriority w:val="4"/>
    <w:qFormat/>
    <w:rsid w:val="002B5B43"/>
    <w:pPr>
      <w:ind w:firstLine="284"/>
    </w:pPr>
  </w:style>
  <w:style w:type="numbering" w:styleId="1ai">
    <w:name w:val="Outline List 1"/>
    <w:basedOn w:val="NoList"/>
    <w:uiPriority w:val="99"/>
    <w:semiHidden/>
    <w:unhideWhenUsed/>
    <w:rsid w:val="002B5B43"/>
    <w:pPr>
      <w:numPr>
        <w:numId w:val="2"/>
      </w:numPr>
    </w:pPr>
  </w:style>
  <w:style w:type="table" w:customStyle="1" w:styleId="ECHRTableSimpleBox">
    <w:name w:val="ECHR_Table_Simple_Box"/>
    <w:basedOn w:val="TableNormal"/>
    <w:uiPriority w:val="99"/>
    <w:rsid w:val="002B5B43"/>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2B5B43"/>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2B5B43"/>
    <w:pPr>
      <w:numPr>
        <w:numId w:val="3"/>
      </w:numPr>
    </w:pPr>
  </w:style>
  <w:style w:type="table" w:customStyle="1" w:styleId="ECHRTableForInternalUse">
    <w:name w:val="ECHR_Table_For_Internal_Use"/>
    <w:basedOn w:val="TableNormal"/>
    <w:uiPriority w:val="99"/>
    <w:rsid w:val="002B5B43"/>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2B5B43"/>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2B5B43"/>
  </w:style>
  <w:style w:type="paragraph" w:styleId="BlockText">
    <w:name w:val="Block Text"/>
    <w:basedOn w:val="Normal"/>
    <w:uiPriority w:val="98"/>
    <w:semiHidden/>
    <w:rsid w:val="002B5B43"/>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2B5B43"/>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2B5B43"/>
    <w:pPr>
      <w:spacing w:after="120"/>
    </w:pPr>
  </w:style>
  <w:style w:type="character" w:customStyle="1" w:styleId="BodyTextChar">
    <w:name w:val="Body Text Char"/>
    <w:basedOn w:val="DefaultParagraphFont"/>
    <w:link w:val="BodyText"/>
    <w:uiPriority w:val="98"/>
    <w:semiHidden/>
    <w:rsid w:val="002B5B43"/>
    <w:rPr>
      <w:sz w:val="24"/>
      <w:szCs w:val="24"/>
      <w:lang w:val="ro-RO"/>
    </w:rPr>
  </w:style>
  <w:style w:type="table" w:customStyle="1" w:styleId="ECHRTableOddBanded">
    <w:name w:val="ECHR_Table_Odd_Banded"/>
    <w:basedOn w:val="TableNormal"/>
    <w:uiPriority w:val="99"/>
    <w:rsid w:val="002B5B4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2B5B43"/>
    <w:pPr>
      <w:spacing w:after="120" w:line="480" w:lineRule="auto"/>
    </w:pPr>
  </w:style>
  <w:style w:type="table" w:customStyle="1" w:styleId="ECHRHeaderTableReduced">
    <w:name w:val="ECHR_Header_Table_Reduced"/>
    <w:basedOn w:val="TableNormal"/>
    <w:uiPriority w:val="99"/>
    <w:rsid w:val="002B5B43"/>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2B5B43"/>
    <w:pPr>
      <w:ind w:firstLine="284"/>
    </w:pPr>
    <w:rPr>
      <w:b/>
    </w:rPr>
  </w:style>
  <w:style w:type="character" w:styleId="PageNumber">
    <w:name w:val="page number"/>
    <w:uiPriority w:val="98"/>
    <w:semiHidden/>
    <w:rsid w:val="002B5B43"/>
    <w:rPr>
      <w:sz w:val="18"/>
    </w:rPr>
  </w:style>
  <w:style w:type="paragraph" w:styleId="ListBullet">
    <w:name w:val="List Bullet"/>
    <w:basedOn w:val="Normal"/>
    <w:uiPriority w:val="98"/>
    <w:semiHidden/>
    <w:rsid w:val="002B5B43"/>
    <w:pPr>
      <w:numPr>
        <w:numId w:val="11"/>
      </w:numPr>
    </w:pPr>
  </w:style>
  <w:style w:type="paragraph" w:styleId="ListBullet3">
    <w:name w:val="List Bullet 3"/>
    <w:basedOn w:val="Normal"/>
    <w:uiPriority w:val="98"/>
    <w:semiHidden/>
    <w:rsid w:val="002B5B43"/>
    <w:pPr>
      <w:numPr>
        <w:numId w:val="13"/>
      </w:numPr>
      <w:contextualSpacing/>
    </w:pPr>
  </w:style>
  <w:style w:type="character" w:customStyle="1" w:styleId="BodyText2Char">
    <w:name w:val="Body Text 2 Char"/>
    <w:basedOn w:val="DefaultParagraphFont"/>
    <w:link w:val="BodyText2"/>
    <w:uiPriority w:val="98"/>
    <w:semiHidden/>
    <w:rsid w:val="002B5B43"/>
    <w:rPr>
      <w:sz w:val="24"/>
      <w:szCs w:val="24"/>
      <w:lang w:val="ro-RO"/>
    </w:rPr>
  </w:style>
  <w:style w:type="paragraph" w:styleId="BodyText3">
    <w:name w:val="Body Text 3"/>
    <w:basedOn w:val="Normal"/>
    <w:link w:val="BodyText3Char"/>
    <w:uiPriority w:val="98"/>
    <w:semiHidden/>
    <w:rsid w:val="002B5B43"/>
    <w:pPr>
      <w:spacing w:after="120"/>
    </w:pPr>
    <w:rPr>
      <w:sz w:val="16"/>
      <w:szCs w:val="16"/>
    </w:rPr>
  </w:style>
  <w:style w:type="character" w:customStyle="1" w:styleId="BodyText3Char">
    <w:name w:val="Body Text 3 Char"/>
    <w:basedOn w:val="DefaultParagraphFont"/>
    <w:link w:val="BodyText3"/>
    <w:uiPriority w:val="98"/>
    <w:semiHidden/>
    <w:rsid w:val="002B5B43"/>
    <w:rPr>
      <w:sz w:val="16"/>
      <w:szCs w:val="16"/>
      <w:lang w:val="ro-RO"/>
    </w:rPr>
  </w:style>
  <w:style w:type="paragraph" w:styleId="BodyTextFirstIndent">
    <w:name w:val="Body Text First Indent"/>
    <w:basedOn w:val="BodyText"/>
    <w:link w:val="BodyTextFirstIndentChar"/>
    <w:uiPriority w:val="98"/>
    <w:semiHidden/>
    <w:rsid w:val="002B5B43"/>
    <w:pPr>
      <w:spacing w:after="0"/>
      <w:ind w:firstLine="360"/>
    </w:pPr>
  </w:style>
  <w:style w:type="character" w:customStyle="1" w:styleId="BodyTextFirstIndentChar">
    <w:name w:val="Body Text First Indent Char"/>
    <w:basedOn w:val="BodyTextChar"/>
    <w:link w:val="BodyTextFirstIndent"/>
    <w:uiPriority w:val="98"/>
    <w:semiHidden/>
    <w:rsid w:val="002B5B43"/>
    <w:rPr>
      <w:sz w:val="24"/>
      <w:szCs w:val="24"/>
      <w:lang w:val="ro-RO"/>
    </w:rPr>
  </w:style>
  <w:style w:type="paragraph" w:styleId="BodyTextIndent">
    <w:name w:val="Body Text Indent"/>
    <w:basedOn w:val="Normal"/>
    <w:link w:val="BodyTextIndentChar"/>
    <w:uiPriority w:val="98"/>
    <w:semiHidden/>
    <w:rsid w:val="002B5B43"/>
    <w:pPr>
      <w:spacing w:after="120"/>
      <w:ind w:left="283"/>
    </w:pPr>
  </w:style>
  <w:style w:type="character" w:customStyle="1" w:styleId="BodyTextIndentChar">
    <w:name w:val="Body Text Indent Char"/>
    <w:basedOn w:val="DefaultParagraphFont"/>
    <w:link w:val="BodyTextIndent"/>
    <w:uiPriority w:val="98"/>
    <w:semiHidden/>
    <w:rsid w:val="002B5B43"/>
    <w:rPr>
      <w:sz w:val="24"/>
      <w:szCs w:val="24"/>
      <w:lang w:val="ro-RO"/>
    </w:rPr>
  </w:style>
  <w:style w:type="paragraph" w:styleId="BodyTextFirstIndent2">
    <w:name w:val="Body Text First Indent 2"/>
    <w:basedOn w:val="BodyTextIndent"/>
    <w:link w:val="BodyTextFirstIndent2Char"/>
    <w:uiPriority w:val="98"/>
    <w:semiHidden/>
    <w:rsid w:val="002B5B43"/>
    <w:pPr>
      <w:spacing w:after="0"/>
      <w:ind w:left="360" w:firstLine="360"/>
    </w:pPr>
  </w:style>
  <w:style w:type="character" w:customStyle="1" w:styleId="BodyTextFirstIndent2Char">
    <w:name w:val="Body Text First Indent 2 Char"/>
    <w:basedOn w:val="BodyTextIndentChar"/>
    <w:link w:val="BodyTextFirstIndent2"/>
    <w:uiPriority w:val="98"/>
    <w:semiHidden/>
    <w:rsid w:val="002B5B43"/>
    <w:rPr>
      <w:sz w:val="24"/>
      <w:szCs w:val="24"/>
      <w:lang w:val="ro-RO"/>
    </w:rPr>
  </w:style>
  <w:style w:type="paragraph" w:styleId="BodyTextIndent2">
    <w:name w:val="Body Text Indent 2"/>
    <w:basedOn w:val="Normal"/>
    <w:link w:val="BodyTextIndent2Char"/>
    <w:uiPriority w:val="98"/>
    <w:semiHidden/>
    <w:rsid w:val="002B5B43"/>
    <w:pPr>
      <w:spacing w:after="120" w:line="480" w:lineRule="auto"/>
      <w:ind w:left="283"/>
    </w:pPr>
  </w:style>
  <w:style w:type="character" w:customStyle="1" w:styleId="BodyTextIndent2Char">
    <w:name w:val="Body Text Indent 2 Char"/>
    <w:basedOn w:val="DefaultParagraphFont"/>
    <w:link w:val="BodyTextIndent2"/>
    <w:uiPriority w:val="98"/>
    <w:semiHidden/>
    <w:rsid w:val="002B5B43"/>
    <w:rPr>
      <w:sz w:val="24"/>
      <w:szCs w:val="24"/>
      <w:lang w:val="ro-RO"/>
    </w:rPr>
  </w:style>
  <w:style w:type="paragraph" w:styleId="BodyTextIndent3">
    <w:name w:val="Body Text Indent 3"/>
    <w:basedOn w:val="Normal"/>
    <w:link w:val="BodyTextIndent3Char"/>
    <w:uiPriority w:val="98"/>
    <w:semiHidden/>
    <w:rsid w:val="002B5B43"/>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2B5B43"/>
    <w:rPr>
      <w:sz w:val="16"/>
      <w:szCs w:val="16"/>
      <w:lang w:val="ro-RO"/>
    </w:rPr>
  </w:style>
  <w:style w:type="paragraph" w:styleId="Caption">
    <w:name w:val="caption"/>
    <w:basedOn w:val="Normal"/>
    <w:next w:val="Normal"/>
    <w:uiPriority w:val="98"/>
    <w:semiHidden/>
    <w:qFormat/>
    <w:rsid w:val="002B5B43"/>
    <w:pPr>
      <w:spacing w:after="200"/>
    </w:pPr>
    <w:rPr>
      <w:b/>
      <w:bCs/>
      <w:color w:val="0072BC" w:themeColor="accent1"/>
      <w:sz w:val="18"/>
      <w:szCs w:val="18"/>
    </w:rPr>
  </w:style>
  <w:style w:type="paragraph" w:styleId="Closing">
    <w:name w:val="Closing"/>
    <w:basedOn w:val="Normal"/>
    <w:link w:val="ClosingChar"/>
    <w:uiPriority w:val="98"/>
    <w:semiHidden/>
    <w:rsid w:val="002B5B43"/>
    <w:pPr>
      <w:ind w:left="4252"/>
    </w:pPr>
  </w:style>
  <w:style w:type="character" w:customStyle="1" w:styleId="ClosingChar">
    <w:name w:val="Closing Char"/>
    <w:basedOn w:val="DefaultParagraphFont"/>
    <w:link w:val="Closing"/>
    <w:uiPriority w:val="98"/>
    <w:semiHidden/>
    <w:rsid w:val="002B5B43"/>
    <w:rPr>
      <w:sz w:val="24"/>
      <w:szCs w:val="24"/>
      <w:lang w:val="ro-RO"/>
    </w:rPr>
  </w:style>
  <w:style w:type="table" w:styleId="ColorfulGrid">
    <w:name w:val="Colorful Grid"/>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2B5B43"/>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2B5B43"/>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2B5B43"/>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2B5B43"/>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2B5B43"/>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2B5B43"/>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2B5B43"/>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2B5B43"/>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2B5B43"/>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2B5B43"/>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2B5B43"/>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2B5B43"/>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2B5B43"/>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2B5B43"/>
    <w:rPr>
      <w:sz w:val="20"/>
      <w:szCs w:val="20"/>
      <w:lang w:val="ro-RO"/>
    </w:rPr>
  </w:style>
  <w:style w:type="paragraph" w:styleId="CommentSubject">
    <w:name w:val="annotation subject"/>
    <w:basedOn w:val="CommentText"/>
    <w:next w:val="CommentText"/>
    <w:link w:val="CommentSubjectChar"/>
    <w:uiPriority w:val="98"/>
    <w:semiHidden/>
    <w:rsid w:val="002B5B43"/>
    <w:rPr>
      <w:b/>
      <w:bCs/>
    </w:rPr>
  </w:style>
  <w:style w:type="character" w:customStyle="1" w:styleId="CommentSubjectChar">
    <w:name w:val="Comment Subject Char"/>
    <w:basedOn w:val="CommentTextChar"/>
    <w:link w:val="CommentSubject"/>
    <w:uiPriority w:val="98"/>
    <w:semiHidden/>
    <w:rsid w:val="002B5B43"/>
    <w:rPr>
      <w:b/>
      <w:bCs/>
      <w:sz w:val="20"/>
      <w:szCs w:val="20"/>
      <w:lang w:val="ro-RO"/>
    </w:rPr>
  </w:style>
  <w:style w:type="table" w:styleId="DarkList">
    <w:name w:val="Dark List"/>
    <w:basedOn w:val="TableNormal"/>
    <w:uiPriority w:val="70"/>
    <w:semiHidden/>
    <w:rsid w:val="002B5B43"/>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2B5B43"/>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2B5B43"/>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2B5B43"/>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2B5B43"/>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2B5B43"/>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2B5B43"/>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2B5B43"/>
  </w:style>
  <w:style w:type="character" w:customStyle="1" w:styleId="DateChar">
    <w:name w:val="Date Char"/>
    <w:basedOn w:val="DefaultParagraphFont"/>
    <w:link w:val="Date"/>
    <w:uiPriority w:val="98"/>
    <w:semiHidden/>
    <w:rsid w:val="002B5B43"/>
    <w:rPr>
      <w:sz w:val="24"/>
      <w:szCs w:val="24"/>
      <w:lang w:val="ro-RO"/>
    </w:rPr>
  </w:style>
  <w:style w:type="paragraph" w:styleId="DocumentMap">
    <w:name w:val="Document Map"/>
    <w:basedOn w:val="Normal"/>
    <w:link w:val="DocumentMapChar"/>
    <w:uiPriority w:val="98"/>
    <w:semiHidden/>
    <w:rsid w:val="002B5B43"/>
    <w:rPr>
      <w:rFonts w:ascii="Tahoma" w:hAnsi="Tahoma" w:cs="Tahoma"/>
      <w:sz w:val="16"/>
      <w:szCs w:val="16"/>
    </w:rPr>
  </w:style>
  <w:style w:type="character" w:customStyle="1" w:styleId="DocumentMapChar">
    <w:name w:val="Document Map Char"/>
    <w:basedOn w:val="DefaultParagraphFont"/>
    <w:link w:val="DocumentMap"/>
    <w:uiPriority w:val="98"/>
    <w:semiHidden/>
    <w:rsid w:val="002B5B43"/>
    <w:rPr>
      <w:rFonts w:ascii="Tahoma" w:hAnsi="Tahoma" w:cs="Tahoma"/>
      <w:sz w:val="16"/>
      <w:szCs w:val="16"/>
      <w:lang w:val="ro-RO"/>
    </w:rPr>
  </w:style>
  <w:style w:type="paragraph" w:styleId="E-mailSignature">
    <w:name w:val="E-mail Signature"/>
    <w:basedOn w:val="Normal"/>
    <w:link w:val="E-mailSignatureChar"/>
    <w:uiPriority w:val="98"/>
    <w:semiHidden/>
    <w:rsid w:val="002B5B43"/>
  </w:style>
  <w:style w:type="character" w:customStyle="1" w:styleId="E-mailSignatureChar">
    <w:name w:val="E-mail Signature Char"/>
    <w:basedOn w:val="DefaultParagraphFont"/>
    <w:link w:val="E-mailSignature"/>
    <w:uiPriority w:val="98"/>
    <w:semiHidden/>
    <w:rsid w:val="002B5B43"/>
    <w:rPr>
      <w:sz w:val="24"/>
      <w:szCs w:val="24"/>
      <w:lang w:val="ro-RO"/>
    </w:rPr>
  </w:style>
  <w:style w:type="character" w:styleId="EndnoteReference">
    <w:name w:val="endnote reference"/>
    <w:basedOn w:val="DefaultParagraphFont"/>
    <w:uiPriority w:val="98"/>
    <w:semiHidden/>
    <w:rsid w:val="002B5B43"/>
    <w:rPr>
      <w:vertAlign w:val="superscript"/>
    </w:rPr>
  </w:style>
  <w:style w:type="paragraph" w:styleId="EndnoteText">
    <w:name w:val="endnote text"/>
    <w:basedOn w:val="Normal"/>
    <w:link w:val="EndnoteTextChar"/>
    <w:uiPriority w:val="98"/>
    <w:semiHidden/>
    <w:rsid w:val="002B5B43"/>
    <w:rPr>
      <w:sz w:val="20"/>
      <w:szCs w:val="20"/>
    </w:rPr>
  </w:style>
  <w:style w:type="character" w:customStyle="1" w:styleId="EndnoteTextChar">
    <w:name w:val="Endnote Text Char"/>
    <w:basedOn w:val="DefaultParagraphFont"/>
    <w:link w:val="EndnoteText"/>
    <w:uiPriority w:val="98"/>
    <w:semiHidden/>
    <w:rsid w:val="002B5B43"/>
    <w:rPr>
      <w:sz w:val="20"/>
      <w:szCs w:val="20"/>
      <w:lang w:val="ro-RO"/>
    </w:rPr>
  </w:style>
  <w:style w:type="paragraph" w:styleId="EnvelopeAddress">
    <w:name w:val="envelope address"/>
    <w:basedOn w:val="Normal"/>
    <w:uiPriority w:val="98"/>
    <w:semiHidden/>
    <w:rsid w:val="002B5B43"/>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2B5B43"/>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2B5B43"/>
    <w:rPr>
      <w:color w:val="7030A0" w:themeColor="followedHyperlink"/>
      <w:u w:val="single"/>
    </w:rPr>
  </w:style>
  <w:style w:type="character" w:styleId="HTMLAcronym">
    <w:name w:val="HTML Acronym"/>
    <w:basedOn w:val="DefaultParagraphFont"/>
    <w:uiPriority w:val="98"/>
    <w:semiHidden/>
    <w:rsid w:val="002B5B43"/>
  </w:style>
  <w:style w:type="paragraph" w:styleId="HTMLAddress">
    <w:name w:val="HTML Address"/>
    <w:basedOn w:val="Normal"/>
    <w:link w:val="HTMLAddressChar"/>
    <w:uiPriority w:val="98"/>
    <w:semiHidden/>
    <w:rsid w:val="002B5B43"/>
    <w:rPr>
      <w:i/>
      <w:iCs/>
    </w:rPr>
  </w:style>
  <w:style w:type="character" w:customStyle="1" w:styleId="HTMLAddressChar">
    <w:name w:val="HTML Address Char"/>
    <w:basedOn w:val="DefaultParagraphFont"/>
    <w:link w:val="HTMLAddress"/>
    <w:uiPriority w:val="98"/>
    <w:semiHidden/>
    <w:rsid w:val="002B5B43"/>
    <w:rPr>
      <w:i/>
      <w:iCs/>
      <w:sz w:val="24"/>
      <w:szCs w:val="24"/>
      <w:lang w:val="ro-RO"/>
    </w:rPr>
  </w:style>
  <w:style w:type="character" w:styleId="HTMLCite">
    <w:name w:val="HTML Cite"/>
    <w:basedOn w:val="DefaultParagraphFont"/>
    <w:uiPriority w:val="98"/>
    <w:semiHidden/>
    <w:rsid w:val="002B5B43"/>
    <w:rPr>
      <w:i/>
      <w:iCs/>
    </w:rPr>
  </w:style>
  <w:style w:type="character" w:styleId="HTMLCode">
    <w:name w:val="HTML Code"/>
    <w:basedOn w:val="DefaultParagraphFont"/>
    <w:uiPriority w:val="98"/>
    <w:semiHidden/>
    <w:rsid w:val="002B5B43"/>
    <w:rPr>
      <w:rFonts w:ascii="Consolas" w:hAnsi="Consolas" w:cs="Consolas"/>
      <w:sz w:val="20"/>
      <w:szCs w:val="20"/>
    </w:rPr>
  </w:style>
  <w:style w:type="character" w:styleId="HTMLDefinition">
    <w:name w:val="HTML Definition"/>
    <w:basedOn w:val="DefaultParagraphFont"/>
    <w:uiPriority w:val="98"/>
    <w:semiHidden/>
    <w:rsid w:val="002B5B43"/>
    <w:rPr>
      <w:i/>
      <w:iCs/>
    </w:rPr>
  </w:style>
  <w:style w:type="character" w:styleId="HTMLKeyboard">
    <w:name w:val="HTML Keyboard"/>
    <w:basedOn w:val="DefaultParagraphFont"/>
    <w:uiPriority w:val="98"/>
    <w:semiHidden/>
    <w:rsid w:val="002B5B43"/>
    <w:rPr>
      <w:rFonts w:ascii="Consolas" w:hAnsi="Consolas" w:cs="Consolas"/>
      <w:sz w:val="20"/>
      <w:szCs w:val="20"/>
    </w:rPr>
  </w:style>
  <w:style w:type="paragraph" w:styleId="HTMLPreformatted">
    <w:name w:val="HTML Preformatted"/>
    <w:basedOn w:val="Normal"/>
    <w:link w:val="HTMLPreformattedChar"/>
    <w:uiPriority w:val="98"/>
    <w:semiHidden/>
    <w:rsid w:val="002B5B43"/>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2B5B43"/>
    <w:rPr>
      <w:rFonts w:ascii="Consolas" w:hAnsi="Consolas" w:cs="Consolas"/>
      <w:sz w:val="20"/>
      <w:szCs w:val="20"/>
      <w:lang w:val="ro-RO"/>
    </w:rPr>
  </w:style>
  <w:style w:type="character" w:styleId="HTMLSample">
    <w:name w:val="HTML Sample"/>
    <w:basedOn w:val="DefaultParagraphFont"/>
    <w:uiPriority w:val="98"/>
    <w:semiHidden/>
    <w:rsid w:val="002B5B43"/>
    <w:rPr>
      <w:rFonts w:ascii="Consolas" w:hAnsi="Consolas" w:cs="Consolas"/>
      <w:sz w:val="24"/>
      <w:szCs w:val="24"/>
    </w:rPr>
  </w:style>
  <w:style w:type="character" w:styleId="HTMLTypewriter">
    <w:name w:val="HTML Typewriter"/>
    <w:basedOn w:val="DefaultParagraphFont"/>
    <w:uiPriority w:val="98"/>
    <w:semiHidden/>
    <w:rsid w:val="002B5B43"/>
    <w:rPr>
      <w:rFonts w:ascii="Consolas" w:hAnsi="Consolas" w:cs="Consolas"/>
      <w:sz w:val="20"/>
      <w:szCs w:val="20"/>
    </w:rPr>
  </w:style>
  <w:style w:type="character" w:styleId="HTMLVariable">
    <w:name w:val="HTML Variable"/>
    <w:basedOn w:val="DefaultParagraphFont"/>
    <w:uiPriority w:val="98"/>
    <w:semiHidden/>
    <w:rsid w:val="002B5B43"/>
    <w:rPr>
      <w:i/>
      <w:iCs/>
    </w:rPr>
  </w:style>
  <w:style w:type="paragraph" w:styleId="Index1">
    <w:name w:val="index 1"/>
    <w:basedOn w:val="Normal"/>
    <w:next w:val="Normal"/>
    <w:autoRedefine/>
    <w:uiPriority w:val="98"/>
    <w:semiHidden/>
    <w:rsid w:val="002B5B43"/>
    <w:pPr>
      <w:ind w:left="240" w:hanging="240"/>
    </w:pPr>
  </w:style>
  <w:style w:type="paragraph" w:styleId="Index2">
    <w:name w:val="index 2"/>
    <w:basedOn w:val="Normal"/>
    <w:next w:val="Normal"/>
    <w:autoRedefine/>
    <w:uiPriority w:val="98"/>
    <w:semiHidden/>
    <w:rsid w:val="002B5B43"/>
    <w:pPr>
      <w:ind w:left="480" w:hanging="240"/>
    </w:pPr>
  </w:style>
  <w:style w:type="paragraph" w:styleId="Index3">
    <w:name w:val="index 3"/>
    <w:basedOn w:val="Normal"/>
    <w:next w:val="Normal"/>
    <w:autoRedefine/>
    <w:uiPriority w:val="98"/>
    <w:semiHidden/>
    <w:rsid w:val="002B5B43"/>
    <w:pPr>
      <w:ind w:left="720" w:hanging="240"/>
    </w:pPr>
  </w:style>
  <w:style w:type="paragraph" w:styleId="Index4">
    <w:name w:val="index 4"/>
    <w:basedOn w:val="Normal"/>
    <w:next w:val="Normal"/>
    <w:autoRedefine/>
    <w:uiPriority w:val="98"/>
    <w:semiHidden/>
    <w:rsid w:val="002B5B43"/>
    <w:pPr>
      <w:ind w:left="960" w:hanging="240"/>
    </w:pPr>
  </w:style>
  <w:style w:type="paragraph" w:styleId="Index5">
    <w:name w:val="index 5"/>
    <w:basedOn w:val="Normal"/>
    <w:next w:val="Normal"/>
    <w:autoRedefine/>
    <w:uiPriority w:val="98"/>
    <w:semiHidden/>
    <w:rsid w:val="002B5B43"/>
    <w:pPr>
      <w:ind w:left="1200" w:hanging="240"/>
    </w:pPr>
  </w:style>
  <w:style w:type="paragraph" w:styleId="Index6">
    <w:name w:val="index 6"/>
    <w:basedOn w:val="Normal"/>
    <w:next w:val="Normal"/>
    <w:autoRedefine/>
    <w:uiPriority w:val="98"/>
    <w:semiHidden/>
    <w:rsid w:val="002B5B43"/>
    <w:pPr>
      <w:ind w:left="1440" w:hanging="240"/>
    </w:pPr>
  </w:style>
  <w:style w:type="paragraph" w:styleId="Index7">
    <w:name w:val="index 7"/>
    <w:basedOn w:val="Normal"/>
    <w:next w:val="Normal"/>
    <w:autoRedefine/>
    <w:uiPriority w:val="98"/>
    <w:semiHidden/>
    <w:rsid w:val="002B5B43"/>
    <w:pPr>
      <w:ind w:left="1680" w:hanging="240"/>
    </w:pPr>
  </w:style>
  <w:style w:type="paragraph" w:styleId="Index8">
    <w:name w:val="index 8"/>
    <w:basedOn w:val="Normal"/>
    <w:next w:val="Normal"/>
    <w:autoRedefine/>
    <w:uiPriority w:val="98"/>
    <w:semiHidden/>
    <w:rsid w:val="002B5B43"/>
    <w:pPr>
      <w:ind w:left="1920" w:hanging="240"/>
    </w:pPr>
  </w:style>
  <w:style w:type="paragraph" w:styleId="Index9">
    <w:name w:val="index 9"/>
    <w:basedOn w:val="Normal"/>
    <w:next w:val="Normal"/>
    <w:autoRedefine/>
    <w:uiPriority w:val="98"/>
    <w:semiHidden/>
    <w:rsid w:val="002B5B43"/>
    <w:pPr>
      <w:ind w:left="2160" w:hanging="240"/>
    </w:pPr>
  </w:style>
  <w:style w:type="paragraph" w:styleId="IndexHeading">
    <w:name w:val="index heading"/>
    <w:basedOn w:val="Normal"/>
    <w:next w:val="Index1"/>
    <w:uiPriority w:val="98"/>
    <w:semiHidden/>
    <w:rsid w:val="002B5B43"/>
    <w:rPr>
      <w:rFonts w:asciiTheme="majorHAnsi" w:eastAsiaTheme="majorEastAsia" w:hAnsiTheme="majorHAnsi" w:cstheme="majorBidi"/>
      <w:b/>
      <w:bCs/>
    </w:rPr>
  </w:style>
  <w:style w:type="table" w:styleId="LightGrid">
    <w:name w:val="Light Grid"/>
    <w:basedOn w:val="TableNormal"/>
    <w:uiPriority w:val="62"/>
    <w:semiHidden/>
    <w:rsid w:val="002B5B4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2B5B4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2B5B4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2B5B4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2B5B4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2B5B4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2B5B4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2B5B4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2B5B4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2B5B4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2B5B4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2B5B4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2B5B4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2B5B4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2B5B43"/>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2B5B43"/>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2B5B43"/>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2B5B43"/>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2B5B43"/>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2B5B43"/>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2B5B43"/>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2B5B43"/>
  </w:style>
  <w:style w:type="paragraph" w:styleId="List">
    <w:name w:val="List"/>
    <w:basedOn w:val="Normal"/>
    <w:uiPriority w:val="98"/>
    <w:semiHidden/>
    <w:rsid w:val="002B5B43"/>
    <w:pPr>
      <w:ind w:left="283" w:hanging="283"/>
      <w:contextualSpacing/>
    </w:pPr>
  </w:style>
  <w:style w:type="paragraph" w:styleId="List2">
    <w:name w:val="List 2"/>
    <w:basedOn w:val="Normal"/>
    <w:uiPriority w:val="98"/>
    <w:semiHidden/>
    <w:rsid w:val="002B5B43"/>
    <w:pPr>
      <w:ind w:left="566" w:hanging="283"/>
      <w:contextualSpacing/>
    </w:pPr>
  </w:style>
  <w:style w:type="paragraph" w:styleId="List3">
    <w:name w:val="List 3"/>
    <w:basedOn w:val="Normal"/>
    <w:uiPriority w:val="98"/>
    <w:semiHidden/>
    <w:rsid w:val="002B5B43"/>
    <w:pPr>
      <w:ind w:left="849" w:hanging="283"/>
      <w:contextualSpacing/>
    </w:pPr>
  </w:style>
  <w:style w:type="paragraph" w:styleId="List4">
    <w:name w:val="List 4"/>
    <w:basedOn w:val="Normal"/>
    <w:uiPriority w:val="98"/>
    <w:semiHidden/>
    <w:rsid w:val="002B5B43"/>
    <w:pPr>
      <w:ind w:left="1132" w:hanging="283"/>
      <w:contextualSpacing/>
    </w:pPr>
  </w:style>
  <w:style w:type="paragraph" w:styleId="List5">
    <w:name w:val="List 5"/>
    <w:basedOn w:val="Normal"/>
    <w:uiPriority w:val="98"/>
    <w:semiHidden/>
    <w:rsid w:val="002B5B43"/>
    <w:pPr>
      <w:ind w:left="1415" w:hanging="283"/>
      <w:contextualSpacing/>
    </w:pPr>
  </w:style>
  <w:style w:type="paragraph" w:styleId="ListBullet2">
    <w:name w:val="List Bullet 2"/>
    <w:basedOn w:val="Normal"/>
    <w:uiPriority w:val="98"/>
    <w:semiHidden/>
    <w:rsid w:val="002B5B43"/>
    <w:pPr>
      <w:numPr>
        <w:numId w:val="12"/>
      </w:numPr>
      <w:contextualSpacing/>
    </w:pPr>
  </w:style>
  <w:style w:type="paragraph" w:styleId="ListBullet4">
    <w:name w:val="List Bullet 4"/>
    <w:basedOn w:val="Normal"/>
    <w:uiPriority w:val="98"/>
    <w:semiHidden/>
    <w:rsid w:val="002B5B43"/>
    <w:pPr>
      <w:numPr>
        <w:numId w:val="14"/>
      </w:numPr>
      <w:contextualSpacing/>
    </w:pPr>
  </w:style>
  <w:style w:type="paragraph" w:styleId="ListBullet5">
    <w:name w:val="List Bullet 5"/>
    <w:basedOn w:val="Normal"/>
    <w:uiPriority w:val="98"/>
    <w:semiHidden/>
    <w:rsid w:val="002B5B43"/>
    <w:pPr>
      <w:numPr>
        <w:numId w:val="15"/>
      </w:numPr>
      <w:contextualSpacing/>
    </w:pPr>
  </w:style>
  <w:style w:type="paragraph" w:styleId="ListContinue">
    <w:name w:val="List Continue"/>
    <w:basedOn w:val="Normal"/>
    <w:uiPriority w:val="98"/>
    <w:semiHidden/>
    <w:rsid w:val="002B5B43"/>
    <w:pPr>
      <w:spacing w:after="120"/>
      <w:ind w:left="283"/>
      <w:contextualSpacing/>
    </w:pPr>
  </w:style>
  <w:style w:type="paragraph" w:styleId="ListContinue2">
    <w:name w:val="List Continue 2"/>
    <w:basedOn w:val="Normal"/>
    <w:uiPriority w:val="98"/>
    <w:semiHidden/>
    <w:rsid w:val="002B5B43"/>
    <w:pPr>
      <w:spacing w:after="120"/>
      <w:ind w:left="566"/>
      <w:contextualSpacing/>
    </w:pPr>
  </w:style>
  <w:style w:type="paragraph" w:styleId="ListContinue3">
    <w:name w:val="List Continue 3"/>
    <w:basedOn w:val="Normal"/>
    <w:uiPriority w:val="98"/>
    <w:semiHidden/>
    <w:rsid w:val="002B5B43"/>
    <w:pPr>
      <w:spacing w:after="120"/>
      <w:ind w:left="849"/>
      <w:contextualSpacing/>
    </w:pPr>
  </w:style>
  <w:style w:type="paragraph" w:styleId="ListContinue4">
    <w:name w:val="List Continue 4"/>
    <w:basedOn w:val="Normal"/>
    <w:uiPriority w:val="98"/>
    <w:semiHidden/>
    <w:rsid w:val="002B5B43"/>
    <w:pPr>
      <w:spacing w:after="120"/>
      <w:ind w:left="1132"/>
      <w:contextualSpacing/>
    </w:pPr>
  </w:style>
  <w:style w:type="paragraph" w:styleId="ListContinue5">
    <w:name w:val="List Continue 5"/>
    <w:basedOn w:val="Normal"/>
    <w:uiPriority w:val="98"/>
    <w:semiHidden/>
    <w:rsid w:val="002B5B43"/>
    <w:pPr>
      <w:spacing w:after="120"/>
      <w:ind w:left="1415"/>
      <w:contextualSpacing/>
    </w:pPr>
  </w:style>
  <w:style w:type="paragraph" w:styleId="ListNumber">
    <w:name w:val="List Number"/>
    <w:basedOn w:val="Normal"/>
    <w:uiPriority w:val="98"/>
    <w:semiHidden/>
    <w:rsid w:val="002B5B43"/>
    <w:pPr>
      <w:numPr>
        <w:numId w:val="16"/>
      </w:numPr>
      <w:contextualSpacing/>
    </w:pPr>
  </w:style>
  <w:style w:type="paragraph" w:styleId="ListNumber2">
    <w:name w:val="List Number 2"/>
    <w:basedOn w:val="Normal"/>
    <w:uiPriority w:val="98"/>
    <w:semiHidden/>
    <w:rsid w:val="002B5B43"/>
    <w:pPr>
      <w:numPr>
        <w:numId w:val="17"/>
      </w:numPr>
      <w:contextualSpacing/>
    </w:pPr>
  </w:style>
  <w:style w:type="paragraph" w:styleId="ListNumber3">
    <w:name w:val="List Number 3"/>
    <w:basedOn w:val="Normal"/>
    <w:uiPriority w:val="98"/>
    <w:semiHidden/>
    <w:rsid w:val="002B5B43"/>
    <w:pPr>
      <w:numPr>
        <w:numId w:val="18"/>
      </w:numPr>
      <w:contextualSpacing/>
    </w:pPr>
  </w:style>
  <w:style w:type="paragraph" w:styleId="ListNumber4">
    <w:name w:val="List Number 4"/>
    <w:basedOn w:val="Normal"/>
    <w:uiPriority w:val="98"/>
    <w:semiHidden/>
    <w:rsid w:val="002B5B43"/>
    <w:pPr>
      <w:numPr>
        <w:numId w:val="19"/>
      </w:numPr>
      <w:contextualSpacing/>
    </w:pPr>
  </w:style>
  <w:style w:type="paragraph" w:styleId="ListNumber5">
    <w:name w:val="List Number 5"/>
    <w:basedOn w:val="Normal"/>
    <w:uiPriority w:val="98"/>
    <w:semiHidden/>
    <w:rsid w:val="002B5B43"/>
    <w:pPr>
      <w:numPr>
        <w:numId w:val="20"/>
      </w:numPr>
      <w:contextualSpacing/>
    </w:pPr>
  </w:style>
  <w:style w:type="paragraph" w:styleId="MacroText">
    <w:name w:val="macro"/>
    <w:link w:val="MacroTextChar"/>
    <w:uiPriority w:val="98"/>
    <w:semiHidden/>
    <w:rsid w:val="002B5B4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2B5B43"/>
    <w:rPr>
      <w:rFonts w:ascii="Consolas" w:eastAsiaTheme="minorEastAsia" w:hAnsi="Consolas" w:cs="Consolas"/>
      <w:sz w:val="20"/>
      <w:szCs w:val="20"/>
    </w:rPr>
  </w:style>
  <w:style w:type="table" w:styleId="MediumGrid1">
    <w:name w:val="Medium Grid 1"/>
    <w:basedOn w:val="TableNormal"/>
    <w:uiPriority w:val="67"/>
    <w:semiHidden/>
    <w:rsid w:val="002B5B4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2B5B4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2B5B4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2B5B4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2B5B4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2B5B4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2B5B4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2B5B4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2B5B43"/>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2B5B43"/>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2B5B43"/>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2B5B43"/>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2B5B43"/>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2B5B43"/>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2B5B43"/>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B5B4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2B5B4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B5B4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B5B4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B5B4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B5B4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B5B4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B5B4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B5B4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2B5B4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2B5B43"/>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2B5B43"/>
    <w:rPr>
      <w:rFonts w:ascii="Times New Roman" w:hAnsi="Times New Roman" w:cs="Times New Roman"/>
    </w:rPr>
  </w:style>
  <w:style w:type="paragraph" w:styleId="NormalIndent">
    <w:name w:val="Normal Indent"/>
    <w:basedOn w:val="Normal"/>
    <w:uiPriority w:val="98"/>
    <w:semiHidden/>
    <w:rsid w:val="002B5B43"/>
    <w:pPr>
      <w:ind w:left="720"/>
    </w:pPr>
  </w:style>
  <w:style w:type="paragraph" w:styleId="NoteHeading">
    <w:name w:val="Note Heading"/>
    <w:basedOn w:val="Normal"/>
    <w:next w:val="Normal"/>
    <w:link w:val="NoteHeadingChar"/>
    <w:uiPriority w:val="98"/>
    <w:semiHidden/>
    <w:rsid w:val="002B5B43"/>
  </w:style>
  <w:style w:type="character" w:customStyle="1" w:styleId="NoteHeadingChar">
    <w:name w:val="Note Heading Char"/>
    <w:basedOn w:val="DefaultParagraphFont"/>
    <w:link w:val="NoteHeading"/>
    <w:uiPriority w:val="98"/>
    <w:semiHidden/>
    <w:rsid w:val="002B5B43"/>
    <w:rPr>
      <w:sz w:val="24"/>
      <w:szCs w:val="24"/>
      <w:lang w:val="ro-RO"/>
    </w:rPr>
  </w:style>
  <w:style w:type="character" w:styleId="PlaceholderText">
    <w:name w:val="Placeholder Text"/>
    <w:basedOn w:val="DefaultParagraphFont"/>
    <w:uiPriority w:val="98"/>
    <w:rsid w:val="002B5B43"/>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2B5B43"/>
    <w:rPr>
      <w:rFonts w:ascii="Consolas" w:hAnsi="Consolas" w:cs="Consolas"/>
      <w:sz w:val="21"/>
      <w:szCs w:val="21"/>
    </w:rPr>
  </w:style>
  <w:style w:type="character" w:customStyle="1" w:styleId="PlainTextChar">
    <w:name w:val="Plain Text Char"/>
    <w:basedOn w:val="DefaultParagraphFont"/>
    <w:link w:val="PlainText"/>
    <w:uiPriority w:val="98"/>
    <w:semiHidden/>
    <w:rsid w:val="002B5B43"/>
    <w:rPr>
      <w:rFonts w:ascii="Consolas" w:hAnsi="Consolas" w:cs="Consolas"/>
      <w:sz w:val="21"/>
      <w:szCs w:val="21"/>
      <w:lang w:val="ro-RO"/>
    </w:rPr>
  </w:style>
  <w:style w:type="paragraph" w:styleId="Salutation">
    <w:name w:val="Salutation"/>
    <w:basedOn w:val="Normal"/>
    <w:next w:val="Normal"/>
    <w:link w:val="SalutationChar"/>
    <w:uiPriority w:val="98"/>
    <w:semiHidden/>
    <w:rsid w:val="002B5B43"/>
  </w:style>
  <w:style w:type="character" w:customStyle="1" w:styleId="SalutationChar">
    <w:name w:val="Salutation Char"/>
    <w:basedOn w:val="DefaultParagraphFont"/>
    <w:link w:val="Salutation"/>
    <w:uiPriority w:val="98"/>
    <w:semiHidden/>
    <w:rsid w:val="002B5B43"/>
    <w:rPr>
      <w:sz w:val="24"/>
      <w:szCs w:val="24"/>
      <w:lang w:val="ro-RO"/>
    </w:rPr>
  </w:style>
  <w:style w:type="paragraph" w:styleId="Signature">
    <w:name w:val="Signature"/>
    <w:basedOn w:val="Normal"/>
    <w:link w:val="SignatureChar"/>
    <w:uiPriority w:val="98"/>
    <w:semiHidden/>
    <w:rsid w:val="002B5B43"/>
    <w:pPr>
      <w:ind w:left="4252"/>
    </w:pPr>
  </w:style>
  <w:style w:type="character" w:customStyle="1" w:styleId="SignatureChar">
    <w:name w:val="Signature Char"/>
    <w:basedOn w:val="DefaultParagraphFont"/>
    <w:link w:val="Signature"/>
    <w:uiPriority w:val="98"/>
    <w:semiHidden/>
    <w:rsid w:val="002B5B43"/>
    <w:rPr>
      <w:sz w:val="24"/>
      <w:szCs w:val="24"/>
      <w:lang w:val="ro-RO"/>
    </w:rPr>
  </w:style>
  <w:style w:type="table" w:styleId="Table3Deffects1">
    <w:name w:val="Table 3D effects 1"/>
    <w:basedOn w:val="TableNormal"/>
    <w:uiPriority w:val="99"/>
    <w:semiHidden/>
    <w:unhideWhenUsed/>
    <w:rsid w:val="002B5B43"/>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B5B43"/>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B5B43"/>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B5B43"/>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B5B43"/>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B5B43"/>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B5B43"/>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B5B43"/>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B5B43"/>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B5B43"/>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B5B43"/>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B5B43"/>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B5B43"/>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B5B43"/>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B5B43"/>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B5B43"/>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B5B43"/>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B5B43"/>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B5B43"/>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B5B43"/>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B5B43"/>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B5B43"/>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B5B43"/>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B5B43"/>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B5B43"/>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B5B4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B5B43"/>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B5B4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2B5B43"/>
    <w:pPr>
      <w:ind w:left="240" w:hanging="240"/>
    </w:pPr>
  </w:style>
  <w:style w:type="paragraph" w:styleId="TableofFigures">
    <w:name w:val="table of figures"/>
    <w:basedOn w:val="Normal"/>
    <w:next w:val="Normal"/>
    <w:uiPriority w:val="98"/>
    <w:semiHidden/>
    <w:rsid w:val="002B5B43"/>
  </w:style>
  <w:style w:type="table" w:styleId="TableProfessional">
    <w:name w:val="Table Professional"/>
    <w:basedOn w:val="TableNormal"/>
    <w:uiPriority w:val="99"/>
    <w:semiHidden/>
    <w:unhideWhenUsed/>
    <w:rsid w:val="002B5B4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B5B43"/>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B5B43"/>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B5B43"/>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B5B43"/>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B5B43"/>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B5B43"/>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B5B43"/>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B5B43"/>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B5B43"/>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uiPriority w:val="39"/>
    <w:rsid w:val="00314B21"/>
    <w:pPr>
      <w:tabs>
        <w:tab w:val="right" w:leader="dot" w:pos="7371"/>
      </w:tabs>
      <w:spacing w:after="60" w:line="240" w:lineRule="exact"/>
      <w:ind w:left="2041" w:hanging="340"/>
    </w:pPr>
    <w:rPr>
      <w:sz w:val="20"/>
    </w:rPr>
  </w:style>
  <w:style w:type="paragraph" w:styleId="TOC7">
    <w:name w:val="toc 7"/>
    <w:basedOn w:val="Normal"/>
    <w:next w:val="Normal"/>
    <w:uiPriority w:val="39"/>
    <w:rsid w:val="00E45801"/>
    <w:pPr>
      <w:tabs>
        <w:tab w:val="right" w:leader="dot" w:pos="7371"/>
      </w:tabs>
      <w:spacing w:after="60" w:line="240" w:lineRule="exact"/>
      <w:ind w:left="2381" w:hanging="340"/>
    </w:pPr>
    <w:rPr>
      <w:sz w:val="18"/>
    </w:rPr>
  </w:style>
  <w:style w:type="paragraph" w:styleId="TOC8">
    <w:name w:val="toc 8"/>
    <w:basedOn w:val="Normal"/>
    <w:next w:val="Normal"/>
    <w:autoRedefine/>
    <w:uiPriority w:val="39"/>
    <w:rsid w:val="00E45801"/>
    <w:pPr>
      <w:tabs>
        <w:tab w:val="left" w:pos="2721"/>
        <w:tab w:val="right" w:leader="dot" w:pos="7371"/>
      </w:tabs>
      <w:spacing w:after="100"/>
      <w:ind w:left="2721" w:hanging="340"/>
    </w:pPr>
    <w:rPr>
      <w:rFonts w:ascii="Times New Roman" w:hAnsi="Times New Roman" w:cs="Times New Roman"/>
      <w:noProof/>
      <w:sz w:val="18"/>
      <w:lang w:bidi="en-US"/>
    </w:rPr>
  </w:style>
  <w:style w:type="paragraph" w:styleId="TOC9">
    <w:name w:val="toc 9"/>
    <w:basedOn w:val="Normal"/>
    <w:next w:val="Normal"/>
    <w:autoRedefine/>
    <w:uiPriority w:val="39"/>
    <w:rsid w:val="002B5B43"/>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2B5B43"/>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2B5B43"/>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2B5B43"/>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2B5B43"/>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2B5B43"/>
    <w:pPr>
      <w:numPr>
        <w:numId w:val="7"/>
      </w:numPr>
      <w:spacing w:before="60" w:after="60"/>
    </w:pPr>
  </w:style>
  <w:style w:type="paragraph" w:customStyle="1" w:styleId="ECHRBullet2">
    <w:name w:val="ECHR_Bullet_2"/>
    <w:aliases w:val="_Bul_2"/>
    <w:basedOn w:val="ECHRBullet1"/>
    <w:uiPriority w:val="23"/>
    <w:semiHidden/>
    <w:rsid w:val="002B5B43"/>
    <w:pPr>
      <w:numPr>
        <w:ilvl w:val="1"/>
      </w:numPr>
    </w:pPr>
  </w:style>
  <w:style w:type="paragraph" w:customStyle="1" w:styleId="ECHRBullet3">
    <w:name w:val="ECHR_Bullet_3"/>
    <w:aliases w:val="_Bul_3"/>
    <w:basedOn w:val="ECHRBullet2"/>
    <w:uiPriority w:val="23"/>
    <w:semiHidden/>
    <w:rsid w:val="002B5B43"/>
    <w:pPr>
      <w:numPr>
        <w:ilvl w:val="2"/>
      </w:numPr>
    </w:pPr>
  </w:style>
  <w:style w:type="paragraph" w:customStyle="1" w:styleId="ECHRBullet4">
    <w:name w:val="ECHR_Bullet_4"/>
    <w:aliases w:val="_Bul_4"/>
    <w:basedOn w:val="ECHRBullet3"/>
    <w:uiPriority w:val="23"/>
    <w:semiHidden/>
    <w:rsid w:val="002B5B43"/>
    <w:pPr>
      <w:numPr>
        <w:ilvl w:val="3"/>
      </w:numPr>
    </w:pPr>
  </w:style>
  <w:style w:type="paragraph" w:customStyle="1" w:styleId="ECHRConfidential">
    <w:name w:val="ECHR_Confidential"/>
    <w:aliases w:val="_Confidential"/>
    <w:basedOn w:val="Normal"/>
    <w:next w:val="Normal"/>
    <w:uiPriority w:val="42"/>
    <w:semiHidden/>
    <w:qFormat/>
    <w:rsid w:val="002B5B43"/>
    <w:pPr>
      <w:jc w:val="right"/>
    </w:pPr>
    <w:rPr>
      <w:color w:val="C00000"/>
      <w:sz w:val="20"/>
    </w:rPr>
  </w:style>
  <w:style w:type="paragraph" w:customStyle="1" w:styleId="ECHRDecisionBody">
    <w:name w:val="ECHR_Decision_Body"/>
    <w:aliases w:val="_Decision_Body"/>
    <w:basedOn w:val="NormalJustified"/>
    <w:uiPriority w:val="54"/>
    <w:semiHidden/>
    <w:rsid w:val="002B5B43"/>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2B5B43"/>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2B5B43"/>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2B5B43"/>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2B5B43"/>
    <w:pPr>
      <w:jc w:val="right"/>
    </w:pPr>
    <w:rPr>
      <w:sz w:val="20"/>
    </w:rPr>
  </w:style>
  <w:style w:type="paragraph" w:customStyle="1" w:styleId="ECHRHeaderRefIt">
    <w:name w:val="ECHR_Header_Ref_It"/>
    <w:aliases w:val="_Ref_Ital"/>
    <w:basedOn w:val="Normal"/>
    <w:next w:val="ECHRHeaderDate"/>
    <w:uiPriority w:val="43"/>
    <w:qFormat/>
    <w:rsid w:val="002B5B43"/>
    <w:pPr>
      <w:jc w:val="right"/>
    </w:pPr>
    <w:rPr>
      <w:i/>
      <w:sz w:val="20"/>
    </w:rPr>
  </w:style>
  <w:style w:type="paragraph" w:customStyle="1" w:styleId="ECHRHeading9">
    <w:name w:val="ECHR_Heading_9"/>
    <w:aliases w:val="_Head_9"/>
    <w:basedOn w:val="Heading9"/>
    <w:uiPriority w:val="17"/>
    <w:semiHidden/>
    <w:rsid w:val="002B5B43"/>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2B5B43"/>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2B5B43"/>
    <w:pPr>
      <w:numPr>
        <w:numId w:val="8"/>
      </w:numPr>
      <w:spacing w:before="60" w:after="60"/>
    </w:pPr>
  </w:style>
  <w:style w:type="paragraph" w:customStyle="1" w:styleId="ECHRNumberedList2">
    <w:name w:val="ECHR_Numbered_List_2"/>
    <w:aliases w:val="_Num_2"/>
    <w:basedOn w:val="ECHRNumberedList1"/>
    <w:uiPriority w:val="23"/>
    <w:semiHidden/>
    <w:rsid w:val="002B5B43"/>
    <w:pPr>
      <w:numPr>
        <w:ilvl w:val="1"/>
      </w:numPr>
    </w:pPr>
  </w:style>
  <w:style w:type="paragraph" w:customStyle="1" w:styleId="ECHRNumberedList3">
    <w:name w:val="ECHR_Numbered_List_3"/>
    <w:aliases w:val="_Num_3"/>
    <w:basedOn w:val="ECHRNumberedList2"/>
    <w:uiPriority w:val="23"/>
    <w:semiHidden/>
    <w:rsid w:val="002B5B43"/>
    <w:pPr>
      <w:numPr>
        <w:ilvl w:val="2"/>
      </w:numPr>
    </w:pPr>
  </w:style>
  <w:style w:type="paragraph" w:customStyle="1" w:styleId="ECHRParaHanging">
    <w:name w:val="ECHR_Para_Hanging"/>
    <w:aliases w:val="_Hanging"/>
    <w:basedOn w:val="NormalJustified"/>
    <w:uiPriority w:val="8"/>
    <w:semiHidden/>
    <w:qFormat/>
    <w:rsid w:val="002B5B43"/>
    <w:pPr>
      <w:ind w:left="567" w:hanging="567"/>
    </w:pPr>
  </w:style>
  <w:style w:type="paragraph" w:customStyle="1" w:styleId="ECHRParaIndent">
    <w:name w:val="ECHR_Para_Indent"/>
    <w:aliases w:val="_Indent"/>
    <w:basedOn w:val="NormalJustified"/>
    <w:uiPriority w:val="7"/>
    <w:semiHidden/>
    <w:qFormat/>
    <w:rsid w:val="002B5B43"/>
    <w:pPr>
      <w:spacing w:before="120" w:after="120"/>
      <w:ind w:left="284"/>
    </w:pPr>
  </w:style>
  <w:style w:type="character" w:customStyle="1" w:styleId="ECHRRed">
    <w:name w:val="ECHR_Red"/>
    <w:aliases w:val="_Red"/>
    <w:basedOn w:val="DefaultParagraphFont"/>
    <w:uiPriority w:val="15"/>
    <w:semiHidden/>
    <w:qFormat/>
    <w:rsid w:val="002B5B43"/>
    <w:rPr>
      <w:color w:val="C00000" w:themeColor="accent2"/>
    </w:rPr>
  </w:style>
  <w:style w:type="paragraph" w:customStyle="1" w:styleId="DecList">
    <w:name w:val="Dec_List"/>
    <w:aliases w:val="_List"/>
    <w:basedOn w:val="JuList"/>
    <w:uiPriority w:val="22"/>
    <w:rsid w:val="002B5B43"/>
    <w:pPr>
      <w:numPr>
        <w:numId w:val="0"/>
      </w:numPr>
      <w:ind w:left="284"/>
    </w:pPr>
  </w:style>
  <w:style w:type="table" w:customStyle="1" w:styleId="ECHRTable2">
    <w:name w:val="ECHR_Table_2"/>
    <w:basedOn w:val="TableNormal"/>
    <w:uiPriority w:val="99"/>
    <w:rsid w:val="002B5B43"/>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2B5B4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2B5B43"/>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2B5B43"/>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2B5B43"/>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2B5B43"/>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2B5B43"/>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2B5B43"/>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2B5B43"/>
    <w:pPr>
      <w:outlineLvl w:val="0"/>
    </w:pPr>
  </w:style>
  <w:style w:type="paragraph" w:customStyle="1" w:styleId="ECHRTitleTOC1">
    <w:name w:val="ECHR_Title_TOC_1"/>
    <w:aliases w:val="_Title_L_TOC"/>
    <w:basedOn w:val="ECHRTitle1"/>
    <w:next w:val="Normal"/>
    <w:uiPriority w:val="27"/>
    <w:semiHidden/>
    <w:qFormat/>
    <w:rsid w:val="002B5B43"/>
    <w:pPr>
      <w:outlineLvl w:val="0"/>
    </w:pPr>
  </w:style>
  <w:style w:type="paragraph" w:customStyle="1" w:styleId="ECHRPlaceholder">
    <w:name w:val="ECHR_Placeholder"/>
    <w:aliases w:val="_Placeholder"/>
    <w:basedOn w:val="JuSigned"/>
    <w:uiPriority w:val="31"/>
    <w:rsid w:val="002B5B43"/>
    <w:rPr>
      <w:color w:val="FFFFFF"/>
    </w:rPr>
  </w:style>
  <w:style w:type="paragraph" w:customStyle="1" w:styleId="ECHRSpacer">
    <w:name w:val="ECHR_Spacer"/>
    <w:aliases w:val="_Spacer"/>
    <w:basedOn w:val="Normal"/>
    <w:uiPriority w:val="45"/>
    <w:semiHidden/>
    <w:rsid w:val="002B5B43"/>
    <w:rPr>
      <w:sz w:val="4"/>
    </w:rPr>
  </w:style>
  <w:style w:type="table" w:customStyle="1" w:styleId="ECHRTableGrey">
    <w:name w:val="ECHR_Table_Grey"/>
    <w:basedOn w:val="TableNormal"/>
    <w:uiPriority w:val="99"/>
    <w:rsid w:val="002B5B43"/>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2B5B43"/>
    <w:rPr>
      <w:color w:val="605E5C"/>
      <w:shd w:val="clear" w:color="auto" w:fill="E1DFDD"/>
    </w:rPr>
  </w:style>
  <w:style w:type="character" w:customStyle="1" w:styleId="JuParaChar">
    <w:name w:val="Ju_Para Char"/>
    <w:aliases w:val="_Para Char"/>
    <w:link w:val="JuPara"/>
    <w:uiPriority w:val="4"/>
    <w:rsid w:val="00304BC9"/>
    <w:rPr>
      <w:sz w:val="24"/>
      <w:szCs w:val="24"/>
      <w:lang w:val="ro-RO"/>
    </w:rPr>
  </w:style>
  <w:style w:type="table" w:styleId="GridTable1Light">
    <w:name w:val="Grid Table 1 Light"/>
    <w:basedOn w:val="TableNormal"/>
    <w:uiPriority w:val="46"/>
    <w:rsid w:val="00304BC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List4">
    <w:name w:val="Ju_List_4"/>
    <w:aliases w:val="N_Bul_4"/>
    <w:basedOn w:val="JuListi"/>
    <w:uiPriority w:val="19"/>
    <w:rsid w:val="00304BC9"/>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rsid w:val="00304BC9"/>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04BC9"/>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04BC9"/>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04BC9"/>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04BC9"/>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04BC9"/>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304BC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304BC9"/>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rsid w:val="00304BC9"/>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rsid w:val="00304BC9"/>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rsid w:val="00304BC9"/>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rsid w:val="00304BC9"/>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304BC9"/>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304B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304BC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rsid w:val="00304BC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rsid w:val="00304BC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rsid w:val="00304BC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rsid w:val="00304BC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304BC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304B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304BC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rsid w:val="00304BC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rsid w:val="00304BC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rsid w:val="00304BC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rsid w:val="00304BC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304BC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304B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304B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rsid w:val="00304B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rsid w:val="00304B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rsid w:val="00304B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rsid w:val="00304B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304BC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304BC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304BC9"/>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rsid w:val="00304BC9"/>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rsid w:val="00304BC9"/>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rsid w:val="00304BC9"/>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rsid w:val="00304BC9"/>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304BC9"/>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304BC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304BC9"/>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rsid w:val="00304BC9"/>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rsid w:val="00304BC9"/>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rsid w:val="00304BC9"/>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rsid w:val="00304BC9"/>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304BC9"/>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304BC9"/>
    <w:rPr>
      <w:color w:val="2B579A"/>
      <w:shd w:val="clear" w:color="auto" w:fill="E1DFDD"/>
    </w:rPr>
  </w:style>
  <w:style w:type="table" w:styleId="ListTable1Light">
    <w:name w:val="List Table 1 Light"/>
    <w:basedOn w:val="TableNormal"/>
    <w:uiPriority w:val="46"/>
    <w:rsid w:val="00304BC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304BC9"/>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rsid w:val="00304BC9"/>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rsid w:val="00304BC9"/>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rsid w:val="00304BC9"/>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rsid w:val="00304BC9"/>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304BC9"/>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304BC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304BC9"/>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rsid w:val="00304BC9"/>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rsid w:val="00304BC9"/>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rsid w:val="00304BC9"/>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rsid w:val="00304BC9"/>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304BC9"/>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304BC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304BC9"/>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rsid w:val="00304BC9"/>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rsid w:val="00304BC9"/>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rsid w:val="00304BC9"/>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rsid w:val="00304BC9"/>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304BC9"/>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304B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304BC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rsid w:val="00304BC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rsid w:val="00304BC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rsid w:val="00304BC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rsid w:val="00304BC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304BC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304BC9"/>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304BC9"/>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04BC9"/>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304BC9"/>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04BC9"/>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04BC9"/>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304BC9"/>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304BC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304BC9"/>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rsid w:val="00304BC9"/>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rsid w:val="00304BC9"/>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rsid w:val="00304BC9"/>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rsid w:val="00304BC9"/>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304BC9"/>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304BC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304BC9"/>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304BC9"/>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304BC9"/>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304BC9"/>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304BC9"/>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304BC9"/>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304BC9"/>
    <w:rPr>
      <w:color w:val="2B579A"/>
      <w:shd w:val="clear" w:color="auto" w:fill="E1DFDD"/>
    </w:rPr>
  </w:style>
  <w:style w:type="table" w:styleId="PlainTable1">
    <w:name w:val="Plain Table 1"/>
    <w:basedOn w:val="TableNormal"/>
    <w:uiPriority w:val="41"/>
    <w:rsid w:val="00304BC9"/>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rsid w:val="00304BC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04BC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04BC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rsid w:val="00304BC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304BC9"/>
    <w:rPr>
      <w:u w:val="dotted"/>
    </w:rPr>
  </w:style>
  <w:style w:type="character" w:customStyle="1" w:styleId="SmartLink">
    <w:name w:val="Smart Link"/>
    <w:basedOn w:val="DefaultParagraphFont"/>
    <w:uiPriority w:val="99"/>
    <w:semiHidden/>
    <w:unhideWhenUsed/>
    <w:rsid w:val="00304BC9"/>
    <w:rPr>
      <w:color w:val="0000FF"/>
      <w:u w:val="single"/>
      <w:shd w:val="clear" w:color="auto" w:fill="F3F2F1"/>
    </w:rPr>
  </w:style>
  <w:style w:type="table" w:styleId="TableGridLight">
    <w:name w:val="Grid Table Light"/>
    <w:basedOn w:val="TableNormal"/>
    <w:uiPriority w:val="40"/>
    <w:rsid w:val="00304BC9"/>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styleId="Revision">
    <w:name w:val="Revision"/>
    <w:hidden/>
    <w:uiPriority w:val="99"/>
    <w:semiHidden/>
    <w:rsid w:val="00304B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98AD0-A2D1-497F-9019-9B4C8199F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24999</Words>
  <Characters>144998</Characters>
  <Application>Microsoft Office Word</Application>
  <DocSecurity>0</DocSecurity>
  <Lines>1208</Lines>
  <Paragraphs>339</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169658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cp:lastModifiedBy/>
  <cp:revision>1</cp:revision>
  <dcterms:created xsi:type="dcterms:W3CDTF">2026-02-13T16:15:00Z</dcterms:created>
  <dcterms:modified xsi:type="dcterms:W3CDTF">2026-08-28T09:46:00Z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1697898</vt:lpwstr>
  </property>
  <property fmtid="{D5CDD505-2E9C-101B-9397-08002B2CF9AE}" pid="3" name="cstLanguage">
    <vt:i4>2057</vt:i4>
  </property>
  <property fmtid="{D5CDD505-2E9C-101B-9397-08002B2CF9AE}" pid="4" name="eDOCS AutoSave">
    <vt:lpwstr/>
  </property>
  <property fmtid="{D5CDD505-2E9C-101B-9397-08002B2CF9AE}" pid="5" name="RegisteredNo">
    <vt:lpwstr>6580/22</vt:lpwstr>
  </property>
</Properties>
</file>